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72281" w14:textId="79904F97" w:rsidR="00564AC8" w:rsidRDefault="00564AC8" w:rsidP="00564AC8"/>
    <w:p w14:paraId="7B3BFFF1" w14:textId="5B1C74DE" w:rsidR="00C55377" w:rsidRPr="00AC3AC0" w:rsidRDefault="00C55377" w:rsidP="00AC3AC0">
      <w:pPr>
        <w:jc w:val="center"/>
        <w:rPr>
          <w:b/>
          <w:color w:val="1F497D" w:themeColor="text2"/>
          <w:sz w:val="40"/>
          <w:szCs w:val="40"/>
        </w:rPr>
      </w:pPr>
      <w:bookmarkStart w:id="0" w:name="_Toc391539095"/>
      <w:bookmarkStart w:id="1" w:name="_Toc391553258"/>
      <w:bookmarkStart w:id="2" w:name="_Toc396899682"/>
      <w:r w:rsidRPr="00AC3AC0">
        <w:rPr>
          <w:b/>
          <w:color w:val="1F497D" w:themeColor="text2"/>
          <w:sz w:val="40"/>
          <w:szCs w:val="40"/>
        </w:rPr>
        <w:t>Commonwealth Environmental Water Office</w:t>
      </w:r>
      <w:bookmarkEnd w:id="0"/>
      <w:bookmarkEnd w:id="1"/>
      <w:bookmarkEnd w:id="2"/>
      <w:r w:rsidRPr="00AC3AC0">
        <w:rPr>
          <w:b/>
          <w:color w:val="1F497D" w:themeColor="text2"/>
          <w:sz w:val="40"/>
          <w:szCs w:val="40"/>
        </w:rPr>
        <w:t xml:space="preserve">: </w:t>
      </w:r>
      <w:bookmarkStart w:id="3" w:name="_Toc391539097"/>
      <w:bookmarkStart w:id="4" w:name="_Toc391553260"/>
      <w:bookmarkStart w:id="5" w:name="_Toc396899684"/>
      <w:r w:rsidRPr="00AC3AC0">
        <w:rPr>
          <w:b/>
          <w:color w:val="1F497D" w:themeColor="text2"/>
          <w:sz w:val="40"/>
          <w:szCs w:val="40"/>
        </w:rPr>
        <w:t xml:space="preserve">Lower Murray </w:t>
      </w:r>
      <w:bookmarkStart w:id="6" w:name="_Toc391539098"/>
      <w:bookmarkStart w:id="7" w:name="_Toc391553261"/>
      <w:bookmarkStart w:id="8" w:name="_Toc396899685"/>
      <w:bookmarkEnd w:id="3"/>
      <w:bookmarkEnd w:id="4"/>
      <w:bookmarkEnd w:id="5"/>
      <w:r w:rsidRPr="00AC3AC0">
        <w:rPr>
          <w:b/>
          <w:color w:val="1F497D" w:themeColor="text2"/>
          <w:sz w:val="40"/>
          <w:szCs w:val="40"/>
        </w:rPr>
        <w:t>Monitoring, Evaluation and Research Plan</w:t>
      </w:r>
      <w:bookmarkEnd w:id="6"/>
      <w:bookmarkEnd w:id="7"/>
      <w:bookmarkEnd w:id="8"/>
      <w:r w:rsidRPr="00AC3AC0">
        <w:rPr>
          <w:b/>
          <w:color w:val="1F497D" w:themeColor="text2"/>
          <w:sz w:val="40"/>
          <w:szCs w:val="40"/>
        </w:rPr>
        <w:t xml:space="preserve"> (2019–2022)</w:t>
      </w:r>
    </w:p>
    <w:p w14:paraId="7F815035" w14:textId="77777777" w:rsidR="00564AC8" w:rsidRPr="00D62E22" w:rsidRDefault="00564AC8" w:rsidP="00564AC8">
      <w:pPr>
        <w:pBdr>
          <w:bottom w:val="single" w:sz="6" w:space="1" w:color="auto"/>
        </w:pBdr>
        <w:spacing w:after="200" w:line="276" w:lineRule="auto"/>
        <w:jc w:val="center"/>
        <w:rPr>
          <w:b/>
          <w:color w:val="002060"/>
          <w:sz w:val="40"/>
          <w:szCs w:val="40"/>
        </w:rPr>
      </w:pPr>
    </w:p>
    <w:p w14:paraId="1EEF0774" w14:textId="77777777" w:rsidR="00564AC8" w:rsidRDefault="00564AC8" w:rsidP="00564AC8">
      <w:pPr>
        <w:jc w:val="center"/>
        <w:rPr>
          <w:rStyle w:val="Emphasis"/>
          <w:rFonts w:ascii="Century Gothic" w:hAnsi="Century Gothic"/>
          <w:color w:val="002060"/>
          <w:sz w:val="28"/>
          <w:szCs w:val="28"/>
        </w:rPr>
      </w:pPr>
    </w:p>
    <w:p w14:paraId="409406E9" w14:textId="4420AC83" w:rsidR="00C55377" w:rsidRDefault="001D7F0E" w:rsidP="00AC3AC0">
      <w:pPr>
        <w:jc w:val="center"/>
        <w:rPr>
          <w:rStyle w:val="Emphasis"/>
          <w:rFonts w:ascii="Century Gothic" w:hAnsi="Century Gothic"/>
          <w:color w:val="17365D" w:themeColor="text2" w:themeShade="BF"/>
          <w:sz w:val="28"/>
          <w:szCs w:val="28"/>
        </w:rPr>
      </w:pPr>
      <w:bookmarkStart w:id="9" w:name="_____replySeparator"/>
      <w:bookmarkStart w:id="10" w:name="_Toc391539099"/>
      <w:bookmarkStart w:id="11" w:name="_Toc391553262"/>
      <w:bookmarkStart w:id="12" w:name="_Toc396899686"/>
      <w:bookmarkEnd w:id="9"/>
      <w:r>
        <w:rPr>
          <w:rStyle w:val="Emphasis"/>
          <w:rFonts w:ascii="Century Gothic" w:hAnsi="Century Gothic"/>
          <w:color w:val="17365D" w:themeColor="text2" w:themeShade="BF"/>
          <w:sz w:val="28"/>
          <w:szCs w:val="28"/>
        </w:rPr>
        <w:t xml:space="preserve">Draft </w:t>
      </w:r>
      <w:r w:rsidR="0038070A">
        <w:rPr>
          <w:rStyle w:val="Emphasis"/>
          <w:rFonts w:ascii="Century Gothic" w:hAnsi="Century Gothic"/>
          <w:color w:val="17365D" w:themeColor="text2" w:themeShade="BF"/>
          <w:sz w:val="28"/>
          <w:szCs w:val="28"/>
        </w:rPr>
        <w:t xml:space="preserve">plan </w:t>
      </w:r>
      <w:r>
        <w:rPr>
          <w:rStyle w:val="Emphasis"/>
          <w:rFonts w:ascii="Century Gothic" w:hAnsi="Century Gothic"/>
          <w:color w:val="17365D" w:themeColor="text2" w:themeShade="BF"/>
          <w:sz w:val="28"/>
          <w:szCs w:val="28"/>
        </w:rPr>
        <w:t>p</w:t>
      </w:r>
      <w:r w:rsidR="00C55377" w:rsidRPr="000D7908">
        <w:rPr>
          <w:rStyle w:val="Emphasis"/>
          <w:rFonts w:ascii="Century Gothic" w:hAnsi="Century Gothic"/>
          <w:color w:val="17365D" w:themeColor="text2" w:themeShade="BF"/>
          <w:sz w:val="28"/>
          <w:szCs w:val="28"/>
        </w:rPr>
        <w:t>repared by</w:t>
      </w:r>
      <w:r w:rsidR="00C55377">
        <w:rPr>
          <w:rStyle w:val="Emphasis"/>
          <w:rFonts w:ascii="Century Gothic" w:hAnsi="Century Gothic"/>
          <w:color w:val="17365D" w:themeColor="text2" w:themeShade="BF"/>
          <w:sz w:val="28"/>
          <w:szCs w:val="28"/>
        </w:rPr>
        <w:t xml:space="preserve"> the</w:t>
      </w:r>
      <w:r w:rsidR="00C55377" w:rsidRPr="000D7908">
        <w:rPr>
          <w:rStyle w:val="Emphasis"/>
          <w:rFonts w:ascii="Century Gothic" w:hAnsi="Century Gothic"/>
          <w:color w:val="17365D" w:themeColor="text2" w:themeShade="BF"/>
          <w:sz w:val="28"/>
          <w:szCs w:val="28"/>
        </w:rPr>
        <w:t xml:space="preserve"> </w:t>
      </w:r>
      <w:r w:rsidR="001F661A" w:rsidRPr="001F661A">
        <w:rPr>
          <w:rStyle w:val="Emphasis"/>
          <w:rFonts w:ascii="Century Gothic" w:hAnsi="Century Gothic"/>
          <w:color w:val="17365D" w:themeColor="text2" w:themeShade="BF"/>
          <w:sz w:val="28"/>
          <w:szCs w:val="28"/>
        </w:rPr>
        <w:t>Lower Murray Selected Area</w:t>
      </w:r>
      <w:r w:rsidR="00C55377" w:rsidRPr="001F661A">
        <w:rPr>
          <w:rStyle w:val="Emphasis"/>
          <w:rFonts w:ascii="Century Gothic" w:hAnsi="Century Gothic"/>
          <w:color w:val="17365D" w:themeColor="text2" w:themeShade="BF"/>
          <w:sz w:val="28"/>
          <w:szCs w:val="28"/>
        </w:rPr>
        <w:t xml:space="preserve"> Consortium:</w:t>
      </w:r>
      <w:bookmarkEnd w:id="10"/>
      <w:bookmarkEnd w:id="11"/>
      <w:bookmarkEnd w:id="12"/>
      <w:r>
        <w:rPr>
          <w:rStyle w:val="Emphasis"/>
          <w:rFonts w:ascii="Century Gothic" w:hAnsi="Century Gothic"/>
          <w:color w:val="17365D" w:themeColor="text2" w:themeShade="BF"/>
          <w:sz w:val="28"/>
          <w:szCs w:val="28"/>
        </w:rPr>
        <w:t xml:space="preserve"> </w:t>
      </w:r>
      <w:bookmarkStart w:id="13" w:name="_Toc391539100"/>
      <w:bookmarkStart w:id="14" w:name="_Toc391553263"/>
      <w:bookmarkStart w:id="15" w:name="_Toc396899687"/>
      <w:r w:rsidR="00C55377" w:rsidRPr="001F661A">
        <w:rPr>
          <w:rStyle w:val="Emphasis"/>
          <w:rFonts w:ascii="Century Gothic" w:hAnsi="Century Gothic"/>
          <w:color w:val="17365D" w:themeColor="text2" w:themeShade="BF"/>
          <w:sz w:val="28"/>
          <w:szCs w:val="28"/>
        </w:rPr>
        <w:t>SARDI, University of Adelaide and DEW</w:t>
      </w:r>
      <w:bookmarkEnd w:id="13"/>
      <w:bookmarkEnd w:id="14"/>
      <w:bookmarkEnd w:id="15"/>
    </w:p>
    <w:p w14:paraId="3486F3C2" w14:textId="77777777" w:rsidR="00DE34EF" w:rsidRDefault="00DE34EF" w:rsidP="00AC3AC0">
      <w:pPr>
        <w:jc w:val="center"/>
        <w:rPr>
          <w:rStyle w:val="Emphasis"/>
          <w:rFonts w:ascii="Century Gothic" w:hAnsi="Century Gothic"/>
          <w:color w:val="17365D" w:themeColor="text2" w:themeShade="BF"/>
          <w:sz w:val="28"/>
          <w:szCs w:val="28"/>
        </w:rPr>
      </w:pPr>
    </w:p>
    <w:p w14:paraId="741AA673" w14:textId="42585898" w:rsidR="00093C2F" w:rsidRDefault="00C75974" w:rsidP="00C55377">
      <w:pPr>
        <w:jc w:val="center"/>
        <w:rPr>
          <w:noProof/>
          <w:sz w:val="36"/>
          <w:szCs w:val="36"/>
          <w:lang w:eastAsia="en-AU"/>
        </w:rPr>
      </w:pPr>
      <w:bookmarkStart w:id="16" w:name="_GoBack"/>
      <w:r>
        <w:rPr>
          <w:noProof/>
          <w:sz w:val="36"/>
          <w:szCs w:val="36"/>
          <w:lang w:eastAsia="en-AU"/>
        </w:rPr>
        <w:drawing>
          <wp:inline distT="0" distB="0" distL="0" distR="0" wp14:anchorId="524B95FC" wp14:editId="2ED42583">
            <wp:extent cx="5727700" cy="3818255"/>
            <wp:effectExtent l="0" t="0" r="6350" b="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IMG_4103.JPG"/>
                    <pic:cNvPicPr/>
                  </pic:nvPicPr>
                  <pic:blipFill>
                    <a:blip r:embed="rId8" cstate="screen">
                      <a:extLst>
                        <a:ext uri="{28A0092B-C50C-407E-A947-70E740481C1C}">
                          <a14:useLocalDpi xmlns:a14="http://schemas.microsoft.com/office/drawing/2010/main"/>
                        </a:ext>
                      </a:extLst>
                    </a:blip>
                    <a:stretch>
                      <a:fillRect/>
                    </a:stretch>
                  </pic:blipFill>
                  <pic:spPr>
                    <a:xfrm>
                      <a:off x="0" y="0"/>
                      <a:ext cx="5727700" cy="3818255"/>
                    </a:xfrm>
                    <a:prstGeom prst="rect">
                      <a:avLst/>
                    </a:prstGeom>
                  </pic:spPr>
                </pic:pic>
              </a:graphicData>
            </a:graphic>
          </wp:inline>
        </w:drawing>
      </w:r>
      <w:bookmarkEnd w:id="16"/>
    </w:p>
    <w:p w14:paraId="7B4F8311" w14:textId="20ECA531" w:rsidR="00093C2F" w:rsidRDefault="00093C2F" w:rsidP="00C55377">
      <w:pPr>
        <w:jc w:val="center"/>
        <w:rPr>
          <w:noProof/>
          <w:sz w:val="36"/>
          <w:szCs w:val="36"/>
          <w:lang w:eastAsia="en-AU"/>
        </w:rPr>
      </w:pPr>
    </w:p>
    <w:p w14:paraId="7204E59F" w14:textId="7F202312" w:rsidR="00093C2F" w:rsidRDefault="00093C2F" w:rsidP="00C55377">
      <w:pPr>
        <w:jc w:val="center"/>
        <w:rPr>
          <w:noProof/>
          <w:sz w:val="36"/>
          <w:szCs w:val="36"/>
          <w:lang w:eastAsia="en-AU"/>
        </w:rPr>
      </w:pPr>
    </w:p>
    <w:p w14:paraId="0EEE53F1" w14:textId="77777777" w:rsidR="00093C2F" w:rsidRDefault="00093C2F" w:rsidP="00C55377">
      <w:pPr>
        <w:jc w:val="center"/>
        <w:rPr>
          <w:sz w:val="36"/>
          <w:szCs w:val="36"/>
        </w:rPr>
      </w:pPr>
    </w:p>
    <w:p w14:paraId="6A2FF9EB" w14:textId="77777777" w:rsidR="00C55377" w:rsidRDefault="00C55377" w:rsidP="00C55377"/>
    <w:p w14:paraId="4D938D7A" w14:textId="588346C5" w:rsidR="00C55377" w:rsidRDefault="005E3D73" w:rsidP="00C55377">
      <w:pPr>
        <w:jc w:val="center"/>
        <w:sectPr w:rsidR="00C55377" w:rsidSect="003F6444">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708" w:footer="708" w:gutter="0"/>
          <w:pgNumType w:fmt="lowerRoman" w:start="1"/>
          <w:cols w:space="708"/>
          <w:titlePg/>
          <w:docGrid w:linePitch="360"/>
        </w:sectPr>
      </w:pPr>
      <w:r>
        <w:rPr>
          <w:i/>
          <w:color w:val="17365D" w:themeColor="text2" w:themeShade="BF"/>
          <w:sz w:val="36"/>
          <w:szCs w:val="36"/>
        </w:rPr>
        <w:t>October</w:t>
      </w:r>
      <w:r w:rsidR="00C55377" w:rsidRPr="00153CEC">
        <w:rPr>
          <w:i/>
          <w:color w:val="17365D" w:themeColor="text2" w:themeShade="BF"/>
          <w:sz w:val="36"/>
          <w:szCs w:val="36"/>
        </w:rPr>
        <w:t xml:space="preserve"> 201</w:t>
      </w:r>
      <w:r w:rsidR="00C55377">
        <w:rPr>
          <w:i/>
          <w:color w:val="17365D" w:themeColor="text2" w:themeShade="BF"/>
          <w:sz w:val="36"/>
          <w:szCs w:val="36"/>
        </w:rPr>
        <w:t>9</w:t>
      </w:r>
    </w:p>
    <w:p w14:paraId="268DB2A5" w14:textId="4B2E2A4C" w:rsidR="00C55377" w:rsidRPr="00D26DA3" w:rsidRDefault="00C55377" w:rsidP="00C55377">
      <w:pPr>
        <w:spacing w:before="120" w:after="120" w:line="360" w:lineRule="auto"/>
        <w:rPr>
          <w:rFonts w:ascii="Century Gothic" w:eastAsiaTheme="minorHAnsi" w:hAnsi="Century Gothic"/>
          <w:color w:val="auto"/>
          <w:kern w:val="0"/>
          <w:sz w:val="18"/>
          <w:szCs w:val="18"/>
          <w:lang w:eastAsia="en-AU"/>
        </w:rPr>
      </w:pPr>
      <w:r w:rsidRPr="00276B5B">
        <w:rPr>
          <w:rFonts w:ascii="Century Gothic" w:eastAsiaTheme="minorHAnsi" w:hAnsi="Century Gothic"/>
          <w:color w:val="auto"/>
          <w:kern w:val="0"/>
          <w:sz w:val="18"/>
          <w:szCs w:val="18"/>
          <w:lang w:eastAsia="en-AU"/>
        </w:rPr>
        <w:lastRenderedPageBreak/>
        <w:t>This project was commissioned and funded by Commonwealth Environmental Water Office (</w:t>
      </w:r>
      <w:r w:rsidRPr="00B407A2">
        <w:rPr>
          <w:rFonts w:ascii="Century Gothic" w:eastAsiaTheme="minorHAnsi" w:hAnsi="Century Gothic"/>
          <w:color w:val="auto"/>
          <w:kern w:val="0"/>
          <w:sz w:val="18"/>
          <w:szCs w:val="18"/>
          <w:lang w:eastAsia="en-AU"/>
        </w:rPr>
        <w:t>CEWO) with additional in-kind support from South Australian Research and Development Institute (SARDI) and South Australian Department for Environment and Water (DEW). The</w:t>
      </w:r>
      <w:r w:rsidRPr="00276B5B">
        <w:rPr>
          <w:rFonts w:ascii="Century Gothic" w:eastAsiaTheme="minorHAnsi" w:hAnsi="Century Gothic"/>
          <w:color w:val="auto"/>
          <w:kern w:val="0"/>
          <w:sz w:val="18"/>
          <w:szCs w:val="18"/>
          <w:lang w:eastAsia="en-AU"/>
        </w:rPr>
        <w:t xml:space="preserve"> authors of this report as well as the CEWO respectfully acknowledge the traditional owners of Country in the Murray-Darling Basin, their Elders past and present, their Nations, and their cultural, social, environmental, spiritual and economic connection to their lands and waters. In particular, the Ngarrindjeri Nation and the First Peoples of the River Murray and Mallee as traditional owners of the land and water on which this publication is focused.</w:t>
      </w:r>
    </w:p>
    <w:p w14:paraId="250B27E7" w14:textId="77777777" w:rsidR="00C55377" w:rsidRDefault="00C55377" w:rsidP="00C55377">
      <w:pPr>
        <w:spacing w:before="120" w:after="120" w:line="360" w:lineRule="auto"/>
        <w:rPr>
          <w:rFonts w:ascii="Century Gothic" w:eastAsiaTheme="minorHAnsi" w:hAnsi="Century Gothic"/>
          <w:b/>
          <w:bCs/>
          <w:color w:val="auto"/>
          <w:kern w:val="0"/>
          <w:sz w:val="18"/>
          <w:szCs w:val="18"/>
          <w:lang w:eastAsia="en-AU"/>
        </w:rPr>
      </w:pPr>
    </w:p>
    <w:p w14:paraId="38069918" w14:textId="77777777" w:rsidR="00C55377" w:rsidRPr="00EC26E4" w:rsidRDefault="00C55377" w:rsidP="00C55377">
      <w:pPr>
        <w:spacing w:before="120" w:after="120" w:line="360" w:lineRule="auto"/>
        <w:rPr>
          <w:rFonts w:ascii="Century Gothic" w:eastAsiaTheme="minorHAnsi" w:hAnsi="Century Gothic"/>
          <w:b/>
          <w:bCs/>
          <w:color w:val="auto"/>
          <w:kern w:val="0"/>
          <w:sz w:val="18"/>
          <w:szCs w:val="18"/>
          <w:lang w:eastAsia="en-AU"/>
        </w:rPr>
      </w:pPr>
      <w:r w:rsidRPr="00EC26E4">
        <w:rPr>
          <w:rFonts w:ascii="Century Gothic" w:eastAsiaTheme="minorHAnsi" w:hAnsi="Century Gothic"/>
          <w:b/>
          <w:bCs/>
          <w:color w:val="auto"/>
          <w:kern w:val="0"/>
          <w:sz w:val="18"/>
          <w:szCs w:val="18"/>
          <w:lang w:eastAsia="en-AU"/>
        </w:rPr>
        <w:t>Disclaimer</w:t>
      </w:r>
    </w:p>
    <w:p w14:paraId="702BEED4" w14:textId="77777777" w:rsidR="00C55377" w:rsidRPr="00EC26E4" w:rsidRDefault="00C55377" w:rsidP="00C55377">
      <w:pPr>
        <w:spacing w:before="120" w:after="120" w:line="360" w:lineRule="auto"/>
        <w:rPr>
          <w:rFonts w:ascii="Century Gothic" w:eastAsiaTheme="minorHAnsi" w:hAnsi="Century Gothic"/>
          <w:bCs/>
          <w:color w:val="auto"/>
          <w:kern w:val="0"/>
          <w:sz w:val="18"/>
          <w:szCs w:val="18"/>
          <w:lang w:eastAsia="en-AU"/>
        </w:rPr>
      </w:pPr>
      <w:r w:rsidRPr="00EC26E4">
        <w:rPr>
          <w:rFonts w:ascii="Century Gothic" w:eastAsiaTheme="minorHAnsi" w:hAnsi="Century Gothic"/>
          <w:bCs/>
          <w:color w:val="auto"/>
          <w:kern w:val="0"/>
          <w:sz w:val="18"/>
          <w:szCs w:val="18"/>
          <w:lang w:eastAsia="en-AU"/>
        </w:rPr>
        <w:t xml:space="preserve">The views and opinions expressed in this publication are those of the authors and do not necessarily reflect those of the Australian Government or the Minister for the Environment.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 </w:t>
      </w:r>
    </w:p>
    <w:p w14:paraId="6076354C" w14:textId="77777777" w:rsidR="00C55377" w:rsidRDefault="00C55377" w:rsidP="00C55377">
      <w:pPr>
        <w:spacing w:before="120" w:after="120" w:line="360" w:lineRule="auto"/>
        <w:rPr>
          <w:rFonts w:ascii="Century Gothic" w:eastAsiaTheme="minorHAnsi" w:hAnsi="Century Gothic"/>
          <w:b/>
          <w:bCs/>
          <w:color w:val="auto"/>
          <w:kern w:val="0"/>
          <w:sz w:val="18"/>
          <w:szCs w:val="18"/>
          <w:lang w:eastAsia="en-AU"/>
        </w:rPr>
      </w:pPr>
      <w:r w:rsidRPr="00D26DA3">
        <w:rPr>
          <w:rFonts w:ascii="Century Gothic" w:eastAsiaTheme="minorHAnsi" w:hAnsi="Century Gothic"/>
          <w:noProof/>
          <w:color w:val="auto"/>
          <w:kern w:val="0"/>
          <w:sz w:val="18"/>
          <w:szCs w:val="18"/>
          <w:lang w:eastAsia="en-AU"/>
        </w:rPr>
        <w:drawing>
          <wp:inline distT="0" distB="0" distL="0" distR="0" wp14:anchorId="2A0BB944" wp14:editId="1ECF423E">
            <wp:extent cx="1809750" cy="628650"/>
            <wp:effectExtent l="19050" t="0" r="0" b="0"/>
            <wp:docPr id="8" name="Picture 28"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15" r:link="rId16" cstate="print">
                      <a:extLst>
                        <a:ext uri="{28A0092B-C50C-407E-A947-70E740481C1C}">
                          <a14:useLocalDpi xmlns:a14="http://schemas.microsoft.com/office/drawing/2010/main"/>
                        </a:ext>
                      </a:extLst>
                    </a:blip>
                    <a:srcRect/>
                    <a:stretch>
                      <a:fillRect/>
                    </a:stretch>
                  </pic:blipFill>
                  <pic:spPr bwMode="auto">
                    <a:xfrm>
                      <a:off x="0" y="0"/>
                      <a:ext cx="1809750" cy="628650"/>
                    </a:xfrm>
                    <a:prstGeom prst="rect">
                      <a:avLst/>
                    </a:prstGeom>
                    <a:noFill/>
                    <a:ln w="9525">
                      <a:noFill/>
                      <a:miter lim="800000"/>
                      <a:headEnd/>
                      <a:tailEnd/>
                    </a:ln>
                  </pic:spPr>
                </pic:pic>
              </a:graphicData>
            </a:graphic>
          </wp:inline>
        </w:drawing>
      </w:r>
      <w:r w:rsidRPr="00EC26E4">
        <w:rPr>
          <w:rFonts w:ascii="Century Gothic" w:eastAsiaTheme="minorHAnsi" w:hAnsi="Century Gothic"/>
          <w:b/>
          <w:bCs/>
          <w:color w:val="auto"/>
          <w:kern w:val="0"/>
          <w:sz w:val="18"/>
          <w:szCs w:val="18"/>
          <w:lang w:eastAsia="en-AU"/>
        </w:rPr>
        <w:t xml:space="preserve">   © Copyright Commonwealth of Australia, 2019</w:t>
      </w:r>
    </w:p>
    <w:p w14:paraId="31E78F3C" w14:textId="77777777" w:rsidR="00C55377" w:rsidRDefault="00C55377" w:rsidP="00C55377">
      <w:pPr>
        <w:spacing w:before="120" w:after="120" w:line="360" w:lineRule="auto"/>
        <w:rPr>
          <w:rFonts w:ascii="Century Gothic" w:eastAsiaTheme="minorHAnsi" w:hAnsi="Century Gothic"/>
          <w:color w:val="auto"/>
          <w:kern w:val="0"/>
          <w:sz w:val="18"/>
          <w:szCs w:val="18"/>
          <w:lang w:eastAsia="en-AU"/>
        </w:rPr>
      </w:pPr>
    </w:p>
    <w:p w14:paraId="1B6EB67C" w14:textId="6DBC628E" w:rsidR="00C55377" w:rsidRPr="00D26DA3" w:rsidRDefault="00C55377" w:rsidP="00C55377">
      <w:pPr>
        <w:spacing w:line="360" w:lineRule="auto"/>
        <w:rPr>
          <w:rFonts w:ascii="Century Gothic" w:eastAsiaTheme="minorHAnsi" w:hAnsi="Century Gothic"/>
          <w:color w:val="auto"/>
          <w:kern w:val="0"/>
          <w:sz w:val="18"/>
          <w:szCs w:val="18"/>
          <w:lang w:eastAsia="en-AU"/>
        </w:rPr>
      </w:pPr>
      <w:r>
        <w:rPr>
          <w:rFonts w:ascii="Century Gothic" w:hAnsi="Century Gothic" w:cs="Calibri"/>
          <w:color w:val="auto"/>
          <w:sz w:val="18"/>
          <w:szCs w:val="18"/>
        </w:rPr>
        <w:t>The ‘</w:t>
      </w:r>
      <w:r w:rsidRPr="00EC26E4">
        <w:rPr>
          <w:rFonts w:ascii="Century Gothic" w:hAnsi="Century Gothic" w:cs="Calibri"/>
          <w:color w:val="auto"/>
          <w:sz w:val="18"/>
          <w:szCs w:val="18"/>
        </w:rPr>
        <w:t>Commonwe</w:t>
      </w:r>
      <w:r>
        <w:rPr>
          <w:rFonts w:ascii="Century Gothic" w:hAnsi="Century Gothic" w:cs="Calibri"/>
          <w:color w:val="auto"/>
          <w:sz w:val="18"/>
          <w:szCs w:val="18"/>
        </w:rPr>
        <w:t xml:space="preserve">alth Environmental Water Office: </w:t>
      </w:r>
      <w:r w:rsidRPr="00EC26E4">
        <w:rPr>
          <w:rFonts w:ascii="Century Gothic" w:hAnsi="Century Gothic" w:cs="Calibri"/>
          <w:color w:val="auto"/>
          <w:sz w:val="18"/>
          <w:szCs w:val="18"/>
        </w:rPr>
        <w:t>Lower Murray Monitoring, Evaluation and Research Plan (2019–2022)</w:t>
      </w:r>
      <w:r>
        <w:rPr>
          <w:rFonts w:ascii="Century Gothic" w:hAnsi="Century Gothic" w:cs="Calibri"/>
          <w:color w:val="auto"/>
          <w:sz w:val="18"/>
          <w:szCs w:val="18"/>
        </w:rPr>
        <w:t xml:space="preserve">’ </w:t>
      </w:r>
      <w:r w:rsidRPr="00D26DA3">
        <w:rPr>
          <w:rFonts w:ascii="Century Gothic" w:eastAsiaTheme="minorHAnsi" w:hAnsi="Century Gothic"/>
          <w:color w:val="auto"/>
          <w:kern w:val="0"/>
          <w:sz w:val="18"/>
          <w:szCs w:val="18"/>
          <w:lang w:eastAsia="en-AU"/>
        </w:rPr>
        <w:t xml:space="preserve">is </w:t>
      </w:r>
      <w:r w:rsidRPr="00EC26E4">
        <w:rPr>
          <w:rFonts w:ascii="Century Gothic" w:eastAsiaTheme="minorHAnsi" w:hAnsi="Century Gothic"/>
          <w:color w:val="auto"/>
          <w:kern w:val="0"/>
          <w:sz w:val="18"/>
          <w:szCs w:val="18"/>
          <w:lang w:eastAsia="en-AU"/>
        </w:rPr>
        <w:t xml:space="preserve">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7" w:history="1">
        <w:r w:rsidRPr="003C529E">
          <w:rPr>
            <w:rStyle w:val="Hyperlink"/>
            <w:rFonts w:ascii="Century Gothic" w:eastAsiaTheme="minorHAnsi" w:hAnsi="Century Gothic"/>
            <w:kern w:val="0"/>
            <w:sz w:val="18"/>
            <w:szCs w:val="18"/>
            <w:lang w:eastAsia="en-AU"/>
          </w:rPr>
          <w:t>http://creativecommons.org/licenses/by/3.0/au/</w:t>
        </w:r>
      </w:hyperlink>
    </w:p>
    <w:p w14:paraId="5BE6F436" w14:textId="6F1DCFBA" w:rsidR="0080273D" w:rsidRPr="00C55377" w:rsidRDefault="00C55377" w:rsidP="00C55377">
      <w:pPr>
        <w:spacing w:before="120" w:after="120" w:line="360" w:lineRule="auto"/>
        <w:rPr>
          <w:rFonts w:ascii="Century Gothic" w:eastAsiaTheme="minorHAnsi" w:hAnsi="Century Gothic"/>
          <w:color w:val="auto"/>
          <w:kern w:val="0"/>
          <w:sz w:val="18"/>
          <w:szCs w:val="18"/>
          <w:lang w:eastAsia="en-AU"/>
        </w:rPr>
      </w:pPr>
      <w:r w:rsidRPr="00D26DA3">
        <w:rPr>
          <w:rFonts w:ascii="Century Gothic" w:eastAsiaTheme="minorHAnsi" w:hAnsi="Century Gothic"/>
          <w:color w:val="auto"/>
          <w:kern w:val="0"/>
          <w:sz w:val="18"/>
          <w:szCs w:val="18"/>
          <w:lang w:eastAsia="en-AU"/>
        </w:rPr>
        <w:t>This report should be attributed as ‘</w:t>
      </w:r>
      <w:r w:rsidRPr="00EC26E4">
        <w:rPr>
          <w:rFonts w:ascii="Century Gothic" w:hAnsi="Century Gothic" w:cs="Calibri"/>
          <w:color w:val="auto"/>
          <w:sz w:val="18"/>
          <w:szCs w:val="18"/>
        </w:rPr>
        <w:t>Commonwealth Environmental Water Office: Lower Murray Monitoring, Evaluation and Research Plan (2019–2022)</w:t>
      </w:r>
      <w:r w:rsidRPr="00D26DA3">
        <w:rPr>
          <w:rFonts w:ascii="Century Gothic" w:eastAsiaTheme="minorHAnsi" w:hAnsi="Century Gothic"/>
          <w:color w:val="auto"/>
          <w:kern w:val="0"/>
          <w:sz w:val="18"/>
          <w:szCs w:val="18"/>
          <w:lang w:eastAsia="en-AU"/>
        </w:rPr>
        <w:t xml:space="preserve">, Commonwealth of Australia </w:t>
      </w:r>
      <w:r>
        <w:rPr>
          <w:rFonts w:ascii="Century Gothic" w:eastAsiaTheme="minorHAnsi" w:hAnsi="Century Gothic"/>
          <w:color w:val="auto"/>
          <w:kern w:val="0"/>
          <w:sz w:val="18"/>
          <w:szCs w:val="18"/>
          <w:lang w:eastAsia="en-AU"/>
        </w:rPr>
        <w:t>2019</w:t>
      </w:r>
      <w:r w:rsidRPr="00D26DA3">
        <w:rPr>
          <w:rFonts w:ascii="Century Gothic" w:eastAsiaTheme="minorHAnsi" w:hAnsi="Century Gothic"/>
          <w:color w:val="auto"/>
          <w:kern w:val="0"/>
          <w:sz w:val="18"/>
          <w:szCs w:val="18"/>
          <w:lang w:eastAsia="en-AU"/>
        </w:rPr>
        <w:t>’.</w:t>
      </w:r>
    </w:p>
    <w:p w14:paraId="4633B201" w14:textId="77777777" w:rsidR="0080273D" w:rsidRDefault="0080273D" w:rsidP="0080273D">
      <w:pPr>
        <w:spacing w:after="200" w:line="276" w:lineRule="auto"/>
        <w:rPr>
          <w:rFonts w:cs="Arial"/>
          <w:b/>
          <w:bCs/>
          <w:spacing w:val="40"/>
          <w:sz w:val="32"/>
          <w:szCs w:val="32"/>
          <w:lang w:eastAsia="en-AU"/>
        </w:rPr>
      </w:pPr>
      <w:r>
        <w:br w:type="page"/>
      </w:r>
    </w:p>
    <w:p w14:paraId="4840A9E7" w14:textId="77777777" w:rsidR="0074301A" w:rsidRPr="00D57E19" w:rsidRDefault="0074301A" w:rsidP="003E13C8">
      <w:pPr>
        <w:pStyle w:val="Heading1"/>
        <w:numPr>
          <w:ilvl w:val="0"/>
          <w:numId w:val="0"/>
        </w:numPr>
        <w:ind w:left="851" w:hanging="851"/>
      </w:pPr>
      <w:bookmarkStart w:id="17" w:name="_Toc22196675"/>
      <w:r w:rsidRPr="00D65504">
        <w:lastRenderedPageBreak/>
        <w:t>Contents</w:t>
      </w:r>
      <w:bookmarkEnd w:id="17"/>
    </w:p>
    <w:p w14:paraId="53E0B75A" w14:textId="77777777" w:rsidR="008A0F6D" w:rsidRDefault="00A91A89">
      <w:pPr>
        <w:pStyle w:val="TOC1"/>
        <w:tabs>
          <w:tab w:val="right" w:leader="dot" w:pos="9010"/>
        </w:tabs>
        <w:rPr>
          <w:rFonts w:asciiTheme="minorHAnsi" w:eastAsiaTheme="minorEastAsia" w:hAnsiTheme="minorHAnsi" w:cstheme="minorBidi"/>
          <w:b w:val="0"/>
          <w:noProof/>
          <w:color w:val="auto"/>
          <w:kern w:val="0"/>
          <w:sz w:val="22"/>
          <w:szCs w:val="22"/>
          <w:lang w:eastAsia="en-AU"/>
        </w:rPr>
      </w:pPr>
      <w:r>
        <w:rPr>
          <w:rFonts w:cs="Arial"/>
          <w:b w:val="0"/>
          <w:i/>
          <w:szCs w:val="22"/>
        </w:rPr>
        <w:fldChar w:fldCharType="begin"/>
      </w:r>
      <w:r>
        <w:rPr>
          <w:rFonts w:cs="Arial"/>
          <w:b w:val="0"/>
          <w:i/>
          <w:szCs w:val="22"/>
        </w:rPr>
        <w:instrText xml:space="preserve"> TOC \o "1-1" \h \z \t "Heading 2,2,Heading 3,3,H2a not inc. in TOC,2,H2 not numbered in TOC,2,Heading2 NotNumbered,2" </w:instrText>
      </w:r>
      <w:r>
        <w:rPr>
          <w:rFonts w:cs="Arial"/>
          <w:b w:val="0"/>
          <w:i/>
          <w:szCs w:val="22"/>
        </w:rPr>
        <w:fldChar w:fldCharType="separate"/>
      </w:r>
      <w:hyperlink w:anchor="_Toc22196675" w:history="1">
        <w:r w:rsidR="008A0F6D" w:rsidRPr="003A444B">
          <w:rPr>
            <w:rStyle w:val="Hyperlink"/>
            <w:noProof/>
          </w:rPr>
          <w:t>Contents</w:t>
        </w:r>
        <w:r w:rsidR="008A0F6D">
          <w:rPr>
            <w:noProof/>
            <w:webHidden/>
          </w:rPr>
          <w:tab/>
        </w:r>
        <w:r w:rsidR="008A0F6D">
          <w:rPr>
            <w:noProof/>
            <w:webHidden/>
          </w:rPr>
          <w:fldChar w:fldCharType="begin"/>
        </w:r>
        <w:r w:rsidR="008A0F6D">
          <w:rPr>
            <w:noProof/>
            <w:webHidden/>
          </w:rPr>
          <w:instrText xml:space="preserve"> PAGEREF _Toc22196675 \h </w:instrText>
        </w:r>
        <w:r w:rsidR="008A0F6D">
          <w:rPr>
            <w:noProof/>
            <w:webHidden/>
          </w:rPr>
        </w:r>
        <w:r w:rsidR="008A0F6D">
          <w:rPr>
            <w:noProof/>
            <w:webHidden/>
          </w:rPr>
          <w:fldChar w:fldCharType="separate"/>
        </w:r>
        <w:r w:rsidR="008A0F6D">
          <w:rPr>
            <w:noProof/>
            <w:webHidden/>
          </w:rPr>
          <w:t>ii</w:t>
        </w:r>
        <w:r w:rsidR="008A0F6D">
          <w:rPr>
            <w:noProof/>
            <w:webHidden/>
          </w:rPr>
          <w:fldChar w:fldCharType="end"/>
        </w:r>
      </w:hyperlink>
    </w:p>
    <w:p w14:paraId="6EE6E803" w14:textId="77777777" w:rsidR="008A0F6D" w:rsidRDefault="00064EC9">
      <w:pPr>
        <w:pStyle w:val="TOC1"/>
        <w:tabs>
          <w:tab w:val="right" w:leader="dot" w:pos="9010"/>
        </w:tabs>
        <w:rPr>
          <w:rFonts w:asciiTheme="minorHAnsi" w:eastAsiaTheme="minorEastAsia" w:hAnsiTheme="minorHAnsi" w:cstheme="minorBidi"/>
          <w:b w:val="0"/>
          <w:noProof/>
          <w:color w:val="auto"/>
          <w:kern w:val="0"/>
          <w:sz w:val="22"/>
          <w:szCs w:val="22"/>
          <w:lang w:eastAsia="en-AU"/>
        </w:rPr>
      </w:pPr>
      <w:hyperlink w:anchor="_Toc22196676" w:history="1">
        <w:r w:rsidR="008A0F6D" w:rsidRPr="003A444B">
          <w:rPr>
            <w:rStyle w:val="Hyperlink"/>
            <w:noProof/>
          </w:rPr>
          <w:t>List of figures</w:t>
        </w:r>
        <w:r w:rsidR="008A0F6D">
          <w:rPr>
            <w:noProof/>
            <w:webHidden/>
          </w:rPr>
          <w:tab/>
        </w:r>
        <w:r w:rsidR="008A0F6D">
          <w:rPr>
            <w:noProof/>
            <w:webHidden/>
          </w:rPr>
          <w:fldChar w:fldCharType="begin"/>
        </w:r>
        <w:r w:rsidR="008A0F6D">
          <w:rPr>
            <w:noProof/>
            <w:webHidden/>
          </w:rPr>
          <w:instrText xml:space="preserve"> PAGEREF _Toc22196676 \h </w:instrText>
        </w:r>
        <w:r w:rsidR="008A0F6D">
          <w:rPr>
            <w:noProof/>
            <w:webHidden/>
          </w:rPr>
        </w:r>
        <w:r w:rsidR="008A0F6D">
          <w:rPr>
            <w:noProof/>
            <w:webHidden/>
          </w:rPr>
          <w:fldChar w:fldCharType="separate"/>
        </w:r>
        <w:r w:rsidR="008A0F6D">
          <w:rPr>
            <w:noProof/>
            <w:webHidden/>
          </w:rPr>
          <w:t>ix</w:t>
        </w:r>
        <w:r w:rsidR="008A0F6D">
          <w:rPr>
            <w:noProof/>
            <w:webHidden/>
          </w:rPr>
          <w:fldChar w:fldCharType="end"/>
        </w:r>
      </w:hyperlink>
    </w:p>
    <w:p w14:paraId="2B5F9FA5" w14:textId="77777777" w:rsidR="008A0F6D" w:rsidRDefault="00064EC9">
      <w:pPr>
        <w:pStyle w:val="TOC1"/>
        <w:tabs>
          <w:tab w:val="right" w:leader="dot" w:pos="9010"/>
        </w:tabs>
        <w:rPr>
          <w:rFonts w:asciiTheme="minorHAnsi" w:eastAsiaTheme="minorEastAsia" w:hAnsiTheme="minorHAnsi" w:cstheme="minorBidi"/>
          <w:b w:val="0"/>
          <w:noProof/>
          <w:color w:val="auto"/>
          <w:kern w:val="0"/>
          <w:sz w:val="22"/>
          <w:szCs w:val="22"/>
          <w:lang w:eastAsia="en-AU"/>
        </w:rPr>
      </w:pPr>
      <w:hyperlink w:anchor="_Toc22196677" w:history="1">
        <w:r w:rsidR="008A0F6D" w:rsidRPr="003A444B">
          <w:rPr>
            <w:rStyle w:val="Hyperlink"/>
            <w:noProof/>
          </w:rPr>
          <w:t>List of tables</w:t>
        </w:r>
        <w:r w:rsidR="008A0F6D">
          <w:rPr>
            <w:noProof/>
            <w:webHidden/>
          </w:rPr>
          <w:tab/>
        </w:r>
        <w:r w:rsidR="008A0F6D">
          <w:rPr>
            <w:noProof/>
            <w:webHidden/>
          </w:rPr>
          <w:fldChar w:fldCharType="begin"/>
        </w:r>
        <w:r w:rsidR="008A0F6D">
          <w:rPr>
            <w:noProof/>
            <w:webHidden/>
          </w:rPr>
          <w:instrText xml:space="preserve"> PAGEREF _Toc22196677 \h </w:instrText>
        </w:r>
        <w:r w:rsidR="008A0F6D">
          <w:rPr>
            <w:noProof/>
            <w:webHidden/>
          </w:rPr>
        </w:r>
        <w:r w:rsidR="008A0F6D">
          <w:rPr>
            <w:noProof/>
            <w:webHidden/>
          </w:rPr>
          <w:fldChar w:fldCharType="separate"/>
        </w:r>
        <w:r w:rsidR="008A0F6D">
          <w:rPr>
            <w:noProof/>
            <w:webHidden/>
          </w:rPr>
          <w:t>x</w:t>
        </w:r>
        <w:r w:rsidR="008A0F6D">
          <w:rPr>
            <w:noProof/>
            <w:webHidden/>
          </w:rPr>
          <w:fldChar w:fldCharType="end"/>
        </w:r>
      </w:hyperlink>
    </w:p>
    <w:p w14:paraId="0E7C4DCB" w14:textId="77777777" w:rsidR="008A0F6D" w:rsidRDefault="00064EC9">
      <w:pPr>
        <w:pStyle w:val="TOC1"/>
        <w:tabs>
          <w:tab w:val="right" w:leader="dot" w:pos="9010"/>
        </w:tabs>
        <w:rPr>
          <w:rFonts w:asciiTheme="minorHAnsi" w:eastAsiaTheme="minorEastAsia" w:hAnsiTheme="minorHAnsi" w:cstheme="minorBidi"/>
          <w:b w:val="0"/>
          <w:noProof/>
          <w:color w:val="auto"/>
          <w:kern w:val="0"/>
          <w:sz w:val="22"/>
          <w:szCs w:val="22"/>
          <w:lang w:eastAsia="en-AU"/>
        </w:rPr>
      </w:pPr>
      <w:hyperlink w:anchor="_Toc22196678" w:history="1">
        <w:r w:rsidR="008A0F6D" w:rsidRPr="003A444B">
          <w:rPr>
            <w:rStyle w:val="Hyperlink"/>
            <w:noProof/>
          </w:rPr>
          <w:t>Summary</w:t>
        </w:r>
        <w:r w:rsidR="008A0F6D">
          <w:rPr>
            <w:noProof/>
            <w:webHidden/>
          </w:rPr>
          <w:tab/>
        </w:r>
        <w:r w:rsidR="008A0F6D">
          <w:rPr>
            <w:noProof/>
            <w:webHidden/>
          </w:rPr>
          <w:fldChar w:fldCharType="begin"/>
        </w:r>
        <w:r w:rsidR="008A0F6D">
          <w:rPr>
            <w:noProof/>
            <w:webHidden/>
          </w:rPr>
          <w:instrText xml:space="preserve"> PAGEREF _Toc22196678 \h </w:instrText>
        </w:r>
        <w:r w:rsidR="008A0F6D">
          <w:rPr>
            <w:noProof/>
            <w:webHidden/>
          </w:rPr>
        </w:r>
        <w:r w:rsidR="008A0F6D">
          <w:rPr>
            <w:noProof/>
            <w:webHidden/>
          </w:rPr>
          <w:fldChar w:fldCharType="separate"/>
        </w:r>
        <w:r w:rsidR="008A0F6D">
          <w:rPr>
            <w:noProof/>
            <w:webHidden/>
          </w:rPr>
          <w:t>1</w:t>
        </w:r>
        <w:r w:rsidR="008A0F6D">
          <w:rPr>
            <w:noProof/>
            <w:webHidden/>
          </w:rPr>
          <w:fldChar w:fldCharType="end"/>
        </w:r>
      </w:hyperlink>
    </w:p>
    <w:p w14:paraId="51C117D9" w14:textId="77777777" w:rsidR="008A0F6D" w:rsidRDefault="00064EC9">
      <w:pPr>
        <w:pStyle w:val="TOC1"/>
        <w:tabs>
          <w:tab w:val="left" w:pos="660"/>
          <w:tab w:val="right" w:leader="dot" w:pos="9010"/>
        </w:tabs>
        <w:rPr>
          <w:rFonts w:asciiTheme="minorHAnsi" w:eastAsiaTheme="minorEastAsia" w:hAnsiTheme="minorHAnsi" w:cstheme="minorBidi"/>
          <w:b w:val="0"/>
          <w:noProof/>
          <w:color w:val="auto"/>
          <w:kern w:val="0"/>
          <w:sz w:val="22"/>
          <w:szCs w:val="22"/>
          <w:lang w:eastAsia="en-AU"/>
        </w:rPr>
      </w:pPr>
      <w:hyperlink w:anchor="_Toc22196679" w:history="1">
        <w:r w:rsidR="008A0F6D" w:rsidRPr="003A444B">
          <w:rPr>
            <w:rStyle w:val="Hyperlink"/>
            <w:noProof/>
          </w:rPr>
          <w:t>1</w:t>
        </w:r>
        <w:r w:rsidR="008A0F6D">
          <w:rPr>
            <w:rFonts w:asciiTheme="minorHAnsi" w:eastAsiaTheme="minorEastAsia" w:hAnsiTheme="minorHAnsi" w:cstheme="minorBidi"/>
            <w:b w:val="0"/>
            <w:noProof/>
            <w:color w:val="auto"/>
            <w:kern w:val="0"/>
            <w:sz w:val="22"/>
            <w:szCs w:val="22"/>
            <w:lang w:eastAsia="en-AU"/>
          </w:rPr>
          <w:tab/>
        </w:r>
        <w:r w:rsidR="008A0F6D" w:rsidRPr="003A444B">
          <w:rPr>
            <w:rStyle w:val="Hyperlink"/>
            <w:noProof/>
          </w:rPr>
          <w:t>Introduction</w:t>
        </w:r>
        <w:r w:rsidR="008A0F6D">
          <w:rPr>
            <w:noProof/>
            <w:webHidden/>
          </w:rPr>
          <w:tab/>
        </w:r>
        <w:r w:rsidR="008A0F6D">
          <w:rPr>
            <w:noProof/>
            <w:webHidden/>
          </w:rPr>
          <w:fldChar w:fldCharType="begin"/>
        </w:r>
        <w:r w:rsidR="008A0F6D">
          <w:rPr>
            <w:noProof/>
            <w:webHidden/>
          </w:rPr>
          <w:instrText xml:space="preserve"> PAGEREF _Toc22196679 \h </w:instrText>
        </w:r>
        <w:r w:rsidR="008A0F6D">
          <w:rPr>
            <w:noProof/>
            <w:webHidden/>
          </w:rPr>
        </w:r>
        <w:r w:rsidR="008A0F6D">
          <w:rPr>
            <w:noProof/>
            <w:webHidden/>
          </w:rPr>
          <w:fldChar w:fldCharType="separate"/>
        </w:r>
        <w:r w:rsidR="008A0F6D">
          <w:rPr>
            <w:noProof/>
            <w:webHidden/>
          </w:rPr>
          <w:t>2</w:t>
        </w:r>
        <w:r w:rsidR="008A0F6D">
          <w:rPr>
            <w:noProof/>
            <w:webHidden/>
          </w:rPr>
          <w:fldChar w:fldCharType="end"/>
        </w:r>
      </w:hyperlink>
    </w:p>
    <w:p w14:paraId="77BCB506" w14:textId="77777777" w:rsidR="008A0F6D" w:rsidRDefault="00064EC9">
      <w:pPr>
        <w:pStyle w:val="TOC2"/>
        <w:rPr>
          <w:rFonts w:asciiTheme="minorHAnsi" w:eastAsiaTheme="minorEastAsia" w:hAnsiTheme="minorHAnsi" w:cstheme="minorBidi"/>
          <w:color w:val="auto"/>
          <w:kern w:val="0"/>
          <w:sz w:val="22"/>
          <w:szCs w:val="22"/>
          <w:lang w:eastAsia="en-AU"/>
        </w:rPr>
      </w:pPr>
      <w:hyperlink w:anchor="_Toc22196680" w:history="1">
        <w:r w:rsidR="008A0F6D" w:rsidRPr="003A444B">
          <w:rPr>
            <w:rStyle w:val="Hyperlink"/>
          </w:rPr>
          <w:t>1.1</w:t>
        </w:r>
        <w:r w:rsidR="008A0F6D">
          <w:rPr>
            <w:rFonts w:asciiTheme="minorHAnsi" w:eastAsiaTheme="minorEastAsia" w:hAnsiTheme="minorHAnsi" w:cstheme="minorBidi"/>
            <w:color w:val="auto"/>
            <w:kern w:val="0"/>
            <w:sz w:val="22"/>
            <w:szCs w:val="22"/>
            <w:lang w:eastAsia="en-AU"/>
          </w:rPr>
          <w:tab/>
        </w:r>
        <w:r w:rsidR="008A0F6D" w:rsidRPr="003A444B">
          <w:rPr>
            <w:rStyle w:val="Hyperlink"/>
          </w:rPr>
          <w:t>The MER Plan</w:t>
        </w:r>
        <w:r w:rsidR="008A0F6D">
          <w:rPr>
            <w:webHidden/>
          </w:rPr>
          <w:tab/>
        </w:r>
        <w:r w:rsidR="008A0F6D">
          <w:rPr>
            <w:webHidden/>
          </w:rPr>
          <w:fldChar w:fldCharType="begin"/>
        </w:r>
        <w:r w:rsidR="008A0F6D">
          <w:rPr>
            <w:webHidden/>
          </w:rPr>
          <w:instrText xml:space="preserve"> PAGEREF _Toc22196680 \h </w:instrText>
        </w:r>
        <w:r w:rsidR="008A0F6D">
          <w:rPr>
            <w:webHidden/>
          </w:rPr>
        </w:r>
        <w:r w:rsidR="008A0F6D">
          <w:rPr>
            <w:webHidden/>
          </w:rPr>
          <w:fldChar w:fldCharType="separate"/>
        </w:r>
        <w:r w:rsidR="008A0F6D">
          <w:rPr>
            <w:webHidden/>
          </w:rPr>
          <w:t>2</w:t>
        </w:r>
        <w:r w:rsidR="008A0F6D">
          <w:rPr>
            <w:webHidden/>
          </w:rPr>
          <w:fldChar w:fldCharType="end"/>
        </w:r>
      </w:hyperlink>
    </w:p>
    <w:p w14:paraId="1D79952D" w14:textId="77777777" w:rsidR="008A0F6D" w:rsidRDefault="00064EC9">
      <w:pPr>
        <w:pStyle w:val="TOC1"/>
        <w:tabs>
          <w:tab w:val="left" w:pos="660"/>
          <w:tab w:val="right" w:leader="dot" w:pos="9010"/>
        </w:tabs>
        <w:rPr>
          <w:rFonts w:asciiTheme="minorHAnsi" w:eastAsiaTheme="minorEastAsia" w:hAnsiTheme="minorHAnsi" w:cstheme="minorBidi"/>
          <w:b w:val="0"/>
          <w:noProof/>
          <w:color w:val="auto"/>
          <w:kern w:val="0"/>
          <w:sz w:val="22"/>
          <w:szCs w:val="22"/>
          <w:lang w:eastAsia="en-AU"/>
        </w:rPr>
      </w:pPr>
      <w:hyperlink w:anchor="_Toc22196681" w:history="1">
        <w:r w:rsidR="008A0F6D" w:rsidRPr="003A444B">
          <w:rPr>
            <w:rStyle w:val="Hyperlink"/>
            <w:noProof/>
          </w:rPr>
          <w:t>2</w:t>
        </w:r>
        <w:r w:rsidR="008A0F6D">
          <w:rPr>
            <w:rFonts w:asciiTheme="minorHAnsi" w:eastAsiaTheme="minorEastAsia" w:hAnsiTheme="minorHAnsi" w:cstheme="minorBidi"/>
            <w:b w:val="0"/>
            <w:noProof/>
            <w:color w:val="auto"/>
            <w:kern w:val="0"/>
            <w:sz w:val="22"/>
            <w:szCs w:val="22"/>
            <w:lang w:eastAsia="en-AU"/>
          </w:rPr>
          <w:tab/>
        </w:r>
        <w:r w:rsidR="008A0F6D" w:rsidRPr="003A444B">
          <w:rPr>
            <w:rStyle w:val="Hyperlink"/>
            <w:noProof/>
          </w:rPr>
          <w:t>Lower Murray description</w:t>
        </w:r>
        <w:r w:rsidR="008A0F6D">
          <w:rPr>
            <w:noProof/>
            <w:webHidden/>
          </w:rPr>
          <w:tab/>
        </w:r>
        <w:r w:rsidR="008A0F6D">
          <w:rPr>
            <w:noProof/>
            <w:webHidden/>
          </w:rPr>
          <w:fldChar w:fldCharType="begin"/>
        </w:r>
        <w:r w:rsidR="008A0F6D">
          <w:rPr>
            <w:noProof/>
            <w:webHidden/>
          </w:rPr>
          <w:instrText xml:space="preserve"> PAGEREF _Toc22196681 \h </w:instrText>
        </w:r>
        <w:r w:rsidR="008A0F6D">
          <w:rPr>
            <w:noProof/>
            <w:webHidden/>
          </w:rPr>
        </w:r>
        <w:r w:rsidR="008A0F6D">
          <w:rPr>
            <w:noProof/>
            <w:webHidden/>
          </w:rPr>
          <w:fldChar w:fldCharType="separate"/>
        </w:r>
        <w:r w:rsidR="008A0F6D">
          <w:rPr>
            <w:noProof/>
            <w:webHidden/>
          </w:rPr>
          <w:t>4</w:t>
        </w:r>
        <w:r w:rsidR="008A0F6D">
          <w:rPr>
            <w:noProof/>
            <w:webHidden/>
          </w:rPr>
          <w:fldChar w:fldCharType="end"/>
        </w:r>
      </w:hyperlink>
    </w:p>
    <w:p w14:paraId="5C5CABB3" w14:textId="77777777" w:rsidR="008A0F6D" w:rsidRDefault="00064EC9">
      <w:pPr>
        <w:pStyle w:val="TOC2"/>
        <w:rPr>
          <w:rFonts w:asciiTheme="minorHAnsi" w:eastAsiaTheme="minorEastAsia" w:hAnsiTheme="minorHAnsi" w:cstheme="minorBidi"/>
          <w:color w:val="auto"/>
          <w:kern w:val="0"/>
          <w:sz w:val="22"/>
          <w:szCs w:val="22"/>
          <w:lang w:eastAsia="en-AU"/>
        </w:rPr>
      </w:pPr>
      <w:hyperlink w:anchor="_Toc22196682" w:history="1">
        <w:r w:rsidR="008A0F6D" w:rsidRPr="003A444B">
          <w:rPr>
            <w:rStyle w:val="Hyperlink"/>
          </w:rPr>
          <w:t>2.1</w:t>
        </w:r>
        <w:r w:rsidR="008A0F6D">
          <w:rPr>
            <w:rFonts w:asciiTheme="minorHAnsi" w:eastAsiaTheme="minorEastAsia" w:hAnsiTheme="minorHAnsi" w:cstheme="minorBidi"/>
            <w:color w:val="auto"/>
            <w:kern w:val="0"/>
            <w:sz w:val="22"/>
            <w:szCs w:val="22"/>
            <w:lang w:eastAsia="en-AU"/>
          </w:rPr>
          <w:tab/>
        </w:r>
        <w:r w:rsidR="008A0F6D" w:rsidRPr="003A444B">
          <w:rPr>
            <w:rStyle w:val="Hyperlink"/>
          </w:rPr>
          <w:t>The Floodplain zone</w:t>
        </w:r>
        <w:r w:rsidR="008A0F6D">
          <w:rPr>
            <w:webHidden/>
          </w:rPr>
          <w:tab/>
        </w:r>
        <w:r w:rsidR="008A0F6D">
          <w:rPr>
            <w:webHidden/>
          </w:rPr>
          <w:fldChar w:fldCharType="begin"/>
        </w:r>
        <w:r w:rsidR="008A0F6D">
          <w:rPr>
            <w:webHidden/>
          </w:rPr>
          <w:instrText xml:space="preserve"> PAGEREF _Toc22196682 \h </w:instrText>
        </w:r>
        <w:r w:rsidR="008A0F6D">
          <w:rPr>
            <w:webHidden/>
          </w:rPr>
        </w:r>
        <w:r w:rsidR="008A0F6D">
          <w:rPr>
            <w:webHidden/>
          </w:rPr>
          <w:fldChar w:fldCharType="separate"/>
        </w:r>
        <w:r w:rsidR="008A0F6D">
          <w:rPr>
            <w:webHidden/>
          </w:rPr>
          <w:t>4</w:t>
        </w:r>
        <w:r w:rsidR="008A0F6D">
          <w:rPr>
            <w:webHidden/>
          </w:rPr>
          <w:fldChar w:fldCharType="end"/>
        </w:r>
      </w:hyperlink>
    </w:p>
    <w:p w14:paraId="6A33CF63" w14:textId="77777777" w:rsidR="008A0F6D" w:rsidRDefault="00064EC9">
      <w:pPr>
        <w:pStyle w:val="TOC2"/>
        <w:rPr>
          <w:rFonts w:asciiTheme="minorHAnsi" w:eastAsiaTheme="minorEastAsia" w:hAnsiTheme="minorHAnsi" w:cstheme="minorBidi"/>
          <w:color w:val="auto"/>
          <w:kern w:val="0"/>
          <w:sz w:val="22"/>
          <w:szCs w:val="22"/>
          <w:lang w:eastAsia="en-AU"/>
        </w:rPr>
      </w:pPr>
      <w:hyperlink w:anchor="_Toc22196683" w:history="1">
        <w:r w:rsidR="008A0F6D" w:rsidRPr="003A444B">
          <w:rPr>
            <w:rStyle w:val="Hyperlink"/>
          </w:rPr>
          <w:t>2.2</w:t>
        </w:r>
        <w:r w:rsidR="008A0F6D">
          <w:rPr>
            <w:rFonts w:asciiTheme="minorHAnsi" w:eastAsiaTheme="minorEastAsia" w:hAnsiTheme="minorHAnsi" w:cstheme="minorBidi"/>
            <w:color w:val="auto"/>
            <w:kern w:val="0"/>
            <w:sz w:val="22"/>
            <w:szCs w:val="22"/>
            <w:lang w:eastAsia="en-AU"/>
          </w:rPr>
          <w:tab/>
        </w:r>
        <w:r w:rsidR="008A0F6D" w:rsidRPr="003A444B">
          <w:rPr>
            <w:rStyle w:val="Hyperlink"/>
          </w:rPr>
          <w:t>The Gorge zone</w:t>
        </w:r>
        <w:r w:rsidR="008A0F6D">
          <w:rPr>
            <w:webHidden/>
          </w:rPr>
          <w:tab/>
        </w:r>
        <w:r w:rsidR="008A0F6D">
          <w:rPr>
            <w:webHidden/>
          </w:rPr>
          <w:fldChar w:fldCharType="begin"/>
        </w:r>
        <w:r w:rsidR="008A0F6D">
          <w:rPr>
            <w:webHidden/>
          </w:rPr>
          <w:instrText xml:space="preserve"> PAGEREF _Toc22196683 \h </w:instrText>
        </w:r>
        <w:r w:rsidR="008A0F6D">
          <w:rPr>
            <w:webHidden/>
          </w:rPr>
        </w:r>
        <w:r w:rsidR="008A0F6D">
          <w:rPr>
            <w:webHidden/>
          </w:rPr>
          <w:fldChar w:fldCharType="separate"/>
        </w:r>
        <w:r w:rsidR="008A0F6D">
          <w:rPr>
            <w:webHidden/>
          </w:rPr>
          <w:t>4</w:t>
        </w:r>
        <w:r w:rsidR="008A0F6D">
          <w:rPr>
            <w:webHidden/>
          </w:rPr>
          <w:fldChar w:fldCharType="end"/>
        </w:r>
      </w:hyperlink>
    </w:p>
    <w:p w14:paraId="60A7EF3E" w14:textId="77777777" w:rsidR="008A0F6D" w:rsidRDefault="00064EC9">
      <w:pPr>
        <w:pStyle w:val="TOC2"/>
        <w:rPr>
          <w:rFonts w:asciiTheme="minorHAnsi" w:eastAsiaTheme="minorEastAsia" w:hAnsiTheme="minorHAnsi" w:cstheme="minorBidi"/>
          <w:color w:val="auto"/>
          <w:kern w:val="0"/>
          <w:sz w:val="22"/>
          <w:szCs w:val="22"/>
          <w:lang w:eastAsia="en-AU"/>
        </w:rPr>
      </w:pPr>
      <w:hyperlink w:anchor="_Toc22196684" w:history="1">
        <w:r w:rsidR="008A0F6D" w:rsidRPr="003A444B">
          <w:rPr>
            <w:rStyle w:val="Hyperlink"/>
          </w:rPr>
          <w:t>2.3</w:t>
        </w:r>
        <w:r w:rsidR="008A0F6D">
          <w:rPr>
            <w:rFonts w:asciiTheme="minorHAnsi" w:eastAsiaTheme="minorEastAsia" w:hAnsiTheme="minorHAnsi" w:cstheme="minorBidi"/>
            <w:color w:val="auto"/>
            <w:kern w:val="0"/>
            <w:sz w:val="22"/>
            <w:szCs w:val="22"/>
            <w:lang w:eastAsia="en-AU"/>
          </w:rPr>
          <w:tab/>
        </w:r>
        <w:r w:rsidR="008A0F6D" w:rsidRPr="003A444B">
          <w:rPr>
            <w:rStyle w:val="Hyperlink"/>
          </w:rPr>
          <w:t>The Swamplands zone</w:t>
        </w:r>
        <w:r w:rsidR="008A0F6D">
          <w:rPr>
            <w:webHidden/>
          </w:rPr>
          <w:tab/>
        </w:r>
        <w:r w:rsidR="008A0F6D">
          <w:rPr>
            <w:webHidden/>
          </w:rPr>
          <w:fldChar w:fldCharType="begin"/>
        </w:r>
        <w:r w:rsidR="008A0F6D">
          <w:rPr>
            <w:webHidden/>
          </w:rPr>
          <w:instrText xml:space="preserve"> PAGEREF _Toc22196684 \h </w:instrText>
        </w:r>
        <w:r w:rsidR="008A0F6D">
          <w:rPr>
            <w:webHidden/>
          </w:rPr>
        </w:r>
        <w:r w:rsidR="008A0F6D">
          <w:rPr>
            <w:webHidden/>
          </w:rPr>
          <w:fldChar w:fldCharType="separate"/>
        </w:r>
        <w:r w:rsidR="008A0F6D">
          <w:rPr>
            <w:webHidden/>
          </w:rPr>
          <w:t>5</w:t>
        </w:r>
        <w:r w:rsidR="008A0F6D">
          <w:rPr>
            <w:webHidden/>
          </w:rPr>
          <w:fldChar w:fldCharType="end"/>
        </w:r>
      </w:hyperlink>
    </w:p>
    <w:p w14:paraId="2591F50B" w14:textId="77777777" w:rsidR="008A0F6D" w:rsidRDefault="00064EC9">
      <w:pPr>
        <w:pStyle w:val="TOC2"/>
        <w:rPr>
          <w:rFonts w:asciiTheme="minorHAnsi" w:eastAsiaTheme="minorEastAsia" w:hAnsiTheme="minorHAnsi" w:cstheme="minorBidi"/>
          <w:color w:val="auto"/>
          <w:kern w:val="0"/>
          <w:sz w:val="22"/>
          <w:szCs w:val="22"/>
          <w:lang w:eastAsia="en-AU"/>
        </w:rPr>
      </w:pPr>
      <w:hyperlink w:anchor="_Toc22196685" w:history="1">
        <w:r w:rsidR="008A0F6D" w:rsidRPr="003A444B">
          <w:rPr>
            <w:rStyle w:val="Hyperlink"/>
          </w:rPr>
          <w:t>2.4</w:t>
        </w:r>
        <w:r w:rsidR="008A0F6D">
          <w:rPr>
            <w:rFonts w:asciiTheme="minorHAnsi" w:eastAsiaTheme="minorEastAsia" w:hAnsiTheme="minorHAnsi" w:cstheme="minorBidi"/>
            <w:color w:val="auto"/>
            <w:kern w:val="0"/>
            <w:sz w:val="22"/>
            <w:szCs w:val="22"/>
            <w:lang w:eastAsia="en-AU"/>
          </w:rPr>
          <w:tab/>
        </w:r>
        <w:r w:rsidR="008A0F6D" w:rsidRPr="003A444B">
          <w:rPr>
            <w:rStyle w:val="Hyperlink"/>
          </w:rPr>
          <w:t>The Lower Lakes and Coorong</w:t>
        </w:r>
        <w:r w:rsidR="008A0F6D">
          <w:rPr>
            <w:webHidden/>
          </w:rPr>
          <w:tab/>
        </w:r>
        <w:r w:rsidR="008A0F6D">
          <w:rPr>
            <w:webHidden/>
          </w:rPr>
          <w:fldChar w:fldCharType="begin"/>
        </w:r>
        <w:r w:rsidR="008A0F6D">
          <w:rPr>
            <w:webHidden/>
          </w:rPr>
          <w:instrText xml:space="preserve"> PAGEREF _Toc22196685 \h </w:instrText>
        </w:r>
        <w:r w:rsidR="008A0F6D">
          <w:rPr>
            <w:webHidden/>
          </w:rPr>
        </w:r>
        <w:r w:rsidR="008A0F6D">
          <w:rPr>
            <w:webHidden/>
          </w:rPr>
          <w:fldChar w:fldCharType="separate"/>
        </w:r>
        <w:r w:rsidR="008A0F6D">
          <w:rPr>
            <w:webHidden/>
          </w:rPr>
          <w:t>5</w:t>
        </w:r>
        <w:r w:rsidR="008A0F6D">
          <w:rPr>
            <w:webHidden/>
          </w:rPr>
          <w:fldChar w:fldCharType="end"/>
        </w:r>
      </w:hyperlink>
    </w:p>
    <w:p w14:paraId="6B726077" w14:textId="77777777" w:rsidR="008A0F6D" w:rsidRDefault="00064EC9">
      <w:pPr>
        <w:pStyle w:val="TOC1"/>
        <w:tabs>
          <w:tab w:val="left" w:pos="660"/>
          <w:tab w:val="right" w:leader="dot" w:pos="9010"/>
        </w:tabs>
        <w:rPr>
          <w:rFonts w:asciiTheme="minorHAnsi" w:eastAsiaTheme="minorEastAsia" w:hAnsiTheme="minorHAnsi" w:cstheme="minorBidi"/>
          <w:b w:val="0"/>
          <w:noProof/>
          <w:color w:val="auto"/>
          <w:kern w:val="0"/>
          <w:sz w:val="22"/>
          <w:szCs w:val="22"/>
          <w:lang w:eastAsia="en-AU"/>
        </w:rPr>
      </w:pPr>
      <w:hyperlink w:anchor="_Toc22196686" w:history="1">
        <w:r w:rsidR="008A0F6D" w:rsidRPr="003A444B">
          <w:rPr>
            <w:rStyle w:val="Hyperlink"/>
            <w:noProof/>
          </w:rPr>
          <w:t>3</w:t>
        </w:r>
        <w:r w:rsidR="008A0F6D">
          <w:rPr>
            <w:rFonts w:asciiTheme="minorHAnsi" w:eastAsiaTheme="minorEastAsia" w:hAnsiTheme="minorHAnsi" w:cstheme="minorBidi"/>
            <w:b w:val="0"/>
            <w:noProof/>
            <w:color w:val="auto"/>
            <w:kern w:val="0"/>
            <w:sz w:val="22"/>
            <w:szCs w:val="22"/>
            <w:lang w:eastAsia="en-AU"/>
          </w:rPr>
          <w:tab/>
        </w:r>
        <w:r w:rsidR="008A0F6D" w:rsidRPr="003A444B">
          <w:rPr>
            <w:rStyle w:val="Hyperlink"/>
            <w:noProof/>
          </w:rPr>
          <w:t>Commonwealth environmental watering</w:t>
        </w:r>
        <w:r w:rsidR="008A0F6D">
          <w:rPr>
            <w:noProof/>
            <w:webHidden/>
          </w:rPr>
          <w:tab/>
        </w:r>
        <w:r w:rsidR="008A0F6D">
          <w:rPr>
            <w:noProof/>
            <w:webHidden/>
          </w:rPr>
          <w:fldChar w:fldCharType="begin"/>
        </w:r>
        <w:r w:rsidR="008A0F6D">
          <w:rPr>
            <w:noProof/>
            <w:webHidden/>
          </w:rPr>
          <w:instrText xml:space="preserve"> PAGEREF _Toc22196686 \h </w:instrText>
        </w:r>
        <w:r w:rsidR="008A0F6D">
          <w:rPr>
            <w:noProof/>
            <w:webHidden/>
          </w:rPr>
        </w:r>
        <w:r w:rsidR="008A0F6D">
          <w:rPr>
            <w:noProof/>
            <w:webHidden/>
          </w:rPr>
          <w:fldChar w:fldCharType="separate"/>
        </w:r>
        <w:r w:rsidR="008A0F6D">
          <w:rPr>
            <w:noProof/>
            <w:webHidden/>
          </w:rPr>
          <w:t>7</w:t>
        </w:r>
        <w:r w:rsidR="008A0F6D">
          <w:rPr>
            <w:noProof/>
            <w:webHidden/>
          </w:rPr>
          <w:fldChar w:fldCharType="end"/>
        </w:r>
      </w:hyperlink>
    </w:p>
    <w:p w14:paraId="1DEB9B49" w14:textId="77777777" w:rsidR="008A0F6D" w:rsidRDefault="00064EC9">
      <w:pPr>
        <w:pStyle w:val="TOC2"/>
        <w:rPr>
          <w:rFonts w:asciiTheme="minorHAnsi" w:eastAsiaTheme="minorEastAsia" w:hAnsiTheme="minorHAnsi" w:cstheme="minorBidi"/>
          <w:color w:val="auto"/>
          <w:kern w:val="0"/>
          <w:sz w:val="22"/>
          <w:szCs w:val="22"/>
          <w:lang w:eastAsia="en-AU"/>
        </w:rPr>
      </w:pPr>
      <w:hyperlink w:anchor="_Toc22196687" w:history="1">
        <w:r w:rsidR="008A0F6D" w:rsidRPr="003A444B">
          <w:rPr>
            <w:rStyle w:val="Hyperlink"/>
          </w:rPr>
          <w:t>3.1</w:t>
        </w:r>
        <w:r w:rsidR="008A0F6D">
          <w:rPr>
            <w:rFonts w:asciiTheme="minorHAnsi" w:eastAsiaTheme="minorEastAsia" w:hAnsiTheme="minorHAnsi" w:cstheme="minorBidi"/>
            <w:color w:val="auto"/>
            <w:kern w:val="0"/>
            <w:sz w:val="22"/>
            <w:szCs w:val="22"/>
            <w:lang w:eastAsia="en-AU"/>
          </w:rPr>
          <w:tab/>
        </w:r>
        <w:r w:rsidR="008A0F6D" w:rsidRPr="003A444B">
          <w:rPr>
            <w:rStyle w:val="Hyperlink"/>
          </w:rPr>
          <w:t>What types of watering are proposed?</w:t>
        </w:r>
        <w:r w:rsidR="008A0F6D">
          <w:rPr>
            <w:webHidden/>
          </w:rPr>
          <w:tab/>
        </w:r>
        <w:r w:rsidR="008A0F6D">
          <w:rPr>
            <w:webHidden/>
          </w:rPr>
          <w:fldChar w:fldCharType="begin"/>
        </w:r>
        <w:r w:rsidR="008A0F6D">
          <w:rPr>
            <w:webHidden/>
          </w:rPr>
          <w:instrText xml:space="preserve"> PAGEREF _Toc22196687 \h </w:instrText>
        </w:r>
        <w:r w:rsidR="008A0F6D">
          <w:rPr>
            <w:webHidden/>
          </w:rPr>
        </w:r>
        <w:r w:rsidR="008A0F6D">
          <w:rPr>
            <w:webHidden/>
          </w:rPr>
          <w:fldChar w:fldCharType="separate"/>
        </w:r>
        <w:r w:rsidR="008A0F6D">
          <w:rPr>
            <w:webHidden/>
          </w:rPr>
          <w:t>7</w:t>
        </w:r>
        <w:r w:rsidR="008A0F6D">
          <w:rPr>
            <w:webHidden/>
          </w:rPr>
          <w:fldChar w:fldCharType="end"/>
        </w:r>
      </w:hyperlink>
    </w:p>
    <w:p w14:paraId="72B10247" w14:textId="77777777" w:rsidR="008A0F6D" w:rsidRDefault="00064EC9">
      <w:pPr>
        <w:pStyle w:val="TOC2"/>
        <w:rPr>
          <w:rFonts w:asciiTheme="minorHAnsi" w:eastAsiaTheme="minorEastAsia" w:hAnsiTheme="minorHAnsi" w:cstheme="minorBidi"/>
          <w:color w:val="auto"/>
          <w:kern w:val="0"/>
          <w:sz w:val="22"/>
          <w:szCs w:val="22"/>
          <w:lang w:eastAsia="en-AU"/>
        </w:rPr>
      </w:pPr>
      <w:hyperlink w:anchor="_Toc22196688" w:history="1">
        <w:r w:rsidR="008A0F6D" w:rsidRPr="003A444B">
          <w:rPr>
            <w:rStyle w:val="Hyperlink"/>
          </w:rPr>
          <w:t>3.2</w:t>
        </w:r>
        <w:r w:rsidR="008A0F6D">
          <w:rPr>
            <w:rFonts w:asciiTheme="minorHAnsi" w:eastAsiaTheme="minorEastAsia" w:hAnsiTheme="minorHAnsi" w:cstheme="minorBidi"/>
            <w:color w:val="auto"/>
            <w:kern w:val="0"/>
            <w:sz w:val="22"/>
            <w:szCs w:val="22"/>
            <w:lang w:eastAsia="en-AU"/>
          </w:rPr>
          <w:tab/>
        </w:r>
        <w:r w:rsidR="008A0F6D" w:rsidRPr="003A444B">
          <w:rPr>
            <w:rStyle w:val="Hyperlink"/>
          </w:rPr>
          <w:t>Practicalities of watering</w:t>
        </w:r>
        <w:r w:rsidR="008A0F6D">
          <w:rPr>
            <w:webHidden/>
          </w:rPr>
          <w:tab/>
        </w:r>
        <w:r w:rsidR="008A0F6D">
          <w:rPr>
            <w:webHidden/>
          </w:rPr>
          <w:fldChar w:fldCharType="begin"/>
        </w:r>
        <w:r w:rsidR="008A0F6D">
          <w:rPr>
            <w:webHidden/>
          </w:rPr>
          <w:instrText xml:space="preserve"> PAGEREF _Toc22196688 \h </w:instrText>
        </w:r>
        <w:r w:rsidR="008A0F6D">
          <w:rPr>
            <w:webHidden/>
          </w:rPr>
        </w:r>
        <w:r w:rsidR="008A0F6D">
          <w:rPr>
            <w:webHidden/>
          </w:rPr>
          <w:fldChar w:fldCharType="separate"/>
        </w:r>
        <w:r w:rsidR="008A0F6D">
          <w:rPr>
            <w:webHidden/>
          </w:rPr>
          <w:t>8</w:t>
        </w:r>
        <w:r w:rsidR="008A0F6D">
          <w:rPr>
            <w:webHidden/>
          </w:rPr>
          <w:fldChar w:fldCharType="end"/>
        </w:r>
      </w:hyperlink>
    </w:p>
    <w:p w14:paraId="0BB157EE" w14:textId="77777777" w:rsidR="008A0F6D" w:rsidRDefault="00064EC9">
      <w:pPr>
        <w:pStyle w:val="TOC2"/>
        <w:rPr>
          <w:rFonts w:asciiTheme="minorHAnsi" w:eastAsiaTheme="minorEastAsia" w:hAnsiTheme="minorHAnsi" w:cstheme="minorBidi"/>
          <w:color w:val="auto"/>
          <w:kern w:val="0"/>
          <w:sz w:val="22"/>
          <w:szCs w:val="22"/>
          <w:lang w:eastAsia="en-AU"/>
        </w:rPr>
      </w:pPr>
      <w:hyperlink w:anchor="_Toc22196689" w:history="1">
        <w:r w:rsidR="008A0F6D" w:rsidRPr="003A444B">
          <w:rPr>
            <w:rStyle w:val="Hyperlink"/>
          </w:rPr>
          <w:t>3.3</w:t>
        </w:r>
        <w:r w:rsidR="008A0F6D">
          <w:rPr>
            <w:rFonts w:asciiTheme="minorHAnsi" w:eastAsiaTheme="minorEastAsia" w:hAnsiTheme="minorHAnsi" w:cstheme="minorBidi"/>
            <w:color w:val="auto"/>
            <w:kern w:val="0"/>
            <w:sz w:val="22"/>
            <w:szCs w:val="22"/>
            <w:lang w:eastAsia="en-AU"/>
          </w:rPr>
          <w:tab/>
        </w:r>
        <w:r w:rsidR="008A0F6D" w:rsidRPr="003A444B">
          <w:rPr>
            <w:rStyle w:val="Hyperlink"/>
          </w:rPr>
          <w:t>Water holdings for the Lower Murray</w:t>
        </w:r>
        <w:r w:rsidR="008A0F6D">
          <w:rPr>
            <w:webHidden/>
          </w:rPr>
          <w:tab/>
        </w:r>
        <w:r w:rsidR="008A0F6D">
          <w:rPr>
            <w:webHidden/>
          </w:rPr>
          <w:fldChar w:fldCharType="begin"/>
        </w:r>
        <w:r w:rsidR="008A0F6D">
          <w:rPr>
            <w:webHidden/>
          </w:rPr>
          <w:instrText xml:space="preserve"> PAGEREF _Toc22196689 \h </w:instrText>
        </w:r>
        <w:r w:rsidR="008A0F6D">
          <w:rPr>
            <w:webHidden/>
          </w:rPr>
        </w:r>
        <w:r w:rsidR="008A0F6D">
          <w:rPr>
            <w:webHidden/>
          </w:rPr>
          <w:fldChar w:fldCharType="separate"/>
        </w:r>
        <w:r w:rsidR="008A0F6D">
          <w:rPr>
            <w:webHidden/>
          </w:rPr>
          <w:t>9</w:t>
        </w:r>
        <w:r w:rsidR="008A0F6D">
          <w:rPr>
            <w:webHidden/>
          </w:rPr>
          <w:fldChar w:fldCharType="end"/>
        </w:r>
      </w:hyperlink>
    </w:p>
    <w:p w14:paraId="2D86FBEF" w14:textId="77777777" w:rsidR="008A0F6D" w:rsidRDefault="00064EC9">
      <w:pPr>
        <w:pStyle w:val="TOC2"/>
        <w:rPr>
          <w:rFonts w:asciiTheme="minorHAnsi" w:eastAsiaTheme="minorEastAsia" w:hAnsiTheme="minorHAnsi" w:cstheme="minorBidi"/>
          <w:color w:val="auto"/>
          <w:kern w:val="0"/>
          <w:sz w:val="22"/>
          <w:szCs w:val="22"/>
          <w:lang w:eastAsia="en-AU"/>
        </w:rPr>
      </w:pPr>
      <w:hyperlink w:anchor="_Toc22196690" w:history="1">
        <w:r w:rsidR="008A0F6D" w:rsidRPr="003A444B">
          <w:rPr>
            <w:rStyle w:val="Hyperlink"/>
          </w:rPr>
          <w:t>3.4</w:t>
        </w:r>
        <w:r w:rsidR="008A0F6D">
          <w:rPr>
            <w:rFonts w:asciiTheme="minorHAnsi" w:eastAsiaTheme="minorEastAsia" w:hAnsiTheme="minorHAnsi" w:cstheme="minorBidi"/>
            <w:color w:val="auto"/>
            <w:kern w:val="0"/>
            <w:sz w:val="22"/>
            <w:szCs w:val="22"/>
            <w:lang w:eastAsia="en-AU"/>
          </w:rPr>
          <w:tab/>
        </w:r>
        <w:r w:rsidR="008A0F6D" w:rsidRPr="003A444B">
          <w:rPr>
            <w:rStyle w:val="Hyperlink"/>
          </w:rPr>
          <w:t>What are the expected outcomes?</w:t>
        </w:r>
        <w:r w:rsidR="008A0F6D">
          <w:rPr>
            <w:webHidden/>
          </w:rPr>
          <w:tab/>
        </w:r>
        <w:r w:rsidR="008A0F6D">
          <w:rPr>
            <w:webHidden/>
          </w:rPr>
          <w:fldChar w:fldCharType="begin"/>
        </w:r>
        <w:r w:rsidR="008A0F6D">
          <w:rPr>
            <w:webHidden/>
          </w:rPr>
          <w:instrText xml:space="preserve"> PAGEREF _Toc22196690 \h </w:instrText>
        </w:r>
        <w:r w:rsidR="008A0F6D">
          <w:rPr>
            <w:webHidden/>
          </w:rPr>
        </w:r>
        <w:r w:rsidR="008A0F6D">
          <w:rPr>
            <w:webHidden/>
          </w:rPr>
          <w:fldChar w:fldCharType="separate"/>
        </w:r>
        <w:r w:rsidR="008A0F6D">
          <w:rPr>
            <w:webHidden/>
          </w:rPr>
          <w:t>9</w:t>
        </w:r>
        <w:r w:rsidR="008A0F6D">
          <w:rPr>
            <w:webHidden/>
          </w:rPr>
          <w:fldChar w:fldCharType="end"/>
        </w:r>
      </w:hyperlink>
    </w:p>
    <w:p w14:paraId="2E7BDBB0" w14:textId="77777777" w:rsidR="008A0F6D" w:rsidRDefault="00064EC9">
      <w:pPr>
        <w:pStyle w:val="TOC1"/>
        <w:tabs>
          <w:tab w:val="left" w:pos="660"/>
          <w:tab w:val="right" w:leader="dot" w:pos="9010"/>
        </w:tabs>
        <w:rPr>
          <w:rFonts w:asciiTheme="minorHAnsi" w:eastAsiaTheme="minorEastAsia" w:hAnsiTheme="minorHAnsi" w:cstheme="minorBidi"/>
          <w:b w:val="0"/>
          <w:noProof/>
          <w:color w:val="auto"/>
          <w:kern w:val="0"/>
          <w:sz w:val="22"/>
          <w:szCs w:val="22"/>
          <w:lang w:eastAsia="en-AU"/>
        </w:rPr>
      </w:pPr>
      <w:hyperlink w:anchor="_Toc22196691" w:history="1">
        <w:r w:rsidR="008A0F6D" w:rsidRPr="003A444B">
          <w:rPr>
            <w:rStyle w:val="Hyperlink"/>
            <w:noProof/>
          </w:rPr>
          <w:t>4</w:t>
        </w:r>
        <w:r w:rsidR="008A0F6D">
          <w:rPr>
            <w:rFonts w:asciiTheme="minorHAnsi" w:eastAsiaTheme="minorEastAsia" w:hAnsiTheme="minorHAnsi" w:cstheme="minorBidi"/>
            <w:b w:val="0"/>
            <w:noProof/>
            <w:color w:val="auto"/>
            <w:kern w:val="0"/>
            <w:sz w:val="22"/>
            <w:szCs w:val="22"/>
            <w:lang w:eastAsia="en-AU"/>
          </w:rPr>
          <w:tab/>
        </w:r>
        <w:r w:rsidR="008A0F6D" w:rsidRPr="003A444B">
          <w:rPr>
            <w:rStyle w:val="Hyperlink"/>
            <w:noProof/>
          </w:rPr>
          <w:t>Monitoring and research priorities</w:t>
        </w:r>
        <w:r w:rsidR="008A0F6D">
          <w:rPr>
            <w:noProof/>
            <w:webHidden/>
          </w:rPr>
          <w:tab/>
        </w:r>
        <w:r w:rsidR="008A0F6D">
          <w:rPr>
            <w:noProof/>
            <w:webHidden/>
          </w:rPr>
          <w:fldChar w:fldCharType="begin"/>
        </w:r>
        <w:r w:rsidR="008A0F6D">
          <w:rPr>
            <w:noProof/>
            <w:webHidden/>
          </w:rPr>
          <w:instrText xml:space="preserve"> PAGEREF _Toc22196691 \h </w:instrText>
        </w:r>
        <w:r w:rsidR="008A0F6D">
          <w:rPr>
            <w:noProof/>
            <w:webHidden/>
          </w:rPr>
        </w:r>
        <w:r w:rsidR="008A0F6D">
          <w:rPr>
            <w:noProof/>
            <w:webHidden/>
          </w:rPr>
          <w:fldChar w:fldCharType="separate"/>
        </w:r>
        <w:r w:rsidR="008A0F6D">
          <w:rPr>
            <w:noProof/>
            <w:webHidden/>
          </w:rPr>
          <w:t>11</w:t>
        </w:r>
        <w:r w:rsidR="008A0F6D">
          <w:rPr>
            <w:noProof/>
            <w:webHidden/>
          </w:rPr>
          <w:fldChar w:fldCharType="end"/>
        </w:r>
      </w:hyperlink>
    </w:p>
    <w:p w14:paraId="60A7BCF0" w14:textId="77777777" w:rsidR="008A0F6D" w:rsidRDefault="00064EC9">
      <w:pPr>
        <w:pStyle w:val="TOC2"/>
        <w:rPr>
          <w:rFonts w:asciiTheme="minorHAnsi" w:eastAsiaTheme="minorEastAsia" w:hAnsiTheme="minorHAnsi" w:cstheme="minorBidi"/>
          <w:color w:val="auto"/>
          <w:kern w:val="0"/>
          <w:sz w:val="22"/>
          <w:szCs w:val="22"/>
          <w:lang w:eastAsia="en-AU"/>
        </w:rPr>
      </w:pPr>
      <w:hyperlink w:anchor="_Toc22196692" w:history="1">
        <w:r w:rsidR="008A0F6D" w:rsidRPr="003A444B">
          <w:rPr>
            <w:rStyle w:val="Hyperlink"/>
          </w:rPr>
          <w:t>4.1</w:t>
        </w:r>
        <w:r w:rsidR="008A0F6D">
          <w:rPr>
            <w:rFonts w:asciiTheme="minorHAnsi" w:eastAsiaTheme="minorEastAsia" w:hAnsiTheme="minorHAnsi" w:cstheme="minorBidi"/>
            <w:color w:val="auto"/>
            <w:kern w:val="0"/>
            <w:sz w:val="22"/>
            <w:szCs w:val="22"/>
            <w:lang w:eastAsia="en-AU"/>
          </w:rPr>
          <w:tab/>
        </w:r>
        <w:r w:rsidR="008A0F6D" w:rsidRPr="003A444B">
          <w:rPr>
            <w:rStyle w:val="Hyperlink"/>
          </w:rPr>
          <w:t>Prioritisation process</w:t>
        </w:r>
        <w:r w:rsidR="008A0F6D">
          <w:rPr>
            <w:webHidden/>
          </w:rPr>
          <w:tab/>
        </w:r>
        <w:r w:rsidR="008A0F6D">
          <w:rPr>
            <w:webHidden/>
          </w:rPr>
          <w:fldChar w:fldCharType="begin"/>
        </w:r>
        <w:r w:rsidR="008A0F6D">
          <w:rPr>
            <w:webHidden/>
          </w:rPr>
          <w:instrText xml:space="preserve"> PAGEREF _Toc22196692 \h </w:instrText>
        </w:r>
        <w:r w:rsidR="008A0F6D">
          <w:rPr>
            <w:webHidden/>
          </w:rPr>
        </w:r>
        <w:r w:rsidR="008A0F6D">
          <w:rPr>
            <w:webHidden/>
          </w:rPr>
          <w:fldChar w:fldCharType="separate"/>
        </w:r>
        <w:r w:rsidR="008A0F6D">
          <w:rPr>
            <w:webHidden/>
          </w:rPr>
          <w:t>11</w:t>
        </w:r>
        <w:r w:rsidR="008A0F6D">
          <w:rPr>
            <w:webHidden/>
          </w:rPr>
          <w:fldChar w:fldCharType="end"/>
        </w:r>
      </w:hyperlink>
    </w:p>
    <w:p w14:paraId="1E082067" w14:textId="77777777" w:rsidR="008A0F6D" w:rsidRDefault="00064EC9">
      <w:pPr>
        <w:pStyle w:val="TOC2"/>
        <w:rPr>
          <w:rFonts w:asciiTheme="minorHAnsi" w:eastAsiaTheme="minorEastAsia" w:hAnsiTheme="minorHAnsi" w:cstheme="minorBidi"/>
          <w:color w:val="auto"/>
          <w:kern w:val="0"/>
          <w:sz w:val="22"/>
          <w:szCs w:val="22"/>
          <w:lang w:eastAsia="en-AU"/>
        </w:rPr>
      </w:pPr>
      <w:hyperlink w:anchor="_Toc22196693" w:history="1">
        <w:r w:rsidR="008A0F6D" w:rsidRPr="003A444B">
          <w:rPr>
            <w:rStyle w:val="Hyperlink"/>
          </w:rPr>
          <w:t>4.2</w:t>
        </w:r>
        <w:r w:rsidR="008A0F6D">
          <w:rPr>
            <w:rFonts w:asciiTheme="minorHAnsi" w:eastAsiaTheme="minorEastAsia" w:hAnsiTheme="minorHAnsi" w:cstheme="minorBidi"/>
            <w:color w:val="auto"/>
            <w:kern w:val="0"/>
            <w:sz w:val="22"/>
            <w:szCs w:val="22"/>
            <w:lang w:eastAsia="en-AU"/>
          </w:rPr>
          <w:tab/>
        </w:r>
        <w:r w:rsidR="008A0F6D" w:rsidRPr="003A444B">
          <w:rPr>
            <w:rStyle w:val="Hyperlink"/>
          </w:rPr>
          <w:t>Outline priorities and evaluation questions</w:t>
        </w:r>
        <w:r w:rsidR="008A0F6D">
          <w:rPr>
            <w:webHidden/>
          </w:rPr>
          <w:tab/>
        </w:r>
        <w:r w:rsidR="008A0F6D">
          <w:rPr>
            <w:webHidden/>
          </w:rPr>
          <w:fldChar w:fldCharType="begin"/>
        </w:r>
        <w:r w:rsidR="008A0F6D">
          <w:rPr>
            <w:webHidden/>
          </w:rPr>
          <w:instrText xml:space="preserve"> PAGEREF _Toc22196693 \h </w:instrText>
        </w:r>
        <w:r w:rsidR="008A0F6D">
          <w:rPr>
            <w:webHidden/>
          </w:rPr>
        </w:r>
        <w:r w:rsidR="008A0F6D">
          <w:rPr>
            <w:webHidden/>
          </w:rPr>
          <w:fldChar w:fldCharType="separate"/>
        </w:r>
        <w:r w:rsidR="008A0F6D">
          <w:rPr>
            <w:webHidden/>
          </w:rPr>
          <w:t>11</w:t>
        </w:r>
        <w:r w:rsidR="008A0F6D">
          <w:rPr>
            <w:webHidden/>
          </w:rPr>
          <w:fldChar w:fldCharType="end"/>
        </w:r>
      </w:hyperlink>
    </w:p>
    <w:p w14:paraId="38CFC165" w14:textId="77777777" w:rsidR="008A0F6D" w:rsidRDefault="00064EC9">
      <w:pPr>
        <w:pStyle w:val="TOC2"/>
        <w:rPr>
          <w:rFonts w:asciiTheme="minorHAnsi" w:eastAsiaTheme="minorEastAsia" w:hAnsiTheme="minorHAnsi" w:cstheme="minorBidi"/>
          <w:color w:val="auto"/>
          <w:kern w:val="0"/>
          <w:sz w:val="22"/>
          <w:szCs w:val="22"/>
          <w:lang w:eastAsia="en-AU"/>
        </w:rPr>
      </w:pPr>
      <w:hyperlink w:anchor="_Toc22196694" w:history="1">
        <w:r w:rsidR="008A0F6D" w:rsidRPr="003A444B">
          <w:rPr>
            <w:rStyle w:val="Hyperlink"/>
          </w:rPr>
          <w:t>4.3</w:t>
        </w:r>
        <w:r w:rsidR="008A0F6D">
          <w:rPr>
            <w:rFonts w:asciiTheme="minorHAnsi" w:eastAsiaTheme="minorEastAsia" w:hAnsiTheme="minorHAnsi" w:cstheme="minorBidi"/>
            <w:color w:val="auto"/>
            <w:kern w:val="0"/>
            <w:sz w:val="22"/>
            <w:szCs w:val="22"/>
            <w:lang w:eastAsia="en-AU"/>
          </w:rPr>
          <w:tab/>
        </w:r>
        <w:r w:rsidR="008A0F6D" w:rsidRPr="003A444B">
          <w:rPr>
            <w:rStyle w:val="Hyperlink"/>
          </w:rPr>
          <w:t>Evaluation process</w:t>
        </w:r>
        <w:r w:rsidR="008A0F6D">
          <w:rPr>
            <w:webHidden/>
          </w:rPr>
          <w:tab/>
        </w:r>
        <w:r w:rsidR="008A0F6D">
          <w:rPr>
            <w:webHidden/>
          </w:rPr>
          <w:fldChar w:fldCharType="begin"/>
        </w:r>
        <w:r w:rsidR="008A0F6D">
          <w:rPr>
            <w:webHidden/>
          </w:rPr>
          <w:instrText xml:space="preserve"> PAGEREF _Toc22196694 \h </w:instrText>
        </w:r>
        <w:r w:rsidR="008A0F6D">
          <w:rPr>
            <w:webHidden/>
          </w:rPr>
        </w:r>
        <w:r w:rsidR="008A0F6D">
          <w:rPr>
            <w:webHidden/>
          </w:rPr>
          <w:fldChar w:fldCharType="separate"/>
        </w:r>
        <w:r w:rsidR="008A0F6D">
          <w:rPr>
            <w:webHidden/>
          </w:rPr>
          <w:t>13</w:t>
        </w:r>
        <w:r w:rsidR="008A0F6D">
          <w:rPr>
            <w:webHidden/>
          </w:rPr>
          <w:fldChar w:fldCharType="end"/>
        </w:r>
      </w:hyperlink>
    </w:p>
    <w:p w14:paraId="153B1F74" w14:textId="77777777" w:rsidR="008A0F6D" w:rsidRDefault="00064EC9">
      <w:pPr>
        <w:pStyle w:val="TOC1"/>
        <w:tabs>
          <w:tab w:val="left" w:pos="660"/>
          <w:tab w:val="right" w:leader="dot" w:pos="9010"/>
        </w:tabs>
        <w:rPr>
          <w:rFonts w:asciiTheme="minorHAnsi" w:eastAsiaTheme="minorEastAsia" w:hAnsiTheme="minorHAnsi" w:cstheme="minorBidi"/>
          <w:b w:val="0"/>
          <w:noProof/>
          <w:color w:val="auto"/>
          <w:kern w:val="0"/>
          <w:sz w:val="22"/>
          <w:szCs w:val="22"/>
          <w:lang w:eastAsia="en-AU"/>
        </w:rPr>
      </w:pPr>
      <w:hyperlink w:anchor="_Toc22196695" w:history="1">
        <w:r w:rsidR="008A0F6D" w:rsidRPr="003A444B">
          <w:rPr>
            <w:rStyle w:val="Hyperlink"/>
            <w:noProof/>
          </w:rPr>
          <w:t>5</w:t>
        </w:r>
        <w:r w:rsidR="008A0F6D">
          <w:rPr>
            <w:rFonts w:asciiTheme="minorHAnsi" w:eastAsiaTheme="minorEastAsia" w:hAnsiTheme="minorHAnsi" w:cstheme="minorBidi"/>
            <w:b w:val="0"/>
            <w:noProof/>
            <w:color w:val="auto"/>
            <w:kern w:val="0"/>
            <w:sz w:val="22"/>
            <w:szCs w:val="22"/>
            <w:lang w:eastAsia="en-AU"/>
          </w:rPr>
          <w:tab/>
        </w:r>
        <w:r w:rsidR="008A0F6D" w:rsidRPr="003A444B">
          <w:rPr>
            <w:rStyle w:val="Hyperlink"/>
            <w:noProof/>
          </w:rPr>
          <w:t>Indicators</w:t>
        </w:r>
        <w:r w:rsidR="008A0F6D">
          <w:rPr>
            <w:noProof/>
            <w:webHidden/>
          </w:rPr>
          <w:tab/>
        </w:r>
        <w:r w:rsidR="008A0F6D">
          <w:rPr>
            <w:noProof/>
            <w:webHidden/>
          </w:rPr>
          <w:fldChar w:fldCharType="begin"/>
        </w:r>
        <w:r w:rsidR="008A0F6D">
          <w:rPr>
            <w:noProof/>
            <w:webHidden/>
          </w:rPr>
          <w:instrText xml:space="preserve"> PAGEREF _Toc22196695 \h </w:instrText>
        </w:r>
        <w:r w:rsidR="008A0F6D">
          <w:rPr>
            <w:noProof/>
            <w:webHidden/>
          </w:rPr>
        </w:r>
        <w:r w:rsidR="008A0F6D">
          <w:rPr>
            <w:noProof/>
            <w:webHidden/>
          </w:rPr>
          <w:fldChar w:fldCharType="separate"/>
        </w:r>
        <w:r w:rsidR="008A0F6D">
          <w:rPr>
            <w:noProof/>
            <w:webHidden/>
          </w:rPr>
          <w:t>17</w:t>
        </w:r>
        <w:r w:rsidR="008A0F6D">
          <w:rPr>
            <w:noProof/>
            <w:webHidden/>
          </w:rPr>
          <w:fldChar w:fldCharType="end"/>
        </w:r>
      </w:hyperlink>
    </w:p>
    <w:p w14:paraId="18325DDD" w14:textId="77777777" w:rsidR="008A0F6D" w:rsidRDefault="00064EC9">
      <w:pPr>
        <w:pStyle w:val="TOC2"/>
        <w:rPr>
          <w:rFonts w:asciiTheme="minorHAnsi" w:eastAsiaTheme="minorEastAsia" w:hAnsiTheme="minorHAnsi" w:cstheme="minorBidi"/>
          <w:color w:val="auto"/>
          <w:kern w:val="0"/>
          <w:sz w:val="22"/>
          <w:szCs w:val="22"/>
          <w:lang w:eastAsia="en-AU"/>
        </w:rPr>
      </w:pPr>
      <w:hyperlink w:anchor="_Toc22196696" w:history="1">
        <w:r w:rsidR="008A0F6D" w:rsidRPr="003A444B">
          <w:rPr>
            <w:rStyle w:val="Hyperlink"/>
          </w:rPr>
          <w:t>5.1</w:t>
        </w:r>
        <w:r w:rsidR="008A0F6D">
          <w:rPr>
            <w:rFonts w:asciiTheme="minorHAnsi" w:eastAsiaTheme="minorEastAsia" w:hAnsiTheme="minorHAnsi" w:cstheme="minorBidi"/>
            <w:color w:val="auto"/>
            <w:kern w:val="0"/>
            <w:sz w:val="22"/>
            <w:szCs w:val="22"/>
            <w:lang w:eastAsia="en-AU"/>
          </w:rPr>
          <w:tab/>
        </w:r>
        <w:r w:rsidR="008A0F6D" w:rsidRPr="003A444B">
          <w:rPr>
            <w:rStyle w:val="Hyperlink"/>
          </w:rPr>
          <w:t>Category 1.</w:t>
        </w:r>
        <w:r w:rsidR="008A0F6D">
          <w:rPr>
            <w:webHidden/>
          </w:rPr>
          <w:tab/>
        </w:r>
        <w:r w:rsidR="008A0F6D">
          <w:rPr>
            <w:webHidden/>
          </w:rPr>
          <w:fldChar w:fldCharType="begin"/>
        </w:r>
        <w:r w:rsidR="008A0F6D">
          <w:rPr>
            <w:webHidden/>
          </w:rPr>
          <w:instrText xml:space="preserve"> PAGEREF _Toc22196696 \h </w:instrText>
        </w:r>
        <w:r w:rsidR="008A0F6D">
          <w:rPr>
            <w:webHidden/>
          </w:rPr>
        </w:r>
        <w:r w:rsidR="008A0F6D">
          <w:rPr>
            <w:webHidden/>
          </w:rPr>
          <w:fldChar w:fldCharType="separate"/>
        </w:r>
        <w:r w:rsidR="008A0F6D">
          <w:rPr>
            <w:webHidden/>
          </w:rPr>
          <w:t>18</w:t>
        </w:r>
        <w:r w:rsidR="008A0F6D">
          <w:rPr>
            <w:webHidden/>
          </w:rPr>
          <w:fldChar w:fldCharType="end"/>
        </w:r>
      </w:hyperlink>
    </w:p>
    <w:p w14:paraId="5F47AE04"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697" w:history="1">
        <w:r w:rsidR="008A0F6D" w:rsidRPr="003A444B">
          <w:rPr>
            <w:rStyle w:val="Hyperlink"/>
            <w:noProof/>
          </w:rPr>
          <w:t>5.1.1</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Hydrology (Channel)</w:t>
        </w:r>
        <w:r w:rsidR="008A0F6D">
          <w:rPr>
            <w:noProof/>
            <w:webHidden/>
          </w:rPr>
          <w:tab/>
        </w:r>
        <w:r w:rsidR="008A0F6D">
          <w:rPr>
            <w:noProof/>
            <w:webHidden/>
          </w:rPr>
          <w:fldChar w:fldCharType="begin"/>
        </w:r>
        <w:r w:rsidR="008A0F6D">
          <w:rPr>
            <w:noProof/>
            <w:webHidden/>
          </w:rPr>
          <w:instrText xml:space="preserve"> PAGEREF _Toc22196697 \h </w:instrText>
        </w:r>
        <w:r w:rsidR="008A0F6D">
          <w:rPr>
            <w:noProof/>
            <w:webHidden/>
          </w:rPr>
        </w:r>
        <w:r w:rsidR="008A0F6D">
          <w:rPr>
            <w:noProof/>
            <w:webHidden/>
          </w:rPr>
          <w:fldChar w:fldCharType="separate"/>
        </w:r>
        <w:r w:rsidR="008A0F6D">
          <w:rPr>
            <w:noProof/>
            <w:webHidden/>
          </w:rPr>
          <w:t>18</w:t>
        </w:r>
        <w:r w:rsidR="008A0F6D">
          <w:rPr>
            <w:noProof/>
            <w:webHidden/>
          </w:rPr>
          <w:fldChar w:fldCharType="end"/>
        </w:r>
      </w:hyperlink>
    </w:p>
    <w:p w14:paraId="5BEBBB46"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698" w:history="1">
        <w:r w:rsidR="008A0F6D" w:rsidRPr="003A444B">
          <w:rPr>
            <w:rStyle w:val="Hyperlink"/>
            <w:noProof/>
          </w:rPr>
          <w:t>5.1.2</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Stream Metabolism and Water Quality</w:t>
        </w:r>
        <w:r w:rsidR="008A0F6D">
          <w:rPr>
            <w:noProof/>
            <w:webHidden/>
          </w:rPr>
          <w:tab/>
        </w:r>
        <w:r w:rsidR="008A0F6D">
          <w:rPr>
            <w:noProof/>
            <w:webHidden/>
          </w:rPr>
          <w:fldChar w:fldCharType="begin"/>
        </w:r>
        <w:r w:rsidR="008A0F6D">
          <w:rPr>
            <w:noProof/>
            <w:webHidden/>
          </w:rPr>
          <w:instrText xml:space="preserve"> PAGEREF _Toc22196698 \h </w:instrText>
        </w:r>
        <w:r w:rsidR="008A0F6D">
          <w:rPr>
            <w:noProof/>
            <w:webHidden/>
          </w:rPr>
        </w:r>
        <w:r w:rsidR="008A0F6D">
          <w:rPr>
            <w:noProof/>
            <w:webHidden/>
          </w:rPr>
          <w:fldChar w:fldCharType="separate"/>
        </w:r>
        <w:r w:rsidR="008A0F6D">
          <w:rPr>
            <w:noProof/>
            <w:webHidden/>
          </w:rPr>
          <w:t>21</w:t>
        </w:r>
        <w:r w:rsidR="008A0F6D">
          <w:rPr>
            <w:noProof/>
            <w:webHidden/>
          </w:rPr>
          <w:fldChar w:fldCharType="end"/>
        </w:r>
      </w:hyperlink>
    </w:p>
    <w:p w14:paraId="7D7C54E0"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699" w:history="1">
        <w:r w:rsidR="008A0F6D" w:rsidRPr="003A444B">
          <w:rPr>
            <w:rStyle w:val="Hyperlink"/>
            <w:noProof/>
          </w:rPr>
          <w:t>5.1.3</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Fish (Channel)</w:t>
        </w:r>
        <w:r w:rsidR="008A0F6D">
          <w:rPr>
            <w:noProof/>
            <w:webHidden/>
          </w:rPr>
          <w:tab/>
        </w:r>
        <w:r w:rsidR="008A0F6D">
          <w:rPr>
            <w:noProof/>
            <w:webHidden/>
          </w:rPr>
          <w:fldChar w:fldCharType="begin"/>
        </w:r>
        <w:r w:rsidR="008A0F6D">
          <w:rPr>
            <w:noProof/>
            <w:webHidden/>
          </w:rPr>
          <w:instrText xml:space="preserve"> PAGEREF _Toc22196699 \h </w:instrText>
        </w:r>
        <w:r w:rsidR="008A0F6D">
          <w:rPr>
            <w:noProof/>
            <w:webHidden/>
          </w:rPr>
        </w:r>
        <w:r w:rsidR="008A0F6D">
          <w:rPr>
            <w:noProof/>
            <w:webHidden/>
          </w:rPr>
          <w:fldChar w:fldCharType="separate"/>
        </w:r>
        <w:r w:rsidR="008A0F6D">
          <w:rPr>
            <w:noProof/>
            <w:webHidden/>
          </w:rPr>
          <w:t>26</w:t>
        </w:r>
        <w:r w:rsidR="008A0F6D">
          <w:rPr>
            <w:noProof/>
            <w:webHidden/>
          </w:rPr>
          <w:fldChar w:fldCharType="end"/>
        </w:r>
      </w:hyperlink>
    </w:p>
    <w:p w14:paraId="25D11D86" w14:textId="77777777" w:rsidR="008A0F6D" w:rsidRDefault="00064EC9">
      <w:pPr>
        <w:pStyle w:val="TOC2"/>
        <w:rPr>
          <w:rFonts w:asciiTheme="minorHAnsi" w:eastAsiaTheme="minorEastAsia" w:hAnsiTheme="minorHAnsi" w:cstheme="minorBidi"/>
          <w:color w:val="auto"/>
          <w:kern w:val="0"/>
          <w:sz w:val="22"/>
          <w:szCs w:val="22"/>
          <w:lang w:eastAsia="en-AU"/>
        </w:rPr>
      </w:pPr>
      <w:hyperlink w:anchor="_Toc22196700" w:history="1">
        <w:r w:rsidR="008A0F6D" w:rsidRPr="003A444B">
          <w:rPr>
            <w:rStyle w:val="Hyperlink"/>
          </w:rPr>
          <w:t>5.2</w:t>
        </w:r>
        <w:r w:rsidR="008A0F6D">
          <w:rPr>
            <w:rFonts w:asciiTheme="minorHAnsi" w:eastAsiaTheme="minorEastAsia" w:hAnsiTheme="minorHAnsi" w:cstheme="minorBidi"/>
            <w:color w:val="auto"/>
            <w:kern w:val="0"/>
            <w:sz w:val="22"/>
            <w:szCs w:val="22"/>
            <w:lang w:eastAsia="en-AU"/>
          </w:rPr>
          <w:tab/>
        </w:r>
        <w:r w:rsidR="008A0F6D" w:rsidRPr="003A444B">
          <w:rPr>
            <w:rStyle w:val="Hyperlink"/>
          </w:rPr>
          <w:t>Category 3</w:t>
        </w:r>
        <w:r w:rsidR="008A0F6D">
          <w:rPr>
            <w:webHidden/>
          </w:rPr>
          <w:tab/>
        </w:r>
        <w:r w:rsidR="008A0F6D">
          <w:rPr>
            <w:webHidden/>
          </w:rPr>
          <w:fldChar w:fldCharType="begin"/>
        </w:r>
        <w:r w:rsidR="008A0F6D">
          <w:rPr>
            <w:webHidden/>
          </w:rPr>
          <w:instrText xml:space="preserve"> PAGEREF _Toc22196700 \h </w:instrText>
        </w:r>
        <w:r w:rsidR="008A0F6D">
          <w:rPr>
            <w:webHidden/>
          </w:rPr>
        </w:r>
        <w:r w:rsidR="008A0F6D">
          <w:rPr>
            <w:webHidden/>
          </w:rPr>
          <w:fldChar w:fldCharType="separate"/>
        </w:r>
        <w:r w:rsidR="008A0F6D">
          <w:rPr>
            <w:webHidden/>
          </w:rPr>
          <w:t>30</w:t>
        </w:r>
        <w:r w:rsidR="008A0F6D">
          <w:rPr>
            <w:webHidden/>
          </w:rPr>
          <w:fldChar w:fldCharType="end"/>
        </w:r>
      </w:hyperlink>
    </w:p>
    <w:p w14:paraId="626652CD"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01" w:history="1">
        <w:r w:rsidR="008A0F6D" w:rsidRPr="003A444B">
          <w:rPr>
            <w:rStyle w:val="Hyperlink"/>
            <w:noProof/>
          </w:rPr>
          <w:t>5.2.1</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Hydraulic Regime</w:t>
        </w:r>
        <w:r w:rsidR="008A0F6D">
          <w:rPr>
            <w:noProof/>
            <w:webHidden/>
          </w:rPr>
          <w:tab/>
        </w:r>
        <w:r w:rsidR="008A0F6D">
          <w:rPr>
            <w:noProof/>
            <w:webHidden/>
          </w:rPr>
          <w:fldChar w:fldCharType="begin"/>
        </w:r>
        <w:r w:rsidR="008A0F6D">
          <w:rPr>
            <w:noProof/>
            <w:webHidden/>
          </w:rPr>
          <w:instrText xml:space="preserve"> PAGEREF _Toc22196701 \h </w:instrText>
        </w:r>
        <w:r w:rsidR="008A0F6D">
          <w:rPr>
            <w:noProof/>
            <w:webHidden/>
          </w:rPr>
        </w:r>
        <w:r w:rsidR="008A0F6D">
          <w:rPr>
            <w:noProof/>
            <w:webHidden/>
          </w:rPr>
          <w:fldChar w:fldCharType="separate"/>
        </w:r>
        <w:r w:rsidR="008A0F6D">
          <w:rPr>
            <w:noProof/>
            <w:webHidden/>
          </w:rPr>
          <w:t>30</w:t>
        </w:r>
        <w:r w:rsidR="008A0F6D">
          <w:rPr>
            <w:noProof/>
            <w:webHidden/>
          </w:rPr>
          <w:fldChar w:fldCharType="end"/>
        </w:r>
      </w:hyperlink>
    </w:p>
    <w:p w14:paraId="0A837A5D"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02" w:history="1">
        <w:r w:rsidR="008A0F6D" w:rsidRPr="003A444B">
          <w:rPr>
            <w:rStyle w:val="Hyperlink"/>
            <w:noProof/>
          </w:rPr>
          <w:t>5.2.2</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Matter Transport and Coorong Habitat</w:t>
        </w:r>
        <w:r w:rsidR="008A0F6D">
          <w:rPr>
            <w:noProof/>
            <w:webHidden/>
          </w:rPr>
          <w:tab/>
        </w:r>
        <w:r w:rsidR="008A0F6D">
          <w:rPr>
            <w:noProof/>
            <w:webHidden/>
          </w:rPr>
          <w:fldChar w:fldCharType="begin"/>
        </w:r>
        <w:r w:rsidR="008A0F6D">
          <w:rPr>
            <w:noProof/>
            <w:webHidden/>
          </w:rPr>
          <w:instrText xml:space="preserve"> PAGEREF _Toc22196702 \h </w:instrText>
        </w:r>
        <w:r w:rsidR="008A0F6D">
          <w:rPr>
            <w:noProof/>
            <w:webHidden/>
          </w:rPr>
        </w:r>
        <w:r w:rsidR="008A0F6D">
          <w:rPr>
            <w:noProof/>
            <w:webHidden/>
          </w:rPr>
          <w:fldChar w:fldCharType="separate"/>
        </w:r>
        <w:r w:rsidR="008A0F6D">
          <w:rPr>
            <w:noProof/>
            <w:webHidden/>
          </w:rPr>
          <w:t>33</w:t>
        </w:r>
        <w:r w:rsidR="008A0F6D">
          <w:rPr>
            <w:noProof/>
            <w:webHidden/>
          </w:rPr>
          <w:fldChar w:fldCharType="end"/>
        </w:r>
      </w:hyperlink>
    </w:p>
    <w:p w14:paraId="70F9E6DF"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03" w:history="1">
        <w:r w:rsidR="008A0F6D" w:rsidRPr="003A444B">
          <w:rPr>
            <w:rStyle w:val="Hyperlink"/>
            <w:noProof/>
          </w:rPr>
          <w:t>5.2.3</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Littoral Vegetation Diversity and Productivity</w:t>
        </w:r>
        <w:r w:rsidR="008A0F6D">
          <w:rPr>
            <w:noProof/>
            <w:webHidden/>
          </w:rPr>
          <w:tab/>
        </w:r>
        <w:r w:rsidR="008A0F6D">
          <w:rPr>
            <w:noProof/>
            <w:webHidden/>
          </w:rPr>
          <w:fldChar w:fldCharType="begin"/>
        </w:r>
        <w:r w:rsidR="008A0F6D">
          <w:rPr>
            <w:noProof/>
            <w:webHidden/>
          </w:rPr>
          <w:instrText xml:space="preserve"> PAGEREF _Toc22196703 \h </w:instrText>
        </w:r>
        <w:r w:rsidR="008A0F6D">
          <w:rPr>
            <w:noProof/>
            <w:webHidden/>
          </w:rPr>
        </w:r>
        <w:r w:rsidR="008A0F6D">
          <w:rPr>
            <w:noProof/>
            <w:webHidden/>
          </w:rPr>
          <w:fldChar w:fldCharType="separate"/>
        </w:r>
        <w:r w:rsidR="008A0F6D">
          <w:rPr>
            <w:noProof/>
            <w:webHidden/>
          </w:rPr>
          <w:t>43</w:t>
        </w:r>
        <w:r w:rsidR="008A0F6D">
          <w:rPr>
            <w:noProof/>
            <w:webHidden/>
          </w:rPr>
          <w:fldChar w:fldCharType="end"/>
        </w:r>
      </w:hyperlink>
    </w:p>
    <w:p w14:paraId="3E1AF5D8"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04" w:history="1">
        <w:r w:rsidR="008A0F6D" w:rsidRPr="003A444B">
          <w:rPr>
            <w:rStyle w:val="Hyperlink"/>
            <w:noProof/>
          </w:rPr>
          <w:t>5.2.4</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Microinvertebrate Assemblage</w:t>
        </w:r>
        <w:r w:rsidR="008A0F6D">
          <w:rPr>
            <w:noProof/>
            <w:webHidden/>
          </w:rPr>
          <w:tab/>
        </w:r>
        <w:r w:rsidR="008A0F6D">
          <w:rPr>
            <w:noProof/>
            <w:webHidden/>
          </w:rPr>
          <w:fldChar w:fldCharType="begin"/>
        </w:r>
        <w:r w:rsidR="008A0F6D">
          <w:rPr>
            <w:noProof/>
            <w:webHidden/>
          </w:rPr>
          <w:instrText xml:space="preserve"> PAGEREF _Toc22196704 \h </w:instrText>
        </w:r>
        <w:r w:rsidR="008A0F6D">
          <w:rPr>
            <w:noProof/>
            <w:webHidden/>
          </w:rPr>
        </w:r>
        <w:r w:rsidR="008A0F6D">
          <w:rPr>
            <w:noProof/>
            <w:webHidden/>
          </w:rPr>
          <w:fldChar w:fldCharType="separate"/>
        </w:r>
        <w:r w:rsidR="008A0F6D">
          <w:rPr>
            <w:noProof/>
            <w:webHidden/>
          </w:rPr>
          <w:t>48</w:t>
        </w:r>
        <w:r w:rsidR="008A0F6D">
          <w:rPr>
            <w:noProof/>
            <w:webHidden/>
          </w:rPr>
          <w:fldChar w:fldCharType="end"/>
        </w:r>
      </w:hyperlink>
    </w:p>
    <w:p w14:paraId="2B562AA0"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05" w:history="1">
        <w:r w:rsidR="008A0F6D" w:rsidRPr="003A444B">
          <w:rPr>
            <w:rStyle w:val="Hyperlink"/>
            <w:noProof/>
          </w:rPr>
          <w:t>5.2.5</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Flow-cued Spawning Fish Recruitment</w:t>
        </w:r>
        <w:r w:rsidR="008A0F6D">
          <w:rPr>
            <w:noProof/>
            <w:webHidden/>
          </w:rPr>
          <w:tab/>
        </w:r>
        <w:r w:rsidR="008A0F6D">
          <w:rPr>
            <w:noProof/>
            <w:webHidden/>
          </w:rPr>
          <w:fldChar w:fldCharType="begin"/>
        </w:r>
        <w:r w:rsidR="008A0F6D">
          <w:rPr>
            <w:noProof/>
            <w:webHidden/>
          </w:rPr>
          <w:instrText xml:space="preserve"> PAGEREF _Toc22196705 \h </w:instrText>
        </w:r>
        <w:r w:rsidR="008A0F6D">
          <w:rPr>
            <w:noProof/>
            <w:webHidden/>
          </w:rPr>
        </w:r>
        <w:r w:rsidR="008A0F6D">
          <w:rPr>
            <w:noProof/>
            <w:webHidden/>
          </w:rPr>
          <w:fldChar w:fldCharType="separate"/>
        </w:r>
        <w:r w:rsidR="008A0F6D">
          <w:rPr>
            <w:noProof/>
            <w:webHidden/>
          </w:rPr>
          <w:t>52</w:t>
        </w:r>
        <w:r w:rsidR="008A0F6D">
          <w:rPr>
            <w:noProof/>
            <w:webHidden/>
          </w:rPr>
          <w:fldChar w:fldCharType="end"/>
        </w:r>
      </w:hyperlink>
    </w:p>
    <w:p w14:paraId="23ADF6B9"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06" w:history="1">
        <w:r w:rsidR="008A0F6D" w:rsidRPr="003A444B">
          <w:rPr>
            <w:rStyle w:val="Hyperlink"/>
            <w:noProof/>
          </w:rPr>
          <w:t>5.2.6</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Murray Cod Recruitment</w:t>
        </w:r>
        <w:r w:rsidR="008A0F6D">
          <w:rPr>
            <w:noProof/>
            <w:webHidden/>
          </w:rPr>
          <w:tab/>
        </w:r>
        <w:r w:rsidR="008A0F6D">
          <w:rPr>
            <w:noProof/>
            <w:webHidden/>
          </w:rPr>
          <w:fldChar w:fldCharType="begin"/>
        </w:r>
        <w:r w:rsidR="008A0F6D">
          <w:rPr>
            <w:noProof/>
            <w:webHidden/>
          </w:rPr>
          <w:instrText xml:space="preserve"> PAGEREF _Toc22196706 \h </w:instrText>
        </w:r>
        <w:r w:rsidR="008A0F6D">
          <w:rPr>
            <w:noProof/>
            <w:webHidden/>
          </w:rPr>
        </w:r>
        <w:r w:rsidR="008A0F6D">
          <w:rPr>
            <w:noProof/>
            <w:webHidden/>
          </w:rPr>
          <w:fldChar w:fldCharType="separate"/>
        </w:r>
        <w:r w:rsidR="008A0F6D">
          <w:rPr>
            <w:noProof/>
            <w:webHidden/>
          </w:rPr>
          <w:t>55</w:t>
        </w:r>
        <w:r w:rsidR="008A0F6D">
          <w:rPr>
            <w:noProof/>
            <w:webHidden/>
          </w:rPr>
          <w:fldChar w:fldCharType="end"/>
        </w:r>
      </w:hyperlink>
    </w:p>
    <w:p w14:paraId="63DECC54" w14:textId="77777777" w:rsidR="008A0F6D" w:rsidRDefault="00064EC9">
      <w:pPr>
        <w:pStyle w:val="TOC2"/>
        <w:rPr>
          <w:rFonts w:asciiTheme="minorHAnsi" w:eastAsiaTheme="minorEastAsia" w:hAnsiTheme="minorHAnsi" w:cstheme="minorBidi"/>
          <w:color w:val="auto"/>
          <w:kern w:val="0"/>
          <w:sz w:val="22"/>
          <w:szCs w:val="22"/>
          <w:lang w:eastAsia="en-AU"/>
        </w:rPr>
      </w:pPr>
      <w:hyperlink w:anchor="_Toc22196707" w:history="1">
        <w:r w:rsidR="008A0F6D" w:rsidRPr="003A444B">
          <w:rPr>
            <w:rStyle w:val="Hyperlink"/>
          </w:rPr>
          <w:t>5.3</w:t>
        </w:r>
        <w:r w:rsidR="008A0F6D">
          <w:rPr>
            <w:rFonts w:asciiTheme="minorHAnsi" w:eastAsiaTheme="minorEastAsia" w:hAnsiTheme="minorHAnsi" w:cstheme="minorBidi"/>
            <w:color w:val="auto"/>
            <w:kern w:val="0"/>
            <w:sz w:val="22"/>
            <w:szCs w:val="22"/>
            <w:lang w:eastAsia="en-AU"/>
          </w:rPr>
          <w:tab/>
        </w:r>
        <w:r w:rsidR="008A0F6D" w:rsidRPr="003A444B">
          <w:rPr>
            <w:rStyle w:val="Hyperlink"/>
          </w:rPr>
          <w:t>Contingency monitoring</w:t>
        </w:r>
        <w:r w:rsidR="008A0F6D">
          <w:rPr>
            <w:webHidden/>
          </w:rPr>
          <w:tab/>
        </w:r>
        <w:r w:rsidR="008A0F6D">
          <w:rPr>
            <w:webHidden/>
          </w:rPr>
          <w:fldChar w:fldCharType="begin"/>
        </w:r>
        <w:r w:rsidR="008A0F6D">
          <w:rPr>
            <w:webHidden/>
          </w:rPr>
          <w:instrText xml:space="preserve"> PAGEREF _Toc22196707 \h </w:instrText>
        </w:r>
        <w:r w:rsidR="008A0F6D">
          <w:rPr>
            <w:webHidden/>
          </w:rPr>
        </w:r>
        <w:r w:rsidR="008A0F6D">
          <w:rPr>
            <w:webHidden/>
          </w:rPr>
          <w:fldChar w:fldCharType="separate"/>
        </w:r>
        <w:r w:rsidR="008A0F6D">
          <w:rPr>
            <w:webHidden/>
          </w:rPr>
          <w:t>58</w:t>
        </w:r>
        <w:r w:rsidR="008A0F6D">
          <w:rPr>
            <w:webHidden/>
          </w:rPr>
          <w:fldChar w:fldCharType="end"/>
        </w:r>
      </w:hyperlink>
    </w:p>
    <w:p w14:paraId="7551AA66"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08" w:history="1">
        <w:r w:rsidR="008A0F6D" w:rsidRPr="003A444B">
          <w:rPr>
            <w:rStyle w:val="Hyperlink"/>
            <w:noProof/>
          </w:rPr>
          <w:t>5.3.1</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Spawning and natal origin of flow-cued Spawning Fishes</w:t>
        </w:r>
        <w:r w:rsidR="008A0F6D">
          <w:rPr>
            <w:noProof/>
            <w:webHidden/>
          </w:rPr>
          <w:tab/>
        </w:r>
        <w:r w:rsidR="008A0F6D">
          <w:rPr>
            <w:noProof/>
            <w:webHidden/>
          </w:rPr>
          <w:fldChar w:fldCharType="begin"/>
        </w:r>
        <w:r w:rsidR="008A0F6D">
          <w:rPr>
            <w:noProof/>
            <w:webHidden/>
          </w:rPr>
          <w:instrText xml:space="preserve"> PAGEREF _Toc22196708 \h </w:instrText>
        </w:r>
        <w:r w:rsidR="008A0F6D">
          <w:rPr>
            <w:noProof/>
            <w:webHidden/>
          </w:rPr>
        </w:r>
        <w:r w:rsidR="008A0F6D">
          <w:rPr>
            <w:noProof/>
            <w:webHidden/>
          </w:rPr>
          <w:fldChar w:fldCharType="separate"/>
        </w:r>
        <w:r w:rsidR="008A0F6D">
          <w:rPr>
            <w:noProof/>
            <w:webHidden/>
          </w:rPr>
          <w:t>58</w:t>
        </w:r>
        <w:r w:rsidR="008A0F6D">
          <w:rPr>
            <w:noProof/>
            <w:webHidden/>
          </w:rPr>
          <w:fldChar w:fldCharType="end"/>
        </w:r>
      </w:hyperlink>
    </w:p>
    <w:p w14:paraId="5902FCDF"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09" w:history="1">
        <w:r w:rsidR="008A0F6D" w:rsidRPr="003A444B">
          <w:rPr>
            <w:rStyle w:val="Hyperlink"/>
            <w:noProof/>
          </w:rPr>
          <w:t>5.3.2</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Stream metabolism (high flow)</w:t>
        </w:r>
        <w:r w:rsidR="008A0F6D">
          <w:rPr>
            <w:noProof/>
            <w:webHidden/>
          </w:rPr>
          <w:tab/>
        </w:r>
        <w:r w:rsidR="008A0F6D">
          <w:rPr>
            <w:noProof/>
            <w:webHidden/>
          </w:rPr>
          <w:fldChar w:fldCharType="begin"/>
        </w:r>
        <w:r w:rsidR="008A0F6D">
          <w:rPr>
            <w:noProof/>
            <w:webHidden/>
          </w:rPr>
          <w:instrText xml:space="preserve"> PAGEREF _Toc22196709 \h </w:instrText>
        </w:r>
        <w:r w:rsidR="008A0F6D">
          <w:rPr>
            <w:noProof/>
            <w:webHidden/>
          </w:rPr>
        </w:r>
        <w:r w:rsidR="008A0F6D">
          <w:rPr>
            <w:noProof/>
            <w:webHidden/>
          </w:rPr>
          <w:fldChar w:fldCharType="separate"/>
        </w:r>
        <w:r w:rsidR="008A0F6D">
          <w:rPr>
            <w:noProof/>
            <w:webHidden/>
          </w:rPr>
          <w:t>58</w:t>
        </w:r>
        <w:r w:rsidR="008A0F6D">
          <w:rPr>
            <w:noProof/>
            <w:webHidden/>
          </w:rPr>
          <w:fldChar w:fldCharType="end"/>
        </w:r>
      </w:hyperlink>
    </w:p>
    <w:p w14:paraId="62ABCD8D"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10" w:history="1">
        <w:r w:rsidR="008A0F6D" w:rsidRPr="003A444B">
          <w:rPr>
            <w:rStyle w:val="Hyperlink"/>
            <w:noProof/>
          </w:rPr>
          <w:t>5.3.3</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Hypoxia risk</w:t>
        </w:r>
        <w:r w:rsidR="008A0F6D">
          <w:rPr>
            <w:noProof/>
            <w:webHidden/>
          </w:rPr>
          <w:tab/>
        </w:r>
        <w:r w:rsidR="008A0F6D">
          <w:rPr>
            <w:noProof/>
            <w:webHidden/>
          </w:rPr>
          <w:fldChar w:fldCharType="begin"/>
        </w:r>
        <w:r w:rsidR="008A0F6D">
          <w:rPr>
            <w:noProof/>
            <w:webHidden/>
          </w:rPr>
          <w:instrText xml:space="preserve"> PAGEREF _Toc22196710 \h </w:instrText>
        </w:r>
        <w:r w:rsidR="008A0F6D">
          <w:rPr>
            <w:noProof/>
            <w:webHidden/>
          </w:rPr>
        </w:r>
        <w:r w:rsidR="008A0F6D">
          <w:rPr>
            <w:noProof/>
            <w:webHidden/>
          </w:rPr>
          <w:fldChar w:fldCharType="separate"/>
        </w:r>
        <w:r w:rsidR="008A0F6D">
          <w:rPr>
            <w:noProof/>
            <w:webHidden/>
          </w:rPr>
          <w:t>59</w:t>
        </w:r>
        <w:r w:rsidR="008A0F6D">
          <w:rPr>
            <w:noProof/>
            <w:webHidden/>
          </w:rPr>
          <w:fldChar w:fldCharType="end"/>
        </w:r>
      </w:hyperlink>
    </w:p>
    <w:p w14:paraId="73F9928E"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11" w:history="1">
        <w:r w:rsidR="008A0F6D" w:rsidRPr="003A444B">
          <w:rPr>
            <w:rStyle w:val="Hyperlink"/>
            <w:noProof/>
          </w:rPr>
          <w:t>5.3.4</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Cyanobacteria risk</w:t>
        </w:r>
        <w:r w:rsidR="008A0F6D">
          <w:rPr>
            <w:noProof/>
            <w:webHidden/>
          </w:rPr>
          <w:tab/>
        </w:r>
        <w:r w:rsidR="008A0F6D">
          <w:rPr>
            <w:noProof/>
            <w:webHidden/>
          </w:rPr>
          <w:fldChar w:fldCharType="begin"/>
        </w:r>
        <w:r w:rsidR="008A0F6D">
          <w:rPr>
            <w:noProof/>
            <w:webHidden/>
          </w:rPr>
          <w:instrText xml:space="preserve"> PAGEREF _Toc22196711 \h </w:instrText>
        </w:r>
        <w:r w:rsidR="008A0F6D">
          <w:rPr>
            <w:noProof/>
            <w:webHidden/>
          </w:rPr>
        </w:r>
        <w:r w:rsidR="008A0F6D">
          <w:rPr>
            <w:noProof/>
            <w:webHidden/>
          </w:rPr>
          <w:fldChar w:fldCharType="separate"/>
        </w:r>
        <w:r w:rsidR="008A0F6D">
          <w:rPr>
            <w:noProof/>
            <w:webHidden/>
          </w:rPr>
          <w:t>59</w:t>
        </w:r>
        <w:r w:rsidR="008A0F6D">
          <w:rPr>
            <w:noProof/>
            <w:webHidden/>
          </w:rPr>
          <w:fldChar w:fldCharType="end"/>
        </w:r>
      </w:hyperlink>
    </w:p>
    <w:p w14:paraId="487846D9"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12" w:history="1">
        <w:r w:rsidR="008A0F6D" w:rsidRPr="003A444B">
          <w:rPr>
            <w:rStyle w:val="Hyperlink"/>
            <w:noProof/>
          </w:rPr>
          <w:t>5.3.5</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Seed/egg bank baseline assessment</w:t>
        </w:r>
        <w:r w:rsidR="008A0F6D">
          <w:rPr>
            <w:noProof/>
            <w:webHidden/>
          </w:rPr>
          <w:tab/>
        </w:r>
        <w:r w:rsidR="008A0F6D">
          <w:rPr>
            <w:noProof/>
            <w:webHidden/>
          </w:rPr>
          <w:fldChar w:fldCharType="begin"/>
        </w:r>
        <w:r w:rsidR="008A0F6D">
          <w:rPr>
            <w:noProof/>
            <w:webHidden/>
          </w:rPr>
          <w:instrText xml:space="preserve"> PAGEREF _Toc22196712 \h </w:instrText>
        </w:r>
        <w:r w:rsidR="008A0F6D">
          <w:rPr>
            <w:noProof/>
            <w:webHidden/>
          </w:rPr>
        </w:r>
        <w:r w:rsidR="008A0F6D">
          <w:rPr>
            <w:noProof/>
            <w:webHidden/>
          </w:rPr>
          <w:fldChar w:fldCharType="separate"/>
        </w:r>
        <w:r w:rsidR="008A0F6D">
          <w:rPr>
            <w:noProof/>
            <w:webHidden/>
          </w:rPr>
          <w:t>59</w:t>
        </w:r>
        <w:r w:rsidR="008A0F6D">
          <w:rPr>
            <w:noProof/>
            <w:webHidden/>
          </w:rPr>
          <w:fldChar w:fldCharType="end"/>
        </w:r>
      </w:hyperlink>
    </w:p>
    <w:p w14:paraId="4942D703"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13" w:history="1">
        <w:r w:rsidR="008A0F6D" w:rsidRPr="003A444B">
          <w:rPr>
            <w:rStyle w:val="Hyperlink"/>
            <w:noProof/>
          </w:rPr>
          <w:t>5.3.6</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Lamprey migration</w:t>
        </w:r>
        <w:r w:rsidR="008A0F6D">
          <w:rPr>
            <w:noProof/>
            <w:webHidden/>
          </w:rPr>
          <w:tab/>
        </w:r>
        <w:r w:rsidR="008A0F6D">
          <w:rPr>
            <w:noProof/>
            <w:webHidden/>
          </w:rPr>
          <w:fldChar w:fldCharType="begin"/>
        </w:r>
        <w:r w:rsidR="008A0F6D">
          <w:rPr>
            <w:noProof/>
            <w:webHidden/>
          </w:rPr>
          <w:instrText xml:space="preserve"> PAGEREF _Toc22196713 \h </w:instrText>
        </w:r>
        <w:r w:rsidR="008A0F6D">
          <w:rPr>
            <w:noProof/>
            <w:webHidden/>
          </w:rPr>
        </w:r>
        <w:r w:rsidR="008A0F6D">
          <w:rPr>
            <w:noProof/>
            <w:webHidden/>
          </w:rPr>
          <w:fldChar w:fldCharType="separate"/>
        </w:r>
        <w:r w:rsidR="008A0F6D">
          <w:rPr>
            <w:noProof/>
            <w:webHidden/>
          </w:rPr>
          <w:t>60</w:t>
        </w:r>
        <w:r w:rsidR="008A0F6D">
          <w:rPr>
            <w:noProof/>
            <w:webHidden/>
          </w:rPr>
          <w:fldChar w:fldCharType="end"/>
        </w:r>
      </w:hyperlink>
    </w:p>
    <w:p w14:paraId="243F6250"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14" w:history="1">
        <w:r w:rsidR="008A0F6D" w:rsidRPr="003A444B">
          <w:rPr>
            <w:rStyle w:val="Hyperlink"/>
            <w:noProof/>
          </w:rPr>
          <w:t>5.3.7</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Winter stream metabolism</w:t>
        </w:r>
        <w:r w:rsidR="008A0F6D">
          <w:rPr>
            <w:noProof/>
            <w:webHidden/>
          </w:rPr>
          <w:tab/>
        </w:r>
        <w:r w:rsidR="008A0F6D">
          <w:rPr>
            <w:noProof/>
            <w:webHidden/>
          </w:rPr>
          <w:fldChar w:fldCharType="begin"/>
        </w:r>
        <w:r w:rsidR="008A0F6D">
          <w:rPr>
            <w:noProof/>
            <w:webHidden/>
          </w:rPr>
          <w:instrText xml:space="preserve"> PAGEREF _Toc22196714 \h </w:instrText>
        </w:r>
        <w:r w:rsidR="008A0F6D">
          <w:rPr>
            <w:noProof/>
            <w:webHidden/>
          </w:rPr>
        </w:r>
        <w:r w:rsidR="008A0F6D">
          <w:rPr>
            <w:noProof/>
            <w:webHidden/>
          </w:rPr>
          <w:fldChar w:fldCharType="separate"/>
        </w:r>
        <w:r w:rsidR="008A0F6D">
          <w:rPr>
            <w:noProof/>
            <w:webHidden/>
          </w:rPr>
          <w:t>60</w:t>
        </w:r>
        <w:r w:rsidR="008A0F6D">
          <w:rPr>
            <w:noProof/>
            <w:webHidden/>
          </w:rPr>
          <w:fldChar w:fldCharType="end"/>
        </w:r>
      </w:hyperlink>
    </w:p>
    <w:p w14:paraId="2EAB50D5"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15" w:history="1">
        <w:r w:rsidR="008A0F6D" w:rsidRPr="003A444B">
          <w:rPr>
            <w:rStyle w:val="Hyperlink"/>
            <w:noProof/>
          </w:rPr>
          <w:t>5.3.8</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Egg/larval drift and hydraulic modelling</w:t>
        </w:r>
        <w:r w:rsidR="008A0F6D">
          <w:rPr>
            <w:noProof/>
            <w:webHidden/>
          </w:rPr>
          <w:tab/>
        </w:r>
        <w:r w:rsidR="008A0F6D">
          <w:rPr>
            <w:noProof/>
            <w:webHidden/>
          </w:rPr>
          <w:fldChar w:fldCharType="begin"/>
        </w:r>
        <w:r w:rsidR="008A0F6D">
          <w:rPr>
            <w:noProof/>
            <w:webHidden/>
          </w:rPr>
          <w:instrText xml:space="preserve"> PAGEREF _Toc22196715 \h </w:instrText>
        </w:r>
        <w:r w:rsidR="008A0F6D">
          <w:rPr>
            <w:noProof/>
            <w:webHidden/>
          </w:rPr>
        </w:r>
        <w:r w:rsidR="008A0F6D">
          <w:rPr>
            <w:noProof/>
            <w:webHidden/>
          </w:rPr>
          <w:fldChar w:fldCharType="separate"/>
        </w:r>
        <w:r w:rsidR="008A0F6D">
          <w:rPr>
            <w:noProof/>
            <w:webHidden/>
          </w:rPr>
          <w:t>60</w:t>
        </w:r>
        <w:r w:rsidR="008A0F6D">
          <w:rPr>
            <w:noProof/>
            <w:webHidden/>
          </w:rPr>
          <w:fldChar w:fldCharType="end"/>
        </w:r>
      </w:hyperlink>
    </w:p>
    <w:p w14:paraId="7D48D6F0"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16" w:history="1">
        <w:r w:rsidR="008A0F6D" w:rsidRPr="003A444B">
          <w:rPr>
            <w:rStyle w:val="Hyperlink"/>
            <w:noProof/>
          </w:rPr>
          <w:t>5.3.9</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Review of nutrient export – is nutrient export a good thing?</w:t>
        </w:r>
        <w:r w:rsidR="008A0F6D">
          <w:rPr>
            <w:noProof/>
            <w:webHidden/>
          </w:rPr>
          <w:tab/>
        </w:r>
        <w:r w:rsidR="008A0F6D">
          <w:rPr>
            <w:noProof/>
            <w:webHidden/>
          </w:rPr>
          <w:fldChar w:fldCharType="begin"/>
        </w:r>
        <w:r w:rsidR="008A0F6D">
          <w:rPr>
            <w:noProof/>
            <w:webHidden/>
          </w:rPr>
          <w:instrText xml:space="preserve"> PAGEREF _Toc22196716 \h </w:instrText>
        </w:r>
        <w:r w:rsidR="008A0F6D">
          <w:rPr>
            <w:noProof/>
            <w:webHidden/>
          </w:rPr>
        </w:r>
        <w:r w:rsidR="008A0F6D">
          <w:rPr>
            <w:noProof/>
            <w:webHidden/>
          </w:rPr>
          <w:fldChar w:fldCharType="separate"/>
        </w:r>
        <w:r w:rsidR="008A0F6D">
          <w:rPr>
            <w:noProof/>
            <w:webHidden/>
          </w:rPr>
          <w:t>61</w:t>
        </w:r>
        <w:r w:rsidR="008A0F6D">
          <w:rPr>
            <w:noProof/>
            <w:webHidden/>
          </w:rPr>
          <w:fldChar w:fldCharType="end"/>
        </w:r>
      </w:hyperlink>
    </w:p>
    <w:p w14:paraId="6E6AB40A" w14:textId="77777777" w:rsidR="008A0F6D" w:rsidRDefault="00064EC9">
      <w:pPr>
        <w:pStyle w:val="TOC1"/>
        <w:tabs>
          <w:tab w:val="left" w:pos="660"/>
          <w:tab w:val="right" w:leader="dot" w:pos="9010"/>
        </w:tabs>
        <w:rPr>
          <w:rFonts w:asciiTheme="minorHAnsi" w:eastAsiaTheme="minorEastAsia" w:hAnsiTheme="minorHAnsi" w:cstheme="minorBidi"/>
          <w:b w:val="0"/>
          <w:noProof/>
          <w:color w:val="auto"/>
          <w:kern w:val="0"/>
          <w:sz w:val="22"/>
          <w:szCs w:val="22"/>
          <w:lang w:eastAsia="en-AU"/>
        </w:rPr>
      </w:pPr>
      <w:hyperlink w:anchor="_Toc22196717" w:history="1">
        <w:r w:rsidR="008A0F6D" w:rsidRPr="003A444B">
          <w:rPr>
            <w:rStyle w:val="Hyperlink"/>
            <w:noProof/>
          </w:rPr>
          <w:t>6</w:t>
        </w:r>
        <w:r w:rsidR="008A0F6D">
          <w:rPr>
            <w:rFonts w:asciiTheme="minorHAnsi" w:eastAsiaTheme="minorEastAsia" w:hAnsiTheme="minorHAnsi" w:cstheme="minorBidi"/>
            <w:b w:val="0"/>
            <w:noProof/>
            <w:color w:val="auto"/>
            <w:kern w:val="0"/>
            <w:sz w:val="22"/>
            <w:szCs w:val="22"/>
            <w:lang w:eastAsia="en-AU"/>
          </w:rPr>
          <w:tab/>
        </w:r>
        <w:r w:rsidR="008A0F6D" w:rsidRPr="003A444B">
          <w:rPr>
            <w:rStyle w:val="Hyperlink"/>
            <w:noProof/>
          </w:rPr>
          <w:t>Integrated research</w:t>
        </w:r>
        <w:r w:rsidR="008A0F6D">
          <w:rPr>
            <w:noProof/>
            <w:webHidden/>
          </w:rPr>
          <w:tab/>
        </w:r>
        <w:r w:rsidR="008A0F6D">
          <w:rPr>
            <w:noProof/>
            <w:webHidden/>
          </w:rPr>
          <w:fldChar w:fldCharType="begin"/>
        </w:r>
        <w:r w:rsidR="008A0F6D">
          <w:rPr>
            <w:noProof/>
            <w:webHidden/>
          </w:rPr>
          <w:instrText xml:space="preserve"> PAGEREF _Toc22196717 \h </w:instrText>
        </w:r>
        <w:r w:rsidR="008A0F6D">
          <w:rPr>
            <w:noProof/>
            <w:webHidden/>
          </w:rPr>
        </w:r>
        <w:r w:rsidR="008A0F6D">
          <w:rPr>
            <w:noProof/>
            <w:webHidden/>
          </w:rPr>
          <w:fldChar w:fldCharType="separate"/>
        </w:r>
        <w:r w:rsidR="008A0F6D">
          <w:rPr>
            <w:noProof/>
            <w:webHidden/>
          </w:rPr>
          <w:t>63</w:t>
        </w:r>
        <w:r w:rsidR="008A0F6D">
          <w:rPr>
            <w:noProof/>
            <w:webHidden/>
          </w:rPr>
          <w:fldChar w:fldCharType="end"/>
        </w:r>
      </w:hyperlink>
    </w:p>
    <w:p w14:paraId="0E89D168" w14:textId="77777777" w:rsidR="008A0F6D" w:rsidRDefault="00064EC9">
      <w:pPr>
        <w:pStyle w:val="TOC2"/>
        <w:rPr>
          <w:rFonts w:asciiTheme="minorHAnsi" w:eastAsiaTheme="minorEastAsia" w:hAnsiTheme="minorHAnsi" w:cstheme="minorBidi"/>
          <w:color w:val="auto"/>
          <w:kern w:val="0"/>
          <w:sz w:val="22"/>
          <w:szCs w:val="22"/>
          <w:lang w:eastAsia="en-AU"/>
        </w:rPr>
      </w:pPr>
      <w:hyperlink w:anchor="_Toc22196718" w:history="1">
        <w:r w:rsidR="008A0F6D" w:rsidRPr="003A444B">
          <w:rPr>
            <w:rStyle w:val="Hyperlink"/>
          </w:rPr>
          <w:t>6.1</w:t>
        </w:r>
        <w:r w:rsidR="008A0F6D">
          <w:rPr>
            <w:rFonts w:asciiTheme="minorHAnsi" w:eastAsiaTheme="minorEastAsia" w:hAnsiTheme="minorHAnsi" w:cstheme="minorBidi"/>
            <w:color w:val="auto"/>
            <w:kern w:val="0"/>
            <w:sz w:val="22"/>
            <w:szCs w:val="22"/>
            <w:lang w:eastAsia="en-AU"/>
          </w:rPr>
          <w:tab/>
        </w:r>
        <w:r w:rsidR="008A0F6D" w:rsidRPr="003A444B">
          <w:rPr>
            <w:rStyle w:val="Hyperlink"/>
          </w:rPr>
          <w:t>From primary productivity to Murray cod recruitment</w:t>
        </w:r>
        <w:r w:rsidR="008A0F6D">
          <w:rPr>
            <w:webHidden/>
          </w:rPr>
          <w:tab/>
        </w:r>
        <w:r w:rsidR="008A0F6D">
          <w:rPr>
            <w:webHidden/>
          </w:rPr>
          <w:fldChar w:fldCharType="begin"/>
        </w:r>
        <w:r w:rsidR="008A0F6D">
          <w:rPr>
            <w:webHidden/>
          </w:rPr>
          <w:instrText xml:space="preserve"> PAGEREF _Toc22196718 \h </w:instrText>
        </w:r>
        <w:r w:rsidR="008A0F6D">
          <w:rPr>
            <w:webHidden/>
          </w:rPr>
        </w:r>
        <w:r w:rsidR="008A0F6D">
          <w:rPr>
            <w:webHidden/>
          </w:rPr>
          <w:fldChar w:fldCharType="separate"/>
        </w:r>
        <w:r w:rsidR="008A0F6D">
          <w:rPr>
            <w:webHidden/>
          </w:rPr>
          <w:t>63</w:t>
        </w:r>
        <w:r w:rsidR="008A0F6D">
          <w:rPr>
            <w:webHidden/>
          </w:rPr>
          <w:fldChar w:fldCharType="end"/>
        </w:r>
      </w:hyperlink>
    </w:p>
    <w:p w14:paraId="58333A4D"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19" w:history="1">
        <w:r w:rsidR="008A0F6D" w:rsidRPr="003A444B">
          <w:rPr>
            <w:rStyle w:val="Hyperlink"/>
            <w:noProof/>
            <w:lang w:val="en-US"/>
          </w:rPr>
          <w:t>6.1.1</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lang w:val="en-US"/>
          </w:rPr>
          <w:t>Background</w:t>
        </w:r>
        <w:r w:rsidR="008A0F6D">
          <w:rPr>
            <w:noProof/>
            <w:webHidden/>
          </w:rPr>
          <w:tab/>
        </w:r>
        <w:r w:rsidR="008A0F6D">
          <w:rPr>
            <w:noProof/>
            <w:webHidden/>
          </w:rPr>
          <w:fldChar w:fldCharType="begin"/>
        </w:r>
        <w:r w:rsidR="008A0F6D">
          <w:rPr>
            <w:noProof/>
            <w:webHidden/>
          </w:rPr>
          <w:instrText xml:space="preserve"> PAGEREF _Toc22196719 \h </w:instrText>
        </w:r>
        <w:r w:rsidR="008A0F6D">
          <w:rPr>
            <w:noProof/>
            <w:webHidden/>
          </w:rPr>
        </w:r>
        <w:r w:rsidR="008A0F6D">
          <w:rPr>
            <w:noProof/>
            <w:webHidden/>
          </w:rPr>
          <w:fldChar w:fldCharType="separate"/>
        </w:r>
        <w:r w:rsidR="008A0F6D">
          <w:rPr>
            <w:noProof/>
            <w:webHidden/>
          </w:rPr>
          <w:t>63</w:t>
        </w:r>
        <w:r w:rsidR="008A0F6D">
          <w:rPr>
            <w:noProof/>
            <w:webHidden/>
          </w:rPr>
          <w:fldChar w:fldCharType="end"/>
        </w:r>
      </w:hyperlink>
    </w:p>
    <w:p w14:paraId="40508CAA"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20" w:history="1">
        <w:r w:rsidR="008A0F6D" w:rsidRPr="003A444B">
          <w:rPr>
            <w:rStyle w:val="Hyperlink"/>
            <w:noProof/>
            <w:lang w:val="en-US"/>
          </w:rPr>
          <w:t>6.1.2</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lang w:val="en-US"/>
          </w:rPr>
          <w:t>Research questions</w:t>
        </w:r>
        <w:r w:rsidR="008A0F6D">
          <w:rPr>
            <w:noProof/>
            <w:webHidden/>
          </w:rPr>
          <w:tab/>
        </w:r>
        <w:r w:rsidR="008A0F6D">
          <w:rPr>
            <w:noProof/>
            <w:webHidden/>
          </w:rPr>
          <w:fldChar w:fldCharType="begin"/>
        </w:r>
        <w:r w:rsidR="008A0F6D">
          <w:rPr>
            <w:noProof/>
            <w:webHidden/>
          </w:rPr>
          <w:instrText xml:space="preserve"> PAGEREF _Toc22196720 \h </w:instrText>
        </w:r>
        <w:r w:rsidR="008A0F6D">
          <w:rPr>
            <w:noProof/>
            <w:webHidden/>
          </w:rPr>
        </w:r>
        <w:r w:rsidR="008A0F6D">
          <w:rPr>
            <w:noProof/>
            <w:webHidden/>
          </w:rPr>
          <w:fldChar w:fldCharType="separate"/>
        </w:r>
        <w:r w:rsidR="008A0F6D">
          <w:rPr>
            <w:noProof/>
            <w:webHidden/>
          </w:rPr>
          <w:t>63</w:t>
        </w:r>
        <w:r w:rsidR="008A0F6D">
          <w:rPr>
            <w:noProof/>
            <w:webHidden/>
          </w:rPr>
          <w:fldChar w:fldCharType="end"/>
        </w:r>
      </w:hyperlink>
    </w:p>
    <w:p w14:paraId="6D3136CA"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21" w:history="1">
        <w:r w:rsidR="008A0F6D" w:rsidRPr="003A444B">
          <w:rPr>
            <w:rStyle w:val="Hyperlink"/>
            <w:noProof/>
            <w:lang w:val="en-US"/>
          </w:rPr>
          <w:t>6.1.3</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lang w:val="en-US"/>
          </w:rPr>
          <w:t>Methods</w:t>
        </w:r>
        <w:r w:rsidR="008A0F6D">
          <w:rPr>
            <w:noProof/>
            <w:webHidden/>
          </w:rPr>
          <w:tab/>
        </w:r>
        <w:r w:rsidR="008A0F6D">
          <w:rPr>
            <w:noProof/>
            <w:webHidden/>
          </w:rPr>
          <w:fldChar w:fldCharType="begin"/>
        </w:r>
        <w:r w:rsidR="008A0F6D">
          <w:rPr>
            <w:noProof/>
            <w:webHidden/>
          </w:rPr>
          <w:instrText xml:space="preserve"> PAGEREF _Toc22196721 \h </w:instrText>
        </w:r>
        <w:r w:rsidR="008A0F6D">
          <w:rPr>
            <w:noProof/>
            <w:webHidden/>
          </w:rPr>
        </w:r>
        <w:r w:rsidR="008A0F6D">
          <w:rPr>
            <w:noProof/>
            <w:webHidden/>
          </w:rPr>
          <w:fldChar w:fldCharType="separate"/>
        </w:r>
        <w:r w:rsidR="008A0F6D">
          <w:rPr>
            <w:noProof/>
            <w:webHidden/>
          </w:rPr>
          <w:t>64</w:t>
        </w:r>
        <w:r w:rsidR="008A0F6D">
          <w:rPr>
            <w:noProof/>
            <w:webHidden/>
          </w:rPr>
          <w:fldChar w:fldCharType="end"/>
        </w:r>
      </w:hyperlink>
    </w:p>
    <w:p w14:paraId="140FC5D7"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22" w:history="1">
        <w:r w:rsidR="008A0F6D" w:rsidRPr="003A444B">
          <w:rPr>
            <w:rStyle w:val="Hyperlink"/>
            <w:noProof/>
            <w:lang w:val="en-US"/>
          </w:rPr>
          <w:t>6.1.4</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lang w:val="en-US"/>
          </w:rPr>
          <w:t>Informing monitoring outcomes and adaptive management</w:t>
        </w:r>
        <w:r w:rsidR="008A0F6D">
          <w:rPr>
            <w:noProof/>
            <w:webHidden/>
          </w:rPr>
          <w:tab/>
        </w:r>
        <w:r w:rsidR="008A0F6D">
          <w:rPr>
            <w:noProof/>
            <w:webHidden/>
          </w:rPr>
          <w:fldChar w:fldCharType="begin"/>
        </w:r>
        <w:r w:rsidR="008A0F6D">
          <w:rPr>
            <w:noProof/>
            <w:webHidden/>
          </w:rPr>
          <w:instrText xml:space="preserve"> PAGEREF _Toc22196722 \h </w:instrText>
        </w:r>
        <w:r w:rsidR="008A0F6D">
          <w:rPr>
            <w:noProof/>
            <w:webHidden/>
          </w:rPr>
        </w:r>
        <w:r w:rsidR="008A0F6D">
          <w:rPr>
            <w:noProof/>
            <w:webHidden/>
          </w:rPr>
          <w:fldChar w:fldCharType="separate"/>
        </w:r>
        <w:r w:rsidR="008A0F6D">
          <w:rPr>
            <w:noProof/>
            <w:webHidden/>
          </w:rPr>
          <w:t>64</w:t>
        </w:r>
        <w:r w:rsidR="008A0F6D">
          <w:rPr>
            <w:noProof/>
            <w:webHidden/>
          </w:rPr>
          <w:fldChar w:fldCharType="end"/>
        </w:r>
      </w:hyperlink>
    </w:p>
    <w:p w14:paraId="3C2596A8" w14:textId="77777777" w:rsidR="008A0F6D" w:rsidRDefault="00064EC9">
      <w:pPr>
        <w:pStyle w:val="TOC1"/>
        <w:tabs>
          <w:tab w:val="left" w:pos="660"/>
          <w:tab w:val="right" w:leader="dot" w:pos="9010"/>
        </w:tabs>
        <w:rPr>
          <w:rFonts w:asciiTheme="minorHAnsi" w:eastAsiaTheme="minorEastAsia" w:hAnsiTheme="minorHAnsi" w:cstheme="minorBidi"/>
          <w:b w:val="0"/>
          <w:noProof/>
          <w:color w:val="auto"/>
          <w:kern w:val="0"/>
          <w:sz w:val="22"/>
          <w:szCs w:val="22"/>
          <w:lang w:eastAsia="en-AU"/>
        </w:rPr>
      </w:pPr>
      <w:hyperlink w:anchor="_Toc22196723" w:history="1">
        <w:r w:rsidR="008A0F6D" w:rsidRPr="003A444B">
          <w:rPr>
            <w:rStyle w:val="Hyperlink"/>
            <w:noProof/>
          </w:rPr>
          <w:t>7</w:t>
        </w:r>
        <w:r w:rsidR="008A0F6D">
          <w:rPr>
            <w:rFonts w:asciiTheme="minorHAnsi" w:eastAsiaTheme="minorEastAsia" w:hAnsiTheme="minorHAnsi" w:cstheme="minorBidi"/>
            <w:b w:val="0"/>
            <w:noProof/>
            <w:color w:val="auto"/>
            <w:kern w:val="0"/>
            <w:sz w:val="22"/>
            <w:szCs w:val="22"/>
            <w:lang w:eastAsia="en-AU"/>
          </w:rPr>
          <w:tab/>
        </w:r>
        <w:r w:rsidR="008A0F6D" w:rsidRPr="003A444B">
          <w:rPr>
            <w:rStyle w:val="Hyperlink"/>
            <w:noProof/>
          </w:rPr>
          <w:t>Summary of monitoring, evaluation and research activities</w:t>
        </w:r>
        <w:r w:rsidR="008A0F6D">
          <w:rPr>
            <w:noProof/>
            <w:webHidden/>
          </w:rPr>
          <w:tab/>
        </w:r>
        <w:r w:rsidR="008A0F6D">
          <w:rPr>
            <w:noProof/>
            <w:webHidden/>
          </w:rPr>
          <w:fldChar w:fldCharType="begin"/>
        </w:r>
        <w:r w:rsidR="008A0F6D">
          <w:rPr>
            <w:noProof/>
            <w:webHidden/>
          </w:rPr>
          <w:instrText xml:space="preserve"> PAGEREF _Toc22196723 \h </w:instrText>
        </w:r>
        <w:r w:rsidR="008A0F6D">
          <w:rPr>
            <w:noProof/>
            <w:webHidden/>
          </w:rPr>
        </w:r>
        <w:r w:rsidR="008A0F6D">
          <w:rPr>
            <w:noProof/>
            <w:webHidden/>
          </w:rPr>
          <w:fldChar w:fldCharType="separate"/>
        </w:r>
        <w:r w:rsidR="008A0F6D">
          <w:rPr>
            <w:noProof/>
            <w:webHidden/>
          </w:rPr>
          <w:t>65</w:t>
        </w:r>
        <w:r w:rsidR="008A0F6D">
          <w:rPr>
            <w:noProof/>
            <w:webHidden/>
          </w:rPr>
          <w:fldChar w:fldCharType="end"/>
        </w:r>
      </w:hyperlink>
    </w:p>
    <w:p w14:paraId="091184CD" w14:textId="77777777" w:rsidR="008A0F6D" w:rsidRDefault="00064EC9">
      <w:pPr>
        <w:pStyle w:val="TOC2"/>
        <w:rPr>
          <w:rFonts w:asciiTheme="minorHAnsi" w:eastAsiaTheme="minorEastAsia" w:hAnsiTheme="minorHAnsi" w:cstheme="minorBidi"/>
          <w:color w:val="auto"/>
          <w:kern w:val="0"/>
          <w:sz w:val="22"/>
          <w:szCs w:val="22"/>
          <w:lang w:eastAsia="en-AU"/>
        </w:rPr>
      </w:pPr>
      <w:hyperlink w:anchor="_Toc22196724" w:history="1">
        <w:r w:rsidR="008A0F6D" w:rsidRPr="003A444B">
          <w:rPr>
            <w:rStyle w:val="Hyperlink"/>
          </w:rPr>
          <w:t>7.1</w:t>
        </w:r>
        <w:r w:rsidR="008A0F6D">
          <w:rPr>
            <w:rFonts w:asciiTheme="minorHAnsi" w:eastAsiaTheme="minorEastAsia" w:hAnsiTheme="minorHAnsi" w:cstheme="minorBidi"/>
            <w:color w:val="auto"/>
            <w:kern w:val="0"/>
            <w:sz w:val="22"/>
            <w:szCs w:val="22"/>
            <w:lang w:eastAsia="en-AU"/>
          </w:rPr>
          <w:tab/>
        </w:r>
        <w:r w:rsidR="008A0F6D" w:rsidRPr="003A444B">
          <w:rPr>
            <w:rStyle w:val="Hyperlink"/>
          </w:rPr>
          <w:t>Overview of monitoring</w:t>
        </w:r>
        <w:r w:rsidR="008A0F6D">
          <w:rPr>
            <w:webHidden/>
          </w:rPr>
          <w:tab/>
        </w:r>
        <w:r w:rsidR="008A0F6D">
          <w:rPr>
            <w:webHidden/>
          </w:rPr>
          <w:fldChar w:fldCharType="begin"/>
        </w:r>
        <w:r w:rsidR="008A0F6D">
          <w:rPr>
            <w:webHidden/>
          </w:rPr>
          <w:instrText xml:space="preserve"> PAGEREF _Toc22196724 \h </w:instrText>
        </w:r>
        <w:r w:rsidR="008A0F6D">
          <w:rPr>
            <w:webHidden/>
          </w:rPr>
        </w:r>
        <w:r w:rsidR="008A0F6D">
          <w:rPr>
            <w:webHidden/>
          </w:rPr>
          <w:fldChar w:fldCharType="separate"/>
        </w:r>
        <w:r w:rsidR="008A0F6D">
          <w:rPr>
            <w:webHidden/>
          </w:rPr>
          <w:t>65</w:t>
        </w:r>
        <w:r w:rsidR="008A0F6D">
          <w:rPr>
            <w:webHidden/>
          </w:rPr>
          <w:fldChar w:fldCharType="end"/>
        </w:r>
      </w:hyperlink>
    </w:p>
    <w:p w14:paraId="002050D1" w14:textId="77777777" w:rsidR="008A0F6D" w:rsidRDefault="00064EC9">
      <w:pPr>
        <w:pStyle w:val="TOC2"/>
        <w:rPr>
          <w:rFonts w:asciiTheme="minorHAnsi" w:eastAsiaTheme="minorEastAsia" w:hAnsiTheme="minorHAnsi" w:cstheme="minorBidi"/>
          <w:color w:val="auto"/>
          <w:kern w:val="0"/>
          <w:sz w:val="22"/>
          <w:szCs w:val="22"/>
          <w:lang w:eastAsia="en-AU"/>
        </w:rPr>
      </w:pPr>
      <w:hyperlink w:anchor="_Toc22196725" w:history="1">
        <w:r w:rsidR="008A0F6D" w:rsidRPr="003A444B">
          <w:rPr>
            <w:rStyle w:val="Hyperlink"/>
          </w:rPr>
          <w:t>7.2</w:t>
        </w:r>
        <w:r w:rsidR="008A0F6D">
          <w:rPr>
            <w:rFonts w:asciiTheme="minorHAnsi" w:eastAsiaTheme="minorEastAsia" w:hAnsiTheme="minorHAnsi" w:cstheme="minorBidi"/>
            <w:color w:val="auto"/>
            <w:kern w:val="0"/>
            <w:sz w:val="22"/>
            <w:szCs w:val="22"/>
            <w:lang w:eastAsia="en-AU"/>
          </w:rPr>
          <w:tab/>
        </w:r>
        <w:r w:rsidR="008A0F6D" w:rsidRPr="003A444B">
          <w:rPr>
            <w:rStyle w:val="Hyperlink"/>
          </w:rPr>
          <w:t>Monitoring schedule</w:t>
        </w:r>
        <w:r w:rsidR="008A0F6D">
          <w:rPr>
            <w:webHidden/>
          </w:rPr>
          <w:tab/>
        </w:r>
        <w:r w:rsidR="008A0F6D">
          <w:rPr>
            <w:webHidden/>
          </w:rPr>
          <w:fldChar w:fldCharType="begin"/>
        </w:r>
        <w:r w:rsidR="008A0F6D">
          <w:rPr>
            <w:webHidden/>
          </w:rPr>
          <w:instrText xml:space="preserve"> PAGEREF _Toc22196725 \h </w:instrText>
        </w:r>
        <w:r w:rsidR="008A0F6D">
          <w:rPr>
            <w:webHidden/>
          </w:rPr>
        </w:r>
        <w:r w:rsidR="008A0F6D">
          <w:rPr>
            <w:webHidden/>
          </w:rPr>
          <w:fldChar w:fldCharType="separate"/>
        </w:r>
        <w:r w:rsidR="008A0F6D">
          <w:rPr>
            <w:webHidden/>
          </w:rPr>
          <w:t>65</w:t>
        </w:r>
        <w:r w:rsidR="008A0F6D">
          <w:rPr>
            <w:webHidden/>
          </w:rPr>
          <w:fldChar w:fldCharType="end"/>
        </w:r>
      </w:hyperlink>
    </w:p>
    <w:p w14:paraId="72C91912"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26" w:history="1">
        <w:r w:rsidR="008A0F6D" w:rsidRPr="003A444B">
          <w:rPr>
            <w:rStyle w:val="Hyperlink"/>
            <w:noProof/>
          </w:rPr>
          <w:t>7.2.1</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Stream Metabolism and Water Quality</w:t>
        </w:r>
        <w:r w:rsidR="008A0F6D">
          <w:rPr>
            <w:noProof/>
            <w:webHidden/>
          </w:rPr>
          <w:tab/>
        </w:r>
        <w:r w:rsidR="008A0F6D">
          <w:rPr>
            <w:noProof/>
            <w:webHidden/>
          </w:rPr>
          <w:fldChar w:fldCharType="begin"/>
        </w:r>
        <w:r w:rsidR="008A0F6D">
          <w:rPr>
            <w:noProof/>
            <w:webHidden/>
          </w:rPr>
          <w:instrText xml:space="preserve"> PAGEREF _Toc22196726 \h </w:instrText>
        </w:r>
        <w:r w:rsidR="008A0F6D">
          <w:rPr>
            <w:noProof/>
            <w:webHidden/>
          </w:rPr>
        </w:r>
        <w:r w:rsidR="008A0F6D">
          <w:rPr>
            <w:noProof/>
            <w:webHidden/>
          </w:rPr>
          <w:fldChar w:fldCharType="separate"/>
        </w:r>
        <w:r w:rsidR="008A0F6D">
          <w:rPr>
            <w:noProof/>
            <w:webHidden/>
          </w:rPr>
          <w:t>65</w:t>
        </w:r>
        <w:r w:rsidR="008A0F6D">
          <w:rPr>
            <w:noProof/>
            <w:webHidden/>
          </w:rPr>
          <w:fldChar w:fldCharType="end"/>
        </w:r>
      </w:hyperlink>
    </w:p>
    <w:p w14:paraId="27D3BBC2"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27" w:history="1">
        <w:r w:rsidR="008A0F6D" w:rsidRPr="003A444B">
          <w:rPr>
            <w:rStyle w:val="Hyperlink"/>
            <w:noProof/>
          </w:rPr>
          <w:t>7.2.2</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Fish (Channel)</w:t>
        </w:r>
        <w:r w:rsidR="008A0F6D">
          <w:rPr>
            <w:noProof/>
            <w:webHidden/>
          </w:rPr>
          <w:tab/>
        </w:r>
        <w:r w:rsidR="008A0F6D">
          <w:rPr>
            <w:noProof/>
            <w:webHidden/>
          </w:rPr>
          <w:fldChar w:fldCharType="begin"/>
        </w:r>
        <w:r w:rsidR="008A0F6D">
          <w:rPr>
            <w:noProof/>
            <w:webHidden/>
          </w:rPr>
          <w:instrText xml:space="preserve"> PAGEREF _Toc22196727 \h </w:instrText>
        </w:r>
        <w:r w:rsidR="008A0F6D">
          <w:rPr>
            <w:noProof/>
            <w:webHidden/>
          </w:rPr>
        </w:r>
        <w:r w:rsidR="008A0F6D">
          <w:rPr>
            <w:noProof/>
            <w:webHidden/>
          </w:rPr>
          <w:fldChar w:fldCharType="separate"/>
        </w:r>
        <w:r w:rsidR="008A0F6D">
          <w:rPr>
            <w:noProof/>
            <w:webHidden/>
          </w:rPr>
          <w:t>65</w:t>
        </w:r>
        <w:r w:rsidR="008A0F6D">
          <w:rPr>
            <w:noProof/>
            <w:webHidden/>
          </w:rPr>
          <w:fldChar w:fldCharType="end"/>
        </w:r>
      </w:hyperlink>
    </w:p>
    <w:p w14:paraId="00D6B8DA"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28" w:history="1">
        <w:r w:rsidR="008A0F6D" w:rsidRPr="003A444B">
          <w:rPr>
            <w:rStyle w:val="Hyperlink"/>
            <w:noProof/>
          </w:rPr>
          <w:t>7.2.3</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Littoral Vegetation Diversity and Productivity</w:t>
        </w:r>
        <w:r w:rsidR="008A0F6D">
          <w:rPr>
            <w:noProof/>
            <w:webHidden/>
          </w:rPr>
          <w:tab/>
        </w:r>
        <w:r w:rsidR="008A0F6D">
          <w:rPr>
            <w:noProof/>
            <w:webHidden/>
          </w:rPr>
          <w:fldChar w:fldCharType="begin"/>
        </w:r>
        <w:r w:rsidR="008A0F6D">
          <w:rPr>
            <w:noProof/>
            <w:webHidden/>
          </w:rPr>
          <w:instrText xml:space="preserve"> PAGEREF _Toc22196728 \h </w:instrText>
        </w:r>
        <w:r w:rsidR="008A0F6D">
          <w:rPr>
            <w:noProof/>
            <w:webHidden/>
          </w:rPr>
        </w:r>
        <w:r w:rsidR="008A0F6D">
          <w:rPr>
            <w:noProof/>
            <w:webHidden/>
          </w:rPr>
          <w:fldChar w:fldCharType="separate"/>
        </w:r>
        <w:r w:rsidR="008A0F6D">
          <w:rPr>
            <w:noProof/>
            <w:webHidden/>
          </w:rPr>
          <w:t>65</w:t>
        </w:r>
        <w:r w:rsidR="008A0F6D">
          <w:rPr>
            <w:noProof/>
            <w:webHidden/>
          </w:rPr>
          <w:fldChar w:fldCharType="end"/>
        </w:r>
      </w:hyperlink>
    </w:p>
    <w:p w14:paraId="487E3F96"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29" w:history="1">
        <w:r w:rsidR="008A0F6D" w:rsidRPr="003A444B">
          <w:rPr>
            <w:rStyle w:val="Hyperlink"/>
            <w:noProof/>
          </w:rPr>
          <w:t>7.2.4</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Microinvertebrate Assemblage</w:t>
        </w:r>
        <w:r w:rsidR="008A0F6D">
          <w:rPr>
            <w:noProof/>
            <w:webHidden/>
          </w:rPr>
          <w:tab/>
        </w:r>
        <w:r w:rsidR="008A0F6D">
          <w:rPr>
            <w:noProof/>
            <w:webHidden/>
          </w:rPr>
          <w:fldChar w:fldCharType="begin"/>
        </w:r>
        <w:r w:rsidR="008A0F6D">
          <w:rPr>
            <w:noProof/>
            <w:webHidden/>
          </w:rPr>
          <w:instrText xml:space="preserve"> PAGEREF _Toc22196729 \h </w:instrText>
        </w:r>
        <w:r w:rsidR="008A0F6D">
          <w:rPr>
            <w:noProof/>
            <w:webHidden/>
          </w:rPr>
        </w:r>
        <w:r w:rsidR="008A0F6D">
          <w:rPr>
            <w:noProof/>
            <w:webHidden/>
          </w:rPr>
          <w:fldChar w:fldCharType="separate"/>
        </w:r>
        <w:r w:rsidR="008A0F6D">
          <w:rPr>
            <w:noProof/>
            <w:webHidden/>
          </w:rPr>
          <w:t>66</w:t>
        </w:r>
        <w:r w:rsidR="008A0F6D">
          <w:rPr>
            <w:noProof/>
            <w:webHidden/>
          </w:rPr>
          <w:fldChar w:fldCharType="end"/>
        </w:r>
      </w:hyperlink>
    </w:p>
    <w:p w14:paraId="2E5A46C5"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30" w:history="1">
        <w:r w:rsidR="008A0F6D" w:rsidRPr="003A444B">
          <w:rPr>
            <w:rStyle w:val="Hyperlink"/>
            <w:noProof/>
          </w:rPr>
          <w:t>7.2.5</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Flow-cued Spawning Fish Recruitment</w:t>
        </w:r>
        <w:r w:rsidR="008A0F6D">
          <w:rPr>
            <w:noProof/>
            <w:webHidden/>
          </w:rPr>
          <w:tab/>
        </w:r>
        <w:r w:rsidR="008A0F6D">
          <w:rPr>
            <w:noProof/>
            <w:webHidden/>
          </w:rPr>
          <w:fldChar w:fldCharType="begin"/>
        </w:r>
        <w:r w:rsidR="008A0F6D">
          <w:rPr>
            <w:noProof/>
            <w:webHidden/>
          </w:rPr>
          <w:instrText xml:space="preserve"> PAGEREF _Toc22196730 \h </w:instrText>
        </w:r>
        <w:r w:rsidR="008A0F6D">
          <w:rPr>
            <w:noProof/>
            <w:webHidden/>
          </w:rPr>
        </w:r>
        <w:r w:rsidR="008A0F6D">
          <w:rPr>
            <w:noProof/>
            <w:webHidden/>
          </w:rPr>
          <w:fldChar w:fldCharType="separate"/>
        </w:r>
        <w:r w:rsidR="008A0F6D">
          <w:rPr>
            <w:noProof/>
            <w:webHidden/>
          </w:rPr>
          <w:t>66</w:t>
        </w:r>
        <w:r w:rsidR="008A0F6D">
          <w:rPr>
            <w:noProof/>
            <w:webHidden/>
          </w:rPr>
          <w:fldChar w:fldCharType="end"/>
        </w:r>
      </w:hyperlink>
    </w:p>
    <w:p w14:paraId="5859BA5F"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31" w:history="1">
        <w:r w:rsidR="008A0F6D" w:rsidRPr="003A444B">
          <w:rPr>
            <w:rStyle w:val="Hyperlink"/>
            <w:noProof/>
          </w:rPr>
          <w:t>7.2.6</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Murray Cod Recruitment</w:t>
        </w:r>
        <w:r w:rsidR="008A0F6D">
          <w:rPr>
            <w:noProof/>
            <w:webHidden/>
          </w:rPr>
          <w:tab/>
        </w:r>
        <w:r w:rsidR="008A0F6D">
          <w:rPr>
            <w:noProof/>
            <w:webHidden/>
          </w:rPr>
          <w:fldChar w:fldCharType="begin"/>
        </w:r>
        <w:r w:rsidR="008A0F6D">
          <w:rPr>
            <w:noProof/>
            <w:webHidden/>
          </w:rPr>
          <w:instrText xml:space="preserve"> PAGEREF _Toc22196731 \h </w:instrText>
        </w:r>
        <w:r w:rsidR="008A0F6D">
          <w:rPr>
            <w:noProof/>
            <w:webHidden/>
          </w:rPr>
        </w:r>
        <w:r w:rsidR="008A0F6D">
          <w:rPr>
            <w:noProof/>
            <w:webHidden/>
          </w:rPr>
          <w:fldChar w:fldCharType="separate"/>
        </w:r>
        <w:r w:rsidR="008A0F6D">
          <w:rPr>
            <w:noProof/>
            <w:webHidden/>
          </w:rPr>
          <w:t>66</w:t>
        </w:r>
        <w:r w:rsidR="008A0F6D">
          <w:rPr>
            <w:noProof/>
            <w:webHidden/>
          </w:rPr>
          <w:fldChar w:fldCharType="end"/>
        </w:r>
      </w:hyperlink>
    </w:p>
    <w:p w14:paraId="054FC14E" w14:textId="77777777" w:rsidR="008A0F6D" w:rsidRDefault="00064EC9">
      <w:pPr>
        <w:pStyle w:val="TOC2"/>
        <w:rPr>
          <w:rFonts w:asciiTheme="minorHAnsi" w:eastAsiaTheme="minorEastAsia" w:hAnsiTheme="minorHAnsi" w:cstheme="minorBidi"/>
          <w:color w:val="auto"/>
          <w:kern w:val="0"/>
          <w:sz w:val="22"/>
          <w:szCs w:val="22"/>
          <w:lang w:eastAsia="en-AU"/>
        </w:rPr>
      </w:pPr>
      <w:hyperlink w:anchor="_Toc22196732" w:history="1">
        <w:r w:rsidR="008A0F6D" w:rsidRPr="003A444B">
          <w:rPr>
            <w:rStyle w:val="Hyperlink"/>
          </w:rPr>
          <w:t>7.3</w:t>
        </w:r>
        <w:r w:rsidR="008A0F6D">
          <w:rPr>
            <w:rFonts w:asciiTheme="minorHAnsi" w:eastAsiaTheme="minorEastAsia" w:hAnsiTheme="minorHAnsi" w:cstheme="minorBidi"/>
            <w:color w:val="auto"/>
            <w:kern w:val="0"/>
            <w:sz w:val="22"/>
            <w:szCs w:val="22"/>
            <w:lang w:eastAsia="en-AU"/>
          </w:rPr>
          <w:tab/>
        </w:r>
        <w:r w:rsidR="008A0F6D" w:rsidRPr="003A444B">
          <w:rPr>
            <w:rStyle w:val="Hyperlink"/>
          </w:rPr>
          <w:t>Complementary monitoring</w:t>
        </w:r>
        <w:r w:rsidR="008A0F6D">
          <w:rPr>
            <w:webHidden/>
          </w:rPr>
          <w:tab/>
        </w:r>
        <w:r w:rsidR="008A0F6D">
          <w:rPr>
            <w:webHidden/>
          </w:rPr>
          <w:fldChar w:fldCharType="begin"/>
        </w:r>
        <w:r w:rsidR="008A0F6D">
          <w:rPr>
            <w:webHidden/>
          </w:rPr>
          <w:instrText xml:space="preserve"> PAGEREF _Toc22196732 \h </w:instrText>
        </w:r>
        <w:r w:rsidR="008A0F6D">
          <w:rPr>
            <w:webHidden/>
          </w:rPr>
        </w:r>
        <w:r w:rsidR="008A0F6D">
          <w:rPr>
            <w:webHidden/>
          </w:rPr>
          <w:fldChar w:fldCharType="separate"/>
        </w:r>
        <w:r w:rsidR="008A0F6D">
          <w:rPr>
            <w:webHidden/>
          </w:rPr>
          <w:t>70</w:t>
        </w:r>
        <w:r w:rsidR="008A0F6D">
          <w:rPr>
            <w:webHidden/>
          </w:rPr>
          <w:fldChar w:fldCharType="end"/>
        </w:r>
      </w:hyperlink>
    </w:p>
    <w:p w14:paraId="5FB78B4D" w14:textId="77777777" w:rsidR="008A0F6D" w:rsidRDefault="00064EC9">
      <w:pPr>
        <w:pStyle w:val="TOC1"/>
        <w:tabs>
          <w:tab w:val="left" w:pos="660"/>
          <w:tab w:val="right" w:leader="dot" w:pos="9010"/>
        </w:tabs>
        <w:rPr>
          <w:rFonts w:asciiTheme="minorHAnsi" w:eastAsiaTheme="minorEastAsia" w:hAnsiTheme="minorHAnsi" w:cstheme="minorBidi"/>
          <w:b w:val="0"/>
          <w:noProof/>
          <w:color w:val="auto"/>
          <w:kern w:val="0"/>
          <w:sz w:val="22"/>
          <w:szCs w:val="22"/>
          <w:lang w:eastAsia="en-AU"/>
        </w:rPr>
      </w:pPr>
      <w:hyperlink w:anchor="_Toc22196733" w:history="1">
        <w:r w:rsidR="008A0F6D" w:rsidRPr="003A444B">
          <w:rPr>
            <w:rStyle w:val="Hyperlink"/>
            <w:noProof/>
          </w:rPr>
          <w:t>8</w:t>
        </w:r>
        <w:r w:rsidR="008A0F6D">
          <w:rPr>
            <w:rFonts w:asciiTheme="minorHAnsi" w:eastAsiaTheme="minorEastAsia" w:hAnsiTheme="minorHAnsi" w:cstheme="minorBidi"/>
            <w:b w:val="0"/>
            <w:noProof/>
            <w:color w:val="auto"/>
            <w:kern w:val="0"/>
            <w:sz w:val="22"/>
            <w:szCs w:val="22"/>
            <w:lang w:eastAsia="en-AU"/>
          </w:rPr>
          <w:tab/>
        </w:r>
        <w:r w:rsidR="008A0F6D" w:rsidRPr="003A444B">
          <w:rPr>
            <w:rStyle w:val="Hyperlink"/>
            <w:noProof/>
          </w:rPr>
          <w:t>Engagement and communication Plan</w:t>
        </w:r>
        <w:r w:rsidR="008A0F6D">
          <w:rPr>
            <w:noProof/>
            <w:webHidden/>
          </w:rPr>
          <w:tab/>
        </w:r>
        <w:r w:rsidR="008A0F6D">
          <w:rPr>
            <w:noProof/>
            <w:webHidden/>
          </w:rPr>
          <w:fldChar w:fldCharType="begin"/>
        </w:r>
        <w:r w:rsidR="008A0F6D">
          <w:rPr>
            <w:noProof/>
            <w:webHidden/>
          </w:rPr>
          <w:instrText xml:space="preserve"> PAGEREF _Toc22196733 \h </w:instrText>
        </w:r>
        <w:r w:rsidR="008A0F6D">
          <w:rPr>
            <w:noProof/>
            <w:webHidden/>
          </w:rPr>
        </w:r>
        <w:r w:rsidR="008A0F6D">
          <w:rPr>
            <w:noProof/>
            <w:webHidden/>
          </w:rPr>
          <w:fldChar w:fldCharType="separate"/>
        </w:r>
        <w:r w:rsidR="008A0F6D">
          <w:rPr>
            <w:noProof/>
            <w:webHidden/>
          </w:rPr>
          <w:t>72</w:t>
        </w:r>
        <w:r w:rsidR="008A0F6D">
          <w:rPr>
            <w:noProof/>
            <w:webHidden/>
          </w:rPr>
          <w:fldChar w:fldCharType="end"/>
        </w:r>
      </w:hyperlink>
    </w:p>
    <w:p w14:paraId="1F67EB22" w14:textId="77777777" w:rsidR="008A0F6D" w:rsidRDefault="00064EC9">
      <w:pPr>
        <w:pStyle w:val="TOC2"/>
        <w:rPr>
          <w:rFonts w:asciiTheme="minorHAnsi" w:eastAsiaTheme="minorEastAsia" w:hAnsiTheme="minorHAnsi" w:cstheme="minorBidi"/>
          <w:color w:val="auto"/>
          <w:kern w:val="0"/>
          <w:sz w:val="22"/>
          <w:szCs w:val="22"/>
          <w:lang w:eastAsia="en-AU"/>
        </w:rPr>
      </w:pPr>
      <w:hyperlink w:anchor="_Toc22196734" w:history="1">
        <w:r w:rsidR="008A0F6D" w:rsidRPr="003A444B">
          <w:rPr>
            <w:rStyle w:val="Hyperlink"/>
          </w:rPr>
          <w:t>8.1</w:t>
        </w:r>
        <w:r w:rsidR="008A0F6D">
          <w:rPr>
            <w:rFonts w:asciiTheme="minorHAnsi" w:eastAsiaTheme="minorEastAsia" w:hAnsiTheme="minorHAnsi" w:cstheme="minorBidi"/>
            <w:color w:val="auto"/>
            <w:kern w:val="0"/>
            <w:sz w:val="22"/>
            <w:szCs w:val="22"/>
            <w:lang w:eastAsia="en-AU"/>
          </w:rPr>
          <w:tab/>
        </w:r>
        <w:r w:rsidR="008A0F6D" w:rsidRPr="003A444B">
          <w:rPr>
            <w:rStyle w:val="Hyperlink"/>
          </w:rPr>
          <w:t>Purpose</w:t>
        </w:r>
        <w:r w:rsidR="008A0F6D">
          <w:rPr>
            <w:webHidden/>
          </w:rPr>
          <w:tab/>
        </w:r>
        <w:r w:rsidR="008A0F6D">
          <w:rPr>
            <w:webHidden/>
          </w:rPr>
          <w:fldChar w:fldCharType="begin"/>
        </w:r>
        <w:r w:rsidR="008A0F6D">
          <w:rPr>
            <w:webHidden/>
          </w:rPr>
          <w:instrText xml:space="preserve"> PAGEREF _Toc22196734 \h </w:instrText>
        </w:r>
        <w:r w:rsidR="008A0F6D">
          <w:rPr>
            <w:webHidden/>
          </w:rPr>
        </w:r>
        <w:r w:rsidR="008A0F6D">
          <w:rPr>
            <w:webHidden/>
          </w:rPr>
          <w:fldChar w:fldCharType="separate"/>
        </w:r>
        <w:r w:rsidR="008A0F6D">
          <w:rPr>
            <w:webHidden/>
          </w:rPr>
          <w:t>72</w:t>
        </w:r>
        <w:r w:rsidR="008A0F6D">
          <w:rPr>
            <w:webHidden/>
          </w:rPr>
          <w:fldChar w:fldCharType="end"/>
        </w:r>
      </w:hyperlink>
    </w:p>
    <w:p w14:paraId="70B428E0"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35" w:history="1">
        <w:r w:rsidR="008A0F6D" w:rsidRPr="003A444B">
          <w:rPr>
            <w:rStyle w:val="Hyperlink"/>
            <w:noProof/>
          </w:rPr>
          <w:t>8.1.1</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Principles for communicating information about the project</w:t>
        </w:r>
        <w:r w:rsidR="008A0F6D">
          <w:rPr>
            <w:noProof/>
            <w:webHidden/>
          </w:rPr>
          <w:tab/>
        </w:r>
        <w:r w:rsidR="008A0F6D">
          <w:rPr>
            <w:noProof/>
            <w:webHidden/>
          </w:rPr>
          <w:fldChar w:fldCharType="begin"/>
        </w:r>
        <w:r w:rsidR="008A0F6D">
          <w:rPr>
            <w:noProof/>
            <w:webHidden/>
          </w:rPr>
          <w:instrText xml:space="preserve"> PAGEREF _Toc22196735 \h </w:instrText>
        </w:r>
        <w:r w:rsidR="008A0F6D">
          <w:rPr>
            <w:noProof/>
            <w:webHidden/>
          </w:rPr>
        </w:r>
        <w:r w:rsidR="008A0F6D">
          <w:rPr>
            <w:noProof/>
            <w:webHidden/>
          </w:rPr>
          <w:fldChar w:fldCharType="separate"/>
        </w:r>
        <w:r w:rsidR="008A0F6D">
          <w:rPr>
            <w:noProof/>
            <w:webHidden/>
          </w:rPr>
          <w:t>72</w:t>
        </w:r>
        <w:r w:rsidR="008A0F6D">
          <w:rPr>
            <w:noProof/>
            <w:webHidden/>
          </w:rPr>
          <w:fldChar w:fldCharType="end"/>
        </w:r>
      </w:hyperlink>
    </w:p>
    <w:p w14:paraId="4A911C0D"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36" w:history="1">
        <w:r w:rsidR="008A0F6D" w:rsidRPr="003A444B">
          <w:rPr>
            <w:rStyle w:val="Hyperlink"/>
            <w:noProof/>
          </w:rPr>
          <w:t>8.1.2</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Protocols for good communication</w:t>
        </w:r>
        <w:r w:rsidR="008A0F6D">
          <w:rPr>
            <w:noProof/>
            <w:webHidden/>
          </w:rPr>
          <w:tab/>
        </w:r>
        <w:r w:rsidR="008A0F6D">
          <w:rPr>
            <w:noProof/>
            <w:webHidden/>
          </w:rPr>
          <w:fldChar w:fldCharType="begin"/>
        </w:r>
        <w:r w:rsidR="008A0F6D">
          <w:rPr>
            <w:noProof/>
            <w:webHidden/>
          </w:rPr>
          <w:instrText xml:space="preserve"> PAGEREF _Toc22196736 \h </w:instrText>
        </w:r>
        <w:r w:rsidR="008A0F6D">
          <w:rPr>
            <w:noProof/>
            <w:webHidden/>
          </w:rPr>
        </w:r>
        <w:r w:rsidR="008A0F6D">
          <w:rPr>
            <w:noProof/>
            <w:webHidden/>
          </w:rPr>
          <w:fldChar w:fldCharType="separate"/>
        </w:r>
        <w:r w:rsidR="008A0F6D">
          <w:rPr>
            <w:noProof/>
            <w:webHidden/>
          </w:rPr>
          <w:t>72</w:t>
        </w:r>
        <w:r w:rsidR="008A0F6D">
          <w:rPr>
            <w:noProof/>
            <w:webHidden/>
          </w:rPr>
          <w:fldChar w:fldCharType="end"/>
        </w:r>
      </w:hyperlink>
    </w:p>
    <w:p w14:paraId="3BEDF02C"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37" w:history="1">
        <w:r w:rsidR="008A0F6D" w:rsidRPr="003A444B">
          <w:rPr>
            <w:rStyle w:val="Hyperlink"/>
            <w:noProof/>
          </w:rPr>
          <w:t>8.1.3</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Stakeholder groups</w:t>
        </w:r>
        <w:r w:rsidR="008A0F6D">
          <w:rPr>
            <w:noProof/>
            <w:webHidden/>
          </w:rPr>
          <w:tab/>
        </w:r>
        <w:r w:rsidR="008A0F6D">
          <w:rPr>
            <w:noProof/>
            <w:webHidden/>
          </w:rPr>
          <w:fldChar w:fldCharType="begin"/>
        </w:r>
        <w:r w:rsidR="008A0F6D">
          <w:rPr>
            <w:noProof/>
            <w:webHidden/>
          </w:rPr>
          <w:instrText xml:space="preserve"> PAGEREF _Toc22196737 \h </w:instrText>
        </w:r>
        <w:r w:rsidR="008A0F6D">
          <w:rPr>
            <w:noProof/>
            <w:webHidden/>
          </w:rPr>
        </w:r>
        <w:r w:rsidR="008A0F6D">
          <w:rPr>
            <w:noProof/>
            <w:webHidden/>
          </w:rPr>
          <w:fldChar w:fldCharType="separate"/>
        </w:r>
        <w:r w:rsidR="008A0F6D">
          <w:rPr>
            <w:noProof/>
            <w:webHidden/>
          </w:rPr>
          <w:t>73</w:t>
        </w:r>
        <w:r w:rsidR="008A0F6D">
          <w:rPr>
            <w:noProof/>
            <w:webHidden/>
          </w:rPr>
          <w:fldChar w:fldCharType="end"/>
        </w:r>
      </w:hyperlink>
    </w:p>
    <w:p w14:paraId="32238C78" w14:textId="77777777" w:rsidR="008A0F6D" w:rsidRDefault="00064EC9">
      <w:pPr>
        <w:pStyle w:val="TOC2"/>
        <w:rPr>
          <w:rFonts w:asciiTheme="minorHAnsi" w:eastAsiaTheme="minorEastAsia" w:hAnsiTheme="minorHAnsi" w:cstheme="minorBidi"/>
          <w:color w:val="auto"/>
          <w:kern w:val="0"/>
          <w:sz w:val="22"/>
          <w:szCs w:val="22"/>
          <w:lang w:eastAsia="en-AU"/>
        </w:rPr>
      </w:pPr>
      <w:hyperlink w:anchor="_Toc22196738" w:history="1">
        <w:r w:rsidR="008A0F6D" w:rsidRPr="003A444B">
          <w:rPr>
            <w:rStyle w:val="Hyperlink"/>
          </w:rPr>
          <w:t>8.2</w:t>
        </w:r>
        <w:r w:rsidR="008A0F6D">
          <w:rPr>
            <w:rFonts w:asciiTheme="minorHAnsi" w:eastAsiaTheme="minorEastAsia" w:hAnsiTheme="minorHAnsi" w:cstheme="minorBidi"/>
            <w:color w:val="auto"/>
            <w:kern w:val="0"/>
            <w:sz w:val="22"/>
            <w:szCs w:val="22"/>
            <w:lang w:eastAsia="en-AU"/>
          </w:rPr>
          <w:tab/>
        </w:r>
        <w:r w:rsidR="008A0F6D" w:rsidRPr="003A444B">
          <w:rPr>
            <w:rStyle w:val="Hyperlink"/>
          </w:rPr>
          <w:t>Plan for key activities</w:t>
        </w:r>
        <w:r w:rsidR="008A0F6D">
          <w:rPr>
            <w:webHidden/>
          </w:rPr>
          <w:tab/>
        </w:r>
        <w:r w:rsidR="008A0F6D">
          <w:rPr>
            <w:webHidden/>
          </w:rPr>
          <w:fldChar w:fldCharType="begin"/>
        </w:r>
        <w:r w:rsidR="008A0F6D">
          <w:rPr>
            <w:webHidden/>
          </w:rPr>
          <w:instrText xml:space="preserve"> PAGEREF _Toc22196738 \h </w:instrText>
        </w:r>
        <w:r w:rsidR="008A0F6D">
          <w:rPr>
            <w:webHidden/>
          </w:rPr>
        </w:r>
        <w:r w:rsidR="008A0F6D">
          <w:rPr>
            <w:webHidden/>
          </w:rPr>
          <w:fldChar w:fldCharType="separate"/>
        </w:r>
        <w:r w:rsidR="008A0F6D">
          <w:rPr>
            <w:webHidden/>
          </w:rPr>
          <w:t>75</w:t>
        </w:r>
        <w:r w:rsidR="008A0F6D">
          <w:rPr>
            <w:webHidden/>
          </w:rPr>
          <w:fldChar w:fldCharType="end"/>
        </w:r>
      </w:hyperlink>
    </w:p>
    <w:p w14:paraId="18D0B22F" w14:textId="77777777" w:rsidR="008A0F6D" w:rsidRDefault="00064EC9">
      <w:pPr>
        <w:pStyle w:val="TOC2"/>
        <w:rPr>
          <w:rFonts w:asciiTheme="minorHAnsi" w:eastAsiaTheme="minorEastAsia" w:hAnsiTheme="minorHAnsi" w:cstheme="minorBidi"/>
          <w:color w:val="auto"/>
          <w:kern w:val="0"/>
          <w:sz w:val="22"/>
          <w:szCs w:val="22"/>
          <w:lang w:eastAsia="en-AU"/>
        </w:rPr>
      </w:pPr>
      <w:hyperlink w:anchor="_Toc22196739" w:history="1">
        <w:r w:rsidR="008A0F6D" w:rsidRPr="003A444B">
          <w:rPr>
            <w:rStyle w:val="Hyperlink"/>
          </w:rPr>
          <w:t>8.3</w:t>
        </w:r>
        <w:r w:rsidR="008A0F6D">
          <w:rPr>
            <w:rFonts w:asciiTheme="minorHAnsi" w:eastAsiaTheme="minorEastAsia" w:hAnsiTheme="minorHAnsi" w:cstheme="minorBidi"/>
            <w:color w:val="auto"/>
            <w:kern w:val="0"/>
            <w:sz w:val="22"/>
            <w:szCs w:val="22"/>
            <w:lang w:eastAsia="en-AU"/>
          </w:rPr>
          <w:tab/>
        </w:r>
        <w:r w:rsidR="008A0F6D" w:rsidRPr="003A444B">
          <w:rPr>
            <w:rStyle w:val="Hyperlink"/>
          </w:rPr>
          <w:t>Selected Area Working Group</w:t>
        </w:r>
        <w:r w:rsidR="008A0F6D">
          <w:rPr>
            <w:webHidden/>
          </w:rPr>
          <w:tab/>
        </w:r>
        <w:r w:rsidR="008A0F6D">
          <w:rPr>
            <w:webHidden/>
          </w:rPr>
          <w:fldChar w:fldCharType="begin"/>
        </w:r>
        <w:r w:rsidR="008A0F6D">
          <w:rPr>
            <w:webHidden/>
          </w:rPr>
          <w:instrText xml:space="preserve"> PAGEREF _Toc22196739 \h </w:instrText>
        </w:r>
        <w:r w:rsidR="008A0F6D">
          <w:rPr>
            <w:webHidden/>
          </w:rPr>
        </w:r>
        <w:r w:rsidR="008A0F6D">
          <w:rPr>
            <w:webHidden/>
          </w:rPr>
          <w:fldChar w:fldCharType="separate"/>
        </w:r>
        <w:r w:rsidR="008A0F6D">
          <w:rPr>
            <w:webHidden/>
          </w:rPr>
          <w:t>82</w:t>
        </w:r>
        <w:r w:rsidR="008A0F6D">
          <w:rPr>
            <w:webHidden/>
          </w:rPr>
          <w:fldChar w:fldCharType="end"/>
        </w:r>
      </w:hyperlink>
    </w:p>
    <w:p w14:paraId="19507FB5"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40" w:history="1">
        <w:r w:rsidR="008A0F6D" w:rsidRPr="003A444B">
          <w:rPr>
            <w:rStyle w:val="Hyperlink"/>
            <w:noProof/>
          </w:rPr>
          <w:t>8.3.1</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Purpose</w:t>
        </w:r>
        <w:r w:rsidR="008A0F6D">
          <w:rPr>
            <w:noProof/>
            <w:webHidden/>
          </w:rPr>
          <w:tab/>
        </w:r>
        <w:r w:rsidR="008A0F6D">
          <w:rPr>
            <w:noProof/>
            <w:webHidden/>
          </w:rPr>
          <w:fldChar w:fldCharType="begin"/>
        </w:r>
        <w:r w:rsidR="008A0F6D">
          <w:rPr>
            <w:noProof/>
            <w:webHidden/>
          </w:rPr>
          <w:instrText xml:space="preserve"> PAGEREF _Toc22196740 \h </w:instrText>
        </w:r>
        <w:r w:rsidR="008A0F6D">
          <w:rPr>
            <w:noProof/>
            <w:webHidden/>
          </w:rPr>
        </w:r>
        <w:r w:rsidR="008A0F6D">
          <w:rPr>
            <w:noProof/>
            <w:webHidden/>
          </w:rPr>
          <w:fldChar w:fldCharType="separate"/>
        </w:r>
        <w:r w:rsidR="008A0F6D">
          <w:rPr>
            <w:noProof/>
            <w:webHidden/>
          </w:rPr>
          <w:t>82</w:t>
        </w:r>
        <w:r w:rsidR="008A0F6D">
          <w:rPr>
            <w:noProof/>
            <w:webHidden/>
          </w:rPr>
          <w:fldChar w:fldCharType="end"/>
        </w:r>
      </w:hyperlink>
    </w:p>
    <w:p w14:paraId="403FF2EF"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41" w:history="1">
        <w:r w:rsidR="008A0F6D" w:rsidRPr="003A444B">
          <w:rPr>
            <w:rStyle w:val="Hyperlink"/>
            <w:noProof/>
          </w:rPr>
          <w:t>8.3.2</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Authority</w:t>
        </w:r>
        <w:r w:rsidR="008A0F6D">
          <w:rPr>
            <w:noProof/>
            <w:webHidden/>
          </w:rPr>
          <w:tab/>
        </w:r>
        <w:r w:rsidR="008A0F6D">
          <w:rPr>
            <w:noProof/>
            <w:webHidden/>
          </w:rPr>
          <w:fldChar w:fldCharType="begin"/>
        </w:r>
        <w:r w:rsidR="008A0F6D">
          <w:rPr>
            <w:noProof/>
            <w:webHidden/>
          </w:rPr>
          <w:instrText xml:space="preserve"> PAGEREF _Toc22196741 \h </w:instrText>
        </w:r>
        <w:r w:rsidR="008A0F6D">
          <w:rPr>
            <w:noProof/>
            <w:webHidden/>
          </w:rPr>
        </w:r>
        <w:r w:rsidR="008A0F6D">
          <w:rPr>
            <w:noProof/>
            <w:webHidden/>
          </w:rPr>
          <w:fldChar w:fldCharType="separate"/>
        </w:r>
        <w:r w:rsidR="008A0F6D">
          <w:rPr>
            <w:noProof/>
            <w:webHidden/>
          </w:rPr>
          <w:t>82</w:t>
        </w:r>
        <w:r w:rsidR="008A0F6D">
          <w:rPr>
            <w:noProof/>
            <w:webHidden/>
          </w:rPr>
          <w:fldChar w:fldCharType="end"/>
        </w:r>
      </w:hyperlink>
    </w:p>
    <w:p w14:paraId="70578CCB"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42" w:history="1">
        <w:r w:rsidR="008A0F6D" w:rsidRPr="003A444B">
          <w:rPr>
            <w:rStyle w:val="Hyperlink"/>
            <w:noProof/>
          </w:rPr>
          <w:t>8.3.3</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Objectives</w:t>
        </w:r>
        <w:r w:rsidR="008A0F6D">
          <w:rPr>
            <w:noProof/>
            <w:webHidden/>
          </w:rPr>
          <w:tab/>
        </w:r>
        <w:r w:rsidR="008A0F6D">
          <w:rPr>
            <w:noProof/>
            <w:webHidden/>
          </w:rPr>
          <w:fldChar w:fldCharType="begin"/>
        </w:r>
        <w:r w:rsidR="008A0F6D">
          <w:rPr>
            <w:noProof/>
            <w:webHidden/>
          </w:rPr>
          <w:instrText xml:space="preserve"> PAGEREF _Toc22196742 \h </w:instrText>
        </w:r>
        <w:r w:rsidR="008A0F6D">
          <w:rPr>
            <w:noProof/>
            <w:webHidden/>
          </w:rPr>
        </w:r>
        <w:r w:rsidR="008A0F6D">
          <w:rPr>
            <w:noProof/>
            <w:webHidden/>
          </w:rPr>
          <w:fldChar w:fldCharType="separate"/>
        </w:r>
        <w:r w:rsidR="008A0F6D">
          <w:rPr>
            <w:noProof/>
            <w:webHidden/>
          </w:rPr>
          <w:t>82</w:t>
        </w:r>
        <w:r w:rsidR="008A0F6D">
          <w:rPr>
            <w:noProof/>
            <w:webHidden/>
          </w:rPr>
          <w:fldChar w:fldCharType="end"/>
        </w:r>
      </w:hyperlink>
    </w:p>
    <w:p w14:paraId="69C13D02"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43" w:history="1">
        <w:r w:rsidR="008A0F6D" w:rsidRPr="003A444B">
          <w:rPr>
            <w:rStyle w:val="Hyperlink"/>
            <w:noProof/>
          </w:rPr>
          <w:t>8.3.4</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Membership</w:t>
        </w:r>
        <w:r w:rsidR="008A0F6D">
          <w:rPr>
            <w:noProof/>
            <w:webHidden/>
          </w:rPr>
          <w:tab/>
        </w:r>
        <w:r w:rsidR="008A0F6D">
          <w:rPr>
            <w:noProof/>
            <w:webHidden/>
          </w:rPr>
          <w:fldChar w:fldCharType="begin"/>
        </w:r>
        <w:r w:rsidR="008A0F6D">
          <w:rPr>
            <w:noProof/>
            <w:webHidden/>
          </w:rPr>
          <w:instrText xml:space="preserve"> PAGEREF _Toc22196743 \h </w:instrText>
        </w:r>
        <w:r w:rsidR="008A0F6D">
          <w:rPr>
            <w:noProof/>
            <w:webHidden/>
          </w:rPr>
        </w:r>
        <w:r w:rsidR="008A0F6D">
          <w:rPr>
            <w:noProof/>
            <w:webHidden/>
          </w:rPr>
          <w:fldChar w:fldCharType="separate"/>
        </w:r>
        <w:r w:rsidR="008A0F6D">
          <w:rPr>
            <w:noProof/>
            <w:webHidden/>
          </w:rPr>
          <w:t>82</w:t>
        </w:r>
        <w:r w:rsidR="008A0F6D">
          <w:rPr>
            <w:noProof/>
            <w:webHidden/>
          </w:rPr>
          <w:fldChar w:fldCharType="end"/>
        </w:r>
      </w:hyperlink>
    </w:p>
    <w:p w14:paraId="354E59E8"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44" w:history="1">
        <w:r w:rsidR="008A0F6D" w:rsidRPr="003A444B">
          <w:rPr>
            <w:rStyle w:val="Hyperlink"/>
            <w:noProof/>
          </w:rPr>
          <w:t>8.3.5</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Terms of reference</w:t>
        </w:r>
        <w:r w:rsidR="008A0F6D">
          <w:rPr>
            <w:noProof/>
            <w:webHidden/>
          </w:rPr>
          <w:tab/>
        </w:r>
        <w:r w:rsidR="008A0F6D">
          <w:rPr>
            <w:noProof/>
            <w:webHidden/>
          </w:rPr>
          <w:fldChar w:fldCharType="begin"/>
        </w:r>
        <w:r w:rsidR="008A0F6D">
          <w:rPr>
            <w:noProof/>
            <w:webHidden/>
          </w:rPr>
          <w:instrText xml:space="preserve"> PAGEREF _Toc22196744 \h </w:instrText>
        </w:r>
        <w:r w:rsidR="008A0F6D">
          <w:rPr>
            <w:noProof/>
            <w:webHidden/>
          </w:rPr>
        </w:r>
        <w:r w:rsidR="008A0F6D">
          <w:rPr>
            <w:noProof/>
            <w:webHidden/>
          </w:rPr>
          <w:fldChar w:fldCharType="separate"/>
        </w:r>
        <w:r w:rsidR="008A0F6D">
          <w:rPr>
            <w:noProof/>
            <w:webHidden/>
          </w:rPr>
          <w:t>84</w:t>
        </w:r>
        <w:r w:rsidR="008A0F6D">
          <w:rPr>
            <w:noProof/>
            <w:webHidden/>
          </w:rPr>
          <w:fldChar w:fldCharType="end"/>
        </w:r>
      </w:hyperlink>
    </w:p>
    <w:p w14:paraId="19DBED81" w14:textId="77777777" w:rsidR="008A0F6D" w:rsidRDefault="00064EC9">
      <w:pPr>
        <w:pStyle w:val="TOC1"/>
        <w:tabs>
          <w:tab w:val="left" w:pos="660"/>
          <w:tab w:val="right" w:leader="dot" w:pos="9010"/>
        </w:tabs>
        <w:rPr>
          <w:rFonts w:asciiTheme="minorHAnsi" w:eastAsiaTheme="minorEastAsia" w:hAnsiTheme="minorHAnsi" w:cstheme="minorBidi"/>
          <w:b w:val="0"/>
          <w:noProof/>
          <w:color w:val="auto"/>
          <w:kern w:val="0"/>
          <w:sz w:val="22"/>
          <w:szCs w:val="22"/>
          <w:lang w:eastAsia="en-AU"/>
        </w:rPr>
      </w:pPr>
      <w:hyperlink w:anchor="_Toc22196745" w:history="1">
        <w:r w:rsidR="008A0F6D" w:rsidRPr="003A444B">
          <w:rPr>
            <w:rStyle w:val="Hyperlink"/>
            <w:noProof/>
          </w:rPr>
          <w:t>9</w:t>
        </w:r>
        <w:r w:rsidR="008A0F6D">
          <w:rPr>
            <w:rFonts w:asciiTheme="minorHAnsi" w:eastAsiaTheme="minorEastAsia" w:hAnsiTheme="minorHAnsi" w:cstheme="minorBidi"/>
            <w:b w:val="0"/>
            <w:noProof/>
            <w:color w:val="auto"/>
            <w:kern w:val="0"/>
            <w:sz w:val="22"/>
            <w:szCs w:val="22"/>
            <w:lang w:eastAsia="en-AU"/>
          </w:rPr>
          <w:tab/>
        </w:r>
        <w:r w:rsidR="008A0F6D" w:rsidRPr="003A444B">
          <w:rPr>
            <w:rStyle w:val="Hyperlink"/>
            <w:noProof/>
          </w:rPr>
          <w:t>Reporting</w:t>
        </w:r>
        <w:r w:rsidR="008A0F6D">
          <w:rPr>
            <w:noProof/>
            <w:webHidden/>
          </w:rPr>
          <w:tab/>
        </w:r>
        <w:r w:rsidR="008A0F6D">
          <w:rPr>
            <w:noProof/>
            <w:webHidden/>
          </w:rPr>
          <w:fldChar w:fldCharType="begin"/>
        </w:r>
        <w:r w:rsidR="008A0F6D">
          <w:rPr>
            <w:noProof/>
            <w:webHidden/>
          </w:rPr>
          <w:instrText xml:space="preserve"> PAGEREF _Toc22196745 \h </w:instrText>
        </w:r>
        <w:r w:rsidR="008A0F6D">
          <w:rPr>
            <w:noProof/>
            <w:webHidden/>
          </w:rPr>
        </w:r>
        <w:r w:rsidR="008A0F6D">
          <w:rPr>
            <w:noProof/>
            <w:webHidden/>
          </w:rPr>
          <w:fldChar w:fldCharType="separate"/>
        </w:r>
        <w:r w:rsidR="008A0F6D">
          <w:rPr>
            <w:noProof/>
            <w:webHidden/>
          </w:rPr>
          <w:t>86</w:t>
        </w:r>
        <w:r w:rsidR="008A0F6D">
          <w:rPr>
            <w:noProof/>
            <w:webHidden/>
          </w:rPr>
          <w:fldChar w:fldCharType="end"/>
        </w:r>
      </w:hyperlink>
    </w:p>
    <w:p w14:paraId="253327A3" w14:textId="77777777" w:rsidR="008A0F6D" w:rsidRDefault="00064EC9">
      <w:pPr>
        <w:pStyle w:val="TOC1"/>
        <w:tabs>
          <w:tab w:val="left" w:pos="660"/>
          <w:tab w:val="right" w:leader="dot" w:pos="9010"/>
        </w:tabs>
        <w:rPr>
          <w:rFonts w:asciiTheme="minorHAnsi" w:eastAsiaTheme="minorEastAsia" w:hAnsiTheme="minorHAnsi" w:cstheme="minorBidi"/>
          <w:b w:val="0"/>
          <w:noProof/>
          <w:color w:val="auto"/>
          <w:kern w:val="0"/>
          <w:sz w:val="22"/>
          <w:szCs w:val="22"/>
          <w:lang w:eastAsia="en-AU"/>
        </w:rPr>
      </w:pPr>
      <w:hyperlink w:anchor="_Toc22196746" w:history="1">
        <w:r w:rsidR="008A0F6D" w:rsidRPr="003A444B">
          <w:rPr>
            <w:rStyle w:val="Hyperlink"/>
            <w:noProof/>
          </w:rPr>
          <w:t>10</w:t>
        </w:r>
        <w:r w:rsidR="008A0F6D">
          <w:rPr>
            <w:rFonts w:asciiTheme="minorHAnsi" w:eastAsiaTheme="minorEastAsia" w:hAnsiTheme="minorHAnsi" w:cstheme="minorBidi"/>
            <w:b w:val="0"/>
            <w:noProof/>
            <w:color w:val="auto"/>
            <w:kern w:val="0"/>
            <w:sz w:val="22"/>
            <w:szCs w:val="22"/>
            <w:lang w:eastAsia="en-AU"/>
          </w:rPr>
          <w:tab/>
        </w:r>
        <w:r w:rsidR="008A0F6D" w:rsidRPr="003A444B">
          <w:rPr>
            <w:rStyle w:val="Hyperlink"/>
            <w:noProof/>
          </w:rPr>
          <w:t>Project management</w:t>
        </w:r>
        <w:r w:rsidR="008A0F6D">
          <w:rPr>
            <w:noProof/>
            <w:webHidden/>
          </w:rPr>
          <w:tab/>
        </w:r>
        <w:r w:rsidR="008A0F6D">
          <w:rPr>
            <w:noProof/>
            <w:webHidden/>
          </w:rPr>
          <w:fldChar w:fldCharType="begin"/>
        </w:r>
        <w:r w:rsidR="008A0F6D">
          <w:rPr>
            <w:noProof/>
            <w:webHidden/>
          </w:rPr>
          <w:instrText xml:space="preserve"> PAGEREF _Toc22196746 \h </w:instrText>
        </w:r>
        <w:r w:rsidR="008A0F6D">
          <w:rPr>
            <w:noProof/>
            <w:webHidden/>
          </w:rPr>
        </w:r>
        <w:r w:rsidR="008A0F6D">
          <w:rPr>
            <w:noProof/>
            <w:webHidden/>
          </w:rPr>
          <w:fldChar w:fldCharType="separate"/>
        </w:r>
        <w:r w:rsidR="008A0F6D">
          <w:rPr>
            <w:noProof/>
            <w:webHidden/>
          </w:rPr>
          <w:t>88</w:t>
        </w:r>
        <w:r w:rsidR="008A0F6D">
          <w:rPr>
            <w:noProof/>
            <w:webHidden/>
          </w:rPr>
          <w:fldChar w:fldCharType="end"/>
        </w:r>
      </w:hyperlink>
    </w:p>
    <w:p w14:paraId="36844D6A" w14:textId="77777777" w:rsidR="008A0F6D" w:rsidRDefault="00064EC9">
      <w:pPr>
        <w:pStyle w:val="TOC2"/>
        <w:rPr>
          <w:rFonts w:asciiTheme="minorHAnsi" w:eastAsiaTheme="minorEastAsia" w:hAnsiTheme="minorHAnsi" w:cstheme="minorBidi"/>
          <w:color w:val="auto"/>
          <w:kern w:val="0"/>
          <w:sz w:val="22"/>
          <w:szCs w:val="22"/>
          <w:lang w:eastAsia="en-AU"/>
        </w:rPr>
      </w:pPr>
      <w:hyperlink w:anchor="_Toc22196747" w:history="1">
        <w:r w:rsidR="008A0F6D" w:rsidRPr="003A444B">
          <w:rPr>
            <w:rStyle w:val="Hyperlink"/>
          </w:rPr>
          <w:t>10.1</w:t>
        </w:r>
        <w:r w:rsidR="008A0F6D">
          <w:rPr>
            <w:rFonts w:asciiTheme="minorHAnsi" w:eastAsiaTheme="minorEastAsia" w:hAnsiTheme="minorHAnsi" w:cstheme="minorBidi"/>
            <w:color w:val="auto"/>
            <w:kern w:val="0"/>
            <w:sz w:val="22"/>
            <w:szCs w:val="22"/>
            <w:lang w:eastAsia="en-AU"/>
          </w:rPr>
          <w:tab/>
        </w:r>
        <w:r w:rsidR="008A0F6D" w:rsidRPr="003A444B">
          <w:rPr>
            <w:rStyle w:val="Hyperlink"/>
          </w:rPr>
          <w:t>Project governance and personnel</w:t>
        </w:r>
        <w:r w:rsidR="008A0F6D">
          <w:rPr>
            <w:webHidden/>
          </w:rPr>
          <w:tab/>
        </w:r>
        <w:r w:rsidR="008A0F6D">
          <w:rPr>
            <w:webHidden/>
          </w:rPr>
          <w:fldChar w:fldCharType="begin"/>
        </w:r>
        <w:r w:rsidR="008A0F6D">
          <w:rPr>
            <w:webHidden/>
          </w:rPr>
          <w:instrText xml:space="preserve"> PAGEREF _Toc22196747 \h </w:instrText>
        </w:r>
        <w:r w:rsidR="008A0F6D">
          <w:rPr>
            <w:webHidden/>
          </w:rPr>
        </w:r>
        <w:r w:rsidR="008A0F6D">
          <w:rPr>
            <w:webHidden/>
          </w:rPr>
          <w:fldChar w:fldCharType="separate"/>
        </w:r>
        <w:r w:rsidR="008A0F6D">
          <w:rPr>
            <w:webHidden/>
          </w:rPr>
          <w:t>88</w:t>
        </w:r>
        <w:r w:rsidR="008A0F6D">
          <w:rPr>
            <w:webHidden/>
          </w:rPr>
          <w:fldChar w:fldCharType="end"/>
        </w:r>
      </w:hyperlink>
    </w:p>
    <w:p w14:paraId="0C9AB400" w14:textId="77777777" w:rsidR="008A0F6D" w:rsidRDefault="00064EC9">
      <w:pPr>
        <w:pStyle w:val="TOC2"/>
        <w:rPr>
          <w:rFonts w:asciiTheme="minorHAnsi" w:eastAsiaTheme="minorEastAsia" w:hAnsiTheme="minorHAnsi" w:cstheme="minorBidi"/>
          <w:color w:val="auto"/>
          <w:kern w:val="0"/>
          <w:sz w:val="22"/>
          <w:szCs w:val="22"/>
          <w:lang w:eastAsia="en-AU"/>
        </w:rPr>
      </w:pPr>
      <w:hyperlink w:anchor="_Toc22196748" w:history="1">
        <w:r w:rsidR="008A0F6D" w:rsidRPr="003A444B">
          <w:rPr>
            <w:rStyle w:val="Hyperlink"/>
          </w:rPr>
          <w:t>10.2</w:t>
        </w:r>
        <w:r w:rsidR="008A0F6D">
          <w:rPr>
            <w:rFonts w:asciiTheme="minorHAnsi" w:eastAsiaTheme="minorEastAsia" w:hAnsiTheme="minorHAnsi" w:cstheme="minorBidi"/>
            <w:color w:val="auto"/>
            <w:kern w:val="0"/>
            <w:sz w:val="22"/>
            <w:szCs w:val="22"/>
            <w:lang w:eastAsia="en-AU"/>
          </w:rPr>
          <w:tab/>
        </w:r>
        <w:r w:rsidR="008A0F6D" w:rsidRPr="003A444B">
          <w:rPr>
            <w:rStyle w:val="Hyperlink"/>
          </w:rPr>
          <w:t>Risk assessment</w:t>
        </w:r>
        <w:r w:rsidR="008A0F6D">
          <w:rPr>
            <w:webHidden/>
          </w:rPr>
          <w:tab/>
        </w:r>
        <w:r w:rsidR="008A0F6D">
          <w:rPr>
            <w:webHidden/>
          </w:rPr>
          <w:fldChar w:fldCharType="begin"/>
        </w:r>
        <w:r w:rsidR="008A0F6D">
          <w:rPr>
            <w:webHidden/>
          </w:rPr>
          <w:instrText xml:space="preserve"> PAGEREF _Toc22196748 \h </w:instrText>
        </w:r>
        <w:r w:rsidR="008A0F6D">
          <w:rPr>
            <w:webHidden/>
          </w:rPr>
        </w:r>
        <w:r w:rsidR="008A0F6D">
          <w:rPr>
            <w:webHidden/>
          </w:rPr>
          <w:fldChar w:fldCharType="separate"/>
        </w:r>
        <w:r w:rsidR="008A0F6D">
          <w:rPr>
            <w:webHidden/>
          </w:rPr>
          <w:t>89</w:t>
        </w:r>
        <w:r w:rsidR="008A0F6D">
          <w:rPr>
            <w:webHidden/>
          </w:rPr>
          <w:fldChar w:fldCharType="end"/>
        </w:r>
      </w:hyperlink>
    </w:p>
    <w:p w14:paraId="25F82B55" w14:textId="77777777" w:rsidR="008A0F6D" w:rsidRDefault="00064EC9">
      <w:pPr>
        <w:pStyle w:val="TOC2"/>
        <w:rPr>
          <w:rFonts w:asciiTheme="minorHAnsi" w:eastAsiaTheme="minorEastAsia" w:hAnsiTheme="minorHAnsi" w:cstheme="minorBidi"/>
          <w:color w:val="auto"/>
          <w:kern w:val="0"/>
          <w:sz w:val="22"/>
          <w:szCs w:val="22"/>
          <w:lang w:eastAsia="en-AU"/>
        </w:rPr>
      </w:pPr>
      <w:hyperlink w:anchor="_Toc22196749" w:history="1">
        <w:r w:rsidR="008A0F6D" w:rsidRPr="003A444B">
          <w:rPr>
            <w:rStyle w:val="Hyperlink"/>
          </w:rPr>
          <w:t>10.3</w:t>
        </w:r>
        <w:r w:rsidR="008A0F6D">
          <w:rPr>
            <w:rFonts w:asciiTheme="minorHAnsi" w:eastAsiaTheme="minorEastAsia" w:hAnsiTheme="minorHAnsi" w:cstheme="minorBidi"/>
            <w:color w:val="auto"/>
            <w:kern w:val="0"/>
            <w:sz w:val="22"/>
            <w:szCs w:val="22"/>
            <w:lang w:eastAsia="en-AU"/>
          </w:rPr>
          <w:tab/>
        </w:r>
        <w:r w:rsidR="008A0F6D" w:rsidRPr="003A444B">
          <w:rPr>
            <w:rStyle w:val="Hyperlink"/>
          </w:rPr>
          <w:t>Quality assurance plan</w:t>
        </w:r>
        <w:r w:rsidR="008A0F6D">
          <w:rPr>
            <w:webHidden/>
          </w:rPr>
          <w:tab/>
        </w:r>
        <w:r w:rsidR="008A0F6D">
          <w:rPr>
            <w:webHidden/>
          </w:rPr>
          <w:fldChar w:fldCharType="begin"/>
        </w:r>
        <w:r w:rsidR="008A0F6D">
          <w:rPr>
            <w:webHidden/>
          </w:rPr>
          <w:instrText xml:space="preserve"> PAGEREF _Toc22196749 \h </w:instrText>
        </w:r>
        <w:r w:rsidR="008A0F6D">
          <w:rPr>
            <w:webHidden/>
          </w:rPr>
        </w:r>
        <w:r w:rsidR="008A0F6D">
          <w:rPr>
            <w:webHidden/>
          </w:rPr>
          <w:fldChar w:fldCharType="separate"/>
        </w:r>
        <w:r w:rsidR="008A0F6D">
          <w:rPr>
            <w:webHidden/>
          </w:rPr>
          <w:t>96</w:t>
        </w:r>
        <w:r w:rsidR="008A0F6D">
          <w:rPr>
            <w:webHidden/>
          </w:rPr>
          <w:fldChar w:fldCharType="end"/>
        </w:r>
      </w:hyperlink>
    </w:p>
    <w:p w14:paraId="3CA332B9"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50" w:history="1">
        <w:r w:rsidR="008A0F6D" w:rsidRPr="003A444B">
          <w:rPr>
            <w:rStyle w:val="Hyperlink"/>
            <w:noProof/>
          </w:rPr>
          <w:t>10.3.1</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Field sampling and equipment</w:t>
        </w:r>
        <w:r w:rsidR="008A0F6D">
          <w:rPr>
            <w:noProof/>
            <w:webHidden/>
          </w:rPr>
          <w:tab/>
        </w:r>
        <w:r w:rsidR="008A0F6D">
          <w:rPr>
            <w:noProof/>
            <w:webHidden/>
          </w:rPr>
          <w:fldChar w:fldCharType="begin"/>
        </w:r>
        <w:r w:rsidR="008A0F6D">
          <w:rPr>
            <w:noProof/>
            <w:webHidden/>
          </w:rPr>
          <w:instrText xml:space="preserve"> PAGEREF _Toc22196750 \h </w:instrText>
        </w:r>
        <w:r w:rsidR="008A0F6D">
          <w:rPr>
            <w:noProof/>
            <w:webHidden/>
          </w:rPr>
        </w:r>
        <w:r w:rsidR="008A0F6D">
          <w:rPr>
            <w:noProof/>
            <w:webHidden/>
          </w:rPr>
          <w:fldChar w:fldCharType="separate"/>
        </w:r>
        <w:r w:rsidR="008A0F6D">
          <w:rPr>
            <w:noProof/>
            <w:webHidden/>
          </w:rPr>
          <w:t>96</w:t>
        </w:r>
        <w:r w:rsidR="008A0F6D">
          <w:rPr>
            <w:noProof/>
            <w:webHidden/>
          </w:rPr>
          <w:fldChar w:fldCharType="end"/>
        </w:r>
      </w:hyperlink>
    </w:p>
    <w:p w14:paraId="5BDDAAB0"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51" w:history="1">
        <w:r w:rsidR="008A0F6D" w:rsidRPr="003A444B">
          <w:rPr>
            <w:rStyle w:val="Hyperlink"/>
            <w:noProof/>
          </w:rPr>
          <w:t>10.3.2</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Data collection, storage and management</w:t>
        </w:r>
        <w:r w:rsidR="008A0F6D">
          <w:rPr>
            <w:noProof/>
            <w:webHidden/>
          </w:rPr>
          <w:tab/>
        </w:r>
        <w:r w:rsidR="008A0F6D">
          <w:rPr>
            <w:noProof/>
            <w:webHidden/>
          </w:rPr>
          <w:fldChar w:fldCharType="begin"/>
        </w:r>
        <w:r w:rsidR="008A0F6D">
          <w:rPr>
            <w:noProof/>
            <w:webHidden/>
          </w:rPr>
          <w:instrText xml:space="preserve"> PAGEREF _Toc22196751 \h </w:instrText>
        </w:r>
        <w:r w:rsidR="008A0F6D">
          <w:rPr>
            <w:noProof/>
            <w:webHidden/>
          </w:rPr>
        </w:r>
        <w:r w:rsidR="008A0F6D">
          <w:rPr>
            <w:noProof/>
            <w:webHidden/>
          </w:rPr>
          <w:fldChar w:fldCharType="separate"/>
        </w:r>
        <w:r w:rsidR="008A0F6D">
          <w:rPr>
            <w:noProof/>
            <w:webHidden/>
          </w:rPr>
          <w:t>97</w:t>
        </w:r>
        <w:r w:rsidR="008A0F6D">
          <w:rPr>
            <w:noProof/>
            <w:webHidden/>
          </w:rPr>
          <w:fldChar w:fldCharType="end"/>
        </w:r>
      </w:hyperlink>
    </w:p>
    <w:p w14:paraId="61EA06B7"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52" w:history="1">
        <w:r w:rsidR="008A0F6D" w:rsidRPr="003A444B">
          <w:rPr>
            <w:rStyle w:val="Hyperlink"/>
            <w:noProof/>
          </w:rPr>
          <w:t>10.3.3</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Training</w:t>
        </w:r>
        <w:r w:rsidR="008A0F6D">
          <w:rPr>
            <w:noProof/>
            <w:webHidden/>
          </w:rPr>
          <w:tab/>
        </w:r>
        <w:r w:rsidR="008A0F6D">
          <w:rPr>
            <w:noProof/>
            <w:webHidden/>
          </w:rPr>
          <w:fldChar w:fldCharType="begin"/>
        </w:r>
        <w:r w:rsidR="008A0F6D">
          <w:rPr>
            <w:noProof/>
            <w:webHidden/>
          </w:rPr>
          <w:instrText xml:space="preserve"> PAGEREF _Toc22196752 \h </w:instrText>
        </w:r>
        <w:r w:rsidR="008A0F6D">
          <w:rPr>
            <w:noProof/>
            <w:webHidden/>
          </w:rPr>
        </w:r>
        <w:r w:rsidR="008A0F6D">
          <w:rPr>
            <w:noProof/>
            <w:webHidden/>
          </w:rPr>
          <w:fldChar w:fldCharType="separate"/>
        </w:r>
        <w:r w:rsidR="008A0F6D">
          <w:rPr>
            <w:noProof/>
            <w:webHidden/>
          </w:rPr>
          <w:t>97</w:t>
        </w:r>
        <w:r w:rsidR="008A0F6D">
          <w:rPr>
            <w:noProof/>
            <w:webHidden/>
          </w:rPr>
          <w:fldChar w:fldCharType="end"/>
        </w:r>
      </w:hyperlink>
    </w:p>
    <w:p w14:paraId="6A108015" w14:textId="77777777" w:rsidR="008A0F6D" w:rsidRDefault="00064EC9">
      <w:pPr>
        <w:pStyle w:val="TOC3"/>
        <w:rPr>
          <w:rFonts w:asciiTheme="minorHAnsi" w:eastAsiaTheme="minorEastAsia" w:hAnsiTheme="minorHAnsi" w:cstheme="minorBidi"/>
          <w:i w:val="0"/>
          <w:noProof/>
          <w:color w:val="auto"/>
          <w:kern w:val="0"/>
          <w:sz w:val="22"/>
          <w:szCs w:val="22"/>
          <w:lang w:eastAsia="en-AU"/>
        </w:rPr>
      </w:pPr>
      <w:hyperlink w:anchor="_Toc22196753" w:history="1">
        <w:r w:rsidR="008A0F6D" w:rsidRPr="003A444B">
          <w:rPr>
            <w:rStyle w:val="Hyperlink"/>
            <w:noProof/>
          </w:rPr>
          <w:t>10.3.4</w:t>
        </w:r>
        <w:r w:rsidR="008A0F6D">
          <w:rPr>
            <w:rFonts w:asciiTheme="minorHAnsi" w:eastAsiaTheme="minorEastAsia" w:hAnsiTheme="minorHAnsi" w:cstheme="minorBidi"/>
            <w:i w:val="0"/>
            <w:noProof/>
            <w:color w:val="auto"/>
            <w:kern w:val="0"/>
            <w:sz w:val="22"/>
            <w:szCs w:val="22"/>
            <w:lang w:eastAsia="en-AU"/>
          </w:rPr>
          <w:tab/>
        </w:r>
        <w:r w:rsidR="008A0F6D" w:rsidRPr="003A444B">
          <w:rPr>
            <w:rStyle w:val="Hyperlink"/>
            <w:noProof/>
          </w:rPr>
          <w:t>Auditing</w:t>
        </w:r>
        <w:r w:rsidR="008A0F6D">
          <w:rPr>
            <w:noProof/>
            <w:webHidden/>
          </w:rPr>
          <w:tab/>
        </w:r>
        <w:r w:rsidR="008A0F6D">
          <w:rPr>
            <w:noProof/>
            <w:webHidden/>
          </w:rPr>
          <w:fldChar w:fldCharType="begin"/>
        </w:r>
        <w:r w:rsidR="008A0F6D">
          <w:rPr>
            <w:noProof/>
            <w:webHidden/>
          </w:rPr>
          <w:instrText xml:space="preserve"> PAGEREF _Toc22196753 \h </w:instrText>
        </w:r>
        <w:r w:rsidR="008A0F6D">
          <w:rPr>
            <w:noProof/>
            <w:webHidden/>
          </w:rPr>
        </w:r>
        <w:r w:rsidR="008A0F6D">
          <w:rPr>
            <w:noProof/>
            <w:webHidden/>
          </w:rPr>
          <w:fldChar w:fldCharType="separate"/>
        </w:r>
        <w:r w:rsidR="008A0F6D">
          <w:rPr>
            <w:noProof/>
            <w:webHidden/>
          </w:rPr>
          <w:t>97</w:t>
        </w:r>
        <w:r w:rsidR="008A0F6D">
          <w:rPr>
            <w:noProof/>
            <w:webHidden/>
          </w:rPr>
          <w:fldChar w:fldCharType="end"/>
        </w:r>
      </w:hyperlink>
    </w:p>
    <w:p w14:paraId="160E8B29" w14:textId="77777777" w:rsidR="008A0F6D" w:rsidRDefault="00064EC9">
      <w:pPr>
        <w:pStyle w:val="TOC1"/>
        <w:tabs>
          <w:tab w:val="left" w:pos="660"/>
          <w:tab w:val="right" w:leader="dot" w:pos="9010"/>
        </w:tabs>
        <w:rPr>
          <w:rFonts w:asciiTheme="minorHAnsi" w:eastAsiaTheme="minorEastAsia" w:hAnsiTheme="minorHAnsi" w:cstheme="minorBidi"/>
          <w:b w:val="0"/>
          <w:noProof/>
          <w:color w:val="auto"/>
          <w:kern w:val="0"/>
          <w:sz w:val="22"/>
          <w:szCs w:val="22"/>
          <w:lang w:eastAsia="en-AU"/>
        </w:rPr>
      </w:pPr>
      <w:hyperlink w:anchor="_Toc22196754" w:history="1">
        <w:r w:rsidR="008A0F6D" w:rsidRPr="003A444B">
          <w:rPr>
            <w:rStyle w:val="Hyperlink"/>
            <w:noProof/>
          </w:rPr>
          <w:t>11</w:t>
        </w:r>
        <w:r w:rsidR="008A0F6D">
          <w:rPr>
            <w:rFonts w:asciiTheme="minorHAnsi" w:eastAsiaTheme="minorEastAsia" w:hAnsiTheme="minorHAnsi" w:cstheme="minorBidi"/>
            <w:b w:val="0"/>
            <w:noProof/>
            <w:color w:val="auto"/>
            <w:kern w:val="0"/>
            <w:sz w:val="22"/>
            <w:szCs w:val="22"/>
            <w:lang w:eastAsia="en-AU"/>
          </w:rPr>
          <w:tab/>
        </w:r>
        <w:r w:rsidR="008A0F6D" w:rsidRPr="003A444B">
          <w:rPr>
            <w:rStyle w:val="Hyperlink"/>
            <w:noProof/>
          </w:rPr>
          <w:t>Data management</w:t>
        </w:r>
        <w:r w:rsidR="008A0F6D">
          <w:rPr>
            <w:noProof/>
            <w:webHidden/>
          </w:rPr>
          <w:tab/>
        </w:r>
        <w:r w:rsidR="008A0F6D">
          <w:rPr>
            <w:noProof/>
            <w:webHidden/>
          </w:rPr>
          <w:fldChar w:fldCharType="begin"/>
        </w:r>
        <w:r w:rsidR="008A0F6D">
          <w:rPr>
            <w:noProof/>
            <w:webHidden/>
          </w:rPr>
          <w:instrText xml:space="preserve"> PAGEREF _Toc22196754 \h </w:instrText>
        </w:r>
        <w:r w:rsidR="008A0F6D">
          <w:rPr>
            <w:noProof/>
            <w:webHidden/>
          </w:rPr>
        </w:r>
        <w:r w:rsidR="008A0F6D">
          <w:rPr>
            <w:noProof/>
            <w:webHidden/>
          </w:rPr>
          <w:fldChar w:fldCharType="separate"/>
        </w:r>
        <w:r w:rsidR="008A0F6D">
          <w:rPr>
            <w:noProof/>
            <w:webHidden/>
          </w:rPr>
          <w:t>98</w:t>
        </w:r>
        <w:r w:rsidR="008A0F6D">
          <w:rPr>
            <w:noProof/>
            <w:webHidden/>
          </w:rPr>
          <w:fldChar w:fldCharType="end"/>
        </w:r>
      </w:hyperlink>
    </w:p>
    <w:p w14:paraId="46FD5C17" w14:textId="77777777" w:rsidR="008A0F6D" w:rsidRDefault="00064EC9">
      <w:pPr>
        <w:pStyle w:val="TOC2"/>
        <w:rPr>
          <w:rFonts w:asciiTheme="minorHAnsi" w:eastAsiaTheme="minorEastAsia" w:hAnsiTheme="minorHAnsi" w:cstheme="minorBidi"/>
          <w:color w:val="auto"/>
          <w:kern w:val="0"/>
          <w:sz w:val="22"/>
          <w:szCs w:val="22"/>
          <w:lang w:eastAsia="en-AU"/>
        </w:rPr>
      </w:pPr>
      <w:hyperlink w:anchor="_Toc22196755" w:history="1">
        <w:r w:rsidR="008A0F6D" w:rsidRPr="003A444B">
          <w:rPr>
            <w:rStyle w:val="Hyperlink"/>
          </w:rPr>
          <w:t>11.1</w:t>
        </w:r>
        <w:r w:rsidR="008A0F6D">
          <w:rPr>
            <w:rFonts w:asciiTheme="minorHAnsi" w:eastAsiaTheme="minorEastAsia" w:hAnsiTheme="minorHAnsi" w:cstheme="minorBidi"/>
            <w:color w:val="auto"/>
            <w:kern w:val="0"/>
            <w:sz w:val="22"/>
            <w:szCs w:val="22"/>
            <w:lang w:eastAsia="en-AU"/>
          </w:rPr>
          <w:tab/>
        </w:r>
        <w:r w:rsidR="008A0F6D" w:rsidRPr="003A444B">
          <w:rPr>
            <w:rStyle w:val="Hyperlink"/>
          </w:rPr>
          <w:t>Data collection</w:t>
        </w:r>
        <w:r w:rsidR="008A0F6D">
          <w:rPr>
            <w:webHidden/>
          </w:rPr>
          <w:tab/>
        </w:r>
        <w:r w:rsidR="008A0F6D">
          <w:rPr>
            <w:webHidden/>
          </w:rPr>
          <w:fldChar w:fldCharType="begin"/>
        </w:r>
        <w:r w:rsidR="008A0F6D">
          <w:rPr>
            <w:webHidden/>
          </w:rPr>
          <w:instrText xml:space="preserve"> PAGEREF _Toc22196755 \h </w:instrText>
        </w:r>
        <w:r w:rsidR="008A0F6D">
          <w:rPr>
            <w:webHidden/>
          </w:rPr>
        </w:r>
        <w:r w:rsidR="008A0F6D">
          <w:rPr>
            <w:webHidden/>
          </w:rPr>
          <w:fldChar w:fldCharType="separate"/>
        </w:r>
        <w:r w:rsidR="008A0F6D">
          <w:rPr>
            <w:webHidden/>
          </w:rPr>
          <w:t>98</w:t>
        </w:r>
        <w:r w:rsidR="008A0F6D">
          <w:rPr>
            <w:webHidden/>
          </w:rPr>
          <w:fldChar w:fldCharType="end"/>
        </w:r>
      </w:hyperlink>
    </w:p>
    <w:p w14:paraId="00C2C10A" w14:textId="77777777" w:rsidR="008A0F6D" w:rsidRDefault="00064EC9">
      <w:pPr>
        <w:pStyle w:val="TOC2"/>
        <w:rPr>
          <w:rFonts w:asciiTheme="minorHAnsi" w:eastAsiaTheme="minorEastAsia" w:hAnsiTheme="minorHAnsi" w:cstheme="minorBidi"/>
          <w:color w:val="auto"/>
          <w:kern w:val="0"/>
          <w:sz w:val="22"/>
          <w:szCs w:val="22"/>
          <w:lang w:eastAsia="en-AU"/>
        </w:rPr>
      </w:pPr>
      <w:hyperlink w:anchor="_Toc22196756" w:history="1">
        <w:r w:rsidR="008A0F6D" w:rsidRPr="003A444B">
          <w:rPr>
            <w:rStyle w:val="Hyperlink"/>
          </w:rPr>
          <w:t>11.2</w:t>
        </w:r>
        <w:r w:rsidR="008A0F6D">
          <w:rPr>
            <w:rFonts w:asciiTheme="minorHAnsi" w:eastAsiaTheme="minorEastAsia" w:hAnsiTheme="minorHAnsi" w:cstheme="minorBidi"/>
            <w:color w:val="auto"/>
            <w:kern w:val="0"/>
            <w:sz w:val="22"/>
            <w:szCs w:val="22"/>
            <w:lang w:eastAsia="en-AU"/>
          </w:rPr>
          <w:tab/>
        </w:r>
        <w:r w:rsidR="008A0F6D" w:rsidRPr="003A444B">
          <w:rPr>
            <w:rStyle w:val="Hyperlink"/>
          </w:rPr>
          <w:t>Data storage and management</w:t>
        </w:r>
        <w:r w:rsidR="008A0F6D">
          <w:rPr>
            <w:webHidden/>
          </w:rPr>
          <w:tab/>
        </w:r>
        <w:r w:rsidR="008A0F6D">
          <w:rPr>
            <w:webHidden/>
          </w:rPr>
          <w:fldChar w:fldCharType="begin"/>
        </w:r>
        <w:r w:rsidR="008A0F6D">
          <w:rPr>
            <w:webHidden/>
          </w:rPr>
          <w:instrText xml:space="preserve"> PAGEREF _Toc22196756 \h </w:instrText>
        </w:r>
        <w:r w:rsidR="008A0F6D">
          <w:rPr>
            <w:webHidden/>
          </w:rPr>
        </w:r>
        <w:r w:rsidR="008A0F6D">
          <w:rPr>
            <w:webHidden/>
          </w:rPr>
          <w:fldChar w:fldCharType="separate"/>
        </w:r>
        <w:r w:rsidR="008A0F6D">
          <w:rPr>
            <w:webHidden/>
          </w:rPr>
          <w:t>98</w:t>
        </w:r>
        <w:r w:rsidR="008A0F6D">
          <w:rPr>
            <w:webHidden/>
          </w:rPr>
          <w:fldChar w:fldCharType="end"/>
        </w:r>
      </w:hyperlink>
    </w:p>
    <w:p w14:paraId="4A745893" w14:textId="77777777" w:rsidR="008A0F6D" w:rsidRDefault="00064EC9">
      <w:pPr>
        <w:pStyle w:val="TOC1"/>
        <w:tabs>
          <w:tab w:val="left" w:pos="660"/>
          <w:tab w:val="right" w:leader="dot" w:pos="9010"/>
        </w:tabs>
        <w:rPr>
          <w:rFonts w:asciiTheme="minorHAnsi" w:eastAsiaTheme="minorEastAsia" w:hAnsiTheme="minorHAnsi" w:cstheme="minorBidi"/>
          <w:b w:val="0"/>
          <w:noProof/>
          <w:color w:val="auto"/>
          <w:kern w:val="0"/>
          <w:sz w:val="22"/>
          <w:szCs w:val="22"/>
          <w:lang w:eastAsia="en-AU"/>
        </w:rPr>
      </w:pPr>
      <w:hyperlink w:anchor="_Toc22196757" w:history="1">
        <w:r w:rsidR="008A0F6D" w:rsidRPr="003A444B">
          <w:rPr>
            <w:rStyle w:val="Hyperlink"/>
            <w:noProof/>
          </w:rPr>
          <w:t>12</w:t>
        </w:r>
        <w:r w:rsidR="008A0F6D">
          <w:rPr>
            <w:rFonts w:asciiTheme="minorHAnsi" w:eastAsiaTheme="minorEastAsia" w:hAnsiTheme="minorHAnsi" w:cstheme="minorBidi"/>
            <w:b w:val="0"/>
            <w:noProof/>
            <w:color w:val="auto"/>
            <w:kern w:val="0"/>
            <w:sz w:val="22"/>
            <w:szCs w:val="22"/>
            <w:lang w:eastAsia="en-AU"/>
          </w:rPr>
          <w:tab/>
        </w:r>
        <w:r w:rsidR="008A0F6D" w:rsidRPr="003A444B">
          <w:rPr>
            <w:rStyle w:val="Hyperlink"/>
            <w:noProof/>
          </w:rPr>
          <w:t>References</w:t>
        </w:r>
        <w:r w:rsidR="008A0F6D">
          <w:rPr>
            <w:noProof/>
            <w:webHidden/>
          </w:rPr>
          <w:tab/>
        </w:r>
        <w:r w:rsidR="008A0F6D">
          <w:rPr>
            <w:noProof/>
            <w:webHidden/>
          </w:rPr>
          <w:fldChar w:fldCharType="begin"/>
        </w:r>
        <w:r w:rsidR="008A0F6D">
          <w:rPr>
            <w:noProof/>
            <w:webHidden/>
          </w:rPr>
          <w:instrText xml:space="preserve"> PAGEREF _Toc22196757 \h </w:instrText>
        </w:r>
        <w:r w:rsidR="008A0F6D">
          <w:rPr>
            <w:noProof/>
            <w:webHidden/>
          </w:rPr>
        </w:r>
        <w:r w:rsidR="008A0F6D">
          <w:rPr>
            <w:noProof/>
            <w:webHidden/>
          </w:rPr>
          <w:fldChar w:fldCharType="separate"/>
        </w:r>
        <w:r w:rsidR="008A0F6D">
          <w:rPr>
            <w:noProof/>
            <w:webHidden/>
          </w:rPr>
          <w:t>100</w:t>
        </w:r>
        <w:r w:rsidR="008A0F6D">
          <w:rPr>
            <w:noProof/>
            <w:webHidden/>
          </w:rPr>
          <w:fldChar w:fldCharType="end"/>
        </w:r>
      </w:hyperlink>
    </w:p>
    <w:p w14:paraId="6C76E53B" w14:textId="77777777" w:rsidR="008A0F6D" w:rsidRDefault="00064EC9">
      <w:pPr>
        <w:pStyle w:val="TOC1"/>
        <w:tabs>
          <w:tab w:val="left" w:pos="660"/>
          <w:tab w:val="right" w:leader="dot" w:pos="9010"/>
        </w:tabs>
        <w:rPr>
          <w:rFonts w:asciiTheme="minorHAnsi" w:eastAsiaTheme="minorEastAsia" w:hAnsiTheme="minorHAnsi" w:cstheme="minorBidi"/>
          <w:b w:val="0"/>
          <w:noProof/>
          <w:color w:val="auto"/>
          <w:kern w:val="0"/>
          <w:sz w:val="22"/>
          <w:szCs w:val="22"/>
          <w:lang w:eastAsia="en-AU"/>
        </w:rPr>
      </w:pPr>
      <w:hyperlink w:anchor="_Toc22196758" w:history="1">
        <w:r w:rsidR="008A0F6D" w:rsidRPr="003A444B">
          <w:rPr>
            <w:rStyle w:val="Hyperlink"/>
            <w:noProof/>
          </w:rPr>
          <w:t>13</w:t>
        </w:r>
        <w:r w:rsidR="008A0F6D">
          <w:rPr>
            <w:rFonts w:asciiTheme="minorHAnsi" w:eastAsiaTheme="minorEastAsia" w:hAnsiTheme="minorHAnsi" w:cstheme="minorBidi"/>
            <w:b w:val="0"/>
            <w:noProof/>
            <w:color w:val="auto"/>
            <w:kern w:val="0"/>
            <w:sz w:val="22"/>
            <w:szCs w:val="22"/>
            <w:lang w:eastAsia="en-AU"/>
          </w:rPr>
          <w:tab/>
        </w:r>
        <w:r w:rsidR="008A0F6D" w:rsidRPr="003A444B">
          <w:rPr>
            <w:rStyle w:val="Hyperlink"/>
            <w:noProof/>
          </w:rPr>
          <w:t>Detailed budgets</w:t>
        </w:r>
        <w:r w:rsidR="008A0F6D">
          <w:rPr>
            <w:noProof/>
            <w:webHidden/>
          </w:rPr>
          <w:tab/>
        </w:r>
        <w:r w:rsidR="008A0F6D">
          <w:rPr>
            <w:noProof/>
            <w:webHidden/>
          </w:rPr>
          <w:fldChar w:fldCharType="begin"/>
        </w:r>
        <w:r w:rsidR="008A0F6D">
          <w:rPr>
            <w:noProof/>
            <w:webHidden/>
          </w:rPr>
          <w:instrText xml:space="preserve"> PAGEREF _Toc22196758 \h </w:instrText>
        </w:r>
        <w:r w:rsidR="008A0F6D">
          <w:rPr>
            <w:noProof/>
            <w:webHidden/>
          </w:rPr>
        </w:r>
        <w:r w:rsidR="008A0F6D">
          <w:rPr>
            <w:noProof/>
            <w:webHidden/>
          </w:rPr>
          <w:fldChar w:fldCharType="separate"/>
        </w:r>
        <w:r w:rsidR="008A0F6D">
          <w:rPr>
            <w:noProof/>
            <w:webHidden/>
          </w:rPr>
          <w:t>107</w:t>
        </w:r>
        <w:r w:rsidR="008A0F6D">
          <w:rPr>
            <w:noProof/>
            <w:webHidden/>
          </w:rPr>
          <w:fldChar w:fldCharType="end"/>
        </w:r>
      </w:hyperlink>
    </w:p>
    <w:p w14:paraId="2844E7F8" w14:textId="77777777" w:rsidR="008A0F6D" w:rsidRDefault="00064EC9">
      <w:pPr>
        <w:pStyle w:val="TOC1"/>
        <w:tabs>
          <w:tab w:val="right" w:leader="dot" w:pos="9010"/>
        </w:tabs>
        <w:rPr>
          <w:rFonts w:asciiTheme="minorHAnsi" w:eastAsiaTheme="minorEastAsia" w:hAnsiTheme="minorHAnsi" w:cstheme="minorBidi"/>
          <w:b w:val="0"/>
          <w:noProof/>
          <w:color w:val="auto"/>
          <w:kern w:val="0"/>
          <w:sz w:val="22"/>
          <w:szCs w:val="22"/>
          <w:lang w:eastAsia="en-AU"/>
        </w:rPr>
      </w:pPr>
      <w:hyperlink w:anchor="_Toc22196759" w:history="1">
        <w:r w:rsidR="008A0F6D" w:rsidRPr="003A444B">
          <w:rPr>
            <w:rStyle w:val="Hyperlink"/>
            <w:noProof/>
          </w:rPr>
          <w:t>Appendices</w:t>
        </w:r>
        <w:r w:rsidR="008A0F6D">
          <w:rPr>
            <w:noProof/>
            <w:webHidden/>
          </w:rPr>
          <w:tab/>
        </w:r>
        <w:r w:rsidR="008A0F6D">
          <w:rPr>
            <w:noProof/>
            <w:webHidden/>
          </w:rPr>
          <w:fldChar w:fldCharType="begin"/>
        </w:r>
        <w:r w:rsidR="008A0F6D">
          <w:rPr>
            <w:noProof/>
            <w:webHidden/>
          </w:rPr>
          <w:instrText xml:space="preserve"> PAGEREF _Toc22196759 \h </w:instrText>
        </w:r>
        <w:r w:rsidR="008A0F6D">
          <w:rPr>
            <w:noProof/>
            <w:webHidden/>
          </w:rPr>
        </w:r>
        <w:r w:rsidR="008A0F6D">
          <w:rPr>
            <w:noProof/>
            <w:webHidden/>
          </w:rPr>
          <w:fldChar w:fldCharType="separate"/>
        </w:r>
        <w:r w:rsidR="008A0F6D">
          <w:rPr>
            <w:noProof/>
            <w:webHidden/>
          </w:rPr>
          <w:t>108</w:t>
        </w:r>
        <w:r w:rsidR="008A0F6D">
          <w:rPr>
            <w:noProof/>
            <w:webHidden/>
          </w:rPr>
          <w:fldChar w:fldCharType="end"/>
        </w:r>
      </w:hyperlink>
    </w:p>
    <w:p w14:paraId="7683DF58" w14:textId="77777777" w:rsidR="008A0F6D" w:rsidRDefault="00064EC9">
      <w:pPr>
        <w:pStyle w:val="TOC2"/>
        <w:rPr>
          <w:rFonts w:asciiTheme="minorHAnsi" w:eastAsiaTheme="minorEastAsia" w:hAnsiTheme="minorHAnsi" w:cstheme="minorBidi"/>
          <w:color w:val="auto"/>
          <w:kern w:val="0"/>
          <w:sz w:val="22"/>
          <w:szCs w:val="22"/>
          <w:lang w:eastAsia="en-AU"/>
        </w:rPr>
      </w:pPr>
      <w:hyperlink w:anchor="_Toc22196760" w:history="1">
        <w:r w:rsidR="008A0F6D" w:rsidRPr="003A444B">
          <w:rPr>
            <w:rStyle w:val="Hyperlink"/>
          </w:rPr>
          <w:t>Appendix A – Workplace Health and Safety Plan</w:t>
        </w:r>
        <w:r w:rsidR="008A0F6D">
          <w:rPr>
            <w:webHidden/>
          </w:rPr>
          <w:tab/>
        </w:r>
        <w:r w:rsidR="008A0F6D">
          <w:rPr>
            <w:webHidden/>
          </w:rPr>
          <w:fldChar w:fldCharType="begin"/>
        </w:r>
        <w:r w:rsidR="008A0F6D">
          <w:rPr>
            <w:webHidden/>
          </w:rPr>
          <w:instrText xml:space="preserve"> PAGEREF _Toc22196760 \h </w:instrText>
        </w:r>
        <w:r w:rsidR="008A0F6D">
          <w:rPr>
            <w:webHidden/>
          </w:rPr>
        </w:r>
        <w:r w:rsidR="008A0F6D">
          <w:rPr>
            <w:webHidden/>
          </w:rPr>
          <w:fldChar w:fldCharType="separate"/>
        </w:r>
        <w:r w:rsidR="008A0F6D">
          <w:rPr>
            <w:webHidden/>
          </w:rPr>
          <w:t>108</w:t>
        </w:r>
        <w:r w:rsidR="008A0F6D">
          <w:rPr>
            <w:webHidden/>
          </w:rPr>
          <w:fldChar w:fldCharType="end"/>
        </w:r>
      </w:hyperlink>
    </w:p>
    <w:p w14:paraId="3C1C3365" w14:textId="77777777" w:rsidR="008A0F6D" w:rsidRDefault="00064EC9">
      <w:pPr>
        <w:pStyle w:val="TOC2"/>
        <w:rPr>
          <w:rFonts w:asciiTheme="minorHAnsi" w:eastAsiaTheme="minorEastAsia" w:hAnsiTheme="minorHAnsi" w:cstheme="minorBidi"/>
          <w:color w:val="auto"/>
          <w:kern w:val="0"/>
          <w:sz w:val="22"/>
          <w:szCs w:val="22"/>
          <w:lang w:eastAsia="en-AU"/>
        </w:rPr>
      </w:pPr>
      <w:hyperlink w:anchor="_Toc22196761" w:history="1">
        <w:r w:rsidR="008A0F6D" w:rsidRPr="003A444B">
          <w:rPr>
            <w:rStyle w:val="Hyperlink"/>
          </w:rPr>
          <w:t>Appendix B – Standard Operating Procedures for the Lower Murray</w:t>
        </w:r>
        <w:r w:rsidR="008A0F6D">
          <w:rPr>
            <w:webHidden/>
          </w:rPr>
          <w:tab/>
        </w:r>
        <w:r w:rsidR="008A0F6D">
          <w:rPr>
            <w:webHidden/>
          </w:rPr>
          <w:fldChar w:fldCharType="begin"/>
        </w:r>
        <w:r w:rsidR="008A0F6D">
          <w:rPr>
            <w:webHidden/>
          </w:rPr>
          <w:instrText xml:space="preserve"> PAGEREF _Toc22196761 \h </w:instrText>
        </w:r>
        <w:r w:rsidR="008A0F6D">
          <w:rPr>
            <w:webHidden/>
          </w:rPr>
        </w:r>
        <w:r w:rsidR="008A0F6D">
          <w:rPr>
            <w:webHidden/>
          </w:rPr>
          <w:fldChar w:fldCharType="separate"/>
        </w:r>
        <w:r w:rsidR="008A0F6D">
          <w:rPr>
            <w:webHidden/>
          </w:rPr>
          <w:t>111</w:t>
        </w:r>
        <w:r w:rsidR="008A0F6D">
          <w:rPr>
            <w:webHidden/>
          </w:rPr>
          <w:fldChar w:fldCharType="end"/>
        </w:r>
      </w:hyperlink>
    </w:p>
    <w:p w14:paraId="0DB7E990" w14:textId="77777777" w:rsidR="008A0F6D" w:rsidRDefault="00064EC9">
      <w:pPr>
        <w:pStyle w:val="TOC2"/>
        <w:rPr>
          <w:rFonts w:asciiTheme="minorHAnsi" w:eastAsiaTheme="minorEastAsia" w:hAnsiTheme="minorHAnsi" w:cstheme="minorBidi"/>
          <w:color w:val="auto"/>
          <w:kern w:val="0"/>
          <w:sz w:val="22"/>
          <w:szCs w:val="22"/>
          <w:lang w:eastAsia="en-AU"/>
        </w:rPr>
      </w:pPr>
      <w:hyperlink w:anchor="_Toc22196943" w:history="1">
        <w:r w:rsidR="008A0F6D" w:rsidRPr="003A444B">
          <w:rPr>
            <w:rStyle w:val="Hyperlink"/>
          </w:rPr>
          <w:t>Appendix C – Progress report template</w:t>
        </w:r>
        <w:r w:rsidR="008A0F6D">
          <w:rPr>
            <w:webHidden/>
          </w:rPr>
          <w:tab/>
        </w:r>
        <w:r w:rsidR="008A0F6D">
          <w:rPr>
            <w:webHidden/>
          </w:rPr>
          <w:fldChar w:fldCharType="begin"/>
        </w:r>
        <w:r w:rsidR="008A0F6D">
          <w:rPr>
            <w:webHidden/>
          </w:rPr>
          <w:instrText xml:space="preserve"> PAGEREF _Toc22196943 \h </w:instrText>
        </w:r>
        <w:r w:rsidR="008A0F6D">
          <w:rPr>
            <w:webHidden/>
          </w:rPr>
        </w:r>
        <w:r w:rsidR="008A0F6D">
          <w:rPr>
            <w:webHidden/>
          </w:rPr>
          <w:fldChar w:fldCharType="separate"/>
        </w:r>
        <w:r w:rsidR="008A0F6D">
          <w:rPr>
            <w:webHidden/>
          </w:rPr>
          <w:t>166</w:t>
        </w:r>
        <w:r w:rsidR="008A0F6D">
          <w:rPr>
            <w:webHidden/>
          </w:rPr>
          <w:fldChar w:fldCharType="end"/>
        </w:r>
      </w:hyperlink>
    </w:p>
    <w:p w14:paraId="6387EC43" w14:textId="77777777" w:rsidR="008A0F6D" w:rsidRDefault="00064EC9">
      <w:pPr>
        <w:pStyle w:val="TOC2"/>
        <w:rPr>
          <w:rFonts w:asciiTheme="minorHAnsi" w:eastAsiaTheme="minorEastAsia" w:hAnsiTheme="minorHAnsi" w:cstheme="minorBidi"/>
          <w:color w:val="auto"/>
          <w:kern w:val="0"/>
          <w:sz w:val="22"/>
          <w:szCs w:val="22"/>
          <w:lang w:eastAsia="en-AU"/>
        </w:rPr>
      </w:pPr>
      <w:hyperlink w:anchor="_Toc22196944" w:history="1">
        <w:r w:rsidR="008A0F6D" w:rsidRPr="003A444B">
          <w:rPr>
            <w:rStyle w:val="Hyperlink"/>
          </w:rPr>
          <w:t>Appendix D – Objectives, evaluation questions, hypotheses and outcomes for each component (indicator) of the MER Project.</w:t>
        </w:r>
        <w:r w:rsidR="008A0F6D">
          <w:rPr>
            <w:webHidden/>
          </w:rPr>
          <w:tab/>
        </w:r>
        <w:r w:rsidR="008A0F6D">
          <w:rPr>
            <w:webHidden/>
          </w:rPr>
          <w:fldChar w:fldCharType="begin"/>
        </w:r>
        <w:r w:rsidR="008A0F6D">
          <w:rPr>
            <w:webHidden/>
          </w:rPr>
          <w:instrText xml:space="preserve"> PAGEREF _Toc22196944 \h </w:instrText>
        </w:r>
        <w:r w:rsidR="008A0F6D">
          <w:rPr>
            <w:webHidden/>
          </w:rPr>
        </w:r>
        <w:r w:rsidR="008A0F6D">
          <w:rPr>
            <w:webHidden/>
          </w:rPr>
          <w:fldChar w:fldCharType="separate"/>
        </w:r>
        <w:r w:rsidR="008A0F6D">
          <w:rPr>
            <w:webHidden/>
          </w:rPr>
          <w:t>168</w:t>
        </w:r>
        <w:r w:rsidR="008A0F6D">
          <w:rPr>
            <w:webHidden/>
          </w:rPr>
          <w:fldChar w:fldCharType="end"/>
        </w:r>
      </w:hyperlink>
    </w:p>
    <w:p w14:paraId="707FB3F5" w14:textId="77777777" w:rsidR="008A0F6D" w:rsidRDefault="00064EC9">
      <w:pPr>
        <w:pStyle w:val="TOC1"/>
        <w:tabs>
          <w:tab w:val="right" w:leader="dot" w:pos="9010"/>
        </w:tabs>
        <w:rPr>
          <w:rFonts w:asciiTheme="minorHAnsi" w:eastAsiaTheme="minorEastAsia" w:hAnsiTheme="minorHAnsi" w:cstheme="minorBidi"/>
          <w:b w:val="0"/>
          <w:noProof/>
          <w:color w:val="auto"/>
          <w:kern w:val="0"/>
          <w:sz w:val="22"/>
          <w:szCs w:val="22"/>
          <w:lang w:eastAsia="en-AU"/>
        </w:rPr>
      </w:pPr>
      <w:hyperlink w:anchor="_Toc22196945" w:history="1">
        <w:r w:rsidR="008A0F6D" w:rsidRPr="003A444B">
          <w:rPr>
            <w:rStyle w:val="Hyperlink"/>
            <w:noProof/>
          </w:rPr>
          <w:t>Acronyms</w:t>
        </w:r>
        <w:r w:rsidR="008A0F6D">
          <w:rPr>
            <w:noProof/>
            <w:webHidden/>
          </w:rPr>
          <w:tab/>
        </w:r>
        <w:r w:rsidR="008A0F6D">
          <w:rPr>
            <w:noProof/>
            <w:webHidden/>
          </w:rPr>
          <w:fldChar w:fldCharType="begin"/>
        </w:r>
        <w:r w:rsidR="008A0F6D">
          <w:rPr>
            <w:noProof/>
            <w:webHidden/>
          </w:rPr>
          <w:instrText xml:space="preserve"> PAGEREF _Toc22196945 \h </w:instrText>
        </w:r>
        <w:r w:rsidR="008A0F6D">
          <w:rPr>
            <w:noProof/>
            <w:webHidden/>
          </w:rPr>
        </w:r>
        <w:r w:rsidR="008A0F6D">
          <w:rPr>
            <w:noProof/>
            <w:webHidden/>
          </w:rPr>
          <w:fldChar w:fldCharType="separate"/>
        </w:r>
        <w:r w:rsidR="008A0F6D">
          <w:rPr>
            <w:noProof/>
            <w:webHidden/>
          </w:rPr>
          <w:t>175</w:t>
        </w:r>
        <w:r w:rsidR="008A0F6D">
          <w:rPr>
            <w:noProof/>
            <w:webHidden/>
          </w:rPr>
          <w:fldChar w:fldCharType="end"/>
        </w:r>
      </w:hyperlink>
    </w:p>
    <w:p w14:paraId="6E27B43D" w14:textId="77777777" w:rsidR="008A0F6D" w:rsidRDefault="00064EC9">
      <w:pPr>
        <w:pStyle w:val="TOC1"/>
        <w:tabs>
          <w:tab w:val="right" w:leader="dot" w:pos="9010"/>
        </w:tabs>
        <w:rPr>
          <w:rFonts w:asciiTheme="minorHAnsi" w:eastAsiaTheme="minorEastAsia" w:hAnsiTheme="minorHAnsi" w:cstheme="minorBidi"/>
          <w:b w:val="0"/>
          <w:noProof/>
          <w:color w:val="auto"/>
          <w:kern w:val="0"/>
          <w:sz w:val="22"/>
          <w:szCs w:val="22"/>
          <w:lang w:eastAsia="en-AU"/>
        </w:rPr>
      </w:pPr>
      <w:hyperlink w:anchor="_Toc22196946" w:history="1">
        <w:r w:rsidR="008A0F6D" w:rsidRPr="003A444B">
          <w:rPr>
            <w:rStyle w:val="Hyperlink"/>
            <w:noProof/>
          </w:rPr>
          <w:t>Attachment A: 2019 Lamprey migration contingency monitoring Work Order and Project Scope</w:t>
        </w:r>
        <w:r w:rsidR="008A0F6D">
          <w:rPr>
            <w:noProof/>
            <w:webHidden/>
          </w:rPr>
          <w:tab/>
        </w:r>
        <w:r w:rsidR="008A0F6D">
          <w:rPr>
            <w:noProof/>
            <w:webHidden/>
          </w:rPr>
          <w:fldChar w:fldCharType="begin"/>
        </w:r>
        <w:r w:rsidR="008A0F6D">
          <w:rPr>
            <w:noProof/>
            <w:webHidden/>
          </w:rPr>
          <w:instrText xml:space="preserve"> PAGEREF _Toc22196946 \h </w:instrText>
        </w:r>
        <w:r w:rsidR="008A0F6D">
          <w:rPr>
            <w:noProof/>
            <w:webHidden/>
          </w:rPr>
        </w:r>
        <w:r w:rsidR="008A0F6D">
          <w:rPr>
            <w:noProof/>
            <w:webHidden/>
          </w:rPr>
          <w:fldChar w:fldCharType="separate"/>
        </w:r>
        <w:r w:rsidR="008A0F6D">
          <w:rPr>
            <w:noProof/>
            <w:webHidden/>
          </w:rPr>
          <w:t>177</w:t>
        </w:r>
        <w:r w:rsidR="008A0F6D">
          <w:rPr>
            <w:noProof/>
            <w:webHidden/>
          </w:rPr>
          <w:fldChar w:fldCharType="end"/>
        </w:r>
      </w:hyperlink>
    </w:p>
    <w:p w14:paraId="043A7A48" w14:textId="77777777" w:rsidR="008A0F6D" w:rsidRDefault="00064EC9">
      <w:pPr>
        <w:pStyle w:val="TOC1"/>
        <w:tabs>
          <w:tab w:val="right" w:leader="dot" w:pos="9010"/>
        </w:tabs>
        <w:rPr>
          <w:rFonts w:asciiTheme="minorHAnsi" w:eastAsiaTheme="minorEastAsia" w:hAnsiTheme="minorHAnsi" w:cstheme="minorBidi"/>
          <w:b w:val="0"/>
          <w:noProof/>
          <w:color w:val="auto"/>
          <w:kern w:val="0"/>
          <w:sz w:val="22"/>
          <w:szCs w:val="22"/>
          <w:lang w:eastAsia="en-AU"/>
        </w:rPr>
      </w:pPr>
      <w:hyperlink w:anchor="_Toc22196947" w:history="1">
        <w:r w:rsidR="008A0F6D" w:rsidRPr="003A444B">
          <w:rPr>
            <w:rStyle w:val="Hyperlink"/>
            <w:noProof/>
          </w:rPr>
          <w:t>Attachment B: 2019–2021 Research Work Order and Project Scope</w:t>
        </w:r>
        <w:r w:rsidR="008A0F6D">
          <w:rPr>
            <w:noProof/>
            <w:webHidden/>
          </w:rPr>
          <w:tab/>
        </w:r>
        <w:r w:rsidR="008A0F6D">
          <w:rPr>
            <w:noProof/>
            <w:webHidden/>
          </w:rPr>
          <w:fldChar w:fldCharType="begin"/>
        </w:r>
        <w:r w:rsidR="008A0F6D">
          <w:rPr>
            <w:noProof/>
            <w:webHidden/>
          </w:rPr>
          <w:instrText xml:space="preserve"> PAGEREF _Toc22196947 \h </w:instrText>
        </w:r>
        <w:r w:rsidR="008A0F6D">
          <w:rPr>
            <w:noProof/>
            <w:webHidden/>
          </w:rPr>
        </w:r>
        <w:r w:rsidR="008A0F6D">
          <w:rPr>
            <w:noProof/>
            <w:webHidden/>
          </w:rPr>
          <w:fldChar w:fldCharType="separate"/>
        </w:r>
        <w:r w:rsidR="008A0F6D">
          <w:rPr>
            <w:noProof/>
            <w:webHidden/>
          </w:rPr>
          <w:t>184</w:t>
        </w:r>
        <w:r w:rsidR="008A0F6D">
          <w:rPr>
            <w:noProof/>
            <w:webHidden/>
          </w:rPr>
          <w:fldChar w:fldCharType="end"/>
        </w:r>
      </w:hyperlink>
    </w:p>
    <w:p w14:paraId="24517A45" w14:textId="710D7805" w:rsidR="0029502D" w:rsidRDefault="00A91A89" w:rsidP="00CA7F7F">
      <w:pPr>
        <w:pStyle w:val="TOC1"/>
        <w:tabs>
          <w:tab w:val="right" w:leader="dot" w:pos="9010"/>
        </w:tabs>
        <w:rPr>
          <w:rFonts w:cs="Arial"/>
          <w:spacing w:val="40"/>
          <w:lang w:eastAsia="en-AU"/>
        </w:rPr>
      </w:pPr>
      <w:r>
        <w:rPr>
          <w:rFonts w:cs="Arial"/>
          <w:b w:val="0"/>
          <w:i/>
          <w:szCs w:val="22"/>
        </w:rPr>
        <w:fldChar w:fldCharType="end"/>
      </w:r>
      <w:r w:rsidR="0029502D">
        <w:br w:type="page"/>
      </w:r>
    </w:p>
    <w:p w14:paraId="64CC5F16" w14:textId="77777777" w:rsidR="008E7AE7" w:rsidRPr="0081353A" w:rsidRDefault="008E7AE7" w:rsidP="003E13C8">
      <w:pPr>
        <w:pStyle w:val="Heading1"/>
        <w:numPr>
          <w:ilvl w:val="0"/>
          <w:numId w:val="0"/>
        </w:numPr>
        <w:ind w:left="851" w:hanging="851"/>
      </w:pPr>
      <w:bookmarkStart w:id="18" w:name="_Toc22196676"/>
      <w:r w:rsidRPr="0081353A">
        <w:lastRenderedPageBreak/>
        <w:t>List of figures</w:t>
      </w:r>
      <w:bookmarkEnd w:id="18"/>
    </w:p>
    <w:p w14:paraId="41F603F1" w14:textId="032C1951" w:rsidR="00251188" w:rsidRDefault="00251188">
      <w:pPr>
        <w:pStyle w:val="TableofFigures"/>
        <w:rPr>
          <w:rFonts w:eastAsiaTheme="minorEastAsia" w:cstheme="minorBidi"/>
          <w:noProof/>
          <w:color w:val="auto"/>
          <w:sz w:val="22"/>
          <w:szCs w:val="22"/>
        </w:rPr>
      </w:pPr>
      <w:r>
        <w:rPr>
          <w:b/>
          <w:bCs/>
        </w:rPr>
        <w:fldChar w:fldCharType="begin"/>
      </w:r>
      <w:r>
        <w:rPr>
          <w:b/>
          <w:bCs/>
        </w:rPr>
        <w:instrText xml:space="preserve"> TOC \h \z \c "Figure" </w:instrText>
      </w:r>
      <w:r>
        <w:rPr>
          <w:b/>
          <w:bCs/>
        </w:rPr>
        <w:fldChar w:fldCharType="separate"/>
      </w:r>
      <w:hyperlink w:anchor="_Toc12630429" w:history="1">
        <w:r w:rsidRPr="00955CDC">
          <w:rPr>
            <w:rStyle w:val="Hyperlink"/>
            <w:rFonts w:eastAsiaTheme="majorEastAsia"/>
            <w:noProof/>
          </w:rPr>
          <w:t>Figure 2.1. Map of the Lower Murray Selected Area, showing the floodplain (blue), gorge (green) and swamplands (orange) zones, and the Lower Lakes, Coorong and Murray Mouth (yellow).</w:t>
        </w:r>
        <w:r>
          <w:rPr>
            <w:noProof/>
            <w:webHidden/>
          </w:rPr>
          <w:tab/>
        </w:r>
        <w:r>
          <w:rPr>
            <w:noProof/>
            <w:webHidden/>
          </w:rPr>
          <w:fldChar w:fldCharType="begin"/>
        </w:r>
        <w:r>
          <w:rPr>
            <w:noProof/>
            <w:webHidden/>
          </w:rPr>
          <w:instrText xml:space="preserve"> PAGEREF _Toc12630429 \h </w:instrText>
        </w:r>
        <w:r>
          <w:rPr>
            <w:noProof/>
            <w:webHidden/>
          </w:rPr>
        </w:r>
        <w:r>
          <w:rPr>
            <w:noProof/>
            <w:webHidden/>
          </w:rPr>
          <w:fldChar w:fldCharType="separate"/>
        </w:r>
        <w:r w:rsidR="00DF49CD">
          <w:rPr>
            <w:noProof/>
            <w:webHidden/>
          </w:rPr>
          <w:t>6</w:t>
        </w:r>
        <w:r>
          <w:rPr>
            <w:noProof/>
            <w:webHidden/>
          </w:rPr>
          <w:fldChar w:fldCharType="end"/>
        </w:r>
      </w:hyperlink>
    </w:p>
    <w:p w14:paraId="1601FAD6" w14:textId="551699B7" w:rsidR="00251188" w:rsidRDefault="00064EC9">
      <w:pPr>
        <w:pStyle w:val="TableofFigures"/>
        <w:rPr>
          <w:rFonts w:eastAsiaTheme="minorEastAsia" w:cstheme="minorBidi"/>
          <w:noProof/>
          <w:color w:val="auto"/>
          <w:sz w:val="22"/>
          <w:szCs w:val="22"/>
        </w:rPr>
      </w:pPr>
      <w:hyperlink w:anchor="_Toc12630430" w:history="1">
        <w:r w:rsidR="00251188" w:rsidRPr="00955CDC">
          <w:rPr>
            <w:rStyle w:val="Hyperlink"/>
            <w:rFonts w:eastAsiaTheme="majorEastAsia"/>
            <w:noProof/>
          </w:rPr>
          <w:t>Figure 3.1.</w:t>
        </w:r>
        <w:r w:rsidR="00251188">
          <w:rPr>
            <w:rFonts w:eastAsiaTheme="minorEastAsia" w:cstheme="minorBidi"/>
            <w:noProof/>
            <w:color w:val="auto"/>
            <w:sz w:val="22"/>
            <w:szCs w:val="22"/>
          </w:rPr>
          <w:tab/>
        </w:r>
        <w:r w:rsidR="00251188" w:rsidRPr="00955CDC">
          <w:rPr>
            <w:rStyle w:val="Hyperlink"/>
            <w:rFonts w:eastAsiaTheme="majorEastAsia"/>
            <w:noProof/>
          </w:rPr>
          <w:t xml:space="preserve">The various flow types as described by the Murray–Darling Basin Plan and Gawne </w:t>
        </w:r>
        <w:r w:rsidR="00251188" w:rsidRPr="00955CDC">
          <w:rPr>
            <w:rStyle w:val="Hyperlink"/>
            <w:rFonts w:eastAsiaTheme="majorEastAsia"/>
            <w:i/>
            <w:noProof/>
          </w:rPr>
          <w:t>et al</w:t>
        </w:r>
        <w:r w:rsidR="00251188" w:rsidRPr="00955CDC">
          <w:rPr>
            <w:rStyle w:val="Hyperlink"/>
            <w:rFonts w:eastAsiaTheme="majorEastAsia"/>
            <w:noProof/>
          </w:rPr>
          <w:t>. (2013a).</w:t>
        </w:r>
        <w:r w:rsidR="00251188">
          <w:rPr>
            <w:noProof/>
            <w:webHidden/>
          </w:rPr>
          <w:tab/>
        </w:r>
        <w:r w:rsidR="00251188">
          <w:rPr>
            <w:noProof/>
            <w:webHidden/>
          </w:rPr>
          <w:fldChar w:fldCharType="begin"/>
        </w:r>
        <w:r w:rsidR="00251188">
          <w:rPr>
            <w:noProof/>
            <w:webHidden/>
          </w:rPr>
          <w:instrText xml:space="preserve"> PAGEREF _Toc12630430 \h </w:instrText>
        </w:r>
        <w:r w:rsidR="00251188">
          <w:rPr>
            <w:noProof/>
            <w:webHidden/>
          </w:rPr>
        </w:r>
        <w:r w:rsidR="00251188">
          <w:rPr>
            <w:noProof/>
            <w:webHidden/>
          </w:rPr>
          <w:fldChar w:fldCharType="separate"/>
        </w:r>
        <w:r w:rsidR="00DF49CD">
          <w:rPr>
            <w:noProof/>
            <w:webHidden/>
          </w:rPr>
          <w:t>8</w:t>
        </w:r>
        <w:r w:rsidR="00251188">
          <w:rPr>
            <w:noProof/>
            <w:webHidden/>
          </w:rPr>
          <w:fldChar w:fldCharType="end"/>
        </w:r>
      </w:hyperlink>
    </w:p>
    <w:p w14:paraId="6500A5C1" w14:textId="16D1D5F9" w:rsidR="00251188" w:rsidRDefault="00064EC9">
      <w:pPr>
        <w:pStyle w:val="TableofFigures"/>
        <w:rPr>
          <w:rFonts w:eastAsiaTheme="minorEastAsia" w:cstheme="minorBidi"/>
          <w:noProof/>
          <w:color w:val="auto"/>
          <w:sz w:val="22"/>
          <w:szCs w:val="22"/>
        </w:rPr>
      </w:pPr>
      <w:hyperlink w:anchor="_Toc12630431" w:history="1">
        <w:r w:rsidR="00251188" w:rsidRPr="00955CDC">
          <w:rPr>
            <w:rStyle w:val="Hyperlink"/>
            <w:rFonts w:eastAsiaTheme="majorEastAsia"/>
            <w:noProof/>
          </w:rPr>
          <w:t xml:space="preserve">Figure 3.2. </w:t>
        </w:r>
        <w:r w:rsidR="00251188" w:rsidRPr="00955CDC">
          <w:rPr>
            <w:rStyle w:val="Hyperlink"/>
            <w:rFonts w:eastAsiaTheme="majorEastAsia"/>
            <w:noProof/>
            <w:kern w:val="24"/>
            <w:lang w:val="en-US"/>
          </w:rPr>
          <w:t>Cause and effect diagram of flow for the main channel of the Lower Murray Selected Area with respect to the proposed category indicators (core monitoring). Category 1 (Basin-scale) indicators are highlighted in orange and Category 3 (Selected Area) indicators in purple. Magnitude, timing and duration are factors of flow (in black).</w:t>
        </w:r>
        <w:r w:rsidR="00251188">
          <w:rPr>
            <w:noProof/>
            <w:webHidden/>
          </w:rPr>
          <w:tab/>
        </w:r>
        <w:r w:rsidR="00251188">
          <w:rPr>
            <w:noProof/>
            <w:webHidden/>
          </w:rPr>
          <w:fldChar w:fldCharType="begin"/>
        </w:r>
        <w:r w:rsidR="00251188">
          <w:rPr>
            <w:noProof/>
            <w:webHidden/>
          </w:rPr>
          <w:instrText xml:space="preserve"> PAGEREF _Toc12630431 \h </w:instrText>
        </w:r>
        <w:r w:rsidR="00251188">
          <w:rPr>
            <w:noProof/>
            <w:webHidden/>
          </w:rPr>
        </w:r>
        <w:r w:rsidR="00251188">
          <w:rPr>
            <w:noProof/>
            <w:webHidden/>
          </w:rPr>
          <w:fldChar w:fldCharType="separate"/>
        </w:r>
        <w:r w:rsidR="00DF49CD">
          <w:rPr>
            <w:noProof/>
            <w:webHidden/>
          </w:rPr>
          <w:t>10</w:t>
        </w:r>
        <w:r w:rsidR="00251188">
          <w:rPr>
            <w:noProof/>
            <w:webHidden/>
          </w:rPr>
          <w:fldChar w:fldCharType="end"/>
        </w:r>
      </w:hyperlink>
    </w:p>
    <w:p w14:paraId="64E3B7ED" w14:textId="2BF6B228" w:rsidR="00251188" w:rsidRDefault="00064EC9">
      <w:pPr>
        <w:pStyle w:val="TableofFigures"/>
        <w:rPr>
          <w:rFonts w:eastAsiaTheme="minorEastAsia" w:cstheme="minorBidi"/>
          <w:noProof/>
          <w:color w:val="auto"/>
          <w:sz w:val="22"/>
          <w:szCs w:val="22"/>
        </w:rPr>
      </w:pPr>
      <w:hyperlink w:anchor="_Toc12630432" w:history="1">
        <w:r w:rsidR="00251188" w:rsidRPr="00955CDC">
          <w:rPr>
            <w:rStyle w:val="Hyperlink"/>
            <w:rFonts w:eastAsiaTheme="majorEastAsia"/>
            <w:noProof/>
          </w:rPr>
          <w:t>Figure 5.1. Key for cause and effect diagrams (taken from MDFRC 2013) that are provided in Sections 5.1 and 5.2.</w:t>
        </w:r>
        <w:r w:rsidR="00251188">
          <w:rPr>
            <w:noProof/>
            <w:webHidden/>
          </w:rPr>
          <w:tab/>
        </w:r>
        <w:r w:rsidR="00251188">
          <w:rPr>
            <w:noProof/>
            <w:webHidden/>
          </w:rPr>
          <w:fldChar w:fldCharType="begin"/>
        </w:r>
        <w:r w:rsidR="00251188">
          <w:rPr>
            <w:noProof/>
            <w:webHidden/>
          </w:rPr>
          <w:instrText xml:space="preserve"> PAGEREF _Toc12630432 \h </w:instrText>
        </w:r>
        <w:r w:rsidR="00251188">
          <w:rPr>
            <w:noProof/>
            <w:webHidden/>
          </w:rPr>
        </w:r>
        <w:r w:rsidR="00251188">
          <w:rPr>
            <w:noProof/>
            <w:webHidden/>
          </w:rPr>
          <w:fldChar w:fldCharType="separate"/>
        </w:r>
        <w:r w:rsidR="00DF49CD">
          <w:rPr>
            <w:noProof/>
            <w:webHidden/>
          </w:rPr>
          <w:t>17</w:t>
        </w:r>
        <w:r w:rsidR="00251188">
          <w:rPr>
            <w:noProof/>
            <w:webHidden/>
          </w:rPr>
          <w:fldChar w:fldCharType="end"/>
        </w:r>
      </w:hyperlink>
    </w:p>
    <w:p w14:paraId="0F13DEA2" w14:textId="2FFCF53F" w:rsidR="00251188" w:rsidRDefault="00064EC9">
      <w:pPr>
        <w:pStyle w:val="TableofFigures"/>
        <w:rPr>
          <w:rFonts w:eastAsiaTheme="minorEastAsia" w:cstheme="minorBidi"/>
          <w:noProof/>
          <w:color w:val="auto"/>
          <w:sz w:val="22"/>
          <w:szCs w:val="22"/>
        </w:rPr>
      </w:pPr>
      <w:hyperlink w:anchor="_Toc12630433" w:history="1">
        <w:r w:rsidR="00251188" w:rsidRPr="00955CDC">
          <w:rPr>
            <w:rStyle w:val="Hyperlink"/>
            <w:rFonts w:eastAsiaTheme="majorEastAsia"/>
            <w:noProof/>
          </w:rPr>
          <w:t>Figure 5.2.</w:t>
        </w:r>
        <w:r w:rsidR="00251188">
          <w:rPr>
            <w:rFonts w:eastAsiaTheme="minorEastAsia" w:cstheme="minorBidi"/>
            <w:noProof/>
            <w:color w:val="auto"/>
            <w:sz w:val="22"/>
            <w:szCs w:val="22"/>
          </w:rPr>
          <w:tab/>
        </w:r>
        <w:r w:rsidR="00251188" w:rsidRPr="00955CDC">
          <w:rPr>
            <w:rStyle w:val="Hyperlink"/>
            <w:rFonts w:eastAsiaTheme="majorEastAsia"/>
            <w:noProof/>
          </w:rPr>
          <w:t>Monitoring stations in the Lower Murray Selected Area (SA border to Mannum). Most stations record level and salinity, and only some stations record daily discharge.</w:t>
        </w:r>
        <w:r w:rsidR="00251188">
          <w:rPr>
            <w:noProof/>
            <w:webHidden/>
          </w:rPr>
          <w:tab/>
        </w:r>
        <w:r w:rsidR="00251188">
          <w:rPr>
            <w:noProof/>
            <w:webHidden/>
          </w:rPr>
          <w:fldChar w:fldCharType="begin"/>
        </w:r>
        <w:r w:rsidR="00251188">
          <w:rPr>
            <w:noProof/>
            <w:webHidden/>
          </w:rPr>
          <w:instrText xml:space="preserve"> PAGEREF _Toc12630433 \h </w:instrText>
        </w:r>
        <w:r w:rsidR="00251188">
          <w:rPr>
            <w:noProof/>
            <w:webHidden/>
          </w:rPr>
        </w:r>
        <w:r w:rsidR="00251188">
          <w:rPr>
            <w:noProof/>
            <w:webHidden/>
          </w:rPr>
          <w:fldChar w:fldCharType="separate"/>
        </w:r>
        <w:r w:rsidR="00DF49CD">
          <w:rPr>
            <w:noProof/>
            <w:webHidden/>
          </w:rPr>
          <w:t>19</w:t>
        </w:r>
        <w:r w:rsidR="00251188">
          <w:rPr>
            <w:noProof/>
            <w:webHidden/>
          </w:rPr>
          <w:fldChar w:fldCharType="end"/>
        </w:r>
      </w:hyperlink>
    </w:p>
    <w:p w14:paraId="0850B709" w14:textId="79CC5AF9" w:rsidR="00251188" w:rsidRDefault="00064EC9">
      <w:pPr>
        <w:pStyle w:val="TableofFigures"/>
        <w:rPr>
          <w:rFonts w:eastAsiaTheme="minorEastAsia" w:cstheme="minorBidi"/>
          <w:noProof/>
          <w:color w:val="auto"/>
          <w:sz w:val="22"/>
          <w:szCs w:val="22"/>
        </w:rPr>
      </w:pPr>
      <w:hyperlink w:anchor="_Toc12630434" w:history="1">
        <w:r w:rsidR="00251188" w:rsidRPr="00955CDC">
          <w:rPr>
            <w:rStyle w:val="Hyperlink"/>
            <w:rFonts w:eastAsiaTheme="majorEastAsia"/>
            <w:noProof/>
          </w:rPr>
          <w:t>Figure 5.3.</w:t>
        </w:r>
        <w:r w:rsidR="00251188">
          <w:rPr>
            <w:rFonts w:eastAsiaTheme="minorEastAsia" w:cstheme="minorBidi"/>
            <w:noProof/>
            <w:color w:val="auto"/>
            <w:sz w:val="22"/>
            <w:szCs w:val="22"/>
          </w:rPr>
          <w:tab/>
        </w:r>
        <w:r w:rsidR="00251188" w:rsidRPr="00955CDC">
          <w:rPr>
            <w:rStyle w:val="Hyperlink"/>
            <w:rFonts w:eastAsiaTheme="majorEastAsia"/>
            <w:noProof/>
          </w:rPr>
          <w:t xml:space="preserve">Cause and effect diagrams depicting the influence of flow on the components of </w:t>
        </w:r>
        <w:r w:rsidR="00251188" w:rsidRPr="00955CDC">
          <w:rPr>
            <w:rStyle w:val="Hyperlink"/>
            <w:rFonts w:eastAsiaTheme="majorEastAsia"/>
            <w:i/>
            <w:noProof/>
          </w:rPr>
          <w:t>Stream Metabolism</w:t>
        </w:r>
        <w:r w:rsidR="00251188" w:rsidRPr="00955CDC">
          <w:rPr>
            <w:rStyle w:val="Hyperlink"/>
            <w:rFonts w:eastAsiaTheme="majorEastAsia"/>
            <w:noProof/>
          </w:rPr>
          <w:t xml:space="preserve">, on primary productivity (top) and decomposition (bottom) (MDFRC 2013). </w:t>
        </w:r>
        <w:r w:rsidR="00251188" w:rsidRPr="00955CDC">
          <w:rPr>
            <w:rStyle w:val="Hyperlink"/>
            <w:rFonts w:eastAsiaTheme="majorEastAsia" w:cstheme="minorHAnsi"/>
            <w:noProof/>
            <w:kern w:val="24"/>
            <w:lang w:val="en-US"/>
          </w:rPr>
          <w:t>Magnitude, timing and duration are factors of flow (in black).</w:t>
        </w:r>
        <w:r w:rsidR="00251188">
          <w:rPr>
            <w:noProof/>
            <w:webHidden/>
          </w:rPr>
          <w:tab/>
        </w:r>
        <w:r w:rsidR="00251188">
          <w:rPr>
            <w:noProof/>
            <w:webHidden/>
          </w:rPr>
          <w:fldChar w:fldCharType="begin"/>
        </w:r>
        <w:r w:rsidR="00251188">
          <w:rPr>
            <w:noProof/>
            <w:webHidden/>
          </w:rPr>
          <w:instrText xml:space="preserve"> PAGEREF _Toc12630434 \h </w:instrText>
        </w:r>
        <w:r w:rsidR="00251188">
          <w:rPr>
            <w:noProof/>
            <w:webHidden/>
          </w:rPr>
        </w:r>
        <w:r w:rsidR="00251188">
          <w:rPr>
            <w:noProof/>
            <w:webHidden/>
          </w:rPr>
          <w:fldChar w:fldCharType="separate"/>
        </w:r>
        <w:r w:rsidR="00DF49CD">
          <w:rPr>
            <w:noProof/>
            <w:webHidden/>
          </w:rPr>
          <w:t>22</w:t>
        </w:r>
        <w:r w:rsidR="00251188">
          <w:rPr>
            <w:noProof/>
            <w:webHidden/>
          </w:rPr>
          <w:fldChar w:fldCharType="end"/>
        </w:r>
      </w:hyperlink>
    </w:p>
    <w:p w14:paraId="1B8A8101" w14:textId="19A5058E" w:rsidR="00251188" w:rsidRDefault="00064EC9">
      <w:pPr>
        <w:pStyle w:val="TableofFigures"/>
        <w:rPr>
          <w:rFonts w:eastAsiaTheme="minorEastAsia" w:cstheme="minorBidi"/>
          <w:noProof/>
          <w:color w:val="auto"/>
          <w:sz w:val="22"/>
          <w:szCs w:val="22"/>
        </w:rPr>
      </w:pPr>
      <w:hyperlink w:anchor="_Toc12630435" w:history="1">
        <w:r w:rsidR="00251188" w:rsidRPr="00955CDC">
          <w:rPr>
            <w:rStyle w:val="Hyperlink"/>
            <w:rFonts w:eastAsiaTheme="majorEastAsia"/>
            <w:noProof/>
          </w:rPr>
          <w:t>Figure 5.4.</w:t>
        </w:r>
        <w:r w:rsidR="00251188">
          <w:rPr>
            <w:rFonts w:eastAsiaTheme="minorEastAsia" w:cstheme="minorBidi"/>
            <w:noProof/>
            <w:color w:val="auto"/>
            <w:sz w:val="22"/>
            <w:szCs w:val="22"/>
          </w:rPr>
          <w:tab/>
        </w:r>
        <w:r w:rsidR="00251188" w:rsidRPr="00955CDC">
          <w:rPr>
            <w:rStyle w:val="Hyperlink"/>
            <w:rFonts w:eastAsiaTheme="majorEastAsia"/>
            <w:noProof/>
          </w:rPr>
          <w:t xml:space="preserve">Fish (Channel) cause and effect diagram (MDFRC 2013). </w:t>
        </w:r>
        <w:r w:rsidR="00251188" w:rsidRPr="00955CDC">
          <w:rPr>
            <w:rStyle w:val="Hyperlink"/>
            <w:rFonts w:eastAsiaTheme="majorEastAsia" w:cstheme="minorHAnsi"/>
            <w:noProof/>
            <w:kern w:val="24"/>
            <w:lang w:val="en-US"/>
          </w:rPr>
          <w:t>Magnitude, timing and duration are factors of flow (in black).</w:t>
        </w:r>
        <w:r w:rsidR="00251188">
          <w:rPr>
            <w:noProof/>
            <w:webHidden/>
          </w:rPr>
          <w:tab/>
        </w:r>
        <w:r w:rsidR="00251188">
          <w:rPr>
            <w:noProof/>
            <w:webHidden/>
          </w:rPr>
          <w:fldChar w:fldCharType="begin"/>
        </w:r>
        <w:r w:rsidR="00251188">
          <w:rPr>
            <w:noProof/>
            <w:webHidden/>
          </w:rPr>
          <w:instrText xml:space="preserve"> PAGEREF _Toc12630435 \h </w:instrText>
        </w:r>
        <w:r w:rsidR="00251188">
          <w:rPr>
            <w:noProof/>
            <w:webHidden/>
          </w:rPr>
        </w:r>
        <w:r w:rsidR="00251188">
          <w:rPr>
            <w:noProof/>
            <w:webHidden/>
          </w:rPr>
          <w:fldChar w:fldCharType="separate"/>
        </w:r>
        <w:r w:rsidR="00DF49CD">
          <w:rPr>
            <w:noProof/>
            <w:webHidden/>
          </w:rPr>
          <w:t>26</w:t>
        </w:r>
        <w:r w:rsidR="00251188">
          <w:rPr>
            <w:noProof/>
            <w:webHidden/>
          </w:rPr>
          <w:fldChar w:fldCharType="end"/>
        </w:r>
      </w:hyperlink>
    </w:p>
    <w:p w14:paraId="2B83C7B3" w14:textId="3774CABF" w:rsidR="00251188" w:rsidRDefault="00064EC9">
      <w:pPr>
        <w:pStyle w:val="TableofFigures"/>
        <w:rPr>
          <w:rFonts w:eastAsiaTheme="minorEastAsia" w:cstheme="minorBidi"/>
          <w:noProof/>
          <w:color w:val="auto"/>
          <w:sz w:val="22"/>
          <w:szCs w:val="22"/>
        </w:rPr>
      </w:pPr>
      <w:hyperlink w:anchor="_Toc12630436" w:history="1">
        <w:r w:rsidR="00251188" w:rsidRPr="00955CDC">
          <w:rPr>
            <w:rStyle w:val="Hyperlink"/>
            <w:rFonts w:eastAsiaTheme="majorEastAsia"/>
            <w:noProof/>
          </w:rPr>
          <w:t>Figure 5.5.</w:t>
        </w:r>
        <w:r w:rsidR="00251188">
          <w:rPr>
            <w:rFonts w:eastAsiaTheme="minorEastAsia" w:cstheme="minorBidi"/>
            <w:noProof/>
            <w:color w:val="auto"/>
            <w:sz w:val="22"/>
            <w:szCs w:val="22"/>
          </w:rPr>
          <w:tab/>
        </w:r>
        <w:r w:rsidR="00251188" w:rsidRPr="00955CDC">
          <w:rPr>
            <w:rStyle w:val="Hyperlink"/>
            <w:rFonts w:eastAsiaTheme="majorEastAsia"/>
            <w:noProof/>
          </w:rPr>
          <w:t xml:space="preserve">Matter Transport cause and effect diagram. </w:t>
        </w:r>
        <w:r w:rsidR="00251188" w:rsidRPr="00955CDC">
          <w:rPr>
            <w:rStyle w:val="Hyperlink"/>
            <w:rFonts w:eastAsiaTheme="majorEastAsia"/>
            <w:noProof/>
            <w:lang w:val="en-US"/>
          </w:rPr>
          <w:t>Magnitude, timing and duration are factors of flow (in black).</w:t>
        </w:r>
        <w:r w:rsidR="00251188">
          <w:rPr>
            <w:noProof/>
            <w:webHidden/>
          </w:rPr>
          <w:tab/>
        </w:r>
        <w:r w:rsidR="00251188">
          <w:rPr>
            <w:noProof/>
            <w:webHidden/>
          </w:rPr>
          <w:fldChar w:fldCharType="begin"/>
        </w:r>
        <w:r w:rsidR="00251188">
          <w:rPr>
            <w:noProof/>
            <w:webHidden/>
          </w:rPr>
          <w:instrText xml:space="preserve"> PAGEREF _Toc12630436 \h </w:instrText>
        </w:r>
        <w:r w:rsidR="00251188">
          <w:rPr>
            <w:noProof/>
            <w:webHidden/>
          </w:rPr>
        </w:r>
        <w:r w:rsidR="00251188">
          <w:rPr>
            <w:noProof/>
            <w:webHidden/>
          </w:rPr>
          <w:fldChar w:fldCharType="separate"/>
        </w:r>
        <w:r w:rsidR="00DF49CD">
          <w:rPr>
            <w:noProof/>
            <w:webHidden/>
          </w:rPr>
          <w:t>35</w:t>
        </w:r>
        <w:r w:rsidR="00251188">
          <w:rPr>
            <w:noProof/>
            <w:webHidden/>
          </w:rPr>
          <w:fldChar w:fldCharType="end"/>
        </w:r>
      </w:hyperlink>
    </w:p>
    <w:p w14:paraId="7990EAAD" w14:textId="1BD147A8" w:rsidR="00251188" w:rsidRDefault="00064EC9">
      <w:pPr>
        <w:pStyle w:val="TableofFigures"/>
        <w:rPr>
          <w:rFonts w:eastAsiaTheme="minorEastAsia" w:cstheme="minorBidi"/>
          <w:noProof/>
          <w:color w:val="auto"/>
          <w:sz w:val="22"/>
          <w:szCs w:val="22"/>
        </w:rPr>
      </w:pPr>
      <w:hyperlink w:anchor="_Toc12630437" w:history="1">
        <w:r w:rsidR="00251188" w:rsidRPr="00955CDC">
          <w:rPr>
            <w:rStyle w:val="Hyperlink"/>
            <w:rFonts w:eastAsiaTheme="majorEastAsia"/>
            <w:noProof/>
          </w:rPr>
          <w:t xml:space="preserve">Figure 5.6. Coorong </w:t>
        </w:r>
        <w:r w:rsidR="00251188" w:rsidRPr="00955CDC">
          <w:rPr>
            <w:rStyle w:val="Hyperlink"/>
            <w:rFonts w:eastAsiaTheme="majorEastAsia"/>
            <w:i/>
            <w:noProof/>
          </w:rPr>
          <w:t>Ruppia</w:t>
        </w:r>
        <w:r w:rsidR="00251188" w:rsidRPr="00955CDC">
          <w:rPr>
            <w:rStyle w:val="Hyperlink"/>
            <w:rFonts w:eastAsiaTheme="majorEastAsia"/>
            <w:noProof/>
          </w:rPr>
          <w:t xml:space="preserve"> (top) and fish (bottom) habitat cause and effect diagram. </w:t>
        </w:r>
        <w:r w:rsidR="00251188" w:rsidRPr="00955CDC">
          <w:rPr>
            <w:rStyle w:val="Hyperlink"/>
            <w:rFonts w:eastAsiaTheme="majorEastAsia"/>
            <w:noProof/>
            <w:lang w:val="en-US"/>
          </w:rPr>
          <w:t>Magnitude, timing and duration are factors of flow (in black).</w:t>
        </w:r>
        <w:r w:rsidR="00251188">
          <w:rPr>
            <w:noProof/>
            <w:webHidden/>
          </w:rPr>
          <w:tab/>
        </w:r>
        <w:r w:rsidR="00251188">
          <w:rPr>
            <w:noProof/>
            <w:webHidden/>
          </w:rPr>
          <w:fldChar w:fldCharType="begin"/>
        </w:r>
        <w:r w:rsidR="00251188">
          <w:rPr>
            <w:noProof/>
            <w:webHidden/>
          </w:rPr>
          <w:instrText xml:space="preserve"> PAGEREF _Toc12630437 \h </w:instrText>
        </w:r>
        <w:r w:rsidR="00251188">
          <w:rPr>
            <w:noProof/>
            <w:webHidden/>
          </w:rPr>
        </w:r>
        <w:r w:rsidR="00251188">
          <w:rPr>
            <w:noProof/>
            <w:webHidden/>
          </w:rPr>
          <w:fldChar w:fldCharType="separate"/>
        </w:r>
        <w:r w:rsidR="00DF49CD">
          <w:rPr>
            <w:noProof/>
            <w:webHidden/>
          </w:rPr>
          <w:t>39</w:t>
        </w:r>
        <w:r w:rsidR="00251188">
          <w:rPr>
            <w:noProof/>
            <w:webHidden/>
          </w:rPr>
          <w:fldChar w:fldCharType="end"/>
        </w:r>
      </w:hyperlink>
    </w:p>
    <w:p w14:paraId="4787E815" w14:textId="6C5F438C" w:rsidR="00251188" w:rsidRDefault="00064EC9">
      <w:pPr>
        <w:pStyle w:val="TableofFigures"/>
        <w:rPr>
          <w:rFonts w:eastAsiaTheme="minorEastAsia" w:cstheme="minorBidi"/>
          <w:noProof/>
          <w:color w:val="auto"/>
          <w:sz w:val="22"/>
          <w:szCs w:val="22"/>
        </w:rPr>
      </w:pPr>
      <w:hyperlink w:anchor="_Toc12630438" w:history="1">
        <w:r w:rsidR="00251188" w:rsidRPr="00955CDC">
          <w:rPr>
            <w:rStyle w:val="Hyperlink"/>
            <w:rFonts w:eastAsiaTheme="majorEastAsia"/>
            <w:noProof/>
          </w:rPr>
          <w:t xml:space="preserve">Figure 5.7. Coorong </w:t>
        </w:r>
        <w:r w:rsidR="00251188" w:rsidRPr="00955CDC">
          <w:rPr>
            <w:rStyle w:val="Hyperlink"/>
            <w:rFonts w:eastAsiaTheme="majorEastAsia"/>
            <w:i/>
            <w:noProof/>
          </w:rPr>
          <w:t>Ruppia tuberosa</w:t>
        </w:r>
        <w:r w:rsidR="00251188" w:rsidRPr="00955CDC">
          <w:rPr>
            <w:rStyle w:val="Hyperlink"/>
            <w:rFonts w:eastAsiaTheme="majorEastAsia"/>
            <w:noProof/>
          </w:rPr>
          <w:t xml:space="preserve"> habitat suitability map under two different water level histories, generated by the AED2 model</w:t>
        </w:r>
        <w:r w:rsidR="00251188" w:rsidRPr="00955CDC">
          <w:rPr>
            <w:rStyle w:val="Hyperlink"/>
            <w:rFonts w:eastAsiaTheme="majorEastAsia"/>
            <w:noProof/>
            <w:lang w:val="en-US"/>
          </w:rPr>
          <w:t>.</w:t>
        </w:r>
        <w:r w:rsidR="00251188">
          <w:rPr>
            <w:noProof/>
            <w:webHidden/>
          </w:rPr>
          <w:tab/>
        </w:r>
        <w:r w:rsidR="00251188">
          <w:rPr>
            <w:noProof/>
            <w:webHidden/>
          </w:rPr>
          <w:fldChar w:fldCharType="begin"/>
        </w:r>
        <w:r w:rsidR="00251188">
          <w:rPr>
            <w:noProof/>
            <w:webHidden/>
          </w:rPr>
          <w:instrText xml:space="preserve"> PAGEREF _Toc12630438 \h </w:instrText>
        </w:r>
        <w:r w:rsidR="00251188">
          <w:rPr>
            <w:noProof/>
            <w:webHidden/>
          </w:rPr>
        </w:r>
        <w:r w:rsidR="00251188">
          <w:rPr>
            <w:noProof/>
            <w:webHidden/>
          </w:rPr>
          <w:fldChar w:fldCharType="separate"/>
        </w:r>
        <w:r w:rsidR="00DF49CD">
          <w:rPr>
            <w:noProof/>
            <w:webHidden/>
          </w:rPr>
          <w:t>41</w:t>
        </w:r>
        <w:r w:rsidR="00251188">
          <w:rPr>
            <w:noProof/>
            <w:webHidden/>
          </w:rPr>
          <w:fldChar w:fldCharType="end"/>
        </w:r>
      </w:hyperlink>
    </w:p>
    <w:p w14:paraId="43DF4392" w14:textId="66E3E47A" w:rsidR="00251188" w:rsidRDefault="00064EC9">
      <w:pPr>
        <w:pStyle w:val="TableofFigures"/>
        <w:rPr>
          <w:rFonts w:eastAsiaTheme="minorEastAsia" w:cstheme="minorBidi"/>
          <w:noProof/>
          <w:color w:val="auto"/>
          <w:sz w:val="22"/>
          <w:szCs w:val="22"/>
        </w:rPr>
      </w:pPr>
      <w:hyperlink w:anchor="_Toc12630439" w:history="1">
        <w:r w:rsidR="00251188" w:rsidRPr="00955CDC">
          <w:rPr>
            <w:rStyle w:val="Hyperlink"/>
            <w:rFonts w:eastAsiaTheme="majorEastAsia"/>
            <w:noProof/>
          </w:rPr>
          <w:t>Figure 5.8.</w:t>
        </w:r>
        <w:r w:rsidR="00251188">
          <w:rPr>
            <w:rFonts w:eastAsiaTheme="minorEastAsia" w:cstheme="minorBidi"/>
            <w:noProof/>
            <w:color w:val="auto"/>
            <w:sz w:val="22"/>
            <w:szCs w:val="22"/>
          </w:rPr>
          <w:tab/>
        </w:r>
        <w:r w:rsidR="00251188" w:rsidRPr="00955CDC">
          <w:rPr>
            <w:rStyle w:val="Hyperlink"/>
            <w:rFonts w:eastAsiaTheme="majorEastAsia"/>
            <w:noProof/>
          </w:rPr>
          <w:t xml:space="preserve"> Littoral Vegetation Diversity and Productivity cause and effect diagram.</w:t>
        </w:r>
        <w:r w:rsidR="00251188">
          <w:rPr>
            <w:noProof/>
            <w:webHidden/>
          </w:rPr>
          <w:tab/>
        </w:r>
        <w:r w:rsidR="00251188">
          <w:rPr>
            <w:noProof/>
            <w:webHidden/>
          </w:rPr>
          <w:fldChar w:fldCharType="begin"/>
        </w:r>
        <w:r w:rsidR="00251188">
          <w:rPr>
            <w:noProof/>
            <w:webHidden/>
          </w:rPr>
          <w:instrText xml:space="preserve"> PAGEREF _Toc12630439 \h </w:instrText>
        </w:r>
        <w:r w:rsidR="00251188">
          <w:rPr>
            <w:noProof/>
            <w:webHidden/>
          </w:rPr>
        </w:r>
        <w:r w:rsidR="00251188">
          <w:rPr>
            <w:noProof/>
            <w:webHidden/>
          </w:rPr>
          <w:fldChar w:fldCharType="separate"/>
        </w:r>
        <w:r w:rsidR="00DF49CD">
          <w:rPr>
            <w:noProof/>
            <w:webHidden/>
          </w:rPr>
          <w:t>44</w:t>
        </w:r>
        <w:r w:rsidR="00251188">
          <w:rPr>
            <w:noProof/>
            <w:webHidden/>
          </w:rPr>
          <w:fldChar w:fldCharType="end"/>
        </w:r>
      </w:hyperlink>
    </w:p>
    <w:p w14:paraId="67301EFD" w14:textId="39B0290F" w:rsidR="00251188" w:rsidRDefault="00064EC9">
      <w:pPr>
        <w:pStyle w:val="TableofFigures"/>
        <w:rPr>
          <w:rFonts w:eastAsiaTheme="minorEastAsia" w:cstheme="minorBidi"/>
          <w:noProof/>
          <w:color w:val="auto"/>
          <w:sz w:val="22"/>
          <w:szCs w:val="22"/>
        </w:rPr>
      </w:pPr>
      <w:hyperlink w:anchor="_Toc12630440" w:history="1">
        <w:r w:rsidR="00251188" w:rsidRPr="00955CDC">
          <w:rPr>
            <w:rStyle w:val="Hyperlink"/>
            <w:rFonts w:eastAsiaTheme="majorEastAsia"/>
            <w:noProof/>
          </w:rPr>
          <w:t>Figure 5.9.</w:t>
        </w:r>
        <w:r w:rsidR="00251188">
          <w:rPr>
            <w:rFonts w:eastAsiaTheme="minorEastAsia" w:cstheme="minorBidi"/>
            <w:noProof/>
            <w:color w:val="auto"/>
            <w:sz w:val="22"/>
            <w:szCs w:val="22"/>
          </w:rPr>
          <w:tab/>
        </w:r>
        <w:r w:rsidR="00251188" w:rsidRPr="00955CDC">
          <w:rPr>
            <w:rStyle w:val="Hyperlink"/>
            <w:rFonts w:eastAsiaTheme="majorEastAsia"/>
            <w:noProof/>
          </w:rPr>
          <w:t xml:space="preserve"> Vegetation sampling zones based on delivery of Commonwealth environmental water increasing flow magnitude.</w:t>
        </w:r>
        <w:r w:rsidR="00251188">
          <w:rPr>
            <w:noProof/>
            <w:webHidden/>
          </w:rPr>
          <w:tab/>
        </w:r>
        <w:r w:rsidR="00251188">
          <w:rPr>
            <w:noProof/>
            <w:webHidden/>
          </w:rPr>
          <w:fldChar w:fldCharType="begin"/>
        </w:r>
        <w:r w:rsidR="00251188">
          <w:rPr>
            <w:noProof/>
            <w:webHidden/>
          </w:rPr>
          <w:instrText xml:space="preserve"> PAGEREF _Toc12630440 \h </w:instrText>
        </w:r>
        <w:r w:rsidR="00251188">
          <w:rPr>
            <w:noProof/>
            <w:webHidden/>
          </w:rPr>
        </w:r>
        <w:r w:rsidR="00251188">
          <w:rPr>
            <w:noProof/>
            <w:webHidden/>
          </w:rPr>
          <w:fldChar w:fldCharType="separate"/>
        </w:r>
        <w:r w:rsidR="00DF49CD">
          <w:rPr>
            <w:noProof/>
            <w:webHidden/>
          </w:rPr>
          <w:t>46</w:t>
        </w:r>
        <w:r w:rsidR="00251188">
          <w:rPr>
            <w:noProof/>
            <w:webHidden/>
          </w:rPr>
          <w:fldChar w:fldCharType="end"/>
        </w:r>
      </w:hyperlink>
    </w:p>
    <w:p w14:paraId="3C21BFC7" w14:textId="1A94F473" w:rsidR="00251188" w:rsidRDefault="00064EC9">
      <w:pPr>
        <w:pStyle w:val="TableofFigures"/>
        <w:rPr>
          <w:rFonts w:eastAsiaTheme="minorEastAsia" w:cstheme="minorBidi"/>
          <w:noProof/>
          <w:color w:val="auto"/>
          <w:sz w:val="22"/>
          <w:szCs w:val="22"/>
        </w:rPr>
      </w:pPr>
      <w:hyperlink w:anchor="_Toc12630441" w:history="1">
        <w:r w:rsidR="00251188" w:rsidRPr="00955CDC">
          <w:rPr>
            <w:rStyle w:val="Hyperlink"/>
            <w:rFonts w:eastAsiaTheme="majorEastAsia"/>
            <w:noProof/>
          </w:rPr>
          <w:t>Figure 5.10.</w:t>
        </w:r>
        <w:r w:rsidR="00251188">
          <w:rPr>
            <w:rFonts w:eastAsiaTheme="minorEastAsia" w:cstheme="minorBidi"/>
            <w:noProof/>
            <w:color w:val="auto"/>
            <w:sz w:val="22"/>
            <w:szCs w:val="22"/>
          </w:rPr>
          <w:tab/>
        </w:r>
        <w:r w:rsidR="00251188" w:rsidRPr="00955CDC">
          <w:rPr>
            <w:rStyle w:val="Hyperlink"/>
            <w:rFonts w:eastAsiaTheme="majorEastAsia"/>
            <w:noProof/>
          </w:rPr>
          <w:t xml:space="preserve"> Predicted benefit of increased inundation duration on diversity or productivity of littoral vegetation.</w:t>
        </w:r>
        <w:r w:rsidR="00251188">
          <w:rPr>
            <w:noProof/>
            <w:webHidden/>
          </w:rPr>
          <w:tab/>
        </w:r>
        <w:r w:rsidR="00251188">
          <w:rPr>
            <w:noProof/>
            <w:webHidden/>
          </w:rPr>
          <w:fldChar w:fldCharType="begin"/>
        </w:r>
        <w:r w:rsidR="00251188">
          <w:rPr>
            <w:noProof/>
            <w:webHidden/>
          </w:rPr>
          <w:instrText xml:space="preserve"> PAGEREF _Toc12630441 \h </w:instrText>
        </w:r>
        <w:r w:rsidR="00251188">
          <w:rPr>
            <w:noProof/>
            <w:webHidden/>
          </w:rPr>
        </w:r>
        <w:r w:rsidR="00251188">
          <w:rPr>
            <w:noProof/>
            <w:webHidden/>
          </w:rPr>
          <w:fldChar w:fldCharType="separate"/>
        </w:r>
        <w:r w:rsidR="00DF49CD">
          <w:rPr>
            <w:noProof/>
            <w:webHidden/>
          </w:rPr>
          <w:t>46</w:t>
        </w:r>
        <w:r w:rsidR="00251188">
          <w:rPr>
            <w:noProof/>
            <w:webHidden/>
          </w:rPr>
          <w:fldChar w:fldCharType="end"/>
        </w:r>
      </w:hyperlink>
    </w:p>
    <w:p w14:paraId="75C71666" w14:textId="4C3137A2" w:rsidR="00251188" w:rsidRDefault="00064EC9">
      <w:pPr>
        <w:pStyle w:val="TableofFigures"/>
        <w:rPr>
          <w:rFonts w:eastAsiaTheme="minorEastAsia" w:cstheme="minorBidi"/>
          <w:noProof/>
          <w:color w:val="auto"/>
          <w:sz w:val="22"/>
          <w:szCs w:val="22"/>
        </w:rPr>
      </w:pPr>
      <w:hyperlink w:anchor="_Toc12630442" w:history="1">
        <w:r w:rsidR="00251188" w:rsidRPr="00955CDC">
          <w:rPr>
            <w:rStyle w:val="Hyperlink"/>
            <w:rFonts w:eastAsiaTheme="majorEastAsia"/>
            <w:noProof/>
          </w:rPr>
          <w:t>Figure 5.11.</w:t>
        </w:r>
        <w:r w:rsidR="00251188">
          <w:rPr>
            <w:rFonts w:eastAsiaTheme="minorEastAsia" w:cstheme="minorBidi"/>
            <w:noProof/>
            <w:color w:val="auto"/>
            <w:sz w:val="22"/>
            <w:szCs w:val="22"/>
          </w:rPr>
          <w:tab/>
        </w:r>
        <w:r w:rsidR="00251188" w:rsidRPr="00955CDC">
          <w:rPr>
            <w:rStyle w:val="Hyperlink"/>
            <w:rFonts w:eastAsiaTheme="majorEastAsia"/>
            <w:noProof/>
          </w:rPr>
          <w:t xml:space="preserve"> Potential position of quadrats on the elevation gradient when Commonwealth environmental water is delivered to increase duration of inundation. In this instance the total duration of flows above normal pool level was 50 days and quadrats were positioned on the elevation gradient to capture 5 day intervals but would change depending on magnitude and duration of flow.</w:t>
        </w:r>
        <w:r w:rsidR="00251188">
          <w:rPr>
            <w:noProof/>
            <w:webHidden/>
          </w:rPr>
          <w:tab/>
        </w:r>
        <w:r w:rsidR="00251188">
          <w:rPr>
            <w:noProof/>
            <w:webHidden/>
          </w:rPr>
          <w:fldChar w:fldCharType="begin"/>
        </w:r>
        <w:r w:rsidR="00251188">
          <w:rPr>
            <w:noProof/>
            <w:webHidden/>
          </w:rPr>
          <w:instrText xml:space="preserve"> PAGEREF _Toc12630442 \h </w:instrText>
        </w:r>
        <w:r w:rsidR="00251188">
          <w:rPr>
            <w:noProof/>
            <w:webHidden/>
          </w:rPr>
        </w:r>
        <w:r w:rsidR="00251188">
          <w:rPr>
            <w:noProof/>
            <w:webHidden/>
          </w:rPr>
          <w:fldChar w:fldCharType="separate"/>
        </w:r>
        <w:r w:rsidR="00DF49CD">
          <w:rPr>
            <w:noProof/>
            <w:webHidden/>
          </w:rPr>
          <w:t>47</w:t>
        </w:r>
        <w:r w:rsidR="00251188">
          <w:rPr>
            <w:noProof/>
            <w:webHidden/>
          </w:rPr>
          <w:fldChar w:fldCharType="end"/>
        </w:r>
      </w:hyperlink>
    </w:p>
    <w:p w14:paraId="71B3307A" w14:textId="2EAE23ED" w:rsidR="00251188" w:rsidRDefault="00064EC9">
      <w:pPr>
        <w:pStyle w:val="TableofFigures"/>
        <w:rPr>
          <w:rFonts w:eastAsiaTheme="minorEastAsia" w:cstheme="minorBidi"/>
          <w:noProof/>
          <w:color w:val="auto"/>
          <w:sz w:val="22"/>
          <w:szCs w:val="22"/>
        </w:rPr>
      </w:pPr>
      <w:hyperlink w:anchor="_Toc12630443" w:history="1">
        <w:r w:rsidR="00251188" w:rsidRPr="00955CDC">
          <w:rPr>
            <w:rStyle w:val="Hyperlink"/>
            <w:rFonts w:eastAsiaTheme="majorEastAsia"/>
            <w:noProof/>
          </w:rPr>
          <w:t>Figure 5.12.</w:t>
        </w:r>
        <w:r w:rsidR="00251188">
          <w:rPr>
            <w:rFonts w:eastAsiaTheme="minorEastAsia" w:cstheme="minorBidi"/>
            <w:noProof/>
            <w:color w:val="auto"/>
            <w:sz w:val="22"/>
            <w:szCs w:val="22"/>
          </w:rPr>
          <w:tab/>
        </w:r>
        <w:r w:rsidR="00251188" w:rsidRPr="00955CDC">
          <w:rPr>
            <w:rStyle w:val="Hyperlink"/>
            <w:rFonts w:eastAsiaTheme="majorEastAsia"/>
            <w:noProof/>
          </w:rPr>
          <w:t xml:space="preserve"> Microinvertebrate assemblage cause and effect diagram. </w:t>
        </w:r>
        <w:r w:rsidR="00251188" w:rsidRPr="00955CDC">
          <w:rPr>
            <w:rStyle w:val="Hyperlink"/>
            <w:rFonts w:eastAsiaTheme="majorEastAsia"/>
            <w:noProof/>
            <w:lang w:val="en-US"/>
          </w:rPr>
          <w:t>Magnitude, timing and duration are factors of flow (in black).</w:t>
        </w:r>
        <w:r w:rsidR="00251188">
          <w:rPr>
            <w:noProof/>
            <w:webHidden/>
          </w:rPr>
          <w:tab/>
        </w:r>
        <w:r w:rsidR="00251188">
          <w:rPr>
            <w:noProof/>
            <w:webHidden/>
          </w:rPr>
          <w:fldChar w:fldCharType="begin"/>
        </w:r>
        <w:r w:rsidR="00251188">
          <w:rPr>
            <w:noProof/>
            <w:webHidden/>
          </w:rPr>
          <w:instrText xml:space="preserve"> PAGEREF _Toc12630443 \h </w:instrText>
        </w:r>
        <w:r w:rsidR="00251188">
          <w:rPr>
            <w:noProof/>
            <w:webHidden/>
          </w:rPr>
        </w:r>
        <w:r w:rsidR="00251188">
          <w:rPr>
            <w:noProof/>
            <w:webHidden/>
          </w:rPr>
          <w:fldChar w:fldCharType="separate"/>
        </w:r>
        <w:r w:rsidR="00DF49CD">
          <w:rPr>
            <w:noProof/>
            <w:webHidden/>
          </w:rPr>
          <w:t>49</w:t>
        </w:r>
        <w:r w:rsidR="00251188">
          <w:rPr>
            <w:noProof/>
            <w:webHidden/>
          </w:rPr>
          <w:fldChar w:fldCharType="end"/>
        </w:r>
      </w:hyperlink>
    </w:p>
    <w:p w14:paraId="0257A80B" w14:textId="7C6BF501" w:rsidR="00251188" w:rsidRDefault="00064EC9">
      <w:pPr>
        <w:pStyle w:val="TableofFigures"/>
        <w:rPr>
          <w:rFonts w:eastAsiaTheme="minorEastAsia" w:cstheme="minorBidi"/>
          <w:noProof/>
          <w:color w:val="auto"/>
          <w:sz w:val="22"/>
          <w:szCs w:val="22"/>
        </w:rPr>
      </w:pPr>
      <w:hyperlink w:anchor="_Toc12630444" w:history="1">
        <w:r w:rsidR="00251188" w:rsidRPr="00955CDC">
          <w:rPr>
            <w:rStyle w:val="Hyperlink"/>
            <w:rFonts w:eastAsiaTheme="majorEastAsia"/>
            <w:noProof/>
          </w:rPr>
          <w:t>Figure 5.13.</w:t>
        </w:r>
        <w:r w:rsidR="00251188">
          <w:rPr>
            <w:rFonts w:eastAsiaTheme="minorEastAsia" w:cstheme="minorBidi"/>
            <w:noProof/>
            <w:color w:val="auto"/>
            <w:sz w:val="22"/>
            <w:szCs w:val="22"/>
          </w:rPr>
          <w:tab/>
        </w:r>
        <w:r w:rsidR="00251188" w:rsidRPr="00955CDC">
          <w:rPr>
            <w:rStyle w:val="Hyperlink"/>
            <w:rFonts w:eastAsiaTheme="majorEastAsia"/>
            <w:i/>
            <w:noProof/>
          </w:rPr>
          <w:t>Flow-cued Spawning Fish Recruitment</w:t>
        </w:r>
        <w:r w:rsidR="00251188" w:rsidRPr="00955CDC">
          <w:rPr>
            <w:rStyle w:val="Hyperlink"/>
            <w:rFonts w:eastAsiaTheme="majorEastAsia"/>
            <w:noProof/>
          </w:rPr>
          <w:t xml:space="preserve"> cause and effect diagram (MDFRC 2013). </w:t>
        </w:r>
        <w:r w:rsidR="00251188" w:rsidRPr="00955CDC">
          <w:rPr>
            <w:rStyle w:val="Hyperlink"/>
            <w:rFonts w:eastAsiaTheme="majorEastAsia"/>
            <w:noProof/>
            <w:lang w:val="en-US"/>
          </w:rPr>
          <w:t>Magnitude, timing and duration are factors of flow (in black).</w:t>
        </w:r>
        <w:r w:rsidR="00251188">
          <w:rPr>
            <w:noProof/>
            <w:webHidden/>
          </w:rPr>
          <w:tab/>
        </w:r>
        <w:r w:rsidR="00251188">
          <w:rPr>
            <w:noProof/>
            <w:webHidden/>
          </w:rPr>
          <w:fldChar w:fldCharType="begin"/>
        </w:r>
        <w:r w:rsidR="00251188">
          <w:rPr>
            <w:noProof/>
            <w:webHidden/>
          </w:rPr>
          <w:instrText xml:space="preserve"> PAGEREF _Toc12630444 \h </w:instrText>
        </w:r>
        <w:r w:rsidR="00251188">
          <w:rPr>
            <w:noProof/>
            <w:webHidden/>
          </w:rPr>
        </w:r>
        <w:r w:rsidR="00251188">
          <w:rPr>
            <w:noProof/>
            <w:webHidden/>
          </w:rPr>
          <w:fldChar w:fldCharType="separate"/>
        </w:r>
        <w:r w:rsidR="00DF49CD">
          <w:rPr>
            <w:noProof/>
            <w:webHidden/>
          </w:rPr>
          <w:t>53</w:t>
        </w:r>
        <w:r w:rsidR="00251188">
          <w:rPr>
            <w:noProof/>
            <w:webHidden/>
          </w:rPr>
          <w:fldChar w:fldCharType="end"/>
        </w:r>
      </w:hyperlink>
    </w:p>
    <w:p w14:paraId="77D65AE0" w14:textId="10CA67AB" w:rsidR="00251188" w:rsidRDefault="00064EC9">
      <w:pPr>
        <w:pStyle w:val="TableofFigures"/>
        <w:rPr>
          <w:rFonts w:eastAsiaTheme="minorEastAsia" w:cstheme="minorBidi"/>
          <w:noProof/>
          <w:color w:val="auto"/>
          <w:sz w:val="22"/>
          <w:szCs w:val="22"/>
        </w:rPr>
      </w:pPr>
      <w:hyperlink w:anchor="_Toc12630445" w:history="1">
        <w:r w:rsidR="00251188" w:rsidRPr="00955CDC">
          <w:rPr>
            <w:rStyle w:val="Hyperlink"/>
            <w:rFonts w:eastAsiaTheme="majorEastAsia"/>
            <w:noProof/>
          </w:rPr>
          <w:t>Figure 5.14.</w:t>
        </w:r>
        <w:r w:rsidR="00251188">
          <w:rPr>
            <w:rFonts w:eastAsiaTheme="minorEastAsia" w:cstheme="minorBidi"/>
            <w:noProof/>
            <w:color w:val="auto"/>
            <w:sz w:val="22"/>
            <w:szCs w:val="22"/>
          </w:rPr>
          <w:tab/>
        </w:r>
        <w:r w:rsidR="00251188" w:rsidRPr="00955CDC">
          <w:rPr>
            <w:rStyle w:val="Hyperlink"/>
            <w:rFonts w:eastAsiaTheme="majorEastAsia"/>
            <w:i/>
            <w:noProof/>
          </w:rPr>
          <w:t>Murray Cod Recruitment</w:t>
        </w:r>
        <w:r w:rsidR="00251188" w:rsidRPr="00955CDC">
          <w:rPr>
            <w:rStyle w:val="Hyperlink"/>
            <w:rFonts w:eastAsiaTheme="majorEastAsia"/>
            <w:noProof/>
          </w:rPr>
          <w:t xml:space="preserve"> cause and effect diagram (modified from MDFRC 2013). </w:t>
        </w:r>
        <w:r w:rsidR="00251188" w:rsidRPr="00955CDC">
          <w:rPr>
            <w:rStyle w:val="Hyperlink"/>
            <w:rFonts w:eastAsiaTheme="majorEastAsia"/>
            <w:noProof/>
            <w:lang w:val="en-US"/>
          </w:rPr>
          <w:t>Magnitude, timing and duration are factors of flow (in black).</w:t>
        </w:r>
        <w:r w:rsidR="00251188">
          <w:rPr>
            <w:noProof/>
            <w:webHidden/>
          </w:rPr>
          <w:tab/>
        </w:r>
        <w:r w:rsidR="00251188">
          <w:rPr>
            <w:noProof/>
            <w:webHidden/>
          </w:rPr>
          <w:fldChar w:fldCharType="begin"/>
        </w:r>
        <w:r w:rsidR="00251188">
          <w:rPr>
            <w:noProof/>
            <w:webHidden/>
          </w:rPr>
          <w:instrText xml:space="preserve"> PAGEREF _Toc12630445 \h </w:instrText>
        </w:r>
        <w:r w:rsidR="00251188">
          <w:rPr>
            <w:noProof/>
            <w:webHidden/>
          </w:rPr>
        </w:r>
        <w:r w:rsidR="00251188">
          <w:rPr>
            <w:noProof/>
            <w:webHidden/>
          </w:rPr>
          <w:fldChar w:fldCharType="separate"/>
        </w:r>
        <w:r w:rsidR="00DF49CD">
          <w:rPr>
            <w:noProof/>
            <w:webHidden/>
          </w:rPr>
          <w:t>56</w:t>
        </w:r>
        <w:r w:rsidR="00251188">
          <w:rPr>
            <w:noProof/>
            <w:webHidden/>
          </w:rPr>
          <w:fldChar w:fldCharType="end"/>
        </w:r>
      </w:hyperlink>
    </w:p>
    <w:p w14:paraId="0C60928D" w14:textId="3DE53C65" w:rsidR="008E7AE7" w:rsidRDefault="00251188" w:rsidP="00697441">
      <w:pPr>
        <w:pStyle w:val="H1anotincinTOC"/>
        <w:ind w:left="1077" w:hanging="1077"/>
      </w:pPr>
      <w:r>
        <w:rPr>
          <w:rFonts w:cs="Times New Roman"/>
          <w:b w:val="0"/>
          <w:bCs w:val="0"/>
          <w:spacing w:val="0"/>
          <w:kern w:val="0"/>
          <w:sz w:val="20"/>
          <w:szCs w:val="20"/>
        </w:rPr>
        <w:fldChar w:fldCharType="end"/>
      </w:r>
    </w:p>
    <w:p w14:paraId="6FE2F4F3" w14:textId="77777777" w:rsidR="008E7AE7" w:rsidRDefault="008E7AE7" w:rsidP="00F02673">
      <w:pPr>
        <w:rPr>
          <w:rFonts w:cs="Arial"/>
          <w:spacing w:val="40"/>
          <w:sz w:val="32"/>
          <w:szCs w:val="32"/>
          <w:lang w:eastAsia="en-AU"/>
        </w:rPr>
      </w:pPr>
      <w:r>
        <w:br w:type="page"/>
      </w:r>
    </w:p>
    <w:p w14:paraId="70DC0449" w14:textId="77777777" w:rsidR="003270BB" w:rsidRDefault="003270BB" w:rsidP="003E13C8">
      <w:pPr>
        <w:pStyle w:val="Heading1"/>
        <w:numPr>
          <w:ilvl w:val="0"/>
          <w:numId w:val="0"/>
        </w:numPr>
        <w:ind w:left="851" w:hanging="851"/>
      </w:pPr>
      <w:bookmarkStart w:id="19" w:name="_Toc22196677"/>
      <w:r w:rsidRPr="00D57E19">
        <w:lastRenderedPageBreak/>
        <w:t xml:space="preserve">List of </w:t>
      </w:r>
      <w:r w:rsidRPr="00BA3F31">
        <w:t>tables</w:t>
      </w:r>
      <w:bookmarkEnd w:id="19"/>
    </w:p>
    <w:p w14:paraId="3DACFC61" w14:textId="1D12F3DF" w:rsidR="00251188" w:rsidRDefault="006F4D01">
      <w:pPr>
        <w:pStyle w:val="TableofFigures"/>
        <w:rPr>
          <w:rFonts w:eastAsiaTheme="minorEastAsia" w:cstheme="minorBidi"/>
          <w:noProof/>
          <w:color w:val="auto"/>
          <w:sz w:val="22"/>
          <w:szCs w:val="22"/>
        </w:rPr>
      </w:pPr>
      <w:r>
        <w:rPr>
          <w:lang w:eastAsia="en-US"/>
        </w:rPr>
        <w:fldChar w:fldCharType="begin"/>
      </w:r>
      <w:r w:rsidR="008E7AE7">
        <w:instrText xml:space="preserve"> TOC \h \z \c "Table" </w:instrText>
      </w:r>
      <w:r>
        <w:rPr>
          <w:lang w:eastAsia="en-US"/>
        </w:rPr>
        <w:fldChar w:fldCharType="separate"/>
      </w:r>
      <w:hyperlink w:anchor="_Toc12630245" w:history="1">
        <w:r w:rsidR="00251188" w:rsidRPr="00D00B91">
          <w:rPr>
            <w:rStyle w:val="Hyperlink"/>
            <w:rFonts w:eastAsiaTheme="majorEastAsia"/>
            <w:noProof/>
          </w:rPr>
          <w:t>Table 3.1. Environmental water (gigalitres) delivered to Lower Murray at the South Australian border from 2014-15 to 2017-18. Volumes do not include the South Australian entitlement held by the Commonwealth Environmental Water Holder, TLM and the South Australian Minister for the Environment and Water, or wetland pumping. CEW = Commonwealth environmental water, TLM = The Living Murray, VEWH = Victorian Environmental Water Holder, NSW OEH = New South Wales Office of Environment and Heritage, RMIF = River Murray Increased Flows.</w:t>
        </w:r>
        <w:r w:rsidR="00251188">
          <w:rPr>
            <w:noProof/>
            <w:webHidden/>
          </w:rPr>
          <w:tab/>
        </w:r>
        <w:r w:rsidR="00251188">
          <w:rPr>
            <w:noProof/>
            <w:webHidden/>
          </w:rPr>
          <w:fldChar w:fldCharType="begin"/>
        </w:r>
        <w:r w:rsidR="00251188">
          <w:rPr>
            <w:noProof/>
            <w:webHidden/>
          </w:rPr>
          <w:instrText xml:space="preserve"> PAGEREF _Toc12630245 \h </w:instrText>
        </w:r>
        <w:r w:rsidR="00251188">
          <w:rPr>
            <w:noProof/>
            <w:webHidden/>
          </w:rPr>
        </w:r>
        <w:r w:rsidR="00251188">
          <w:rPr>
            <w:noProof/>
            <w:webHidden/>
          </w:rPr>
          <w:fldChar w:fldCharType="separate"/>
        </w:r>
        <w:r w:rsidR="00DF49CD">
          <w:rPr>
            <w:noProof/>
            <w:webHidden/>
          </w:rPr>
          <w:t>9</w:t>
        </w:r>
        <w:r w:rsidR="00251188">
          <w:rPr>
            <w:noProof/>
            <w:webHidden/>
          </w:rPr>
          <w:fldChar w:fldCharType="end"/>
        </w:r>
      </w:hyperlink>
    </w:p>
    <w:p w14:paraId="305AD8E6" w14:textId="725715AC" w:rsidR="00251188" w:rsidRDefault="00064EC9">
      <w:pPr>
        <w:pStyle w:val="TableofFigures"/>
        <w:rPr>
          <w:rFonts w:eastAsiaTheme="minorEastAsia" w:cstheme="minorBidi"/>
          <w:noProof/>
          <w:color w:val="auto"/>
          <w:sz w:val="22"/>
          <w:szCs w:val="22"/>
        </w:rPr>
      </w:pPr>
      <w:hyperlink w:anchor="_Toc12630246" w:history="1">
        <w:r w:rsidR="00251188" w:rsidRPr="00D00B91">
          <w:rPr>
            <w:rStyle w:val="Hyperlink"/>
            <w:rFonts w:eastAsiaTheme="majorEastAsia"/>
            <w:noProof/>
          </w:rPr>
          <w:t>Table 3.2. Southern-connected Basin Commonwealth environmental water holdings (gigalitres) at 30 April 2019 (source: http://www.environment.gov.au/water/cewo/about/water-holdings).</w:t>
        </w:r>
        <w:r w:rsidR="00251188">
          <w:rPr>
            <w:noProof/>
            <w:webHidden/>
          </w:rPr>
          <w:tab/>
        </w:r>
        <w:r w:rsidR="00251188">
          <w:rPr>
            <w:noProof/>
            <w:webHidden/>
          </w:rPr>
          <w:fldChar w:fldCharType="begin"/>
        </w:r>
        <w:r w:rsidR="00251188">
          <w:rPr>
            <w:noProof/>
            <w:webHidden/>
          </w:rPr>
          <w:instrText xml:space="preserve"> PAGEREF _Toc12630246 \h </w:instrText>
        </w:r>
        <w:r w:rsidR="00251188">
          <w:rPr>
            <w:noProof/>
            <w:webHidden/>
          </w:rPr>
        </w:r>
        <w:r w:rsidR="00251188">
          <w:rPr>
            <w:noProof/>
            <w:webHidden/>
          </w:rPr>
          <w:fldChar w:fldCharType="separate"/>
        </w:r>
        <w:r w:rsidR="00DF49CD">
          <w:rPr>
            <w:noProof/>
            <w:webHidden/>
          </w:rPr>
          <w:t>9</w:t>
        </w:r>
        <w:r w:rsidR="00251188">
          <w:rPr>
            <w:noProof/>
            <w:webHidden/>
          </w:rPr>
          <w:fldChar w:fldCharType="end"/>
        </w:r>
      </w:hyperlink>
    </w:p>
    <w:p w14:paraId="283FCA38" w14:textId="758D1C2A" w:rsidR="00251188" w:rsidRDefault="00064EC9">
      <w:pPr>
        <w:pStyle w:val="TableofFigures"/>
        <w:rPr>
          <w:rFonts w:eastAsiaTheme="minorEastAsia" w:cstheme="minorBidi"/>
          <w:noProof/>
          <w:color w:val="auto"/>
          <w:sz w:val="22"/>
          <w:szCs w:val="22"/>
        </w:rPr>
      </w:pPr>
      <w:hyperlink w:anchor="_Toc12630247" w:history="1">
        <w:r w:rsidR="00251188" w:rsidRPr="00D00B91">
          <w:rPr>
            <w:rStyle w:val="Hyperlink"/>
            <w:rFonts w:eastAsiaTheme="majorEastAsia"/>
            <w:noProof/>
          </w:rPr>
          <w:t xml:space="preserve">Table 4.1. Indicators, monitoring objectives and CEWO key evaluation questions for the Lower Murray Selected Area. Evaluation questions are sourced and/or adapted from Gawne </w:t>
        </w:r>
        <w:r w:rsidR="00251188" w:rsidRPr="00D00B91">
          <w:rPr>
            <w:rStyle w:val="Hyperlink"/>
            <w:rFonts w:eastAsiaTheme="majorEastAsia"/>
            <w:i/>
            <w:noProof/>
          </w:rPr>
          <w:t xml:space="preserve">et al. </w:t>
        </w:r>
        <w:r w:rsidR="00251188" w:rsidRPr="00D00B91">
          <w:rPr>
            <w:rStyle w:val="Hyperlink"/>
            <w:rFonts w:eastAsiaTheme="majorEastAsia"/>
            <w:noProof/>
          </w:rPr>
          <w:t>(2014). Refer to Appendix D for DEW evaluation questions, which serve as additional questions. CEW = Commonwealth environmental water. LTWP = South Australian Murray River Long-Term Watering Plan.</w:t>
        </w:r>
        <w:r w:rsidR="00251188">
          <w:rPr>
            <w:noProof/>
            <w:webHidden/>
          </w:rPr>
          <w:tab/>
        </w:r>
        <w:r w:rsidR="00251188">
          <w:rPr>
            <w:noProof/>
            <w:webHidden/>
          </w:rPr>
          <w:fldChar w:fldCharType="begin"/>
        </w:r>
        <w:r w:rsidR="00251188">
          <w:rPr>
            <w:noProof/>
            <w:webHidden/>
          </w:rPr>
          <w:instrText xml:space="preserve"> PAGEREF _Toc12630247 \h </w:instrText>
        </w:r>
        <w:r w:rsidR="00251188">
          <w:rPr>
            <w:noProof/>
            <w:webHidden/>
          </w:rPr>
        </w:r>
        <w:r w:rsidR="00251188">
          <w:rPr>
            <w:noProof/>
            <w:webHidden/>
          </w:rPr>
          <w:fldChar w:fldCharType="separate"/>
        </w:r>
        <w:r w:rsidR="00DF49CD">
          <w:rPr>
            <w:noProof/>
            <w:webHidden/>
          </w:rPr>
          <w:t>14</w:t>
        </w:r>
        <w:r w:rsidR="00251188">
          <w:rPr>
            <w:noProof/>
            <w:webHidden/>
          </w:rPr>
          <w:fldChar w:fldCharType="end"/>
        </w:r>
      </w:hyperlink>
    </w:p>
    <w:p w14:paraId="323D97F1" w14:textId="2A3B6CE4" w:rsidR="00251188" w:rsidRDefault="00064EC9">
      <w:pPr>
        <w:pStyle w:val="TableofFigures"/>
        <w:rPr>
          <w:rFonts w:eastAsiaTheme="minorEastAsia" w:cstheme="minorBidi"/>
          <w:noProof/>
          <w:color w:val="auto"/>
          <w:sz w:val="22"/>
          <w:szCs w:val="22"/>
        </w:rPr>
      </w:pPr>
      <w:hyperlink w:anchor="_Toc12630248" w:history="1">
        <w:r w:rsidR="00251188" w:rsidRPr="00D00B91">
          <w:rPr>
            <w:rStyle w:val="Hyperlink"/>
            <w:rFonts w:eastAsiaTheme="majorEastAsia"/>
            <w:noProof/>
          </w:rPr>
          <w:t>Table 5.1. Four year record of salt export (tonnes) over the barrages to the Coorong.</w:t>
        </w:r>
        <w:r w:rsidR="00251188">
          <w:rPr>
            <w:noProof/>
            <w:webHidden/>
          </w:rPr>
          <w:tab/>
        </w:r>
        <w:r w:rsidR="00251188">
          <w:rPr>
            <w:noProof/>
            <w:webHidden/>
          </w:rPr>
          <w:fldChar w:fldCharType="begin"/>
        </w:r>
        <w:r w:rsidR="00251188">
          <w:rPr>
            <w:noProof/>
            <w:webHidden/>
          </w:rPr>
          <w:instrText xml:space="preserve"> PAGEREF _Toc12630248 \h </w:instrText>
        </w:r>
        <w:r w:rsidR="00251188">
          <w:rPr>
            <w:noProof/>
            <w:webHidden/>
          </w:rPr>
        </w:r>
        <w:r w:rsidR="00251188">
          <w:rPr>
            <w:noProof/>
            <w:webHidden/>
          </w:rPr>
          <w:fldChar w:fldCharType="separate"/>
        </w:r>
        <w:r w:rsidR="00DF49CD">
          <w:rPr>
            <w:noProof/>
            <w:webHidden/>
          </w:rPr>
          <w:t>34</w:t>
        </w:r>
        <w:r w:rsidR="00251188">
          <w:rPr>
            <w:noProof/>
            <w:webHidden/>
          </w:rPr>
          <w:fldChar w:fldCharType="end"/>
        </w:r>
      </w:hyperlink>
    </w:p>
    <w:p w14:paraId="7FFACAF8" w14:textId="0F22E9B9" w:rsidR="00251188" w:rsidRDefault="00064EC9">
      <w:pPr>
        <w:pStyle w:val="TableofFigures"/>
        <w:rPr>
          <w:rFonts w:eastAsiaTheme="minorEastAsia" w:cstheme="minorBidi"/>
          <w:noProof/>
          <w:color w:val="auto"/>
          <w:sz w:val="22"/>
          <w:szCs w:val="22"/>
        </w:rPr>
      </w:pPr>
      <w:hyperlink w:anchor="_Toc12630249" w:history="1">
        <w:r w:rsidR="00251188" w:rsidRPr="00D00B91">
          <w:rPr>
            <w:rStyle w:val="Hyperlink"/>
            <w:rFonts w:eastAsiaTheme="majorEastAsia"/>
            <w:noProof/>
          </w:rPr>
          <w:t>Table 5.2. Flow scenario trigger and indicative budget for contingency monitoring during the three-year MER Project in the Lower Murray.</w:t>
        </w:r>
        <w:r w:rsidR="00251188">
          <w:rPr>
            <w:noProof/>
            <w:webHidden/>
          </w:rPr>
          <w:tab/>
        </w:r>
        <w:r w:rsidR="00251188">
          <w:rPr>
            <w:noProof/>
            <w:webHidden/>
          </w:rPr>
          <w:fldChar w:fldCharType="begin"/>
        </w:r>
        <w:r w:rsidR="00251188">
          <w:rPr>
            <w:noProof/>
            <w:webHidden/>
          </w:rPr>
          <w:instrText xml:space="preserve"> PAGEREF _Toc12630249 \h </w:instrText>
        </w:r>
        <w:r w:rsidR="00251188">
          <w:rPr>
            <w:noProof/>
            <w:webHidden/>
          </w:rPr>
        </w:r>
        <w:r w:rsidR="00251188">
          <w:rPr>
            <w:noProof/>
            <w:webHidden/>
          </w:rPr>
          <w:fldChar w:fldCharType="separate"/>
        </w:r>
        <w:r w:rsidR="00DF49CD">
          <w:rPr>
            <w:noProof/>
            <w:webHidden/>
          </w:rPr>
          <w:t>62</w:t>
        </w:r>
        <w:r w:rsidR="00251188">
          <w:rPr>
            <w:noProof/>
            <w:webHidden/>
          </w:rPr>
          <w:fldChar w:fldCharType="end"/>
        </w:r>
      </w:hyperlink>
    </w:p>
    <w:p w14:paraId="534984CD" w14:textId="7780216D" w:rsidR="00251188" w:rsidRDefault="00064EC9">
      <w:pPr>
        <w:pStyle w:val="TableofFigures"/>
        <w:rPr>
          <w:rFonts w:eastAsiaTheme="minorEastAsia" w:cstheme="minorBidi"/>
          <w:noProof/>
          <w:color w:val="auto"/>
          <w:sz w:val="22"/>
          <w:szCs w:val="22"/>
        </w:rPr>
      </w:pPr>
      <w:hyperlink w:anchor="_Toc12630250" w:history="1">
        <w:r w:rsidR="00251188" w:rsidRPr="00D00B91">
          <w:rPr>
            <w:rStyle w:val="Hyperlink"/>
            <w:rFonts w:eastAsiaTheme="majorEastAsia"/>
            <w:noProof/>
          </w:rPr>
          <w:t>Table 7.1.</w:t>
        </w:r>
        <w:r w:rsidR="00251188">
          <w:rPr>
            <w:rFonts w:eastAsiaTheme="minorEastAsia" w:cstheme="minorBidi"/>
            <w:noProof/>
            <w:color w:val="auto"/>
            <w:sz w:val="22"/>
            <w:szCs w:val="22"/>
          </w:rPr>
          <w:tab/>
        </w:r>
        <w:r w:rsidR="00251188" w:rsidRPr="00D00B91">
          <w:rPr>
            <w:rStyle w:val="Hyperlink"/>
            <w:rFonts w:eastAsiaTheme="majorEastAsia"/>
            <w:noProof/>
          </w:rPr>
          <w:t>MER Project monitoring schedule for Category 1 (Basin) and 3 (Selected Area) indicators in the Lower Murray Selected Area from September 2019 to December 2022.</w:t>
        </w:r>
        <w:r w:rsidR="00251188">
          <w:rPr>
            <w:noProof/>
            <w:webHidden/>
          </w:rPr>
          <w:tab/>
        </w:r>
        <w:r w:rsidR="00251188">
          <w:rPr>
            <w:noProof/>
            <w:webHidden/>
          </w:rPr>
          <w:fldChar w:fldCharType="begin"/>
        </w:r>
        <w:r w:rsidR="00251188">
          <w:rPr>
            <w:noProof/>
            <w:webHidden/>
          </w:rPr>
          <w:instrText xml:space="preserve"> PAGEREF _Toc12630250 \h </w:instrText>
        </w:r>
        <w:r w:rsidR="00251188">
          <w:rPr>
            <w:noProof/>
            <w:webHidden/>
          </w:rPr>
        </w:r>
        <w:r w:rsidR="00251188">
          <w:rPr>
            <w:noProof/>
            <w:webHidden/>
          </w:rPr>
          <w:fldChar w:fldCharType="separate"/>
        </w:r>
        <w:r w:rsidR="00DF49CD">
          <w:rPr>
            <w:noProof/>
            <w:webHidden/>
          </w:rPr>
          <w:t>67</w:t>
        </w:r>
        <w:r w:rsidR="00251188">
          <w:rPr>
            <w:noProof/>
            <w:webHidden/>
          </w:rPr>
          <w:fldChar w:fldCharType="end"/>
        </w:r>
      </w:hyperlink>
    </w:p>
    <w:p w14:paraId="46789E4A" w14:textId="58320DC5" w:rsidR="00251188" w:rsidRDefault="00064EC9">
      <w:pPr>
        <w:pStyle w:val="TableofFigures"/>
        <w:rPr>
          <w:rFonts w:eastAsiaTheme="minorEastAsia" w:cstheme="minorBidi"/>
          <w:noProof/>
          <w:color w:val="auto"/>
          <w:sz w:val="22"/>
          <w:szCs w:val="22"/>
        </w:rPr>
      </w:pPr>
      <w:hyperlink w:anchor="_Toc12630251" w:history="1">
        <w:r w:rsidR="00251188" w:rsidRPr="00D00B91">
          <w:rPr>
            <w:rStyle w:val="Hyperlink"/>
            <w:rFonts w:eastAsiaTheme="majorEastAsia"/>
            <w:noProof/>
          </w:rPr>
          <w:t>Table 7.2.</w:t>
        </w:r>
        <w:r w:rsidR="00251188">
          <w:rPr>
            <w:rFonts w:eastAsiaTheme="minorEastAsia" w:cstheme="minorBidi"/>
            <w:noProof/>
            <w:color w:val="auto"/>
            <w:sz w:val="22"/>
            <w:szCs w:val="22"/>
          </w:rPr>
          <w:tab/>
        </w:r>
        <w:r w:rsidR="00251188" w:rsidRPr="00D00B91">
          <w:rPr>
            <w:rStyle w:val="Hyperlink"/>
            <w:rFonts w:eastAsiaTheme="majorEastAsia"/>
            <w:noProof/>
          </w:rPr>
          <w:t>Summary of sampling sites and zones for indicators for the MER Project in the Lower Murray Selected Area from July 2019 to June 2022.</w:t>
        </w:r>
        <w:r w:rsidR="00251188">
          <w:rPr>
            <w:noProof/>
            <w:webHidden/>
          </w:rPr>
          <w:tab/>
        </w:r>
        <w:r w:rsidR="00251188">
          <w:rPr>
            <w:noProof/>
            <w:webHidden/>
          </w:rPr>
          <w:fldChar w:fldCharType="begin"/>
        </w:r>
        <w:r w:rsidR="00251188">
          <w:rPr>
            <w:noProof/>
            <w:webHidden/>
          </w:rPr>
          <w:instrText xml:space="preserve"> PAGEREF _Toc12630251 \h </w:instrText>
        </w:r>
        <w:r w:rsidR="00251188">
          <w:rPr>
            <w:noProof/>
            <w:webHidden/>
          </w:rPr>
        </w:r>
        <w:r w:rsidR="00251188">
          <w:rPr>
            <w:noProof/>
            <w:webHidden/>
          </w:rPr>
          <w:fldChar w:fldCharType="separate"/>
        </w:r>
        <w:r w:rsidR="00DF49CD">
          <w:rPr>
            <w:noProof/>
            <w:webHidden/>
          </w:rPr>
          <w:t>69</w:t>
        </w:r>
        <w:r w:rsidR="00251188">
          <w:rPr>
            <w:noProof/>
            <w:webHidden/>
          </w:rPr>
          <w:fldChar w:fldCharType="end"/>
        </w:r>
      </w:hyperlink>
    </w:p>
    <w:p w14:paraId="1C5D535A" w14:textId="2C741D71" w:rsidR="00251188" w:rsidRDefault="00064EC9">
      <w:pPr>
        <w:pStyle w:val="TableofFigures"/>
        <w:rPr>
          <w:rFonts w:eastAsiaTheme="minorEastAsia" w:cstheme="minorBidi"/>
          <w:noProof/>
          <w:color w:val="auto"/>
          <w:sz w:val="22"/>
          <w:szCs w:val="22"/>
        </w:rPr>
      </w:pPr>
      <w:hyperlink w:anchor="_Toc12630252" w:history="1">
        <w:r w:rsidR="00251188" w:rsidRPr="00D00B91">
          <w:rPr>
            <w:rStyle w:val="Hyperlink"/>
            <w:rFonts w:eastAsiaTheme="majorEastAsia"/>
            <w:noProof/>
          </w:rPr>
          <w:t>Table 7.3.</w:t>
        </w:r>
        <w:r w:rsidR="00251188">
          <w:rPr>
            <w:rFonts w:eastAsiaTheme="minorEastAsia" w:cstheme="minorBidi"/>
            <w:noProof/>
            <w:color w:val="auto"/>
            <w:sz w:val="22"/>
            <w:szCs w:val="22"/>
          </w:rPr>
          <w:tab/>
        </w:r>
        <w:r w:rsidR="00251188" w:rsidRPr="00D00B91">
          <w:rPr>
            <w:rStyle w:val="Hyperlink"/>
            <w:rFonts w:eastAsiaTheme="majorEastAsia"/>
            <w:noProof/>
          </w:rPr>
          <w:t>Complementary monitoring programs for potential use in evaluating ecological outcomes in the Lower Murray Selected Area associated with Commonwealth environmental water.</w:t>
        </w:r>
        <w:r w:rsidR="00251188">
          <w:rPr>
            <w:noProof/>
            <w:webHidden/>
          </w:rPr>
          <w:tab/>
        </w:r>
        <w:r w:rsidR="00251188">
          <w:rPr>
            <w:noProof/>
            <w:webHidden/>
          </w:rPr>
          <w:fldChar w:fldCharType="begin"/>
        </w:r>
        <w:r w:rsidR="00251188">
          <w:rPr>
            <w:noProof/>
            <w:webHidden/>
          </w:rPr>
          <w:instrText xml:space="preserve"> PAGEREF _Toc12630252 \h </w:instrText>
        </w:r>
        <w:r w:rsidR="00251188">
          <w:rPr>
            <w:noProof/>
            <w:webHidden/>
          </w:rPr>
        </w:r>
        <w:r w:rsidR="00251188">
          <w:rPr>
            <w:noProof/>
            <w:webHidden/>
          </w:rPr>
          <w:fldChar w:fldCharType="separate"/>
        </w:r>
        <w:r w:rsidR="00DF49CD">
          <w:rPr>
            <w:noProof/>
            <w:webHidden/>
          </w:rPr>
          <w:t>70</w:t>
        </w:r>
        <w:r w:rsidR="00251188">
          <w:rPr>
            <w:noProof/>
            <w:webHidden/>
          </w:rPr>
          <w:fldChar w:fldCharType="end"/>
        </w:r>
      </w:hyperlink>
    </w:p>
    <w:p w14:paraId="43536EB3" w14:textId="22C05AF6" w:rsidR="00251188" w:rsidRDefault="00064EC9">
      <w:pPr>
        <w:pStyle w:val="TableofFigures"/>
        <w:rPr>
          <w:rFonts w:eastAsiaTheme="minorEastAsia" w:cstheme="minorBidi"/>
          <w:noProof/>
          <w:color w:val="auto"/>
          <w:sz w:val="22"/>
          <w:szCs w:val="22"/>
        </w:rPr>
      </w:pPr>
      <w:hyperlink w:anchor="_Toc12630253" w:history="1">
        <w:r w:rsidR="00251188" w:rsidRPr="00D00B91">
          <w:rPr>
            <w:rStyle w:val="Hyperlink"/>
            <w:rFonts w:eastAsiaTheme="majorEastAsia"/>
            <w:noProof/>
          </w:rPr>
          <w:t>Table 8.1.</w:t>
        </w:r>
        <w:r w:rsidR="00251188">
          <w:rPr>
            <w:rFonts w:eastAsiaTheme="minorEastAsia" w:cstheme="minorBidi"/>
            <w:noProof/>
            <w:color w:val="auto"/>
            <w:sz w:val="22"/>
            <w:szCs w:val="22"/>
          </w:rPr>
          <w:tab/>
        </w:r>
        <w:r w:rsidR="00251188" w:rsidRPr="00D00B91">
          <w:rPr>
            <w:rStyle w:val="Hyperlink"/>
            <w:rFonts w:eastAsiaTheme="majorEastAsia"/>
            <w:noProof/>
          </w:rPr>
          <w:t>Clients for engagement</w:t>
        </w:r>
        <w:r w:rsidR="00251188">
          <w:rPr>
            <w:noProof/>
            <w:webHidden/>
          </w:rPr>
          <w:tab/>
        </w:r>
        <w:r w:rsidR="00251188">
          <w:rPr>
            <w:noProof/>
            <w:webHidden/>
          </w:rPr>
          <w:fldChar w:fldCharType="begin"/>
        </w:r>
        <w:r w:rsidR="00251188">
          <w:rPr>
            <w:noProof/>
            <w:webHidden/>
          </w:rPr>
          <w:instrText xml:space="preserve"> PAGEREF _Toc12630253 \h </w:instrText>
        </w:r>
        <w:r w:rsidR="00251188">
          <w:rPr>
            <w:noProof/>
            <w:webHidden/>
          </w:rPr>
        </w:r>
        <w:r w:rsidR="00251188">
          <w:rPr>
            <w:noProof/>
            <w:webHidden/>
          </w:rPr>
          <w:fldChar w:fldCharType="separate"/>
        </w:r>
        <w:r w:rsidR="00DF49CD">
          <w:rPr>
            <w:noProof/>
            <w:webHidden/>
          </w:rPr>
          <w:t>73</w:t>
        </w:r>
        <w:r w:rsidR="00251188">
          <w:rPr>
            <w:noProof/>
            <w:webHidden/>
          </w:rPr>
          <w:fldChar w:fldCharType="end"/>
        </w:r>
      </w:hyperlink>
    </w:p>
    <w:p w14:paraId="72CA9C0C" w14:textId="4BDB898D" w:rsidR="00251188" w:rsidRDefault="00064EC9">
      <w:pPr>
        <w:pStyle w:val="TableofFigures"/>
        <w:rPr>
          <w:rFonts w:eastAsiaTheme="minorEastAsia" w:cstheme="minorBidi"/>
          <w:noProof/>
          <w:color w:val="auto"/>
          <w:sz w:val="22"/>
          <w:szCs w:val="22"/>
        </w:rPr>
      </w:pPr>
      <w:hyperlink w:anchor="_Toc12630254" w:history="1">
        <w:r w:rsidR="00251188" w:rsidRPr="00D00B91">
          <w:rPr>
            <w:rStyle w:val="Hyperlink"/>
            <w:rFonts w:eastAsiaTheme="majorEastAsia"/>
            <w:noProof/>
          </w:rPr>
          <w:t>Table 8.2.</w:t>
        </w:r>
        <w:r w:rsidR="00251188">
          <w:rPr>
            <w:rFonts w:eastAsiaTheme="minorEastAsia" w:cstheme="minorBidi"/>
            <w:noProof/>
            <w:color w:val="auto"/>
            <w:sz w:val="22"/>
            <w:szCs w:val="22"/>
          </w:rPr>
          <w:tab/>
        </w:r>
        <w:r w:rsidR="00251188" w:rsidRPr="00D00B91">
          <w:rPr>
            <w:rStyle w:val="Hyperlink"/>
            <w:rFonts w:eastAsiaTheme="majorEastAsia"/>
            <w:noProof/>
          </w:rPr>
          <w:t>Stakeholders for engagement</w:t>
        </w:r>
        <w:r w:rsidR="00251188">
          <w:rPr>
            <w:noProof/>
            <w:webHidden/>
          </w:rPr>
          <w:tab/>
        </w:r>
        <w:r w:rsidR="00251188">
          <w:rPr>
            <w:noProof/>
            <w:webHidden/>
          </w:rPr>
          <w:fldChar w:fldCharType="begin"/>
        </w:r>
        <w:r w:rsidR="00251188">
          <w:rPr>
            <w:noProof/>
            <w:webHidden/>
          </w:rPr>
          <w:instrText xml:space="preserve"> PAGEREF _Toc12630254 \h </w:instrText>
        </w:r>
        <w:r w:rsidR="00251188">
          <w:rPr>
            <w:noProof/>
            <w:webHidden/>
          </w:rPr>
        </w:r>
        <w:r w:rsidR="00251188">
          <w:rPr>
            <w:noProof/>
            <w:webHidden/>
          </w:rPr>
          <w:fldChar w:fldCharType="separate"/>
        </w:r>
        <w:r w:rsidR="00DF49CD">
          <w:rPr>
            <w:noProof/>
            <w:webHidden/>
          </w:rPr>
          <w:t>74</w:t>
        </w:r>
        <w:r w:rsidR="00251188">
          <w:rPr>
            <w:noProof/>
            <w:webHidden/>
          </w:rPr>
          <w:fldChar w:fldCharType="end"/>
        </w:r>
      </w:hyperlink>
    </w:p>
    <w:p w14:paraId="61D15C16" w14:textId="5BB43CEA" w:rsidR="00251188" w:rsidRDefault="00064EC9">
      <w:pPr>
        <w:pStyle w:val="TableofFigures"/>
        <w:rPr>
          <w:rFonts w:eastAsiaTheme="minorEastAsia" w:cstheme="minorBidi"/>
          <w:noProof/>
          <w:color w:val="auto"/>
          <w:sz w:val="22"/>
          <w:szCs w:val="22"/>
        </w:rPr>
      </w:pPr>
      <w:hyperlink w:anchor="_Toc12630255" w:history="1">
        <w:r w:rsidR="00251188" w:rsidRPr="00D00B91">
          <w:rPr>
            <w:rStyle w:val="Hyperlink"/>
            <w:rFonts w:eastAsiaTheme="majorEastAsia"/>
            <w:noProof/>
          </w:rPr>
          <w:t>Table 8.3.</w:t>
        </w:r>
        <w:r w:rsidR="00251188">
          <w:rPr>
            <w:rFonts w:eastAsiaTheme="minorEastAsia" w:cstheme="minorBidi"/>
            <w:noProof/>
            <w:color w:val="auto"/>
            <w:sz w:val="22"/>
            <w:szCs w:val="22"/>
          </w:rPr>
          <w:tab/>
        </w:r>
        <w:r w:rsidR="00251188" w:rsidRPr="00D00B91">
          <w:rPr>
            <w:rStyle w:val="Hyperlink"/>
            <w:rFonts w:eastAsiaTheme="majorEastAsia"/>
            <w:noProof/>
          </w:rPr>
          <w:t>Interested communities for engagement</w:t>
        </w:r>
        <w:r w:rsidR="00251188">
          <w:rPr>
            <w:noProof/>
            <w:webHidden/>
          </w:rPr>
          <w:tab/>
        </w:r>
        <w:r w:rsidR="00251188">
          <w:rPr>
            <w:noProof/>
            <w:webHidden/>
          </w:rPr>
          <w:fldChar w:fldCharType="begin"/>
        </w:r>
        <w:r w:rsidR="00251188">
          <w:rPr>
            <w:noProof/>
            <w:webHidden/>
          </w:rPr>
          <w:instrText xml:space="preserve"> PAGEREF _Toc12630255 \h </w:instrText>
        </w:r>
        <w:r w:rsidR="00251188">
          <w:rPr>
            <w:noProof/>
            <w:webHidden/>
          </w:rPr>
        </w:r>
        <w:r w:rsidR="00251188">
          <w:rPr>
            <w:noProof/>
            <w:webHidden/>
          </w:rPr>
          <w:fldChar w:fldCharType="separate"/>
        </w:r>
        <w:r w:rsidR="00DF49CD">
          <w:rPr>
            <w:noProof/>
            <w:webHidden/>
          </w:rPr>
          <w:t>75</w:t>
        </w:r>
        <w:r w:rsidR="00251188">
          <w:rPr>
            <w:noProof/>
            <w:webHidden/>
          </w:rPr>
          <w:fldChar w:fldCharType="end"/>
        </w:r>
      </w:hyperlink>
    </w:p>
    <w:p w14:paraId="37C6AF34" w14:textId="70005365" w:rsidR="00251188" w:rsidRDefault="00064EC9">
      <w:pPr>
        <w:pStyle w:val="TableofFigures"/>
        <w:rPr>
          <w:rFonts w:eastAsiaTheme="minorEastAsia" w:cstheme="minorBidi"/>
          <w:noProof/>
          <w:color w:val="auto"/>
          <w:sz w:val="22"/>
          <w:szCs w:val="22"/>
        </w:rPr>
      </w:pPr>
      <w:hyperlink w:anchor="_Toc12630256" w:history="1">
        <w:r w:rsidR="00251188" w:rsidRPr="00D00B91">
          <w:rPr>
            <w:rStyle w:val="Hyperlink"/>
            <w:rFonts w:eastAsiaTheme="majorEastAsia"/>
            <w:noProof/>
          </w:rPr>
          <w:t>Table 8.4.</w:t>
        </w:r>
        <w:r w:rsidR="00251188">
          <w:rPr>
            <w:rFonts w:eastAsiaTheme="minorEastAsia" w:cstheme="minorBidi"/>
            <w:noProof/>
            <w:color w:val="auto"/>
            <w:sz w:val="22"/>
            <w:szCs w:val="22"/>
          </w:rPr>
          <w:tab/>
        </w:r>
        <w:r w:rsidR="00251188" w:rsidRPr="00D00B91">
          <w:rPr>
            <w:rStyle w:val="Hyperlink"/>
            <w:rFonts w:eastAsiaTheme="majorEastAsia"/>
            <w:noProof/>
          </w:rPr>
          <w:t>Operational engagement and communication plan (core activities)</w:t>
        </w:r>
        <w:r w:rsidR="00251188">
          <w:rPr>
            <w:noProof/>
            <w:webHidden/>
          </w:rPr>
          <w:tab/>
        </w:r>
        <w:r w:rsidR="00251188">
          <w:rPr>
            <w:noProof/>
            <w:webHidden/>
          </w:rPr>
          <w:fldChar w:fldCharType="begin"/>
        </w:r>
        <w:r w:rsidR="00251188">
          <w:rPr>
            <w:noProof/>
            <w:webHidden/>
          </w:rPr>
          <w:instrText xml:space="preserve"> PAGEREF _Toc12630256 \h </w:instrText>
        </w:r>
        <w:r w:rsidR="00251188">
          <w:rPr>
            <w:noProof/>
            <w:webHidden/>
          </w:rPr>
        </w:r>
        <w:r w:rsidR="00251188">
          <w:rPr>
            <w:noProof/>
            <w:webHidden/>
          </w:rPr>
          <w:fldChar w:fldCharType="separate"/>
        </w:r>
        <w:r w:rsidR="00DF49CD">
          <w:rPr>
            <w:noProof/>
            <w:webHidden/>
          </w:rPr>
          <w:t>76</w:t>
        </w:r>
        <w:r w:rsidR="00251188">
          <w:rPr>
            <w:noProof/>
            <w:webHidden/>
          </w:rPr>
          <w:fldChar w:fldCharType="end"/>
        </w:r>
      </w:hyperlink>
    </w:p>
    <w:p w14:paraId="5C3C375B" w14:textId="390A89D3" w:rsidR="00251188" w:rsidRDefault="00064EC9">
      <w:pPr>
        <w:pStyle w:val="TableofFigures"/>
        <w:rPr>
          <w:rFonts w:eastAsiaTheme="minorEastAsia" w:cstheme="minorBidi"/>
          <w:noProof/>
          <w:color w:val="auto"/>
          <w:sz w:val="22"/>
          <w:szCs w:val="22"/>
        </w:rPr>
      </w:pPr>
      <w:hyperlink w:anchor="_Toc12630257" w:history="1">
        <w:r w:rsidR="00251188" w:rsidRPr="00D00B91">
          <w:rPr>
            <w:rStyle w:val="Hyperlink"/>
            <w:rFonts w:eastAsiaTheme="majorEastAsia"/>
            <w:noProof/>
          </w:rPr>
          <w:t xml:space="preserve">Table 8.5. </w:t>
        </w:r>
        <w:r w:rsidR="00251188">
          <w:rPr>
            <w:rStyle w:val="Hyperlink"/>
            <w:rFonts w:eastAsiaTheme="majorEastAsia"/>
            <w:noProof/>
          </w:rPr>
          <w:t xml:space="preserve">     </w:t>
        </w:r>
        <w:r w:rsidR="00251188" w:rsidRPr="00D00B91">
          <w:rPr>
            <w:rStyle w:val="Hyperlink"/>
            <w:rFonts w:eastAsiaTheme="majorEastAsia"/>
            <w:noProof/>
          </w:rPr>
          <w:t>Operational engagement and communication plan (additional activities*)</w:t>
        </w:r>
        <w:r w:rsidR="00251188">
          <w:rPr>
            <w:noProof/>
            <w:webHidden/>
          </w:rPr>
          <w:tab/>
        </w:r>
        <w:r w:rsidR="00251188">
          <w:rPr>
            <w:noProof/>
            <w:webHidden/>
          </w:rPr>
          <w:fldChar w:fldCharType="begin"/>
        </w:r>
        <w:r w:rsidR="00251188">
          <w:rPr>
            <w:noProof/>
            <w:webHidden/>
          </w:rPr>
          <w:instrText xml:space="preserve"> PAGEREF _Toc12630257 \h </w:instrText>
        </w:r>
        <w:r w:rsidR="00251188">
          <w:rPr>
            <w:noProof/>
            <w:webHidden/>
          </w:rPr>
        </w:r>
        <w:r w:rsidR="00251188">
          <w:rPr>
            <w:noProof/>
            <w:webHidden/>
          </w:rPr>
          <w:fldChar w:fldCharType="separate"/>
        </w:r>
        <w:r w:rsidR="00DF49CD">
          <w:rPr>
            <w:noProof/>
            <w:webHidden/>
          </w:rPr>
          <w:t>79</w:t>
        </w:r>
        <w:r w:rsidR="00251188">
          <w:rPr>
            <w:noProof/>
            <w:webHidden/>
          </w:rPr>
          <w:fldChar w:fldCharType="end"/>
        </w:r>
      </w:hyperlink>
    </w:p>
    <w:p w14:paraId="0D247341" w14:textId="5790E9D6" w:rsidR="00251188" w:rsidRDefault="00064EC9">
      <w:pPr>
        <w:pStyle w:val="TableofFigures"/>
        <w:rPr>
          <w:rFonts w:eastAsiaTheme="minorEastAsia" w:cstheme="minorBidi"/>
          <w:noProof/>
          <w:color w:val="auto"/>
          <w:sz w:val="22"/>
          <w:szCs w:val="22"/>
        </w:rPr>
      </w:pPr>
      <w:hyperlink w:anchor="_Toc12630258" w:history="1">
        <w:r w:rsidR="00251188" w:rsidRPr="00D00B91">
          <w:rPr>
            <w:rStyle w:val="Hyperlink"/>
            <w:rFonts w:eastAsiaTheme="majorEastAsia"/>
            <w:noProof/>
          </w:rPr>
          <w:t>Table 8.6.</w:t>
        </w:r>
        <w:r w:rsidR="00251188">
          <w:rPr>
            <w:rFonts w:eastAsiaTheme="minorEastAsia" w:cstheme="minorBidi"/>
            <w:noProof/>
            <w:color w:val="auto"/>
            <w:sz w:val="22"/>
            <w:szCs w:val="22"/>
          </w:rPr>
          <w:tab/>
        </w:r>
        <w:r w:rsidR="00251188" w:rsidRPr="00D00B91">
          <w:rPr>
            <w:rStyle w:val="Hyperlink"/>
            <w:rFonts w:eastAsiaTheme="majorEastAsia"/>
            <w:noProof/>
          </w:rPr>
          <w:t>Membership of the Selected Area Working Group</w:t>
        </w:r>
        <w:r w:rsidR="00251188">
          <w:rPr>
            <w:noProof/>
            <w:webHidden/>
          </w:rPr>
          <w:tab/>
        </w:r>
        <w:r w:rsidR="00251188">
          <w:rPr>
            <w:noProof/>
            <w:webHidden/>
          </w:rPr>
          <w:fldChar w:fldCharType="begin"/>
        </w:r>
        <w:r w:rsidR="00251188">
          <w:rPr>
            <w:noProof/>
            <w:webHidden/>
          </w:rPr>
          <w:instrText xml:space="preserve"> PAGEREF _Toc12630258 \h </w:instrText>
        </w:r>
        <w:r w:rsidR="00251188">
          <w:rPr>
            <w:noProof/>
            <w:webHidden/>
          </w:rPr>
        </w:r>
        <w:r w:rsidR="00251188">
          <w:rPr>
            <w:noProof/>
            <w:webHidden/>
          </w:rPr>
          <w:fldChar w:fldCharType="separate"/>
        </w:r>
        <w:r w:rsidR="00DF49CD">
          <w:rPr>
            <w:noProof/>
            <w:webHidden/>
          </w:rPr>
          <w:t>82</w:t>
        </w:r>
        <w:r w:rsidR="00251188">
          <w:rPr>
            <w:noProof/>
            <w:webHidden/>
          </w:rPr>
          <w:fldChar w:fldCharType="end"/>
        </w:r>
      </w:hyperlink>
    </w:p>
    <w:p w14:paraId="4A664C3F" w14:textId="3D1EE7E4" w:rsidR="00251188" w:rsidRDefault="00064EC9">
      <w:pPr>
        <w:pStyle w:val="TableofFigures"/>
        <w:rPr>
          <w:rFonts w:eastAsiaTheme="minorEastAsia" w:cstheme="minorBidi"/>
          <w:noProof/>
          <w:color w:val="auto"/>
          <w:sz w:val="22"/>
          <w:szCs w:val="22"/>
        </w:rPr>
      </w:pPr>
      <w:hyperlink w:anchor="_Toc12630259" w:history="1">
        <w:r w:rsidR="00251188" w:rsidRPr="00D00B91">
          <w:rPr>
            <w:rStyle w:val="Hyperlink"/>
            <w:rFonts w:eastAsiaTheme="majorEastAsia"/>
            <w:noProof/>
          </w:rPr>
          <w:t>Table 8.7.</w:t>
        </w:r>
        <w:r w:rsidR="00251188">
          <w:rPr>
            <w:rFonts w:eastAsiaTheme="minorEastAsia" w:cstheme="minorBidi"/>
            <w:noProof/>
            <w:color w:val="auto"/>
            <w:sz w:val="22"/>
            <w:szCs w:val="22"/>
          </w:rPr>
          <w:tab/>
        </w:r>
        <w:r w:rsidR="00251188" w:rsidRPr="00D00B91">
          <w:rPr>
            <w:rStyle w:val="Hyperlink"/>
            <w:rFonts w:eastAsiaTheme="majorEastAsia"/>
            <w:noProof/>
          </w:rPr>
          <w:t>Standard agenda items and responsibilities for the Working Group</w:t>
        </w:r>
        <w:r w:rsidR="00251188">
          <w:rPr>
            <w:noProof/>
            <w:webHidden/>
          </w:rPr>
          <w:tab/>
        </w:r>
        <w:r w:rsidR="00251188">
          <w:rPr>
            <w:noProof/>
            <w:webHidden/>
          </w:rPr>
          <w:fldChar w:fldCharType="begin"/>
        </w:r>
        <w:r w:rsidR="00251188">
          <w:rPr>
            <w:noProof/>
            <w:webHidden/>
          </w:rPr>
          <w:instrText xml:space="preserve"> PAGEREF _Toc12630259 \h </w:instrText>
        </w:r>
        <w:r w:rsidR="00251188">
          <w:rPr>
            <w:noProof/>
            <w:webHidden/>
          </w:rPr>
        </w:r>
        <w:r w:rsidR="00251188">
          <w:rPr>
            <w:noProof/>
            <w:webHidden/>
          </w:rPr>
          <w:fldChar w:fldCharType="separate"/>
        </w:r>
        <w:r w:rsidR="00DF49CD">
          <w:rPr>
            <w:noProof/>
            <w:webHidden/>
          </w:rPr>
          <w:t>84</w:t>
        </w:r>
        <w:r w:rsidR="00251188">
          <w:rPr>
            <w:noProof/>
            <w:webHidden/>
          </w:rPr>
          <w:fldChar w:fldCharType="end"/>
        </w:r>
      </w:hyperlink>
    </w:p>
    <w:p w14:paraId="5187D93D" w14:textId="1BCC8E5E" w:rsidR="00251188" w:rsidRDefault="00064EC9">
      <w:pPr>
        <w:pStyle w:val="TableofFigures"/>
        <w:rPr>
          <w:rFonts w:eastAsiaTheme="minorEastAsia" w:cstheme="minorBidi"/>
          <w:noProof/>
          <w:color w:val="auto"/>
          <w:sz w:val="22"/>
          <w:szCs w:val="22"/>
        </w:rPr>
      </w:pPr>
      <w:hyperlink w:anchor="_Toc12630260" w:history="1">
        <w:r w:rsidR="00251188" w:rsidRPr="00D00B91">
          <w:rPr>
            <w:rStyle w:val="Hyperlink"/>
            <w:rFonts w:eastAsiaTheme="majorEastAsia"/>
            <w:noProof/>
          </w:rPr>
          <w:t>Table 9.1.</w:t>
        </w:r>
        <w:r w:rsidR="00251188">
          <w:rPr>
            <w:rFonts w:eastAsiaTheme="minorEastAsia" w:cstheme="minorBidi"/>
            <w:noProof/>
            <w:color w:val="auto"/>
            <w:sz w:val="22"/>
            <w:szCs w:val="22"/>
          </w:rPr>
          <w:tab/>
        </w:r>
        <w:r w:rsidR="00251188" w:rsidRPr="00D00B91">
          <w:rPr>
            <w:rStyle w:val="Hyperlink"/>
            <w:rFonts w:eastAsiaTheme="majorEastAsia"/>
            <w:noProof/>
          </w:rPr>
          <w:t>Summary of engagement, reporting and information transfer activities</w:t>
        </w:r>
        <w:r w:rsidR="00251188">
          <w:rPr>
            <w:noProof/>
            <w:webHidden/>
          </w:rPr>
          <w:tab/>
        </w:r>
        <w:r w:rsidR="00251188">
          <w:rPr>
            <w:noProof/>
            <w:webHidden/>
          </w:rPr>
          <w:fldChar w:fldCharType="begin"/>
        </w:r>
        <w:r w:rsidR="00251188">
          <w:rPr>
            <w:noProof/>
            <w:webHidden/>
          </w:rPr>
          <w:instrText xml:space="preserve"> PAGEREF _Toc12630260 \h </w:instrText>
        </w:r>
        <w:r w:rsidR="00251188">
          <w:rPr>
            <w:noProof/>
            <w:webHidden/>
          </w:rPr>
        </w:r>
        <w:r w:rsidR="00251188">
          <w:rPr>
            <w:noProof/>
            <w:webHidden/>
          </w:rPr>
          <w:fldChar w:fldCharType="separate"/>
        </w:r>
        <w:r w:rsidR="00DF49CD">
          <w:rPr>
            <w:noProof/>
            <w:webHidden/>
          </w:rPr>
          <w:t>86</w:t>
        </w:r>
        <w:r w:rsidR="00251188">
          <w:rPr>
            <w:noProof/>
            <w:webHidden/>
          </w:rPr>
          <w:fldChar w:fldCharType="end"/>
        </w:r>
      </w:hyperlink>
    </w:p>
    <w:p w14:paraId="63A5D685" w14:textId="37CB52F0" w:rsidR="00251188" w:rsidRDefault="00064EC9">
      <w:pPr>
        <w:pStyle w:val="TableofFigures"/>
        <w:rPr>
          <w:rFonts w:eastAsiaTheme="minorEastAsia" w:cstheme="minorBidi"/>
          <w:noProof/>
          <w:color w:val="auto"/>
          <w:sz w:val="22"/>
          <w:szCs w:val="22"/>
        </w:rPr>
      </w:pPr>
      <w:hyperlink w:anchor="_Toc12630261" w:history="1">
        <w:r w:rsidR="00251188" w:rsidRPr="00D00B91">
          <w:rPr>
            <w:rStyle w:val="Hyperlink"/>
            <w:rFonts w:eastAsiaTheme="majorEastAsia"/>
            <w:noProof/>
          </w:rPr>
          <w:t>Table 10.1.</w:t>
        </w:r>
        <w:r w:rsidR="00251188">
          <w:rPr>
            <w:rFonts w:eastAsiaTheme="minorEastAsia" w:cstheme="minorBidi"/>
            <w:noProof/>
            <w:color w:val="auto"/>
            <w:sz w:val="22"/>
            <w:szCs w:val="22"/>
          </w:rPr>
          <w:tab/>
        </w:r>
        <w:r w:rsidR="00251188" w:rsidRPr="00D00B91">
          <w:rPr>
            <w:rStyle w:val="Hyperlink"/>
            <w:rFonts w:eastAsiaTheme="majorEastAsia"/>
            <w:noProof/>
          </w:rPr>
          <w:t>Project and task leaders and delivery team for Category 1 and 3 indicators, research and key activities in the Lower Murray.</w:t>
        </w:r>
        <w:r w:rsidR="00251188">
          <w:rPr>
            <w:noProof/>
            <w:webHidden/>
          </w:rPr>
          <w:tab/>
        </w:r>
        <w:r w:rsidR="00251188">
          <w:rPr>
            <w:noProof/>
            <w:webHidden/>
          </w:rPr>
          <w:fldChar w:fldCharType="begin"/>
        </w:r>
        <w:r w:rsidR="00251188">
          <w:rPr>
            <w:noProof/>
            <w:webHidden/>
          </w:rPr>
          <w:instrText xml:space="preserve"> PAGEREF _Toc12630261 \h </w:instrText>
        </w:r>
        <w:r w:rsidR="00251188">
          <w:rPr>
            <w:noProof/>
            <w:webHidden/>
          </w:rPr>
        </w:r>
        <w:r w:rsidR="00251188">
          <w:rPr>
            <w:noProof/>
            <w:webHidden/>
          </w:rPr>
          <w:fldChar w:fldCharType="separate"/>
        </w:r>
        <w:r w:rsidR="00DF49CD">
          <w:rPr>
            <w:noProof/>
            <w:webHidden/>
          </w:rPr>
          <w:t>89</w:t>
        </w:r>
        <w:r w:rsidR="00251188">
          <w:rPr>
            <w:noProof/>
            <w:webHidden/>
          </w:rPr>
          <w:fldChar w:fldCharType="end"/>
        </w:r>
      </w:hyperlink>
    </w:p>
    <w:p w14:paraId="6C239297" w14:textId="4FB0133C" w:rsidR="00251188" w:rsidRDefault="00064EC9">
      <w:pPr>
        <w:pStyle w:val="TableofFigures"/>
        <w:rPr>
          <w:rFonts w:eastAsiaTheme="minorEastAsia" w:cstheme="minorBidi"/>
          <w:noProof/>
          <w:color w:val="auto"/>
          <w:sz w:val="22"/>
          <w:szCs w:val="22"/>
        </w:rPr>
      </w:pPr>
      <w:hyperlink w:anchor="_Toc12630262" w:history="1">
        <w:r w:rsidR="00251188" w:rsidRPr="00D00B91">
          <w:rPr>
            <w:rStyle w:val="Hyperlink"/>
            <w:rFonts w:eastAsiaTheme="majorEastAsia"/>
            <w:noProof/>
          </w:rPr>
          <w:t>Table 10.2.</w:t>
        </w:r>
        <w:r w:rsidR="00251188">
          <w:rPr>
            <w:rFonts w:eastAsiaTheme="minorEastAsia" w:cstheme="minorBidi"/>
            <w:noProof/>
            <w:color w:val="auto"/>
            <w:sz w:val="22"/>
            <w:szCs w:val="22"/>
          </w:rPr>
          <w:tab/>
        </w:r>
        <w:r w:rsidR="00251188" w:rsidRPr="00D00B91">
          <w:rPr>
            <w:rStyle w:val="Hyperlink"/>
            <w:rFonts w:eastAsiaTheme="majorEastAsia"/>
            <w:noProof/>
          </w:rPr>
          <w:t>Project risks, their level of significance, and a proposed mitigation strategy</w:t>
        </w:r>
        <w:r w:rsidR="00251188">
          <w:rPr>
            <w:noProof/>
            <w:webHidden/>
          </w:rPr>
          <w:tab/>
        </w:r>
        <w:r w:rsidR="00251188">
          <w:rPr>
            <w:noProof/>
            <w:webHidden/>
          </w:rPr>
          <w:fldChar w:fldCharType="begin"/>
        </w:r>
        <w:r w:rsidR="00251188">
          <w:rPr>
            <w:noProof/>
            <w:webHidden/>
          </w:rPr>
          <w:instrText xml:space="preserve"> PAGEREF _Toc12630262 \h </w:instrText>
        </w:r>
        <w:r w:rsidR="00251188">
          <w:rPr>
            <w:noProof/>
            <w:webHidden/>
          </w:rPr>
        </w:r>
        <w:r w:rsidR="00251188">
          <w:rPr>
            <w:noProof/>
            <w:webHidden/>
          </w:rPr>
          <w:fldChar w:fldCharType="separate"/>
        </w:r>
        <w:r w:rsidR="00DF49CD">
          <w:rPr>
            <w:noProof/>
            <w:webHidden/>
          </w:rPr>
          <w:t>90</w:t>
        </w:r>
        <w:r w:rsidR="00251188">
          <w:rPr>
            <w:noProof/>
            <w:webHidden/>
          </w:rPr>
          <w:fldChar w:fldCharType="end"/>
        </w:r>
      </w:hyperlink>
    </w:p>
    <w:p w14:paraId="2BBBA8BD" w14:textId="6F8B9F1F" w:rsidR="00251188" w:rsidRDefault="00064EC9">
      <w:pPr>
        <w:pStyle w:val="TableofFigures"/>
        <w:rPr>
          <w:rFonts w:eastAsiaTheme="minorEastAsia" w:cstheme="minorBidi"/>
          <w:noProof/>
          <w:color w:val="auto"/>
          <w:sz w:val="22"/>
          <w:szCs w:val="22"/>
        </w:rPr>
      </w:pPr>
      <w:hyperlink w:anchor="_Toc12630263" w:history="1">
        <w:r w:rsidR="00251188" w:rsidRPr="00D00B91">
          <w:rPr>
            <w:rStyle w:val="Hyperlink"/>
            <w:rFonts w:eastAsiaTheme="majorEastAsia"/>
            <w:noProof/>
          </w:rPr>
          <w:t xml:space="preserve">Table 10.3. </w:t>
        </w:r>
        <w:r w:rsidR="00251188">
          <w:rPr>
            <w:rStyle w:val="Hyperlink"/>
            <w:rFonts w:eastAsiaTheme="majorEastAsia"/>
            <w:noProof/>
          </w:rPr>
          <w:t xml:space="preserve"> </w:t>
        </w:r>
        <w:r w:rsidR="00251188" w:rsidRPr="00D00B91">
          <w:rPr>
            <w:rStyle w:val="Hyperlink"/>
            <w:rFonts w:eastAsiaTheme="majorEastAsia"/>
            <w:noProof/>
          </w:rPr>
          <w:t>Criteria for assessing the risks for which the MER Provider for the Lower Murray Selected Area is fully or partly responsible for.</w:t>
        </w:r>
        <w:r w:rsidR="00251188">
          <w:rPr>
            <w:noProof/>
            <w:webHidden/>
          </w:rPr>
          <w:tab/>
        </w:r>
        <w:r w:rsidR="00251188">
          <w:rPr>
            <w:noProof/>
            <w:webHidden/>
          </w:rPr>
          <w:fldChar w:fldCharType="begin"/>
        </w:r>
        <w:r w:rsidR="00251188">
          <w:rPr>
            <w:noProof/>
            <w:webHidden/>
          </w:rPr>
          <w:instrText xml:space="preserve"> PAGEREF _Toc12630263 \h </w:instrText>
        </w:r>
        <w:r w:rsidR="00251188">
          <w:rPr>
            <w:noProof/>
            <w:webHidden/>
          </w:rPr>
        </w:r>
        <w:r w:rsidR="00251188">
          <w:rPr>
            <w:noProof/>
            <w:webHidden/>
          </w:rPr>
          <w:fldChar w:fldCharType="separate"/>
        </w:r>
        <w:r w:rsidR="00DF49CD">
          <w:rPr>
            <w:noProof/>
            <w:webHidden/>
          </w:rPr>
          <w:t>94</w:t>
        </w:r>
        <w:r w:rsidR="00251188">
          <w:rPr>
            <w:noProof/>
            <w:webHidden/>
          </w:rPr>
          <w:fldChar w:fldCharType="end"/>
        </w:r>
      </w:hyperlink>
    </w:p>
    <w:p w14:paraId="59451421" w14:textId="56DAC811" w:rsidR="00251188" w:rsidRDefault="00064EC9">
      <w:pPr>
        <w:pStyle w:val="TableofFigures"/>
        <w:rPr>
          <w:rFonts w:eastAsiaTheme="minorEastAsia" w:cstheme="minorBidi"/>
          <w:noProof/>
          <w:color w:val="auto"/>
          <w:sz w:val="22"/>
          <w:szCs w:val="22"/>
        </w:rPr>
      </w:pPr>
      <w:hyperlink w:anchor="_Toc12630264" w:history="1">
        <w:r w:rsidR="00251188" w:rsidRPr="00D00B91">
          <w:rPr>
            <w:rStyle w:val="Hyperlink"/>
            <w:rFonts w:eastAsiaTheme="majorEastAsia"/>
            <w:noProof/>
          </w:rPr>
          <w:t xml:space="preserve">Table 10.4. </w:t>
        </w:r>
        <w:r w:rsidR="00251188">
          <w:rPr>
            <w:rStyle w:val="Hyperlink"/>
            <w:rFonts w:eastAsiaTheme="majorEastAsia"/>
            <w:noProof/>
          </w:rPr>
          <w:t xml:space="preserve"> </w:t>
        </w:r>
        <w:r w:rsidR="00251188" w:rsidRPr="00D00B91">
          <w:rPr>
            <w:rStyle w:val="Hyperlink"/>
            <w:rFonts w:eastAsiaTheme="majorEastAsia"/>
            <w:noProof/>
          </w:rPr>
          <w:t>Risk assessment matrix for assessing the risks of the MER Project in the Lower Murray.</w:t>
        </w:r>
        <w:r w:rsidR="00251188">
          <w:rPr>
            <w:noProof/>
            <w:webHidden/>
          </w:rPr>
          <w:tab/>
        </w:r>
        <w:r w:rsidR="00251188">
          <w:rPr>
            <w:noProof/>
            <w:webHidden/>
          </w:rPr>
          <w:fldChar w:fldCharType="begin"/>
        </w:r>
        <w:r w:rsidR="00251188">
          <w:rPr>
            <w:noProof/>
            <w:webHidden/>
          </w:rPr>
          <w:instrText xml:space="preserve"> PAGEREF _Toc12630264 \h </w:instrText>
        </w:r>
        <w:r w:rsidR="00251188">
          <w:rPr>
            <w:noProof/>
            <w:webHidden/>
          </w:rPr>
        </w:r>
        <w:r w:rsidR="00251188">
          <w:rPr>
            <w:noProof/>
            <w:webHidden/>
          </w:rPr>
          <w:fldChar w:fldCharType="separate"/>
        </w:r>
        <w:r w:rsidR="00DF49CD">
          <w:rPr>
            <w:noProof/>
            <w:webHidden/>
          </w:rPr>
          <w:t>95</w:t>
        </w:r>
        <w:r w:rsidR="00251188">
          <w:rPr>
            <w:noProof/>
            <w:webHidden/>
          </w:rPr>
          <w:fldChar w:fldCharType="end"/>
        </w:r>
      </w:hyperlink>
    </w:p>
    <w:p w14:paraId="4A221C0A" w14:textId="2846E07B" w:rsidR="00251188" w:rsidRDefault="00064EC9">
      <w:pPr>
        <w:pStyle w:val="TableofFigures"/>
        <w:rPr>
          <w:rFonts w:eastAsiaTheme="minorEastAsia" w:cstheme="minorBidi"/>
          <w:noProof/>
          <w:color w:val="auto"/>
          <w:sz w:val="22"/>
          <w:szCs w:val="22"/>
        </w:rPr>
      </w:pPr>
      <w:hyperlink w:anchor="_Toc12630265" w:history="1">
        <w:r w:rsidR="00251188" w:rsidRPr="00D00B91">
          <w:rPr>
            <w:rStyle w:val="Hyperlink"/>
            <w:rFonts w:eastAsiaTheme="majorEastAsia"/>
            <w:noProof/>
          </w:rPr>
          <w:t>Table 10.5.</w:t>
        </w:r>
        <w:r w:rsidR="00251188">
          <w:rPr>
            <w:rFonts w:eastAsiaTheme="minorEastAsia" w:cstheme="minorBidi"/>
            <w:noProof/>
            <w:color w:val="auto"/>
            <w:sz w:val="22"/>
            <w:szCs w:val="22"/>
          </w:rPr>
          <w:tab/>
        </w:r>
        <w:r w:rsidR="00251188" w:rsidRPr="00D00B91">
          <w:rPr>
            <w:rStyle w:val="Hyperlink"/>
            <w:rFonts w:eastAsiaTheme="majorEastAsia"/>
            <w:noProof/>
          </w:rPr>
          <w:t>Self-auditing plan</w:t>
        </w:r>
        <w:r w:rsidR="00251188">
          <w:rPr>
            <w:noProof/>
            <w:webHidden/>
          </w:rPr>
          <w:tab/>
        </w:r>
        <w:r w:rsidR="00251188">
          <w:rPr>
            <w:noProof/>
            <w:webHidden/>
          </w:rPr>
          <w:fldChar w:fldCharType="begin"/>
        </w:r>
        <w:r w:rsidR="00251188">
          <w:rPr>
            <w:noProof/>
            <w:webHidden/>
          </w:rPr>
          <w:instrText xml:space="preserve"> PAGEREF _Toc12630265 \h </w:instrText>
        </w:r>
        <w:r w:rsidR="00251188">
          <w:rPr>
            <w:noProof/>
            <w:webHidden/>
          </w:rPr>
        </w:r>
        <w:r w:rsidR="00251188">
          <w:rPr>
            <w:noProof/>
            <w:webHidden/>
          </w:rPr>
          <w:fldChar w:fldCharType="separate"/>
        </w:r>
        <w:r w:rsidR="00DF49CD">
          <w:rPr>
            <w:noProof/>
            <w:webHidden/>
          </w:rPr>
          <w:t>97</w:t>
        </w:r>
        <w:r w:rsidR="00251188">
          <w:rPr>
            <w:noProof/>
            <w:webHidden/>
          </w:rPr>
          <w:fldChar w:fldCharType="end"/>
        </w:r>
      </w:hyperlink>
    </w:p>
    <w:p w14:paraId="44303335" w14:textId="77777777" w:rsidR="002D1E81" w:rsidRPr="002D1E81" w:rsidRDefault="006F4D01" w:rsidP="00F02673">
      <w:pPr>
        <w:rPr>
          <w:lang w:eastAsia="en-AU"/>
        </w:rPr>
      </w:pPr>
      <w:r>
        <w:rPr>
          <w:lang w:eastAsia="en-AU"/>
        </w:rPr>
        <w:fldChar w:fldCharType="end"/>
      </w:r>
      <w:bookmarkStart w:id="20" w:name="_Toc353023386"/>
      <w:bookmarkStart w:id="21" w:name="_Toc353025166"/>
    </w:p>
    <w:p w14:paraId="08294FA0" w14:textId="77777777" w:rsidR="00AD48ED" w:rsidRDefault="00400539" w:rsidP="00F02673">
      <w:pPr>
        <w:rPr>
          <w:rFonts w:ascii="Times New Roman" w:hAnsi="Times New Roman"/>
          <w:kern w:val="0"/>
          <w:sz w:val="23"/>
          <w:lang w:eastAsia="en-AU"/>
        </w:rPr>
      </w:pPr>
      <w:bookmarkStart w:id="22" w:name="_Toc353023383"/>
      <w:bookmarkStart w:id="23" w:name="_Toc353025163"/>
      <w:r>
        <w:br w:type="page"/>
      </w:r>
      <w:bookmarkEnd w:id="22"/>
      <w:bookmarkEnd w:id="23"/>
    </w:p>
    <w:p w14:paraId="33E058A9" w14:textId="77777777" w:rsidR="00AD48ED" w:rsidRDefault="00AD48ED" w:rsidP="00F02673">
      <w:pPr>
        <w:rPr>
          <w:kern w:val="0"/>
          <w:lang w:eastAsia="en-AU"/>
        </w:rPr>
        <w:sectPr w:rsidR="00AD48ED" w:rsidSect="003F6444">
          <w:headerReference w:type="default" r:id="rId18"/>
          <w:pgSz w:w="11900" w:h="16840"/>
          <w:pgMar w:top="1440" w:right="1440" w:bottom="1440" w:left="1440" w:header="708" w:footer="708" w:gutter="0"/>
          <w:pgNumType w:fmt="lowerRoman" w:start="1"/>
          <w:cols w:space="708"/>
          <w:docGrid w:linePitch="360"/>
        </w:sectPr>
      </w:pPr>
    </w:p>
    <w:p w14:paraId="3C707462" w14:textId="77777777" w:rsidR="00734122" w:rsidRDefault="00734122" w:rsidP="00734122">
      <w:pPr>
        <w:pStyle w:val="Heading1"/>
        <w:numPr>
          <w:ilvl w:val="0"/>
          <w:numId w:val="0"/>
        </w:numPr>
        <w:ind w:left="851" w:hanging="851"/>
      </w:pPr>
      <w:bookmarkStart w:id="24" w:name="_Toc396899692"/>
      <w:bookmarkStart w:id="25" w:name="_Toc22196678"/>
      <w:bookmarkStart w:id="26" w:name="_Toc353023387"/>
      <w:bookmarkStart w:id="27" w:name="_Toc353025167"/>
      <w:bookmarkEnd w:id="20"/>
      <w:bookmarkEnd w:id="21"/>
      <w:r>
        <w:lastRenderedPageBreak/>
        <w:t>Summary</w:t>
      </w:r>
      <w:bookmarkEnd w:id="24"/>
      <w:bookmarkEnd w:id="25"/>
    </w:p>
    <w:p w14:paraId="1C46269D" w14:textId="5BB7823C" w:rsidR="006722D3" w:rsidRDefault="006722D3" w:rsidP="006722D3">
      <w:r w:rsidRPr="00DA62E4">
        <w:t xml:space="preserve">This Plan </w:t>
      </w:r>
      <w:r>
        <w:t>in</w:t>
      </w:r>
      <w:r w:rsidRPr="00DA62E4">
        <w:t xml:space="preserve">forms </w:t>
      </w:r>
      <w:r>
        <w:t xml:space="preserve">the implementation of the Commonwealth Environmental Water Office (CEWO) </w:t>
      </w:r>
      <w:r w:rsidRPr="00DA62E4">
        <w:t>Monitoring</w:t>
      </w:r>
      <w:r>
        <w:t>,</w:t>
      </w:r>
      <w:r w:rsidRPr="00DA62E4">
        <w:t xml:space="preserve"> Evaluation </w:t>
      </w:r>
      <w:r>
        <w:t xml:space="preserve">and Research (MER) Project in the Lower Murray </w:t>
      </w:r>
      <w:r w:rsidRPr="00DA62E4">
        <w:t>Selected Area</w:t>
      </w:r>
      <w:r>
        <w:t xml:space="preserve"> from 2019-20 to 2021-22</w:t>
      </w:r>
      <w:r w:rsidRPr="00DA62E4">
        <w:t xml:space="preserve">. The </w:t>
      </w:r>
      <w:r>
        <w:t xml:space="preserve">MER </w:t>
      </w:r>
      <w:r w:rsidRPr="00DA62E4">
        <w:t xml:space="preserve">Project </w:t>
      </w:r>
      <w:r>
        <w:t xml:space="preserve">aims to meet the key monitoring and research needs for the CEWO, extending and integrating services previously delivered by the five-year CEWO Long-term Intervention Monitoring (LTIM) and Environmental Water Knowledge and Research (EWKR) projects. As for LTIM, the Project </w:t>
      </w:r>
      <w:r w:rsidRPr="00DA62E4">
        <w:t xml:space="preserve">will </w:t>
      </w:r>
      <w:r>
        <w:t xml:space="preserve">continue to </w:t>
      </w:r>
      <w:r w:rsidRPr="00DA62E4">
        <w:t xml:space="preserve">be implemented at seven Selected Areas </w:t>
      </w:r>
      <w:r>
        <w:t xml:space="preserve">within the Murray-Darling Basin </w:t>
      </w:r>
      <w:r w:rsidRPr="00DA62E4">
        <w:t>over</w:t>
      </w:r>
      <w:r w:rsidR="003F3E85">
        <w:t xml:space="preserve"> the</w:t>
      </w:r>
      <w:r w:rsidRPr="00DA62E4">
        <w:t xml:space="preserve"> </w:t>
      </w:r>
      <w:r>
        <w:t>next three years with the key objectives of evaluating and demonstrating ecological outcomes of Commonwealth environmental water delivery and informing adaptive management.</w:t>
      </w:r>
    </w:p>
    <w:p w14:paraId="4A4405BD" w14:textId="14D20675" w:rsidR="006722D3" w:rsidRDefault="006722D3" w:rsidP="006722D3">
      <w:r w:rsidRPr="00DA62E4">
        <w:t>This M</w:t>
      </w:r>
      <w:r>
        <w:t xml:space="preserve">ER </w:t>
      </w:r>
      <w:r w:rsidRPr="00DA62E4">
        <w:t xml:space="preserve">Plan has been prepared by </w:t>
      </w:r>
      <w:r w:rsidRPr="004640AC">
        <w:t>the Lower Murray Selected Area Consortium</w:t>
      </w:r>
      <w:r>
        <w:t>, which includes the</w:t>
      </w:r>
      <w:r w:rsidRPr="004640AC">
        <w:t xml:space="preserve">: </w:t>
      </w:r>
      <w:r>
        <w:t>South Australian Research and Development Institute, University of Adelaide and Department for Environment and Water</w:t>
      </w:r>
      <w:r w:rsidRPr="00DA62E4">
        <w:t xml:space="preserve">. </w:t>
      </w:r>
      <w:r>
        <w:t>The Plan outlines a range of core monitoring and evaluation activities, with indicators to inform the evaluation of Commonwealth environmental water at the Lower Murray Selected Area (Category 3) and support the evaluation at Basin-scale (Category 1). These are:</w:t>
      </w:r>
    </w:p>
    <w:p w14:paraId="2E9D000C" w14:textId="77777777" w:rsidR="006722D3" w:rsidRDefault="006722D3" w:rsidP="006722D3">
      <w:pPr>
        <w:ind w:left="720" w:hanging="436"/>
      </w:pPr>
      <w:r>
        <w:t>Category 1</w:t>
      </w:r>
    </w:p>
    <w:p w14:paraId="5817A4C6" w14:textId="77777777" w:rsidR="006722D3" w:rsidRDefault="006722D3" w:rsidP="006722D3">
      <w:pPr>
        <w:tabs>
          <w:tab w:val="left" w:pos="1134"/>
        </w:tabs>
        <w:ind w:left="714" w:hanging="357"/>
        <w:contextualSpacing/>
      </w:pPr>
      <w:r>
        <w:t>•</w:t>
      </w:r>
      <w:r>
        <w:tab/>
        <w:t>Hydrology (Channel)</w:t>
      </w:r>
    </w:p>
    <w:p w14:paraId="1E1926A9" w14:textId="77777777" w:rsidR="006722D3" w:rsidRDefault="006722D3" w:rsidP="006722D3">
      <w:pPr>
        <w:tabs>
          <w:tab w:val="left" w:pos="1134"/>
        </w:tabs>
        <w:ind w:left="714" w:hanging="357"/>
        <w:contextualSpacing/>
      </w:pPr>
      <w:r>
        <w:t>•</w:t>
      </w:r>
      <w:r>
        <w:tab/>
        <w:t xml:space="preserve">Stream Metabolism and </w:t>
      </w:r>
      <w:r w:rsidRPr="00256A32">
        <w:t>Water Quality</w:t>
      </w:r>
    </w:p>
    <w:p w14:paraId="45ECD5FF" w14:textId="77777777" w:rsidR="006722D3" w:rsidRDefault="006722D3" w:rsidP="006722D3">
      <w:pPr>
        <w:tabs>
          <w:tab w:val="left" w:pos="1134"/>
        </w:tabs>
        <w:ind w:left="714" w:hanging="357"/>
        <w:contextualSpacing/>
      </w:pPr>
      <w:r>
        <w:t>•</w:t>
      </w:r>
      <w:r>
        <w:tab/>
        <w:t>Fish (Channel)</w:t>
      </w:r>
    </w:p>
    <w:p w14:paraId="29DA5EBF" w14:textId="77777777" w:rsidR="006722D3" w:rsidRDefault="006722D3" w:rsidP="006722D3">
      <w:pPr>
        <w:tabs>
          <w:tab w:val="left" w:pos="1134"/>
        </w:tabs>
        <w:spacing w:before="240"/>
        <w:ind w:left="721" w:hanging="437"/>
      </w:pPr>
      <w:r>
        <w:t>Category 3</w:t>
      </w:r>
    </w:p>
    <w:p w14:paraId="39718753" w14:textId="77777777" w:rsidR="006722D3" w:rsidRDefault="006722D3" w:rsidP="006722D3">
      <w:pPr>
        <w:tabs>
          <w:tab w:val="left" w:pos="1134"/>
        </w:tabs>
        <w:ind w:left="714" w:hanging="357"/>
        <w:contextualSpacing/>
      </w:pPr>
      <w:r>
        <w:t>•</w:t>
      </w:r>
      <w:r>
        <w:tab/>
        <w:t>Hydraulic Regime</w:t>
      </w:r>
    </w:p>
    <w:p w14:paraId="53614EFF" w14:textId="77777777" w:rsidR="006722D3" w:rsidRDefault="006722D3" w:rsidP="006722D3">
      <w:pPr>
        <w:tabs>
          <w:tab w:val="left" w:pos="1134"/>
        </w:tabs>
        <w:ind w:left="714" w:hanging="357"/>
        <w:contextualSpacing/>
      </w:pPr>
      <w:r w:rsidRPr="00220A8F">
        <w:t>•</w:t>
      </w:r>
      <w:r w:rsidRPr="00220A8F">
        <w:tab/>
      </w:r>
      <w:r>
        <w:t xml:space="preserve">Matter Transport and </w:t>
      </w:r>
      <w:r w:rsidRPr="00256A32">
        <w:t>Coorong Habitat</w:t>
      </w:r>
    </w:p>
    <w:p w14:paraId="5720704A" w14:textId="77777777" w:rsidR="006722D3" w:rsidRPr="00256A32" w:rsidRDefault="006722D3" w:rsidP="006722D3">
      <w:pPr>
        <w:tabs>
          <w:tab w:val="left" w:pos="1134"/>
        </w:tabs>
        <w:ind w:left="714" w:hanging="357"/>
        <w:contextualSpacing/>
      </w:pPr>
      <w:r>
        <w:t>•</w:t>
      </w:r>
      <w:r>
        <w:tab/>
      </w:r>
      <w:r w:rsidRPr="00256A32">
        <w:t>Littoral Vegetation Diversity and Productivity</w:t>
      </w:r>
    </w:p>
    <w:p w14:paraId="1280B70E" w14:textId="77777777" w:rsidR="006722D3" w:rsidRPr="00256A32" w:rsidRDefault="006722D3" w:rsidP="006722D3">
      <w:pPr>
        <w:tabs>
          <w:tab w:val="left" w:pos="1134"/>
        </w:tabs>
        <w:ind w:left="714" w:hanging="357"/>
        <w:contextualSpacing/>
      </w:pPr>
      <w:r w:rsidRPr="00256A32">
        <w:t>•</w:t>
      </w:r>
      <w:r w:rsidRPr="00256A32">
        <w:tab/>
        <w:t>Microinvertebrate Assemblage</w:t>
      </w:r>
    </w:p>
    <w:p w14:paraId="6EFB4456" w14:textId="77777777" w:rsidR="006722D3" w:rsidRPr="00256A32" w:rsidRDefault="006722D3" w:rsidP="006722D3">
      <w:pPr>
        <w:tabs>
          <w:tab w:val="left" w:pos="1134"/>
        </w:tabs>
        <w:ind w:left="714" w:hanging="357"/>
        <w:contextualSpacing/>
      </w:pPr>
      <w:r w:rsidRPr="00256A32">
        <w:t>•</w:t>
      </w:r>
      <w:r w:rsidRPr="00256A32">
        <w:tab/>
      </w:r>
      <w:r>
        <w:t>Flow-cued Spawning Fish Recruitment</w:t>
      </w:r>
    </w:p>
    <w:p w14:paraId="3879968C" w14:textId="77777777" w:rsidR="006722D3" w:rsidRPr="00256A32" w:rsidRDefault="006722D3" w:rsidP="006722D3">
      <w:pPr>
        <w:tabs>
          <w:tab w:val="left" w:pos="1134"/>
        </w:tabs>
        <w:ind w:left="714" w:hanging="357"/>
        <w:contextualSpacing/>
      </w:pPr>
      <w:r w:rsidRPr="00256A32">
        <w:t>•</w:t>
      </w:r>
      <w:r w:rsidRPr="00256A32">
        <w:tab/>
        <w:t>Murray Cod Recruitment.</w:t>
      </w:r>
    </w:p>
    <w:p w14:paraId="2B9143B7" w14:textId="77777777" w:rsidR="006722D3" w:rsidRDefault="006722D3" w:rsidP="006722D3"/>
    <w:p w14:paraId="7EDF8890" w14:textId="7DA7FFF1" w:rsidR="006722D3" w:rsidRPr="00DA62E4" w:rsidRDefault="006722D3" w:rsidP="006722D3">
      <w:r>
        <w:t xml:space="preserve">As well as these core services, a range of additional services will be delivered by the project. An integrated research project is proposed to explore the links between key indicators and improve our understanding of how flow influences the ecological processes that drive recruitment of key fish species (Murray cod). Additional contingency monitoring activities are also proposed to </w:t>
      </w:r>
      <w:r w:rsidRPr="0080088A">
        <w:t>be undertaken</w:t>
      </w:r>
      <w:r>
        <w:t xml:space="preserve"> under different </w:t>
      </w:r>
      <w:r w:rsidRPr="0080088A">
        <w:t>flow scenario</w:t>
      </w:r>
      <w:r>
        <w:t>s. Section 8 constitutes the Engagement and C</w:t>
      </w:r>
      <w:r w:rsidRPr="00DA62E4">
        <w:t>ommunicati</w:t>
      </w:r>
      <w:r>
        <w:t xml:space="preserve">on Plan, which describes core operational activities and proposed additional activities for enhancement. </w:t>
      </w:r>
      <w:r w:rsidRPr="00DA62E4">
        <w:t>The M</w:t>
      </w:r>
      <w:r>
        <w:t xml:space="preserve">ER </w:t>
      </w:r>
      <w:r w:rsidRPr="00DA62E4">
        <w:t xml:space="preserve">Plan also outlines </w:t>
      </w:r>
      <w:r>
        <w:t xml:space="preserve">the </w:t>
      </w:r>
      <w:r w:rsidRPr="00DA62E4">
        <w:t xml:space="preserve">project management arrangements for </w:t>
      </w:r>
      <w:r>
        <w:t xml:space="preserve">implementing </w:t>
      </w:r>
      <w:r w:rsidRPr="00DA62E4">
        <w:t xml:space="preserve">the </w:t>
      </w:r>
      <w:r>
        <w:t>P</w:t>
      </w:r>
      <w:r w:rsidRPr="00DA62E4">
        <w:t>lan</w:t>
      </w:r>
      <w:r>
        <w:t xml:space="preserve">, while Section 13 (removed from public version) </w:t>
      </w:r>
      <w:r w:rsidRPr="00DA62E4">
        <w:t>summarises the budget for all activities</w:t>
      </w:r>
      <w:r>
        <w:t xml:space="preserve">. </w:t>
      </w:r>
    </w:p>
    <w:p w14:paraId="30836697" w14:textId="7D1C8293" w:rsidR="006722D3" w:rsidRDefault="006722D3" w:rsidP="006722D3">
      <w:r w:rsidRPr="00DA62E4">
        <w:t>Th</w:t>
      </w:r>
      <w:r>
        <w:t>is</w:t>
      </w:r>
      <w:r w:rsidRPr="00DA62E4">
        <w:t xml:space="preserve"> M</w:t>
      </w:r>
      <w:r>
        <w:t>ER</w:t>
      </w:r>
      <w:r w:rsidRPr="00DA62E4">
        <w:t xml:space="preserve"> Plan </w:t>
      </w:r>
      <w:r>
        <w:t>has been developed in accordance with the contract and</w:t>
      </w:r>
      <w:r w:rsidRPr="00DA62E4">
        <w:t xml:space="preserve"> guidelines </w:t>
      </w:r>
      <w:r>
        <w:t>as</w:t>
      </w:r>
      <w:r w:rsidRPr="00DA62E4">
        <w:t xml:space="preserve"> required</w:t>
      </w:r>
      <w:r>
        <w:t xml:space="preserve">, and has been </w:t>
      </w:r>
      <w:r w:rsidRPr="00DA62E4">
        <w:t>assessed</w:t>
      </w:r>
      <w:r>
        <w:t xml:space="preserve"> and agreed</w:t>
      </w:r>
      <w:r w:rsidRPr="00DA62E4">
        <w:t xml:space="preserve"> by</w:t>
      </w:r>
      <w:r>
        <w:t xml:space="preserve"> the</w:t>
      </w:r>
      <w:r w:rsidRPr="00DA62E4">
        <w:t xml:space="preserve"> </w:t>
      </w:r>
      <w:r>
        <w:t>CEWO.</w:t>
      </w:r>
      <w:r w:rsidRPr="00DA62E4">
        <w:t xml:space="preserve"> </w:t>
      </w:r>
      <w:r>
        <w:t xml:space="preserve">It </w:t>
      </w:r>
      <w:r w:rsidRPr="00DA62E4">
        <w:t>wil</w:t>
      </w:r>
      <w:r>
        <w:t>l</w:t>
      </w:r>
      <w:r w:rsidRPr="00DA62E4">
        <w:t xml:space="preserve"> </w:t>
      </w:r>
      <w:r>
        <w:t>underpin</w:t>
      </w:r>
      <w:r w:rsidRPr="00DA62E4">
        <w:t xml:space="preserve"> the implementation of the </w:t>
      </w:r>
      <w:r>
        <w:t xml:space="preserve">three-year MER </w:t>
      </w:r>
      <w:r w:rsidRPr="00DA62E4">
        <w:t>Project in the Lower Murray</w:t>
      </w:r>
      <w:r>
        <w:t xml:space="preserve"> </w:t>
      </w:r>
      <w:r w:rsidRPr="00DA62E4">
        <w:t xml:space="preserve">Selected Area, </w:t>
      </w:r>
      <w:r>
        <w:t>commencing in 2019-20.</w:t>
      </w:r>
    </w:p>
    <w:p w14:paraId="093D9C79" w14:textId="4F9A2AC3" w:rsidR="00734122" w:rsidRDefault="00734122" w:rsidP="00C76123"/>
    <w:p w14:paraId="2A8010BD" w14:textId="77777777" w:rsidR="00734122" w:rsidRDefault="00734122">
      <w:pPr>
        <w:spacing w:after="200" w:line="276" w:lineRule="auto"/>
        <w:jc w:val="left"/>
        <w:rPr>
          <w:rFonts w:eastAsiaTheme="majorEastAsia" w:cstheme="majorBidi"/>
          <w:b/>
          <w:bCs/>
          <w:color w:val="auto"/>
          <w:sz w:val="32"/>
          <w:szCs w:val="28"/>
        </w:rPr>
      </w:pPr>
      <w:r>
        <w:br w:type="page"/>
      </w:r>
    </w:p>
    <w:p w14:paraId="7CA406E9" w14:textId="1BA88196" w:rsidR="00443EDA" w:rsidRDefault="00D2020E" w:rsidP="00475425">
      <w:pPr>
        <w:pStyle w:val="Heading1"/>
      </w:pPr>
      <w:bookmarkStart w:id="28" w:name="_Toc22196679"/>
      <w:r w:rsidRPr="00D2020E">
        <w:lastRenderedPageBreak/>
        <w:t>Introduction</w:t>
      </w:r>
      <w:bookmarkEnd w:id="28"/>
    </w:p>
    <w:p w14:paraId="04BF2EA8" w14:textId="6AC4C066" w:rsidR="00443EDA" w:rsidRDefault="00D2020E" w:rsidP="00F02673">
      <w:pPr>
        <w:rPr>
          <w:rFonts w:eastAsiaTheme="majorEastAsia"/>
        </w:rPr>
      </w:pPr>
      <w:r w:rsidRPr="00D2020E">
        <w:rPr>
          <w:rFonts w:eastAsiaTheme="majorEastAsia"/>
        </w:rPr>
        <w:t xml:space="preserve">The Commonwealth Environmental Water Holder (CEWH) is responsible under the </w:t>
      </w:r>
      <w:r w:rsidRPr="00D2020E">
        <w:rPr>
          <w:rFonts w:eastAsiaTheme="majorEastAsia"/>
          <w:i/>
        </w:rPr>
        <w:t xml:space="preserve">Water Act 2007 </w:t>
      </w:r>
      <w:r w:rsidRPr="00D2020E">
        <w:rPr>
          <w:rFonts w:eastAsiaTheme="majorEastAsia"/>
        </w:rPr>
        <w:t>for managing Commonwealth environmental water holdings. The holdings must be managed to protect or restore the environmental assets of the Murray</w:t>
      </w:r>
      <w:r w:rsidR="002B03AE">
        <w:rPr>
          <w:rFonts w:eastAsiaTheme="majorEastAsia"/>
        </w:rPr>
        <w:t>–</w:t>
      </w:r>
      <w:r w:rsidRPr="00D2020E">
        <w:rPr>
          <w:rFonts w:eastAsiaTheme="majorEastAsia"/>
        </w:rPr>
        <w:t>Darling Basin</w:t>
      </w:r>
      <w:r w:rsidR="004705E0">
        <w:rPr>
          <w:rFonts w:eastAsiaTheme="majorEastAsia"/>
        </w:rPr>
        <w:t xml:space="preserve"> (MDB)</w:t>
      </w:r>
      <w:r w:rsidRPr="00D2020E">
        <w:rPr>
          <w:rFonts w:eastAsiaTheme="majorEastAsia"/>
        </w:rPr>
        <w:t>, and other areas where the Commonwealth holds water, so as to give effect to relevant international agreements</w:t>
      </w:r>
      <w:r w:rsidR="001211C8" w:rsidRPr="00D2020E">
        <w:rPr>
          <w:rFonts w:eastAsiaTheme="majorEastAsia"/>
        </w:rPr>
        <w:t xml:space="preserve">. </w:t>
      </w:r>
      <w:r w:rsidRPr="00D2020E">
        <w:rPr>
          <w:rFonts w:eastAsiaTheme="majorEastAsia"/>
        </w:rPr>
        <w:t>The Basin Plan (2012) further requires that the holdings must be managed in a way that is consistent with the Basin Plan’</w:t>
      </w:r>
      <w:r w:rsidR="00DD20FF">
        <w:rPr>
          <w:rFonts w:eastAsiaTheme="majorEastAsia"/>
        </w:rPr>
        <w:t xml:space="preserve">s Environmental Watering Plan. </w:t>
      </w:r>
      <w:r w:rsidRPr="00D2020E">
        <w:rPr>
          <w:rFonts w:eastAsiaTheme="majorEastAsia"/>
        </w:rPr>
        <w:t xml:space="preserve">The </w:t>
      </w:r>
      <w:r w:rsidRPr="00D2020E">
        <w:rPr>
          <w:rFonts w:eastAsiaTheme="majorEastAsia"/>
          <w:i/>
        </w:rPr>
        <w:t>Water Act 2007</w:t>
      </w:r>
      <w:r w:rsidRPr="00D2020E">
        <w:rPr>
          <w:rFonts w:eastAsiaTheme="majorEastAsia"/>
        </w:rPr>
        <w:t xml:space="preserve"> (Cth) and the Basin Plan also impose obligations to report on the contribution of Commonwealth environmental water to the environmental objectives of the Basin Plan.</w:t>
      </w:r>
      <w:r w:rsidR="008F58D4">
        <w:rPr>
          <w:rFonts w:eastAsiaTheme="majorEastAsia"/>
        </w:rPr>
        <w:t xml:space="preserve"> </w:t>
      </w:r>
      <w:r w:rsidRPr="00D2020E">
        <w:rPr>
          <w:rFonts w:eastAsiaTheme="majorEastAsia"/>
        </w:rPr>
        <w:t>Monitoring and evaluation are critical for supporting effective and efficient use of Co</w:t>
      </w:r>
      <w:r w:rsidR="00B47FD8">
        <w:rPr>
          <w:rFonts w:eastAsiaTheme="majorEastAsia"/>
        </w:rPr>
        <w:t xml:space="preserve">mmonwealth environmental water, and </w:t>
      </w:r>
      <w:r w:rsidRPr="00D2020E">
        <w:rPr>
          <w:rFonts w:eastAsiaTheme="majorEastAsia"/>
        </w:rPr>
        <w:t xml:space="preserve">provide important information to support the CEWH </w:t>
      </w:r>
      <w:r w:rsidR="00503A88">
        <w:rPr>
          <w:rFonts w:eastAsiaTheme="majorEastAsia"/>
        </w:rPr>
        <w:t xml:space="preserve">in </w:t>
      </w:r>
      <w:r w:rsidRPr="00D2020E">
        <w:rPr>
          <w:rFonts w:eastAsiaTheme="majorEastAsia"/>
        </w:rPr>
        <w:t>meet</w:t>
      </w:r>
      <w:r w:rsidR="00503A88">
        <w:rPr>
          <w:rFonts w:eastAsiaTheme="majorEastAsia"/>
        </w:rPr>
        <w:t>ing</w:t>
      </w:r>
      <w:r w:rsidRPr="00D2020E">
        <w:rPr>
          <w:rFonts w:eastAsiaTheme="majorEastAsia"/>
        </w:rPr>
        <w:t xml:space="preserve"> their reporting obligations.</w:t>
      </w:r>
    </w:p>
    <w:p w14:paraId="356D8F3D" w14:textId="2D57CECA" w:rsidR="00443EDA" w:rsidRDefault="00E11A1C" w:rsidP="00F02673">
      <w:pPr>
        <w:rPr>
          <w:rFonts w:eastAsiaTheme="majorEastAsia"/>
        </w:rPr>
      </w:pPr>
      <w:r w:rsidRPr="00E11A1C">
        <w:rPr>
          <w:rFonts w:eastAsiaTheme="majorEastAsia"/>
        </w:rPr>
        <w:t>In June 2014, the Commonwealth Environmental Water Office (CEWO) commenced two, five-year projects; the Long-Term Intervention Monitoring (LTIM</w:t>
      </w:r>
      <w:r>
        <w:rPr>
          <w:rFonts w:eastAsiaTheme="majorEastAsia"/>
        </w:rPr>
        <w:t>)</w:t>
      </w:r>
      <w:r w:rsidRPr="00E11A1C">
        <w:rPr>
          <w:rFonts w:eastAsiaTheme="majorEastAsia"/>
        </w:rPr>
        <w:t xml:space="preserve"> and </w:t>
      </w:r>
      <w:r w:rsidR="00860AE6" w:rsidRPr="00860AE6">
        <w:rPr>
          <w:rFonts w:eastAsiaTheme="majorEastAsia"/>
        </w:rPr>
        <w:t>Environmental Water Knowledge and Research (EWKR)</w:t>
      </w:r>
      <w:r w:rsidRPr="00E11A1C">
        <w:rPr>
          <w:rFonts w:eastAsiaTheme="majorEastAsia"/>
        </w:rPr>
        <w:t xml:space="preserve"> projects. The LTIM Project involves monitoring and evaluating the contribution of Commonwealth environmental water delivery in the MDB to support improved decision-making through the application of the principles of adaptive management. </w:t>
      </w:r>
      <w:r w:rsidR="00D2020E" w:rsidRPr="00D2020E">
        <w:rPr>
          <w:rFonts w:eastAsiaTheme="majorEastAsia"/>
        </w:rPr>
        <w:t>The LTIM Project w</w:t>
      </w:r>
      <w:r>
        <w:rPr>
          <w:rFonts w:eastAsiaTheme="majorEastAsia"/>
        </w:rPr>
        <w:t>as</w:t>
      </w:r>
      <w:r w:rsidR="00D2020E" w:rsidRPr="00D2020E">
        <w:rPr>
          <w:rFonts w:eastAsiaTheme="majorEastAsia"/>
        </w:rPr>
        <w:t xml:space="preserve"> implemented at seven Selected Areas </w:t>
      </w:r>
      <w:r w:rsidR="001F47C5">
        <w:rPr>
          <w:rFonts w:eastAsiaTheme="majorEastAsia"/>
        </w:rPr>
        <w:t xml:space="preserve">and at Basin-scale </w:t>
      </w:r>
      <w:r w:rsidR="001F661A">
        <w:rPr>
          <w:rFonts w:eastAsiaTheme="majorEastAsia"/>
        </w:rPr>
        <w:t>over a five-</w:t>
      </w:r>
      <w:r w:rsidR="003A06CC">
        <w:rPr>
          <w:rFonts w:eastAsiaTheme="majorEastAsia"/>
        </w:rPr>
        <w:t>year period from 2014</w:t>
      </w:r>
      <w:r w:rsidR="00BD42BE">
        <w:rPr>
          <w:rFonts w:eastAsiaTheme="majorEastAsia"/>
        </w:rPr>
        <w:t>-</w:t>
      </w:r>
      <w:r w:rsidR="003A06CC">
        <w:rPr>
          <w:rFonts w:eastAsiaTheme="majorEastAsia"/>
        </w:rPr>
        <w:t>15 to 2018</w:t>
      </w:r>
      <w:r w:rsidR="00BD42BE">
        <w:rPr>
          <w:rFonts w:eastAsiaTheme="majorEastAsia"/>
        </w:rPr>
        <w:t>-</w:t>
      </w:r>
      <w:r w:rsidR="00D2020E" w:rsidRPr="00D2020E">
        <w:rPr>
          <w:rFonts w:eastAsiaTheme="majorEastAsia"/>
        </w:rPr>
        <w:t>19 to deliver five high-level outcomes (in order of priority):</w:t>
      </w:r>
    </w:p>
    <w:p w14:paraId="471CF771" w14:textId="77EA860E" w:rsidR="00443EDA" w:rsidRDefault="00D2020E">
      <w:pPr>
        <w:pStyle w:val="ListNumber"/>
        <w:rPr>
          <w:rFonts w:eastAsiaTheme="majorEastAsia"/>
        </w:rPr>
      </w:pPr>
      <w:r w:rsidRPr="00D2020E">
        <w:rPr>
          <w:rFonts w:eastAsiaTheme="majorEastAsia"/>
        </w:rPr>
        <w:t xml:space="preserve">Evaluate the contribution of Commonwealth environmental watering </w:t>
      </w:r>
      <w:r w:rsidR="003A06CC">
        <w:rPr>
          <w:rFonts w:eastAsiaTheme="majorEastAsia"/>
        </w:rPr>
        <w:t xml:space="preserve">to the </w:t>
      </w:r>
      <w:r w:rsidR="0055481B">
        <w:rPr>
          <w:rFonts w:eastAsiaTheme="majorEastAsia"/>
        </w:rPr>
        <w:t xml:space="preserve">ecological </w:t>
      </w:r>
      <w:r w:rsidR="003A06CC">
        <w:rPr>
          <w:rFonts w:eastAsiaTheme="majorEastAsia"/>
        </w:rPr>
        <w:t>objectives of the Murray–</w:t>
      </w:r>
      <w:r w:rsidRPr="00D2020E">
        <w:rPr>
          <w:rFonts w:eastAsiaTheme="majorEastAsia"/>
        </w:rPr>
        <w:t xml:space="preserve">Darling Basin </w:t>
      </w:r>
      <w:r w:rsidR="003B2A52">
        <w:rPr>
          <w:rFonts w:eastAsiaTheme="majorEastAsia"/>
        </w:rPr>
        <w:t>Plan</w:t>
      </w:r>
    </w:p>
    <w:p w14:paraId="3D4D938D" w14:textId="77777777" w:rsidR="00443EDA" w:rsidRDefault="00D2020E">
      <w:pPr>
        <w:pStyle w:val="ListNumber"/>
        <w:rPr>
          <w:rFonts w:eastAsiaTheme="majorEastAsia"/>
        </w:rPr>
      </w:pPr>
      <w:r w:rsidRPr="00D2020E">
        <w:rPr>
          <w:rFonts w:eastAsiaTheme="majorEastAsia"/>
        </w:rPr>
        <w:t>Evaluate the ecological outcomes of Commonwealth environmental watering at each of the seven Selected Areas</w:t>
      </w:r>
    </w:p>
    <w:p w14:paraId="64225878" w14:textId="77777777" w:rsidR="00443EDA" w:rsidRDefault="00D2020E">
      <w:pPr>
        <w:pStyle w:val="ListNumber"/>
        <w:rPr>
          <w:rFonts w:eastAsiaTheme="majorEastAsia"/>
        </w:rPr>
      </w:pPr>
      <w:r w:rsidRPr="00D2020E">
        <w:rPr>
          <w:rFonts w:eastAsiaTheme="majorEastAsia"/>
        </w:rPr>
        <w:t xml:space="preserve">Infer ecological outcomes of Commonwealth environmental watering in areas of the </w:t>
      </w:r>
      <w:r w:rsidR="004705E0">
        <w:rPr>
          <w:rFonts w:eastAsiaTheme="majorEastAsia"/>
        </w:rPr>
        <w:t>MDB</w:t>
      </w:r>
      <w:r w:rsidRPr="00D2020E">
        <w:rPr>
          <w:rFonts w:eastAsiaTheme="majorEastAsia"/>
        </w:rPr>
        <w:t xml:space="preserve"> not monitored</w:t>
      </w:r>
    </w:p>
    <w:p w14:paraId="14A8E20B" w14:textId="77777777" w:rsidR="00443EDA" w:rsidRDefault="00D2020E">
      <w:pPr>
        <w:pStyle w:val="ListNumber"/>
        <w:rPr>
          <w:rFonts w:eastAsiaTheme="majorEastAsia"/>
        </w:rPr>
      </w:pPr>
      <w:r w:rsidRPr="00D2020E">
        <w:rPr>
          <w:rFonts w:eastAsiaTheme="majorEastAsia"/>
        </w:rPr>
        <w:t>Support the adaptive management of Commonwealth environmental water</w:t>
      </w:r>
    </w:p>
    <w:p w14:paraId="2DF4696F" w14:textId="77777777" w:rsidR="00443EDA" w:rsidRDefault="00D2020E">
      <w:pPr>
        <w:pStyle w:val="ListNumber"/>
        <w:rPr>
          <w:rFonts w:eastAsiaTheme="majorEastAsia"/>
        </w:rPr>
      </w:pPr>
      <w:bookmarkStart w:id="29" w:name="_Ref396121448"/>
      <w:r w:rsidRPr="00D2020E">
        <w:rPr>
          <w:rFonts w:eastAsiaTheme="majorEastAsia"/>
        </w:rPr>
        <w:t>Monitor the ecological response to Commonwealth environmental watering at each of the seven Selected Areas.</w:t>
      </w:r>
      <w:bookmarkEnd w:id="29"/>
    </w:p>
    <w:p w14:paraId="4282AF16" w14:textId="27078675" w:rsidR="00B47FD8" w:rsidRDefault="00B47FD8" w:rsidP="002A1341">
      <w:r>
        <w:rPr>
          <w:lang w:val="en"/>
        </w:rPr>
        <w:t xml:space="preserve">The </w:t>
      </w:r>
      <w:r w:rsidR="001F47C5">
        <w:rPr>
          <w:lang w:val="en"/>
        </w:rPr>
        <w:t>EWKR project provides</w:t>
      </w:r>
      <w:r>
        <w:rPr>
          <w:lang w:val="en"/>
        </w:rPr>
        <w:t xml:space="preserve"> research to improve the understanding of how environmental flow management influences ecosystem function and thereby sustains biodiversity. Th</w:t>
      </w:r>
      <w:r w:rsidR="001F47C5">
        <w:rPr>
          <w:lang w:val="en"/>
        </w:rPr>
        <w:t>e knowledge developed will inform</w:t>
      </w:r>
      <w:r>
        <w:rPr>
          <w:lang w:val="en"/>
        </w:rPr>
        <w:t xml:space="preserve"> complementary water and natural resource management to enhance the o</w:t>
      </w:r>
      <w:r w:rsidR="001F47C5">
        <w:rPr>
          <w:lang w:val="en"/>
        </w:rPr>
        <w:t xml:space="preserve">utcomes of environmental flow </w:t>
      </w:r>
      <w:r>
        <w:rPr>
          <w:lang w:val="en"/>
        </w:rPr>
        <w:t>management for ecological and human communities throughout the M</w:t>
      </w:r>
      <w:r w:rsidR="001F47C5">
        <w:rPr>
          <w:lang w:val="en"/>
        </w:rPr>
        <w:t>DB</w:t>
      </w:r>
      <w:r>
        <w:rPr>
          <w:lang w:val="en"/>
        </w:rPr>
        <w:t>.</w:t>
      </w:r>
    </w:p>
    <w:p w14:paraId="5CC7C655" w14:textId="7126BB87" w:rsidR="002A1341" w:rsidRDefault="001F47C5" w:rsidP="002A1341">
      <w:r>
        <w:t>On ground monitoring and research activities for the LTIM and</w:t>
      </w:r>
      <w:r w:rsidR="004F3C12">
        <w:t xml:space="preserve"> EWKR projects end in June 2019.</w:t>
      </w:r>
      <w:r w:rsidR="00287045">
        <w:t xml:space="preserve"> </w:t>
      </w:r>
      <w:r w:rsidR="00E8313A">
        <w:t xml:space="preserve">The </w:t>
      </w:r>
      <w:r w:rsidR="00287045">
        <w:t xml:space="preserve">current </w:t>
      </w:r>
      <w:r w:rsidR="00E8313A">
        <w:t xml:space="preserve">CEWO Monitoring, Evaluation and Research (MER) </w:t>
      </w:r>
      <w:r w:rsidR="0059562E">
        <w:t>Projec</w:t>
      </w:r>
      <w:r w:rsidR="00287045">
        <w:t>t</w:t>
      </w:r>
      <w:r w:rsidR="0059562E">
        <w:t xml:space="preserve"> </w:t>
      </w:r>
      <w:r w:rsidR="00556008">
        <w:t>aims to</w:t>
      </w:r>
      <w:r w:rsidR="00E8313A">
        <w:t xml:space="preserve"> </w:t>
      </w:r>
      <w:r w:rsidR="00556008">
        <w:t>extend</w:t>
      </w:r>
      <w:r w:rsidR="00E8313A">
        <w:t xml:space="preserve"> the </w:t>
      </w:r>
      <w:r w:rsidR="002A1341" w:rsidRPr="002A1341">
        <w:t xml:space="preserve">LTIM </w:t>
      </w:r>
      <w:r w:rsidR="00E8313A">
        <w:t>and</w:t>
      </w:r>
      <w:r w:rsidR="002A1341" w:rsidRPr="002A1341">
        <w:t xml:space="preserve"> s</w:t>
      </w:r>
      <w:r w:rsidR="00E8313A">
        <w:t xml:space="preserve">elected EWKR </w:t>
      </w:r>
      <w:r w:rsidR="00287045">
        <w:t>p</w:t>
      </w:r>
      <w:r w:rsidR="00E8313A">
        <w:t>roject activities</w:t>
      </w:r>
      <w:r w:rsidR="001F5412" w:rsidRPr="001F5412">
        <w:t xml:space="preserve"> </w:t>
      </w:r>
      <w:r w:rsidR="001F5412" w:rsidRPr="002A1341">
        <w:t xml:space="preserve">to June </w:t>
      </w:r>
      <w:r w:rsidR="001F5412">
        <w:t>2022</w:t>
      </w:r>
      <w:r w:rsidR="00556008">
        <w:t xml:space="preserve">, </w:t>
      </w:r>
      <w:r w:rsidR="001F5412">
        <w:t>with improvements under an integrated project</w:t>
      </w:r>
      <w:r w:rsidR="002A1341" w:rsidRPr="002A1341">
        <w:t>.</w:t>
      </w:r>
      <w:r w:rsidR="002765EE">
        <w:t xml:space="preserve"> </w:t>
      </w:r>
      <w:r w:rsidR="001F5412">
        <w:t>Over the next three years, a</w:t>
      </w:r>
      <w:r w:rsidR="001F5412" w:rsidRPr="00D2020E">
        <w:rPr>
          <w:rFonts w:eastAsiaTheme="majorEastAsia"/>
        </w:rPr>
        <w:t xml:space="preserve"> Monitoring, Evaluation, Reporting and Improvement (MERI) Framework will </w:t>
      </w:r>
      <w:r w:rsidR="001F5412">
        <w:rPr>
          <w:rFonts w:eastAsiaTheme="majorEastAsia"/>
        </w:rPr>
        <w:t xml:space="preserve">continued to </w:t>
      </w:r>
      <w:r w:rsidR="001F5412" w:rsidRPr="00D2020E">
        <w:rPr>
          <w:rFonts w:eastAsiaTheme="majorEastAsia"/>
        </w:rPr>
        <w:t xml:space="preserve">be implemented through the </w:t>
      </w:r>
      <w:r w:rsidR="001F5412">
        <w:rPr>
          <w:rFonts w:eastAsiaTheme="majorEastAsia"/>
        </w:rPr>
        <w:t>CEWO MER</w:t>
      </w:r>
      <w:r w:rsidR="001F5412" w:rsidRPr="00D2020E">
        <w:rPr>
          <w:rFonts w:eastAsiaTheme="majorEastAsia"/>
        </w:rPr>
        <w:t xml:space="preserve"> Project to facilitate the adaptive management of </w:t>
      </w:r>
      <w:r w:rsidR="001F5412">
        <w:rPr>
          <w:rFonts w:eastAsiaTheme="majorEastAsia"/>
        </w:rPr>
        <w:t>C</w:t>
      </w:r>
      <w:r w:rsidR="001F5412" w:rsidRPr="00D2020E">
        <w:rPr>
          <w:rFonts w:eastAsiaTheme="majorEastAsia"/>
        </w:rPr>
        <w:t xml:space="preserve">ommonwealth environmental water. </w:t>
      </w:r>
      <w:r w:rsidR="00E65D4C">
        <w:rPr>
          <w:rFonts w:eastAsiaTheme="majorEastAsia"/>
        </w:rPr>
        <w:t xml:space="preserve">The Project </w:t>
      </w:r>
      <w:r w:rsidR="001F5412" w:rsidRPr="00D2020E">
        <w:rPr>
          <w:rFonts w:eastAsiaTheme="majorEastAsia"/>
        </w:rPr>
        <w:t xml:space="preserve">will </w:t>
      </w:r>
      <w:r w:rsidR="001F5412">
        <w:rPr>
          <w:rFonts w:eastAsiaTheme="majorEastAsia"/>
        </w:rPr>
        <w:t xml:space="preserve">continue to </w:t>
      </w:r>
      <w:r w:rsidR="001F5412" w:rsidRPr="00D2020E">
        <w:rPr>
          <w:rFonts w:eastAsiaTheme="majorEastAsia"/>
        </w:rPr>
        <w:t xml:space="preserve">include an evaluation at the </w:t>
      </w:r>
      <w:r w:rsidR="001F5412">
        <w:rPr>
          <w:rFonts w:eastAsiaTheme="majorEastAsia"/>
        </w:rPr>
        <w:t>B</w:t>
      </w:r>
      <w:r w:rsidR="001F5412" w:rsidRPr="00D2020E">
        <w:rPr>
          <w:rFonts w:eastAsiaTheme="majorEastAsia"/>
        </w:rPr>
        <w:t xml:space="preserve">asin-scale and </w:t>
      </w:r>
      <w:r w:rsidR="001F5412">
        <w:rPr>
          <w:rFonts w:eastAsiaTheme="majorEastAsia"/>
        </w:rPr>
        <w:t xml:space="preserve">in </w:t>
      </w:r>
      <w:r w:rsidR="001F5412" w:rsidRPr="00D2020E">
        <w:rPr>
          <w:rFonts w:eastAsiaTheme="majorEastAsia"/>
        </w:rPr>
        <w:t xml:space="preserve">seven Selected Areas within the </w:t>
      </w:r>
      <w:r w:rsidR="001F5412">
        <w:rPr>
          <w:rFonts w:eastAsiaTheme="majorEastAsia"/>
        </w:rPr>
        <w:t>B</w:t>
      </w:r>
      <w:r w:rsidR="001F5412" w:rsidRPr="00D2020E">
        <w:rPr>
          <w:rFonts w:eastAsiaTheme="majorEastAsia"/>
        </w:rPr>
        <w:t>asin</w:t>
      </w:r>
      <w:r w:rsidR="00E65D4C">
        <w:rPr>
          <w:rFonts w:eastAsiaTheme="majorEastAsia"/>
        </w:rPr>
        <w:t xml:space="preserve">. Monitoring data collected from the Selected Areas will contribute to the Basin-scale evaluation. </w:t>
      </w:r>
    </w:p>
    <w:p w14:paraId="147D8BF6" w14:textId="4622C60B" w:rsidR="00443EDA" w:rsidRDefault="00D2020E" w:rsidP="00475425">
      <w:pPr>
        <w:pStyle w:val="Heading2"/>
      </w:pPr>
      <w:bookmarkStart w:id="30" w:name="_Toc22196680"/>
      <w:r w:rsidRPr="00D2020E">
        <w:t>The ME</w:t>
      </w:r>
      <w:r w:rsidR="007D17EC">
        <w:t>R</w:t>
      </w:r>
      <w:r w:rsidRPr="00D2020E">
        <w:t xml:space="preserve"> Plan</w:t>
      </w:r>
      <w:bookmarkEnd w:id="30"/>
    </w:p>
    <w:p w14:paraId="54F309CB" w14:textId="7952BB1D" w:rsidR="00D2020E" w:rsidRPr="00167F7D" w:rsidRDefault="00D2020E" w:rsidP="00F02673">
      <w:pPr>
        <w:rPr>
          <w:color w:val="auto"/>
          <w:kern w:val="0"/>
        </w:rPr>
      </w:pPr>
      <w:r w:rsidRPr="00D2020E">
        <w:rPr>
          <w:rFonts w:eastAsiaTheme="majorEastAsia"/>
        </w:rPr>
        <w:t xml:space="preserve">The Lower Murray is one </w:t>
      </w:r>
      <w:r w:rsidR="006722D3">
        <w:rPr>
          <w:rFonts w:eastAsiaTheme="majorEastAsia"/>
        </w:rPr>
        <w:t>of</w:t>
      </w:r>
      <w:r w:rsidRPr="00D2020E">
        <w:rPr>
          <w:rFonts w:eastAsiaTheme="majorEastAsia"/>
        </w:rPr>
        <w:t xml:space="preserve"> seven Selected Areas for the </w:t>
      </w:r>
      <w:r w:rsidR="0059562E">
        <w:rPr>
          <w:rFonts w:eastAsiaTheme="majorEastAsia"/>
        </w:rPr>
        <w:t xml:space="preserve">MER </w:t>
      </w:r>
      <w:r w:rsidR="00B779C6">
        <w:rPr>
          <w:rFonts w:eastAsiaTheme="majorEastAsia"/>
        </w:rPr>
        <w:t>Project</w:t>
      </w:r>
      <w:r w:rsidRPr="00D2020E">
        <w:rPr>
          <w:rFonts w:eastAsiaTheme="majorEastAsia"/>
        </w:rPr>
        <w:t>.</w:t>
      </w:r>
      <w:r w:rsidR="00E65D4C">
        <w:rPr>
          <w:rFonts w:eastAsiaTheme="majorEastAsia"/>
        </w:rPr>
        <w:t xml:space="preserve"> </w:t>
      </w:r>
      <w:r w:rsidR="00067E45">
        <w:rPr>
          <w:rFonts w:eastAsiaTheme="majorEastAsia"/>
        </w:rPr>
        <w:t xml:space="preserve">For </w:t>
      </w:r>
      <w:r w:rsidR="00535CF3">
        <w:rPr>
          <w:rFonts w:eastAsiaTheme="majorEastAsia"/>
        </w:rPr>
        <w:t>Stage 1 of</w:t>
      </w:r>
      <w:r w:rsidR="00E65D4C">
        <w:rPr>
          <w:rFonts w:eastAsiaTheme="majorEastAsia"/>
        </w:rPr>
        <w:t xml:space="preserve"> the Project, </w:t>
      </w:r>
      <w:r w:rsidR="00E4136F">
        <w:rPr>
          <w:rFonts w:eastAsiaTheme="majorEastAsia"/>
        </w:rPr>
        <w:t>a</w:t>
      </w:r>
      <w:r w:rsidR="002613E1">
        <w:rPr>
          <w:rFonts w:eastAsiaTheme="majorEastAsia"/>
        </w:rPr>
        <w:t xml:space="preserve"> </w:t>
      </w:r>
      <w:r w:rsidR="00E65D4C">
        <w:rPr>
          <w:rFonts w:eastAsiaTheme="majorEastAsia"/>
        </w:rPr>
        <w:t xml:space="preserve">three-year </w:t>
      </w:r>
      <w:r w:rsidR="002613E1">
        <w:rPr>
          <w:rFonts w:eastAsiaTheme="majorEastAsia"/>
        </w:rPr>
        <w:t xml:space="preserve">MER Plan </w:t>
      </w:r>
      <w:r w:rsidR="00067E45">
        <w:rPr>
          <w:rFonts w:eastAsiaTheme="majorEastAsia"/>
        </w:rPr>
        <w:t>has been</w:t>
      </w:r>
      <w:r w:rsidR="002613E1">
        <w:rPr>
          <w:rFonts w:eastAsiaTheme="majorEastAsia"/>
        </w:rPr>
        <w:t xml:space="preserve"> developed for the Lower Murray Selected Area to </w:t>
      </w:r>
      <w:r w:rsidR="00E65D4C">
        <w:rPr>
          <w:rFonts w:eastAsiaTheme="majorEastAsia"/>
        </w:rPr>
        <w:t>guide the monitoring, evaluation and research</w:t>
      </w:r>
      <w:r w:rsidR="002613E1">
        <w:rPr>
          <w:rFonts w:eastAsiaTheme="majorEastAsia"/>
        </w:rPr>
        <w:t xml:space="preserve"> </w:t>
      </w:r>
      <w:r w:rsidR="00535CF3">
        <w:rPr>
          <w:rFonts w:eastAsiaTheme="majorEastAsia"/>
        </w:rPr>
        <w:t>activities from 2019</w:t>
      </w:r>
      <w:r w:rsidR="00BD42BE">
        <w:rPr>
          <w:rFonts w:eastAsiaTheme="majorEastAsia"/>
        </w:rPr>
        <w:t>-</w:t>
      </w:r>
      <w:r w:rsidR="00535CF3">
        <w:rPr>
          <w:rFonts w:eastAsiaTheme="majorEastAsia"/>
        </w:rPr>
        <w:t>20 to 2021</w:t>
      </w:r>
      <w:r w:rsidR="00BD42BE">
        <w:rPr>
          <w:rFonts w:eastAsiaTheme="majorEastAsia"/>
        </w:rPr>
        <w:t>-</w:t>
      </w:r>
      <w:r w:rsidR="00535CF3">
        <w:rPr>
          <w:rFonts w:eastAsiaTheme="majorEastAsia"/>
        </w:rPr>
        <w:t>22</w:t>
      </w:r>
      <w:r w:rsidR="006722D3">
        <w:rPr>
          <w:rFonts w:eastAsiaTheme="majorEastAsia"/>
        </w:rPr>
        <w:t xml:space="preserve"> (this document)</w:t>
      </w:r>
      <w:r w:rsidR="002613E1">
        <w:rPr>
          <w:rFonts w:eastAsiaTheme="majorEastAsia"/>
        </w:rPr>
        <w:t>. Th</w:t>
      </w:r>
      <w:r w:rsidR="00DD2F87">
        <w:rPr>
          <w:rFonts w:eastAsiaTheme="majorEastAsia"/>
        </w:rPr>
        <w:t>is</w:t>
      </w:r>
      <w:r w:rsidR="002613E1">
        <w:rPr>
          <w:rFonts w:eastAsiaTheme="majorEastAsia"/>
        </w:rPr>
        <w:t xml:space="preserve"> Plan builds on the </w:t>
      </w:r>
      <w:r w:rsidR="00E4136F">
        <w:rPr>
          <w:rFonts w:eastAsiaTheme="majorEastAsia"/>
        </w:rPr>
        <w:t xml:space="preserve">LTIM </w:t>
      </w:r>
      <w:r w:rsidR="002613E1" w:rsidRPr="00A373C8">
        <w:rPr>
          <w:rFonts w:eastAsiaTheme="majorEastAsia"/>
        </w:rPr>
        <w:t>Monitoring and Evaluation Plan (</w:t>
      </w:r>
      <w:r w:rsidR="00182CAE">
        <w:rPr>
          <w:rFonts w:eastAsiaTheme="majorEastAsia"/>
        </w:rPr>
        <w:t xml:space="preserve">SARDI </w:t>
      </w:r>
      <w:r w:rsidR="00182CAE" w:rsidRPr="00182CAE">
        <w:rPr>
          <w:rFonts w:eastAsiaTheme="majorEastAsia"/>
          <w:i/>
        </w:rPr>
        <w:t>et al.</w:t>
      </w:r>
      <w:r w:rsidR="00182CAE">
        <w:rPr>
          <w:rFonts w:eastAsiaTheme="majorEastAsia"/>
        </w:rPr>
        <w:t xml:space="preserve"> 201</w:t>
      </w:r>
      <w:r w:rsidR="006C713A">
        <w:rPr>
          <w:rFonts w:eastAsiaTheme="majorEastAsia"/>
        </w:rPr>
        <w:t>8</w:t>
      </w:r>
      <w:r w:rsidR="002613E1">
        <w:rPr>
          <w:rFonts w:eastAsiaTheme="majorEastAsia"/>
        </w:rPr>
        <w:t xml:space="preserve">) </w:t>
      </w:r>
      <w:r w:rsidR="00E4136F">
        <w:rPr>
          <w:rFonts w:eastAsiaTheme="majorEastAsia"/>
        </w:rPr>
        <w:t xml:space="preserve">for </w:t>
      </w:r>
      <w:r w:rsidR="002613E1">
        <w:rPr>
          <w:rFonts w:eastAsiaTheme="majorEastAsia"/>
        </w:rPr>
        <w:t xml:space="preserve">the Lower Murray </w:t>
      </w:r>
      <w:r w:rsidR="00535CF3">
        <w:rPr>
          <w:rFonts w:eastAsiaTheme="majorEastAsia"/>
        </w:rPr>
        <w:t>(</w:t>
      </w:r>
      <w:r w:rsidR="00A373C8" w:rsidRPr="00A373C8">
        <w:rPr>
          <w:rFonts w:eastAsiaTheme="majorEastAsia"/>
        </w:rPr>
        <w:t>2014</w:t>
      </w:r>
      <w:r w:rsidR="00535CF3">
        <w:rPr>
          <w:rFonts w:eastAsiaTheme="majorEastAsia" w:cstheme="minorHAnsi"/>
        </w:rPr>
        <w:t>−</w:t>
      </w:r>
      <w:r w:rsidR="00A373C8" w:rsidRPr="00A373C8">
        <w:rPr>
          <w:rFonts w:eastAsiaTheme="majorEastAsia"/>
        </w:rPr>
        <w:t>15 to 2018</w:t>
      </w:r>
      <w:r w:rsidR="00535CF3">
        <w:rPr>
          <w:rFonts w:eastAsiaTheme="majorEastAsia" w:cstheme="minorHAnsi"/>
        </w:rPr>
        <w:t>−</w:t>
      </w:r>
      <w:r w:rsidR="00A373C8" w:rsidRPr="00A373C8">
        <w:rPr>
          <w:rFonts w:eastAsiaTheme="majorEastAsia"/>
        </w:rPr>
        <w:t>19</w:t>
      </w:r>
      <w:r w:rsidR="00535CF3">
        <w:rPr>
          <w:rFonts w:eastAsiaTheme="majorEastAsia"/>
        </w:rPr>
        <w:t>)</w:t>
      </w:r>
      <w:r w:rsidR="00E4136F">
        <w:rPr>
          <w:rFonts w:eastAsiaTheme="majorEastAsia"/>
        </w:rPr>
        <w:t xml:space="preserve">, and the learnings from the LTIM </w:t>
      </w:r>
      <w:r w:rsidR="00381C17">
        <w:rPr>
          <w:rFonts w:eastAsiaTheme="majorEastAsia"/>
        </w:rPr>
        <w:t>P</w:t>
      </w:r>
      <w:r w:rsidR="00E4136F">
        <w:rPr>
          <w:rFonts w:eastAsiaTheme="majorEastAsia"/>
        </w:rPr>
        <w:t>roject.  T</w:t>
      </w:r>
      <w:r w:rsidR="00503A88" w:rsidRPr="00D2020E">
        <w:rPr>
          <w:rFonts w:eastAsiaTheme="majorEastAsia"/>
        </w:rPr>
        <w:t>h</w:t>
      </w:r>
      <w:r w:rsidR="00503A88">
        <w:rPr>
          <w:rFonts w:eastAsiaTheme="majorEastAsia"/>
        </w:rPr>
        <w:t>e</w:t>
      </w:r>
      <w:r w:rsidR="00167F7D">
        <w:rPr>
          <w:rFonts w:eastAsiaTheme="majorEastAsia"/>
        </w:rPr>
        <w:t xml:space="preserve"> following</w:t>
      </w:r>
      <w:r w:rsidR="00503A88" w:rsidRPr="00D2020E">
        <w:rPr>
          <w:rFonts w:eastAsiaTheme="majorEastAsia"/>
        </w:rPr>
        <w:t xml:space="preserve"> </w:t>
      </w:r>
      <w:r w:rsidRPr="00D2020E">
        <w:rPr>
          <w:rFonts w:eastAsiaTheme="majorEastAsia"/>
        </w:rPr>
        <w:t xml:space="preserve">details </w:t>
      </w:r>
      <w:r w:rsidR="00DD2F87">
        <w:rPr>
          <w:rFonts w:eastAsiaTheme="majorEastAsia"/>
        </w:rPr>
        <w:t xml:space="preserve">are included in the MER Plan: </w:t>
      </w:r>
    </w:p>
    <w:p w14:paraId="0ACB880B" w14:textId="782B5009" w:rsidR="00443EDA" w:rsidRDefault="00D2020E">
      <w:pPr>
        <w:pStyle w:val="ListBullet"/>
        <w:rPr>
          <w:rFonts w:eastAsiaTheme="majorEastAsia"/>
        </w:rPr>
      </w:pPr>
      <w:r w:rsidRPr="00D2020E">
        <w:rPr>
          <w:rFonts w:eastAsiaTheme="majorEastAsia"/>
        </w:rPr>
        <w:lastRenderedPageBreak/>
        <w:t>A description of the Selected Area</w:t>
      </w:r>
    </w:p>
    <w:p w14:paraId="30AA65E0" w14:textId="34D0B1A2" w:rsidR="00617B2A" w:rsidRDefault="00617B2A">
      <w:pPr>
        <w:pStyle w:val="ListBullet"/>
        <w:rPr>
          <w:rFonts w:eastAsiaTheme="majorEastAsia"/>
        </w:rPr>
      </w:pPr>
      <w:r>
        <w:rPr>
          <w:rFonts w:eastAsiaTheme="majorEastAsia"/>
        </w:rPr>
        <w:t>Commonwealth environmental watering in the Selected Area</w:t>
      </w:r>
    </w:p>
    <w:p w14:paraId="3D2EB290" w14:textId="12DFA12D" w:rsidR="00443EDA" w:rsidRDefault="00167F7D">
      <w:pPr>
        <w:pStyle w:val="ListBullet"/>
        <w:rPr>
          <w:rFonts w:eastAsiaTheme="majorEastAsia"/>
        </w:rPr>
      </w:pPr>
      <w:r>
        <w:rPr>
          <w:rFonts w:eastAsiaTheme="majorEastAsia"/>
        </w:rPr>
        <w:t>Monitoring and research priorities</w:t>
      </w:r>
      <w:r w:rsidR="00D2020E" w:rsidRPr="00D2020E">
        <w:rPr>
          <w:rFonts w:eastAsiaTheme="majorEastAsia"/>
        </w:rPr>
        <w:t xml:space="preserve"> </w:t>
      </w:r>
      <w:r w:rsidR="00F50C8D">
        <w:rPr>
          <w:rFonts w:eastAsiaTheme="majorEastAsia"/>
        </w:rPr>
        <w:t>of</w:t>
      </w:r>
      <w:r w:rsidR="00D2020E" w:rsidRPr="00D2020E">
        <w:rPr>
          <w:rFonts w:eastAsiaTheme="majorEastAsia"/>
        </w:rPr>
        <w:t xml:space="preserve"> the Selected Area</w:t>
      </w:r>
    </w:p>
    <w:p w14:paraId="43850A5D" w14:textId="690C311C" w:rsidR="00443EDA" w:rsidRDefault="00D2020E">
      <w:pPr>
        <w:pStyle w:val="ListBullet"/>
        <w:rPr>
          <w:rFonts w:eastAsiaTheme="majorEastAsia"/>
        </w:rPr>
      </w:pPr>
      <w:r w:rsidRPr="00D2020E">
        <w:rPr>
          <w:rFonts w:eastAsiaTheme="majorEastAsia"/>
        </w:rPr>
        <w:t>Monitoring indicator methods and</w:t>
      </w:r>
      <w:r w:rsidR="00F50C8D">
        <w:rPr>
          <w:rFonts w:eastAsiaTheme="majorEastAsia"/>
        </w:rPr>
        <w:t xml:space="preserve"> evaluation</w:t>
      </w:r>
      <w:r w:rsidRPr="00D2020E">
        <w:rPr>
          <w:rFonts w:eastAsiaTheme="majorEastAsia"/>
        </w:rPr>
        <w:t xml:space="preserve"> protocols</w:t>
      </w:r>
      <w:r w:rsidR="00381C17">
        <w:rPr>
          <w:rFonts w:eastAsiaTheme="majorEastAsia"/>
        </w:rPr>
        <w:t>, including standard operating procedures</w:t>
      </w:r>
    </w:p>
    <w:p w14:paraId="08C1357C" w14:textId="145E9FD9" w:rsidR="006B72F9" w:rsidRDefault="006B72F9">
      <w:pPr>
        <w:pStyle w:val="ListBullet"/>
        <w:rPr>
          <w:rFonts w:eastAsiaTheme="majorEastAsia"/>
        </w:rPr>
      </w:pPr>
      <w:r>
        <w:rPr>
          <w:rFonts w:eastAsiaTheme="majorEastAsia"/>
        </w:rPr>
        <w:t>A description of research proposals</w:t>
      </w:r>
    </w:p>
    <w:p w14:paraId="61EB79A2" w14:textId="6337F4D8" w:rsidR="00443EDA" w:rsidRDefault="00D2020E">
      <w:pPr>
        <w:pStyle w:val="ListBullet"/>
        <w:rPr>
          <w:rFonts w:eastAsiaTheme="majorEastAsia"/>
        </w:rPr>
      </w:pPr>
      <w:r w:rsidRPr="00D2020E">
        <w:rPr>
          <w:rFonts w:eastAsiaTheme="majorEastAsia"/>
        </w:rPr>
        <w:t>A monitoring</w:t>
      </w:r>
      <w:r w:rsidR="00F50C8D">
        <w:rPr>
          <w:rFonts w:eastAsiaTheme="majorEastAsia"/>
        </w:rPr>
        <w:t xml:space="preserve"> and research</w:t>
      </w:r>
      <w:r w:rsidRPr="00D2020E">
        <w:rPr>
          <w:rFonts w:eastAsiaTheme="majorEastAsia"/>
        </w:rPr>
        <w:t xml:space="preserve"> schedule</w:t>
      </w:r>
    </w:p>
    <w:p w14:paraId="7FF0870D" w14:textId="5D979048" w:rsidR="00443EDA" w:rsidRDefault="00D2020E">
      <w:pPr>
        <w:pStyle w:val="ListBullet"/>
        <w:rPr>
          <w:rFonts w:eastAsiaTheme="majorEastAsia"/>
        </w:rPr>
      </w:pPr>
      <w:r w:rsidRPr="00D2020E">
        <w:rPr>
          <w:rFonts w:eastAsiaTheme="majorEastAsia"/>
        </w:rPr>
        <w:t>A</w:t>
      </w:r>
      <w:r w:rsidR="00167F7D">
        <w:rPr>
          <w:rFonts w:eastAsiaTheme="majorEastAsia"/>
        </w:rPr>
        <w:t>n</w:t>
      </w:r>
      <w:r w:rsidRPr="00D2020E">
        <w:rPr>
          <w:rFonts w:eastAsiaTheme="majorEastAsia"/>
        </w:rPr>
        <w:t xml:space="preserve"> engagement </w:t>
      </w:r>
      <w:r w:rsidR="00167F7D">
        <w:rPr>
          <w:rFonts w:eastAsiaTheme="majorEastAsia"/>
        </w:rPr>
        <w:t xml:space="preserve">and communication </w:t>
      </w:r>
      <w:r w:rsidRPr="00D2020E">
        <w:rPr>
          <w:rFonts w:eastAsiaTheme="majorEastAsia"/>
        </w:rPr>
        <w:t>plan</w:t>
      </w:r>
    </w:p>
    <w:p w14:paraId="0D270966" w14:textId="2DA03F0F" w:rsidR="006B72F9" w:rsidRDefault="006B72F9">
      <w:pPr>
        <w:pStyle w:val="ListBullet"/>
        <w:rPr>
          <w:rFonts w:eastAsiaTheme="majorEastAsia"/>
        </w:rPr>
      </w:pPr>
      <w:r>
        <w:rPr>
          <w:rFonts w:eastAsiaTheme="majorEastAsia"/>
        </w:rPr>
        <w:t>A reporting schedule and requirements</w:t>
      </w:r>
    </w:p>
    <w:p w14:paraId="4979EBA4" w14:textId="3A96F41F" w:rsidR="00443EDA" w:rsidRDefault="00D2020E">
      <w:pPr>
        <w:pStyle w:val="ListBullet"/>
        <w:rPr>
          <w:rFonts w:eastAsiaTheme="majorEastAsia"/>
        </w:rPr>
      </w:pPr>
      <w:r w:rsidRPr="00D2020E">
        <w:rPr>
          <w:rFonts w:eastAsiaTheme="majorEastAsia"/>
        </w:rPr>
        <w:t>A project management plan, including project governance</w:t>
      </w:r>
      <w:r w:rsidR="00DD20FF">
        <w:rPr>
          <w:rFonts w:eastAsiaTheme="majorEastAsia"/>
        </w:rPr>
        <w:t>,</w:t>
      </w:r>
      <w:r w:rsidRPr="00D2020E">
        <w:rPr>
          <w:rFonts w:eastAsiaTheme="majorEastAsia"/>
        </w:rPr>
        <w:t xml:space="preserve"> risk assessment</w:t>
      </w:r>
      <w:r w:rsidR="00167F7D">
        <w:rPr>
          <w:rFonts w:eastAsiaTheme="majorEastAsia"/>
        </w:rPr>
        <w:t xml:space="preserve"> and</w:t>
      </w:r>
      <w:r w:rsidRPr="00D2020E">
        <w:rPr>
          <w:rFonts w:eastAsiaTheme="majorEastAsia"/>
        </w:rPr>
        <w:t xml:space="preserve"> quality planning</w:t>
      </w:r>
    </w:p>
    <w:p w14:paraId="3A23C4D4" w14:textId="0942BA0F" w:rsidR="00167F7D" w:rsidRDefault="00167F7D">
      <w:pPr>
        <w:pStyle w:val="ListBullet"/>
        <w:rPr>
          <w:rFonts w:eastAsiaTheme="majorEastAsia"/>
        </w:rPr>
      </w:pPr>
      <w:r>
        <w:rPr>
          <w:rFonts w:eastAsiaTheme="majorEastAsia"/>
        </w:rPr>
        <w:t>Data management procedures</w:t>
      </w:r>
    </w:p>
    <w:p w14:paraId="480CC33B" w14:textId="6F1F70B9" w:rsidR="00381C17" w:rsidRDefault="00381C17">
      <w:pPr>
        <w:pStyle w:val="ListBullet"/>
        <w:rPr>
          <w:rFonts w:eastAsiaTheme="majorEastAsia"/>
        </w:rPr>
      </w:pPr>
      <w:r>
        <w:rPr>
          <w:rFonts w:eastAsiaTheme="majorEastAsia"/>
        </w:rPr>
        <w:t>A workplace health and safety plan</w:t>
      </w:r>
      <w:r w:rsidR="00C40E02">
        <w:rPr>
          <w:rFonts w:eastAsiaTheme="majorEastAsia"/>
        </w:rPr>
        <w:t>.</w:t>
      </w:r>
    </w:p>
    <w:p w14:paraId="10CDD782" w14:textId="4A6E32BE" w:rsidR="00D2020E" w:rsidRPr="00D2020E" w:rsidRDefault="00DD2F87" w:rsidP="00F02673">
      <w:pPr>
        <w:rPr>
          <w:rFonts w:eastAsiaTheme="majorEastAsia"/>
        </w:rPr>
      </w:pPr>
      <w:r>
        <w:rPr>
          <w:rFonts w:eastAsiaTheme="majorEastAsia"/>
        </w:rPr>
        <w:t xml:space="preserve">The MER Plan </w:t>
      </w:r>
      <w:r w:rsidR="00381C17">
        <w:rPr>
          <w:rFonts w:eastAsiaTheme="majorEastAsia"/>
        </w:rPr>
        <w:t>has been</w:t>
      </w:r>
      <w:r>
        <w:rPr>
          <w:rFonts w:eastAsiaTheme="majorEastAsia"/>
        </w:rPr>
        <w:t xml:space="preserve"> developed and will be implemented in the Lower Murray Selected Area for the next three years (Stage 2) by </w:t>
      </w:r>
      <w:r w:rsidR="001F661A">
        <w:rPr>
          <w:rFonts w:eastAsiaTheme="majorEastAsia"/>
        </w:rPr>
        <w:t>the Lower Murray Selected Area</w:t>
      </w:r>
      <w:r>
        <w:rPr>
          <w:rFonts w:eastAsiaTheme="majorEastAsia"/>
        </w:rPr>
        <w:t xml:space="preserve"> Consortium, </w:t>
      </w:r>
      <w:r w:rsidR="00E4136F" w:rsidRPr="00A373C8">
        <w:rPr>
          <w:rFonts w:eastAsiaTheme="majorEastAsia"/>
        </w:rPr>
        <w:t xml:space="preserve">led by </w:t>
      </w:r>
      <w:r w:rsidR="00E4136F">
        <w:rPr>
          <w:rFonts w:eastAsiaTheme="majorEastAsia"/>
        </w:rPr>
        <w:t>the South Australian Research and Development Institute (</w:t>
      </w:r>
      <w:r w:rsidR="00E4136F" w:rsidRPr="00A373C8">
        <w:rPr>
          <w:rFonts w:eastAsiaTheme="majorEastAsia"/>
        </w:rPr>
        <w:t>SARDI</w:t>
      </w:r>
      <w:r w:rsidR="00E4136F">
        <w:rPr>
          <w:rFonts w:eastAsiaTheme="majorEastAsia"/>
        </w:rPr>
        <w:t>)</w:t>
      </w:r>
      <w:r w:rsidR="00E4136F" w:rsidRPr="00A373C8">
        <w:rPr>
          <w:rFonts w:eastAsiaTheme="majorEastAsia"/>
        </w:rPr>
        <w:t xml:space="preserve">. </w:t>
      </w:r>
      <w:r w:rsidR="00D2020E" w:rsidRPr="00D2020E">
        <w:rPr>
          <w:rFonts w:eastAsiaTheme="majorEastAsia"/>
        </w:rPr>
        <w:br w:type="page"/>
      </w:r>
    </w:p>
    <w:p w14:paraId="43D151A5" w14:textId="292C8735" w:rsidR="00443EDA" w:rsidRDefault="00D513C3" w:rsidP="00D513C3">
      <w:pPr>
        <w:pStyle w:val="Heading1"/>
      </w:pPr>
      <w:bookmarkStart w:id="31" w:name="_Toc22196681"/>
      <w:r w:rsidRPr="00D513C3">
        <w:lastRenderedPageBreak/>
        <w:t>Lower Murray description</w:t>
      </w:r>
      <w:bookmarkEnd w:id="31"/>
    </w:p>
    <w:p w14:paraId="5036025A" w14:textId="3CE57B0A" w:rsidR="00D2020E" w:rsidRDefault="00D2020E" w:rsidP="00F02673">
      <w:pPr>
        <w:rPr>
          <w:rFonts w:eastAsiaTheme="majorEastAsia"/>
        </w:rPr>
      </w:pPr>
      <w:r w:rsidRPr="00D2020E">
        <w:rPr>
          <w:rFonts w:eastAsiaTheme="majorEastAsia"/>
        </w:rPr>
        <w:t xml:space="preserve">A detailed description of the </w:t>
      </w:r>
      <w:r w:rsidR="00D729DF">
        <w:rPr>
          <w:rFonts w:eastAsiaTheme="majorEastAsia"/>
        </w:rPr>
        <w:t>Lower Murray</w:t>
      </w:r>
      <w:r w:rsidR="00D729DF" w:rsidRPr="00D2020E">
        <w:rPr>
          <w:rFonts w:eastAsiaTheme="majorEastAsia"/>
        </w:rPr>
        <w:t xml:space="preserve"> </w:t>
      </w:r>
      <w:r w:rsidR="00C40E02">
        <w:rPr>
          <w:rFonts w:eastAsiaTheme="majorEastAsia"/>
        </w:rPr>
        <w:t xml:space="preserve">River </w:t>
      </w:r>
      <w:r w:rsidRPr="00D2020E">
        <w:rPr>
          <w:rFonts w:eastAsiaTheme="majorEastAsia"/>
        </w:rPr>
        <w:t xml:space="preserve">is provided in Ecological Associates (2010) and summarised here. For the purposes of this study, the </w:t>
      </w:r>
      <w:r w:rsidR="00D729DF">
        <w:rPr>
          <w:rFonts w:eastAsiaTheme="majorEastAsia"/>
        </w:rPr>
        <w:t>Lower Murray</w:t>
      </w:r>
      <w:r w:rsidR="00D729DF" w:rsidRPr="00D2020E">
        <w:rPr>
          <w:rFonts w:eastAsiaTheme="majorEastAsia"/>
        </w:rPr>
        <w:t xml:space="preserve"> </w:t>
      </w:r>
      <w:r w:rsidRPr="00D2020E">
        <w:rPr>
          <w:rFonts w:eastAsiaTheme="majorEastAsia"/>
        </w:rPr>
        <w:t xml:space="preserve">Selected Area </w:t>
      </w:r>
      <w:r w:rsidR="0026623C">
        <w:rPr>
          <w:rFonts w:eastAsiaTheme="majorEastAsia"/>
        </w:rPr>
        <w:t>(herein, Lower Murray)</w:t>
      </w:r>
      <w:r w:rsidR="0026623C" w:rsidRPr="00D2020E">
        <w:rPr>
          <w:rFonts w:eastAsiaTheme="majorEastAsia"/>
        </w:rPr>
        <w:t xml:space="preserve"> </w:t>
      </w:r>
      <w:r w:rsidR="00900B6F" w:rsidRPr="00900B6F">
        <w:rPr>
          <w:rFonts w:eastAsiaTheme="majorEastAsia"/>
        </w:rPr>
        <w:t xml:space="preserve">focuses on the main channel of the </w:t>
      </w:r>
      <w:r w:rsidR="00900B6F">
        <w:rPr>
          <w:rFonts w:eastAsiaTheme="majorEastAsia"/>
        </w:rPr>
        <w:t>Lower Murray River</w:t>
      </w:r>
      <w:r w:rsidR="00900B6F" w:rsidRPr="00900B6F">
        <w:rPr>
          <w:rFonts w:eastAsiaTheme="majorEastAsia"/>
        </w:rPr>
        <w:t xml:space="preserve"> between the South Australian border and Wellington, with only one targeted investigation (i.e. </w:t>
      </w:r>
      <w:r w:rsidR="00900B6F" w:rsidRPr="002F0EF0">
        <w:rPr>
          <w:rFonts w:eastAsiaTheme="majorEastAsia"/>
          <w:i/>
        </w:rPr>
        <w:t xml:space="preserve">Matter Transport and </w:t>
      </w:r>
      <w:r w:rsidR="002F0EF0">
        <w:rPr>
          <w:rFonts w:eastAsiaTheme="majorEastAsia"/>
          <w:i/>
        </w:rPr>
        <w:t xml:space="preserve">Coorong </w:t>
      </w:r>
      <w:r w:rsidR="00900B6F" w:rsidRPr="002F0EF0">
        <w:rPr>
          <w:rFonts w:eastAsiaTheme="majorEastAsia"/>
          <w:i/>
        </w:rPr>
        <w:t>Habitat</w:t>
      </w:r>
      <w:r w:rsidR="00900B6F" w:rsidRPr="00900B6F">
        <w:rPr>
          <w:rFonts w:eastAsiaTheme="majorEastAsia"/>
        </w:rPr>
        <w:t>) extending to the Lowe</w:t>
      </w:r>
      <w:r w:rsidR="00900B6F">
        <w:rPr>
          <w:rFonts w:eastAsiaTheme="majorEastAsia"/>
        </w:rPr>
        <w:t>r Lakes and Coorong</w:t>
      </w:r>
      <w:r w:rsidR="000A5351">
        <w:rPr>
          <w:rFonts w:eastAsiaTheme="majorEastAsia"/>
        </w:rPr>
        <w:t xml:space="preserve"> (</w:t>
      </w:r>
      <w:r w:rsidR="000A5351">
        <w:rPr>
          <w:rFonts w:eastAsiaTheme="majorEastAsia"/>
        </w:rPr>
        <w:fldChar w:fldCharType="begin"/>
      </w:r>
      <w:r w:rsidR="000A5351">
        <w:rPr>
          <w:rFonts w:eastAsiaTheme="majorEastAsia"/>
        </w:rPr>
        <w:instrText xml:space="preserve"> REF _Ref10106359 \h </w:instrText>
      </w:r>
      <w:r w:rsidR="000A5351">
        <w:rPr>
          <w:rFonts w:eastAsiaTheme="majorEastAsia"/>
        </w:rPr>
      </w:r>
      <w:r w:rsidR="000A5351">
        <w:rPr>
          <w:rFonts w:eastAsiaTheme="majorEastAsia"/>
        </w:rPr>
        <w:fldChar w:fldCharType="separate"/>
      </w:r>
      <w:r w:rsidR="00DF49CD">
        <w:t xml:space="preserve">Figure </w:t>
      </w:r>
      <w:r w:rsidR="00DF49CD">
        <w:rPr>
          <w:noProof/>
        </w:rPr>
        <w:t>2</w:t>
      </w:r>
      <w:r w:rsidR="00DF49CD">
        <w:t>.</w:t>
      </w:r>
      <w:r w:rsidR="00DF49CD">
        <w:rPr>
          <w:noProof/>
        </w:rPr>
        <w:t>1</w:t>
      </w:r>
      <w:r w:rsidR="000A5351">
        <w:rPr>
          <w:rFonts w:eastAsiaTheme="majorEastAsia"/>
        </w:rPr>
        <w:fldChar w:fldCharType="end"/>
      </w:r>
      <w:r w:rsidR="000A5351">
        <w:rPr>
          <w:rFonts w:eastAsiaTheme="majorEastAsia"/>
        </w:rPr>
        <w:t>)</w:t>
      </w:r>
      <w:r w:rsidRPr="00D2020E">
        <w:rPr>
          <w:rFonts w:eastAsiaTheme="majorEastAsia"/>
        </w:rPr>
        <w:t xml:space="preserve">. </w:t>
      </w:r>
    </w:p>
    <w:p w14:paraId="4305279D" w14:textId="3466AD5B" w:rsidR="00D2020E" w:rsidRPr="00D2020E" w:rsidRDefault="00D2020E" w:rsidP="00F02673">
      <w:pPr>
        <w:rPr>
          <w:rFonts w:eastAsiaTheme="majorEastAsia"/>
        </w:rPr>
      </w:pPr>
      <w:r w:rsidRPr="00D2020E">
        <w:rPr>
          <w:rFonts w:eastAsiaTheme="majorEastAsia"/>
        </w:rPr>
        <w:t xml:space="preserve">The natural flow regime of the </w:t>
      </w:r>
      <w:r w:rsidR="00D729DF">
        <w:rPr>
          <w:rFonts w:eastAsiaTheme="majorEastAsia"/>
        </w:rPr>
        <w:t xml:space="preserve">Lower Murray </w:t>
      </w:r>
      <w:r w:rsidRPr="00D2020E">
        <w:rPr>
          <w:rFonts w:eastAsiaTheme="majorEastAsia"/>
        </w:rPr>
        <w:t xml:space="preserve">is highly variable </w:t>
      </w:r>
      <w:r w:rsidR="001901BE" w:rsidRPr="00D2020E">
        <w:rPr>
          <w:rFonts w:eastAsiaTheme="majorEastAsia"/>
        </w:rPr>
        <w:t>because</w:t>
      </w:r>
      <w:r w:rsidRPr="00D2020E">
        <w:rPr>
          <w:rFonts w:eastAsiaTheme="majorEastAsia"/>
        </w:rPr>
        <w:t xml:space="preserve"> of the variable rainfall within the </w:t>
      </w:r>
      <w:r w:rsidR="001901BE">
        <w:rPr>
          <w:rFonts w:eastAsiaTheme="majorEastAsia"/>
        </w:rPr>
        <w:t>M</w:t>
      </w:r>
      <w:r w:rsidR="004705E0">
        <w:rPr>
          <w:rFonts w:eastAsiaTheme="majorEastAsia"/>
        </w:rPr>
        <w:t>DB</w:t>
      </w:r>
      <w:r w:rsidRPr="00D2020E">
        <w:rPr>
          <w:rFonts w:eastAsiaTheme="majorEastAsia"/>
        </w:rPr>
        <w:t xml:space="preserve"> associated with the El Ni</w:t>
      </w:r>
      <w:r w:rsidR="001901BE" w:rsidRPr="001901BE">
        <w:rPr>
          <w:rFonts w:eastAsiaTheme="majorEastAsia"/>
        </w:rPr>
        <w:t>ñ</w:t>
      </w:r>
      <w:r w:rsidRPr="00D2020E">
        <w:rPr>
          <w:rFonts w:eastAsiaTheme="majorEastAsia"/>
        </w:rPr>
        <w:t xml:space="preserve">o Southern Oscillation and other atmospheric phenomena (McMahon </w:t>
      </w:r>
      <w:r w:rsidRPr="00D2020E">
        <w:rPr>
          <w:rFonts w:eastAsiaTheme="majorEastAsia"/>
          <w:i/>
        </w:rPr>
        <w:t>et al.</w:t>
      </w:r>
      <w:r w:rsidRPr="00D2020E">
        <w:rPr>
          <w:rFonts w:eastAsiaTheme="majorEastAsia"/>
        </w:rPr>
        <w:t xml:space="preserve"> 1992). </w:t>
      </w:r>
      <w:r w:rsidR="00074B78">
        <w:rPr>
          <w:rFonts w:eastAsiaTheme="majorEastAsia"/>
        </w:rPr>
        <w:t xml:space="preserve">In addition, as the end of the MDB system, flow to the Lower Murray is affected by </w:t>
      </w:r>
      <w:r w:rsidR="00410B6A">
        <w:rPr>
          <w:rFonts w:eastAsiaTheme="majorEastAsia"/>
        </w:rPr>
        <w:t>flow</w:t>
      </w:r>
      <w:r w:rsidR="00074B78">
        <w:rPr>
          <w:rFonts w:eastAsiaTheme="majorEastAsia"/>
        </w:rPr>
        <w:t xml:space="preserve"> from both the northern and southern basins. </w:t>
      </w:r>
      <w:r w:rsidR="0088581E">
        <w:rPr>
          <w:rFonts w:eastAsiaTheme="majorEastAsia"/>
        </w:rPr>
        <w:t>T</w:t>
      </w:r>
      <w:r w:rsidRPr="00D2020E">
        <w:rPr>
          <w:rFonts w:eastAsiaTheme="majorEastAsia"/>
        </w:rPr>
        <w:t xml:space="preserve">he hydrology of the </w:t>
      </w:r>
      <w:r w:rsidR="00C40E02">
        <w:rPr>
          <w:rFonts w:eastAsiaTheme="majorEastAsia"/>
        </w:rPr>
        <w:t>Lower Murray</w:t>
      </w:r>
      <w:r w:rsidR="0088581E">
        <w:rPr>
          <w:rFonts w:eastAsiaTheme="majorEastAsia"/>
        </w:rPr>
        <w:t>, however,</w:t>
      </w:r>
      <w:r w:rsidRPr="00D2020E">
        <w:rPr>
          <w:rFonts w:eastAsiaTheme="majorEastAsia"/>
        </w:rPr>
        <w:t xml:space="preserve"> has been altered significantly by regulation and diversions (Maheshwari </w:t>
      </w:r>
      <w:r w:rsidRPr="00D2020E">
        <w:rPr>
          <w:rFonts w:eastAsiaTheme="majorEastAsia"/>
          <w:i/>
        </w:rPr>
        <w:t>et al.</w:t>
      </w:r>
      <w:r w:rsidRPr="00D2020E">
        <w:rPr>
          <w:rFonts w:eastAsiaTheme="majorEastAsia"/>
        </w:rPr>
        <w:t xml:space="preserve"> 1995). The ecologically significant effects of regulation and diversions are: </w:t>
      </w:r>
    </w:p>
    <w:p w14:paraId="37CD819C" w14:textId="77777777" w:rsidR="00443EDA" w:rsidRDefault="003B2A52">
      <w:pPr>
        <w:pStyle w:val="ListBullet"/>
        <w:rPr>
          <w:rFonts w:eastAsiaTheme="majorEastAsia"/>
        </w:rPr>
      </w:pPr>
      <w:r>
        <w:rPr>
          <w:rFonts w:eastAsiaTheme="majorEastAsia"/>
        </w:rPr>
        <w:t>Loss of flowing water habitat</w:t>
      </w:r>
    </w:p>
    <w:p w14:paraId="749CA9B7" w14:textId="77777777" w:rsidR="004B02BA" w:rsidRDefault="004B02BA" w:rsidP="004B02BA">
      <w:pPr>
        <w:pStyle w:val="ListBullet"/>
        <w:rPr>
          <w:rFonts w:eastAsiaTheme="majorEastAsia"/>
        </w:rPr>
      </w:pPr>
      <w:r>
        <w:rPr>
          <w:rFonts w:eastAsiaTheme="majorEastAsia"/>
        </w:rPr>
        <w:t>Habitat fragmentation</w:t>
      </w:r>
    </w:p>
    <w:p w14:paraId="61F213C3" w14:textId="77777777" w:rsidR="00443EDA" w:rsidRDefault="00D2020E">
      <w:pPr>
        <w:pStyle w:val="ListBullet"/>
        <w:rPr>
          <w:rFonts w:eastAsiaTheme="majorEastAsia"/>
        </w:rPr>
      </w:pPr>
      <w:r w:rsidRPr="00D2020E">
        <w:rPr>
          <w:rFonts w:eastAsiaTheme="majorEastAsia"/>
        </w:rPr>
        <w:t>Permanent inundation of wetlands, the river channel and low-lying floodplain areas in</w:t>
      </w:r>
      <w:r w:rsidR="003B2A52">
        <w:rPr>
          <w:rFonts w:eastAsiaTheme="majorEastAsia"/>
        </w:rPr>
        <w:t xml:space="preserve"> the vicinity of the weir pools</w:t>
      </w:r>
    </w:p>
    <w:p w14:paraId="1EED14BB" w14:textId="5DF3FC2B" w:rsidR="00443EDA" w:rsidRDefault="001211C8">
      <w:pPr>
        <w:pStyle w:val="ListBullet"/>
        <w:rPr>
          <w:rFonts w:eastAsiaTheme="majorEastAsia"/>
        </w:rPr>
      </w:pPr>
      <w:r w:rsidRPr="00D2020E">
        <w:rPr>
          <w:rFonts w:eastAsiaTheme="majorEastAsia"/>
        </w:rPr>
        <w:t>Reduction in the frequen</w:t>
      </w:r>
      <w:r>
        <w:rPr>
          <w:rFonts w:eastAsiaTheme="majorEastAsia"/>
        </w:rPr>
        <w:t>cy of inundation in higher</w:t>
      </w:r>
      <w:r w:rsidRPr="00D2020E">
        <w:rPr>
          <w:rFonts w:eastAsiaTheme="majorEastAsia"/>
        </w:rPr>
        <w:t xml:space="preserve"> wetlands and floodplain areas </w:t>
      </w:r>
    </w:p>
    <w:p w14:paraId="64970D1F" w14:textId="4938714A" w:rsidR="00755286" w:rsidRDefault="00755286">
      <w:pPr>
        <w:pStyle w:val="ListBullet"/>
        <w:rPr>
          <w:rFonts w:eastAsiaTheme="majorEastAsia"/>
        </w:rPr>
      </w:pPr>
      <w:r>
        <w:rPr>
          <w:rFonts w:eastAsiaTheme="majorEastAsia"/>
        </w:rPr>
        <w:t>Reduced connectivity and end of system flows at the Murray Mouth and to the Coorong</w:t>
      </w:r>
      <w:r w:rsidR="00C40E02">
        <w:rPr>
          <w:rFonts w:eastAsiaTheme="majorEastAsia"/>
        </w:rPr>
        <w:t>.</w:t>
      </w:r>
    </w:p>
    <w:p w14:paraId="08410B33" w14:textId="60C500BE" w:rsidR="00D2020E" w:rsidRPr="00D2020E" w:rsidRDefault="00D2020E" w:rsidP="00F02673">
      <w:pPr>
        <w:rPr>
          <w:rFonts w:eastAsiaTheme="majorEastAsia"/>
        </w:rPr>
      </w:pPr>
      <w:r w:rsidRPr="00D2020E">
        <w:rPr>
          <w:rFonts w:eastAsiaTheme="majorEastAsia"/>
        </w:rPr>
        <w:t xml:space="preserve">Despite these changes, the </w:t>
      </w:r>
      <w:r w:rsidR="00D729DF">
        <w:rPr>
          <w:rFonts w:eastAsiaTheme="majorEastAsia"/>
        </w:rPr>
        <w:t>Lower Murray</w:t>
      </w:r>
      <w:r w:rsidR="00004B57">
        <w:rPr>
          <w:rFonts w:eastAsiaTheme="majorEastAsia"/>
        </w:rPr>
        <w:t xml:space="preserve"> has</w:t>
      </w:r>
      <w:r w:rsidRPr="00D2020E">
        <w:rPr>
          <w:rFonts w:eastAsiaTheme="majorEastAsia"/>
        </w:rPr>
        <w:t xml:space="preserve"> high habitat and biological diversity and includes important habitat for a number of </w:t>
      </w:r>
      <w:r w:rsidR="00074B78">
        <w:rPr>
          <w:rFonts w:eastAsiaTheme="majorEastAsia"/>
        </w:rPr>
        <w:t xml:space="preserve">species </w:t>
      </w:r>
      <w:r w:rsidRPr="00D2020E">
        <w:rPr>
          <w:rFonts w:eastAsiaTheme="majorEastAsia"/>
        </w:rPr>
        <w:t xml:space="preserve">listed </w:t>
      </w:r>
      <w:r w:rsidR="00074B78">
        <w:rPr>
          <w:rFonts w:eastAsiaTheme="majorEastAsia"/>
        </w:rPr>
        <w:t>as requiring protection</w:t>
      </w:r>
      <w:r w:rsidR="00BE02C0">
        <w:rPr>
          <w:rFonts w:eastAsiaTheme="majorEastAsia"/>
        </w:rPr>
        <w:t xml:space="preserve"> by state or federal legislations</w:t>
      </w:r>
      <w:r w:rsidRPr="00D2020E">
        <w:rPr>
          <w:rFonts w:eastAsiaTheme="majorEastAsia"/>
        </w:rPr>
        <w:t xml:space="preserve">, including: </w:t>
      </w:r>
    </w:p>
    <w:p w14:paraId="20E75942" w14:textId="77777777" w:rsidR="00EE0DE4" w:rsidRDefault="00EE0DE4" w:rsidP="00EE0DE4">
      <w:pPr>
        <w:pStyle w:val="ListBullet"/>
        <w:rPr>
          <w:rFonts w:eastAsiaTheme="majorEastAsia"/>
        </w:rPr>
      </w:pPr>
      <w:r w:rsidRPr="00D2020E">
        <w:rPr>
          <w:rFonts w:eastAsiaTheme="majorEastAsia"/>
        </w:rPr>
        <w:t>Large-bodied native fish (</w:t>
      </w:r>
      <w:r>
        <w:rPr>
          <w:rFonts w:eastAsiaTheme="majorEastAsia"/>
        </w:rPr>
        <w:t>M</w:t>
      </w:r>
      <w:r w:rsidRPr="00D2020E">
        <w:rPr>
          <w:rFonts w:eastAsiaTheme="majorEastAsia"/>
        </w:rPr>
        <w:t xml:space="preserve">urray </w:t>
      </w:r>
      <w:r>
        <w:rPr>
          <w:rFonts w:eastAsiaTheme="majorEastAsia"/>
        </w:rPr>
        <w:t>c</w:t>
      </w:r>
      <w:r w:rsidRPr="00D2020E">
        <w:rPr>
          <w:rFonts w:eastAsiaTheme="majorEastAsia"/>
        </w:rPr>
        <w:t xml:space="preserve">od, </w:t>
      </w:r>
      <w:r>
        <w:rPr>
          <w:rFonts w:eastAsiaTheme="majorEastAsia"/>
        </w:rPr>
        <w:t>f</w:t>
      </w:r>
      <w:r w:rsidRPr="00D2020E">
        <w:rPr>
          <w:rFonts w:eastAsiaTheme="majorEastAsia"/>
        </w:rPr>
        <w:t xml:space="preserve">reshwater </w:t>
      </w:r>
      <w:r>
        <w:rPr>
          <w:rFonts w:eastAsiaTheme="majorEastAsia"/>
        </w:rPr>
        <w:t>c</w:t>
      </w:r>
      <w:r w:rsidRPr="00D2020E">
        <w:rPr>
          <w:rFonts w:eastAsiaTheme="majorEastAsia"/>
        </w:rPr>
        <w:t xml:space="preserve">atfish, </w:t>
      </w:r>
      <w:r>
        <w:rPr>
          <w:rFonts w:eastAsiaTheme="majorEastAsia"/>
        </w:rPr>
        <w:t>s</w:t>
      </w:r>
      <w:r w:rsidRPr="00D2020E">
        <w:rPr>
          <w:rFonts w:eastAsiaTheme="majorEastAsia"/>
        </w:rPr>
        <w:t xml:space="preserve">ilver </w:t>
      </w:r>
      <w:r>
        <w:rPr>
          <w:rFonts w:eastAsiaTheme="majorEastAsia"/>
        </w:rPr>
        <w:t>p</w:t>
      </w:r>
      <w:r w:rsidRPr="00D2020E">
        <w:rPr>
          <w:rFonts w:eastAsiaTheme="majorEastAsia"/>
        </w:rPr>
        <w:t>erch)</w:t>
      </w:r>
    </w:p>
    <w:p w14:paraId="6657FC8F" w14:textId="3B0785B5" w:rsidR="00EE0DE4" w:rsidRDefault="00EE0DE4" w:rsidP="00EE0DE4">
      <w:pPr>
        <w:pStyle w:val="ListBullet"/>
        <w:rPr>
          <w:rFonts w:eastAsiaTheme="majorEastAsia"/>
        </w:rPr>
      </w:pPr>
      <w:r w:rsidRPr="00D2020E">
        <w:rPr>
          <w:rFonts w:eastAsiaTheme="majorEastAsia"/>
        </w:rPr>
        <w:t>Small-bodied native fish (</w:t>
      </w:r>
      <w:r>
        <w:rPr>
          <w:rFonts w:eastAsiaTheme="majorEastAsia"/>
        </w:rPr>
        <w:t>M</w:t>
      </w:r>
      <w:r w:rsidRPr="00D2020E">
        <w:rPr>
          <w:rFonts w:eastAsiaTheme="majorEastAsia"/>
        </w:rPr>
        <w:t xml:space="preserve">urray </w:t>
      </w:r>
      <w:r>
        <w:rPr>
          <w:rFonts w:eastAsiaTheme="majorEastAsia"/>
        </w:rPr>
        <w:t>h</w:t>
      </w:r>
      <w:r w:rsidRPr="00D2020E">
        <w:rPr>
          <w:rFonts w:eastAsiaTheme="majorEastAsia"/>
        </w:rPr>
        <w:t>ardyhead,</w:t>
      </w:r>
      <w:r w:rsidR="00BE02C0">
        <w:rPr>
          <w:rFonts w:eastAsiaTheme="majorEastAsia"/>
        </w:rPr>
        <w:t xml:space="preserve"> southern </w:t>
      </w:r>
      <w:r w:rsidR="003D03B7">
        <w:rPr>
          <w:rFonts w:eastAsiaTheme="majorEastAsia"/>
        </w:rPr>
        <w:t xml:space="preserve">pygmy </w:t>
      </w:r>
      <w:r w:rsidR="00BE02C0">
        <w:rPr>
          <w:rFonts w:eastAsiaTheme="majorEastAsia"/>
        </w:rPr>
        <w:t>perch, purple spotted gudgeon</w:t>
      </w:r>
      <w:r w:rsidRPr="00D2020E">
        <w:rPr>
          <w:rFonts w:eastAsiaTheme="majorEastAsia"/>
        </w:rPr>
        <w:t>)</w:t>
      </w:r>
    </w:p>
    <w:p w14:paraId="0EAA0FBF" w14:textId="1AF644D8" w:rsidR="0065333C" w:rsidRDefault="0065333C" w:rsidP="0065333C">
      <w:pPr>
        <w:pStyle w:val="ListBullet"/>
        <w:rPr>
          <w:rFonts w:eastAsiaTheme="majorEastAsia"/>
        </w:rPr>
      </w:pPr>
      <w:r w:rsidRPr="00D2020E">
        <w:rPr>
          <w:rFonts w:eastAsiaTheme="majorEastAsia"/>
        </w:rPr>
        <w:t xml:space="preserve">Southern </w:t>
      </w:r>
      <w:r>
        <w:rPr>
          <w:rFonts w:eastAsiaTheme="majorEastAsia"/>
        </w:rPr>
        <w:t>b</w:t>
      </w:r>
      <w:r w:rsidRPr="00D2020E">
        <w:rPr>
          <w:rFonts w:eastAsiaTheme="majorEastAsia"/>
        </w:rPr>
        <w:t xml:space="preserve">ell </w:t>
      </w:r>
      <w:r>
        <w:rPr>
          <w:rFonts w:eastAsiaTheme="majorEastAsia"/>
        </w:rPr>
        <w:t>f</w:t>
      </w:r>
      <w:r w:rsidRPr="00D2020E">
        <w:rPr>
          <w:rFonts w:eastAsiaTheme="majorEastAsia"/>
        </w:rPr>
        <w:t xml:space="preserve">rog </w:t>
      </w:r>
    </w:p>
    <w:p w14:paraId="2CE52533" w14:textId="5ED9074A" w:rsidR="00443EDA" w:rsidRDefault="0027048F">
      <w:pPr>
        <w:pStyle w:val="ListBullet"/>
        <w:rPr>
          <w:rFonts w:eastAsiaTheme="majorEastAsia"/>
        </w:rPr>
      </w:pPr>
      <w:r>
        <w:rPr>
          <w:rFonts w:eastAsiaTheme="majorEastAsia"/>
        </w:rPr>
        <w:t xml:space="preserve">Numerous state and nationally listed </w:t>
      </w:r>
      <w:r w:rsidR="00D2020E" w:rsidRPr="00D2020E">
        <w:rPr>
          <w:rFonts w:eastAsiaTheme="majorEastAsia"/>
        </w:rPr>
        <w:t xml:space="preserve">migratory </w:t>
      </w:r>
      <w:r>
        <w:rPr>
          <w:rFonts w:eastAsiaTheme="majorEastAsia"/>
        </w:rPr>
        <w:t>and other waterbird species.</w:t>
      </w:r>
    </w:p>
    <w:p w14:paraId="50ABEDCE" w14:textId="1437D597" w:rsidR="00EE0DE4" w:rsidRDefault="00B00635" w:rsidP="00F02673">
      <w:pPr>
        <w:rPr>
          <w:rFonts w:eastAsiaTheme="majorEastAsia"/>
        </w:rPr>
      </w:pPr>
      <w:r>
        <w:rPr>
          <w:rFonts w:eastAsiaTheme="majorEastAsia"/>
        </w:rPr>
        <w:t>T</w:t>
      </w:r>
      <w:r w:rsidR="00D2020E" w:rsidRPr="00D2020E">
        <w:rPr>
          <w:rFonts w:eastAsiaTheme="majorEastAsia"/>
        </w:rPr>
        <w:t xml:space="preserve">he </w:t>
      </w:r>
      <w:r w:rsidR="00D729DF">
        <w:rPr>
          <w:rFonts w:eastAsiaTheme="majorEastAsia"/>
        </w:rPr>
        <w:t>Lower Murray</w:t>
      </w:r>
      <w:r w:rsidR="00D2020E" w:rsidRPr="00D2020E">
        <w:rPr>
          <w:rFonts w:eastAsiaTheme="majorEastAsia"/>
        </w:rPr>
        <w:t xml:space="preserve"> Selected Area </w:t>
      </w:r>
      <w:r w:rsidR="00EE0DE4">
        <w:rPr>
          <w:rFonts w:eastAsiaTheme="majorEastAsia"/>
        </w:rPr>
        <w:t>covers</w:t>
      </w:r>
      <w:r w:rsidR="00EE0DE4" w:rsidRPr="00EE0DE4">
        <w:t xml:space="preserve"> </w:t>
      </w:r>
      <w:r w:rsidR="00EE0DE4" w:rsidRPr="00EE0DE4">
        <w:rPr>
          <w:rFonts w:eastAsiaTheme="majorEastAsia"/>
        </w:rPr>
        <w:t>three riverine geomorphic zones (floodplain, gorge and swamplands) and the Lower Lakes and Cooro</w:t>
      </w:r>
      <w:r w:rsidR="000A5351">
        <w:rPr>
          <w:rFonts w:eastAsiaTheme="majorEastAsia"/>
        </w:rPr>
        <w:t>ng (Wellington to Murray Mouth) (</w:t>
      </w:r>
      <w:r w:rsidR="00391A27">
        <w:rPr>
          <w:rFonts w:eastAsiaTheme="majorEastAsia"/>
        </w:rPr>
        <w:fldChar w:fldCharType="begin"/>
      </w:r>
      <w:r w:rsidR="00391A27">
        <w:rPr>
          <w:rFonts w:eastAsiaTheme="majorEastAsia"/>
        </w:rPr>
        <w:instrText xml:space="preserve"> REF _Ref10106359 \h </w:instrText>
      </w:r>
      <w:r w:rsidR="00391A27">
        <w:rPr>
          <w:rFonts w:eastAsiaTheme="majorEastAsia"/>
        </w:rPr>
      </w:r>
      <w:r w:rsidR="00391A27">
        <w:rPr>
          <w:rFonts w:eastAsiaTheme="majorEastAsia"/>
        </w:rPr>
        <w:fldChar w:fldCharType="separate"/>
      </w:r>
      <w:r w:rsidR="00DF49CD">
        <w:t xml:space="preserve">Figure </w:t>
      </w:r>
      <w:r w:rsidR="00DF49CD">
        <w:rPr>
          <w:noProof/>
        </w:rPr>
        <w:t>2</w:t>
      </w:r>
      <w:r w:rsidR="00DF49CD">
        <w:t>.</w:t>
      </w:r>
      <w:r w:rsidR="00DF49CD">
        <w:rPr>
          <w:noProof/>
        </w:rPr>
        <w:t>1</w:t>
      </w:r>
      <w:r w:rsidR="00391A27">
        <w:rPr>
          <w:rFonts w:eastAsiaTheme="majorEastAsia"/>
        </w:rPr>
        <w:fldChar w:fldCharType="end"/>
      </w:r>
      <w:r w:rsidR="000A5351">
        <w:rPr>
          <w:rFonts w:eastAsiaTheme="majorEastAsia"/>
        </w:rPr>
        <w:t>)</w:t>
      </w:r>
      <w:r w:rsidR="00EE0DE4">
        <w:rPr>
          <w:rFonts w:eastAsiaTheme="majorEastAsia"/>
        </w:rPr>
        <w:t>. More details are provided below.</w:t>
      </w:r>
    </w:p>
    <w:p w14:paraId="61A2A61D" w14:textId="23FED236" w:rsidR="0065333C" w:rsidRDefault="0065333C" w:rsidP="0065333C">
      <w:pPr>
        <w:pStyle w:val="Heading2"/>
      </w:pPr>
      <w:bookmarkStart w:id="32" w:name="_Toc22196682"/>
      <w:r w:rsidRPr="00D2020E">
        <w:t xml:space="preserve">The </w:t>
      </w:r>
      <w:r>
        <w:t>Floodplain</w:t>
      </w:r>
      <w:r w:rsidR="0027048F">
        <w:t xml:space="preserve"> zone</w:t>
      </w:r>
      <w:bookmarkEnd w:id="32"/>
    </w:p>
    <w:p w14:paraId="0B67B60C" w14:textId="71E4C39A" w:rsidR="00D2020E" w:rsidRPr="00D2020E" w:rsidRDefault="00356FC8" w:rsidP="00F02673">
      <w:pPr>
        <w:rPr>
          <w:rFonts w:eastAsiaTheme="majorEastAsia"/>
        </w:rPr>
      </w:pPr>
      <w:r>
        <w:rPr>
          <w:rFonts w:eastAsiaTheme="majorEastAsia"/>
        </w:rPr>
        <w:t xml:space="preserve">The </w:t>
      </w:r>
      <w:r w:rsidR="0065333C">
        <w:rPr>
          <w:rFonts w:eastAsiaTheme="majorEastAsia"/>
        </w:rPr>
        <w:t>Floodplain zone</w:t>
      </w:r>
      <w:r w:rsidR="0065333C" w:rsidRPr="00D2020E">
        <w:rPr>
          <w:rFonts w:eastAsiaTheme="majorEastAsia"/>
        </w:rPr>
        <w:t xml:space="preserve"> </w:t>
      </w:r>
      <w:r w:rsidR="00D2020E" w:rsidRPr="00D2020E">
        <w:rPr>
          <w:rFonts w:eastAsiaTheme="majorEastAsia"/>
        </w:rPr>
        <w:t xml:space="preserve">is between the </w:t>
      </w:r>
      <w:r w:rsidR="009F591A">
        <w:rPr>
          <w:rFonts w:eastAsiaTheme="majorEastAsia"/>
        </w:rPr>
        <w:t>South Australian</w:t>
      </w:r>
      <w:r w:rsidR="00D2020E" w:rsidRPr="00D2020E">
        <w:rPr>
          <w:rFonts w:eastAsiaTheme="majorEastAsia"/>
        </w:rPr>
        <w:t xml:space="preserve"> border and Lock 3. Here</w:t>
      </w:r>
      <w:r w:rsidR="004114D5">
        <w:rPr>
          <w:rFonts w:eastAsiaTheme="majorEastAsia"/>
        </w:rPr>
        <w:t>,</w:t>
      </w:r>
      <w:r w:rsidR="00D2020E" w:rsidRPr="00D2020E">
        <w:rPr>
          <w:rFonts w:eastAsiaTheme="majorEastAsia"/>
        </w:rPr>
        <w:t xml:space="preserve"> the river meanders through a broad floodplain up to 8 kilometres</w:t>
      </w:r>
      <w:r w:rsidR="00427E21">
        <w:rPr>
          <w:rFonts w:eastAsiaTheme="majorEastAsia"/>
        </w:rPr>
        <w:t xml:space="preserve"> (km)</w:t>
      </w:r>
      <w:r w:rsidR="00D2020E" w:rsidRPr="00D2020E">
        <w:rPr>
          <w:rFonts w:eastAsiaTheme="majorEastAsia"/>
        </w:rPr>
        <w:t xml:space="preserve"> wide, with high geomorphic diversity including anabranches, backwaters and wetlands (Walker and Thoms 1993). The </w:t>
      </w:r>
      <w:r>
        <w:rPr>
          <w:rFonts w:eastAsiaTheme="majorEastAsia"/>
        </w:rPr>
        <w:t>Floodplain</w:t>
      </w:r>
      <w:r w:rsidR="00D2020E" w:rsidRPr="00D2020E">
        <w:rPr>
          <w:rFonts w:eastAsiaTheme="majorEastAsia"/>
        </w:rPr>
        <w:t xml:space="preserve"> </w:t>
      </w:r>
      <w:r w:rsidR="00A95292">
        <w:rPr>
          <w:rFonts w:eastAsiaTheme="majorEastAsia"/>
        </w:rPr>
        <w:t>zone</w:t>
      </w:r>
      <w:r w:rsidR="00A95292" w:rsidRPr="00D2020E">
        <w:rPr>
          <w:rFonts w:eastAsiaTheme="majorEastAsia"/>
        </w:rPr>
        <w:t xml:space="preserve"> </w:t>
      </w:r>
      <w:r w:rsidR="00D2020E" w:rsidRPr="00D2020E">
        <w:rPr>
          <w:rFonts w:eastAsiaTheme="majorEastAsia"/>
        </w:rPr>
        <w:t>includes the Riverland Ramsar site and a number of large wetlands, including Lake Bonney, Wachtels Lagoon, Gurra Lakes, Lake Merreti, Lake Woolpolool, Coombool Swamp, Clover Lake, Lake Littra and Bulyong Island. Small wetlands, less than 50 hectares</w:t>
      </w:r>
      <w:r w:rsidR="00427E21">
        <w:rPr>
          <w:rFonts w:eastAsiaTheme="majorEastAsia"/>
        </w:rPr>
        <w:t xml:space="preserve"> (</w:t>
      </w:r>
      <w:r w:rsidR="00035CB2">
        <w:rPr>
          <w:rFonts w:eastAsiaTheme="majorEastAsia"/>
        </w:rPr>
        <w:t>ha</w:t>
      </w:r>
      <w:r w:rsidR="00427E21">
        <w:rPr>
          <w:rFonts w:eastAsiaTheme="majorEastAsia"/>
        </w:rPr>
        <w:t>)</w:t>
      </w:r>
      <w:r w:rsidR="00D2020E" w:rsidRPr="00D2020E">
        <w:rPr>
          <w:rFonts w:eastAsiaTheme="majorEastAsia"/>
        </w:rPr>
        <w:t xml:space="preserve"> in area, make up the </w:t>
      </w:r>
      <w:r w:rsidR="001901BE">
        <w:rPr>
          <w:rFonts w:eastAsiaTheme="majorEastAsia"/>
        </w:rPr>
        <w:t>majority</w:t>
      </w:r>
      <w:r w:rsidR="001901BE" w:rsidRPr="00D2020E">
        <w:rPr>
          <w:rFonts w:eastAsiaTheme="majorEastAsia"/>
        </w:rPr>
        <w:t xml:space="preserve"> </w:t>
      </w:r>
      <w:r w:rsidR="00D2020E" w:rsidRPr="00D2020E">
        <w:rPr>
          <w:rFonts w:eastAsiaTheme="majorEastAsia"/>
        </w:rPr>
        <w:t xml:space="preserve">of total wetland area. </w:t>
      </w:r>
      <w:r w:rsidR="001901BE">
        <w:rPr>
          <w:rFonts w:eastAsiaTheme="majorEastAsia"/>
        </w:rPr>
        <w:t>I</w:t>
      </w:r>
      <w:r w:rsidR="00D2020E" w:rsidRPr="00D2020E">
        <w:rPr>
          <w:rFonts w:eastAsiaTheme="majorEastAsia"/>
        </w:rPr>
        <w:t>ncreasing river flow does not significantly increase the inundation of the floodplain area (including floodplain vegetation communities) until flows of approximately 5</w:t>
      </w:r>
      <w:r w:rsidR="00D04038">
        <w:rPr>
          <w:rFonts w:eastAsiaTheme="majorEastAsia"/>
        </w:rPr>
        <w:t>0</w:t>
      </w:r>
      <w:r w:rsidR="00D2020E" w:rsidRPr="00D2020E">
        <w:rPr>
          <w:rFonts w:eastAsiaTheme="majorEastAsia"/>
        </w:rPr>
        <w:t xml:space="preserve">,000 </w:t>
      </w:r>
      <w:r w:rsidR="00A95292">
        <w:rPr>
          <w:rFonts w:eastAsiaTheme="majorEastAsia"/>
        </w:rPr>
        <w:t>megalitres per day (</w:t>
      </w:r>
      <w:r w:rsidR="0082543A">
        <w:rPr>
          <w:rFonts w:eastAsiaTheme="majorEastAsia"/>
        </w:rPr>
        <w:t>ML/d</w:t>
      </w:r>
      <w:r w:rsidR="00A95292">
        <w:rPr>
          <w:rFonts w:eastAsiaTheme="majorEastAsia"/>
        </w:rPr>
        <w:t>)</w:t>
      </w:r>
      <w:r w:rsidR="00D2020E" w:rsidRPr="00D2020E">
        <w:rPr>
          <w:rFonts w:eastAsiaTheme="majorEastAsia"/>
        </w:rPr>
        <w:t xml:space="preserve"> are reached.</w:t>
      </w:r>
    </w:p>
    <w:p w14:paraId="24BFA900" w14:textId="76D68006" w:rsidR="00443EDA" w:rsidRDefault="00D2020E" w:rsidP="00475425">
      <w:pPr>
        <w:pStyle w:val="Heading2"/>
      </w:pPr>
      <w:bookmarkStart w:id="33" w:name="_Toc22196683"/>
      <w:r w:rsidRPr="00D2020E">
        <w:t xml:space="preserve">The Gorge </w:t>
      </w:r>
      <w:r w:rsidR="0027048F">
        <w:t>zone</w:t>
      </w:r>
      <w:bookmarkEnd w:id="33"/>
    </w:p>
    <w:p w14:paraId="67C33924" w14:textId="126372CB" w:rsidR="00D2020E" w:rsidRPr="00D2020E" w:rsidRDefault="00D2020E" w:rsidP="00F02673">
      <w:pPr>
        <w:rPr>
          <w:rFonts w:eastAsiaTheme="majorEastAsia"/>
        </w:rPr>
      </w:pPr>
      <w:r w:rsidRPr="00D2020E">
        <w:rPr>
          <w:rFonts w:eastAsiaTheme="majorEastAsia"/>
        </w:rPr>
        <w:t>The Gorge</w:t>
      </w:r>
      <w:r w:rsidR="00A95292">
        <w:rPr>
          <w:rFonts w:eastAsiaTheme="majorEastAsia"/>
        </w:rPr>
        <w:t xml:space="preserve"> zone</w:t>
      </w:r>
      <w:r w:rsidRPr="00D2020E">
        <w:rPr>
          <w:rFonts w:eastAsiaTheme="majorEastAsia"/>
        </w:rPr>
        <w:t xml:space="preserve"> is between Lock 3 (Overland Corner) and Mannum. Here, the channel is characterised by long</w:t>
      </w:r>
      <w:r w:rsidR="001901BE">
        <w:rPr>
          <w:rFonts w:eastAsiaTheme="majorEastAsia"/>
        </w:rPr>
        <w:t>,</w:t>
      </w:r>
      <w:r w:rsidRPr="00D2020E">
        <w:rPr>
          <w:rFonts w:eastAsiaTheme="majorEastAsia"/>
        </w:rPr>
        <w:t xml:space="preserve"> straight reaches within a 30 metre deep limestone gorge with a narrow floodplain (2</w:t>
      </w:r>
      <w:r w:rsidR="002B03AE">
        <w:rPr>
          <w:rFonts w:eastAsiaTheme="majorEastAsia"/>
        </w:rPr>
        <w:t>–3 </w:t>
      </w:r>
      <w:r w:rsidRPr="00D2020E">
        <w:rPr>
          <w:rFonts w:eastAsiaTheme="majorEastAsia"/>
        </w:rPr>
        <w:t>k</w:t>
      </w:r>
      <w:r w:rsidR="00427E21">
        <w:rPr>
          <w:rFonts w:eastAsiaTheme="majorEastAsia"/>
        </w:rPr>
        <w:t>m</w:t>
      </w:r>
      <w:r w:rsidRPr="00D2020E">
        <w:rPr>
          <w:rFonts w:eastAsiaTheme="majorEastAsia"/>
        </w:rPr>
        <w:t xml:space="preserve"> wide) with geomorphology that is largely undisturbed. The Gorge </w:t>
      </w:r>
      <w:r w:rsidR="00A95292">
        <w:rPr>
          <w:rFonts w:eastAsiaTheme="majorEastAsia"/>
        </w:rPr>
        <w:t>zone</w:t>
      </w:r>
      <w:r w:rsidRPr="00D2020E">
        <w:rPr>
          <w:rFonts w:eastAsiaTheme="majorEastAsia"/>
        </w:rPr>
        <w:t xml:space="preserve"> includes numerous wetlands including the Banrock Station Ramsar site. As in the </w:t>
      </w:r>
      <w:r w:rsidR="00356FC8">
        <w:rPr>
          <w:rFonts w:eastAsiaTheme="majorEastAsia"/>
        </w:rPr>
        <w:t>Floodplain</w:t>
      </w:r>
      <w:r w:rsidR="00A95292">
        <w:rPr>
          <w:rFonts w:eastAsiaTheme="majorEastAsia"/>
        </w:rPr>
        <w:t xml:space="preserve"> zone</w:t>
      </w:r>
      <w:r w:rsidRPr="00D2020E">
        <w:rPr>
          <w:rFonts w:eastAsiaTheme="majorEastAsia"/>
        </w:rPr>
        <w:t>, significant floodplain inundation commences at flows above 5</w:t>
      </w:r>
      <w:r w:rsidR="00D04038">
        <w:rPr>
          <w:rFonts w:eastAsiaTheme="majorEastAsia"/>
        </w:rPr>
        <w:t>0</w:t>
      </w:r>
      <w:r w:rsidRPr="00D2020E">
        <w:rPr>
          <w:rFonts w:eastAsiaTheme="majorEastAsia"/>
        </w:rPr>
        <w:t>,000</w:t>
      </w:r>
      <w:r w:rsidR="00DD47AD">
        <w:rPr>
          <w:rFonts w:eastAsiaTheme="majorEastAsia"/>
        </w:rPr>
        <w:t> </w:t>
      </w:r>
      <w:r w:rsidR="0082543A">
        <w:rPr>
          <w:rFonts w:eastAsiaTheme="majorEastAsia"/>
        </w:rPr>
        <w:t>ML/d</w:t>
      </w:r>
      <w:r w:rsidRPr="00D2020E">
        <w:rPr>
          <w:rFonts w:eastAsiaTheme="majorEastAsia"/>
        </w:rPr>
        <w:t xml:space="preserve">. </w:t>
      </w:r>
    </w:p>
    <w:p w14:paraId="4774199B" w14:textId="114EC839" w:rsidR="00443EDA" w:rsidRDefault="00D2020E" w:rsidP="00475425">
      <w:pPr>
        <w:pStyle w:val="Heading2"/>
      </w:pPr>
      <w:bookmarkStart w:id="34" w:name="_Toc22196684"/>
      <w:r w:rsidRPr="00D2020E">
        <w:lastRenderedPageBreak/>
        <w:t>The Swamplands</w:t>
      </w:r>
      <w:r w:rsidR="005E41E2">
        <w:t xml:space="preserve"> zone</w:t>
      </w:r>
      <w:bookmarkEnd w:id="34"/>
    </w:p>
    <w:p w14:paraId="4C072EFE" w14:textId="216AE1AA" w:rsidR="00D2020E" w:rsidRDefault="00D2020E" w:rsidP="00F02673">
      <w:pPr>
        <w:rPr>
          <w:rFonts w:eastAsiaTheme="majorEastAsia"/>
        </w:rPr>
      </w:pPr>
      <w:r w:rsidRPr="00D2020E">
        <w:rPr>
          <w:rFonts w:eastAsiaTheme="majorEastAsia"/>
        </w:rPr>
        <w:t>The Swamplands</w:t>
      </w:r>
      <w:r w:rsidR="00A95292">
        <w:rPr>
          <w:rFonts w:eastAsiaTheme="majorEastAsia"/>
        </w:rPr>
        <w:t xml:space="preserve"> zone</w:t>
      </w:r>
      <w:r w:rsidRPr="00D2020E">
        <w:rPr>
          <w:rFonts w:eastAsiaTheme="majorEastAsia"/>
        </w:rPr>
        <w:t xml:space="preserve"> </w:t>
      </w:r>
      <w:r w:rsidR="00A95292">
        <w:rPr>
          <w:rFonts w:eastAsiaTheme="majorEastAsia"/>
        </w:rPr>
        <w:t>is</w:t>
      </w:r>
      <w:r w:rsidRPr="00D2020E">
        <w:rPr>
          <w:rFonts w:eastAsiaTheme="majorEastAsia"/>
        </w:rPr>
        <w:t xml:space="preserve"> between Mannum and Wellington. Here, the river corridor remains confined </w:t>
      </w:r>
      <w:r w:rsidR="003A06CC">
        <w:rPr>
          <w:rFonts w:eastAsiaTheme="majorEastAsia"/>
        </w:rPr>
        <w:t>with a narrow floodplain (1–</w:t>
      </w:r>
      <w:r w:rsidRPr="00D2020E">
        <w:rPr>
          <w:rFonts w:eastAsiaTheme="majorEastAsia"/>
        </w:rPr>
        <w:t>2 k</w:t>
      </w:r>
      <w:r w:rsidR="00427E21">
        <w:rPr>
          <w:rFonts w:eastAsiaTheme="majorEastAsia"/>
        </w:rPr>
        <w:t>m</w:t>
      </w:r>
      <w:r w:rsidRPr="00D2020E">
        <w:rPr>
          <w:rFonts w:eastAsiaTheme="majorEastAsia"/>
        </w:rPr>
        <w:t xml:space="preserve"> wide), but a large proportion of the floodplain has been developed for irrigated agriculture with levee banks constructed that have largely isolated the floodplain from the main river channel. This has resulted in a loss of floodplain habitat, native vegetation and natural geomorphic characteristics. There are eight wetlands more than 50 </w:t>
      </w:r>
      <w:r w:rsidR="00035CB2">
        <w:rPr>
          <w:rFonts w:eastAsiaTheme="majorEastAsia"/>
        </w:rPr>
        <w:t>ha</w:t>
      </w:r>
      <w:r w:rsidR="00035CB2" w:rsidRPr="00D2020E">
        <w:rPr>
          <w:rFonts w:eastAsiaTheme="majorEastAsia"/>
        </w:rPr>
        <w:t xml:space="preserve"> </w:t>
      </w:r>
      <w:r w:rsidRPr="00D2020E">
        <w:rPr>
          <w:rFonts w:eastAsiaTheme="majorEastAsia"/>
        </w:rPr>
        <w:t>in size and these represent approximately two-thirds of the total wetland area, but less than 10</w:t>
      </w:r>
      <w:r w:rsidR="00FA4AA8">
        <w:rPr>
          <w:rFonts w:eastAsiaTheme="majorEastAsia"/>
        </w:rPr>
        <w:t xml:space="preserve"> percent</w:t>
      </w:r>
      <w:r w:rsidR="00FA4AA8" w:rsidRPr="00D2020E">
        <w:rPr>
          <w:rFonts w:eastAsiaTheme="majorEastAsia"/>
        </w:rPr>
        <w:t xml:space="preserve"> </w:t>
      </w:r>
      <w:r w:rsidRPr="00D2020E">
        <w:rPr>
          <w:rFonts w:eastAsiaTheme="majorEastAsia"/>
        </w:rPr>
        <w:t>of the total number of wetlands. Most wetlands are permanently inundated</w:t>
      </w:r>
      <w:r w:rsidR="00FA4AA8">
        <w:rPr>
          <w:rFonts w:eastAsiaTheme="majorEastAsia"/>
        </w:rPr>
        <w:t>,</w:t>
      </w:r>
      <w:r w:rsidRPr="00D2020E">
        <w:rPr>
          <w:rFonts w:eastAsiaTheme="majorEastAsia"/>
        </w:rPr>
        <w:t xml:space="preserve"> with a small additional area inundated by flows exceeding 30,000 </w:t>
      </w:r>
      <w:r w:rsidR="0082543A">
        <w:rPr>
          <w:rFonts w:eastAsiaTheme="majorEastAsia"/>
        </w:rPr>
        <w:t>ML/d</w:t>
      </w:r>
      <w:r w:rsidRPr="00D2020E">
        <w:rPr>
          <w:rFonts w:eastAsiaTheme="majorEastAsia"/>
        </w:rPr>
        <w:t>. Greater floodplain inundation commences at flows exceeding 5</w:t>
      </w:r>
      <w:r w:rsidR="00D04038">
        <w:rPr>
          <w:rFonts w:eastAsiaTheme="majorEastAsia"/>
        </w:rPr>
        <w:t>0</w:t>
      </w:r>
      <w:r w:rsidRPr="00D2020E">
        <w:rPr>
          <w:rFonts w:eastAsiaTheme="majorEastAsia"/>
        </w:rPr>
        <w:t xml:space="preserve">,000 </w:t>
      </w:r>
      <w:r w:rsidR="0082543A">
        <w:rPr>
          <w:rFonts w:eastAsiaTheme="majorEastAsia"/>
        </w:rPr>
        <w:t>ML/d</w:t>
      </w:r>
      <w:r w:rsidRPr="00D2020E">
        <w:rPr>
          <w:rFonts w:eastAsiaTheme="majorEastAsia"/>
        </w:rPr>
        <w:t xml:space="preserve">. </w:t>
      </w:r>
    </w:p>
    <w:p w14:paraId="07AC2977" w14:textId="64253131" w:rsidR="00BB0D0C" w:rsidRPr="00107BDC" w:rsidRDefault="00BB0D0C" w:rsidP="00BB0D0C">
      <w:pPr>
        <w:pStyle w:val="Heading2"/>
      </w:pPr>
      <w:bookmarkStart w:id="35" w:name="_Toc22196685"/>
      <w:r w:rsidRPr="00107BDC">
        <w:t>The Lower Lakes and Coorong</w:t>
      </w:r>
      <w:bookmarkEnd w:id="35"/>
    </w:p>
    <w:p w14:paraId="467F8BEB" w14:textId="235F7C36" w:rsidR="009B1634" w:rsidRPr="009B1634" w:rsidRDefault="00925B41" w:rsidP="009B1634">
      <w:pPr>
        <w:rPr>
          <w:rFonts w:eastAsiaTheme="majorEastAsia"/>
        </w:rPr>
      </w:pPr>
      <w:r>
        <w:rPr>
          <w:rFonts w:eastAsiaTheme="majorEastAsia"/>
        </w:rPr>
        <w:t>The Lower Lakes and Coorong is the terminal system of the MDB</w:t>
      </w:r>
      <w:r w:rsidR="00372A18">
        <w:rPr>
          <w:rFonts w:eastAsiaTheme="majorEastAsia"/>
        </w:rPr>
        <w:t xml:space="preserve">, </w:t>
      </w:r>
      <w:r w:rsidR="00951C37">
        <w:rPr>
          <w:rFonts w:eastAsiaTheme="majorEastAsia"/>
        </w:rPr>
        <w:t xml:space="preserve">and is </w:t>
      </w:r>
      <w:r w:rsidR="00372A18">
        <w:rPr>
          <w:rFonts w:eastAsiaTheme="majorEastAsia"/>
        </w:rPr>
        <w:t>heavily impacted by river regulation and water extractions.</w:t>
      </w:r>
      <w:r w:rsidR="00372A18" w:rsidRPr="00372A18">
        <w:rPr>
          <w:rFonts w:eastAsiaTheme="majorEastAsia"/>
        </w:rPr>
        <w:t xml:space="preserve"> </w:t>
      </w:r>
      <w:r>
        <w:rPr>
          <w:rFonts w:eastAsiaTheme="majorEastAsia"/>
        </w:rPr>
        <w:t>A detailed description of the region</w:t>
      </w:r>
      <w:r w:rsidR="00475F01">
        <w:rPr>
          <w:rFonts w:eastAsiaTheme="majorEastAsia"/>
        </w:rPr>
        <w:t>,</w:t>
      </w:r>
      <w:r>
        <w:rPr>
          <w:rFonts w:eastAsiaTheme="majorEastAsia"/>
        </w:rPr>
        <w:t xml:space="preserve"> hydrology</w:t>
      </w:r>
      <w:r w:rsidR="00475F01">
        <w:rPr>
          <w:rFonts w:eastAsiaTheme="majorEastAsia"/>
        </w:rPr>
        <w:t xml:space="preserve"> and hydrodynamics was provided by </w:t>
      </w:r>
      <w:r>
        <w:rPr>
          <w:rFonts w:eastAsiaTheme="majorEastAsia"/>
        </w:rPr>
        <w:t xml:space="preserve">Gibbs </w:t>
      </w:r>
      <w:r w:rsidRPr="00182CAE">
        <w:rPr>
          <w:rFonts w:eastAsiaTheme="majorEastAsia"/>
          <w:i/>
        </w:rPr>
        <w:t>et al.</w:t>
      </w:r>
      <w:r>
        <w:rPr>
          <w:rFonts w:eastAsiaTheme="majorEastAsia"/>
        </w:rPr>
        <w:t xml:space="preserve"> </w:t>
      </w:r>
      <w:r w:rsidR="000F3469">
        <w:rPr>
          <w:rFonts w:eastAsiaTheme="majorEastAsia"/>
        </w:rPr>
        <w:t>(</w:t>
      </w:r>
      <w:r w:rsidR="0028347B">
        <w:rPr>
          <w:rFonts w:eastAsiaTheme="majorEastAsia"/>
        </w:rPr>
        <w:t>2018</w:t>
      </w:r>
      <w:r w:rsidR="000F3469">
        <w:rPr>
          <w:rFonts w:eastAsiaTheme="majorEastAsia"/>
        </w:rPr>
        <w:t>)</w:t>
      </w:r>
      <w:r>
        <w:rPr>
          <w:rFonts w:eastAsiaTheme="majorEastAsia"/>
        </w:rPr>
        <w:t xml:space="preserve">. </w:t>
      </w:r>
      <w:r w:rsidR="009B1634" w:rsidRPr="009B1634">
        <w:rPr>
          <w:rFonts w:eastAsiaTheme="majorEastAsia"/>
        </w:rPr>
        <w:t>The Lower Lakes comprise t</w:t>
      </w:r>
      <w:r w:rsidR="00475F01">
        <w:rPr>
          <w:rFonts w:eastAsiaTheme="majorEastAsia"/>
        </w:rPr>
        <w:t xml:space="preserve">wo </w:t>
      </w:r>
      <w:r w:rsidR="009B1634" w:rsidRPr="009B1634">
        <w:rPr>
          <w:rFonts w:eastAsiaTheme="majorEastAsia"/>
        </w:rPr>
        <w:t xml:space="preserve">large, </w:t>
      </w:r>
      <w:r w:rsidR="00475F01">
        <w:rPr>
          <w:rFonts w:eastAsiaTheme="majorEastAsia"/>
        </w:rPr>
        <w:t xml:space="preserve">shallow, </w:t>
      </w:r>
      <w:r w:rsidR="009B1634" w:rsidRPr="009B1634">
        <w:rPr>
          <w:rFonts w:eastAsiaTheme="majorEastAsia"/>
        </w:rPr>
        <w:t>freshwater lakes</w:t>
      </w:r>
      <w:r w:rsidR="00E130BF">
        <w:rPr>
          <w:rFonts w:eastAsiaTheme="majorEastAsia"/>
        </w:rPr>
        <w:t xml:space="preserve">, Lake Alexandrina (~65,300 </w:t>
      </w:r>
      <w:r w:rsidR="0033424D">
        <w:rPr>
          <w:rFonts w:eastAsiaTheme="majorEastAsia"/>
        </w:rPr>
        <w:t>h</w:t>
      </w:r>
      <w:r w:rsidR="00E130BF">
        <w:rPr>
          <w:rFonts w:eastAsiaTheme="majorEastAsia"/>
        </w:rPr>
        <w:t xml:space="preserve">a; 1,620 GL) and Lake Albert (~17,300 </w:t>
      </w:r>
      <w:r w:rsidR="0033424D">
        <w:rPr>
          <w:rFonts w:eastAsiaTheme="majorEastAsia"/>
        </w:rPr>
        <w:t>ha</w:t>
      </w:r>
      <w:r w:rsidR="00E130BF">
        <w:rPr>
          <w:rFonts w:eastAsiaTheme="majorEastAsia"/>
        </w:rPr>
        <w:t>; ~280 GL)</w:t>
      </w:r>
      <w:r w:rsidR="009B1634" w:rsidRPr="009B1634">
        <w:rPr>
          <w:rFonts w:eastAsiaTheme="majorEastAsia"/>
        </w:rPr>
        <w:t xml:space="preserve">. </w:t>
      </w:r>
      <w:r w:rsidR="00372A18">
        <w:rPr>
          <w:rFonts w:eastAsiaTheme="majorEastAsia"/>
        </w:rPr>
        <w:t>They are</w:t>
      </w:r>
      <w:r w:rsidR="00372A18" w:rsidRPr="009B1634">
        <w:rPr>
          <w:rFonts w:eastAsiaTheme="majorEastAsia"/>
        </w:rPr>
        <w:t xml:space="preserve"> physically separated from the Coorong estuary and Murray Mouth by five barrages, constructed between a series of islands from 1935 and 1940. </w:t>
      </w:r>
      <w:r w:rsidR="009B1634" w:rsidRPr="009B1634">
        <w:rPr>
          <w:rFonts w:eastAsiaTheme="majorEastAsia"/>
        </w:rPr>
        <w:t>The hydrology of the Lower Lakes is primarily influenced by inflows from the Murray</w:t>
      </w:r>
      <w:r w:rsidR="009B1634">
        <w:rPr>
          <w:rFonts w:eastAsiaTheme="majorEastAsia"/>
        </w:rPr>
        <w:t xml:space="preserve"> River</w:t>
      </w:r>
      <w:r w:rsidR="00EC4193">
        <w:rPr>
          <w:rFonts w:eastAsiaTheme="majorEastAsia"/>
        </w:rPr>
        <w:t xml:space="preserve">. </w:t>
      </w:r>
      <w:r w:rsidR="009B1634" w:rsidRPr="009B1634">
        <w:rPr>
          <w:rFonts w:eastAsiaTheme="majorEastAsia"/>
        </w:rPr>
        <w:t>Water levels in the Lower Lakes</w:t>
      </w:r>
      <w:r w:rsidR="00D04038">
        <w:rPr>
          <w:rFonts w:eastAsiaTheme="majorEastAsia"/>
        </w:rPr>
        <w:t xml:space="preserve"> are managed to </w:t>
      </w:r>
      <w:r w:rsidR="009B1634" w:rsidRPr="009B1634">
        <w:rPr>
          <w:rFonts w:eastAsiaTheme="majorEastAsia"/>
        </w:rPr>
        <w:t xml:space="preserve">fluctuate seasonally, and are generally higher in winter and lower in summer following the pattern of </w:t>
      </w:r>
      <w:r w:rsidR="009B1634">
        <w:rPr>
          <w:rFonts w:eastAsiaTheme="majorEastAsia"/>
        </w:rPr>
        <w:t>Murray River</w:t>
      </w:r>
      <w:r w:rsidR="009B1634" w:rsidRPr="009B1634">
        <w:rPr>
          <w:rFonts w:eastAsiaTheme="majorEastAsia"/>
        </w:rPr>
        <w:t xml:space="preserve"> and tributary inflows and climatic factors, such as wind, tides and evaporation (Phillips </w:t>
      </w:r>
      <w:r>
        <w:rPr>
          <w:rFonts w:eastAsiaTheme="majorEastAsia"/>
        </w:rPr>
        <w:t>and</w:t>
      </w:r>
      <w:r w:rsidR="009B1634" w:rsidRPr="009B1634">
        <w:rPr>
          <w:rFonts w:eastAsiaTheme="majorEastAsia"/>
        </w:rPr>
        <w:t xml:space="preserve"> Muller 2006).</w:t>
      </w:r>
    </w:p>
    <w:p w14:paraId="1AC4430A" w14:textId="13D3D23C" w:rsidR="00C71A57" w:rsidRDefault="00EC4193" w:rsidP="00C71A57">
      <w:pPr>
        <w:rPr>
          <w:rFonts w:eastAsiaTheme="majorEastAsia"/>
        </w:rPr>
      </w:pPr>
      <w:r w:rsidRPr="00EA34D7">
        <w:rPr>
          <w:rFonts w:eastAsiaTheme="majorEastAsia"/>
        </w:rPr>
        <w:t>The Coorong is a</w:t>
      </w:r>
      <w:r>
        <w:rPr>
          <w:rFonts w:eastAsiaTheme="majorEastAsia"/>
        </w:rPr>
        <w:t xml:space="preserve"> shallow (</w:t>
      </w:r>
      <w:r w:rsidR="000D6681">
        <w:rPr>
          <w:rFonts w:eastAsiaTheme="majorEastAsia"/>
        </w:rPr>
        <w:t>typically</w:t>
      </w:r>
      <w:r w:rsidR="00BD6BAD">
        <w:rPr>
          <w:rFonts w:eastAsiaTheme="majorEastAsia"/>
        </w:rPr>
        <w:t xml:space="preserve"> &lt;3 metre</w:t>
      </w:r>
      <w:r>
        <w:rPr>
          <w:rFonts w:eastAsiaTheme="majorEastAsia"/>
        </w:rPr>
        <w:t>),</w:t>
      </w:r>
      <w:r w:rsidRPr="00EA34D7">
        <w:rPr>
          <w:rFonts w:eastAsiaTheme="majorEastAsia"/>
        </w:rPr>
        <w:t xml:space="preserve"> narrow (&lt;4 km) </w:t>
      </w:r>
      <w:r>
        <w:rPr>
          <w:rFonts w:eastAsiaTheme="majorEastAsia"/>
        </w:rPr>
        <w:t xml:space="preserve">and </w:t>
      </w:r>
      <w:r w:rsidRPr="00EA34D7">
        <w:rPr>
          <w:rFonts w:eastAsiaTheme="majorEastAsia"/>
        </w:rPr>
        <w:t xml:space="preserve">long (about 110 km) estuarine lagoon system </w:t>
      </w:r>
      <w:r w:rsidR="00C71A57">
        <w:rPr>
          <w:rFonts w:eastAsiaTheme="majorEastAsia"/>
        </w:rPr>
        <w:t>with a constricted channel connection (Murray Mouth) to the sea</w:t>
      </w:r>
      <w:r w:rsidR="00847FA2">
        <w:rPr>
          <w:rFonts w:eastAsiaTheme="majorEastAsia"/>
        </w:rPr>
        <w:t xml:space="preserve"> (</w:t>
      </w:r>
      <w:r w:rsidR="00847FA2">
        <w:rPr>
          <w:rFonts w:eastAsiaTheme="majorEastAsia"/>
        </w:rPr>
        <w:fldChar w:fldCharType="begin"/>
      </w:r>
      <w:r w:rsidR="00847FA2">
        <w:rPr>
          <w:rFonts w:eastAsiaTheme="majorEastAsia"/>
        </w:rPr>
        <w:instrText xml:space="preserve"> REF _Ref10106359 \h </w:instrText>
      </w:r>
      <w:r w:rsidR="00847FA2">
        <w:rPr>
          <w:rFonts w:eastAsiaTheme="majorEastAsia"/>
        </w:rPr>
      </w:r>
      <w:r w:rsidR="00847FA2">
        <w:rPr>
          <w:rFonts w:eastAsiaTheme="majorEastAsia"/>
        </w:rPr>
        <w:fldChar w:fldCharType="separate"/>
      </w:r>
      <w:r w:rsidR="00DF49CD">
        <w:t xml:space="preserve">Figure </w:t>
      </w:r>
      <w:r w:rsidR="00DF49CD">
        <w:rPr>
          <w:noProof/>
        </w:rPr>
        <w:t>2</w:t>
      </w:r>
      <w:r w:rsidR="00DF49CD">
        <w:t>.</w:t>
      </w:r>
      <w:r w:rsidR="00DF49CD">
        <w:rPr>
          <w:noProof/>
        </w:rPr>
        <w:t>1</w:t>
      </w:r>
      <w:r w:rsidR="00847FA2">
        <w:rPr>
          <w:rFonts w:eastAsiaTheme="majorEastAsia"/>
        </w:rPr>
        <w:fldChar w:fldCharType="end"/>
      </w:r>
      <w:r w:rsidR="00847FA2">
        <w:rPr>
          <w:rFonts w:eastAsiaTheme="majorEastAsia"/>
        </w:rPr>
        <w:t>)</w:t>
      </w:r>
      <w:r w:rsidR="00C71A57">
        <w:rPr>
          <w:rFonts w:eastAsiaTheme="majorEastAsia"/>
        </w:rPr>
        <w:t xml:space="preserve">. </w:t>
      </w:r>
      <w:r w:rsidR="00C71A57" w:rsidRPr="009B1634">
        <w:rPr>
          <w:rFonts w:eastAsiaTheme="majorEastAsia"/>
        </w:rPr>
        <w:t xml:space="preserve">The North and South </w:t>
      </w:r>
      <w:r w:rsidR="00C71A57">
        <w:rPr>
          <w:rFonts w:eastAsiaTheme="majorEastAsia"/>
        </w:rPr>
        <w:t>l</w:t>
      </w:r>
      <w:r w:rsidR="00C71A57" w:rsidRPr="009B1634">
        <w:rPr>
          <w:rFonts w:eastAsiaTheme="majorEastAsia"/>
        </w:rPr>
        <w:t xml:space="preserve">agoons </w:t>
      </w:r>
      <w:r w:rsidR="00372A18">
        <w:rPr>
          <w:rFonts w:eastAsiaTheme="majorEastAsia"/>
        </w:rPr>
        <w:t xml:space="preserve">are ‘separated’ </w:t>
      </w:r>
      <w:r w:rsidR="00C71A57" w:rsidRPr="009B1634">
        <w:rPr>
          <w:rFonts w:eastAsiaTheme="majorEastAsia"/>
        </w:rPr>
        <w:t>at</w:t>
      </w:r>
      <w:r w:rsidR="00372A18">
        <w:rPr>
          <w:rFonts w:eastAsiaTheme="majorEastAsia"/>
        </w:rPr>
        <w:t xml:space="preserve"> Parnka Point</w:t>
      </w:r>
      <w:r w:rsidR="00C71A57" w:rsidRPr="009B1634">
        <w:rPr>
          <w:rFonts w:eastAsiaTheme="majorEastAsia"/>
        </w:rPr>
        <w:t xml:space="preserve"> with </w:t>
      </w:r>
      <w:r w:rsidR="00372A18">
        <w:rPr>
          <w:rFonts w:eastAsiaTheme="majorEastAsia"/>
        </w:rPr>
        <w:t xml:space="preserve">a narrow </w:t>
      </w:r>
      <w:r w:rsidR="00C71A57" w:rsidRPr="009B1634">
        <w:rPr>
          <w:rFonts w:eastAsiaTheme="majorEastAsia"/>
        </w:rPr>
        <w:t xml:space="preserve">width down to ~100 m. </w:t>
      </w:r>
      <w:r w:rsidR="00BD6BAD">
        <w:rPr>
          <w:rFonts w:eastAsiaTheme="majorEastAsia"/>
        </w:rPr>
        <w:t>The</w:t>
      </w:r>
      <w:r w:rsidR="00C71A57" w:rsidRPr="009B1634">
        <w:rPr>
          <w:rFonts w:eastAsiaTheme="majorEastAsia"/>
        </w:rPr>
        <w:t xml:space="preserve"> </w:t>
      </w:r>
      <w:r w:rsidR="00BD6BAD">
        <w:rPr>
          <w:rFonts w:eastAsiaTheme="majorEastAsia"/>
        </w:rPr>
        <w:t xml:space="preserve">average width of </w:t>
      </w:r>
      <w:r w:rsidR="00C71A57" w:rsidRPr="009B1634">
        <w:rPr>
          <w:rFonts w:eastAsiaTheme="majorEastAsia"/>
        </w:rPr>
        <w:t xml:space="preserve">North and South </w:t>
      </w:r>
      <w:r w:rsidR="00372A18">
        <w:rPr>
          <w:rFonts w:eastAsiaTheme="majorEastAsia"/>
        </w:rPr>
        <w:t>l</w:t>
      </w:r>
      <w:r w:rsidR="00C71A57" w:rsidRPr="009B1634">
        <w:rPr>
          <w:rFonts w:eastAsiaTheme="majorEastAsia"/>
        </w:rPr>
        <w:t>agoons are 1.5 km and 2.5 km, respectively, whe</w:t>
      </w:r>
      <w:r w:rsidR="002F5783">
        <w:rPr>
          <w:rFonts w:eastAsiaTheme="majorEastAsia"/>
        </w:rPr>
        <w:t>reas the average depths are 1.2 </w:t>
      </w:r>
      <w:r w:rsidR="00C71A57" w:rsidRPr="009B1634">
        <w:rPr>
          <w:rFonts w:eastAsiaTheme="majorEastAsia"/>
        </w:rPr>
        <w:t xml:space="preserve">m </w:t>
      </w:r>
      <w:r w:rsidR="00372A18">
        <w:rPr>
          <w:rFonts w:eastAsiaTheme="majorEastAsia"/>
        </w:rPr>
        <w:t>and 1.4 m, respectively</w:t>
      </w:r>
      <w:r w:rsidR="00C71A57" w:rsidRPr="009B1634">
        <w:rPr>
          <w:rFonts w:eastAsiaTheme="majorEastAsia"/>
        </w:rPr>
        <w:t xml:space="preserve">. </w:t>
      </w:r>
      <w:r w:rsidR="00C71A57">
        <w:rPr>
          <w:rFonts w:eastAsiaTheme="majorEastAsia"/>
        </w:rPr>
        <w:t xml:space="preserve">There is </w:t>
      </w:r>
      <w:r w:rsidRPr="00EA34D7">
        <w:rPr>
          <w:rFonts w:eastAsiaTheme="majorEastAsia"/>
        </w:rPr>
        <w:t>a strong north-south salinity gradient</w:t>
      </w:r>
      <w:r w:rsidR="00372A18">
        <w:rPr>
          <w:rFonts w:eastAsiaTheme="majorEastAsia"/>
        </w:rPr>
        <w:t xml:space="preserve"> in the Coorong</w:t>
      </w:r>
      <w:r w:rsidRPr="00EA34D7">
        <w:rPr>
          <w:rFonts w:eastAsiaTheme="majorEastAsia"/>
        </w:rPr>
        <w:t>, generally ranging from brackish/marine in the Murray Estuary near the Murray Mouth to hypersaline in the North and South lagoons (Geddes and Butler 1984; Geddes 1987). Salinities are spatio-temporally variable and highly dependent on the freshwater flows from the Murray</w:t>
      </w:r>
      <w:r w:rsidR="00C71A57">
        <w:rPr>
          <w:rFonts w:eastAsiaTheme="majorEastAsia"/>
        </w:rPr>
        <w:t xml:space="preserve"> River</w:t>
      </w:r>
      <w:r w:rsidRPr="00EA34D7">
        <w:rPr>
          <w:rFonts w:eastAsiaTheme="majorEastAsia"/>
        </w:rPr>
        <w:t xml:space="preserve">, with varied salinities supporting different ecological communities (Brookes </w:t>
      </w:r>
      <w:r w:rsidRPr="00182CAE">
        <w:rPr>
          <w:rFonts w:eastAsiaTheme="majorEastAsia"/>
          <w:i/>
        </w:rPr>
        <w:t>et al.</w:t>
      </w:r>
      <w:r w:rsidRPr="00EA34D7">
        <w:rPr>
          <w:rFonts w:eastAsiaTheme="majorEastAsia"/>
        </w:rPr>
        <w:t xml:space="preserve"> 2009). In addition, the southern end of the South Lagoon receives small volumes of fresh</w:t>
      </w:r>
      <w:r w:rsidR="00C71A57">
        <w:rPr>
          <w:rFonts w:eastAsiaTheme="majorEastAsia"/>
        </w:rPr>
        <w:t xml:space="preserve"> to </w:t>
      </w:r>
      <w:r w:rsidRPr="00EA34D7">
        <w:rPr>
          <w:rFonts w:eastAsiaTheme="majorEastAsia"/>
        </w:rPr>
        <w:t>brackish water (2</w:t>
      </w:r>
      <w:r>
        <w:rPr>
          <w:rFonts w:eastAsiaTheme="majorEastAsia"/>
        </w:rPr>
        <w:t>,100</w:t>
      </w:r>
      <w:r w:rsidRPr="00EA34D7">
        <w:rPr>
          <w:rFonts w:eastAsiaTheme="majorEastAsia"/>
        </w:rPr>
        <w:t>–43</w:t>
      </w:r>
      <w:r>
        <w:rPr>
          <w:rFonts w:eastAsiaTheme="majorEastAsia"/>
        </w:rPr>
        <w:t>,700 ML/year</w:t>
      </w:r>
      <w:r w:rsidR="005075C8">
        <w:rPr>
          <w:rFonts w:eastAsiaTheme="majorEastAsia"/>
        </w:rPr>
        <w:t xml:space="preserve"> </w:t>
      </w:r>
      <w:r w:rsidR="00671486">
        <w:rPr>
          <w:rFonts w:eastAsiaTheme="majorEastAsia"/>
        </w:rPr>
        <w:t xml:space="preserve">from 2007-08 to </w:t>
      </w:r>
      <w:r w:rsidR="005075C8">
        <w:rPr>
          <w:rFonts w:eastAsiaTheme="majorEastAsia"/>
        </w:rPr>
        <w:t>2016-</w:t>
      </w:r>
      <w:r w:rsidRPr="00EA34D7">
        <w:rPr>
          <w:rFonts w:eastAsiaTheme="majorEastAsia"/>
        </w:rPr>
        <w:t>17) from a network of drains (the Upper South East Drainage Scheme) through Salt Creek</w:t>
      </w:r>
      <w:r w:rsidR="00372A18">
        <w:rPr>
          <w:rFonts w:eastAsiaTheme="majorEastAsia"/>
        </w:rPr>
        <w:t xml:space="preserve"> (Ye </w:t>
      </w:r>
      <w:r w:rsidR="00372A18" w:rsidRPr="00182CAE">
        <w:rPr>
          <w:rFonts w:eastAsiaTheme="majorEastAsia"/>
          <w:i/>
        </w:rPr>
        <w:t>et al.</w:t>
      </w:r>
      <w:r w:rsidR="00372A18">
        <w:rPr>
          <w:rFonts w:eastAsiaTheme="majorEastAsia"/>
        </w:rPr>
        <w:t xml:space="preserve"> 2018</w:t>
      </w:r>
      <w:r w:rsidR="009216C8">
        <w:rPr>
          <w:rFonts w:eastAsiaTheme="majorEastAsia"/>
        </w:rPr>
        <w:t>b</w:t>
      </w:r>
      <w:r w:rsidR="00372A18">
        <w:rPr>
          <w:rFonts w:eastAsiaTheme="majorEastAsia"/>
        </w:rPr>
        <w:t>)</w:t>
      </w:r>
      <w:r w:rsidRPr="00EA34D7">
        <w:rPr>
          <w:rFonts w:eastAsiaTheme="majorEastAsia"/>
        </w:rPr>
        <w:t xml:space="preserve">. </w:t>
      </w:r>
    </w:p>
    <w:p w14:paraId="6FE4FF6C" w14:textId="7035DCBE" w:rsidR="00EC4193" w:rsidRPr="00EA34D7" w:rsidRDefault="00EC4193" w:rsidP="00EC4193">
      <w:pPr>
        <w:rPr>
          <w:rFonts w:eastAsiaTheme="majorEastAsia"/>
        </w:rPr>
      </w:pPr>
    </w:p>
    <w:p w14:paraId="31E429F7" w14:textId="30C0939F" w:rsidR="00473F13" w:rsidRPr="00D2020E" w:rsidRDefault="00847FA2" w:rsidP="00F02673">
      <w:pPr>
        <w:rPr>
          <w:rFonts w:eastAsiaTheme="majorEastAsia"/>
        </w:rPr>
      </w:pPr>
      <w:r>
        <w:rPr>
          <w:rFonts w:eastAsiaTheme="majorEastAsia"/>
          <w:noProof/>
          <w:lang w:eastAsia="en-AU"/>
        </w:rPr>
        <w:lastRenderedPageBreak/>
        <w:drawing>
          <wp:inline distT="0" distB="0" distL="0" distR="0" wp14:anchorId="66EBFA4D" wp14:editId="028EA71A">
            <wp:extent cx="5695832" cy="5633049"/>
            <wp:effectExtent l="0" t="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wer Murray_CLLMM.jpg"/>
                    <pic:cNvPicPr/>
                  </pic:nvPicPr>
                  <pic:blipFill rotWithShape="1">
                    <a:blip r:embed="rId19">
                      <a:extLst>
                        <a:ext uri="{28A0092B-C50C-407E-A947-70E740481C1C}">
                          <a14:useLocalDpi xmlns:a14="http://schemas.microsoft.com/office/drawing/2010/main"/>
                        </a:ext>
                      </a:extLst>
                    </a:blip>
                    <a:srcRect/>
                    <a:stretch/>
                  </pic:blipFill>
                  <pic:spPr bwMode="auto">
                    <a:xfrm>
                      <a:off x="0" y="0"/>
                      <a:ext cx="5713796" cy="565081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inline>
        </w:drawing>
      </w:r>
    </w:p>
    <w:p w14:paraId="1E092929" w14:textId="3054F05A" w:rsidR="00443EDA" w:rsidRPr="00107BDC" w:rsidRDefault="00473F13" w:rsidP="00473F13">
      <w:pPr>
        <w:pStyle w:val="Caption"/>
      </w:pPr>
      <w:bookmarkStart w:id="36" w:name="_Ref10106359"/>
      <w:bookmarkStart w:id="37" w:name="_Toc12630429"/>
      <w:r>
        <w:t xml:space="preserve">Figure </w:t>
      </w:r>
      <w:r w:rsidR="00A8252A">
        <w:rPr>
          <w:noProof/>
        </w:rPr>
        <w:fldChar w:fldCharType="begin"/>
      </w:r>
      <w:r w:rsidR="00A8252A">
        <w:rPr>
          <w:noProof/>
        </w:rPr>
        <w:instrText xml:space="preserve"> STYLEREF 1 \s </w:instrText>
      </w:r>
      <w:r w:rsidR="00A8252A">
        <w:rPr>
          <w:noProof/>
        </w:rPr>
        <w:fldChar w:fldCharType="separate"/>
      </w:r>
      <w:r w:rsidR="00DF49CD">
        <w:rPr>
          <w:noProof/>
        </w:rPr>
        <w:t>2</w:t>
      </w:r>
      <w:r w:rsidR="00A8252A">
        <w:rPr>
          <w:noProof/>
        </w:rPr>
        <w:fldChar w:fldCharType="end"/>
      </w:r>
      <w:r w:rsidR="00251188">
        <w:t>.</w:t>
      </w:r>
      <w:r w:rsidR="00A8252A">
        <w:rPr>
          <w:noProof/>
        </w:rPr>
        <w:fldChar w:fldCharType="begin"/>
      </w:r>
      <w:r w:rsidR="00A8252A">
        <w:rPr>
          <w:noProof/>
        </w:rPr>
        <w:instrText xml:space="preserve"> SEQ Figure \* ARABIC \s 1 </w:instrText>
      </w:r>
      <w:r w:rsidR="00A8252A">
        <w:rPr>
          <w:noProof/>
        </w:rPr>
        <w:fldChar w:fldCharType="separate"/>
      </w:r>
      <w:r w:rsidR="00DF49CD">
        <w:rPr>
          <w:noProof/>
        </w:rPr>
        <w:t>1</w:t>
      </w:r>
      <w:r w:rsidR="00A8252A">
        <w:rPr>
          <w:noProof/>
        </w:rPr>
        <w:fldChar w:fldCharType="end"/>
      </w:r>
      <w:bookmarkEnd w:id="36"/>
      <w:r w:rsidR="00D2020E" w:rsidRPr="00FA4AA8">
        <w:t>.</w:t>
      </w:r>
      <w:r>
        <w:t xml:space="preserve"> </w:t>
      </w:r>
      <w:r w:rsidR="00D2020E" w:rsidRPr="00FA4AA8">
        <w:t xml:space="preserve">Map of the </w:t>
      </w:r>
      <w:r w:rsidR="00D729DF" w:rsidRPr="00D729DF">
        <w:t>Lower Murray</w:t>
      </w:r>
      <w:r w:rsidR="00D2020E" w:rsidRPr="00FA4AA8">
        <w:t xml:space="preserve"> Selected Area, </w:t>
      </w:r>
      <w:r w:rsidR="00107BDC" w:rsidRPr="00107BDC">
        <w:t>showing the floodplain (blue), gorge (green) and swamplands (orange) zones, and the Lower Lakes, Coorong and Murray Mouth (</w:t>
      </w:r>
      <w:r w:rsidR="000434AB">
        <w:t>yellow</w:t>
      </w:r>
      <w:r w:rsidR="00107BDC" w:rsidRPr="00107BDC">
        <w:t>).</w:t>
      </w:r>
      <w:bookmarkEnd w:id="37"/>
    </w:p>
    <w:p w14:paraId="607CCF80" w14:textId="77777777" w:rsidR="00443EDA" w:rsidRDefault="00443EDA" w:rsidP="00F02673">
      <w:pPr>
        <w:rPr>
          <w:rFonts w:eastAsiaTheme="majorEastAsia"/>
        </w:rPr>
      </w:pPr>
    </w:p>
    <w:p w14:paraId="2F3157E3" w14:textId="77777777" w:rsidR="00443EDA" w:rsidRDefault="00D2020E" w:rsidP="00F02673">
      <w:pPr>
        <w:rPr>
          <w:rFonts w:eastAsiaTheme="majorEastAsia"/>
        </w:rPr>
      </w:pPr>
      <w:r w:rsidRPr="00D2020E">
        <w:rPr>
          <w:rFonts w:eastAsiaTheme="majorEastAsia"/>
        </w:rPr>
        <w:br w:type="page"/>
      </w:r>
    </w:p>
    <w:p w14:paraId="13057902" w14:textId="71409A30" w:rsidR="00443EDA" w:rsidRDefault="00D2020E" w:rsidP="00475425">
      <w:pPr>
        <w:pStyle w:val="Heading1"/>
      </w:pPr>
      <w:bookmarkStart w:id="38" w:name="_Toc22196686"/>
      <w:r w:rsidRPr="00D2020E">
        <w:lastRenderedPageBreak/>
        <w:t>Commonwealth environmental watering</w:t>
      </w:r>
      <w:bookmarkEnd w:id="38"/>
      <w:r w:rsidRPr="00D2020E">
        <w:t xml:space="preserve"> </w:t>
      </w:r>
    </w:p>
    <w:p w14:paraId="53FFF786" w14:textId="77777777" w:rsidR="00443EDA" w:rsidRDefault="00D2020E" w:rsidP="00475425">
      <w:pPr>
        <w:pStyle w:val="Heading2"/>
      </w:pPr>
      <w:bookmarkStart w:id="39" w:name="_Toc22196687"/>
      <w:r w:rsidRPr="00D2020E">
        <w:t>What types of watering are proposed?</w:t>
      </w:r>
      <w:bookmarkEnd w:id="39"/>
      <w:r w:rsidRPr="00D2020E">
        <w:t xml:space="preserve"> </w:t>
      </w:r>
    </w:p>
    <w:p w14:paraId="1DC7B98E" w14:textId="29BDB818" w:rsidR="00D2020E" w:rsidRPr="00D2020E" w:rsidRDefault="00D2020E" w:rsidP="00F02673">
      <w:pPr>
        <w:rPr>
          <w:rFonts w:eastAsiaTheme="majorEastAsia"/>
        </w:rPr>
      </w:pPr>
      <w:r w:rsidRPr="00D2020E">
        <w:rPr>
          <w:rFonts w:eastAsiaTheme="majorEastAsia"/>
        </w:rPr>
        <w:t>The M</w:t>
      </w:r>
      <w:r w:rsidR="004705E0">
        <w:rPr>
          <w:rFonts w:eastAsiaTheme="majorEastAsia"/>
        </w:rPr>
        <w:t>DB</w:t>
      </w:r>
      <w:r w:rsidRPr="00D2020E">
        <w:rPr>
          <w:rFonts w:eastAsiaTheme="majorEastAsia"/>
        </w:rPr>
        <w:t xml:space="preserve"> Plan and Gawne </w:t>
      </w:r>
      <w:r w:rsidRPr="00D2020E">
        <w:rPr>
          <w:rFonts w:eastAsiaTheme="majorEastAsia"/>
          <w:i/>
        </w:rPr>
        <w:t>et al</w:t>
      </w:r>
      <w:r w:rsidRPr="00D2020E">
        <w:rPr>
          <w:rFonts w:eastAsiaTheme="majorEastAsia"/>
        </w:rPr>
        <w:t>. (2013a) outline a number of generalised flow types, illustrated in</w:t>
      </w:r>
      <w:r w:rsidR="004035B1">
        <w:rPr>
          <w:rFonts w:eastAsiaTheme="majorEastAsia"/>
        </w:rPr>
        <w:t xml:space="preserve"> </w:t>
      </w:r>
      <w:r w:rsidR="006F4D01">
        <w:fldChar w:fldCharType="begin"/>
      </w:r>
      <w:r w:rsidR="004035B1">
        <w:instrText xml:space="preserve"> REF _Ref385512590 \h </w:instrText>
      </w:r>
      <w:r w:rsidR="006F4D01">
        <w:fldChar w:fldCharType="separate"/>
      </w:r>
      <w:r w:rsidR="00DF49CD" w:rsidRPr="00D2020E">
        <w:t xml:space="preserve">Figure </w:t>
      </w:r>
      <w:r w:rsidR="00DF49CD">
        <w:rPr>
          <w:noProof/>
        </w:rPr>
        <w:t>3</w:t>
      </w:r>
      <w:r w:rsidR="00DF49CD">
        <w:t>.</w:t>
      </w:r>
      <w:r w:rsidR="00DF49CD">
        <w:rPr>
          <w:noProof/>
        </w:rPr>
        <w:t>1</w:t>
      </w:r>
      <w:r w:rsidR="006F4D01">
        <w:fldChar w:fldCharType="end"/>
      </w:r>
      <w:r w:rsidRPr="00D2020E">
        <w:rPr>
          <w:rFonts w:eastAsiaTheme="majorEastAsia"/>
        </w:rPr>
        <w:t xml:space="preserve">. </w:t>
      </w:r>
      <w:r w:rsidRPr="00D2020E">
        <w:rPr>
          <w:rFonts w:eastAsiaTheme="majorEastAsia"/>
          <w:i/>
        </w:rPr>
        <w:t>Cease-to-flow</w:t>
      </w:r>
      <w:r w:rsidRPr="00D2020E">
        <w:rPr>
          <w:rFonts w:eastAsiaTheme="majorEastAsia"/>
        </w:rPr>
        <w:t xml:space="preserve"> events do not occur in the </w:t>
      </w:r>
      <w:r w:rsidR="00D729DF" w:rsidRPr="00D729DF">
        <w:rPr>
          <w:rFonts w:eastAsiaTheme="majorEastAsia"/>
        </w:rPr>
        <w:t>Lower Murray</w:t>
      </w:r>
      <w:r w:rsidRPr="00D2020E">
        <w:rPr>
          <w:rFonts w:eastAsiaTheme="majorEastAsia"/>
        </w:rPr>
        <w:t xml:space="preserve">, as minimum water levels and flows are maintained by river regulation and </w:t>
      </w:r>
      <w:r w:rsidR="009F591A">
        <w:rPr>
          <w:rFonts w:eastAsiaTheme="majorEastAsia"/>
        </w:rPr>
        <w:t>South Australian</w:t>
      </w:r>
      <w:r w:rsidRPr="00D2020E">
        <w:rPr>
          <w:rFonts w:eastAsiaTheme="majorEastAsia"/>
        </w:rPr>
        <w:t xml:space="preserve"> entitlement flows</w:t>
      </w:r>
      <w:r w:rsidR="009C5FD6">
        <w:rPr>
          <w:rFonts w:eastAsiaTheme="majorEastAsia"/>
        </w:rPr>
        <w:t xml:space="preserve"> (3,000</w:t>
      </w:r>
      <w:r w:rsidR="009C5FD6">
        <w:rPr>
          <w:rFonts w:eastAsiaTheme="majorEastAsia" w:cstheme="minorHAnsi"/>
        </w:rPr>
        <w:t>−</w:t>
      </w:r>
      <w:r w:rsidR="009C5FD6">
        <w:rPr>
          <w:rFonts w:eastAsiaTheme="majorEastAsia"/>
        </w:rPr>
        <w:t>7,000 ML/d)</w:t>
      </w:r>
      <w:r w:rsidR="00924CD0">
        <w:rPr>
          <w:rFonts w:eastAsiaTheme="majorEastAsia"/>
        </w:rPr>
        <w:t xml:space="preserve">, which are considered as </w:t>
      </w:r>
      <w:r w:rsidR="00071F7F">
        <w:rPr>
          <w:rFonts w:eastAsiaTheme="majorEastAsia"/>
          <w:i/>
        </w:rPr>
        <w:t>base</w:t>
      </w:r>
      <w:r w:rsidR="00924CD0" w:rsidRPr="00924CD0">
        <w:rPr>
          <w:rFonts w:eastAsiaTheme="majorEastAsia"/>
          <w:i/>
        </w:rPr>
        <w:t>flows</w:t>
      </w:r>
      <w:r w:rsidRPr="00D2020E">
        <w:rPr>
          <w:rFonts w:eastAsiaTheme="majorEastAsia"/>
        </w:rPr>
        <w:t xml:space="preserve">. </w:t>
      </w:r>
      <w:r w:rsidR="0021787E">
        <w:rPr>
          <w:rFonts w:eastAsiaTheme="majorEastAsia"/>
        </w:rPr>
        <w:t xml:space="preserve">Environmental water contributes significantly to </w:t>
      </w:r>
      <w:r w:rsidR="0021787E">
        <w:rPr>
          <w:rFonts w:eastAsiaTheme="majorEastAsia"/>
          <w:i/>
        </w:rPr>
        <w:t>base</w:t>
      </w:r>
      <w:r w:rsidR="0021787E" w:rsidRPr="00D2020E">
        <w:rPr>
          <w:rFonts w:eastAsiaTheme="majorEastAsia"/>
          <w:i/>
        </w:rPr>
        <w:t>flows</w:t>
      </w:r>
      <w:r w:rsidR="0021787E" w:rsidRPr="00D2020E">
        <w:rPr>
          <w:rFonts w:eastAsiaTheme="majorEastAsia"/>
        </w:rPr>
        <w:t xml:space="preserve"> in the </w:t>
      </w:r>
      <w:r w:rsidR="0021787E" w:rsidRPr="00D729DF">
        <w:rPr>
          <w:rFonts w:eastAsiaTheme="majorEastAsia"/>
        </w:rPr>
        <w:t>Lower Murray</w:t>
      </w:r>
      <w:r w:rsidR="0021787E" w:rsidRPr="0021787E">
        <w:rPr>
          <w:rFonts w:eastAsiaTheme="majorEastAsia"/>
        </w:rPr>
        <w:t>, particularly in dry years where it may contribute up to half of total flows for the year</w:t>
      </w:r>
      <w:r w:rsidR="0021787E">
        <w:rPr>
          <w:rFonts w:eastAsiaTheme="majorEastAsia"/>
        </w:rPr>
        <w:t>.</w:t>
      </w:r>
      <w:r w:rsidR="0021787E" w:rsidRPr="00D2020E">
        <w:rPr>
          <w:rFonts w:eastAsiaTheme="majorEastAsia"/>
        </w:rPr>
        <w:t xml:space="preserve"> </w:t>
      </w:r>
      <w:r w:rsidRPr="00D2020E">
        <w:rPr>
          <w:rFonts w:eastAsiaTheme="majorEastAsia"/>
          <w:i/>
        </w:rPr>
        <w:t>Freshes</w:t>
      </w:r>
      <w:r w:rsidRPr="00D2020E">
        <w:rPr>
          <w:rFonts w:eastAsiaTheme="majorEastAsia"/>
        </w:rPr>
        <w:t xml:space="preserve"> </w:t>
      </w:r>
      <w:r w:rsidR="00924CD0">
        <w:rPr>
          <w:rFonts w:eastAsiaTheme="majorEastAsia"/>
        </w:rPr>
        <w:t xml:space="preserve">to </w:t>
      </w:r>
      <w:r w:rsidRPr="00D2020E">
        <w:rPr>
          <w:rFonts w:eastAsiaTheme="majorEastAsia"/>
          <w:i/>
        </w:rPr>
        <w:t>bankfull</w:t>
      </w:r>
      <w:r w:rsidRPr="00D2020E">
        <w:rPr>
          <w:rFonts w:eastAsiaTheme="majorEastAsia"/>
        </w:rPr>
        <w:t xml:space="preserve"> </w:t>
      </w:r>
      <w:r w:rsidRPr="00D2020E">
        <w:rPr>
          <w:rFonts w:eastAsiaTheme="majorEastAsia"/>
          <w:i/>
        </w:rPr>
        <w:t>flows</w:t>
      </w:r>
      <w:r w:rsidRPr="00D2020E">
        <w:rPr>
          <w:rFonts w:eastAsiaTheme="majorEastAsia"/>
        </w:rPr>
        <w:t xml:space="preserve"> </w:t>
      </w:r>
      <w:r w:rsidR="009C5FD6">
        <w:rPr>
          <w:rFonts w:eastAsiaTheme="majorEastAsia"/>
        </w:rPr>
        <w:t>(~</w:t>
      </w:r>
      <w:r w:rsidR="00924CD0">
        <w:rPr>
          <w:rFonts w:eastAsiaTheme="majorEastAsia"/>
        </w:rPr>
        <w:t>7,000</w:t>
      </w:r>
      <w:r w:rsidR="00924CD0">
        <w:rPr>
          <w:rFonts w:eastAsiaTheme="majorEastAsia" w:cstheme="minorHAnsi"/>
        </w:rPr>
        <w:t>−</w:t>
      </w:r>
      <w:r w:rsidR="009C5FD6" w:rsidRPr="005D4E4A">
        <w:rPr>
          <w:rFonts w:eastAsiaTheme="majorEastAsia"/>
        </w:rPr>
        <w:t xml:space="preserve">45,000 ML/d) </w:t>
      </w:r>
      <w:r w:rsidR="00240D80" w:rsidRPr="005D4E4A">
        <w:rPr>
          <w:rFonts w:eastAsiaTheme="majorEastAsia"/>
        </w:rPr>
        <w:t xml:space="preserve">remain </w:t>
      </w:r>
      <w:r w:rsidR="0019414C" w:rsidRPr="005D4E4A">
        <w:rPr>
          <w:rFonts w:eastAsiaTheme="majorEastAsia"/>
        </w:rPr>
        <w:t xml:space="preserve">in the main channel </w:t>
      </w:r>
      <w:r w:rsidR="00240D80">
        <w:rPr>
          <w:rFonts w:eastAsiaTheme="majorEastAsia"/>
        </w:rPr>
        <w:t xml:space="preserve">and </w:t>
      </w:r>
      <w:r w:rsidR="00240D80" w:rsidRPr="00D2020E">
        <w:rPr>
          <w:rFonts w:eastAsiaTheme="majorEastAsia"/>
        </w:rPr>
        <w:t>only</w:t>
      </w:r>
      <w:r w:rsidR="00240D80">
        <w:rPr>
          <w:rFonts w:eastAsiaTheme="majorEastAsia"/>
        </w:rPr>
        <w:t xml:space="preserve"> result in</w:t>
      </w:r>
      <w:r w:rsidR="00240D80" w:rsidRPr="00D2020E">
        <w:rPr>
          <w:rFonts w:eastAsiaTheme="majorEastAsia"/>
        </w:rPr>
        <w:t xml:space="preserve"> minor additional inundated area</w:t>
      </w:r>
      <w:r w:rsidR="00924CD0">
        <w:rPr>
          <w:rFonts w:eastAsiaTheme="majorEastAsia"/>
        </w:rPr>
        <w:t xml:space="preserve"> in the Lower Murray</w:t>
      </w:r>
      <w:r w:rsidRPr="00D2020E">
        <w:rPr>
          <w:rFonts w:eastAsiaTheme="majorEastAsia"/>
        </w:rPr>
        <w:t xml:space="preserve">. Herein, </w:t>
      </w:r>
      <w:r w:rsidRPr="00D2020E">
        <w:rPr>
          <w:rFonts w:eastAsiaTheme="majorEastAsia"/>
          <w:i/>
        </w:rPr>
        <w:t>freshes</w:t>
      </w:r>
      <w:r w:rsidRPr="00D2020E">
        <w:rPr>
          <w:rFonts w:eastAsiaTheme="majorEastAsia"/>
        </w:rPr>
        <w:t xml:space="preserve"> and </w:t>
      </w:r>
      <w:r w:rsidRPr="00D2020E">
        <w:rPr>
          <w:rFonts w:eastAsiaTheme="majorEastAsia"/>
          <w:i/>
        </w:rPr>
        <w:t>bankfull flows</w:t>
      </w:r>
      <w:r w:rsidRPr="00D2020E">
        <w:rPr>
          <w:rFonts w:eastAsiaTheme="majorEastAsia"/>
        </w:rPr>
        <w:t xml:space="preserve"> are both described </w:t>
      </w:r>
      <w:r w:rsidRPr="00671486">
        <w:rPr>
          <w:rFonts w:eastAsiaTheme="majorEastAsia"/>
        </w:rPr>
        <w:t xml:space="preserve">as </w:t>
      </w:r>
      <w:r w:rsidRPr="00671486">
        <w:rPr>
          <w:rFonts w:eastAsiaTheme="majorEastAsia"/>
          <w:i/>
        </w:rPr>
        <w:t>freshes</w:t>
      </w:r>
      <w:r w:rsidR="00A95A00">
        <w:rPr>
          <w:rFonts w:eastAsiaTheme="majorEastAsia"/>
        </w:rPr>
        <w:t xml:space="preserve">, noting the magnitude of discharge will </w:t>
      </w:r>
      <w:r w:rsidR="00EE6F27">
        <w:rPr>
          <w:rFonts w:eastAsiaTheme="majorEastAsia"/>
        </w:rPr>
        <w:t xml:space="preserve">influence </w:t>
      </w:r>
      <w:r w:rsidR="0065333C">
        <w:rPr>
          <w:rFonts w:eastAsiaTheme="majorEastAsia"/>
        </w:rPr>
        <w:t xml:space="preserve">the </w:t>
      </w:r>
      <w:r w:rsidR="00EE6F27">
        <w:rPr>
          <w:rFonts w:eastAsiaTheme="majorEastAsia"/>
        </w:rPr>
        <w:t>hydraulic regime in the main channel</w:t>
      </w:r>
      <w:r w:rsidR="006503B6" w:rsidRPr="00671486">
        <w:rPr>
          <w:rFonts w:eastAsiaTheme="majorEastAsia"/>
        </w:rPr>
        <w:t>.</w:t>
      </w:r>
    </w:p>
    <w:p w14:paraId="7920E98E" w14:textId="02ABB61E" w:rsidR="006503B6" w:rsidRDefault="00FE572B" w:rsidP="0083634D">
      <w:pPr>
        <w:rPr>
          <w:rFonts w:eastAsiaTheme="majorEastAsia"/>
        </w:rPr>
      </w:pPr>
      <w:r>
        <w:rPr>
          <w:rFonts w:eastAsiaTheme="majorEastAsia"/>
        </w:rPr>
        <w:t>During the LTIM Project</w:t>
      </w:r>
      <w:r w:rsidR="00DF1963">
        <w:rPr>
          <w:rFonts w:eastAsiaTheme="majorEastAsia"/>
        </w:rPr>
        <w:t xml:space="preserve"> (2014</w:t>
      </w:r>
      <w:r w:rsidR="00E90DAA">
        <w:rPr>
          <w:rFonts w:eastAsiaTheme="majorEastAsia"/>
        </w:rPr>
        <w:t>-</w:t>
      </w:r>
      <w:r w:rsidR="00DF1963">
        <w:rPr>
          <w:rFonts w:eastAsiaTheme="majorEastAsia" w:cstheme="minorHAnsi"/>
        </w:rPr>
        <w:t>15 to 2018</w:t>
      </w:r>
      <w:r w:rsidR="00E90DAA">
        <w:rPr>
          <w:rFonts w:eastAsiaTheme="majorEastAsia" w:cstheme="minorHAnsi"/>
        </w:rPr>
        <w:t>-</w:t>
      </w:r>
      <w:r w:rsidR="00DF1963">
        <w:rPr>
          <w:rFonts w:eastAsiaTheme="majorEastAsia" w:cstheme="minorHAnsi"/>
        </w:rPr>
        <w:t>19)</w:t>
      </w:r>
      <w:r>
        <w:rPr>
          <w:rFonts w:eastAsiaTheme="majorEastAsia"/>
        </w:rPr>
        <w:t xml:space="preserve">, Commonwealth environmental water </w:t>
      </w:r>
      <w:r w:rsidRPr="00FE572B">
        <w:rPr>
          <w:rFonts w:eastAsiaTheme="majorEastAsia"/>
        </w:rPr>
        <w:t xml:space="preserve">was delivered to the </w:t>
      </w:r>
      <w:r>
        <w:rPr>
          <w:rFonts w:eastAsiaTheme="majorEastAsia"/>
        </w:rPr>
        <w:t>Lower Murray</w:t>
      </w:r>
      <w:r w:rsidRPr="00FE572B">
        <w:rPr>
          <w:rFonts w:eastAsiaTheme="majorEastAsia"/>
        </w:rPr>
        <w:t>, in conjunction with other environmental flows (i.e. The Living Murray</w:t>
      </w:r>
      <w:r w:rsidR="007C163A">
        <w:rPr>
          <w:rFonts w:eastAsiaTheme="majorEastAsia"/>
        </w:rPr>
        <w:t xml:space="preserve"> (TLM)</w:t>
      </w:r>
      <w:r w:rsidR="00A95961">
        <w:rPr>
          <w:rFonts w:eastAsiaTheme="majorEastAsia"/>
        </w:rPr>
        <w:t xml:space="preserve"> </w:t>
      </w:r>
      <w:r w:rsidRPr="00FE572B">
        <w:rPr>
          <w:rFonts w:eastAsiaTheme="majorEastAsia"/>
        </w:rPr>
        <w:t xml:space="preserve">Initiative, Victorian Environmental Water Holder and River Murray Increased Flows), </w:t>
      </w:r>
      <w:r w:rsidR="00A95961">
        <w:rPr>
          <w:rFonts w:eastAsiaTheme="majorEastAsia"/>
        </w:rPr>
        <w:t xml:space="preserve">largely </w:t>
      </w:r>
      <w:r w:rsidR="00895594">
        <w:rPr>
          <w:rFonts w:eastAsiaTheme="majorEastAsia"/>
        </w:rPr>
        <w:t xml:space="preserve">as return flows </w:t>
      </w:r>
      <w:r w:rsidR="00A95961">
        <w:rPr>
          <w:rFonts w:eastAsiaTheme="majorEastAsia"/>
        </w:rPr>
        <w:t xml:space="preserve">through </w:t>
      </w:r>
      <w:r w:rsidRPr="00FE572B">
        <w:rPr>
          <w:rFonts w:eastAsiaTheme="majorEastAsia"/>
        </w:rPr>
        <w:t>coordinated watering events across the southern connected Basin to achieve multi-site environmental outcomes.</w:t>
      </w:r>
      <w:r w:rsidR="00895594">
        <w:rPr>
          <w:rFonts w:eastAsiaTheme="majorEastAsia"/>
        </w:rPr>
        <w:t xml:space="preserve"> </w:t>
      </w:r>
      <w:r w:rsidR="00CA2505">
        <w:rPr>
          <w:rFonts w:eastAsiaTheme="majorEastAsia"/>
        </w:rPr>
        <w:t>Direct orders of environmental water to the South Australian border also occurred for specific purposes, often during summer</w:t>
      </w:r>
      <w:r w:rsidR="00CA2505">
        <w:rPr>
          <w:rFonts w:eastAsiaTheme="majorEastAsia" w:cstheme="minorHAnsi"/>
        </w:rPr>
        <w:t>−</w:t>
      </w:r>
      <w:r w:rsidR="00CA2505">
        <w:rPr>
          <w:rFonts w:eastAsiaTheme="majorEastAsia"/>
        </w:rPr>
        <w:t xml:space="preserve">autumn, to provide flow for the Lakes and Coorong. </w:t>
      </w:r>
    </w:p>
    <w:p w14:paraId="182D5D5B" w14:textId="5DE338BC" w:rsidR="0083634D" w:rsidRDefault="00895594" w:rsidP="0083634D">
      <w:pPr>
        <w:rPr>
          <w:rFonts w:eastAsiaTheme="majorEastAsia"/>
        </w:rPr>
      </w:pPr>
      <w:r>
        <w:rPr>
          <w:rFonts w:eastAsiaTheme="majorEastAsia"/>
        </w:rPr>
        <w:t xml:space="preserve">In four out of </w:t>
      </w:r>
      <w:r w:rsidR="00DF1963">
        <w:rPr>
          <w:rFonts w:eastAsiaTheme="majorEastAsia"/>
        </w:rPr>
        <w:t>the last five years</w:t>
      </w:r>
      <w:r>
        <w:rPr>
          <w:rFonts w:eastAsiaTheme="majorEastAsia"/>
        </w:rPr>
        <w:t xml:space="preserve">, environmental water </w:t>
      </w:r>
      <w:r w:rsidR="00FE572B">
        <w:rPr>
          <w:rFonts w:eastAsiaTheme="majorEastAsia"/>
        </w:rPr>
        <w:t>contribute</w:t>
      </w:r>
      <w:r>
        <w:rPr>
          <w:rFonts w:eastAsiaTheme="majorEastAsia"/>
        </w:rPr>
        <w:t>d</w:t>
      </w:r>
      <w:r w:rsidR="00FE572B">
        <w:rPr>
          <w:rFonts w:eastAsiaTheme="majorEastAsia"/>
        </w:rPr>
        <w:t xml:space="preserve"> to </w:t>
      </w:r>
      <w:r w:rsidR="00FE572B" w:rsidRPr="00DF1963">
        <w:rPr>
          <w:rFonts w:eastAsiaTheme="majorEastAsia"/>
          <w:i/>
        </w:rPr>
        <w:t>freshes</w:t>
      </w:r>
      <w:r w:rsidR="00FE572B">
        <w:rPr>
          <w:rFonts w:eastAsiaTheme="majorEastAsia"/>
        </w:rPr>
        <w:t xml:space="preserve">, particularly as </w:t>
      </w:r>
      <w:r>
        <w:rPr>
          <w:rFonts w:eastAsiaTheme="majorEastAsia"/>
        </w:rPr>
        <w:t xml:space="preserve">winter and </w:t>
      </w:r>
      <w:r w:rsidR="00FE572B">
        <w:rPr>
          <w:rFonts w:eastAsiaTheme="majorEastAsia"/>
        </w:rPr>
        <w:t>spring</w:t>
      </w:r>
      <w:r w:rsidR="00FE572B">
        <w:rPr>
          <w:rFonts w:eastAsiaTheme="majorEastAsia" w:cstheme="minorHAnsi"/>
        </w:rPr>
        <w:t>−</w:t>
      </w:r>
      <w:r w:rsidR="00FE572B">
        <w:rPr>
          <w:rFonts w:eastAsiaTheme="majorEastAsia"/>
        </w:rPr>
        <w:t>summer flow pulses</w:t>
      </w:r>
      <w:r w:rsidR="00DF1963">
        <w:rPr>
          <w:rFonts w:eastAsiaTheme="majorEastAsia"/>
        </w:rPr>
        <w:t xml:space="preserve"> in the Lower Murray.</w:t>
      </w:r>
      <w:r w:rsidR="00FE572B">
        <w:rPr>
          <w:rFonts w:eastAsiaTheme="majorEastAsia"/>
        </w:rPr>
        <w:t xml:space="preserve"> </w:t>
      </w:r>
      <w:r w:rsidR="00DF1963">
        <w:rPr>
          <w:rFonts w:eastAsiaTheme="majorEastAsia"/>
        </w:rPr>
        <w:t>The exception was 2016</w:t>
      </w:r>
      <w:r w:rsidR="005E41E2">
        <w:rPr>
          <w:rFonts w:eastAsiaTheme="majorEastAsia"/>
        </w:rPr>
        <w:t>-17</w:t>
      </w:r>
      <w:r w:rsidR="00DF1963">
        <w:rPr>
          <w:rFonts w:eastAsiaTheme="majorEastAsia"/>
        </w:rPr>
        <w:t>, when h</w:t>
      </w:r>
      <w:r w:rsidR="00DF1963" w:rsidRPr="00DF1963">
        <w:rPr>
          <w:rFonts w:eastAsiaTheme="majorEastAsia"/>
        </w:rPr>
        <w:t xml:space="preserve">igh unregulated flows, resulting in </w:t>
      </w:r>
      <w:r w:rsidR="005D77E8">
        <w:rPr>
          <w:rFonts w:eastAsiaTheme="majorEastAsia"/>
        </w:rPr>
        <w:t>overbank inundation</w:t>
      </w:r>
      <w:r w:rsidR="005D77E8" w:rsidRPr="00DF1963">
        <w:rPr>
          <w:rFonts w:eastAsiaTheme="majorEastAsia"/>
        </w:rPr>
        <w:t xml:space="preserve"> </w:t>
      </w:r>
      <w:r w:rsidR="00DF1963" w:rsidRPr="00DF1963">
        <w:rPr>
          <w:rFonts w:eastAsiaTheme="majorEastAsia"/>
        </w:rPr>
        <w:t>(peak ~94,600 ML</w:t>
      </w:r>
      <w:r w:rsidR="00DF1963">
        <w:rPr>
          <w:rFonts w:eastAsiaTheme="majorEastAsia"/>
        </w:rPr>
        <w:t>/</w:t>
      </w:r>
      <w:r w:rsidR="00DF1963" w:rsidRPr="00DF1963">
        <w:rPr>
          <w:rFonts w:eastAsiaTheme="majorEastAsia"/>
        </w:rPr>
        <w:t>d at the South Australian border) during spring/early summer</w:t>
      </w:r>
      <w:r w:rsidR="00243268">
        <w:rPr>
          <w:rFonts w:eastAsiaTheme="majorEastAsia"/>
        </w:rPr>
        <w:t>,</w:t>
      </w:r>
      <w:r w:rsidR="00DF1963" w:rsidRPr="00DF1963">
        <w:rPr>
          <w:rFonts w:eastAsiaTheme="majorEastAsia"/>
        </w:rPr>
        <w:t xml:space="preserve"> delayed the majority (~96%, excluding South Australian held entitlement flow) of environmental flow delivery until after mid-December 2016. </w:t>
      </w:r>
      <w:r w:rsidR="00243268">
        <w:rPr>
          <w:rFonts w:eastAsiaTheme="majorEastAsia"/>
        </w:rPr>
        <w:t xml:space="preserve">In this </w:t>
      </w:r>
      <w:r w:rsidR="005D77E8">
        <w:rPr>
          <w:rFonts w:eastAsiaTheme="majorEastAsia"/>
        </w:rPr>
        <w:t xml:space="preserve">high flow </w:t>
      </w:r>
      <w:r w:rsidR="00243268">
        <w:rPr>
          <w:rFonts w:eastAsiaTheme="majorEastAsia"/>
        </w:rPr>
        <w:t>year, e</w:t>
      </w:r>
      <w:r w:rsidR="00DF1963" w:rsidRPr="00DF1963">
        <w:rPr>
          <w:rFonts w:eastAsiaTheme="majorEastAsia"/>
        </w:rPr>
        <w:t xml:space="preserve">nvironmental watering assisted in slowing </w:t>
      </w:r>
      <w:r w:rsidR="00CA2505">
        <w:rPr>
          <w:rFonts w:eastAsiaTheme="majorEastAsia"/>
        </w:rPr>
        <w:t xml:space="preserve">and extending </w:t>
      </w:r>
      <w:r w:rsidR="00DF1963" w:rsidRPr="00DF1963">
        <w:rPr>
          <w:rFonts w:eastAsiaTheme="majorEastAsia"/>
        </w:rPr>
        <w:t>the flood recession</w:t>
      </w:r>
      <w:r w:rsidR="00243268">
        <w:rPr>
          <w:rFonts w:eastAsiaTheme="majorEastAsia"/>
        </w:rPr>
        <w:t xml:space="preserve"> in summer.</w:t>
      </w:r>
      <w:r w:rsidR="00243268" w:rsidRPr="00243268">
        <w:rPr>
          <w:rFonts w:eastAsiaTheme="majorEastAsia"/>
        </w:rPr>
        <w:t xml:space="preserve"> </w:t>
      </w:r>
      <w:r w:rsidR="00243268">
        <w:rPr>
          <w:rFonts w:eastAsiaTheme="majorEastAsia"/>
        </w:rPr>
        <w:t xml:space="preserve">Over the last five years, Commonwealth environmental water played a critical role in maintaining barrage releases, particularly </w:t>
      </w:r>
      <w:r w:rsidR="00CA2505">
        <w:rPr>
          <w:rFonts w:eastAsiaTheme="majorEastAsia"/>
        </w:rPr>
        <w:t>during dry autumn periods</w:t>
      </w:r>
      <w:r w:rsidR="00243268">
        <w:rPr>
          <w:rFonts w:eastAsiaTheme="majorEastAsia"/>
        </w:rPr>
        <w:t>.</w:t>
      </w:r>
      <w:r w:rsidR="00CC3636">
        <w:rPr>
          <w:rFonts w:eastAsiaTheme="majorEastAsia"/>
        </w:rPr>
        <w:t xml:space="preserve"> In addition, e</w:t>
      </w:r>
      <w:r w:rsidR="0083634D" w:rsidRPr="00D2020E">
        <w:rPr>
          <w:rFonts w:eastAsiaTheme="majorEastAsia"/>
        </w:rPr>
        <w:t xml:space="preserve">nvironmental water </w:t>
      </w:r>
      <w:r w:rsidR="00CC3636">
        <w:rPr>
          <w:rFonts w:eastAsiaTheme="majorEastAsia"/>
        </w:rPr>
        <w:t>has been</w:t>
      </w:r>
      <w:r w:rsidR="0083634D" w:rsidRPr="00D2020E">
        <w:rPr>
          <w:rFonts w:eastAsiaTheme="majorEastAsia"/>
        </w:rPr>
        <w:t xml:space="preserve"> used for other complementary management actions </w:t>
      </w:r>
      <w:r w:rsidR="00CC3636">
        <w:rPr>
          <w:rFonts w:eastAsiaTheme="majorEastAsia"/>
        </w:rPr>
        <w:t xml:space="preserve">to </w:t>
      </w:r>
      <w:r w:rsidR="0083634D" w:rsidRPr="00D2020E">
        <w:rPr>
          <w:rFonts w:eastAsiaTheme="majorEastAsia"/>
        </w:rPr>
        <w:t>achiev</w:t>
      </w:r>
      <w:r w:rsidR="00C94E89">
        <w:rPr>
          <w:rFonts w:eastAsiaTheme="majorEastAsia"/>
        </w:rPr>
        <w:t>e</w:t>
      </w:r>
      <w:r w:rsidR="0083634D" w:rsidRPr="00D2020E">
        <w:rPr>
          <w:rFonts w:eastAsiaTheme="majorEastAsia"/>
        </w:rPr>
        <w:t xml:space="preserve"> environmental outcomes </w:t>
      </w:r>
      <w:r w:rsidR="00CC3636">
        <w:rPr>
          <w:rFonts w:eastAsiaTheme="majorEastAsia"/>
        </w:rPr>
        <w:t xml:space="preserve">in the Lower Murray </w:t>
      </w:r>
      <w:r w:rsidR="0083634D" w:rsidRPr="00D2020E">
        <w:rPr>
          <w:rFonts w:eastAsiaTheme="majorEastAsia"/>
        </w:rPr>
        <w:t>(</w:t>
      </w:r>
      <w:r w:rsidR="0083634D">
        <w:rPr>
          <w:rFonts w:eastAsiaTheme="majorEastAsia"/>
        </w:rPr>
        <w:t>e.g.</w:t>
      </w:r>
      <w:r w:rsidR="0083634D" w:rsidRPr="00D2020E">
        <w:rPr>
          <w:rFonts w:eastAsiaTheme="majorEastAsia"/>
        </w:rPr>
        <w:t xml:space="preserve"> weir pool manipulation, operation of environmental regulators, pumping).</w:t>
      </w:r>
    </w:p>
    <w:p w14:paraId="12264951" w14:textId="37E26226" w:rsidR="00D2020E" w:rsidRDefault="00243268" w:rsidP="00243268">
      <w:pPr>
        <w:rPr>
          <w:rFonts w:eastAsiaTheme="majorEastAsia"/>
        </w:rPr>
      </w:pPr>
      <w:r>
        <w:rPr>
          <w:rFonts w:eastAsiaTheme="majorEastAsia"/>
        </w:rPr>
        <w:t xml:space="preserve">For the period of </w:t>
      </w:r>
      <w:r w:rsidR="00C94E89">
        <w:rPr>
          <w:rFonts w:eastAsiaTheme="majorEastAsia"/>
        </w:rPr>
        <w:t xml:space="preserve">the </w:t>
      </w:r>
      <w:r>
        <w:rPr>
          <w:rFonts w:eastAsiaTheme="majorEastAsia"/>
        </w:rPr>
        <w:t>MER Project (2019</w:t>
      </w:r>
      <w:r>
        <w:rPr>
          <w:rFonts w:eastAsiaTheme="majorEastAsia" w:cstheme="minorHAnsi"/>
        </w:rPr>
        <w:t xml:space="preserve">−20 to 2021−22), </w:t>
      </w:r>
      <w:r w:rsidR="00D2020E" w:rsidRPr="00D2020E">
        <w:rPr>
          <w:rFonts w:eastAsiaTheme="majorEastAsia"/>
        </w:rPr>
        <w:t xml:space="preserve">it is expected that </w:t>
      </w:r>
      <w:r w:rsidR="00C94E89">
        <w:rPr>
          <w:rFonts w:eastAsiaTheme="majorEastAsia"/>
        </w:rPr>
        <w:t>the</w:t>
      </w:r>
      <w:r w:rsidR="00D2020E" w:rsidRPr="00D2020E">
        <w:rPr>
          <w:rFonts w:eastAsiaTheme="majorEastAsia"/>
        </w:rPr>
        <w:t xml:space="preserve"> majority of the Commonwealth environmental water </w:t>
      </w:r>
      <w:r>
        <w:rPr>
          <w:rFonts w:eastAsiaTheme="majorEastAsia"/>
        </w:rPr>
        <w:t xml:space="preserve">deliveries to </w:t>
      </w:r>
      <w:r w:rsidR="00D2020E" w:rsidRPr="00D2020E">
        <w:rPr>
          <w:rFonts w:eastAsiaTheme="majorEastAsia"/>
        </w:rPr>
        <w:t xml:space="preserve">the </w:t>
      </w:r>
      <w:r w:rsidR="00D729DF" w:rsidRPr="00D729DF">
        <w:rPr>
          <w:rFonts w:eastAsiaTheme="majorEastAsia"/>
        </w:rPr>
        <w:t>Lower Murray</w:t>
      </w:r>
      <w:r w:rsidR="00004B57">
        <w:rPr>
          <w:rFonts w:eastAsiaTheme="majorEastAsia"/>
        </w:rPr>
        <w:t xml:space="preserve"> </w:t>
      </w:r>
      <w:r w:rsidR="00D2020E" w:rsidRPr="00D2020E">
        <w:rPr>
          <w:rFonts w:eastAsiaTheme="majorEastAsia"/>
        </w:rPr>
        <w:t xml:space="preserve">will </w:t>
      </w:r>
      <w:r w:rsidR="0003377A">
        <w:rPr>
          <w:rFonts w:eastAsiaTheme="majorEastAsia"/>
        </w:rPr>
        <w:t xml:space="preserve">continue to </w:t>
      </w:r>
      <w:r w:rsidR="00D2020E" w:rsidRPr="00D2020E">
        <w:rPr>
          <w:rFonts w:eastAsiaTheme="majorEastAsia"/>
        </w:rPr>
        <w:t xml:space="preserve">be used to contribute to </w:t>
      </w:r>
      <w:r w:rsidR="00071F7F">
        <w:rPr>
          <w:rFonts w:eastAsiaTheme="majorEastAsia"/>
          <w:i/>
        </w:rPr>
        <w:t>base</w:t>
      </w:r>
      <w:r w:rsidR="00CA2505">
        <w:rPr>
          <w:rFonts w:eastAsiaTheme="majorEastAsia"/>
          <w:i/>
        </w:rPr>
        <w:t xml:space="preserve">flows </w:t>
      </w:r>
      <w:r w:rsidR="00CA2505">
        <w:rPr>
          <w:rFonts w:eastAsiaTheme="majorEastAsia"/>
        </w:rPr>
        <w:t xml:space="preserve">and </w:t>
      </w:r>
      <w:r w:rsidR="00D2020E" w:rsidRPr="00FE572B">
        <w:rPr>
          <w:rFonts w:eastAsiaTheme="majorEastAsia"/>
          <w:i/>
        </w:rPr>
        <w:t>freshes</w:t>
      </w:r>
      <w:r w:rsidR="00D2020E" w:rsidRPr="00D2020E">
        <w:rPr>
          <w:rFonts w:eastAsiaTheme="majorEastAsia"/>
        </w:rPr>
        <w:t>. Commonwealth environmental water</w:t>
      </w:r>
      <w:r w:rsidR="0003377A">
        <w:rPr>
          <w:rFonts w:eastAsiaTheme="majorEastAsia"/>
        </w:rPr>
        <w:t xml:space="preserve"> can be delivered, with other sources of environmental water,</w:t>
      </w:r>
      <w:r w:rsidR="00D2020E" w:rsidRPr="00D2020E">
        <w:rPr>
          <w:rFonts w:eastAsiaTheme="majorEastAsia"/>
        </w:rPr>
        <w:t xml:space="preserve"> to </w:t>
      </w:r>
      <w:r w:rsidR="0003377A">
        <w:rPr>
          <w:rFonts w:eastAsiaTheme="majorEastAsia"/>
        </w:rPr>
        <w:t xml:space="preserve">create </w:t>
      </w:r>
      <w:r w:rsidR="0003377A" w:rsidRPr="0003377A">
        <w:rPr>
          <w:rFonts w:eastAsiaTheme="majorEastAsia"/>
          <w:i/>
        </w:rPr>
        <w:t>freshes</w:t>
      </w:r>
      <w:r w:rsidR="0003377A">
        <w:rPr>
          <w:rFonts w:eastAsiaTheme="majorEastAsia"/>
        </w:rPr>
        <w:t xml:space="preserve"> or to </w:t>
      </w:r>
      <w:r w:rsidR="00D2020E" w:rsidRPr="00D2020E">
        <w:rPr>
          <w:rFonts w:eastAsiaTheme="majorEastAsia"/>
        </w:rPr>
        <w:t xml:space="preserve">complement </w:t>
      </w:r>
      <w:r w:rsidR="00D2020E" w:rsidRPr="00D2020E">
        <w:rPr>
          <w:rFonts w:eastAsiaTheme="majorEastAsia"/>
          <w:i/>
        </w:rPr>
        <w:t>natural freshes</w:t>
      </w:r>
      <w:r w:rsidR="00D2020E" w:rsidRPr="00D2020E">
        <w:rPr>
          <w:rFonts w:eastAsiaTheme="majorEastAsia"/>
        </w:rPr>
        <w:t xml:space="preserve"> and in doing so increase the magnitude </w:t>
      </w:r>
      <w:r w:rsidR="00A55C71">
        <w:rPr>
          <w:rFonts w:eastAsiaTheme="majorEastAsia"/>
        </w:rPr>
        <w:t>and/</w:t>
      </w:r>
      <w:r w:rsidR="00D2020E" w:rsidRPr="00D2020E">
        <w:rPr>
          <w:rFonts w:eastAsiaTheme="majorEastAsia"/>
        </w:rPr>
        <w:t>or duration of an event</w:t>
      </w:r>
      <w:r w:rsidR="0003377A">
        <w:rPr>
          <w:rFonts w:eastAsiaTheme="majorEastAsia"/>
        </w:rPr>
        <w:t xml:space="preserve">. </w:t>
      </w:r>
      <w:r w:rsidR="00D2020E" w:rsidRPr="00D2020E">
        <w:rPr>
          <w:rFonts w:eastAsiaTheme="majorEastAsia"/>
        </w:rPr>
        <w:t xml:space="preserve">Should suitable climatic and hydrological conditions transpire during the </w:t>
      </w:r>
      <w:r w:rsidR="0003377A">
        <w:rPr>
          <w:rFonts w:eastAsiaTheme="majorEastAsia"/>
        </w:rPr>
        <w:t>coming three years</w:t>
      </w:r>
      <w:r w:rsidR="00D2020E" w:rsidRPr="00D2020E">
        <w:rPr>
          <w:rFonts w:eastAsiaTheme="majorEastAsia"/>
        </w:rPr>
        <w:t>, Commonwealth environmental water may also be used</w:t>
      </w:r>
      <w:r w:rsidR="00B57FCF">
        <w:rPr>
          <w:rFonts w:eastAsiaTheme="majorEastAsia"/>
        </w:rPr>
        <w:t xml:space="preserve"> to</w:t>
      </w:r>
      <w:r w:rsidR="00D2020E" w:rsidRPr="00D2020E">
        <w:rPr>
          <w:rFonts w:eastAsiaTheme="majorEastAsia"/>
        </w:rPr>
        <w:t xml:space="preserve"> complement </w:t>
      </w:r>
      <w:r w:rsidR="00D2020E" w:rsidRPr="00D2020E">
        <w:rPr>
          <w:rFonts w:eastAsiaTheme="majorEastAsia"/>
          <w:i/>
        </w:rPr>
        <w:t>natural overbank flows</w:t>
      </w:r>
      <w:r w:rsidR="00D2020E" w:rsidRPr="00D2020E">
        <w:rPr>
          <w:rFonts w:eastAsiaTheme="majorEastAsia"/>
        </w:rPr>
        <w:t xml:space="preserve"> and in doing so increase the magnitude or duration of these events. </w:t>
      </w:r>
    </w:p>
    <w:p w14:paraId="61D75BE6" w14:textId="77777777" w:rsidR="00C724AA" w:rsidRPr="00D2020E" w:rsidRDefault="00C724AA" w:rsidP="00F02673">
      <w:pPr>
        <w:rPr>
          <w:rFonts w:eastAsiaTheme="majorEastAsia"/>
        </w:rPr>
      </w:pPr>
    </w:p>
    <w:p w14:paraId="1DED7E98" w14:textId="77777777" w:rsidR="00D2020E" w:rsidRPr="00D2020E" w:rsidRDefault="00443EDA" w:rsidP="00F02673">
      <w:pPr>
        <w:rPr>
          <w:rFonts w:eastAsiaTheme="majorEastAsia"/>
        </w:rPr>
      </w:pPr>
      <w:r>
        <w:rPr>
          <w:rFonts w:eastAsiaTheme="majorEastAsia"/>
          <w:noProof/>
          <w:lang w:eastAsia="en-AU"/>
        </w:rPr>
        <w:lastRenderedPageBreak/>
        <w:drawing>
          <wp:inline distT="0" distB="0" distL="0" distR="0" wp14:anchorId="7399F170" wp14:editId="73D03A9D">
            <wp:extent cx="5348605" cy="2259965"/>
            <wp:effectExtent l="0" t="0" r="4445" b="6985"/>
            <wp:docPr id="39" name="Picture 2" descr="Conceptual illustration of flow components and their influence on different parts of the river channel and its flood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nceptual illustration of flow components and their influence on different parts of the river channel and its floodplain"/>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348605" cy="2259965"/>
                    </a:xfrm>
                    <a:prstGeom prst="rect">
                      <a:avLst/>
                    </a:prstGeom>
                    <a:noFill/>
                    <a:ln>
                      <a:noFill/>
                    </a:ln>
                  </pic:spPr>
                </pic:pic>
              </a:graphicData>
            </a:graphic>
          </wp:inline>
        </w:drawing>
      </w:r>
    </w:p>
    <w:p w14:paraId="3B1E403F" w14:textId="63309F1A" w:rsidR="00443EDA" w:rsidRDefault="00D2020E" w:rsidP="00FA4AA8">
      <w:pPr>
        <w:pStyle w:val="FigureCaption"/>
      </w:pPr>
      <w:bookmarkStart w:id="40" w:name="_Ref385512590"/>
      <w:bookmarkStart w:id="41" w:name="_Toc12630430"/>
      <w:r w:rsidRPr="00D2020E">
        <w:t xml:space="preserve">Figure </w:t>
      </w:r>
      <w:r w:rsidR="00A8252A">
        <w:rPr>
          <w:noProof/>
        </w:rPr>
        <w:fldChar w:fldCharType="begin"/>
      </w:r>
      <w:r w:rsidR="00A8252A">
        <w:rPr>
          <w:noProof/>
        </w:rPr>
        <w:instrText xml:space="preserve"> STYLEREF 1 \s </w:instrText>
      </w:r>
      <w:r w:rsidR="00A8252A">
        <w:rPr>
          <w:noProof/>
        </w:rPr>
        <w:fldChar w:fldCharType="separate"/>
      </w:r>
      <w:r w:rsidR="00DF49CD">
        <w:rPr>
          <w:noProof/>
        </w:rPr>
        <w:t>3</w:t>
      </w:r>
      <w:r w:rsidR="00A8252A">
        <w:rPr>
          <w:noProof/>
        </w:rPr>
        <w:fldChar w:fldCharType="end"/>
      </w:r>
      <w:r w:rsidR="00251188">
        <w:t>.</w:t>
      </w:r>
      <w:r w:rsidR="00A8252A">
        <w:rPr>
          <w:noProof/>
        </w:rPr>
        <w:fldChar w:fldCharType="begin"/>
      </w:r>
      <w:r w:rsidR="00A8252A">
        <w:rPr>
          <w:noProof/>
        </w:rPr>
        <w:instrText xml:space="preserve"> SEQ Figure \* ARABIC \s 1 </w:instrText>
      </w:r>
      <w:r w:rsidR="00A8252A">
        <w:rPr>
          <w:noProof/>
        </w:rPr>
        <w:fldChar w:fldCharType="separate"/>
      </w:r>
      <w:r w:rsidR="00DF49CD">
        <w:rPr>
          <w:noProof/>
        </w:rPr>
        <w:t>1</w:t>
      </w:r>
      <w:r w:rsidR="00A8252A">
        <w:rPr>
          <w:noProof/>
        </w:rPr>
        <w:fldChar w:fldCharType="end"/>
      </w:r>
      <w:bookmarkEnd w:id="40"/>
      <w:r w:rsidRPr="00D2020E">
        <w:t>.</w:t>
      </w:r>
      <w:r w:rsidR="00FA4AA8">
        <w:tab/>
      </w:r>
      <w:r w:rsidRPr="00D2020E">
        <w:t>The various flow types as described by the Murray</w:t>
      </w:r>
      <w:r w:rsidR="003A06CC">
        <w:t>–</w:t>
      </w:r>
      <w:r w:rsidRPr="00D2020E">
        <w:t xml:space="preserve">Darling Basin Plan and Gawne </w:t>
      </w:r>
      <w:r w:rsidRPr="00D2020E">
        <w:rPr>
          <w:i/>
        </w:rPr>
        <w:t>et al</w:t>
      </w:r>
      <w:r w:rsidRPr="00D2020E">
        <w:t>. (2013a).</w:t>
      </w:r>
      <w:bookmarkEnd w:id="41"/>
    </w:p>
    <w:p w14:paraId="12937F1D" w14:textId="77777777" w:rsidR="00481052" w:rsidRDefault="00481052" w:rsidP="00475425">
      <w:pPr>
        <w:pStyle w:val="Heading2"/>
      </w:pPr>
      <w:bookmarkStart w:id="42" w:name="_Ref10104062"/>
      <w:bookmarkStart w:id="43" w:name="_Toc22196688"/>
      <w:r w:rsidRPr="00D2020E">
        <w:t>Practicalities of watering</w:t>
      </w:r>
      <w:bookmarkEnd w:id="42"/>
      <w:bookmarkEnd w:id="43"/>
    </w:p>
    <w:p w14:paraId="3F80474A" w14:textId="47CCB738" w:rsidR="00481052" w:rsidRDefault="00481052" w:rsidP="00F02673">
      <w:pPr>
        <w:rPr>
          <w:rFonts w:eastAsiaTheme="majorEastAsia"/>
        </w:rPr>
      </w:pPr>
      <w:r w:rsidRPr="00D2020E">
        <w:rPr>
          <w:rFonts w:eastAsiaTheme="majorEastAsia"/>
        </w:rPr>
        <w:t xml:space="preserve">Environmental water </w:t>
      </w:r>
      <w:r w:rsidR="00C94E89">
        <w:rPr>
          <w:rFonts w:eastAsiaTheme="majorEastAsia"/>
        </w:rPr>
        <w:t>deliveries</w:t>
      </w:r>
      <w:r w:rsidRPr="00D2020E">
        <w:rPr>
          <w:rFonts w:eastAsiaTheme="majorEastAsia"/>
        </w:rPr>
        <w:t xml:space="preserve"> to the </w:t>
      </w:r>
      <w:r w:rsidR="00D729DF" w:rsidRPr="00D729DF">
        <w:rPr>
          <w:rFonts w:eastAsiaTheme="majorEastAsia"/>
        </w:rPr>
        <w:t>Lower Murray</w:t>
      </w:r>
      <w:r w:rsidRPr="00D2020E">
        <w:rPr>
          <w:rFonts w:eastAsiaTheme="majorEastAsia"/>
        </w:rPr>
        <w:t xml:space="preserve"> are sourced from multiple locations, including </w:t>
      </w:r>
      <w:r w:rsidR="00C94E89">
        <w:rPr>
          <w:rFonts w:eastAsiaTheme="majorEastAsia"/>
        </w:rPr>
        <w:t xml:space="preserve">the </w:t>
      </w:r>
      <w:r w:rsidR="00817322">
        <w:rPr>
          <w:rFonts w:eastAsiaTheme="majorEastAsia"/>
        </w:rPr>
        <w:t xml:space="preserve">Murray River, key </w:t>
      </w:r>
      <w:r w:rsidRPr="00D2020E">
        <w:rPr>
          <w:rFonts w:eastAsiaTheme="majorEastAsia"/>
        </w:rPr>
        <w:t>tributar</w:t>
      </w:r>
      <w:r w:rsidR="00817322">
        <w:rPr>
          <w:rFonts w:eastAsiaTheme="majorEastAsia"/>
        </w:rPr>
        <w:t>ies (Goulburn, Murrumbidgee and Darling rivers)</w:t>
      </w:r>
      <w:r w:rsidR="00C94E89">
        <w:rPr>
          <w:rFonts w:eastAsiaTheme="majorEastAsia"/>
        </w:rPr>
        <w:t xml:space="preserve"> </w:t>
      </w:r>
      <w:r w:rsidR="00A55C71">
        <w:rPr>
          <w:rFonts w:eastAsiaTheme="majorEastAsia"/>
        </w:rPr>
        <w:t>Lake Victoria</w:t>
      </w:r>
      <w:r w:rsidRPr="00D2020E">
        <w:rPr>
          <w:rFonts w:eastAsiaTheme="majorEastAsia"/>
        </w:rPr>
        <w:t xml:space="preserve">. </w:t>
      </w:r>
      <w:r w:rsidR="00C94E89">
        <w:rPr>
          <w:rFonts w:eastAsiaTheme="majorEastAsia"/>
        </w:rPr>
        <w:t>E</w:t>
      </w:r>
      <w:r w:rsidRPr="00D2020E">
        <w:rPr>
          <w:rFonts w:eastAsiaTheme="majorEastAsia"/>
        </w:rPr>
        <w:t xml:space="preserve">nvironmental water will be delivered across the </w:t>
      </w:r>
      <w:r>
        <w:rPr>
          <w:rFonts w:eastAsiaTheme="majorEastAsia"/>
        </w:rPr>
        <w:t>South Australian</w:t>
      </w:r>
      <w:r w:rsidRPr="00D2020E">
        <w:rPr>
          <w:rFonts w:eastAsiaTheme="majorEastAsia"/>
        </w:rPr>
        <w:t xml:space="preserve"> border in addition to the </w:t>
      </w:r>
      <w:r>
        <w:rPr>
          <w:rFonts w:eastAsiaTheme="majorEastAsia"/>
        </w:rPr>
        <w:t>South Australian</w:t>
      </w:r>
      <w:r w:rsidRPr="00D2020E">
        <w:rPr>
          <w:rFonts w:eastAsiaTheme="majorEastAsia"/>
        </w:rPr>
        <w:t xml:space="preserve"> </w:t>
      </w:r>
      <w:r w:rsidR="005D77E8" w:rsidRPr="00D2020E">
        <w:rPr>
          <w:rFonts w:eastAsiaTheme="majorEastAsia"/>
        </w:rPr>
        <w:t>entitlement</w:t>
      </w:r>
      <w:r w:rsidR="005D77E8">
        <w:rPr>
          <w:rFonts w:eastAsiaTheme="majorEastAsia"/>
        </w:rPr>
        <w:t xml:space="preserve"> and any unregulated</w:t>
      </w:r>
      <w:r w:rsidR="005D77E8" w:rsidRPr="00D2020E">
        <w:rPr>
          <w:rFonts w:eastAsiaTheme="majorEastAsia"/>
        </w:rPr>
        <w:t xml:space="preserve"> flows. Commonwealth environmental water available for use in the </w:t>
      </w:r>
      <w:r w:rsidR="005D77E8" w:rsidRPr="00D729DF">
        <w:rPr>
          <w:rFonts w:eastAsiaTheme="majorEastAsia"/>
        </w:rPr>
        <w:t>Lower Murray</w:t>
      </w:r>
      <w:r w:rsidR="005D77E8">
        <w:rPr>
          <w:rFonts w:eastAsiaTheme="majorEastAsia"/>
        </w:rPr>
        <w:t xml:space="preserve"> </w:t>
      </w:r>
      <w:r w:rsidR="005D77E8" w:rsidRPr="00D2020E">
        <w:rPr>
          <w:rFonts w:eastAsiaTheme="majorEastAsia"/>
        </w:rPr>
        <w:t xml:space="preserve">will depend on the </w:t>
      </w:r>
      <w:r w:rsidR="005D77E8">
        <w:rPr>
          <w:rFonts w:eastAsiaTheme="majorEastAsia"/>
        </w:rPr>
        <w:t xml:space="preserve">system </w:t>
      </w:r>
      <w:r w:rsidR="005D77E8" w:rsidRPr="00D2020E">
        <w:rPr>
          <w:rFonts w:eastAsiaTheme="majorEastAsia"/>
        </w:rPr>
        <w:t>inflow</w:t>
      </w:r>
      <w:r w:rsidR="005D77E8">
        <w:rPr>
          <w:rFonts w:eastAsiaTheme="majorEastAsia"/>
        </w:rPr>
        <w:t>s</w:t>
      </w:r>
      <w:r w:rsidR="005D77E8" w:rsidRPr="00D2020E">
        <w:rPr>
          <w:rFonts w:eastAsiaTheme="majorEastAsia"/>
        </w:rPr>
        <w:t>, water available in the Commonwealth environmental water hold</w:t>
      </w:r>
      <w:r w:rsidR="005D77E8">
        <w:rPr>
          <w:rFonts w:eastAsiaTheme="majorEastAsia"/>
        </w:rPr>
        <w:t>ings, and delivery constraints.</w:t>
      </w:r>
    </w:p>
    <w:p w14:paraId="373BADDC" w14:textId="3080147C" w:rsidR="00481052" w:rsidRPr="00D2020E" w:rsidRDefault="00481052" w:rsidP="00F02673">
      <w:pPr>
        <w:rPr>
          <w:rFonts w:eastAsiaTheme="majorEastAsia"/>
          <w:i/>
        </w:rPr>
      </w:pPr>
      <w:r w:rsidRPr="00D2020E">
        <w:rPr>
          <w:rFonts w:eastAsiaTheme="majorEastAsia"/>
        </w:rPr>
        <w:t xml:space="preserve">The volume of environmental water delivered to the </w:t>
      </w:r>
      <w:r w:rsidR="00D729DF" w:rsidRPr="00D729DF">
        <w:rPr>
          <w:rFonts w:eastAsiaTheme="majorEastAsia"/>
        </w:rPr>
        <w:t>Lower Murray</w:t>
      </w:r>
      <w:r w:rsidR="00004B57">
        <w:rPr>
          <w:rFonts w:eastAsiaTheme="majorEastAsia"/>
        </w:rPr>
        <w:t xml:space="preserve"> </w:t>
      </w:r>
      <w:r w:rsidRPr="00D2020E">
        <w:rPr>
          <w:rFonts w:eastAsiaTheme="majorEastAsia"/>
        </w:rPr>
        <w:t xml:space="preserve">is constrained by risks associated with </w:t>
      </w:r>
      <w:r w:rsidR="005D77E8">
        <w:rPr>
          <w:rFonts w:eastAsiaTheme="majorEastAsia"/>
        </w:rPr>
        <w:t>the potential inundation</w:t>
      </w:r>
      <w:r w:rsidR="005D77E8" w:rsidRPr="00D2020E">
        <w:rPr>
          <w:rFonts w:eastAsiaTheme="majorEastAsia"/>
        </w:rPr>
        <w:t xml:space="preserve"> </w:t>
      </w:r>
      <w:r w:rsidRPr="00D2020E">
        <w:rPr>
          <w:rFonts w:eastAsiaTheme="majorEastAsia"/>
        </w:rPr>
        <w:t xml:space="preserve">of property and </w:t>
      </w:r>
      <w:r w:rsidR="00151771" w:rsidRPr="00D2020E">
        <w:rPr>
          <w:rFonts w:eastAsiaTheme="majorEastAsia"/>
        </w:rPr>
        <w:t>infrastructure</w:t>
      </w:r>
      <w:r w:rsidR="00151771">
        <w:rPr>
          <w:rFonts w:eastAsiaTheme="majorEastAsia"/>
        </w:rPr>
        <w:t xml:space="preserve"> in upstream locations</w:t>
      </w:r>
      <w:r w:rsidR="00151771" w:rsidRPr="00D2020E">
        <w:rPr>
          <w:rFonts w:eastAsiaTheme="majorEastAsia"/>
        </w:rPr>
        <w:t>,</w:t>
      </w:r>
      <w:r w:rsidR="00151771">
        <w:rPr>
          <w:rFonts w:eastAsiaTheme="majorEastAsia"/>
        </w:rPr>
        <w:t xml:space="preserve"> the need to share limited channel capacity with deliveries for consumptive water use,</w:t>
      </w:r>
      <w:r w:rsidR="00151771" w:rsidRPr="00D2020E">
        <w:rPr>
          <w:rFonts w:eastAsiaTheme="majorEastAsia"/>
        </w:rPr>
        <w:t xml:space="preserve"> impacts </w:t>
      </w:r>
      <w:r w:rsidRPr="00D2020E">
        <w:rPr>
          <w:rFonts w:eastAsiaTheme="majorEastAsia"/>
        </w:rPr>
        <w:t>to river and floodplain work programs</w:t>
      </w:r>
      <w:r w:rsidR="00FA4AA8">
        <w:rPr>
          <w:rFonts w:eastAsiaTheme="majorEastAsia"/>
        </w:rPr>
        <w:t>,</w:t>
      </w:r>
      <w:r w:rsidRPr="00D2020E">
        <w:rPr>
          <w:rFonts w:eastAsiaTheme="majorEastAsia"/>
        </w:rPr>
        <w:t xml:space="preserve"> and the practical feasibility of contributing water to natural high flow events. </w:t>
      </w:r>
      <w:r w:rsidR="005D77E8">
        <w:rPr>
          <w:rFonts w:eastAsiaTheme="majorEastAsia"/>
        </w:rPr>
        <w:t>The</w:t>
      </w:r>
      <w:r w:rsidR="005D77E8" w:rsidRPr="00D2020E">
        <w:rPr>
          <w:rFonts w:eastAsiaTheme="majorEastAsia"/>
        </w:rPr>
        <w:t xml:space="preserve"> </w:t>
      </w:r>
      <w:r w:rsidR="005D77E8">
        <w:rPr>
          <w:rFonts w:eastAsiaTheme="majorEastAsia"/>
        </w:rPr>
        <w:t xml:space="preserve">basin states, in consultation with the </w:t>
      </w:r>
      <w:r w:rsidR="005D77E8" w:rsidRPr="00D2020E">
        <w:rPr>
          <w:rFonts w:eastAsiaTheme="majorEastAsia"/>
        </w:rPr>
        <w:t>MDBA</w:t>
      </w:r>
      <w:r w:rsidR="005D77E8">
        <w:rPr>
          <w:rFonts w:eastAsiaTheme="majorEastAsia"/>
        </w:rPr>
        <w:t>,</w:t>
      </w:r>
      <w:r w:rsidR="005D77E8" w:rsidRPr="00D2020E">
        <w:rPr>
          <w:rFonts w:eastAsiaTheme="majorEastAsia"/>
        </w:rPr>
        <w:t xml:space="preserve"> </w:t>
      </w:r>
      <w:r w:rsidR="005D77E8">
        <w:rPr>
          <w:rFonts w:eastAsiaTheme="majorEastAsia"/>
        </w:rPr>
        <w:t>are</w:t>
      </w:r>
      <w:r w:rsidR="005D77E8" w:rsidRPr="00D2020E">
        <w:rPr>
          <w:rFonts w:eastAsiaTheme="majorEastAsia"/>
        </w:rPr>
        <w:t xml:space="preserve"> developing a constraints manage</w:t>
      </w:r>
      <w:r w:rsidR="005D77E8">
        <w:rPr>
          <w:rFonts w:eastAsiaTheme="majorEastAsia"/>
        </w:rPr>
        <w:t>ment</w:t>
      </w:r>
      <w:r w:rsidR="005D77E8" w:rsidRPr="00D2020E">
        <w:rPr>
          <w:rFonts w:eastAsiaTheme="majorEastAsia"/>
        </w:rPr>
        <w:t xml:space="preserve"> strategy, </w:t>
      </w:r>
      <w:r w:rsidR="005D77E8">
        <w:rPr>
          <w:rFonts w:eastAsiaTheme="majorEastAsia"/>
        </w:rPr>
        <w:t xml:space="preserve">but </w:t>
      </w:r>
      <w:r w:rsidR="005D77E8" w:rsidRPr="00D2020E">
        <w:rPr>
          <w:rFonts w:eastAsiaTheme="majorEastAsia"/>
        </w:rPr>
        <w:t xml:space="preserve">over the </w:t>
      </w:r>
      <w:r w:rsidR="005D77E8">
        <w:rPr>
          <w:rFonts w:eastAsiaTheme="majorEastAsia"/>
        </w:rPr>
        <w:t xml:space="preserve">next three-year </w:t>
      </w:r>
      <w:r w:rsidR="005D77E8" w:rsidRPr="00D2020E">
        <w:rPr>
          <w:rFonts w:eastAsiaTheme="majorEastAsia"/>
        </w:rPr>
        <w:t xml:space="preserve">evaluation period it is expected that environmental flow </w:t>
      </w:r>
      <w:r w:rsidR="005D77E8">
        <w:rPr>
          <w:rFonts w:eastAsiaTheme="majorEastAsia"/>
        </w:rPr>
        <w:t>delivery at the S</w:t>
      </w:r>
      <w:r w:rsidR="00194F43">
        <w:rPr>
          <w:rFonts w:eastAsiaTheme="majorEastAsia"/>
        </w:rPr>
        <w:t xml:space="preserve">outh </w:t>
      </w:r>
      <w:r w:rsidR="005D77E8">
        <w:rPr>
          <w:rFonts w:eastAsiaTheme="majorEastAsia"/>
        </w:rPr>
        <w:t>A</w:t>
      </w:r>
      <w:r w:rsidR="00194F43">
        <w:rPr>
          <w:rFonts w:eastAsiaTheme="majorEastAsia"/>
        </w:rPr>
        <w:t>ustralian</w:t>
      </w:r>
      <w:r w:rsidR="005D77E8">
        <w:rPr>
          <w:rFonts w:eastAsiaTheme="majorEastAsia"/>
        </w:rPr>
        <w:t xml:space="preserve"> border </w:t>
      </w:r>
      <w:r w:rsidR="005D77E8" w:rsidRPr="00D2020E">
        <w:rPr>
          <w:rFonts w:eastAsiaTheme="majorEastAsia"/>
        </w:rPr>
        <w:t xml:space="preserve">would be limited to events of </w:t>
      </w:r>
      <w:r w:rsidR="005D77E8">
        <w:rPr>
          <w:rFonts w:eastAsiaTheme="majorEastAsia"/>
        </w:rPr>
        <w:t xml:space="preserve">less than </w:t>
      </w:r>
      <w:r w:rsidR="005D77E8" w:rsidRPr="00D2020E">
        <w:rPr>
          <w:rFonts w:eastAsiaTheme="majorEastAsia"/>
        </w:rPr>
        <w:t xml:space="preserve">60,000 </w:t>
      </w:r>
      <w:r w:rsidR="005D77E8">
        <w:rPr>
          <w:rFonts w:eastAsiaTheme="majorEastAsia"/>
        </w:rPr>
        <w:t>ML/d</w:t>
      </w:r>
      <w:r w:rsidR="005D77E8" w:rsidRPr="00D2020E">
        <w:rPr>
          <w:rFonts w:eastAsiaTheme="majorEastAsia"/>
        </w:rPr>
        <w:t xml:space="preserve"> (see Gawne </w:t>
      </w:r>
      <w:r w:rsidR="005D77E8" w:rsidRPr="00D2020E">
        <w:rPr>
          <w:rFonts w:eastAsiaTheme="majorEastAsia"/>
          <w:i/>
        </w:rPr>
        <w:t>et al</w:t>
      </w:r>
      <w:r w:rsidR="005D77E8" w:rsidRPr="00D2020E">
        <w:rPr>
          <w:rFonts w:eastAsiaTheme="majorEastAsia"/>
        </w:rPr>
        <w:t>. 2013a for further details)</w:t>
      </w:r>
      <w:r w:rsidR="005D77E8" w:rsidRPr="002D2C88">
        <w:t>.</w:t>
      </w:r>
    </w:p>
    <w:p w14:paraId="4877005B" w14:textId="0DFE241B" w:rsidR="00B42764" w:rsidRDefault="00602B35" w:rsidP="00A873EC">
      <w:pPr>
        <w:rPr>
          <w:rFonts w:eastAsiaTheme="majorEastAsia"/>
        </w:rPr>
      </w:pPr>
      <w:r w:rsidRPr="00602B35">
        <w:rPr>
          <w:rFonts w:eastAsiaTheme="majorEastAsia"/>
        </w:rPr>
        <w:t>The implementation of watering options in the Lower Murray is undertaken through the coordination of river operations across the Southern Connected Basin, through consultation among the South Australian Department for Environment and Water (DEW), CEWO, MDBA and other jurisdictional operations units</w:t>
      </w:r>
      <w:r w:rsidR="009B4973">
        <w:rPr>
          <w:rFonts w:eastAsiaTheme="majorEastAsia"/>
        </w:rPr>
        <w:t xml:space="preserve"> via the Southern Connected Basin Environmental Watering Committee (SCBEWC)</w:t>
      </w:r>
      <w:r w:rsidRPr="00602B35">
        <w:rPr>
          <w:rFonts w:eastAsiaTheme="majorEastAsia"/>
        </w:rPr>
        <w:t xml:space="preserve">. </w:t>
      </w:r>
      <w:r w:rsidR="00481052" w:rsidRPr="00D2020E">
        <w:rPr>
          <w:rFonts w:eastAsiaTheme="majorEastAsia"/>
        </w:rPr>
        <w:t xml:space="preserve">To effectively implement the </w:t>
      </w:r>
      <w:r w:rsidR="00D729DF" w:rsidRPr="00D729DF">
        <w:rPr>
          <w:rFonts w:eastAsiaTheme="majorEastAsia"/>
        </w:rPr>
        <w:t>Lower Murray</w:t>
      </w:r>
      <w:r w:rsidR="00481052" w:rsidRPr="00D2020E">
        <w:rPr>
          <w:rFonts w:eastAsiaTheme="majorEastAsia"/>
        </w:rPr>
        <w:t xml:space="preserve"> </w:t>
      </w:r>
      <w:r w:rsidR="00C304CC">
        <w:rPr>
          <w:rFonts w:eastAsiaTheme="majorEastAsia"/>
        </w:rPr>
        <w:t>MER</w:t>
      </w:r>
      <w:r w:rsidR="00481052" w:rsidRPr="00D2020E">
        <w:rPr>
          <w:rFonts w:eastAsiaTheme="majorEastAsia"/>
        </w:rPr>
        <w:t xml:space="preserve"> </w:t>
      </w:r>
      <w:r w:rsidR="00151771">
        <w:rPr>
          <w:rFonts w:eastAsiaTheme="majorEastAsia"/>
        </w:rPr>
        <w:t>Plan</w:t>
      </w:r>
      <w:r w:rsidR="00151771" w:rsidRPr="00D2020E">
        <w:rPr>
          <w:rFonts w:eastAsiaTheme="majorEastAsia"/>
        </w:rPr>
        <w:t xml:space="preserve">, </w:t>
      </w:r>
      <w:r w:rsidR="00151771">
        <w:rPr>
          <w:rFonts w:eastAsiaTheme="majorEastAsia"/>
        </w:rPr>
        <w:t xml:space="preserve">information on planned </w:t>
      </w:r>
      <w:r w:rsidR="00151771" w:rsidRPr="00D2020E">
        <w:rPr>
          <w:rFonts w:eastAsiaTheme="majorEastAsia"/>
        </w:rPr>
        <w:t xml:space="preserve">flow to </w:t>
      </w:r>
      <w:r w:rsidR="00151771">
        <w:rPr>
          <w:rFonts w:eastAsiaTheme="majorEastAsia"/>
        </w:rPr>
        <w:t>South Australia and river flow management</w:t>
      </w:r>
      <w:r w:rsidR="00151771" w:rsidRPr="00D2020E">
        <w:rPr>
          <w:rFonts w:eastAsiaTheme="majorEastAsia"/>
        </w:rPr>
        <w:t xml:space="preserve"> would need to be available to the </w:t>
      </w:r>
      <w:r w:rsidR="00151771">
        <w:rPr>
          <w:rFonts w:eastAsiaTheme="majorEastAsia"/>
        </w:rPr>
        <w:t>project</w:t>
      </w:r>
      <w:r w:rsidR="00151771" w:rsidRPr="00D2020E">
        <w:rPr>
          <w:rFonts w:eastAsiaTheme="majorEastAsia"/>
        </w:rPr>
        <w:t xml:space="preserve"> </w:t>
      </w:r>
      <w:r w:rsidR="00151771">
        <w:rPr>
          <w:rFonts w:eastAsiaTheme="majorEastAsia"/>
        </w:rPr>
        <w:t>t</w:t>
      </w:r>
      <w:r w:rsidR="00151771" w:rsidRPr="00D2020E">
        <w:rPr>
          <w:rFonts w:eastAsiaTheme="majorEastAsia"/>
        </w:rPr>
        <w:t>eam, with regular updates provided as information becomes available.</w:t>
      </w:r>
      <w:r w:rsidR="00CC3636">
        <w:rPr>
          <w:rFonts w:eastAsiaTheme="majorEastAsia"/>
        </w:rPr>
        <w:t xml:space="preserve"> </w:t>
      </w:r>
      <w:r w:rsidR="00A873EC">
        <w:rPr>
          <w:rFonts w:eastAsiaTheme="majorEastAsia"/>
        </w:rPr>
        <w:t>T</w:t>
      </w:r>
      <w:r w:rsidR="00CC3636">
        <w:rPr>
          <w:rFonts w:eastAsiaTheme="majorEastAsia"/>
        </w:rPr>
        <w:t>h</w:t>
      </w:r>
      <w:r w:rsidR="00151771">
        <w:rPr>
          <w:rFonts w:eastAsiaTheme="majorEastAsia"/>
        </w:rPr>
        <w:t>i</w:t>
      </w:r>
      <w:r w:rsidR="00CC3636">
        <w:rPr>
          <w:rFonts w:eastAsiaTheme="majorEastAsia"/>
        </w:rPr>
        <w:t xml:space="preserve">s information </w:t>
      </w:r>
      <w:r w:rsidR="00A873EC">
        <w:rPr>
          <w:rFonts w:eastAsiaTheme="majorEastAsia"/>
        </w:rPr>
        <w:t xml:space="preserve">will continue to be </w:t>
      </w:r>
      <w:r w:rsidR="00CC3636">
        <w:rPr>
          <w:rFonts w:eastAsiaTheme="majorEastAsia"/>
        </w:rPr>
        <w:t>provided by CEWO and DEW managers</w:t>
      </w:r>
      <w:r w:rsidR="00A873EC">
        <w:rPr>
          <w:rFonts w:eastAsiaTheme="majorEastAsia"/>
        </w:rPr>
        <w:t>, as</w:t>
      </w:r>
      <w:r w:rsidR="00CC3636">
        <w:rPr>
          <w:rFonts w:eastAsiaTheme="majorEastAsia"/>
        </w:rPr>
        <w:t xml:space="preserve"> </w:t>
      </w:r>
      <w:r w:rsidR="00A873EC">
        <w:rPr>
          <w:rFonts w:eastAsiaTheme="majorEastAsia"/>
        </w:rPr>
        <w:t>during the LTIM Project.</w:t>
      </w:r>
    </w:p>
    <w:p w14:paraId="21604530" w14:textId="77777777" w:rsidR="00B42764" w:rsidRDefault="00B42764">
      <w:pPr>
        <w:spacing w:after="200" w:line="276" w:lineRule="auto"/>
        <w:jc w:val="left"/>
        <w:rPr>
          <w:rFonts w:eastAsiaTheme="majorEastAsia"/>
        </w:rPr>
      </w:pPr>
      <w:r>
        <w:rPr>
          <w:rFonts w:eastAsiaTheme="majorEastAsia"/>
        </w:rPr>
        <w:br w:type="page"/>
      </w:r>
    </w:p>
    <w:p w14:paraId="7501EA42" w14:textId="77777777" w:rsidR="009C5FD6" w:rsidRPr="000F16EF" w:rsidRDefault="009C5FD6" w:rsidP="009C5FD6">
      <w:pPr>
        <w:pStyle w:val="Heading2"/>
      </w:pPr>
      <w:bookmarkStart w:id="44" w:name="_Toc22196689"/>
      <w:r w:rsidRPr="000F16EF">
        <w:lastRenderedPageBreak/>
        <w:t>Water holdings for the Lower Murray</w:t>
      </w:r>
      <w:bookmarkEnd w:id="44"/>
      <w:r w:rsidRPr="000F16EF">
        <w:t xml:space="preserve"> </w:t>
      </w:r>
    </w:p>
    <w:p w14:paraId="3C7CAB34" w14:textId="37600A92" w:rsidR="008B5BBE" w:rsidRDefault="005D77E8" w:rsidP="009C5FD6">
      <w:r w:rsidRPr="000F16EF">
        <w:t xml:space="preserve">Water </w:t>
      </w:r>
      <w:r>
        <w:t>has been</w:t>
      </w:r>
      <w:r w:rsidRPr="000F16EF">
        <w:t xml:space="preserve"> recovered </w:t>
      </w:r>
      <w:r w:rsidR="009C5FD6" w:rsidRPr="000F16EF">
        <w:t xml:space="preserve">by the Australian Government through a combination of investments in water-saving infrastructure, water purchases and other water recovery programs. This water becomes part of the Commonwealth's environmental water holdings. </w:t>
      </w:r>
      <w:r w:rsidR="00772608">
        <w:t>From 2014-15 to 2017-18, a substantial amount of environmental water w</w:t>
      </w:r>
      <w:r w:rsidR="007568F4">
        <w:t>as</w:t>
      </w:r>
      <w:r w:rsidR="00772608">
        <w:t xml:space="preserve"> delivered to the Lower Murray (</w:t>
      </w:r>
      <w:r w:rsidR="00FD2256">
        <w:fldChar w:fldCharType="begin"/>
      </w:r>
      <w:r w:rsidR="00FD2256">
        <w:instrText xml:space="preserve"> REF _Ref10184120 \h </w:instrText>
      </w:r>
      <w:r w:rsidR="00FD2256">
        <w:fldChar w:fldCharType="separate"/>
      </w:r>
      <w:r w:rsidR="00DF49CD">
        <w:t xml:space="preserve">Table </w:t>
      </w:r>
      <w:r w:rsidR="00DF49CD">
        <w:rPr>
          <w:noProof/>
        </w:rPr>
        <w:t>3</w:t>
      </w:r>
      <w:r w:rsidR="00DF49CD">
        <w:t>.</w:t>
      </w:r>
      <w:r w:rsidR="00DF49CD">
        <w:rPr>
          <w:noProof/>
        </w:rPr>
        <w:t>1</w:t>
      </w:r>
      <w:r w:rsidR="00FD2256">
        <w:fldChar w:fldCharType="end"/>
      </w:r>
      <w:r w:rsidR="00772608">
        <w:t>)</w:t>
      </w:r>
      <w:r w:rsidR="008B5BBE">
        <w:t xml:space="preserve">. </w:t>
      </w:r>
      <w:r w:rsidR="008B5BBE" w:rsidRPr="000F16EF">
        <w:t xml:space="preserve">Information on </w:t>
      </w:r>
      <w:r w:rsidR="008B5BBE">
        <w:t xml:space="preserve">current Commonwealth environmental </w:t>
      </w:r>
      <w:r w:rsidR="008B5BBE" w:rsidRPr="000F16EF">
        <w:t xml:space="preserve">water available and security in the </w:t>
      </w:r>
      <w:r w:rsidR="008B5BBE">
        <w:t>s</w:t>
      </w:r>
      <w:r w:rsidR="008B5BBE" w:rsidRPr="000F16EF">
        <w:t>outhern-connected Basin</w:t>
      </w:r>
      <w:r w:rsidR="00761C96">
        <w:t xml:space="preserve"> is in </w:t>
      </w:r>
      <w:r w:rsidR="00761C96">
        <w:fldChar w:fldCharType="begin"/>
      </w:r>
      <w:r w:rsidR="00761C96">
        <w:instrText xml:space="preserve"> REF _Ref12536158 \h </w:instrText>
      </w:r>
      <w:r w:rsidR="00761C96">
        <w:fldChar w:fldCharType="separate"/>
      </w:r>
      <w:r w:rsidR="00DF49CD">
        <w:t xml:space="preserve">Table </w:t>
      </w:r>
      <w:r w:rsidR="00DF49CD">
        <w:rPr>
          <w:noProof/>
        </w:rPr>
        <w:t>3</w:t>
      </w:r>
      <w:r w:rsidR="00DF49CD">
        <w:t>.</w:t>
      </w:r>
      <w:r w:rsidR="00DF49CD">
        <w:rPr>
          <w:noProof/>
        </w:rPr>
        <w:t>2</w:t>
      </w:r>
      <w:r w:rsidR="00761C96">
        <w:fldChar w:fldCharType="end"/>
      </w:r>
      <w:r w:rsidR="00761C96">
        <w:t>.</w:t>
      </w:r>
    </w:p>
    <w:p w14:paraId="519F0645" w14:textId="5EA289AE" w:rsidR="007E3F11" w:rsidRDefault="007E3F11" w:rsidP="007E3F11">
      <w:pPr>
        <w:pStyle w:val="Caption"/>
      </w:pPr>
      <w:bookmarkStart w:id="45" w:name="_Ref10184120"/>
      <w:bookmarkStart w:id="46" w:name="_Toc12630245"/>
      <w:r>
        <w:t xml:space="preserve">Table </w:t>
      </w:r>
      <w:r w:rsidR="00A8252A">
        <w:rPr>
          <w:noProof/>
        </w:rPr>
        <w:fldChar w:fldCharType="begin"/>
      </w:r>
      <w:r w:rsidR="00A8252A">
        <w:rPr>
          <w:noProof/>
        </w:rPr>
        <w:instrText xml:space="preserve"> STYLEREF 1 \s </w:instrText>
      </w:r>
      <w:r w:rsidR="00A8252A">
        <w:rPr>
          <w:noProof/>
        </w:rPr>
        <w:fldChar w:fldCharType="separate"/>
      </w:r>
      <w:r w:rsidR="00DF49CD">
        <w:rPr>
          <w:noProof/>
        </w:rPr>
        <w:t>3</w:t>
      </w:r>
      <w:r w:rsidR="00A8252A">
        <w:rPr>
          <w:noProof/>
        </w:rPr>
        <w:fldChar w:fldCharType="end"/>
      </w:r>
      <w:r w:rsidR="00F359A2">
        <w:t>.</w:t>
      </w:r>
      <w:r w:rsidR="00A8252A">
        <w:rPr>
          <w:noProof/>
        </w:rPr>
        <w:fldChar w:fldCharType="begin"/>
      </w:r>
      <w:r w:rsidR="00A8252A">
        <w:rPr>
          <w:noProof/>
        </w:rPr>
        <w:instrText xml:space="preserve"> SEQ Table \* ARABIC \s 1 </w:instrText>
      </w:r>
      <w:r w:rsidR="00A8252A">
        <w:rPr>
          <w:noProof/>
        </w:rPr>
        <w:fldChar w:fldCharType="separate"/>
      </w:r>
      <w:r w:rsidR="00DF49CD">
        <w:rPr>
          <w:noProof/>
        </w:rPr>
        <w:t>1</w:t>
      </w:r>
      <w:r w:rsidR="00A8252A">
        <w:rPr>
          <w:noProof/>
        </w:rPr>
        <w:fldChar w:fldCharType="end"/>
      </w:r>
      <w:bookmarkEnd w:id="45"/>
      <w:r>
        <w:t xml:space="preserve">. Environmental water </w:t>
      </w:r>
      <w:r w:rsidR="001E7AE8">
        <w:t xml:space="preserve">(gigalitres) </w:t>
      </w:r>
      <w:r>
        <w:t xml:space="preserve">delivered to </w:t>
      </w:r>
      <w:r w:rsidR="00FD2256">
        <w:t xml:space="preserve">Lower Murray at </w:t>
      </w:r>
      <w:r>
        <w:t>the South Australian border from 2014-15 to 2017-18.</w:t>
      </w:r>
      <w:r w:rsidR="00FD2256">
        <w:t xml:space="preserve"> Volumes do not include </w:t>
      </w:r>
      <w:r w:rsidR="00FD2256" w:rsidRPr="00FD2256">
        <w:t>the South Australian entitlement held by the Commonwe</w:t>
      </w:r>
      <w:r w:rsidR="009A4BD6">
        <w:t>alth Environmental Water Holder,</w:t>
      </w:r>
      <w:r w:rsidR="009A4BD6" w:rsidRPr="00FD2256">
        <w:t xml:space="preserve"> TLM</w:t>
      </w:r>
      <w:r w:rsidR="009A4BD6">
        <w:t xml:space="preserve"> and the South Australian Minister for the Environment and Water,</w:t>
      </w:r>
      <w:r w:rsidR="00FD2256">
        <w:t xml:space="preserve"> or wetland pumping.</w:t>
      </w:r>
      <w:r>
        <w:t xml:space="preserve"> </w:t>
      </w:r>
      <w:r w:rsidRPr="007E3F11">
        <w:t>CEW = Commonwealth environmental water</w:t>
      </w:r>
      <w:r>
        <w:t>,</w:t>
      </w:r>
      <w:r w:rsidRPr="007E3F11">
        <w:t xml:space="preserve"> </w:t>
      </w:r>
      <w:r>
        <w:t>TLM = The Living Murray</w:t>
      </w:r>
      <w:r w:rsidRPr="007E3F11">
        <w:t>,</w:t>
      </w:r>
      <w:r>
        <w:t xml:space="preserve"> VEWH =</w:t>
      </w:r>
      <w:r w:rsidRPr="007E3F11">
        <w:t xml:space="preserve"> Victorian Environmental Water Holder,</w:t>
      </w:r>
      <w:r>
        <w:t xml:space="preserve"> NSW OEH =</w:t>
      </w:r>
      <w:r w:rsidRPr="007E3F11">
        <w:t xml:space="preserve"> New South Wales Office of Environment and Heritage</w:t>
      </w:r>
      <w:r>
        <w:t>,</w:t>
      </w:r>
      <w:r w:rsidRPr="007E3F11">
        <w:t xml:space="preserve"> </w:t>
      </w:r>
      <w:r>
        <w:t>RMIF =</w:t>
      </w:r>
      <w:r w:rsidRPr="007E3F11">
        <w:t xml:space="preserve"> River Murray Increased Flows.</w:t>
      </w:r>
      <w:bookmarkEnd w:id="46"/>
    </w:p>
    <w:tbl>
      <w:tblPr>
        <w:tblStyle w:val="TableGrid"/>
        <w:tblW w:w="0" w:type="auto"/>
        <w:tblLook w:val="04A0" w:firstRow="1" w:lastRow="0" w:firstColumn="1" w:lastColumn="0" w:noHBand="0" w:noVBand="1"/>
      </w:tblPr>
      <w:tblGrid>
        <w:gridCol w:w="1791"/>
        <w:gridCol w:w="1323"/>
        <w:gridCol w:w="1559"/>
        <w:gridCol w:w="1559"/>
        <w:gridCol w:w="1843"/>
      </w:tblGrid>
      <w:tr w:rsidR="007E3F11" w:rsidRPr="009633F2" w14:paraId="72F8318D" w14:textId="6CED897E" w:rsidTr="005D4E4A">
        <w:trPr>
          <w:trHeight w:val="20"/>
        </w:trPr>
        <w:tc>
          <w:tcPr>
            <w:tcW w:w="1791" w:type="dxa"/>
            <w:vMerge w:val="restart"/>
            <w:vAlign w:val="center"/>
          </w:tcPr>
          <w:p w14:paraId="520DC842" w14:textId="27A0432F" w:rsidR="007E3F11" w:rsidRPr="009633F2" w:rsidRDefault="007E3F11" w:rsidP="009633F2">
            <w:pPr>
              <w:spacing w:after="0"/>
              <w:rPr>
                <w:b/>
                <w:sz w:val="20"/>
              </w:rPr>
            </w:pPr>
            <w:r w:rsidRPr="009633F2">
              <w:rPr>
                <w:b/>
                <w:sz w:val="20"/>
              </w:rPr>
              <w:t>E-water holder</w:t>
            </w:r>
          </w:p>
        </w:tc>
        <w:tc>
          <w:tcPr>
            <w:tcW w:w="6284" w:type="dxa"/>
            <w:gridSpan w:val="4"/>
          </w:tcPr>
          <w:p w14:paraId="6FC0887A" w14:textId="38A87C82" w:rsidR="007E3F11" w:rsidRPr="009633F2" w:rsidRDefault="007E3F11" w:rsidP="009633F2">
            <w:pPr>
              <w:spacing w:after="0"/>
              <w:jc w:val="center"/>
              <w:rPr>
                <w:b/>
                <w:sz w:val="20"/>
              </w:rPr>
            </w:pPr>
            <w:r w:rsidRPr="009633F2">
              <w:rPr>
                <w:b/>
                <w:sz w:val="20"/>
              </w:rPr>
              <w:t>Year</w:t>
            </w:r>
          </w:p>
        </w:tc>
      </w:tr>
      <w:tr w:rsidR="007E3F11" w:rsidRPr="009633F2" w14:paraId="474F070E" w14:textId="77777777" w:rsidTr="005D4E4A">
        <w:trPr>
          <w:trHeight w:val="20"/>
        </w:trPr>
        <w:tc>
          <w:tcPr>
            <w:tcW w:w="1791" w:type="dxa"/>
            <w:vMerge/>
          </w:tcPr>
          <w:p w14:paraId="68651FBD" w14:textId="77777777" w:rsidR="007E3F11" w:rsidRPr="009633F2" w:rsidRDefault="007E3F11" w:rsidP="009633F2">
            <w:pPr>
              <w:spacing w:after="0"/>
              <w:rPr>
                <w:b/>
                <w:sz w:val="20"/>
              </w:rPr>
            </w:pPr>
          </w:p>
        </w:tc>
        <w:tc>
          <w:tcPr>
            <w:tcW w:w="1323" w:type="dxa"/>
          </w:tcPr>
          <w:p w14:paraId="0A7F714D" w14:textId="4A4A5E41" w:rsidR="007E3F11" w:rsidRPr="009633F2" w:rsidRDefault="007E3F11" w:rsidP="009633F2">
            <w:pPr>
              <w:spacing w:after="0"/>
              <w:rPr>
                <w:b/>
                <w:sz w:val="20"/>
              </w:rPr>
            </w:pPr>
            <w:r w:rsidRPr="009633F2">
              <w:rPr>
                <w:b/>
                <w:sz w:val="20"/>
              </w:rPr>
              <w:t>2014-15</w:t>
            </w:r>
          </w:p>
        </w:tc>
        <w:tc>
          <w:tcPr>
            <w:tcW w:w="1559" w:type="dxa"/>
          </w:tcPr>
          <w:p w14:paraId="562A5011" w14:textId="220EB463" w:rsidR="007E3F11" w:rsidRPr="009633F2" w:rsidRDefault="007E3F11" w:rsidP="009633F2">
            <w:pPr>
              <w:spacing w:after="0"/>
              <w:rPr>
                <w:b/>
                <w:sz w:val="20"/>
              </w:rPr>
            </w:pPr>
            <w:r w:rsidRPr="009633F2">
              <w:rPr>
                <w:b/>
                <w:sz w:val="20"/>
              </w:rPr>
              <w:t>2015-16</w:t>
            </w:r>
          </w:p>
        </w:tc>
        <w:tc>
          <w:tcPr>
            <w:tcW w:w="1559" w:type="dxa"/>
          </w:tcPr>
          <w:p w14:paraId="304E85C0" w14:textId="292B0C76" w:rsidR="007E3F11" w:rsidRPr="009633F2" w:rsidRDefault="007E3F11" w:rsidP="009633F2">
            <w:pPr>
              <w:spacing w:after="0"/>
              <w:rPr>
                <w:b/>
                <w:sz w:val="20"/>
              </w:rPr>
            </w:pPr>
            <w:r w:rsidRPr="009633F2">
              <w:rPr>
                <w:b/>
                <w:sz w:val="20"/>
              </w:rPr>
              <w:t>2016-17</w:t>
            </w:r>
          </w:p>
        </w:tc>
        <w:tc>
          <w:tcPr>
            <w:tcW w:w="1843" w:type="dxa"/>
          </w:tcPr>
          <w:p w14:paraId="4F6DEDF7" w14:textId="7389E42E" w:rsidR="007E3F11" w:rsidRPr="009633F2" w:rsidRDefault="007E3F11" w:rsidP="009633F2">
            <w:pPr>
              <w:spacing w:after="0"/>
              <w:rPr>
                <w:b/>
                <w:sz w:val="20"/>
              </w:rPr>
            </w:pPr>
            <w:r w:rsidRPr="009633F2">
              <w:rPr>
                <w:b/>
                <w:sz w:val="20"/>
              </w:rPr>
              <w:t>2017-18</w:t>
            </w:r>
          </w:p>
        </w:tc>
      </w:tr>
      <w:tr w:rsidR="007E3F11" w:rsidRPr="009633F2" w14:paraId="63CF37C9" w14:textId="4840AB21" w:rsidTr="005D4E4A">
        <w:trPr>
          <w:trHeight w:val="20"/>
        </w:trPr>
        <w:tc>
          <w:tcPr>
            <w:tcW w:w="1791" w:type="dxa"/>
          </w:tcPr>
          <w:p w14:paraId="3691E5A9" w14:textId="4A3E3CE3" w:rsidR="007E3F11" w:rsidRPr="009633F2" w:rsidRDefault="007E3F11" w:rsidP="009633F2">
            <w:pPr>
              <w:spacing w:after="0"/>
              <w:rPr>
                <w:sz w:val="20"/>
              </w:rPr>
            </w:pPr>
            <w:r w:rsidRPr="009633F2">
              <w:rPr>
                <w:sz w:val="20"/>
              </w:rPr>
              <w:t>CEW</w:t>
            </w:r>
          </w:p>
        </w:tc>
        <w:tc>
          <w:tcPr>
            <w:tcW w:w="1323" w:type="dxa"/>
          </w:tcPr>
          <w:p w14:paraId="16244C8E" w14:textId="35B94EEE" w:rsidR="007E3F11" w:rsidRPr="009633F2" w:rsidRDefault="00FD2256" w:rsidP="009633F2">
            <w:pPr>
              <w:spacing w:after="0"/>
              <w:rPr>
                <w:sz w:val="20"/>
              </w:rPr>
            </w:pPr>
            <w:r w:rsidRPr="009633F2">
              <w:rPr>
                <w:sz w:val="20"/>
              </w:rPr>
              <w:t>581</w:t>
            </w:r>
          </w:p>
        </w:tc>
        <w:tc>
          <w:tcPr>
            <w:tcW w:w="1559" w:type="dxa"/>
          </w:tcPr>
          <w:p w14:paraId="099993FE" w14:textId="69171DDF" w:rsidR="007E3F11" w:rsidRPr="009633F2" w:rsidRDefault="00FD2256" w:rsidP="009633F2">
            <w:pPr>
              <w:spacing w:after="0"/>
              <w:rPr>
                <w:sz w:val="20"/>
              </w:rPr>
            </w:pPr>
            <w:r w:rsidRPr="009633F2">
              <w:rPr>
                <w:sz w:val="20"/>
              </w:rPr>
              <w:t>798</w:t>
            </w:r>
          </w:p>
        </w:tc>
        <w:tc>
          <w:tcPr>
            <w:tcW w:w="1559" w:type="dxa"/>
          </w:tcPr>
          <w:p w14:paraId="470303B9" w14:textId="36E1D5A5" w:rsidR="007E3F11" w:rsidRPr="009633F2" w:rsidRDefault="00FD2256" w:rsidP="009633F2">
            <w:pPr>
              <w:spacing w:after="0"/>
              <w:rPr>
                <w:sz w:val="20"/>
              </w:rPr>
            </w:pPr>
            <w:r w:rsidRPr="009633F2">
              <w:rPr>
                <w:sz w:val="20"/>
              </w:rPr>
              <w:t>618</w:t>
            </w:r>
          </w:p>
        </w:tc>
        <w:tc>
          <w:tcPr>
            <w:tcW w:w="1843" w:type="dxa"/>
          </w:tcPr>
          <w:p w14:paraId="73F1DFBC" w14:textId="10CDE86C" w:rsidR="007E3F11" w:rsidRPr="009633F2" w:rsidRDefault="00FD2256" w:rsidP="009633F2">
            <w:pPr>
              <w:spacing w:after="0"/>
              <w:rPr>
                <w:sz w:val="20"/>
              </w:rPr>
            </w:pPr>
            <w:r w:rsidRPr="009633F2">
              <w:rPr>
                <w:sz w:val="20"/>
              </w:rPr>
              <w:t>894</w:t>
            </w:r>
          </w:p>
        </w:tc>
      </w:tr>
      <w:tr w:rsidR="007E3F11" w:rsidRPr="009633F2" w14:paraId="2FFBD7A8" w14:textId="21212BD4" w:rsidTr="005D4E4A">
        <w:trPr>
          <w:trHeight w:val="20"/>
        </w:trPr>
        <w:tc>
          <w:tcPr>
            <w:tcW w:w="1791" w:type="dxa"/>
          </w:tcPr>
          <w:p w14:paraId="1F9C02EC" w14:textId="4D578E0C" w:rsidR="007E3F11" w:rsidRPr="009633F2" w:rsidRDefault="005D77E8" w:rsidP="009633F2">
            <w:pPr>
              <w:spacing w:after="0"/>
              <w:rPr>
                <w:sz w:val="20"/>
              </w:rPr>
            </w:pPr>
            <w:r>
              <w:rPr>
                <w:sz w:val="20"/>
              </w:rPr>
              <w:t>TL</w:t>
            </w:r>
            <w:r w:rsidR="007E3F11" w:rsidRPr="009633F2">
              <w:rPr>
                <w:sz w:val="20"/>
              </w:rPr>
              <w:t>M</w:t>
            </w:r>
          </w:p>
        </w:tc>
        <w:tc>
          <w:tcPr>
            <w:tcW w:w="1323" w:type="dxa"/>
          </w:tcPr>
          <w:p w14:paraId="3F28D699" w14:textId="2115D488" w:rsidR="007E3F11" w:rsidRPr="009633F2" w:rsidRDefault="00FD2256" w:rsidP="009633F2">
            <w:pPr>
              <w:spacing w:after="0"/>
              <w:rPr>
                <w:sz w:val="20"/>
              </w:rPr>
            </w:pPr>
            <w:r w:rsidRPr="009633F2">
              <w:rPr>
                <w:sz w:val="20"/>
              </w:rPr>
              <w:t>107</w:t>
            </w:r>
          </w:p>
        </w:tc>
        <w:tc>
          <w:tcPr>
            <w:tcW w:w="1559" w:type="dxa"/>
          </w:tcPr>
          <w:p w14:paraId="1CBD94A2" w14:textId="2D4ACE19" w:rsidR="007E3F11" w:rsidRPr="009633F2" w:rsidRDefault="00FD2256" w:rsidP="009633F2">
            <w:pPr>
              <w:spacing w:after="0"/>
              <w:rPr>
                <w:sz w:val="20"/>
              </w:rPr>
            </w:pPr>
            <w:r w:rsidRPr="009633F2">
              <w:rPr>
                <w:sz w:val="20"/>
              </w:rPr>
              <w:t>101</w:t>
            </w:r>
          </w:p>
        </w:tc>
        <w:tc>
          <w:tcPr>
            <w:tcW w:w="1559" w:type="dxa"/>
          </w:tcPr>
          <w:p w14:paraId="374C135C" w14:textId="63C25990" w:rsidR="007E3F11" w:rsidRPr="009633F2" w:rsidRDefault="00FD2256" w:rsidP="009633F2">
            <w:pPr>
              <w:spacing w:after="0"/>
              <w:rPr>
                <w:sz w:val="20"/>
              </w:rPr>
            </w:pPr>
            <w:r w:rsidRPr="009633F2">
              <w:rPr>
                <w:sz w:val="20"/>
              </w:rPr>
              <w:t>234</w:t>
            </w:r>
          </w:p>
        </w:tc>
        <w:tc>
          <w:tcPr>
            <w:tcW w:w="1843" w:type="dxa"/>
          </w:tcPr>
          <w:p w14:paraId="109B39A9" w14:textId="31F2CFE4" w:rsidR="007E3F11" w:rsidRPr="009633F2" w:rsidRDefault="00FD2256" w:rsidP="009633F2">
            <w:pPr>
              <w:spacing w:after="0"/>
              <w:rPr>
                <w:sz w:val="20"/>
              </w:rPr>
            </w:pPr>
            <w:r w:rsidRPr="009633F2">
              <w:rPr>
                <w:sz w:val="20"/>
              </w:rPr>
              <w:t>176</w:t>
            </w:r>
          </w:p>
        </w:tc>
      </w:tr>
      <w:tr w:rsidR="007E3F11" w:rsidRPr="009633F2" w14:paraId="4FF91544" w14:textId="77777777" w:rsidTr="005D4E4A">
        <w:trPr>
          <w:trHeight w:val="20"/>
        </w:trPr>
        <w:tc>
          <w:tcPr>
            <w:tcW w:w="1791" w:type="dxa"/>
          </w:tcPr>
          <w:p w14:paraId="43053CD0" w14:textId="21B1AD58" w:rsidR="007E3F11" w:rsidRPr="009633F2" w:rsidRDefault="007E3F11" w:rsidP="009633F2">
            <w:pPr>
              <w:spacing w:after="0"/>
              <w:rPr>
                <w:sz w:val="20"/>
              </w:rPr>
            </w:pPr>
            <w:r w:rsidRPr="009633F2">
              <w:rPr>
                <w:sz w:val="20"/>
              </w:rPr>
              <w:t>RMIF</w:t>
            </w:r>
          </w:p>
        </w:tc>
        <w:tc>
          <w:tcPr>
            <w:tcW w:w="1323" w:type="dxa"/>
          </w:tcPr>
          <w:p w14:paraId="3AFABD65" w14:textId="77777777" w:rsidR="007E3F11" w:rsidRPr="009633F2" w:rsidRDefault="007E3F11" w:rsidP="009633F2">
            <w:pPr>
              <w:spacing w:after="0"/>
              <w:rPr>
                <w:sz w:val="20"/>
              </w:rPr>
            </w:pPr>
          </w:p>
        </w:tc>
        <w:tc>
          <w:tcPr>
            <w:tcW w:w="1559" w:type="dxa"/>
          </w:tcPr>
          <w:p w14:paraId="4040B09F" w14:textId="5F5EE2E8" w:rsidR="007E3F11" w:rsidRPr="009633F2" w:rsidRDefault="007E3F11" w:rsidP="009633F2">
            <w:pPr>
              <w:spacing w:after="0"/>
              <w:rPr>
                <w:sz w:val="20"/>
              </w:rPr>
            </w:pPr>
          </w:p>
        </w:tc>
        <w:tc>
          <w:tcPr>
            <w:tcW w:w="1559" w:type="dxa"/>
          </w:tcPr>
          <w:p w14:paraId="0CC490F1" w14:textId="5633C5D5" w:rsidR="007E3F11" w:rsidRPr="009633F2" w:rsidRDefault="00FD2256" w:rsidP="009633F2">
            <w:pPr>
              <w:spacing w:after="0"/>
              <w:rPr>
                <w:sz w:val="20"/>
              </w:rPr>
            </w:pPr>
            <w:r w:rsidRPr="009633F2">
              <w:rPr>
                <w:sz w:val="20"/>
              </w:rPr>
              <w:t>100</w:t>
            </w:r>
          </w:p>
        </w:tc>
        <w:tc>
          <w:tcPr>
            <w:tcW w:w="1843" w:type="dxa"/>
          </w:tcPr>
          <w:p w14:paraId="6BF92479" w14:textId="1B395745" w:rsidR="007E3F11" w:rsidRPr="009633F2" w:rsidRDefault="00FD2256" w:rsidP="009633F2">
            <w:pPr>
              <w:spacing w:after="0"/>
              <w:rPr>
                <w:sz w:val="20"/>
              </w:rPr>
            </w:pPr>
            <w:r w:rsidRPr="009633F2">
              <w:rPr>
                <w:sz w:val="20"/>
              </w:rPr>
              <w:t>53</w:t>
            </w:r>
          </w:p>
        </w:tc>
      </w:tr>
      <w:tr w:rsidR="007E3F11" w:rsidRPr="009633F2" w14:paraId="2B4DB7DE" w14:textId="2DFFD379" w:rsidTr="005D4E4A">
        <w:trPr>
          <w:trHeight w:val="20"/>
        </w:trPr>
        <w:tc>
          <w:tcPr>
            <w:tcW w:w="1791" w:type="dxa"/>
          </w:tcPr>
          <w:p w14:paraId="6B8D0279" w14:textId="7216BA2D" w:rsidR="007E3F11" w:rsidRPr="009633F2" w:rsidRDefault="007E3F11" w:rsidP="009633F2">
            <w:pPr>
              <w:spacing w:after="0"/>
              <w:rPr>
                <w:sz w:val="20"/>
              </w:rPr>
            </w:pPr>
            <w:r w:rsidRPr="009633F2">
              <w:rPr>
                <w:sz w:val="20"/>
              </w:rPr>
              <w:t>VEWH</w:t>
            </w:r>
          </w:p>
        </w:tc>
        <w:tc>
          <w:tcPr>
            <w:tcW w:w="1323" w:type="dxa"/>
          </w:tcPr>
          <w:p w14:paraId="1BA4CFE0" w14:textId="5D87379A" w:rsidR="007E3F11" w:rsidRPr="009633F2" w:rsidRDefault="00FD2256" w:rsidP="009633F2">
            <w:pPr>
              <w:spacing w:after="0"/>
              <w:rPr>
                <w:sz w:val="20"/>
              </w:rPr>
            </w:pPr>
            <w:r w:rsidRPr="009633F2">
              <w:rPr>
                <w:sz w:val="20"/>
              </w:rPr>
              <w:t>26</w:t>
            </w:r>
          </w:p>
        </w:tc>
        <w:tc>
          <w:tcPr>
            <w:tcW w:w="1559" w:type="dxa"/>
          </w:tcPr>
          <w:p w14:paraId="1CC777DA" w14:textId="3D6BDC34" w:rsidR="007E3F11" w:rsidRPr="009633F2" w:rsidRDefault="00FD2256" w:rsidP="009633F2">
            <w:pPr>
              <w:spacing w:after="0"/>
              <w:rPr>
                <w:sz w:val="20"/>
              </w:rPr>
            </w:pPr>
            <w:r w:rsidRPr="009633F2">
              <w:rPr>
                <w:sz w:val="20"/>
              </w:rPr>
              <w:t>15</w:t>
            </w:r>
          </w:p>
        </w:tc>
        <w:tc>
          <w:tcPr>
            <w:tcW w:w="1559" w:type="dxa"/>
          </w:tcPr>
          <w:p w14:paraId="269EA1B5" w14:textId="77DEE7B4" w:rsidR="007E3F11" w:rsidRPr="009633F2" w:rsidRDefault="00FD2256" w:rsidP="009633F2">
            <w:pPr>
              <w:spacing w:after="0"/>
              <w:rPr>
                <w:sz w:val="20"/>
              </w:rPr>
            </w:pPr>
            <w:r w:rsidRPr="009633F2">
              <w:rPr>
                <w:sz w:val="20"/>
              </w:rPr>
              <w:t>43</w:t>
            </w:r>
          </w:p>
        </w:tc>
        <w:tc>
          <w:tcPr>
            <w:tcW w:w="1843" w:type="dxa"/>
          </w:tcPr>
          <w:p w14:paraId="4A60A2F2" w14:textId="01D5B236" w:rsidR="007E3F11" w:rsidRPr="009633F2" w:rsidRDefault="00FD2256" w:rsidP="009633F2">
            <w:pPr>
              <w:spacing w:after="0"/>
              <w:rPr>
                <w:sz w:val="20"/>
              </w:rPr>
            </w:pPr>
            <w:r w:rsidRPr="009633F2">
              <w:rPr>
                <w:sz w:val="20"/>
              </w:rPr>
              <w:t>29</w:t>
            </w:r>
          </w:p>
        </w:tc>
      </w:tr>
      <w:tr w:rsidR="007E3F11" w:rsidRPr="009633F2" w14:paraId="183EBE88" w14:textId="77777777" w:rsidTr="005D4E4A">
        <w:trPr>
          <w:trHeight w:val="20"/>
        </w:trPr>
        <w:tc>
          <w:tcPr>
            <w:tcW w:w="1791" w:type="dxa"/>
          </w:tcPr>
          <w:p w14:paraId="01011F6D" w14:textId="3853C211" w:rsidR="007E3F11" w:rsidRPr="009633F2" w:rsidRDefault="007E3F11" w:rsidP="009633F2">
            <w:pPr>
              <w:spacing w:after="0"/>
              <w:rPr>
                <w:sz w:val="20"/>
              </w:rPr>
            </w:pPr>
            <w:r w:rsidRPr="009633F2">
              <w:rPr>
                <w:sz w:val="20"/>
              </w:rPr>
              <w:t>NSW OEH</w:t>
            </w:r>
          </w:p>
        </w:tc>
        <w:tc>
          <w:tcPr>
            <w:tcW w:w="1323" w:type="dxa"/>
          </w:tcPr>
          <w:p w14:paraId="231F5298" w14:textId="77777777" w:rsidR="007E3F11" w:rsidRPr="009633F2" w:rsidRDefault="007E3F11" w:rsidP="009633F2">
            <w:pPr>
              <w:spacing w:after="0"/>
              <w:rPr>
                <w:sz w:val="20"/>
              </w:rPr>
            </w:pPr>
          </w:p>
        </w:tc>
        <w:tc>
          <w:tcPr>
            <w:tcW w:w="1559" w:type="dxa"/>
          </w:tcPr>
          <w:p w14:paraId="03B05B54" w14:textId="77777777" w:rsidR="007E3F11" w:rsidRPr="009633F2" w:rsidRDefault="007E3F11" w:rsidP="009633F2">
            <w:pPr>
              <w:spacing w:after="0"/>
              <w:rPr>
                <w:sz w:val="20"/>
              </w:rPr>
            </w:pPr>
          </w:p>
        </w:tc>
        <w:tc>
          <w:tcPr>
            <w:tcW w:w="1559" w:type="dxa"/>
          </w:tcPr>
          <w:p w14:paraId="1FAC56C9" w14:textId="77777777" w:rsidR="007E3F11" w:rsidRPr="009633F2" w:rsidRDefault="007E3F11" w:rsidP="009633F2">
            <w:pPr>
              <w:spacing w:after="0"/>
              <w:rPr>
                <w:sz w:val="20"/>
              </w:rPr>
            </w:pPr>
          </w:p>
        </w:tc>
        <w:tc>
          <w:tcPr>
            <w:tcW w:w="1843" w:type="dxa"/>
          </w:tcPr>
          <w:p w14:paraId="318A0DC3" w14:textId="7E22614F" w:rsidR="007E3F11" w:rsidRPr="009633F2" w:rsidRDefault="00FD2256" w:rsidP="009633F2">
            <w:pPr>
              <w:spacing w:after="0"/>
              <w:rPr>
                <w:sz w:val="20"/>
              </w:rPr>
            </w:pPr>
            <w:r w:rsidRPr="009633F2">
              <w:rPr>
                <w:sz w:val="20"/>
              </w:rPr>
              <w:t>9</w:t>
            </w:r>
          </w:p>
        </w:tc>
      </w:tr>
      <w:tr w:rsidR="007E3F11" w:rsidRPr="009633F2" w14:paraId="3E8B4A1F" w14:textId="0DFC6A11" w:rsidTr="005D4E4A">
        <w:trPr>
          <w:trHeight w:val="20"/>
        </w:trPr>
        <w:tc>
          <w:tcPr>
            <w:tcW w:w="1791" w:type="dxa"/>
          </w:tcPr>
          <w:p w14:paraId="08F0DC8A" w14:textId="77777777" w:rsidR="007E3F11" w:rsidRPr="009633F2" w:rsidRDefault="007E3F11" w:rsidP="009633F2">
            <w:pPr>
              <w:spacing w:after="0"/>
              <w:rPr>
                <w:b/>
                <w:sz w:val="20"/>
              </w:rPr>
            </w:pPr>
            <w:r w:rsidRPr="009633F2">
              <w:rPr>
                <w:b/>
                <w:color w:val="auto"/>
                <w:kern w:val="0"/>
                <w:sz w:val="20"/>
                <w:lang w:eastAsia="en-AU"/>
              </w:rPr>
              <w:t>Total</w:t>
            </w:r>
          </w:p>
        </w:tc>
        <w:tc>
          <w:tcPr>
            <w:tcW w:w="1323" w:type="dxa"/>
          </w:tcPr>
          <w:p w14:paraId="1B49484B" w14:textId="276CF2C0" w:rsidR="007E3F11" w:rsidRPr="009633F2" w:rsidRDefault="00FD2256" w:rsidP="009633F2">
            <w:pPr>
              <w:spacing w:after="0"/>
              <w:rPr>
                <w:b/>
                <w:sz w:val="20"/>
              </w:rPr>
            </w:pPr>
            <w:r w:rsidRPr="009633F2">
              <w:rPr>
                <w:b/>
                <w:sz w:val="20"/>
              </w:rPr>
              <w:t>714</w:t>
            </w:r>
          </w:p>
        </w:tc>
        <w:tc>
          <w:tcPr>
            <w:tcW w:w="1559" w:type="dxa"/>
          </w:tcPr>
          <w:p w14:paraId="65671486" w14:textId="19A9877E" w:rsidR="007E3F11" w:rsidRPr="009633F2" w:rsidRDefault="00FD2256" w:rsidP="009633F2">
            <w:pPr>
              <w:spacing w:after="0"/>
              <w:rPr>
                <w:b/>
                <w:sz w:val="20"/>
              </w:rPr>
            </w:pPr>
            <w:r w:rsidRPr="009633F2">
              <w:rPr>
                <w:b/>
                <w:sz w:val="20"/>
              </w:rPr>
              <w:t>914</w:t>
            </w:r>
          </w:p>
        </w:tc>
        <w:tc>
          <w:tcPr>
            <w:tcW w:w="1559" w:type="dxa"/>
          </w:tcPr>
          <w:p w14:paraId="0CAAA757" w14:textId="17BFBB27" w:rsidR="007E3F11" w:rsidRPr="009633F2" w:rsidRDefault="00FD2256" w:rsidP="009633F2">
            <w:pPr>
              <w:spacing w:after="0"/>
              <w:rPr>
                <w:b/>
                <w:sz w:val="20"/>
              </w:rPr>
            </w:pPr>
            <w:r w:rsidRPr="009633F2">
              <w:rPr>
                <w:b/>
                <w:sz w:val="20"/>
              </w:rPr>
              <w:t>995</w:t>
            </w:r>
          </w:p>
        </w:tc>
        <w:tc>
          <w:tcPr>
            <w:tcW w:w="1843" w:type="dxa"/>
          </w:tcPr>
          <w:p w14:paraId="277DD9DB" w14:textId="317B7A7F" w:rsidR="007E3F11" w:rsidRPr="009633F2" w:rsidRDefault="00FD2256" w:rsidP="009633F2">
            <w:pPr>
              <w:spacing w:after="0"/>
              <w:rPr>
                <w:b/>
                <w:sz w:val="20"/>
              </w:rPr>
            </w:pPr>
            <w:r w:rsidRPr="009633F2">
              <w:rPr>
                <w:b/>
                <w:sz w:val="20"/>
              </w:rPr>
              <w:t>1162</w:t>
            </w:r>
          </w:p>
        </w:tc>
      </w:tr>
    </w:tbl>
    <w:p w14:paraId="3565305B" w14:textId="77777777" w:rsidR="007E3F11" w:rsidRDefault="007E3F11" w:rsidP="009C5FD6"/>
    <w:p w14:paraId="33F881A2" w14:textId="48923FA2" w:rsidR="009C5FD6" w:rsidRDefault="00761C96" w:rsidP="00761C96">
      <w:pPr>
        <w:pStyle w:val="Caption"/>
      </w:pPr>
      <w:bookmarkStart w:id="47" w:name="_Ref12536158"/>
      <w:bookmarkStart w:id="48" w:name="_Toc12630246"/>
      <w:r>
        <w:t xml:space="preserve">Table </w:t>
      </w:r>
      <w:r w:rsidR="00A8252A">
        <w:rPr>
          <w:noProof/>
        </w:rPr>
        <w:fldChar w:fldCharType="begin"/>
      </w:r>
      <w:r w:rsidR="00A8252A">
        <w:rPr>
          <w:noProof/>
        </w:rPr>
        <w:instrText xml:space="preserve"> STYLEREF 1 \s </w:instrText>
      </w:r>
      <w:r w:rsidR="00A8252A">
        <w:rPr>
          <w:noProof/>
        </w:rPr>
        <w:fldChar w:fldCharType="separate"/>
      </w:r>
      <w:r w:rsidR="00DF49CD">
        <w:rPr>
          <w:noProof/>
        </w:rPr>
        <w:t>3</w:t>
      </w:r>
      <w:r w:rsidR="00A8252A">
        <w:rPr>
          <w:noProof/>
        </w:rPr>
        <w:fldChar w:fldCharType="end"/>
      </w:r>
      <w:r w:rsidR="00F359A2">
        <w:t>.</w:t>
      </w:r>
      <w:r w:rsidR="00A8252A">
        <w:rPr>
          <w:noProof/>
        </w:rPr>
        <w:fldChar w:fldCharType="begin"/>
      </w:r>
      <w:r w:rsidR="00A8252A">
        <w:rPr>
          <w:noProof/>
        </w:rPr>
        <w:instrText xml:space="preserve"> SEQ Table \* ARABIC \s 1 </w:instrText>
      </w:r>
      <w:r w:rsidR="00A8252A">
        <w:rPr>
          <w:noProof/>
        </w:rPr>
        <w:fldChar w:fldCharType="separate"/>
      </w:r>
      <w:r w:rsidR="00DF49CD">
        <w:rPr>
          <w:noProof/>
        </w:rPr>
        <w:t>2</w:t>
      </w:r>
      <w:r w:rsidR="00A8252A">
        <w:rPr>
          <w:noProof/>
        </w:rPr>
        <w:fldChar w:fldCharType="end"/>
      </w:r>
      <w:bookmarkEnd w:id="47"/>
      <w:r>
        <w:t xml:space="preserve">. </w:t>
      </w:r>
      <w:r w:rsidR="009C5FD6">
        <w:t xml:space="preserve">Southern-connected Basin </w:t>
      </w:r>
      <w:r w:rsidR="001E7AE8">
        <w:t xml:space="preserve">Commonwealth environmental </w:t>
      </w:r>
      <w:r w:rsidR="009C5FD6">
        <w:t>water holdings (</w:t>
      </w:r>
      <w:r w:rsidR="001E7AE8">
        <w:t>gigalitres</w:t>
      </w:r>
      <w:r w:rsidR="009C5FD6">
        <w:t xml:space="preserve">) at </w:t>
      </w:r>
      <w:r w:rsidR="00CE49C0">
        <w:t>30</w:t>
      </w:r>
      <w:r w:rsidR="009C5FD6">
        <w:t xml:space="preserve"> </w:t>
      </w:r>
      <w:r w:rsidR="00CE49C0">
        <w:t>April</w:t>
      </w:r>
      <w:r w:rsidR="009C5FD6">
        <w:t xml:space="preserve"> 2019 (source: </w:t>
      </w:r>
      <w:r w:rsidR="009C5FD6" w:rsidRPr="000F16EF">
        <w:t>http://www.environment.gov.au/water/cewo/about/water-holdings</w:t>
      </w:r>
      <w:r w:rsidR="009C5FD6">
        <w:t>).</w:t>
      </w:r>
      <w:bookmarkEnd w:id="48"/>
    </w:p>
    <w:tbl>
      <w:tblPr>
        <w:tblStyle w:val="TableGrid"/>
        <w:tblW w:w="0" w:type="auto"/>
        <w:tblLook w:val="04A0" w:firstRow="1" w:lastRow="0" w:firstColumn="1" w:lastColumn="0" w:noHBand="0" w:noVBand="1"/>
      </w:tblPr>
      <w:tblGrid>
        <w:gridCol w:w="3003"/>
        <w:gridCol w:w="3003"/>
        <w:gridCol w:w="3004"/>
      </w:tblGrid>
      <w:tr w:rsidR="007E3F11" w:rsidRPr="009633F2" w14:paraId="0E0DAB78" w14:textId="77777777" w:rsidTr="009633F2">
        <w:trPr>
          <w:trHeight w:val="20"/>
        </w:trPr>
        <w:tc>
          <w:tcPr>
            <w:tcW w:w="3003" w:type="dxa"/>
          </w:tcPr>
          <w:p w14:paraId="0F3D0872" w14:textId="347E1070" w:rsidR="007E3F11" w:rsidRPr="009633F2" w:rsidRDefault="007E3F11" w:rsidP="009633F2">
            <w:pPr>
              <w:spacing w:after="0"/>
              <w:rPr>
                <w:b/>
                <w:sz w:val="20"/>
              </w:rPr>
            </w:pPr>
            <w:r w:rsidRPr="009633F2">
              <w:rPr>
                <w:b/>
                <w:sz w:val="20"/>
              </w:rPr>
              <w:t>Security</w:t>
            </w:r>
          </w:p>
        </w:tc>
        <w:tc>
          <w:tcPr>
            <w:tcW w:w="3003" w:type="dxa"/>
          </w:tcPr>
          <w:p w14:paraId="3379AD12" w14:textId="63495D18" w:rsidR="007E3F11" w:rsidRPr="009633F2" w:rsidRDefault="007E3F11" w:rsidP="009633F2">
            <w:pPr>
              <w:spacing w:after="0"/>
              <w:rPr>
                <w:b/>
                <w:sz w:val="20"/>
              </w:rPr>
            </w:pPr>
            <w:r w:rsidRPr="009633F2">
              <w:rPr>
                <w:b/>
                <w:sz w:val="20"/>
              </w:rPr>
              <w:t xml:space="preserve">Registered entitlements </w:t>
            </w:r>
          </w:p>
        </w:tc>
        <w:tc>
          <w:tcPr>
            <w:tcW w:w="3004" w:type="dxa"/>
          </w:tcPr>
          <w:p w14:paraId="5DF15318" w14:textId="46E4C67A" w:rsidR="007E3F11" w:rsidRPr="009633F2" w:rsidRDefault="007E3F11" w:rsidP="009633F2">
            <w:pPr>
              <w:spacing w:after="0"/>
              <w:rPr>
                <w:b/>
                <w:sz w:val="20"/>
              </w:rPr>
            </w:pPr>
            <w:r w:rsidRPr="009633F2">
              <w:rPr>
                <w:b/>
                <w:sz w:val="20"/>
              </w:rPr>
              <w:t xml:space="preserve">Long term average annual yield </w:t>
            </w:r>
          </w:p>
        </w:tc>
      </w:tr>
      <w:tr w:rsidR="007E3F11" w:rsidRPr="009633F2" w14:paraId="23C046A3" w14:textId="77777777" w:rsidTr="009633F2">
        <w:trPr>
          <w:trHeight w:val="20"/>
        </w:trPr>
        <w:tc>
          <w:tcPr>
            <w:tcW w:w="3003" w:type="dxa"/>
          </w:tcPr>
          <w:p w14:paraId="3D77D5B6" w14:textId="671BD723" w:rsidR="007E3F11" w:rsidRPr="009633F2" w:rsidRDefault="007E3F11" w:rsidP="009633F2">
            <w:pPr>
              <w:spacing w:after="0"/>
              <w:rPr>
                <w:sz w:val="20"/>
              </w:rPr>
            </w:pPr>
            <w:r w:rsidRPr="009633F2">
              <w:rPr>
                <w:sz w:val="20"/>
              </w:rPr>
              <w:t>High</w:t>
            </w:r>
          </w:p>
        </w:tc>
        <w:tc>
          <w:tcPr>
            <w:tcW w:w="3003" w:type="dxa"/>
          </w:tcPr>
          <w:p w14:paraId="394E8D05" w14:textId="26EE6D9C" w:rsidR="007E3F11" w:rsidRPr="009633F2" w:rsidRDefault="00DB3E8E" w:rsidP="001E7AE8">
            <w:pPr>
              <w:spacing w:after="0"/>
              <w:rPr>
                <w:sz w:val="20"/>
              </w:rPr>
            </w:pPr>
            <w:r>
              <w:rPr>
                <w:sz w:val="20"/>
              </w:rPr>
              <w:t>883</w:t>
            </w:r>
          </w:p>
        </w:tc>
        <w:tc>
          <w:tcPr>
            <w:tcW w:w="3004" w:type="dxa"/>
          </w:tcPr>
          <w:p w14:paraId="1584D3DB" w14:textId="21AA72EA" w:rsidR="007E3F11" w:rsidRPr="009633F2" w:rsidRDefault="00DB3E8E" w:rsidP="001E7AE8">
            <w:pPr>
              <w:spacing w:after="0"/>
              <w:rPr>
                <w:sz w:val="20"/>
              </w:rPr>
            </w:pPr>
            <w:r>
              <w:rPr>
                <w:sz w:val="20"/>
              </w:rPr>
              <w:t>828</w:t>
            </w:r>
          </w:p>
        </w:tc>
      </w:tr>
      <w:tr w:rsidR="007E3F11" w:rsidRPr="009633F2" w14:paraId="309A890A" w14:textId="77777777" w:rsidTr="009633F2">
        <w:trPr>
          <w:trHeight w:val="20"/>
        </w:trPr>
        <w:tc>
          <w:tcPr>
            <w:tcW w:w="3003" w:type="dxa"/>
          </w:tcPr>
          <w:p w14:paraId="22629908" w14:textId="74F960BD" w:rsidR="007E3F11" w:rsidRPr="009633F2" w:rsidRDefault="007E3F11" w:rsidP="009633F2">
            <w:pPr>
              <w:spacing w:after="0"/>
              <w:rPr>
                <w:sz w:val="20"/>
              </w:rPr>
            </w:pPr>
            <w:r w:rsidRPr="009633F2">
              <w:rPr>
                <w:sz w:val="20"/>
              </w:rPr>
              <w:t>General/Low</w:t>
            </w:r>
          </w:p>
        </w:tc>
        <w:tc>
          <w:tcPr>
            <w:tcW w:w="3003" w:type="dxa"/>
          </w:tcPr>
          <w:p w14:paraId="3B959C20" w14:textId="3EF483E8" w:rsidR="007E3F11" w:rsidRPr="009633F2" w:rsidRDefault="00DB3E8E" w:rsidP="001E7AE8">
            <w:pPr>
              <w:spacing w:after="0"/>
              <w:rPr>
                <w:sz w:val="20"/>
              </w:rPr>
            </w:pPr>
            <w:r>
              <w:rPr>
                <w:sz w:val="20"/>
              </w:rPr>
              <w:t>753</w:t>
            </w:r>
          </w:p>
        </w:tc>
        <w:tc>
          <w:tcPr>
            <w:tcW w:w="3004" w:type="dxa"/>
          </w:tcPr>
          <w:p w14:paraId="759357C1" w14:textId="2DB1ACBD" w:rsidR="007E3F11" w:rsidRPr="009633F2" w:rsidRDefault="00DB3E8E" w:rsidP="001E7AE8">
            <w:pPr>
              <w:spacing w:after="0"/>
              <w:rPr>
                <w:sz w:val="20"/>
              </w:rPr>
            </w:pPr>
            <w:r>
              <w:rPr>
                <w:sz w:val="20"/>
              </w:rPr>
              <w:t>480</w:t>
            </w:r>
          </w:p>
        </w:tc>
      </w:tr>
      <w:tr w:rsidR="007E3F11" w:rsidRPr="009633F2" w14:paraId="449A58B8" w14:textId="77777777" w:rsidTr="009633F2">
        <w:trPr>
          <w:trHeight w:val="20"/>
        </w:trPr>
        <w:tc>
          <w:tcPr>
            <w:tcW w:w="3003" w:type="dxa"/>
          </w:tcPr>
          <w:p w14:paraId="33881D46" w14:textId="4A06D905" w:rsidR="007E3F11" w:rsidRPr="009633F2" w:rsidRDefault="007E3F11" w:rsidP="009633F2">
            <w:pPr>
              <w:spacing w:after="0"/>
              <w:rPr>
                <w:sz w:val="20"/>
              </w:rPr>
            </w:pPr>
            <w:r w:rsidRPr="009633F2">
              <w:rPr>
                <w:sz w:val="20"/>
              </w:rPr>
              <w:t>Conveyance</w:t>
            </w:r>
          </w:p>
        </w:tc>
        <w:tc>
          <w:tcPr>
            <w:tcW w:w="3003" w:type="dxa"/>
          </w:tcPr>
          <w:p w14:paraId="07D7DBB4" w14:textId="02D66C1E" w:rsidR="007E3F11" w:rsidRPr="009633F2" w:rsidRDefault="007E3F11" w:rsidP="001E7AE8">
            <w:pPr>
              <w:spacing w:after="0"/>
              <w:rPr>
                <w:sz w:val="20"/>
              </w:rPr>
            </w:pPr>
            <w:r w:rsidRPr="009633F2">
              <w:rPr>
                <w:sz w:val="20"/>
              </w:rPr>
              <w:t>5</w:t>
            </w:r>
            <w:r w:rsidR="001E7AE8">
              <w:rPr>
                <w:sz w:val="20"/>
              </w:rPr>
              <w:t>7</w:t>
            </w:r>
          </w:p>
        </w:tc>
        <w:tc>
          <w:tcPr>
            <w:tcW w:w="3004" w:type="dxa"/>
          </w:tcPr>
          <w:p w14:paraId="7F1430A0" w14:textId="76FE5B44" w:rsidR="007E3F11" w:rsidRPr="009633F2" w:rsidRDefault="007E3F11" w:rsidP="001E7AE8">
            <w:pPr>
              <w:spacing w:after="0"/>
              <w:rPr>
                <w:sz w:val="20"/>
              </w:rPr>
            </w:pPr>
            <w:r w:rsidRPr="009633F2">
              <w:rPr>
                <w:sz w:val="20"/>
              </w:rPr>
              <w:t>50</w:t>
            </w:r>
          </w:p>
        </w:tc>
      </w:tr>
      <w:tr w:rsidR="007E3F11" w:rsidRPr="009633F2" w14:paraId="0D0CB0D6" w14:textId="77777777" w:rsidTr="009633F2">
        <w:trPr>
          <w:trHeight w:val="20"/>
        </w:trPr>
        <w:tc>
          <w:tcPr>
            <w:tcW w:w="3003" w:type="dxa"/>
          </w:tcPr>
          <w:p w14:paraId="353F6FB2" w14:textId="191518F5" w:rsidR="007E3F11" w:rsidRPr="009633F2" w:rsidRDefault="007E3F11" w:rsidP="009633F2">
            <w:pPr>
              <w:spacing w:after="0"/>
              <w:rPr>
                <w:sz w:val="20"/>
              </w:rPr>
            </w:pPr>
            <w:r w:rsidRPr="009633F2">
              <w:rPr>
                <w:color w:val="auto"/>
                <w:kern w:val="0"/>
                <w:sz w:val="20"/>
                <w:lang w:eastAsia="en-AU"/>
              </w:rPr>
              <w:t>Supplementary</w:t>
            </w:r>
            <w:r w:rsidRPr="009633F2">
              <w:rPr>
                <w:color w:val="auto"/>
                <w:kern w:val="0"/>
                <w:sz w:val="20"/>
                <w:vertAlign w:val="superscript"/>
                <w:lang w:eastAsia="en-AU"/>
              </w:rPr>
              <w:t>1</w:t>
            </w:r>
          </w:p>
        </w:tc>
        <w:tc>
          <w:tcPr>
            <w:tcW w:w="3003" w:type="dxa"/>
          </w:tcPr>
          <w:p w14:paraId="5DACBDA1" w14:textId="17002B88" w:rsidR="007E3F11" w:rsidRPr="009633F2" w:rsidRDefault="007E3F11" w:rsidP="001E7AE8">
            <w:pPr>
              <w:spacing w:after="0"/>
              <w:rPr>
                <w:sz w:val="20"/>
              </w:rPr>
            </w:pPr>
            <w:r w:rsidRPr="009633F2">
              <w:rPr>
                <w:sz w:val="20"/>
              </w:rPr>
              <w:t>415</w:t>
            </w:r>
          </w:p>
        </w:tc>
        <w:tc>
          <w:tcPr>
            <w:tcW w:w="3004" w:type="dxa"/>
          </w:tcPr>
          <w:p w14:paraId="46F3ABA5" w14:textId="7C92B321" w:rsidR="007E3F11" w:rsidRPr="009633F2" w:rsidRDefault="007E3F11" w:rsidP="001E7AE8">
            <w:pPr>
              <w:spacing w:after="0"/>
              <w:rPr>
                <w:sz w:val="20"/>
              </w:rPr>
            </w:pPr>
            <w:r w:rsidRPr="009633F2">
              <w:rPr>
                <w:sz w:val="20"/>
              </w:rPr>
              <w:t>18</w:t>
            </w:r>
            <w:r w:rsidR="001E7AE8">
              <w:rPr>
                <w:sz w:val="20"/>
              </w:rPr>
              <w:t>6</w:t>
            </w:r>
          </w:p>
        </w:tc>
      </w:tr>
      <w:tr w:rsidR="007E3F11" w:rsidRPr="009633F2" w14:paraId="238EFFD0" w14:textId="77777777" w:rsidTr="009633F2">
        <w:trPr>
          <w:trHeight w:val="20"/>
        </w:trPr>
        <w:tc>
          <w:tcPr>
            <w:tcW w:w="3003" w:type="dxa"/>
          </w:tcPr>
          <w:p w14:paraId="344ADC63" w14:textId="596B1B6F" w:rsidR="007E3F11" w:rsidRPr="009633F2" w:rsidRDefault="007E3F11" w:rsidP="009633F2">
            <w:pPr>
              <w:spacing w:after="0"/>
              <w:rPr>
                <w:b/>
                <w:sz w:val="20"/>
              </w:rPr>
            </w:pPr>
            <w:r w:rsidRPr="009633F2">
              <w:rPr>
                <w:b/>
                <w:color w:val="auto"/>
                <w:kern w:val="0"/>
                <w:sz w:val="20"/>
                <w:lang w:eastAsia="en-AU"/>
              </w:rPr>
              <w:t>Total</w:t>
            </w:r>
          </w:p>
        </w:tc>
        <w:tc>
          <w:tcPr>
            <w:tcW w:w="3003" w:type="dxa"/>
          </w:tcPr>
          <w:p w14:paraId="36F58C98" w14:textId="18CACCD5" w:rsidR="007E3F11" w:rsidRPr="009633F2" w:rsidRDefault="00DB3E8E" w:rsidP="001E7AE8">
            <w:pPr>
              <w:spacing w:after="0"/>
              <w:rPr>
                <w:b/>
                <w:sz w:val="20"/>
              </w:rPr>
            </w:pPr>
            <w:r>
              <w:rPr>
                <w:b/>
                <w:sz w:val="20"/>
              </w:rPr>
              <w:t>2,108</w:t>
            </w:r>
          </w:p>
        </w:tc>
        <w:tc>
          <w:tcPr>
            <w:tcW w:w="3004" w:type="dxa"/>
          </w:tcPr>
          <w:p w14:paraId="051F79C4" w14:textId="083A9964" w:rsidR="007E3F11" w:rsidRPr="009633F2" w:rsidRDefault="00DB3E8E" w:rsidP="001E7AE8">
            <w:pPr>
              <w:spacing w:after="0"/>
              <w:rPr>
                <w:b/>
                <w:sz w:val="20"/>
              </w:rPr>
            </w:pPr>
            <w:r>
              <w:rPr>
                <w:b/>
                <w:sz w:val="20"/>
              </w:rPr>
              <w:t>1,544</w:t>
            </w:r>
          </w:p>
        </w:tc>
      </w:tr>
    </w:tbl>
    <w:p w14:paraId="21A7AE05" w14:textId="4D6C870D" w:rsidR="007E3F11" w:rsidRPr="007E3F11" w:rsidRDefault="007E3F11" w:rsidP="009C5FD6">
      <w:pPr>
        <w:contextualSpacing/>
        <w:rPr>
          <w:rFonts w:eastAsiaTheme="majorEastAsia"/>
          <w:sz w:val="16"/>
        </w:rPr>
      </w:pPr>
      <w:r w:rsidRPr="007E3F11">
        <w:rPr>
          <w:rFonts w:eastAsiaTheme="majorEastAsia"/>
          <w:sz w:val="16"/>
          <w:vertAlign w:val="superscript"/>
        </w:rPr>
        <w:t xml:space="preserve">1 </w:t>
      </w:r>
      <w:r w:rsidRPr="007E3F11">
        <w:rPr>
          <w:rFonts w:eastAsiaTheme="majorEastAsia"/>
          <w:sz w:val="16"/>
        </w:rPr>
        <w:t>For supplementary entitlements, no ‘carryover’ or ‘water account balance’ is reported. 'New allocations’ and ‘available water transferred for delivery or delivered directly’ are accounted at the time of take.</w:t>
      </w:r>
    </w:p>
    <w:p w14:paraId="1F45998D" w14:textId="558A2031" w:rsidR="009C5FD6" w:rsidRPr="007E3F11" w:rsidRDefault="00F241B4" w:rsidP="009C5FD6">
      <w:pPr>
        <w:contextualSpacing/>
        <w:rPr>
          <w:rFonts w:eastAsiaTheme="majorEastAsia"/>
          <w:sz w:val="16"/>
        </w:rPr>
      </w:pPr>
      <w:r w:rsidRPr="007E3F11">
        <w:rPr>
          <w:rFonts w:eastAsiaTheme="majorEastAsia"/>
          <w:sz w:val="16"/>
        </w:rPr>
        <w:t>Within</w:t>
      </w:r>
      <w:r w:rsidR="009C5FD6" w:rsidRPr="007E3F11">
        <w:rPr>
          <w:rFonts w:eastAsiaTheme="majorEastAsia"/>
          <w:sz w:val="16"/>
        </w:rPr>
        <w:t xml:space="preserve"> </w:t>
      </w:r>
      <w:r w:rsidR="007568F4" w:rsidRPr="007E3F11">
        <w:rPr>
          <w:rFonts w:eastAsiaTheme="majorEastAsia"/>
          <w:sz w:val="16"/>
        </w:rPr>
        <w:t xml:space="preserve">the </w:t>
      </w:r>
      <w:r w:rsidR="009C5FD6" w:rsidRPr="007E3F11">
        <w:rPr>
          <w:rFonts w:eastAsiaTheme="majorEastAsia"/>
          <w:sz w:val="16"/>
        </w:rPr>
        <w:t>southern-connected Basin</w:t>
      </w:r>
      <w:r w:rsidRPr="007E3F11">
        <w:rPr>
          <w:rFonts w:eastAsiaTheme="majorEastAsia"/>
          <w:sz w:val="16"/>
        </w:rPr>
        <w:t xml:space="preserve">, water allocations to </w:t>
      </w:r>
      <w:r w:rsidR="009C5FD6" w:rsidRPr="007E3F11">
        <w:rPr>
          <w:rFonts w:eastAsiaTheme="majorEastAsia"/>
          <w:sz w:val="16"/>
        </w:rPr>
        <w:t>catchments can, with some restrictions, be traded to other catchments. This gives the Commonwealth the capacity to move water between catchments of the southern-connected Basin to get the best outcomes for the environment.</w:t>
      </w:r>
    </w:p>
    <w:p w14:paraId="4C207FCD" w14:textId="77777777" w:rsidR="009C5FD6" w:rsidRPr="007E3F11" w:rsidRDefault="009C5FD6" w:rsidP="009C5FD6">
      <w:pPr>
        <w:contextualSpacing/>
        <w:rPr>
          <w:rFonts w:eastAsiaTheme="majorEastAsia"/>
          <w:sz w:val="16"/>
        </w:rPr>
      </w:pPr>
      <w:r w:rsidRPr="007E3F11">
        <w:rPr>
          <w:rFonts w:eastAsiaTheme="majorEastAsia"/>
          <w:sz w:val="16"/>
        </w:rPr>
        <w:t>Southern connected basin includes the following hydrologically connected catchments: Goulburn, Campaspe, Loddon, Murray (SA, Victoria, and NSW), Lower Darling, and Murrumbidgee.</w:t>
      </w:r>
    </w:p>
    <w:p w14:paraId="185578B4" w14:textId="77777777" w:rsidR="00443EDA" w:rsidRDefault="00D2020E" w:rsidP="00475425">
      <w:pPr>
        <w:pStyle w:val="Heading2"/>
      </w:pPr>
      <w:bookmarkStart w:id="49" w:name="_Toc22196690"/>
      <w:r w:rsidRPr="00D2020E">
        <w:t>What are the expected outcomes?</w:t>
      </w:r>
      <w:bookmarkEnd w:id="49"/>
    </w:p>
    <w:p w14:paraId="280E3322" w14:textId="689D4126" w:rsidR="00B7339B" w:rsidRPr="00182CAE" w:rsidRDefault="00F218BA" w:rsidP="00F02673">
      <w:pPr>
        <w:rPr>
          <w:rFonts w:eastAsiaTheme="majorEastAsia"/>
        </w:rPr>
      </w:pPr>
      <w:r w:rsidRPr="00D2020E">
        <w:rPr>
          <w:rFonts w:eastAsiaTheme="majorEastAsia"/>
        </w:rPr>
        <w:t xml:space="preserve">Commonwealth environmental water </w:t>
      </w:r>
      <w:r>
        <w:rPr>
          <w:rFonts w:eastAsiaTheme="majorEastAsia"/>
        </w:rPr>
        <w:t>deliveries to the Lower Murray aim to achieve a range of environmental outcomes, including those relate</w:t>
      </w:r>
      <w:r w:rsidR="00182CAE">
        <w:rPr>
          <w:rFonts w:eastAsiaTheme="majorEastAsia"/>
        </w:rPr>
        <w:t>d</w:t>
      </w:r>
      <w:r>
        <w:rPr>
          <w:rFonts w:eastAsiaTheme="majorEastAsia"/>
        </w:rPr>
        <w:t xml:space="preserve"> to fish, vegetation, bird, water quality and river function. </w:t>
      </w:r>
      <w:r w:rsidR="00D2020E" w:rsidRPr="00D2020E">
        <w:rPr>
          <w:rFonts w:eastAsiaTheme="majorEastAsia"/>
        </w:rPr>
        <w:t xml:space="preserve">As </w:t>
      </w:r>
      <w:r w:rsidR="002038B9">
        <w:rPr>
          <w:rFonts w:eastAsiaTheme="majorEastAsia"/>
        </w:rPr>
        <w:t>identifi</w:t>
      </w:r>
      <w:r w:rsidR="002038B9" w:rsidRPr="00D2020E">
        <w:rPr>
          <w:rFonts w:eastAsiaTheme="majorEastAsia"/>
        </w:rPr>
        <w:t xml:space="preserve">ed </w:t>
      </w:r>
      <w:r w:rsidR="00D2020E" w:rsidRPr="00D2020E">
        <w:rPr>
          <w:rFonts w:eastAsiaTheme="majorEastAsia"/>
        </w:rPr>
        <w:t xml:space="preserve">previously, </w:t>
      </w:r>
      <w:r w:rsidR="00A40394">
        <w:rPr>
          <w:rFonts w:eastAsiaTheme="majorEastAsia"/>
        </w:rPr>
        <w:t xml:space="preserve">it is </w:t>
      </w:r>
      <w:r w:rsidR="009977FC">
        <w:rPr>
          <w:rFonts w:eastAsiaTheme="majorEastAsia"/>
        </w:rPr>
        <w:t xml:space="preserve">expected </w:t>
      </w:r>
      <w:r w:rsidR="00D2020E" w:rsidRPr="00D2020E">
        <w:rPr>
          <w:rFonts w:eastAsiaTheme="majorEastAsia"/>
        </w:rPr>
        <w:t xml:space="preserve">within the </w:t>
      </w:r>
      <w:r w:rsidR="00ED160A">
        <w:rPr>
          <w:rFonts w:eastAsiaTheme="majorEastAsia"/>
        </w:rPr>
        <w:t xml:space="preserve">next three </w:t>
      </w:r>
      <w:r w:rsidR="00D2020E" w:rsidRPr="00D2020E">
        <w:rPr>
          <w:rFonts w:eastAsiaTheme="majorEastAsia"/>
        </w:rPr>
        <w:t>year</w:t>
      </w:r>
      <w:r w:rsidR="009977FC">
        <w:rPr>
          <w:rFonts w:eastAsiaTheme="majorEastAsia"/>
        </w:rPr>
        <w:t xml:space="preserve">s (MER Project </w:t>
      </w:r>
      <w:r w:rsidR="009977FC" w:rsidRPr="00182CAE">
        <w:rPr>
          <w:rFonts w:eastAsiaTheme="majorEastAsia"/>
        </w:rPr>
        <w:t xml:space="preserve">period), </w:t>
      </w:r>
      <w:r w:rsidR="00D2020E" w:rsidRPr="00182CAE">
        <w:rPr>
          <w:rFonts w:eastAsiaTheme="majorEastAsia"/>
        </w:rPr>
        <w:t xml:space="preserve">Commonwealth environmental water will </w:t>
      </w:r>
      <w:r w:rsidR="009977FC" w:rsidRPr="00182CAE">
        <w:rPr>
          <w:rFonts w:eastAsiaTheme="majorEastAsia"/>
        </w:rPr>
        <w:t xml:space="preserve">primarily </w:t>
      </w:r>
      <w:r w:rsidR="00D2020E" w:rsidRPr="00182CAE">
        <w:rPr>
          <w:rFonts w:eastAsiaTheme="majorEastAsia"/>
        </w:rPr>
        <w:t xml:space="preserve">be used to contribute to </w:t>
      </w:r>
      <w:r w:rsidR="00071F7F">
        <w:rPr>
          <w:rFonts w:eastAsiaTheme="majorEastAsia"/>
        </w:rPr>
        <w:t>elevated base</w:t>
      </w:r>
      <w:r w:rsidR="00D30038" w:rsidRPr="00182CAE">
        <w:rPr>
          <w:rFonts w:eastAsiaTheme="majorEastAsia"/>
        </w:rPr>
        <w:t>flows</w:t>
      </w:r>
      <w:r w:rsidRPr="00182CAE">
        <w:rPr>
          <w:rFonts w:eastAsiaTheme="majorEastAsia"/>
        </w:rPr>
        <w:t xml:space="preserve"> and </w:t>
      </w:r>
      <w:r w:rsidR="00D2020E" w:rsidRPr="00182CAE">
        <w:rPr>
          <w:rFonts w:eastAsiaTheme="majorEastAsia"/>
        </w:rPr>
        <w:t>freshes</w:t>
      </w:r>
      <w:r w:rsidRPr="00182CAE">
        <w:rPr>
          <w:rFonts w:eastAsiaTheme="majorEastAsia"/>
        </w:rPr>
        <w:t xml:space="preserve"> in the main channel and maintain river flows to the Lower Lakes and Coorong</w:t>
      </w:r>
      <w:r w:rsidR="00D2020E" w:rsidRPr="00182CAE">
        <w:rPr>
          <w:rFonts w:eastAsiaTheme="majorEastAsia"/>
        </w:rPr>
        <w:t xml:space="preserve">. </w:t>
      </w:r>
      <w:r w:rsidR="00A40394" w:rsidRPr="00182CAE">
        <w:rPr>
          <w:rFonts w:eastAsiaTheme="majorEastAsia"/>
        </w:rPr>
        <w:t xml:space="preserve">These </w:t>
      </w:r>
      <w:r w:rsidR="00994E11">
        <w:rPr>
          <w:rFonts w:eastAsiaTheme="majorEastAsia"/>
        </w:rPr>
        <w:t xml:space="preserve">water </w:t>
      </w:r>
      <w:r w:rsidR="00A40394" w:rsidRPr="00182CAE">
        <w:rPr>
          <w:rFonts w:eastAsiaTheme="majorEastAsia"/>
        </w:rPr>
        <w:t xml:space="preserve">deliveries </w:t>
      </w:r>
      <w:r w:rsidR="009977FC" w:rsidRPr="00182CAE">
        <w:rPr>
          <w:rFonts w:eastAsiaTheme="majorEastAsia"/>
        </w:rPr>
        <w:t xml:space="preserve">are expected to contribute </w:t>
      </w:r>
      <w:r w:rsidR="00A40394" w:rsidRPr="00182CAE">
        <w:rPr>
          <w:rFonts w:eastAsiaTheme="majorEastAsia"/>
        </w:rPr>
        <w:t xml:space="preserve">to the following </w:t>
      </w:r>
      <w:r w:rsidR="009977FC" w:rsidRPr="00182CAE">
        <w:rPr>
          <w:rFonts w:eastAsiaTheme="majorEastAsia"/>
        </w:rPr>
        <w:t xml:space="preserve">ecological </w:t>
      </w:r>
      <w:r w:rsidR="00A40394" w:rsidRPr="00182CAE">
        <w:rPr>
          <w:rFonts w:eastAsiaTheme="majorEastAsia"/>
        </w:rPr>
        <w:t>outcomes</w:t>
      </w:r>
      <w:r w:rsidR="009977FC" w:rsidRPr="00182CAE">
        <w:rPr>
          <w:rFonts w:eastAsiaTheme="majorEastAsia"/>
        </w:rPr>
        <w:t xml:space="preserve"> in the Lower Murray</w:t>
      </w:r>
      <w:r w:rsidR="00A40394" w:rsidRPr="00182CAE">
        <w:rPr>
          <w:rFonts w:eastAsiaTheme="majorEastAsia"/>
        </w:rPr>
        <w:t xml:space="preserve"> including:</w:t>
      </w:r>
    </w:p>
    <w:p w14:paraId="4AB072DD" w14:textId="20AF231B" w:rsidR="00A25EDF" w:rsidRPr="00182CAE" w:rsidRDefault="00A25EDF" w:rsidP="00A25EDF">
      <w:pPr>
        <w:pStyle w:val="ListParagraph"/>
        <w:numPr>
          <w:ilvl w:val="0"/>
          <w:numId w:val="9"/>
        </w:numPr>
      </w:pPr>
      <w:r w:rsidRPr="00182CAE">
        <w:t>Improved hydraulic conditions with increased water velocities and increased variability in water levels in the main channel</w:t>
      </w:r>
    </w:p>
    <w:p w14:paraId="79E27C46" w14:textId="3D5C89C9" w:rsidR="00A25EDF" w:rsidRPr="00182CAE" w:rsidRDefault="00A25EDF" w:rsidP="00A25EDF">
      <w:pPr>
        <w:pStyle w:val="ListParagraph"/>
        <w:numPr>
          <w:ilvl w:val="0"/>
          <w:numId w:val="9"/>
        </w:numPr>
      </w:pPr>
      <w:r w:rsidRPr="00182CAE">
        <w:t>Increased inundated area of low-lying littoral zone, wetlands, channels and floodplains</w:t>
      </w:r>
    </w:p>
    <w:p w14:paraId="4F4E9895" w14:textId="6B6C9B18" w:rsidR="00A25EDF" w:rsidRPr="00182CAE" w:rsidRDefault="00A25EDF" w:rsidP="00A25EDF">
      <w:pPr>
        <w:pStyle w:val="ListParagraph"/>
        <w:numPr>
          <w:ilvl w:val="0"/>
          <w:numId w:val="9"/>
        </w:numPr>
      </w:pPr>
      <w:r w:rsidRPr="00182CAE">
        <w:lastRenderedPageBreak/>
        <w:t xml:space="preserve">Improved longitudinal and lateral connectivity, including the connectivity between freshwater, estuarine and marine environments </w:t>
      </w:r>
    </w:p>
    <w:p w14:paraId="40DC01F9" w14:textId="4086DB09" w:rsidR="002C1740" w:rsidRPr="00182CAE" w:rsidRDefault="002C1740" w:rsidP="00A25EDF">
      <w:pPr>
        <w:pStyle w:val="ListParagraph"/>
        <w:numPr>
          <w:ilvl w:val="0"/>
          <w:numId w:val="9"/>
        </w:numPr>
      </w:pPr>
      <w:r w:rsidRPr="00182CAE">
        <w:t>Maintaining dissolved oxygen and water quality</w:t>
      </w:r>
    </w:p>
    <w:p w14:paraId="73A5BCDB" w14:textId="29190B87" w:rsidR="002C1740" w:rsidRPr="00182CAE" w:rsidRDefault="0005042D" w:rsidP="00A25EDF">
      <w:pPr>
        <w:pStyle w:val="ListParagraph"/>
        <w:numPr>
          <w:ilvl w:val="0"/>
          <w:numId w:val="9"/>
        </w:numPr>
      </w:pPr>
      <w:r w:rsidRPr="00182CAE">
        <w:t xml:space="preserve">Increased </w:t>
      </w:r>
      <w:r w:rsidR="00A25EDF" w:rsidRPr="00182CAE">
        <w:t xml:space="preserve">instream </w:t>
      </w:r>
      <w:r w:rsidRPr="00182CAE">
        <w:t xml:space="preserve">productivity </w:t>
      </w:r>
      <w:r w:rsidR="002C1740" w:rsidRPr="00182CAE">
        <w:t>to support riverine food webs</w:t>
      </w:r>
    </w:p>
    <w:p w14:paraId="3A5D9386" w14:textId="108DB0BA" w:rsidR="0005042D" w:rsidRPr="00182CAE" w:rsidRDefault="002C1740" w:rsidP="00A25EDF">
      <w:pPr>
        <w:pStyle w:val="ListParagraph"/>
        <w:numPr>
          <w:ilvl w:val="0"/>
          <w:numId w:val="9"/>
        </w:numPr>
      </w:pPr>
      <w:r w:rsidRPr="00182CAE">
        <w:t xml:space="preserve">Increased </w:t>
      </w:r>
      <w:r w:rsidR="00A25EDF" w:rsidRPr="00182CAE">
        <w:t>transport of nutrients and phytoplankton, likely s</w:t>
      </w:r>
      <w:r w:rsidRPr="00182CAE">
        <w:t>timulating</w:t>
      </w:r>
      <w:r w:rsidR="00A25EDF" w:rsidRPr="00182CAE">
        <w:t xml:space="preserve"> primary and secondary productivity in downstream ecosystems </w:t>
      </w:r>
    </w:p>
    <w:p w14:paraId="28986FA5" w14:textId="5E1B5A10" w:rsidR="006B3DC8" w:rsidRDefault="00EF7F2B" w:rsidP="00EF7F2B">
      <w:pPr>
        <w:pStyle w:val="ListParagraph"/>
        <w:numPr>
          <w:ilvl w:val="0"/>
          <w:numId w:val="9"/>
        </w:numPr>
      </w:pPr>
      <w:r w:rsidRPr="00182CAE">
        <w:t>Increased littoral understorey vegetation diversity</w:t>
      </w:r>
      <w:r w:rsidR="0077463F">
        <w:t xml:space="preserve">, </w:t>
      </w:r>
      <w:r w:rsidRPr="00182CAE">
        <w:t>productivity</w:t>
      </w:r>
      <w:r w:rsidR="0077463F">
        <w:t xml:space="preserve"> and community resilience</w:t>
      </w:r>
    </w:p>
    <w:p w14:paraId="1CEB2C09" w14:textId="4B461B75" w:rsidR="0077463F" w:rsidRDefault="0005042D" w:rsidP="0077463F">
      <w:pPr>
        <w:pStyle w:val="ListParagraph"/>
        <w:numPr>
          <w:ilvl w:val="0"/>
          <w:numId w:val="9"/>
        </w:numPr>
      </w:pPr>
      <w:r w:rsidRPr="00182CAE">
        <w:t>Increased diversity and abundance</w:t>
      </w:r>
      <w:r w:rsidR="00FD2256">
        <w:t xml:space="preserve"> of</w:t>
      </w:r>
      <w:r w:rsidR="002C1740" w:rsidRPr="00182CAE">
        <w:t xml:space="preserve"> </w:t>
      </w:r>
      <w:r w:rsidR="0077463F" w:rsidRPr="00182CAE">
        <w:t>microinvertebrate</w:t>
      </w:r>
      <w:r w:rsidR="0077463F">
        <w:t xml:space="preserve">s and </w:t>
      </w:r>
      <w:r w:rsidR="00FD2256">
        <w:t xml:space="preserve">their </w:t>
      </w:r>
      <w:r w:rsidR="0077463F">
        <w:t>egg-bank</w:t>
      </w:r>
    </w:p>
    <w:p w14:paraId="6C9081D6" w14:textId="4E35EEAA" w:rsidR="0005042D" w:rsidRPr="00182CAE" w:rsidRDefault="0077463F" w:rsidP="0077463F">
      <w:pPr>
        <w:pStyle w:val="ListParagraph"/>
        <w:numPr>
          <w:ilvl w:val="0"/>
          <w:numId w:val="9"/>
        </w:numPr>
      </w:pPr>
      <w:r>
        <w:t>I</w:t>
      </w:r>
      <w:r w:rsidR="002C1740" w:rsidRPr="00182CAE">
        <w:t>mproved quality of food resources</w:t>
      </w:r>
      <w:r>
        <w:t xml:space="preserve"> (microinvertebrates)</w:t>
      </w:r>
    </w:p>
    <w:p w14:paraId="0FF0B3D0" w14:textId="2E05E4A6" w:rsidR="006A271C" w:rsidRPr="00182CAE" w:rsidRDefault="002C1740" w:rsidP="00336C52">
      <w:pPr>
        <w:pStyle w:val="ListParagraph"/>
        <w:numPr>
          <w:ilvl w:val="0"/>
          <w:numId w:val="9"/>
        </w:numPr>
      </w:pPr>
      <w:r w:rsidRPr="00182CAE">
        <w:t xml:space="preserve">Improved </w:t>
      </w:r>
      <w:r w:rsidR="006B3DC8" w:rsidRPr="00182CAE">
        <w:t>spawning</w:t>
      </w:r>
      <w:r w:rsidRPr="00182CAE">
        <w:t xml:space="preserve">, </w:t>
      </w:r>
      <w:r w:rsidR="006A271C" w:rsidRPr="00182CAE">
        <w:t xml:space="preserve">recruitment </w:t>
      </w:r>
      <w:r w:rsidRPr="00182CAE">
        <w:t xml:space="preserve">and population resilience </w:t>
      </w:r>
      <w:r w:rsidR="006A271C" w:rsidRPr="00182CAE">
        <w:t>of flow-</w:t>
      </w:r>
      <w:r w:rsidR="006B3DC8" w:rsidRPr="00182CAE">
        <w:t xml:space="preserve">cued spawning </w:t>
      </w:r>
      <w:r w:rsidR="006A271C" w:rsidRPr="00182CAE">
        <w:t xml:space="preserve">fish species </w:t>
      </w:r>
      <w:r w:rsidR="003F0F81">
        <w:t xml:space="preserve">(golden perch) </w:t>
      </w:r>
    </w:p>
    <w:p w14:paraId="6451CAE0" w14:textId="6C84AA39" w:rsidR="006B3DC8" w:rsidRPr="00182CAE" w:rsidRDefault="006B3DC8" w:rsidP="009977FC">
      <w:pPr>
        <w:pStyle w:val="ListParagraph"/>
        <w:numPr>
          <w:ilvl w:val="0"/>
          <w:numId w:val="9"/>
        </w:numPr>
      </w:pPr>
      <w:r w:rsidRPr="00182CAE">
        <w:t>Improved recruitment and population resilience of main channel specialist fish species (Murray cod)</w:t>
      </w:r>
    </w:p>
    <w:p w14:paraId="18F8DA47" w14:textId="3D02DF8E" w:rsidR="009977FC" w:rsidRPr="00182CAE" w:rsidRDefault="005D77E8" w:rsidP="006B3DC8">
      <w:pPr>
        <w:pStyle w:val="ListParagraph"/>
        <w:numPr>
          <w:ilvl w:val="0"/>
          <w:numId w:val="9"/>
        </w:numPr>
      </w:pPr>
      <w:r w:rsidRPr="00182CAE">
        <w:t>Increased salt export out of the MDB; and reduced salinities and improved fish</w:t>
      </w:r>
      <w:r>
        <w:t xml:space="preserve"> habitats</w:t>
      </w:r>
      <w:r w:rsidRPr="00A81934">
        <w:t xml:space="preserve"> </w:t>
      </w:r>
      <w:r w:rsidRPr="00182CAE">
        <w:t>in the Coorong</w:t>
      </w:r>
      <w:r>
        <w:t>,</w:t>
      </w:r>
      <w:r w:rsidRPr="00182CAE">
        <w:t xml:space="preserve"> and </w:t>
      </w:r>
      <w:r w:rsidRPr="00182CAE">
        <w:rPr>
          <w:i/>
        </w:rPr>
        <w:t>Ruppia</w:t>
      </w:r>
      <w:r>
        <w:rPr>
          <w:i/>
        </w:rPr>
        <w:t xml:space="preserve"> tuberosa</w:t>
      </w:r>
      <w:r w:rsidRPr="00182CAE">
        <w:rPr>
          <w:i/>
        </w:rPr>
        <w:t xml:space="preserve"> </w:t>
      </w:r>
      <w:r w:rsidRPr="00182CAE">
        <w:t>habitats in the Coorong</w:t>
      </w:r>
      <w:r>
        <w:t xml:space="preserve"> at higher flow discharges</w:t>
      </w:r>
      <w:r w:rsidRPr="00182CAE">
        <w:t>.</w:t>
      </w:r>
      <w:r w:rsidR="006B3DC8" w:rsidRPr="00182CAE">
        <w:t xml:space="preserve"> </w:t>
      </w:r>
    </w:p>
    <w:bookmarkEnd w:id="26"/>
    <w:bookmarkEnd w:id="27"/>
    <w:p w14:paraId="1209C6A1" w14:textId="38962011" w:rsidR="00C31C8B" w:rsidRDefault="00481052" w:rsidP="00182CAE">
      <w:r w:rsidRPr="00182CAE">
        <w:t>It is anticipated that</w:t>
      </w:r>
      <w:r w:rsidR="00041F2B">
        <w:t xml:space="preserve">, over the long-term, environmental water delivery will </w:t>
      </w:r>
      <w:r w:rsidR="00041F2B" w:rsidRPr="00041F2B">
        <w:t xml:space="preserve">make a significant contribution to achieving ecological outcomes in the </w:t>
      </w:r>
      <w:r w:rsidR="00041F2B">
        <w:t>Lower Murray</w:t>
      </w:r>
      <w:r w:rsidR="00041F2B" w:rsidRPr="00041F2B">
        <w:t>, through restoring ecological processes and improving habitat for biota in the main channel and floodplain/wetlands.</w:t>
      </w:r>
      <w:r w:rsidR="00041F2B">
        <w:t xml:space="preserve"> </w:t>
      </w:r>
      <w:r w:rsidR="00B7339B" w:rsidRPr="00182CAE">
        <w:t xml:space="preserve">A consolidated view of the expected outcomes for the </w:t>
      </w:r>
      <w:r w:rsidR="00041F2B">
        <w:t xml:space="preserve">Lower Murray </w:t>
      </w:r>
      <w:r w:rsidR="00B7339B" w:rsidRPr="00182CAE">
        <w:t xml:space="preserve">is presented in </w:t>
      </w:r>
      <w:r w:rsidR="00FD2256">
        <w:rPr>
          <w:highlight w:val="yellow"/>
        </w:rPr>
        <w:fldChar w:fldCharType="begin"/>
      </w:r>
      <w:r w:rsidR="00FD2256">
        <w:instrText xml:space="preserve"> REF _Ref10184501 \h </w:instrText>
      </w:r>
      <w:r w:rsidR="00FD2256">
        <w:rPr>
          <w:highlight w:val="yellow"/>
        </w:rPr>
      </w:r>
      <w:r w:rsidR="00FD2256">
        <w:rPr>
          <w:highlight w:val="yellow"/>
        </w:rPr>
        <w:fldChar w:fldCharType="separate"/>
      </w:r>
      <w:r w:rsidR="00DF49CD">
        <w:t xml:space="preserve">Figure </w:t>
      </w:r>
      <w:r w:rsidR="00DF49CD">
        <w:rPr>
          <w:noProof/>
        </w:rPr>
        <w:t>3</w:t>
      </w:r>
      <w:r w:rsidR="00DF49CD">
        <w:t>.</w:t>
      </w:r>
      <w:r w:rsidR="00DF49CD">
        <w:rPr>
          <w:noProof/>
        </w:rPr>
        <w:t>2</w:t>
      </w:r>
      <w:r w:rsidR="00FD2256">
        <w:rPr>
          <w:highlight w:val="yellow"/>
        </w:rPr>
        <w:fldChar w:fldCharType="end"/>
      </w:r>
      <w:r w:rsidR="00B7339B" w:rsidRPr="00182CAE">
        <w:t xml:space="preserve"> below, which includes core</w:t>
      </w:r>
      <w:r w:rsidR="00B7339B" w:rsidRPr="00B7339B">
        <w:t xml:space="preserve"> monitoring indicators of the MER Project.</w:t>
      </w:r>
    </w:p>
    <w:p w14:paraId="3AAAF9D2" w14:textId="2702A845" w:rsidR="00453068" w:rsidRDefault="00182CAE" w:rsidP="00EA1EA0">
      <w:pPr>
        <w:jc w:val="center"/>
        <w:rPr>
          <w:kern w:val="0"/>
          <w:lang w:val="en-US"/>
        </w:rPr>
      </w:pPr>
      <w:bookmarkStart w:id="50" w:name="_Ref391538119"/>
      <w:r w:rsidRPr="00182CAE">
        <w:rPr>
          <w:kern w:val="0"/>
          <w:lang w:val="en-US"/>
        </w:rPr>
        <w:t xml:space="preserve"> </w:t>
      </w:r>
      <w:r w:rsidR="00284F8C" w:rsidRPr="00284F8C">
        <w:rPr>
          <w:kern w:val="0"/>
          <w:lang w:val="en-US"/>
        </w:rPr>
        <w:t xml:space="preserve"> </w:t>
      </w:r>
      <w:r w:rsidR="00BF4C57" w:rsidRPr="00BF4C57">
        <w:rPr>
          <w:kern w:val="0"/>
          <w:lang w:val="en-US"/>
        </w:rPr>
        <w:t xml:space="preserve"> </w:t>
      </w:r>
      <w:r w:rsidR="005F1F79" w:rsidRPr="005F1F79">
        <w:rPr>
          <w:kern w:val="0"/>
          <w:lang w:val="en-US"/>
        </w:rPr>
        <w:t xml:space="preserve"> </w:t>
      </w:r>
      <w:r w:rsidR="008C1585" w:rsidRPr="008C1585">
        <w:rPr>
          <w:kern w:val="0"/>
          <w:lang w:val="en-US"/>
        </w:rPr>
        <w:t xml:space="preserve"> </w:t>
      </w:r>
      <w:r w:rsidR="008C1585" w:rsidRPr="008C1585">
        <w:rPr>
          <w:noProof/>
          <w:lang w:eastAsia="en-AU"/>
        </w:rPr>
        <w:drawing>
          <wp:inline distT="0" distB="0" distL="0" distR="0" wp14:anchorId="3519FB3B" wp14:editId="0B931040">
            <wp:extent cx="3630994" cy="4419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642003" cy="4433000"/>
                    </a:xfrm>
                    <a:prstGeom prst="rect">
                      <a:avLst/>
                    </a:prstGeom>
                    <a:noFill/>
                    <a:ln>
                      <a:noFill/>
                    </a:ln>
                  </pic:spPr>
                </pic:pic>
              </a:graphicData>
            </a:graphic>
          </wp:inline>
        </w:drawing>
      </w:r>
    </w:p>
    <w:p w14:paraId="4C3EB54B" w14:textId="69329926" w:rsidR="00A15D00" w:rsidRPr="00662DD5" w:rsidRDefault="00FD2256" w:rsidP="00FD2256">
      <w:pPr>
        <w:pStyle w:val="Caption"/>
        <w:rPr>
          <w:kern w:val="0"/>
          <w:lang w:val="en-US"/>
        </w:rPr>
      </w:pPr>
      <w:bookmarkStart w:id="51" w:name="_Ref10184501"/>
      <w:bookmarkStart w:id="52" w:name="_Toc12630431"/>
      <w:bookmarkEnd w:id="50"/>
      <w:r>
        <w:t xml:space="preserve">Figure </w:t>
      </w:r>
      <w:r w:rsidR="00A8252A">
        <w:rPr>
          <w:noProof/>
        </w:rPr>
        <w:fldChar w:fldCharType="begin"/>
      </w:r>
      <w:r w:rsidR="00A8252A">
        <w:rPr>
          <w:noProof/>
        </w:rPr>
        <w:instrText xml:space="preserve"> STYLEREF 1 \s </w:instrText>
      </w:r>
      <w:r w:rsidR="00A8252A">
        <w:rPr>
          <w:noProof/>
        </w:rPr>
        <w:fldChar w:fldCharType="separate"/>
      </w:r>
      <w:r w:rsidR="00DF49CD">
        <w:rPr>
          <w:noProof/>
        </w:rPr>
        <w:t>3</w:t>
      </w:r>
      <w:r w:rsidR="00A8252A">
        <w:rPr>
          <w:noProof/>
        </w:rPr>
        <w:fldChar w:fldCharType="end"/>
      </w:r>
      <w:r w:rsidR="00251188">
        <w:t>.</w:t>
      </w:r>
      <w:r w:rsidR="00A8252A">
        <w:rPr>
          <w:noProof/>
        </w:rPr>
        <w:fldChar w:fldCharType="begin"/>
      </w:r>
      <w:r w:rsidR="00A8252A">
        <w:rPr>
          <w:noProof/>
        </w:rPr>
        <w:instrText xml:space="preserve"> SEQ Figure \* ARABIC \s 1 </w:instrText>
      </w:r>
      <w:r w:rsidR="00A8252A">
        <w:rPr>
          <w:noProof/>
        </w:rPr>
        <w:fldChar w:fldCharType="separate"/>
      </w:r>
      <w:r w:rsidR="00DF49CD">
        <w:rPr>
          <w:noProof/>
        </w:rPr>
        <w:t>2</w:t>
      </w:r>
      <w:r w:rsidR="00A8252A">
        <w:rPr>
          <w:noProof/>
        </w:rPr>
        <w:fldChar w:fldCharType="end"/>
      </w:r>
      <w:bookmarkEnd w:id="51"/>
      <w:r>
        <w:t xml:space="preserve">. </w:t>
      </w:r>
      <w:r w:rsidR="00A15D00">
        <w:rPr>
          <w:rFonts w:eastAsiaTheme="minorEastAsia"/>
          <w:kern w:val="24"/>
          <w:lang w:val="en-US"/>
        </w:rPr>
        <w:t>Cause and</w:t>
      </w:r>
      <w:r w:rsidR="00A15D00" w:rsidRPr="00662DD5">
        <w:rPr>
          <w:rFonts w:eastAsiaTheme="minorEastAsia"/>
          <w:kern w:val="24"/>
          <w:lang w:val="en-US"/>
        </w:rPr>
        <w:t xml:space="preserve"> effect diagram of flow for </w:t>
      </w:r>
      <w:r w:rsidR="00A15D00">
        <w:rPr>
          <w:rFonts w:eastAsiaTheme="minorEastAsia"/>
          <w:kern w:val="24"/>
          <w:lang w:val="en-US"/>
        </w:rPr>
        <w:t xml:space="preserve">the main channel of the </w:t>
      </w:r>
      <w:r w:rsidR="00D729DF" w:rsidRPr="00D729DF">
        <w:rPr>
          <w:rFonts w:eastAsiaTheme="minorEastAsia"/>
          <w:kern w:val="24"/>
          <w:lang w:val="en-US"/>
        </w:rPr>
        <w:t>Lower Murray</w:t>
      </w:r>
      <w:r w:rsidR="00A15D00">
        <w:rPr>
          <w:rFonts w:eastAsiaTheme="minorEastAsia"/>
          <w:kern w:val="24"/>
          <w:lang w:val="en-US"/>
        </w:rPr>
        <w:t xml:space="preserve"> Selected Area with respect to the proposed category indicators</w:t>
      </w:r>
      <w:r w:rsidR="00ED160A">
        <w:rPr>
          <w:rFonts w:eastAsiaTheme="minorEastAsia"/>
          <w:kern w:val="24"/>
          <w:lang w:val="en-US"/>
        </w:rPr>
        <w:t xml:space="preserve"> (core monitoring)</w:t>
      </w:r>
      <w:r w:rsidR="00A15D00" w:rsidRPr="00662DD5">
        <w:rPr>
          <w:rFonts w:eastAsiaTheme="minorEastAsia"/>
          <w:kern w:val="24"/>
          <w:lang w:val="en-US"/>
        </w:rPr>
        <w:t xml:space="preserve">. </w:t>
      </w:r>
      <w:r w:rsidR="00461038">
        <w:rPr>
          <w:rFonts w:eastAsiaTheme="minorEastAsia"/>
          <w:kern w:val="24"/>
          <w:lang w:val="en-US"/>
        </w:rPr>
        <w:t>Category 1 (</w:t>
      </w:r>
      <w:r w:rsidR="001C544A">
        <w:rPr>
          <w:rFonts w:eastAsiaTheme="minorEastAsia"/>
          <w:kern w:val="24"/>
          <w:lang w:val="en-US"/>
        </w:rPr>
        <w:t>Basin</w:t>
      </w:r>
      <w:r w:rsidR="00461038">
        <w:rPr>
          <w:rFonts w:eastAsiaTheme="minorEastAsia"/>
          <w:kern w:val="24"/>
          <w:lang w:val="en-US"/>
        </w:rPr>
        <w:t>-scale)</w:t>
      </w:r>
      <w:r w:rsidR="00A15D00" w:rsidRPr="00662DD5">
        <w:rPr>
          <w:rFonts w:eastAsiaTheme="minorEastAsia"/>
          <w:kern w:val="24"/>
          <w:lang w:val="en-US"/>
        </w:rPr>
        <w:t xml:space="preserve"> indicators are highlighted in orange</w:t>
      </w:r>
      <w:r w:rsidR="00A15D00">
        <w:rPr>
          <w:rFonts w:eastAsiaTheme="minorEastAsia"/>
          <w:kern w:val="24"/>
          <w:lang w:val="en-US"/>
        </w:rPr>
        <w:t xml:space="preserve"> and</w:t>
      </w:r>
      <w:r w:rsidR="00A15D00" w:rsidRPr="00662DD5">
        <w:rPr>
          <w:rFonts w:eastAsiaTheme="minorEastAsia"/>
          <w:kern w:val="24"/>
          <w:lang w:val="en-US"/>
        </w:rPr>
        <w:t xml:space="preserve"> </w:t>
      </w:r>
      <w:r w:rsidR="00461038">
        <w:rPr>
          <w:rFonts w:eastAsiaTheme="minorEastAsia"/>
          <w:kern w:val="24"/>
          <w:lang w:val="en-US"/>
        </w:rPr>
        <w:t>Category 3 (</w:t>
      </w:r>
      <w:r w:rsidR="001C544A">
        <w:rPr>
          <w:rFonts w:eastAsiaTheme="minorEastAsia"/>
          <w:kern w:val="24"/>
          <w:lang w:val="en-US"/>
        </w:rPr>
        <w:t>Selected Area</w:t>
      </w:r>
      <w:r w:rsidR="00461038">
        <w:rPr>
          <w:rFonts w:eastAsiaTheme="minorEastAsia"/>
          <w:kern w:val="24"/>
          <w:lang w:val="en-US"/>
        </w:rPr>
        <w:t>)</w:t>
      </w:r>
      <w:r w:rsidR="00A15D00" w:rsidRPr="00662DD5">
        <w:rPr>
          <w:rFonts w:eastAsiaTheme="minorEastAsia"/>
          <w:kern w:val="24"/>
          <w:lang w:val="en-US"/>
        </w:rPr>
        <w:t xml:space="preserve"> indicators </w:t>
      </w:r>
      <w:r w:rsidR="00A15D00">
        <w:rPr>
          <w:rFonts w:eastAsiaTheme="minorEastAsia"/>
          <w:kern w:val="24"/>
          <w:lang w:val="en-US"/>
        </w:rPr>
        <w:t>in purple</w:t>
      </w:r>
      <w:r w:rsidR="00A15D00" w:rsidRPr="00662DD5">
        <w:rPr>
          <w:rFonts w:eastAsiaTheme="minorEastAsia"/>
          <w:kern w:val="24"/>
          <w:lang w:val="en-US"/>
        </w:rPr>
        <w:t xml:space="preserve">. </w:t>
      </w:r>
      <w:r w:rsidR="00A15D00">
        <w:rPr>
          <w:rFonts w:eastAsiaTheme="minorEastAsia"/>
          <w:kern w:val="24"/>
          <w:lang w:val="en-US"/>
        </w:rPr>
        <w:t xml:space="preserve">Magnitude, timing and duration are factors of flow (in </w:t>
      </w:r>
      <w:r w:rsidR="00CD330C">
        <w:rPr>
          <w:rFonts w:eastAsiaTheme="minorEastAsia"/>
          <w:kern w:val="24"/>
          <w:lang w:val="en-US"/>
        </w:rPr>
        <w:t>black</w:t>
      </w:r>
      <w:r w:rsidR="00A15D00">
        <w:rPr>
          <w:rFonts w:eastAsiaTheme="minorEastAsia"/>
          <w:kern w:val="24"/>
          <w:lang w:val="en-US"/>
        </w:rPr>
        <w:t>).</w:t>
      </w:r>
      <w:bookmarkEnd w:id="52"/>
      <w:r w:rsidR="00A15D00">
        <w:rPr>
          <w:rFonts w:eastAsiaTheme="minorEastAsia"/>
          <w:kern w:val="24"/>
          <w:lang w:val="en-US"/>
        </w:rPr>
        <w:t xml:space="preserve"> </w:t>
      </w:r>
    </w:p>
    <w:p w14:paraId="1CBDED71" w14:textId="77777777" w:rsidR="00CD14C0" w:rsidRDefault="00CD14C0" w:rsidP="00CD14C0">
      <w:pPr>
        <w:sectPr w:rsidR="00CD14C0" w:rsidSect="003F6444">
          <w:pgSz w:w="11900" w:h="16840"/>
          <w:pgMar w:top="1440" w:right="1440" w:bottom="1440" w:left="1440" w:header="708" w:footer="708" w:gutter="0"/>
          <w:pgNumType w:start="1"/>
          <w:cols w:space="708"/>
          <w:docGrid w:linePitch="360"/>
        </w:sectPr>
      </w:pPr>
    </w:p>
    <w:p w14:paraId="6F6BB4D6" w14:textId="0EA96CE1" w:rsidR="00D513C3" w:rsidRPr="007D1A4A" w:rsidRDefault="00D513C3" w:rsidP="00405711">
      <w:pPr>
        <w:pStyle w:val="Heading1"/>
      </w:pPr>
      <w:bookmarkStart w:id="53" w:name="_Toc22196691"/>
      <w:bookmarkStart w:id="54" w:name="_Ref384739541"/>
      <w:bookmarkStart w:id="55" w:name="_Ref384742554"/>
      <w:bookmarkStart w:id="56" w:name="_Toc384985531"/>
      <w:bookmarkStart w:id="57" w:name="_Ref381343285"/>
      <w:bookmarkStart w:id="58" w:name="_Toc353023400"/>
      <w:bookmarkStart w:id="59" w:name="_Toc353025181"/>
      <w:r w:rsidRPr="007D1A4A">
        <w:lastRenderedPageBreak/>
        <w:t>Monitoring and research priorities</w:t>
      </w:r>
      <w:bookmarkEnd w:id="53"/>
    </w:p>
    <w:p w14:paraId="01131E88" w14:textId="7181D9F0" w:rsidR="00405711" w:rsidRPr="00C67ED2" w:rsidRDefault="00405711" w:rsidP="00405711">
      <w:pPr>
        <w:pStyle w:val="Heading2"/>
      </w:pPr>
      <w:bookmarkStart w:id="60" w:name="_Toc22196692"/>
      <w:r>
        <w:t>Prioritisation process</w:t>
      </w:r>
      <w:bookmarkEnd w:id="60"/>
    </w:p>
    <w:p w14:paraId="2397BA09" w14:textId="4C853D61" w:rsidR="00EE0323" w:rsidRDefault="00C657F6" w:rsidP="00D0414C">
      <w:pPr>
        <w:rPr>
          <w:rFonts w:eastAsiaTheme="majorEastAsia"/>
        </w:rPr>
      </w:pPr>
      <w:r>
        <w:rPr>
          <w:rFonts w:eastAsiaTheme="majorEastAsia"/>
        </w:rPr>
        <w:t xml:space="preserve">In the Lower Murray Selected Area, a range of </w:t>
      </w:r>
      <w:r w:rsidRPr="00C657F6">
        <w:rPr>
          <w:rFonts w:eastAsiaTheme="majorEastAsia"/>
        </w:rPr>
        <w:t xml:space="preserve">indicators were </w:t>
      </w:r>
      <w:r>
        <w:rPr>
          <w:rFonts w:eastAsiaTheme="majorEastAsia"/>
        </w:rPr>
        <w:t xml:space="preserve">used </w:t>
      </w:r>
      <w:r w:rsidR="007B112B">
        <w:rPr>
          <w:rFonts w:eastAsiaTheme="majorEastAsia"/>
        </w:rPr>
        <w:t xml:space="preserve">during </w:t>
      </w:r>
      <w:r>
        <w:rPr>
          <w:rFonts w:eastAsiaTheme="majorEastAsia"/>
        </w:rPr>
        <w:t xml:space="preserve">LTIM </w:t>
      </w:r>
      <w:r w:rsidR="0001427C">
        <w:rPr>
          <w:rFonts w:eastAsiaTheme="majorEastAsia"/>
        </w:rPr>
        <w:t xml:space="preserve">to address objectives and evaluate ecological outcomes </w:t>
      </w:r>
      <w:r w:rsidR="007B112B">
        <w:rPr>
          <w:rFonts w:eastAsiaTheme="majorEastAsia"/>
        </w:rPr>
        <w:t>from</w:t>
      </w:r>
      <w:r w:rsidR="0001427C">
        <w:rPr>
          <w:rFonts w:eastAsiaTheme="majorEastAsia"/>
        </w:rPr>
        <w:t xml:space="preserve"> Commonwealth environmental water</w:t>
      </w:r>
      <w:r w:rsidR="007B112B">
        <w:rPr>
          <w:rFonts w:eastAsiaTheme="majorEastAsia"/>
        </w:rPr>
        <w:t xml:space="preserve"> deliveries</w:t>
      </w:r>
      <w:r w:rsidR="006C713A">
        <w:rPr>
          <w:rFonts w:eastAsiaTheme="majorEastAsia"/>
        </w:rPr>
        <w:t xml:space="preserve"> (SARDI</w:t>
      </w:r>
      <w:r w:rsidR="006C713A" w:rsidRPr="00596105">
        <w:rPr>
          <w:rFonts w:eastAsiaTheme="majorEastAsia"/>
          <w:i/>
        </w:rPr>
        <w:t xml:space="preserve"> et al.</w:t>
      </w:r>
      <w:r w:rsidR="006C713A">
        <w:rPr>
          <w:rFonts w:eastAsiaTheme="majorEastAsia"/>
        </w:rPr>
        <w:t xml:space="preserve"> 2018)</w:t>
      </w:r>
      <w:r w:rsidR="0001427C">
        <w:rPr>
          <w:rFonts w:eastAsiaTheme="majorEastAsia"/>
        </w:rPr>
        <w:t xml:space="preserve">. This included targeted investigations driven by hypotheses, which </w:t>
      </w:r>
      <w:r w:rsidRPr="00C657F6">
        <w:rPr>
          <w:rFonts w:eastAsiaTheme="majorEastAsia"/>
        </w:rPr>
        <w:t xml:space="preserve">were developed based on our conceptual understanding of the life histories of relevant biota and ecological processes and the effect of flow on them. </w:t>
      </w:r>
      <w:r w:rsidR="00CD30C5">
        <w:rPr>
          <w:rFonts w:eastAsiaTheme="majorEastAsia"/>
        </w:rPr>
        <w:t>T</w:t>
      </w:r>
      <w:r w:rsidR="0001427C">
        <w:rPr>
          <w:rFonts w:eastAsiaTheme="majorEastAsia"/>
        </w:rPr>
        <w:t xml:space="preserve">he MER Project </w:t>
      </w:r>
      <w:r w:rsidR="00E76C63">
        <w:rPr>
          <w:rFonts w:eastAsiaTheme="majorEastAsia"/>
        </w:rPr>
        <w:t xml:space="preserve">will continue to monitor most of </w:t>
      </w:r>
      <w:r w:rsidR="007B112B">
        <w:rPr>
          <w:rFonts w:eastAsiaTheme="majorEastAsia"/>
        </w:rPr>
        <w:t>these in</w:t>
      </w:r>
      <w:r w:rsidR="00E76C63">
        <w:rPr>
          <w:rFonts w:eastAsiaTheme="majorEastAsia"/>
        </w:rPr>
        <w:t>dicators in the Lower Murray</w:t>
      </w:r>
      <w:r w:rsidR="00220A8F">
        <w:rPr>
          <w:rFonts w:eastAsiaTheme="majorEastAsia"/>
        </w:rPr>
        <w:t xml:space="preserve"> (SARDI </w:t>
      </w:r>
      <w:r w:rsidR="006C713A" w:rsidRPr="00596105">
        <w:rPr>
          <w:rFonts w:eastAsiaTheme="majorEastAsia"/>
          <w:i/>
        </w:rPr>
        <w:t>et al.</w:t>
      </w:r>
      <w:r w:rsidR="006C713A">
        <w:rPr>
          <w:rFonts w:eastAsiaTheme="majorEastAsia"/>
        </w:rPr>
        <w:t xml:space="preserve"> </w:t>
      </w:r>
      <w:r w:rsidR="00220A8F">
        <w:rPr>
          <w:rFonts w:eastAsiaTheme="majorEastAsia"/>
        </w:rPr>
        <w:t>201</w:t>
      </w:r>
      <w:r w:rsidR="006C713A">
        <w:rPr>
          <w:rFonts w:eastAsiaTheme="majorEastAsia"/>
        </w:rPr>
        <w:t>8</w:t>
      </w:r>
      <w:r w:rsidR="00220A8F">
        <w:rPr>
          <w:rFonts w:eastAsiaTheme="majorEastAsia"/>
        </w:rPr>
        <w:t>)</w:t>
      </w:r>
      <w:r w:rsidR="007369A2">
        <w:rPr>
          <w:rFonts w:eastAsiaTheme="majorEastAsia"/>
        </w:rPr>
        <w:t>,</w:t>
      </w:r>
      <w:r w:rsidR="00A34FF4">
        <w:rPr>
          <w:rFonts w:eastAsiaTheme="majorEastAsia"/>
        </w:rPr>
        <w:t xml:space="preserve"> and aim for improvement</w:t>
      </w:r>
      <w:r w:rsidR="00220A8F">
        <w:rPr>
          <w:rFonts w:eastAsiaTheme="majorEastAsia"/>
        </w:rPr>
        <w:t>s</w:t>
      </w:r>
      <w:r w:rsidR="00A34FF4">
        <w:rPr>
          <w:rFonts w:eastAsiaTheme="majorEastAsia"/>
        </w:rPr>
        <w:t xml:space="preserve"> </w:t>
      </w:r>
      <w:r w:rsidR="007369A2">
        <w:rPr>
          <w:rFonts w:eastAsiaTheme="majorEastAsia"/>
        </w:rPr>
        <w:t xml:space="preserve">by integrating research </w:t>
      </w:r>
      <w:r w:rsidR="00644970">
        <w:rPr>
          <w:rFonts w:eastAsiaTheme="majorEastAsia"/>
        </w:rPr>
        <w:t xml:space="preserve">(see Section </w:t>
      </w:r>
      <w:r w:rsidR="00644970">
        <w:rPr>
          <w:rFonts w:eastAsiaTheme="majorEastAsia"/>
        </w:rPr>
        <w:fldChar w:fldCharType="begin"/>
      </w:r>
      <w:r w:rsidR="00644970">
        <w:rPr>
          <w:rFonts w:eastAsiaTheme="majorEastAsia"/>
        </w:rPr>
        <w:instrText xml:space="preserve"> REF _Ref12000383 \r \h </w:instrText>
      </w:r>
      <w:r w:rsidR="00644970">
        <w:rPr>
          <w:rFonts w:eastAsiaTheme="majorEastAsia"/>
        </w:rPr>
      </w:r>
      <w:r w:rsidR="00644970">
        <w:rPr>
          <w:rFonts w:eastAsiaTheme="majorEastAsia"/>
        </w:rPr>
        <w:fldChar w:fldCharType="separate"/>
      </w:r>
      <w:r w:rsidR="00DF49CD">
        <w:rPr>
          <w:rFonts w:eastAsiaTheme="majorEastAsia"/>
        </w:rPr>
        <w:t>6</w:t>
      </w:r>
      <w:r w:rsidR="00644970">
        <w:rPr>
          <w:rFonts w:eastAsiaTheme="majorEastAsia"/>
        </w:rPr>
        <w:fldChar w:fldCharType="end"/>
      </w:r>
      <w:r w:rsidR="00C93E33">
        <w:rPr>
          <w:rFonts w:eastAsiaTheme="majorEastAsia"/>
        </w:rPr>
        <w:t>)</w:t>
      </w:r>
      <w:r w:rsidR="007369A2">
        <w:rPr>
          <w:rFonts w:eastAsiaTheme="majorEastAsia"/>
        </w:rPr>
        <w:t>, incorporating new indicators</w:t>
      </w:r>
      <w:r w:rsidR="007369A2" w:rsidRPr="007369A2">
        <w:rPr>
          <w:rFonts w:eastAsiaTheme="majorEastAsia"/>
        </w:rPr>
        <w:t xml:space="preserve"> </w:t>
      </w:r>
      <w:r w:rsidR="007369A2">
        <w:rPr>
          <w:rFonts w:eastAsiaTheme="majorEastAsia"/>
        </w:rPr>
        <w:t xml:space="preserve">and improving evaluation based on </w:t>
      </w:r>
      <w:r w:rsidR="00F564ED">
        <w:rPr>
          <w:rFonts w:eastAsiaTheme="majorEastAsia"/>
        </w:rPr>
        <w:t>knowledge</w:t>
      </w:r>
      <w:r w:rsidR="007369A2">
        <w:rPr>
          <w:rFonts w:eastAsiaTheme="majorEastAsia"/>
        </w:rPr>
        <w:t xml:space="preserve"> from the LTIM Project. </w:t>
      </w:r>
      <w:r w:rsidR="003E29B7">
        <w:rPr>
          <w:rFonts w:eastAsiaTheme="majorEastAsia"/>
        </w:rPr>
        <w:t>The</w:t>
      </w:r>
      <w:r w:rsidR="007369A2">
        <w:rPr>
          <w:rFonts w:eastAsiaTheme="majorEastAsia"/>
        </w:rPr>
        <w:t xml:space="preserve"> </w:t>
      </w:r>
      <w:r w:rsidR="00F564ED">
        <w:rPr>
          <w:rFonts w:eastAsiaTheme="majorEastAsia"/>
        </w:rPr>
        <w:t>MER</w:t>
      </w:r>
      <w:r w:rsidR="003E29B7">
        <w:rPr>
          <w:rFonts w:eastAsiaTheme="majorEastAsia"/>
        </w:rPr>
        <w:t xml:space="preserve"> indicators largely focus on the main channel </w:t>
      </w:r>
      <w:r w:rsidR="00405711">
        <w:rPr>
          <w:rFonts w:eastAsiaTheme="majorEastAsia"/>
        </w:rPr>
        <w:t>of the</w:t>
      </w:r>
      <w:r w:rsidR="00F564ED">
        <w:rPr>
          <w:rFonts w:eastAsiaTheme="majorEastAsia"/>
        </w:rPr>
        <w:t xml:space="preserve"> Lower</w:t>
      </w:r>
      <w:r w:rsidR="00405711">
        <w:rPr>
          <w:rFonts w:eastAsiaTheme="majorEastAsia"/>
        </w:rPr>
        <w:t xml:space="preserve"> Murray River </w:t>
      </w:r>
      <w:r w:rsidR="002F6961">
        <w:rPr>
          <w:rFonts w:eastAsiaTheme="majorEastAsia"/>
        </w:rPr>
        <w:t xml:space="preserve">because it </w:t>
      </w:r>
      <w:r w:rsidR="00405711">
        <w:rPr>
          <w:rFonts w:eastAsiaTheme="majorEastAsia"/>
        </w:rPr>
        <w:t>is</w:t>
      </w:r>
      <w:r w:rsidR="00F564ED">
        <w:rPr>
          <w:rFonts w:eastAsiaTheme="majorEastAsia"/>
        </w:rPr>
        <w:t xml:space="preserve"> expected </w:t>
      </w:r>
      <w:r w:rsidR="002F6961">
        <w:rPr>
          <w:rFonts w:eastAsiaTheme="majorEastAsia"/>
        </w:rPr>
        <w:t>Commonwealt</w:t>
      </w:r>
      <w:r w:rsidR="00F564ED">
        <w:rPr>
          <w:rFonts w:eastAsiaTheme="majorEastAsia"/>
        </w:rPr>
        <w:t>h environmental water delivery will</w:t>
      </w:r>
      <w:r w:rsidR="002F6961">
        <w:rPr>
          <w:rFonts w:eastAsiaTheme="majorEastAsia"/>
        </w:rPr>
        <w:t xml:space="preserve"> </w:t>
      </w:r>
      <w:r w:rsidR="00405711">
        <w:rPr>
          <w:rFonts w:eastAsiaTheme="majorEastAsia"/>
        </w:rPr>
        <w:t xml:space="preserve">continue to </w:t>
      </w:r>
      <w:r w:rsidR="002F6961">
        <w:rPr>
          <w:rFonts w:eastAsiaTheme="majorEastAsia"/>
        </w:rPr>
        <w:t xml:space="preserve">be </w:t>
      </w:r>
      <w:r w:rsidR="00EE0323" w:rsidRPr="00D2020E">
        <w:rPr>
          <w:rFonts w:eastAsiaTheme="majorEastAsia"/>
        </w:rPr>
        <w:t xml:space="preserve">limited to events of </w:t>
      </w:r>
      <w:r w:rsidR="00EE0323">
        <w:rPr>
          <w:rFonts w:eastAsiaTheme="majorEastAsia"/>
        </w:rPr>
        <w:t xml:space="preserve">less than </w:t>
      </w:r>
      <w:r w:rsidR="00EE0323" w:rsidRPr="00D2020E">
        <w:rPr>
          <w:rFonts w:eastAsiaTheme="majorEastAsia"/>
        </w:rPr>
        <w:t xml:space="preserve">60,000 </w:t>
      </w:r>
      <w:r w:rsidR="00EE0323">
        <w:rPr>
          <w:rFonts w:eastAsiaTheme="majorEastAsia"/>
        </w:rPr>
        <w:t xml:space="preserve">ML/d </w:t>
      </w:r>
      <w:r w:rsidR="00E76C63">
        <w:rPr>
          <w:rFonts w:eastAsiaTheme="majorEastAsia"/>
        </w:rPr>
        <w:t>due to a number of constrain</w:t>
      </w:r>
      <w:r w:rsidR="00BA0FD3">
        <w:rPr>
          <w:rFonts w:eastAsiaTheme="majorEastAsia"/>
        </w:rPr>
        <w:t xml:space="preserve">ts (see Section </w:t>
      </w:r>
      <w:r w:rsidR="00BA0FD3">
        <w:rPr>
          <w:rFonts w:eastAsiaTheme="majorEastAsia"/>
        </w:rPr>
        <w:fldChar w:fldCharType="begin"/>
      </w:r>
      <w:r w:rsidR="00BA0FD3">
        <w:rPr>
          <w:rFonts w:eastAsiaTheme="majorEastAsia"/>
        </w:rPr>
        <w:instrText xml:space="preserve"> REF _Ref10104062 \r \h </w:instrText>
      </w:r>
      <w:r w:rsidR="00BA0FD3">
        <w:rPr>
          <w:rFonts w:eastAsiaTheme="majorEastAsia"/>
        </w:rPr>
      </w:r>
      <w:r w:rsidR="00BA0FD3">
        <w:rPr>
          <w:rFonts w:eastAsiaTheme="majorEastAsia"/>
        </w:rPr>
        <w:fldChar w:fldCharType="separate"/>
      </w:r>
      <w:r w:rsidR="00DF49CD">
        <w:rPr>
          <w:rFonts w:eastAsiaTheme="majorEastAsia"/>
        </w:rPr>
        <w:t>3.2</w:t>
      </w:r>
      <w:r w:rsidR="00BA0FD3">
        <w:rPr>
          <w:rFonts w:eastAsiaTheme="majorEastAsia"/>
        </w:rPr>
        <w:fldChar w:fldCharType="end"/>
      </w:r>
      <w:r w:rsidR="00E76C63">
        <w:rPr>
          <w:rFonts w:eastAsiaTheme="majorEastAsia"/>
        </w:rPr>
        <w:t>)</w:t>
      </w:r>
      <w:r w:rsidR="006411D1">
        <w:rPr>
          <w:rFonts w:eastAsiaTheme="majorEastAsia"/>
        </w:rPr>
        <w:t xml:space="preserve">. </w:t>
      </w:r>
    </w:p>
    <w:p w14:paraId="64DD99D5" w14:textId="79AE34B2" w:rsidR="00F135A9" w:rsidRPr="00F135A9" w:rsidRDefault="006411D1" w:rsidP="00D0414C">
      <w:r>
        <w:rPr>
          <w:rFonts w:eastAsiaTheme="majorEastAsia"/>
        </w:rPr>
        <w:t xml:space="preserve">During the planning phase of the LTIM Project, </w:t>
      </w:r>
      <w:r w:rsidR="00405711">
        <w:rPr>
          <w:rFonts w:eastAsiaTheme="majorEastAsia"/>
        </w:rPr>
        <w:t xml:space="preserve">indicators of the </w:t>
      </w:r>
      <w:r w:rsidR="00CC210F">
        <w:rPr>
          <w:rFonts w:eastAsiaTheme="majorEastAsia"/>
        </w:rPr>
        <w:t xml:space="preserve">Lower Murray were </w:t>
      </w:r>
      <w:r w:rsidR="00A34FF4">
        <w:rPr>
          <w:rFonts w:eastAsiaTheme="majorEastAsia"/>
        </w:rPr>
        <w:t>selected through</w:t>
      </w:r>
      <w:r w:rsidR="00CC210F">
        <w:rPr>
          <w:rFonts w:eastAsiaTheme="majorEastAsia"/>
        </w:rPr>
        <w:t xml:space="preserve"> a prioritisation process</w:t>
      </w:r>
      <w:r w:rsidR="002F0F7A">
        <w:rPr>
          <w:rFonts w:eastAsiaTheme="majorEastAsia"/>
        </w:rPr>
        <w:t xml:space="preserve"> in consultation with key stakeholders</w:t>
      </w:r>
      <w:r w:rsidR="00C10850">
        <w:rPr>
          <w:rFonts w:eastAsiaTheme="majorEastAsia"/>
        </w:rPr>
        <w:t>,</w:t>
      </w:r>
      <w:r w:rsidR="002F0F7A">
        <w:rPr>
          <w:rFonts w:eastAsiaTheme="majorEastAsia"/>
        </w:rPr>
        <w:t xml:space="preserve"> </w:t>
      </w:r>
      <w:r w:rsidR="006418E2">
        <w:rPr>
          <w:rFonts w:eastAsiaTheme="majorEastAsia"/>
        </w:rPr>
        <w:t xml:space="preserve">particularly </w:t>
      </w:r>
      <w:r w:rsidR="002F0F7A">
        <w:rPr>
          <w:rFonts w:eastAsiaTheme="majorEastAsia"/>
        </w:rPr>
        <w:t>CEWO</w:t>
      </w:r>
      <w:r w:rsidR="006418E2">
        <w:rPr>
          <w:rFonts w:eastAsiaTheme="majorEastAsia"/>
        </w:rPr>
        <w:t xml:space="preserve"> and</w:t>
      </w:r>
      <w:r w:rsidR="002F0F7A">
        <w:rPr>
          <w:rFonts w:eastAsiaTheme="majorEastAsia"/>
        </w:rPr>
        <w:t xml:space="preserve"> DEW</w:t>
      </w:r>
      <w:r w:rsidR="00CC210F">
        <w:rPr>
          <w:rFonts w:eastAsiaTheme="majorEastAsia"/>
        </w:rPr>
        <w:t xml:space="preserve">. </w:t>
      </w:r>
      <w:r w:rsidR="004C4837">
        <w:t xml:space="preserve">The </w:t>
      </w:r>
      <w:r w:rsidR="004C4837" w:rsidRPr="0045527D">
        <w:t>selection criteria</w:t>
      </w:r>
      <w:r w:rsidR="004C4837">
        <w:t xml:space="preserve"> for indicators considered their capacity to: evaluate Basin-scale and Selected Area ecological objectives; support adaptive management; detect response to </w:t>
      </w:r>
      <w:r w:rsidR="00143C7C">
        <w:t>changes in flow</w:t>
      </w:r>
      <w:r w:rsidR="004C4837">
        <w:t>; evaluate Commonwealth environmental water contribution; and cost.</w:t>
      </w:r>
      <w:r w:rsidR="00A34FF4">
        <w:t xml:space="preserve"> </w:t>
      </w:r>
      <w:r w:rsidR="00E2451D">
        <w:t xml:space="preserve">These </w:t>
      </w:r>
      <w:r w:rsidR="009734B4">
        <w:t>were</w:t>
      </w:r>
      <w:r w:rsidR="00E2451D">
        <w:t xml:space="preserve"> also used when </w:t>
      </w:r>
      <w:r w:rsidR="00036A2F">
        <w:t>consider</w:t>
      </w:r>
      <w:r w:rsidR="009734B4">
        <w:t>ing</w:t>
      </w:r>
      <w:r w:rsidR="00E2451D">
        <w:t xml:space="preserve"> new indicators and </w:t>
      </w:r>
      <w:r w:rsidR="00036A2F">
        <w:t>review</w:t>
      </w:r>
      <w:r w:rsidR="009734B4">
        <w:t>ing</w:t>
      </w:r>
      <w:r w:rsidR="00C10850">
        <w:t xml:space="preserve"> and </w:t>
      </w:r>
      <w:r w:rsidR="00036A2F">
        <w:t>refin</w:t>
      </w:r>
      <w:r w:rsidR="009734B4">
        <w:t>ing</w:t>
      </w:r>
      <w:r w:rsidR="00E2451D">
        <w:t xml:space="preserve"> </w:t>
      </w:r>
      <w:r w:rsidR="00036A2F">
        <w:t xml:space="preserve">LTIM indicators for the MER Project. Furthermore, </w:t>
      </w:r>
      <w:r w:rsidR="00F135A9">
        <w:t xml:space="preserve">existing </w:t>
      </w:r>
      <w:r w:rsidR="00F135A9" w:rsidRPr="00F135A9">
        <w:t xml:space="preserve">monitoring programs </w:t>
      </w:r>
      <w:r w:rsidR="00036A2F">
        <w:t xml:space="preserve">and activities </w:t>
      </w:r>
      <w:r w:rsidR="00F135A9">
        <w:t xml:space="preserve">in </w:t>
      </w:r>
      <w:r w:rsidR="00F135A9" w:rsidRPr="00F135A9">
        <w:t xml:space="preserve">the </w:t>
      </w:r>
      <w:r w:rsidR="00C10850">
        <w:t>Lower Murray</w:t>
      </w:r>
      <w:r w:rsidR="00F135A9" w:rsidRPr="00F135A9">
        <w:t xml:space="preserve"> </w:t>
      </w:r>
      <w:r w:rsidR="00036A2F">
        <w:t xml:space="preserve">have been </w:t>
      </w:r>
      <w:r w:rsidR="00F135A9">
        <w:t xml:space="preserve">considered to </w:t>
      </w:r>
      <w:r w:rsidR="005A5FD7">
        <w:t>avoid duplication and ensure programs be complementary</w:t>
      </w:r>
      <w:r w:rsidR="003B76E1">
        <w:t xml:space="preserve"> (see Section </w:t>
      </w:r>
      <w:r w:rsidR="003B76E1">
        <w:fldChar w:fldCharType="begin"/>
      </w:r>
      <w:r w:rsidR="003B76E1">
        <w:instrText xml:space="preserve"> REF _Ref9935076 \r \h </w:instrText>
      </w:r>
      <w:r w:rsidR="003B76E1">
        <w:fldChar w:fldCharType="separate"/>
      </w:r>
      <w:r w:rsidR="00DF49CD">
        <w:t>7.3</w:t>
      </w:r>
      <w:r w:rsidR="003B76E1">
        <w:fldChar w:fldCharType="end"/>
      </w:r>
      <w:r w:rsidR="00036A2F">
        <w:t>)</w:t>
      </w:r>
      <w:r w:rsidR="005A5FD7">
        <w:t>.</w:t>
      </w:r>
    </w:p>
    <w:p w14:paraId="7ACD4D14" w14:textId="68D15CF5" w:rsidR="006418E2" w:rsidRPr="006249C2" w:rsidRDefault="00A34FF4" w:rsidP="00D0414C">
      <w:r>
        <w:t xml:space="preserve">As part of the </w:t>
      </w:r>
      <w:r w:rsidR="005A5FD7">
        <w:t xml:space="preserve">prioritisation </w:t>
      </w:r>
      <w:r>
        <w:t>process, a</w:t>
      </w:r>
      <w:r w:rsidR="006418E2">
        <w:t>n ev</w:t>
      </w:r>
      <w:r w:rsidR="006418E2">
        <w:rPr>
          <w:rFonts w:eastAsiaTheme="majorEastAsia"/>
        </w:rPr>
        <w:t>aluation framework was established to identify and align key ecological object</w:t>
      </w:r>
      <w:r w:rsidR="005F5C7C">
        <w:rPr>
          <w:rFonts w:eastAsiaTheme="majorEastAsia"/>
        </w:rPr>
        <w:t>ive</w:t>
      </w:r>
      <w:r w:rsidR="006418E2">
        <w:rPr>
          <w:rFonts w:eastAsiaTheme="majorEastAsia"/>
        </w:rPr>
        <w:t xml:space="preserve">s, targets and expected outcomes at Basin-scale and Selected Area scale with </w:t>
      </w:r>
      <w:r>
        <w:rPr>
          <w:rFonts w:eastAsiaTheme="majorEastAsia"/>
        </w:rPr>
        <w:t>indicators’</w:t>
      </w:r>
      <w:r w:rsidR="006418E2">
        <w:rPr>
          <w:rFonts w:eastAsiaTheme="majorEastAsia"/>
        </w:rPr>
        <w:t xml:space="preserve"> evaluation questions. </w:t>
      </w:r>
      <w:r w:rsidR="00EA53BF">
        <w:t xml:space="preserve">These questions were </w:t>
      </w:r>
      <w:r w:rsidR="0026305D">
        <w:t xml:space="preserve">adapted from those </w:t>
      </w:r>
      <w:r w:rsidR="00EA53BF">
        <w:t xml:space="preserve">developed </w:t>
      </w:r>
      <w:r w:rsidR="00EA53BF" w:rsidRPr="00C67ED2">
        <w:t>previously by CEWO</w:t>
      </w:r>
      <w:r w:rsidR="00EA53BF">
        <w:t xml:space="preserve"> and DEW</w:t>
      </w:r>
      <w:r w:rsidR="00EA53BF" w:rsidRPr="00630326">
        <w:t xml:space="preserve"> </w:t>
      </w:r>
      <w:r w:rsidR="00EA53BF">
        <w:t xml:space="preserve">to facilitate </w:t>
      </w:r>
      <w:r w:rsidR="00EA53BF" w:rsidRPr="00C67ED2">
        <w:t xml:space="preserve">reporting on environmental outcomes of the Basin Plan </w:t>
      </w:r>
      <w:r w:rsidR="00EA53BF">
        <w:t xml:space="preserve">in </w:t>
      </w:r>
      <w:r w:rsidR="00EA53BF" w:rsidRPr="00C67ED2">
        <w:t xml:space="preserve">the </w:t>
      </w:r>
      <w:r w:rsidR="00EA53BF" w:rsidRPr="000F53E7">
        <w:t>Lower Murray</w:t>
      </w:r>
      <w:r w:rsidR="00EA53BF">
        <w:t xml:space="preserve"> Selected Area</w:t>
      </w:r>
      <w:r w:rsidR="00EA53BF" w:rsidRPr="00C67ED2">
        <w:t>.</w:t>
      </w:r>
      <w:r w:rsidR="00EA53BF" w:rsidRPr="00EA53BF">
        <w:t xml:space="preserve"> </w:t>
      </w:r>
      <w:r w:rsidR="00EA53BF">
        <w:t xml:space="preserve">It was expected that the </w:t>
      </w:r>
      <w:r w:rsidR="00EA53BF" w:rsidRPr="00C67ED2">
        <w:t xml:space="preserve">framework </w:t>
      </w:r>
      <w:r w:rsidR="00EA53BF">
        <w:t xml:space="preserve">will </w:t>
      </w:r>
      <w:r w:rsidR="0026305D">
        <w:t xml:space="preserve">also help to aggregate evaluation outcomes from </w:t>
      </w:r>
      <w:r w:rsidR="005920FD">
        <w:t xml:space="preserve">the </w:t>
      </w:r>
      <w:r w:rsidR="00EA53BF" w:rsidRPr="000F53E7">
        <w:t>Lower Murray</w:t>
      </w:r>
      <w:r w:rsidR="00EA53BF" w:rsidRPr="00C67ED2">
        <w:t xml:space="preserve"> Selected Area to the </w:t>
      </w:r>
      <w:r w:rsidR="00EA53BF">
        <w:t>B</w:t>
      </w:r>
      <w:r w:rsidR="00EA53BF" w:rsidRPr="00C67ED2">
        <w:t>asin-scale.</w:t>
      </w:r>
      <w:r w:rsidR="0026305D">
        <w:t xml:space="preserve"> </w:t>
      </w:r>
      <w:r w:rsidR="006418E2">
        <w:rPr>
          <w:rFonts w:eastAsiaTheme="majorEastAsia"/>
        </w:rPr>
        <w:t>This framework has</w:t>
      </w:r>
      <w:r>
        <w:rPr>
          <w:rFonts w:eastAsiaTheme="majorEastAsia"/>
        </w:rPr>
        <w:t xml:space="preserve"> been</w:t>
      </w:r>
      <w:r w:rsidR="006418E2">
        <w:rPr>
          <w:rFonts w:eastAsiaTheme="majorEastAsia"/>
        </w:rPr>
        <w:t xml:space="preserve"> reviewed and updated for the MER </w:t>
      </w:r>
      <w:r w:rsidR="006418E2" w:rsidRPr="005920FD">
        <w:rPr>
          <w:rFonts w:eastAsiaTheme="majorEastAsia"/>
        </w:rPr>
        <w:t xml:space="preserve">Project (Appendix </w:t>
      </w:r>
      <w:r w:rsidR="003C5301">
        <w:rPr>
          <w:rFonts w:eastAsiaTheme="majorEastAsia"/>
        </w:rPr>
        <w:t>D</w:t>
      </w:r>
      <w:r w:rsidR="006418E2" w:rsidRPr="005920FD">
        <w:rPr>
          <w:rFonts w:eastAsiaTheme="majorEastAsia"/>
        </w:rPr>
        <w:t>).</w:t>
      </w:r>
      <w:r w:rsidR="006418E2">
        <w:rPr>
          <w:rFonts w:eastAsiaTheme="majorEastAsia"/>
        </w:rPr>
        <w:t xml:space="preserve"> </w:t>
      </w:r>
    </w:p>
    <w:p w14:paraId="5A142402" w14:textId="3736B0A4" w:rsidR="00886E4D" w:rsidRPr="00C67ED2" w:rsidRDefault="003A3403" w:rsidP="00405711">
      <w:pPr>
        <w:pStyle w:val="Heading2"/>
      </w:pPr>
      <w:bookmarkStart w:id="61" w:name="_Toc22196693"/>
      <w:r>
        <w:t>Outline priorities and e</w:t>
      </w:r>
      <w:r w:rsidR="00886E4D" w:rsidRPr="00C67ED2">
        <w:t>valuation questions</w:t>
      </w:r>
      <w:bookmarkEnd w:id="61"/>
    </w:p>
    <w:p w14:paraId="7CAC06D2" w14:textId="51054147" w:rsidR="00220A8F" w:rsidRDefault="00AD7085" w:rsidP="00D0414C">
      <w:r>
        <w:t>For evaluating the ecological outcomes of Commonwealth environmental water deliveries in the Lower Murray Selected Area, the overall question is ‘What did Commonwealth environmental water contribute to water quality, ecosystem function, biodiversity and population resilience</w:t>
      </w:r>
      <w:r w:rsidR="003018A6">
        <w:t>?’</w:t>
      </w:r>
      <w:r>
        <w:t xml:space="preserve"> </w:t>
      </w:r>
      <w:r w:rsidR="00044F86">
        <w:t>A summary of the i</w:t>
      </w:r>
      <w:r w:rsidR="00FB49E2" w:rsidRPr="00FB49E2">
        <w:t>ndicators</w:t>
      </w:r>
      <w:r w:rsidR="00220A8F">
        <w:t xml:space="preserve"> of </w:t>
      </w:r>
      <w:r w:rsidR="00044F86">
        <w:t>the Lower Murray for the MER Project, and related</w:t>
      </w:r>
      <w:r w:rsidR="005F5870">
        <w:t xml:space="preserve"> objectives and</w:t>
      </w:r>
      <w:r w:rsidR="00044F86">
        <w:t xml:space="preserve"> CEWO evaluation questions are pr</w:t>
      </w:r>
      <w:r w:rsidR="006056C5">
        <w:t xml:space="preserve">esented </w:t>
      </w:r>
      <w:r w:rsidR="00044F86">
        <w:t>in</w:t>
      </w:r>
      <w:r w:rsidR="00D426B1">
        <w:t xml:space="preserve"> </w:t>
      </w:r>
      <w:r w:rsidR="00D426B1">
        <w:fldChar w:fldCharType="begin"/>
      </w:r>
      <w:r w:rsidR="00D426B1">
        <w:instrText xml:space="preserve"> REF _Ref10106020 \h </w:instrText>
      </w:r>
      <w:r w:rsidR="00D426B1">
        <w:fldChar w:fldCharType="separate"/>
      </w:r>
      <w:r w:rsidR="00DF49CD">
        <w:t xml:space="preserve">Table </w:t>
      </w:r>
      <w:r w:rsidR="00DF49CD">
        <w:rPr>
          <w:noProof/>
        </w:rPr>
        <w:t>4</w:t>
      </w:r>
      <w:r w:rsidR="00DF49CD">
        <w:t>.</w:t>
      </w:r>
      <w:r w:rsidR="00DF49CD">
        <w:rPr>
          <w:noProof/>
        </w:rPr>
        <w:t>1</w:t>
      </w:r>
      <w:r w:rsidR="00D426B1">
        <w:fldChar w:fldCharType="end"/>
      </w:r>
      <w:r w:rsidR="00044F86">
        <w:t>. The Lower Murray indicators include:</w:t>
      </w:r>
    </w:p>
    <w:p w14:paraId="3E5381CB" w14:textId="1517BABB" w:rsidR="00FB49E2" w:rsidRDefault="00FB49E2" w:rsidP="00044F86">
      <w:pPr>
        <w:ind w:left="720" w:hanging="436"/>
      </w:pPr>
      <w:r>
        <w:t>Category 1</w:t>
      </w:r>
    </w:p>
    <w:p w14:paraId="24A729C8" w14:textId="2ECFFA6F" w:rsidR="00FB49E2" w:rsidRDefault="00285BBD" w:rsidP="00021AEE">
      <w:pPr>
        <w:tabs>
          <w:tab w:val="left" w:pos="1134"/>
        </w:tabs>
        <w:ind w:left="714" w:hanging="357"/>
        <w:contextualSpacing/>
      </w:pPr>
      <w:r>
        <w:t>•</w:t>
      </w:r>
      <w:r>
        <w:tab/>
        <w:t>Hydrology (C</w:t>
      </w:r>
      <w:r w:rsidR="0081153F">
        <w:t>hannel)</w:t>
      </w:r>
    </w:p>
    <w:p w14:paraId="3BFA99C0" w14:textId="7BC7434C" w:rsidR="00FB49E2" w:rsidRDefault="00FB49E2" w:rsidP="00021AEE">
      <w:pPr>
        <w:tabs>
          <w:tab w:val="left" w:pos="1134"/>
        </w:tabs>
        <w:ind w:left="714" w:hanging="357"/>
        <w:contextualSpacing/>
      </w:pPr>
      <w:r>
        <w:t>•</w:t>
      </w:r>
      <w:r>
        <w:tab/>
        <w:t>Stream Metabolism</w:t>
      </w:r>
      <w:r w:rsidR="00044F86">
        <w:t xml:space="preserve"> and </w:t>
      </w:r>
      <w:r w:rsidR="00044F86" w:rsidRPr="00256A32">
        <w:t>Water Quality</w:t>
      </w:r>
    </w:p>
    <w:p w14:paraId="17E92827" w14:textId="5103431A" w:rsidR="00FB49E2" w:rsidRDefault="00285BBD" w:rsidP="00021AEE">
      <w:pPr>
        <w:tabs>
          <w:tab w:val="left" w:pos="1134"/>
        </w:tabs>
        <w:ind w:left="714" w:hanging="357"/>
        <w:contextualSpacing/>
      </w:pPr>
      <w:r>
        <w:t>•</w:t>
      </w:r>
      <w:r>
        <w:tab/>
        <w:t>Fish (C</w:t>
      </w:r>
      <w:r w:rsidR="00967AE2">
        <w:t>hannel)</w:t>
      </w:r>
    </w:p>
    <w:p w14:paraId="66B62BFE" w14:textId="5CE69D1C" w:rsidR="00FB49E2" w:rsidRDefault="00FB49E2" w:rsidP="005F5870">
      <w:pPr>
        <w:tabs>
          <w:tab w:val="left" w:pos="1134"/>
        </w:tabs>
        <w:spacing w:before="240"/>
        <w:ind w:left="721" w:hanging="437"/>
      </w:pPr>
      <w:r>
        <w:t>Category 3</w:t>
      </w:r>
    </w:p>
    <w:p w14:paraId="117B5A4E" w14:textId="77777777" w:rsidR="00CC67CC" w:rsidRDefault="00FB49E2" w:rsidP="00CC67CC">
      <w:pPr>
        <w:tabs>
          <w:tab w:val="left" w:pos="1134"/>
        </w:tabs>
        <w:ind w:left="714" w:hanging="357"/>
        <w:contextualSpacing/>
      </w:pPr>
      <w:r>
        <w:t>•</w:t>
      </w:r>
      <w:r>
        <w:tab/>
      </w:r>
      <w:r w:rsidR="00CC67CC">
        <w:t>Hydraulic Regime</w:t>
      </w:r>
    </w:p>
    <w:p w14:paraId="4444258C" w14:textId="77777777" w:rsidR="00CC67CC" w:rsidRDefault="00CC67CC" w:rsidP="00CC67CC">
      <w:pPr>
        <w:tabs>
          <w:tab w:val="left" w:pos="1134"/>
        </w:tabs>
        <w:ind w:left="714" w:hanging="357"/>
        <w:contextualSpacing/>
      </w:pPr>
      <w:r w:rsidRPr="00220A8F">
        <w:t>•</w:t>
      </w:r>
      <w:r w:rsidRPr="00220A8F">
        <w:tab/>
      </w:r>
      <w:r>
        <w:t xml:space="preserve">Matter Transport and </w:t>
      </w:r>
      <w:r w:rsidRPr="00256A32">
        <w:t>Coorong Habitat</w:t>
      </w:r>
    </w:p>
    <w:p w14:paraId="05614314" w14:textId="77777777" w:rsidR="00CC67CC" w:rsidRPr="00256A32" w:rsidRDefault="00CC67CC" w:rsidP="00CC67CC">
      <w:pPr>
        <w:tabs>
          <w:tab w:val="left" w:pos="1134"/>
        </w:tabs>
        <w:ind w:left="714" w:hanging="357"/>
        <w:contextualSpacing/>
      </w:pPr>
      <w:r>
        <w:t>•</w:t>
      </w:r>
      <w:r>
        <w:tab/>
      </w:r>
      <w:r w:rsidRPr="00256A32">
        <w:t>Littoral Vegetation Diversity and Productivity</w:t>
      </w:r>
    </w:p>
    <w:p w14:paraId="7F571A39" w14:textId="77777777" w:rsidR="00CC67CC" w:rsidRPr="00256A32" w:rsidRDefault="00CC67CC" w:rsidP="00CC67CC">
      <w:pPr>
        <w:tabs>
          <w:tab w:val="left" w:pos="1134"/>
        </w:tabs>
        <w:ind w:left="714" w:hanging="357"/>
        <w:contextualSpacing/>
      </w:pPr>
      <w:r w:rsidRPr="00256A32">
        <w:t>•</w:t>
      </w:r>
      <w:r w:rsidRPr="00256A32">
        <w:tab/>
        <w:t>Microinvertebrate Assemblage</w:t>
      </w:r>
    </w:p>
    <w:p w14:paraId="4B95F33E" w14:textId="222026EB" w:rsidR="00CC67CC" w:rsidRPr="00256A32" w:rsidRDefault="00CC67CC" w:rsidP="00CC67CC">
      <w:pPr>
        <w:tabs>
          <w:tab w:val="left" w:pos="1134"/>
        </w:tabs>
        <w:ind w:left="714" w:hanging="357"/>
        <w:contextualSpacing/>
      </w:pPr>
      <w:r w:rsidRPr="00256A32">
        <w:t>•</w:t>
      </w:r>
      <w:r w:rsidRPr="00256A32">
        <w:tab/>
      </w:r>
      <w:r w:rsidR="00F93652" w:rsidRPr="00256A32">
        <w:t>Flow-cued Spawning Fish</w:t>
      </w:r>
      <w:r w:rsidR="008C1585">
        <w:t xml:space="preserve"> Recruitment</w:t>
      </w:r>
    </w:p>
    <w:p w14:paraId="52A17926" w14:textId="77777777" w:rsidR="00CC67CC" w:rsidRPr="00256A32" w:rsidRDefault="00CC67CC" w:rsidP="00CC67CC">
      <w:pPr>
        <w:tabs>
          <w:tab w:val="left" w:pos="1134"/>
        </w:tabs>
        <w:ind w:left="714" w:hanging="357"/>
        <w:contextualSpacing/>
      </w:pPr>
      <w:r w:rsidRPr="00256A32">
        <w:t>•</w:t>
      </w:r>
      <w:r w:rsidRPr="00256A32">
        <w:tab/>
        <w:t>Murray Cod Recruitment.</w:t>
      </w:r>
    </w:p>
    <w:p w14:paraId="09F12097" w14:textId="77777777" w:rsidR="00256A32" w:rsidRDefault="00256A32" w:rsidP="00CC67CC"/>
    <w:p w14:paraId="17B188AA" w14:textId="754E41E5" w:rsidR="00CC67CC" w:rsidRPr="006B1252" w:rsidRDefault="00CC67CC" w:rsidP="00CC67CC">
      <w:r w:rsidRPr="006B1252">
        <w:t>Category 1</w:t>
      </w:r>
      <w:r>
        <w:t xml:space="preserve"> (Basin-scale)</w:t>
      </w:r>
      <w:r w:rsidRPr="006B1252">
        <w:t xml:space="preserve"> indicators</w:t>
      </w:r>
      <w:r>
        <w:t xml:space="preserve"> are mandatory</w:t>
      </w:r>
      <w:r w:rsidR="00BE64BD">
        <w:t xml:space="preserve"> </w:t>
      </w:r>
      <w:r w:rsidRPr="006B1252">
        <w:t xml:space="preserve">(Hale </w:t>
      </w:r>
      <w:r w:rsidRPr="00A1737A">
        <w:rPr>
          <w:i/>
        </w:rPr>
        <w:t>et al.</w:t>
      </w:r>
      <w:r w:rsidRPr="006B1252">
        <w:t xml:space="preserve"> 2014)</w:t>
      </w:r>
      <w:r>
        <w:t xml:space="preserve">. These indicators </w:t>
      </w:r>
      <w:r w:rsidRPr="006B1252">
        <w:t>utilise</w:t>
      </w:r>
      <w:r>
        <w:t xml:space="preserve"> </w:t>
      </w:r>
      <w:r w:rsidRPr="006B1252">
        <w:t xml:space="preserve">standard protocols to </w:t>
      </w:r>
      <w:r>
        <w:t>inform</w:t>
      </w:r>
      <w:r w:rsidRPr="006B1252">
        <w:t xml:space="preserve"> quantitative Basin-</w:t>
      </w:r>
      <w:r>
        <w:t xml:space="preserve">scale evaluation, and, where applicable, support </w:t>
      </w:r>
      <w:r w:rsidRPr="006B1252">
        <w:t xml:space="preserve">Selected Area </w:t>
      </w:r>
      <w:r>
        <w:t>evaluation</w:t>
      </w:r>
      <w:r w:rsidRPr="006B1252">
        <w:t>. Category 3</w:t>
      </w:r>
      <w:r>
        <w:t xml:space="preserve"> (Selected Area)</w:t>
      </w:r>
      <w:r w:rsidRPr="006B1252">
        <w:t xml:space="preserve"> indicators </w:t>
      </w:r>
      <w:r>
        <w:t>are targeted investigations</w:t>
      </w:r>
      <w:r w:rsidRPr="006B1252">
        <w:t xml:space="preserve"> </w:t>
      </w:r>
      <w:r>
        <w:t xml:space="preserve">specific for the Lower Murray. These indicators are assessed using hypothesis-driven monitoring of flow-related ecological responses in the Lower Murray, to answer evaluation questions at the Selected Area scale. </w:t>
      </w:r>
      <w:r w:rsidRPr="006B1252">
        <w:t xml:space="preserve">There </w:t>
      </w:r>
      <w:r>
        <w:t>are</w:t>
      </w:r>
      <w:r w:rsidRPr="006B1252">
        <w:t xml:space="preserve"> no Category 2 indicators for the </w:t>
      </w:r>
      <w:r>
        <w:t>Lower Murray</w:t>
      </w:r>
      <w:r w:rsidR="000836AE">
        <w:t>, which aim for Selected A</w:t>
      </w:r>
      <w:r w:rsidRPr="006B1252">
        <w:t xml:space="preserve">rea evaluations but follow </w:t>
      </w:r>
      <w:r>
        <w:t>B</w:t>
      </w:r>
      <w:r w:rsidRPr="006B1252">
        <w:t>asin-wide standard protocols.</w:t>
      </w:r>
    </w:p>
    <w:p w14:paraId="10D49DC7" w14:textId="77777777" w:rsidR="00CC67CC" w:rsidRDefault="00CC67CC" w:rsidP="00CC67CC">
      <w:pPr>
        <w:rPr>
          <w:rFonts w:cstheme="minorHAnsi"/>
          <w:szCs w:val="22"/>
        </w:rPr>
      </w:pPr>
      <w:r>
        <w:rPr>
          <w:rFonts w:eastAsiaTheme="minorHAnsi"/>
          <w:kern w:val="0"/>
        </w:rPr>
        <w:t>In addition, identification of ecosystem type (</w:t>
      </w:r>
      <w:r w:rsidRPr="001B6C66">
        <w:rPr>
          <w:rFonts w:eastAsiaTheme="minorHAnsi" w:cstheme="minorHAnsi"/>
          <w:kern w:val="0"/>
          <w:szCs w:val="22"/>
        </w:rPr>
        <w:t>the ANAE classification</w:t>
      </w:r>
      <w:r>
        <w:rPr>
          <w:rFonts w:eastAsiaTheme="minorHAnsi" w:cstheme="minorHAnsi"/>
          <w:kern w:val="0"/>
          <w:szCs w:val="22"/>
        </w:rPr>
        <w:t>)</w:t>
      </w:r>
      <w:r w:rsidRPr="001B6C66">
        <w:rPr>
          <w:rFonts w:eastAsiaTheme="minorHAnsi" w:cstheme="minorHAnsi"/>
          <w:kern w:val="0"/>
          <w:szCs w:val="22"/>
        </w:rPr>
        <w:t xml:space="preserve"> </w:t>
      </w:r>
      <w:r>
        <w:rPr>
          <w:rFonts w:eastAsiaTheme="minorHAnsi"/>
          <w:kern w:val="0"/>
        </w:rPr>
        <w:t xml:space="preserve">and </w:t>
      </w:r>
      <w:r w:rsidRPr="005B4E34">
        <w:rPr>
          <w:rFonts w:eastAsiaTheme="minorHAnsi"/>
          <w:kern w:val="0"/>
        </w:rPr>
        <w:t xml:space="preserve">field validation </w:t>
      </w:r>
      <w:r w:rsidRPr="001B6C66">
        <w:rPr>
          <w:rFonts w:eastAsiaTheme="minorHAnsi" w:cstheme="minorHAnsi"/>
          <w:kern w:val="0"/>
          <w:szCs w:val="22"/>
        </w:rPr>
        <w:t xml:space="preserve">is required for Basin-scale evaluation of ecosystem diversity for the </w:t>
      </w:r>
      <w:r>
        <w:rPr>
          <w:rFonts w:eastAsiaTheme="minorHAnsi" w:cstheme="minorHAnsi"/>
          <w:kern w:val="0"/>
          <w:szCs w:val="22"/>
        </w:rPr>
        <w:t>MER</w:t>
      </w:r>
      <w:r w:rsidRPr="001B6C66">
        <w:rPr>
          <w:rFonts w:eastAsiaTheme="minorHAnsi" w:cstheme="minorHAnsi"/>
          <w:kern w:val="0"/>
          <w:szCs w:val="22"/>
        </w:rPr>
        <w:t xml:space="preserve"> Project. For the </w:t>
      </w:r>
      <w:r w:rsidRPr="00D729DF">
        <w:rPr>
          <w:rFonts w:eastAsiaTheme="minorHAnsi" w:cstheme="minorHAnsi"/>
          <w:kern w:val="0"/>
          <w:szCs w:val="22"/>
        </w:rPr>
        <w:t>Lower Murray</w:t>
      </w:r>
      <w:r w:rsidRPr="001B6C66">
        <w:rPr>
          <w:rFonts w:eastAsiaTheme="minorHAnsi" w:cstheme="minorHAnsi"/>
          <w:kern w:val="0"/>
          <w:szCs w:val="22"/>
        </w:rPr>
        <w:t xml:space="preserve"> Selected Area, </w:t>
      </w:r>
      <w:r>
        <w:rPr>
          <w:rFonts w:eastAsiaTheme="minorHAnsi" w:cstheme="minorHAnsi"/>
          <w:kern w:val="0"/>
          <w:szCs w:val="22"/>
        </w:rPr>
        <w:t xml:space="preserve">the field sampling will be focused on </w:t>
      </w:r>
      <w:r w:rsidRPr="001B6C66">
        <w:rPr>
          <w:rFonts w:eastAsiaTheme="minorHAnsi" w:cstheme="minorHAnsi"/>
          <w:kern w:val="0"/>
          <w:szCs w:val="22"/>
        </w:rPr>
        <w:t>channel habitats</w:t>
      </w:r>
      <w:r>
        <w:rPr>
          <w:rFonts w:eastAsiaTheme="minorHAnsi" w:cstheme="minorHAnsi"/>
          <w:kern w:val="0"/>
          <w:szCs w:val="22"/>
        </w:rPr>
        <w:t>, which</w:t>
      </w:r>
      <w:r w:rsidRPr="001B6C66">
        <w:rPr>
          <w:rFonts w:eastAsiaTheme="minorHAnsi" w:cstheme="minorHAnsi"/>
          <w:kern w:val="0"/>
          <w:szCs w:val="22"/>
        </w:rPr>
        <w:t xml:space="preserve"> </w:t>
      </w:r>
      <w:r>
        <w:rPr>
          <w:rFonts w:eastAsiaTheme="minorHAnsi" w:cstheme="minorHAnsi"/>
          <w:kern w:val="0"/>
          <w:szCs w:val="22"/>
        </w:rPr>
        <w:t>are</w:t>
      </w:r>
      <w:r w:rsidRPr="001B6C66">
        <w:rPr>
          <w:rFonts w:eastAsiaTheme="minorHAnsi" w:cstheme="minorHAnsi"/>
          <w:kern w:val="0"/>
          <w:szCs w:val="22"/>
        </w:rPr>
        <w:t xml:space="preserve"> classified as permanent lowland river</w:t>
      </w:r>
      <w:r>
        <w:rPr>
          <w:rFonts w:eastAsiaTheme="minorHAnsi" w:cstheme="minorHAnsi"/>
          <w:kern w:val="0"/>
          <w:szCs w:val="22"/>
        </w:rPr>
        <w:t xml:space="preserve">s. As the river typology that applies to all in-channel sites is very coarse, this classification will not change </w:t>
      </w:r>
      <w:r w:rsidRPr="001B6C66">
        <w:rPr>
          <w:rFonts w:eastAsiaTheme="minorHAnsi" w:cstheme="minorHAnsi"/>
          <w:kern w:val="0"/>
          <w:szCs w:val="22"/>
        </w:rPr>
        <w:t xml:space="preserve">during the current </w:t>
      </w:r>
      <w:r>
        <w:rPr>
          <w:rFonts w:eastAsiaTheme="minorHAnsi" w:cstheme="minorHAnsi"/>
          <w:kern w:val="0"/>
          <w:szCs w:val="22"/>
        </w:rPr>
        <w:t>MER</w:t>
      </w:r>
      <w:r w:rsidRPr="001B6C66">
        <w:rPr>
          <w:rFonts w:eastAsiaTheme="minorHAnsi" w:cstheme="minorHAnsi"/>
          <w:kern w:val="0"/>
          <w:szCs w:val="22"/>
        </w:rPr>
        <w:t xml:space="preserve"> </w:t>
      </w:r>
      <w:r>
        <w:rPr>
          <w:rFonts w:eastAsiaTheme="minorHAnsi" w:cstheme="minorHAnsi"/>
          <w:kern w:val="0"/>
          <w:szCs w:val="22"/>
        </w:rPr>
        <w:t>P</w:t>
      </w:r>
      <w:r w:rsidRPr="001B6C66">
        <w:rPr>
          <w:rFonts w:eastAsiaTheme="minorHAnsi" w:cstheme="minorHAnsi"/>
          <w:kern w:val="0"/>
          <w:szCs w:val="22"/>
        </w:rPr>
        <w:t>roject</w:t>
      </w:r>
      <w:r>
        <w:rPr>
          <w:rFonts w:eastAsiaTheme="minorHAnsi" w:cstheme="minorHAnsi"/>
          <w:kern w:val="0"/>
          <w:szCs w:val="22"/>
        </w:rPr>
        <w:t xml:space="preserve"> and ongoing validation is not required</w:t>
      </w:r>
      <w:r w:rsidRPr="001B6C66">
        <w:rPr>
          <w:rFonts w:eastAsiaTheme="minorHAnsi" w:cstheme="minorHAnsi"/>
          <w:kern w:val="0"/>
          <w:szCs w:val="22"/>
        </w:rPr>
        <w:t>.</w:t>
      </w:r>
      <w:r w:rsidRPr="001B6C66">
        <w:rPr>
          <w:rFonts w:cstheme="minorHAnsi"/>
          <w:szCs w:val="22"/>
        </w:rPr>
        <w:t xml:space="preserve"> </w:t>
      </w:r>
    </w:p>
    <w:p w14:paraId="588BD5BF" w14:textId="3AC977CB" w:rsidR="00BE64BD" w:rsidRDefault="00CC67CC" w:rsidP="00BE64BD">
      <w:r>
        <w:t>The evaluation questions for each indicator (</w:t>
      </w:r>
      <w:r>
        <w:fldChar w:fldCharType="begin"/>
      </w:r>
      <w:r>
        <w:instrText xml:space="preserve"> REF _Ref10106020 \h </w:instrText>
      </w:r>
      <w:r>
        <w:fldChar w:fldCharType="separate"/>
      </w:r>
      <w:r w:rsidR="00DF49CD">
        <w:t xml:space="preserve">Table </w:t>
      </w:r>
      <w:r w:rsidR="00DF49CD">
        <w:rPr>
          <w:noProof/>
        </w:rPr>
        <w:t>4</w:t>
      </w:r>
      <w:r w:rsidR="00DF49CD">
        <w:t>.</w:t>
      </w:r>
      <w:r w:rsidR="00DF49CD">
        <w:rPr>
          <w:noProof/>
        </w:rPr>
        <w:t>1</w:t>
      </w:r>
      <w:r>
        <w:fldChar w:fldCharType="end"/>
      </w:r>
      <w:r>
        <w:t>) were adapted from CEWO’s Basin-scale questions (</w:t>
      </w:r>
      <w:r w:rsidRPr="00CD468F">
        <w:t xml:space="preserve">see Appendix </w:t>
      </w:r>
      <w:r>
        <w:t>D</w:t>
      </w:r>
      <w:r w:rsidRPr="00CD468F">
        <w:t>)</w:t>
      </w:r>
      <w:r>
        <w:t xml:space="preserve"> to better cater for indicators within the Lower Murray Selected Area, particularly for Category </w:t>
      </w:r>
      <w:r w:rsidRPr="00A1737A">
        <w:t xml:space="preserve">3 indicators. </w:t>
      </w:r>
      <w:r w:rsidR="00BE64BD">
        <w:t>The CEWO questions that are evaluated for the Lower Murray include:</w:t>
      </w:r>
    </w:p>
    <w:p w14:paraId="0793F667" w14:textId="3557A8C6" w:rsidR="00BE64BD" w:rsidRPr="00C67ED2" w:rsidRDefault="00BE64BD" w:rsidP="00B113F5">
      <w:pPr>
        <w:tabs>
          <w:tab w:val="left" w:pos="1134"/>
        </w:tabs>
        <w:contextualSpacing/>
      </w:pPr>
      <w:r>
        <w:t>Questions for evaluating short-term responses to watering</w:t>
      </w:r>
      <w:r w:rsidRPr="00C67ED2">
        <w:t>:</w:t>
      </w:r>
    </w:p>
    <w:p w14:paraId="5260841D" w14:textId="77777777" w:rsidR="00BE64BD" w:rsidRDefault="00BE64BD" w:rsidP="00BE64BD">
      <w:pPr>
        <w:pStyle w:val="ListBullet"/>
      </w:pPr>
      <w:r w:rsidRPr="00C67ED2">
        <w:t xml:space="preserve">What did </w:t>
      </w:r>
      <w:r w:rsidRPr="00443EDA">
        <w:rPr>
          <w:rFonts w:eastAsia="Calibri"/>
        </w:rPr>
        <w:t>C</w:t>
      </w:r>
      <w:r>
        <w:rPr>
          <w:rFonts w:eastAsia="Calibri"/>
        </w:rPr>
        <w:t>ommonwealth environmental water</w:t>
      </w:r>
      <w:r w:rsidRPr="00C67ED2">
        <w:t xml:space="preserve"> contribute to</w:t>
      </w:r>
      <w:r>
        <w:t>:</w:t>
      </w:r>
    </w:p>
    <w:p w14:paraId="5BB93D4D" w14:textId="77777777" w:rsidR="00BE64BD" w:rsidRPr="007A541D" w:rsidRDefault="00BE64BD" w:rsidP="00BE64BD">
      <w:pPr>
        <w:pStyle w:val="ListBullet"/>
        <w:numPr>
          <w:ilvl w:val="1"/>
          <w:numId w:val="1"/>
        </w:numPr>
      </w:pPr>
      <w:r w:rsidRPr="007A541D">
        <w:t>Hydraulic diversity within weir pools</w:t>
      </w:r>
      <w:r>
        <w:t>?</w:t>
      </w:r>
    </w:p>
    <w:p w14:paraId="6C719AF9" w14:textId="79FA1251" w:rsidR="00BE64BD" w:rsidRPr="007A541D" w:rsidRDefault="00F12F4B" w:rsidP="00BE64BD">
      <w:pPr>
        <w:pStyle w:val="ListBullet"/>
        <w:numPr>
          <w:ilvl w:val="1"/>
          <w:numId w:val="1"/>
        </w:numPr>
      </w:pPr>
      <w:r>
        <w:t>In-channel v</w:t>
      </w:r>
      <w:r w:rsidR="00BE64BD" w:rsidRPr="007A541D">
        <w:t>ariability in water levels</w:t>
      </w:r>
      <w:r w:rsidR="00BE64BD">
        <w:t>?</w:t>
      </w:r>
    </w:p>
    <w:p w14:paraId="5D5320CA" w14:textId="77777777" w:rsidR="00BE64BD" w:rsidRPr="007A541D" w:rsidRDefault="00BE64BD" w:rsidP="00BE64BD">
      <w:pPr>
        <w:pStyle w:val="ListBullet"/>
        <w:numPr>
          <w:ilvl w:val="1"/>
          <w:numId w:val="1"/>
        </w:numPr>
      </w:pPr>
      <w:r w:rsidRPr="007A541D">
        <w:t>Dissolved oxygen levels</w:t>
      </w:r>
      <w:r>
        <w:t>?</w:t>
      </w:r>
    </w:p>
    <w:p w14:paraId="591DD998" w14:textId="77777777" w:rsidR="00BE64BD" w:rsidRPr="007A541D" w:rsidRDefault="00BE64BD" w:rsidP="00BE64BD">
      <w:pPr>
        <w:pStyle w:val="ListBullet"/>
        <w:numPr>
          <w:ilvl w:val="1"/>
          <w:numId w:val="1"/>
        </w:numPr>
      </w:pPr>
      <w:r w:rsidRPr="007A541D">
        <w:t>Patterns and rates of primary productivity</w:t>
      </w:r>
      <w:r>
        <w:t xml:space="preserve"> and decomposition?</w:t>
      </w:r>
    </w:p>
    <w:p w14:paraId="693191DB" w14:textId="77777777" w:rsidR="00BE64BD" w:rsidRPr="007A541D" w:rsidRDefault="00BE64BD" w:rsidP="00BE64BD">
      <w:pPr>
        <w:pStyle w:val="ListBullet"/>
        <w:numPr>
          <w:ilvl w:val="1"/>
          <w:numId w:val="1"/>
        </w:numPr>
      </w:pPr>
      <w:r w:rsidRPr="007A541D">
        <w:t>Water quality</w:t>
      </w:r>
      <w:r>
        <w:t>?</w:t>
      </w:r>
    </w:p>
    <w:p w14:paraId="2DB55F25" w14:textId="77777777" w:rsidR="00BE64BD" w:rsidRPr="007A541D" w:rsidRDefault="00BE64BD" w:rsidP="00BE64BD">
      <w:pPr>
        <w:pStyle w:val="ListBullet"/>
        <w:numPr>
          <w:ilvl w:val="1"/>
          <w:numId w:val="1"/>
        </w:numPr>
      </w:pPr>
      <w:r w:rsidRPr="007A541D">
        <w:t>Salinity levels and transport</w:t>
      </w:r>
      <w:r>
        <w:t>?</w:t>
      </w:r>
    </w:p>
    <w:p w14:paraId="220FC717" w14:textId="77777777" w:rsidR="00BE64BD" w:rsidRPr="007A541D" w:rsidRDefault="00BE64BD" w:rsidP="00BE64BD">
      <w:pPr>
        <w:pStyle w:val="ListBullet"/>
        <w:numPr>
          <w:ilvl w:val="1"/>
          <w:numId w:val="1"/>
        </w:numPr>
      </w:pPr>
      <w:r w:rsidRPr="007A541D">
        <w:t xml:space="preserve">Concentrations and transport of </w:t>
      </w:r>
      <w:r>
        <w:t xml:space="preserve">nutrients and </w:t>
      </w:r>
      <w:r w:rsidRPr="007A541D">
        <w:t>phytoplankton</w:t>
      </w:r>
      <w:r>
        <w:t>?</w:t>
      </w:r>
    </w:p>
    <w:p w14:paraId="52557D1E" w14:textId="77777777" w:rsidR="00BE64BD" w:rsidRDefault="00BE64BD" w:rsidP="00BE64BD">
      <w:pPr>
        <w:pStyle w:val="ListBullet"/>
        <w:numPr>
          <w:ilvl w:val="1"/>
          <w:numId w:val="1"/>
        </w:numPr>
      </w:pPr>
      <w:r>
        <w:t>Biological and functional diversity of littoral vegetation?</w:t>
      </w:r>
    </w:p>
    <w:p w14:paraId="34ADD7D8" w14:textId="77777777" w:rsidR="00BE64BD" w:rsidRPr="007A541D" w:rsidRDefault="00BE64BD" w:rsidP="00BE64BD">
      <w:pPr>
        <w:pStyle w:val="ListBullet"/>
        <w:numPr>
          <w:ilvl w:val="1"/>
          <w:numId w:val="1"/>
        </w:numPr>
      </w:pPr>
      <w:r>
        <w:t>Productivity and above-ground biomass produced by littoral vegetation?</w:t>
      </w:r>
    </w:p>
    <w:p w14:paraId="0C3E3B2F" w14:textId="77777777" w:rsidR="00BE64BD" w:rsidRPr="007A541D" w:rsidRDefault="00BE64BD" w:rsidP="00BE64BD">
      <w:pPr>
        <w:pStyle w:val="ListBullet"/>
        <w:numPr>
          <w:ilvl w:val="1"/>
          <w:numId w:val="1"/>
        </w:numPr>
      </w:pPr>
      <w:r w:rsidRPr="007A541D">
        <w:t>Microinvertebrate diversity and abundance</w:t>
      </w:r>
      <w:r>
        <w:t>?</w:t>
      </w:r>
    </w:p>
    <w:p w14:paraId="4A713904" w14:textId="77777777" w:rsidR="00BE64BD" w:rsidRDefault="00BE64BD" w:rsidP="00BE64BD">
      <w:pPr>
        <w:pStyle w:val="ListBullet"/>
        <w:numPr>
          <w:ilvl w:val="1"/>
          <w:numId w:val="1"/>
        </w:numPr>
      </w:pPr>
      <w:r w:rsidRPr="007A541D">
        <w:t xml:space="preserve">Microinvertebrate communities (via </w:t>
      </w:r>
      <w:r>
        <w:t>lateral and longitudinal</w:t>
      </w:r>
      <w:r w:rsidRPr="007A541D">
        <w:t xml:space="preserve"> connectivity)</w:t>
      </w:r>
      <w:r>
        <w:t>?</w:t>
      </w:r>
    </w:p>
    <w:p w14:paraId="74A5181B" w14:textId="77777777" w:rsidR="00BE64BD" w:rsidRPr="007A541D" w:rsidRDefault="00BE64BD" w:rsidP="00BE64BD">
      <w:pPr>
        <w:pStyle w:val="ListBullet"/>
        <w:numPr>
          <w:ilvl w:val="1"/>
          <w:numId w:val="1"/>
        </w:numPr>
      </w:pPr>
      <w:r>
        <w:t>Q</w:t>
      </w:r>
      <w:r w:rsidRPr="005A073B">
        <w:t>uality of food resources (microinvertebrates) for higher trophic organisms</w:t>
      </w:r>
      <w:r>
        <w:t>?</w:t>
      </w:r>
    </w:p>
    <w:p w14:paraId="7C9AB2D9" w14:textId="77777777" w:rsidR="00BE64BD" w:rsidRPr="007A541D" w:rsidRDefault="00BE64BD" w:rsidP="00BE64BD">
      <w:pPr>
        <w:pStyle w:val="ListBullet"/>
        <w:numPr>
          <w:ilvl w:val="1"/>
          <w:numId w:val="1"/>
        </w:numPr>
      </w:pPr>
      <w:r>
        <w:t>Murray cod growth and condition?</w:t>
      </w:r>
    </w:p>
    <w:p w14:paraId="55CC3687" w14:textId="5A319ED1" w:rsidR="00BE64BD" w:rsidRDefault="00BE64BD" w:rsidP="00BE64BD">
      <w:pPr>
        <w:pStyle w:val="ListBullet"/>
        <w:numPr>
          <w:ilvl w:val="1"/>
          <w:numId w:val="1"/>
        </w:numPr>
      </w:pPr>
      <w:r>
        <w:t xml:space="preserve">Native </w:t>
      </w:r>
      <w:r w:rsidRPr="007A541D">
        <w:t xml:space="preserve">fish </w:t>
      </w:r>
      <w:r>
        <w:t>recruitment</w:t>
      </w:r>
      <w:r w:rsidRPr="007A541D">
        <w:t xml:space="preserve"> (i.e. </w:t>
      </w:r>
      <w:r>
        <w:t xml:space="preserve">Murray cod, </w:t>
      </w:r>
      <w:r w:rsidRPr="007A541D">
        <w:t xml:space="preserve">golden perch and </w:t>
      </w:r>
      <w:r>
        <w:t>silver</w:t>
      </w:r>
      <w:r w:rsidRPr="007A541D">
        <w:t xml:space="preserve"> perch)</w:t>
      </w:r>
      <w:r>
        <w:t>?</w:t>
      </w:r>
    </w:p>
    <w:p w14:paraId="1654B116" w14:textId="5DCF4021" w:rsidR="00BE64BD" w:rsidRPr="007A541D" w:rsidRDefault="00BE64BD" w:rsidP="00BE64BD">
      <w:r>
        <w:t>Questions for evaluating long-term outcomes from watering</w:t>
      </w:r>
      <w:r w:rsidRPr="007A541D">
        <w:t>:</w:t>
      </w:r>
    </w:p>
    <w:p w14:paraId="4A1A5CE0" w14:textId="77777777" w:rsidR="00BE64BD" w:rsidRPr="007A541D" w:rsidRDefault="00BE64BD" w:rsidP="00BE64BD">
      <w:pPr>
        <w:pStyle w:val="ListBullet"/>
      </w:pPr>
      <w:r w:rsidRPr="007A541D">
        <w:t xml:space="preserve">What did </w:t>
      </w:r>
      <w:r w:rsidRPr="007A541D">
        <w:rPr>
          <w:rFonts w:eastAsia="Calibri"/>
        </w:rPr>
        <w:t>Commonwealth environmental water</w:t>
      </w:r>
      <w:r w:rsidRPr="007A541D">
        <w:t xml:space="preserve"> contribute to:</w:t>
      </w:r>
    </w:p>
    <w:p w14:paraId="7069ECF1" w14:textId="77777777" w:rsidR="00BE64BD" w:rsidRPr="007A541D" w:rsidRDefault="00BE64BD" w:rsidP="00BE64BD">
      <w:pPr>
        <w:pStyle w:val="ListBullet"/>
        <w:numPr>
          <w:ilvl w:val="1"/>
          <w:numId w:val="1"/>
        </w:numPr>
        <w:rPr>
          <w:iCs/>
        </w:rPr>
      </w:pPr>
      <w:r w:rsidRPr="007A541D">
        <w:t>Hydrological connectivity</w:t>
      </w:r>
      <w:r>
        <w:t>?</w:t>
      </w:r>
    </w:p>
    <w:p w14:paraId="2AB3C526" w14:textId="77777777" w:rsidR="00BE64BD" w:rsidRPr="007A541D" w:rsidRDefault="00BE64BD" w:rsidP="00BE64BD">
      <w:pPr>
        <w:pStyle w:val="ListBullet"/>
        <w:numPr>
          <w:ilvl w:val="1"/>
          <w:numId w:val="1"/>
        </w:numPr>
        <w:rPr>
          <w:iCs/>
        </w:rPr>
      </w:pPr>
      <w:r>
        <w:t xml:space="preserve">Meeting Environmental Water Requirements </w:t>
      </w:r>
      <w:r w:rsidRPr="00397198">
        <w:t>(of the South Australian Murray River Long-Term Watering Plan)</w:t>
      </w:r>
      <w:r>
        <w:t xml:space="preserve"> in the main channel of the Lower Murray River?</w:t>
      </w:r>
    </w:p>
    <w:p w14:paraId="6B9E61DD" w14:textId="77777777" w:rsidR="00BE64BD" w:rsidRPr="007A541D" w:rsidRDefault="00BE64BD" w:rsidP="00BE64BD">
      <w:pPr>
        <w:pStyle w:val="ListBullet"/>
        <w:numPr>
          <w:ilvl w:val="1"/>
          <w:numId w:val="1"/>
        </w:numPr>
      </w:pPr>
      <w:r>
        <w:rPr>
          <w:iCs/>
        </w:rPr>
        <w:t>S</w:t>
      </w:r>
      <w:r w:rsidRPr="007A541D">
        <w:rPr>
          <w:iCs/>
        </w:rPr>
        <w:t>alinity regime</w:t>
      </w:r>
      <w:r>
        <w:rPr>
          <w:iCs/>
        </w:rPr>
        <w:t>?</w:t>
      </w:r>
    </w:p>
    <w:p w14:paraId="389DF177" w14:textId="05A59C3B" w:rsidR="00BE64BD" w:rsidRDefault="00BE64BD" w:rsidP="00BE64BD">
      <w:pPr>
        <w:pStyle w:val="ListBullet"/>
        <w:numPr>
          <w:ilvl w:val="1"/>
          <w:numId w:val="1"/>
        </w:numPr>
      </w:pPr>
      <w:r w:rsidRPr="007A541D">
        <w:t xml:space="preserve">Resilience of </w:t>
      </w:r>
      <w:r>
        <w:t xml:space="preserve">Murray cod, </w:t>
      </w:r>
      <w:r w:rsidRPr="007A541D">
        <w:t>golden and silver perch populations</w:t>
      </w:r>
      <w:r>
        <w:t>?</w:t>
      </w:r>
    </w:p>
    <w:p w14:paraId="281A8BA3" w14:textId="402055FE" w:rsidR="00E112D5" w:rsidRDefault="000836AE" w:rsidP="00BE64BD">
      <w:r w:rsidRPr="000E448F">
        <w:t>The cumulative evaluation of the</w:t>
      </w:r>
      <w:r w:rsidR="00DB6179" w:rsidRPr="000E448F">
        <w:t xml:space="preserve"> annual</w:t>
      </w:r>
      <w:r w:rsidRPr="000E448F">
        <w:t xml:space="preserve"> short-term responses to watering will also </w:t>
      </w:r>
      <w:r w:rsidR="00DB6179" w:rsidRPr="000E448F">
        <w:t>form the</w:t>
      </w:r>
      <w:r w:rsidRPr="000E448F">
        <w:t xml:space="preserve"> evaluation of long-term outcomes. </w:t>
      </w:r>
      <w:r w:rsidR="00BE64BD" w:rsidRPr="000E448F">
        <w:t xml:space="preserve">Furthermore, questions were developed for DEW for each indicator (Appendix D), in line with targets </w:t>
      </w:r>
      <w:r w:rsidR="009A4BD6" w:rsidRPr="000E448F">
        <w:t>from</w:t>
      </w:r>
      <w:r w:rsidR="009A4BD6">
        <w:t xml:space="preserve"> the Long-Term Environmental Watering Plan for the South Australian River Murray (LTWP) and Matter 8 expected outcomes</w:t>
      </w:r>
      <w:r w:rsidR="00BE64BD">
        <w:t>. These serve as additional evaluation questions for the Lower Murray.</w:t>
      </w:r>
    </w:p>
    <w:p w14:paraId="4A7C25BB" w14:textId="77777777" w:rsidR="006075BC" w:rsidRPr="00C67ED2" w:rsidRDefault="006075BC" w:rsidP="006075BC">
      <w:pPr>
        <w:pStyle w:val="Heading2"/>
      </w:pPr>
      <w:bookmarkStart w:id="62" w:name="_Toc384985552"/>
      <w:bookmarkStart w:id="63" w:name="_Toc22196694"/>
      <w:r w:rsidRPr="00C67ED2">
        <w:lastRenderedPageBreak/>
        <w:t>Evaluation process</w:t>
      </w:r>
      <w:bookmarkEnd w:id="62"/>
      <w:bookmarkEnd w:id="63"/>
    </w:p>
    <w:p w14:paraId="192670D4" w14:textId="7D07030E" w:rsidR="00A5214F" w:rsidRDefault="006075BC" w:rsidP="00A5214F">
      <w:pPr>
        <w:pStyle w:val="ListBullet"/>
        <w:numPr>
          <w:ilvl w:val="0"/>
          <w:numId w:val="0"/>
        </w:numPr>
        <w:rPr>
          <w:rFonts w:eastAsiaTheme="majorEastAsia"/>
          <w:color w:val="auto"/>
        </w:rPr>
      </w:pPr>
      <w:r w:rsidRPr="00536F50">
        <w:rPr>
          <w:color w:val="auto"/>
        </w:rPr>
        <w:t xml:space="preserve">Each year, data collected through the MER Project will be analysed in detail, with Selected Area reporting and evaluation conducted for each indicator (see details for indicator outputs in Section </w:t>
      </w:r>
      <w:r w:rsidR="009B4003" w:rsidRPr="00536F50">
        <w:rPr>
          <w:color w:val="auto"/>
        </w:rPr>
        <w:fldChar w:fldCharType="begin"/>
      </w:r>
      <w:r w:rsidR="009B4003" w:rsidRPr="00536F50">
        <w:rPr>
          <w:color w:val="auto"/>
        </w:rPr>
        <w:instrText xml:space="preserve"> REF _Ref10107162 \r \h </w:instrText>
      </w:r>
      <w:r w:rsidR="009B4003" w:rsidRPr="00536F50">
        <w:rPr>
          <w:color w:val="auto"/>
        </w:rPr>
      </w:r>
      <w:r w:rsidR="009B4003" w:rsidRPr="00536F50">
        <w:rPr>
          <w:color w:val="auto"/>
        </w:rPr>
        <w:fldChar w:fldCharType="separate"/>
      </w:r>
      <w:r w:rsidR="00DF49CD">
        <w:rPr>
          <w:color w:val="auto"/>
        </w:rPr>
        <w:t>5</w:t>
      </w:r>
      <w:r w:rsidR="009B4003" w:rsidRPr="00536F50">
        <w:rPr>
          <w:color w:val="auto"/>
        </w:rPr>
        <w:fldChar w:fldCharType="end"/>
      </w:r>
      <w:r w:rsidRPr="00536F50">
        <w:rPr>
          <w:color w:val="auto"/>
        </w:rPr>
        <w:t xml:space="preserve">). </w:t>
      </w:r>
      <w:r w:rsidR="00145029" w:rsidRPr="00536F50">
        <w:rPr>
          <w:color w:val="auto"/>
        </w:rPr>
        <w:t xml:space="preserve">LTIM data </w:t>
      </w:r>
      <w:r w:rsidR="00536F50">
        <w:rPr>
          <w:color w:val="auto"/>
        </w:rPr>
        <w:t>from</w:t>
      </w:r>
      <w:r w:rsidR="00145029" w:rsidRPr="00536F50">
        <w:rPr>
          <w:color w:val="auto"/>
        </w:rPr>
        <w:t xml:space="preserve"> relevant indicators will also be included in the analysis and ev</w:t>
      </w:r>
      <w:r w:rsidR="00536F50" w:rsidRPr="00536F50">
        <w:rPr>
          <w:color w:val="auto"/>
        </w:rPr>
        <w:t>aluation.</w:t>
      </w:r>
      <w:r w:rsidRPr="00536F50">
        <w:rPr>
          <w:color w:val="auto"/>
        </w:rPr>
        <w:t xml:space="preserve"> </w:t>
      </w:r>
      <w:r w:rsidR="00145029" w:rsidRPr="00536F50">
        <w:rPr>
          <w:color w:val="auto"/>
        </w:rPr>
        <w:t>A</w:t>
      </w:r>
      <w:r w:rsidRPr="00536F50">
        <w:rPr>
          <w:color w:val="auto"/>
        </w:rPr>
        <w:t xml:space="preserve"> </w:t>
      </w:r>
      <w:r w:rsidR="00A1737A" w:rsidRPr="00536F50">
        <w:rPr>
          <w:color w:val="auto"/>
        </w:rPr>
        <w:t xml:space="preserve">technical </w:t>
      </w:r>
      <w:r w:rsidRPr="00536F50">
        <w:rPr>
          <w:color w:val="auto"/>
        </w:rPr>
        <w:t>report</w:t>
      </w:r>
      <w:r w:rsidR="00145029" w:rsidRPr="00536F50">
        <w:rPr>
          <w:color w:val="auto"/>
        </w:rPr>
        <w:t xml:space="preserve"> will be produced</w:t>
      </w:r>
      <w:r w:rsidR="00536F50">
        <w:rPr>
          <w:color w:val="auto"/>
        </w:rPr>
        <w:t xml:space="preserve"> annually</w:t>
      </w:r>
      <w:r w:rsidRPr="00536F50">
        <w:rPr>
          <w:color w:val="auto"/>
        </w:rPr>
        <w:t xml:space="preserve">, which </w:t>
      </w:r>
      <w:r w:rsidRPr="00C709C6">
        <w:rPr>
          <w:color w:val="auto"/>
        </w:rPr>
        <w:t>consolidates indicator outputs</w:t>
      </w:r>
      <w:r w:rsidR="006A2200" w:rsidRPr="00C709C6">
        <w:rPr>
          <w:color w:val="auto"/>
        </w:rPr>
        <w:t xml:space="preserve"> and</w:t>
      </w:r>
      <w:r w:rsidRPr="00C709C6">
        <w:rPr>
          <w:color w:val="auto"/>
        </w:rPr>
        <w:t xml:space="preserve"> </w:t>
      </w:r>
      <w:r w:rsidR="000C0AED" w:rsidRPr="00C709C6">
        <w:rPr>
          <w:color w:val="auto"/>
        </w:rPr>
        <w:t>synthesises results</w:t>
      </w:r>
      <w:r w:rsidR="00C709C6" w:rsidRPr="00C709C6">
        <w:rPr>
          <w:color w:val="auto"/>
        </w:rPr>
        <w:t>, identifying</w:t>
      </w:r>
      <w:r w:rsidR="000C0AED" w:rsidRPr="00C709C6">
        <w:rPr>
          <w:color w:val="auto"/>
        </w:rPr>
        <w:t xml:space="preserve"> p</w:t>
      </w:r>
      <w:r w:rsidR="000C0AED" w:rsidRPr="00C709C6">
        <w:rPr>
          <w:rFonts w:eastAsiaTheme="majorEastAsia"/>
          <w:color w:val="auto"/>
        </w:rPr>
        <w:t xml:space="preserve">otential linkages between key indicators </w:t>
      </w:r>
      <w:r w:rsidR="000C0AED" w:rsidRPr="00C709C6">
        <w:rPr>
          <w:color w:val="auto"/>
        </w:rPr>
        <w:t xml:space="preserve">in context of cause and effect of flow </w:t>
      </w:r>
      <w:r w:rsidR="006A2200" w:rsidRPr="00C709C6">
        <w:rPr>
          <w:color w:val="auto"/>
        </w:rPr>
        <w:t>on</w:t>
      </w:r>
      <w:r w:rsidR="000C0AED" w:rsidRPr="00C709C6">
        <w:rPr>
          <w:color w:val="auto"/>
        </w:rPr>
        <w:t xml:space="preserve"> the ecological responses and broader ecosystem outcomes in the Lower Murray (as illustrated in </w:t>
      </w:r>
      <w:r w:rsidR="000C0AED" w:rsidRPr="00C709C6">
        <w:rPr>
          <w:color w:val="auto"/>
        </w:rPr>
        <w:fldChar w:fldCharType="begin"/>
      </w:r>
      <w:r w:rsidR="000C0AED" w:rsidRPr="00C709C6">
        <w:rPr>
          <w:color w:val="auto"/>
        </w:rPr>
        <w:instrText xml:space="preserve"> REF _Ref10184501 \h </w:instrText>
      </w:r>
      <w:r w:rsidR="00C709C6">
        <w:rPr>
          <w:color w:val="auto"/>
        </w:rPr>
        <w:instrText xml:space="preserve"> \* MERGEFORMAT </w:instrText>
      </w:r>
      <w:r w:rsidR="000C0AED" w:rsidRPr="00C709C6">
        <w:rPr>
          <w:color w:val="auto"/>
        </w:rPr>
      </w:r>
      <w:r w:rsidR="000C0AED" w:rsidRPr="00C709C6">
        <w:rPr>
          <w:color w:val="auto"/>
        </w:rPr>
        <w:fldChar w:fldCharType="separate"/>
      </w:r>
      <w:r w:rsidR="00DF49CD">
        <w:t xml:space="preserve">Figure </w:t>
      </w:r>
      <w:r w:rsidR="00DF49CD">
        <w:rPr>
          <w:noProof/>
        </w:rPr>
        <w:t>3.2</w:t>
      </w:r>
      <w:r w:rsidR="000C0AED" w:rsidRPr="00C709C6">
        <w:rPr>
          <w:color w:val="auto"/>
        </w:rPr>
        <w:fldChar w:fldCharType="end"/>
      </w:r>
      <w:r w:rsidR="000C0AED" w:rsidRPr="00C709C6">
        <w:rPr>
          <w:color w:val="auto"/>
        </w:rPr>
        <w:t>).</w:t>
      </w:r>
      <w:r w:rsidR="006A2200" w:rsidRPr="00C709C6">
        <w:rPr>
          <w:color w:val="auto"/>
        </w:rPr>
        <w:t xml:space="preserve"> The report will </w:t>
      </w:r>
      <w:r w:rsidRPr="00C709C6">
        <w:rPr>
          <w:color w:val="auto"/>
        </w:rPr>
        <w:t>describe the ecological outcomes</w:t>
      </w:r>
      <w:r w:rsidR="00B420B1" w:rsidRPr="00C709C6">
        <w:rPr>
          <w:color w:val="auto"/>
        </w:rPr>
        <w:t xml:space="preserve"> of environmental watering, with the pr</w:t>
      </w:r>
      <w:r w:rsidR="00C069A9" w:rsidRPr="00C709C6">
        <w:rPr>
          <w:color w:val="auto"/>
        </w:rPr>
        <w:t>i</w:t>
      </w:r>
      <w:r w:rsidR="00B420B1" w:rsidRPr="00C709C6">
        <w:rPr>
          <w:color w:val="auto"/>
        </w:rPr>
        <w:t>mary aim to evaluate the contribution</w:t>
      </w:r>
      <w:r w:rsidRPr="00C709C6">
        <w:rPr>
          <w:color w:val="auto"/>
        </w:rPr>
        <w:t xml:space="preserve"> of Commonwealth environmental</w:t>
      </w:r>
      <w:r w:rsidRPr="00536F50">
        <w:rPr>
          <w:color w:val="auto"/>
        </w:rPr>
        <w:t xml:space="preserve"> watering within the Lower Murray Selected Area. </w:t>
      </w:r>
      <w:r w:rsidR="00145029" w:rsidRPr="00536F50">
        <w:rPr>
          <w:color w:val="auto"/>
        </w:rPr>
        <w:t xml:space="preserve">However, </w:t>
      </w:r>
      <w:r w:rsidR="000C0AED" w:rsidRPr="00536F50">
        <w:rPr>
          <w:color w:val="auto"/>
        </w:rPr>
        <w:t xml:space="preserve">as </w:t>
      </w:r>
      <w:r w:rsidR="006414FD" w:rsidRPr="00536F50">
        <w:rPr>
          <w:color w:val="auto"/>
        </w:rPr>
        <w:t xml:space="preserve">Commonwealth environmental water </w:t>
      </w:r>
      <w:r w:rsidR="00536F50" w:rsidRPr="00536F50">
        <w:rPr>
          <w:color w:val="auto"/>
        </w:rPr>
        <w:t>is</w:t>
      </w:r>
      <w:r w:rsidR="006414FD" w:rsidRPr="00536F50">
        <w:rPr>
          <w:color w:val="auto"/>
        </w:rPr>
        <w:t xml:space="preserve"> often delivered in conjunction with other environmental water sources (</w:t>
      </w:r>
      <w:r w:rsidR="006414FD" w:rsidRPr="00536F50">
        <w:rPr>
          <w:rFonts w:eastAsiaTheme="majorEastAsia"/>
          <w:color w:val="auto"/>
        </w:rPr>
        <w:t xml:space="preserve">e.g. </w:t>
      </w:r>
      <w:r w:rsidR="002214B4" w:rsidRPr="00536F50">
        <w:rPr>
          <w:rFonts w:eastAsiaTheme="majorEastAsia"/>
          <w:color w:val="auto"/>
        </w:rPr>
        <w:t>TLM</w:t>
      </w:r>
      <w:r w:rsidR="006414FD" w:rsidRPr="00536F50">
        <w:rPr>
          <w:rFonts w:eastAsiaTheme="majorEastAsia"/>
          <w:color w:val="auto"/>
        </w:rPr>
        <w:t>, Victorian Environmental Water Holder)</w:t>
      </w:r>
      <w:r w:rsidR="00536F50" w:rsidRPr="00536F50">
        <w:rPr>
          <w:rFonts w:eastAsiaTheme="majorEastAsia"/>
          <w:color w:val="auto"/>
        </w:rPr>
        <w:t>,</w:t>
      </w:r>
      <w:r w:rsidR="006414FD" w:rsidRPr="00536F50">
        <w:rPr>
          <w:rFonts w:eastAsiaTheme="majorEastAsia"/>
          <w:color w:val="auto"/>
        </w:rPr>
        <w:t xml:space="preserve"> with river operations applied to achieve environmental benefits</w:t>
      </w:r>
      <w:r w:rsidR="000C0AED" w:rsidRPr="00536F50">
        <w:rPr>
          <w:rFonts w:eastAsiaTheme="majorEastAsia"/>
          <w:color w:val="auto"/>
        </w:rPr>
        <w:t>, t</w:t>
      </w:r>
      <w:r w:rsidR="006414FD" w:rsidRPr="00536F50">
        <w:rPr>
          <w:rFonts w:eastAsiaTheme="majorEastAsia"/>
          <w:color w:val="auto"/>
        </w:rPr>
        <w:t xml:space="preserve">he evaluation process </w:t>
      </w:r>
      <w:r w:rsidR="00884A74" w:rsidRPr="00536F50">
        <w:rPr>
          <w:rFonts w:eastAsiaTheme="majorEastAsia"/>
          <w:color w:val="auto"/>
        </w:rPr>
        <w:t xml:space="preserve">for the Lower Murray </w:t>
      </w:r>
      <w:r w:rsidR="006414FD" w:rsidRPr="00536F50">
        <w:rPr>
          <w:rFonts w:eastAsiaTheme="majorEastAsia"/>
          <w:color w:val="auto"/>
        </w:rPr>
        <w:t xml:space="preserve">will consider </w:t>
      </w:r>
      <w:r w:rsidR="00884A74" w:rsidRPr="00536F50">
        <w:rPr>
          <w:rFonts w:eastAsiaTheme="majorEastAsia"/>
          <w:color w:val="auto"/>
        </w:rPr>
        <w:t xml:space="preserve">the influence of </w:t>
      </w:r>
      <w:r w:rsidR="006414FD" w:rsidRPr="00536F50">
        <w:rPr>
          <w:rFonts w:eastAsiaTheme="majorEastAsia"/>
          <w:color w:val="auto"/>
        </w:rPr>
        <w:t xml:space="preserve">all environmental water, </w:t>
      </w:r>
      <w:r w:rsidR="00884A74" w:rsidRPr="00536F50">
        <w:rPr>
          <w:rFonts w:eastAsiaTheme="majorEastAsia"/>
          <w:color w:val="auto"/>
        </w:rPr>
        <w:t>and in some cases, the overall flow regime</w:t>
      </w:r>
      <w:r w:rsidR="000C0AED" w:rsidRPr="00536F50">
        <w:rPr>
          <w:rFonts w:eastAsiaTheme="majorEastAsia"/>
          <w:color w:val="auto"/>
        </w:rPr>
        <w:t xml:space="preserve">. This will </w:t>
      </w:r>
      <w:r w:rsidR="00884A74" w:rsidRPr="00536F50">
        <w:rPr>
          <w:rFonts w:eastAsiaTheme="majorEastAsia"/>
          <w:color w:val="auto"/>
        </w:rPr>
        <w:t>broaden</w:t>
      </w:r>
      <w:r w:rsidR="000C0AED" w:rsidRPr="00536F50">
        <w:rPr>
          <w:rFonts w:eastAsiaTheme="majorEastAsia"/>
          <w:color w:val="auto"/>
        </w:rPr>
        <w:t xml:space="preserve"> </w:t>
      </w:r>
      <w:r w:rsidR="000C0AED" w:rsidRPr="00F12772">
        <w:rPr>
          <w:rFonts w:eastAsiaTheme="majorEastAsia"/>
          <w:color w:val="auto"/>
        </w:rPr>
        <w:t>our</w:t>
      </w:r>
      <w:r w:rsidR="00884A74" w:rsidRPr="00F12772">
        <w:rPr>
          <w:rFonts w:eastAsiaTheme="majorEastAsia"/>
          <w:color w:val="auto"/>
        </w:rPr>
        <w:t xml:space="preserve"> learnings </w:t>
      </w:r>
      <w:r w:rsidR="000C0AED" w:rsidRPr="00F12772">
        <w:rPr>
          <w:rFonts w:eastAsiaTheme="majorEastAsia"/>
          <w:color w:val="auto"/>
        </w:rPr>
        <w:t xml:space="preserve">of ecological responses </w:t>
      </w:r>
      <w:r w:rsidR="00884A74" w:rsidRPr="00F12772">
        <w:rPr>
          <w:rFonts w:eastAsiaTheme="majorEastAsia"/>
          <w:color w:val="auto"/>
        </w:rPr>
        <w:t>to inform adaptive management of water use and river operations.</w:t>
      </w:r>
      <w:r w:rsidR="00A5214F" w:rsidRPr="00F12772">
        <w:rPr>
          <w:rFonts w:eastAsiaTheme="majorEastAsia"/>
          <w:color w:val="auto"/>
        </w:rPr>
        <w:t xml:space="preserve"> Furthermore, other management interventions </w:t>
      </w:r>
      <w:r w:rsidR="001963B1" w:rsidRPr="00F12772">
        <w:rPr>
          <w:rFonts w:eastAsiaTheme="majorEastAsia"/>
          <w:color w:val="auto"/>
        </w:rPr>
        <w:t xml:space="preserve">(e.g. weir pool manipulations, </w:t>
      </w:r>
      <w:r w:rsidR="005B4ED0" w:rsidRPr="00F12772">
        <w:rPr>
          <w:rFonts w:eastAsiaTheme="majorEastAsia"/>
          <w:color w:val="auto"/>
        </w:rPr>
        <w:t xml:space="preserve">regulated </w:t>
      </w:r>
      <w:r w:rsidR="001963B1" w:rsidRPr="00F12772">
        <w:rPr>
          <w:rFonts w:eastAsiaTheme="majorEastAsia"/>
          <w:color w:val="auto"/>
        </w:rPr>
        <w:t xml:space="preserve">floodplain inundations) </w:t>
      </w:r>
      <w:r w:rsidR="00A5214F" w:rsidRPr="00F12772">
        <w:rPr>
          <w:rFonts w:eastAsiaTheme="majorEastAsia"/>
          <w:color w:val="auto"/>
        </w:rPr>
        <w:t>that occurred within or upstream of the Lower Murray may also affect ecological responses in this region</w:t>
      </w:r>
      <w:r w:rsidR="001963B1" w:rsidRPr="00F12772">
        <w:rPr>
          <w:rFonts w:eastAsiaTheme="majorEastAsia"/>
          <w:color w:val="auto"/>
        </w:rPr>
        <w:t>. Potential effect of these events will be considered when evaluating the outcomes of environmental water</w:t>
      </w:r>
      <w:r w:rsidR="00054392" w:rsidRPr="00F12772">
        <w:rPr>
          <w:rFonts w:eastAsiaTheme="majorEastAsia"/>
          <w:color w:val="auto"/>
        </w:rPr>
        <w:t>ing</w:t>
      </w:r>
      <w:r w:rsidR="001963B1" w:rsidRPr="00F12772">
        <w:rPr>
          <w:rFonts w:eastAsiaTheme="majorEastAsia"/>
          <w:color w:val="auto"/>
        </w:rPr>
        <w:t xml:space="preserve">. Nevertheless, the MER Project is not designed to evaluate specific outcomes from </w:t>
      </w:r>
      <w:r w:rsidR="00054392" w:rsidRPr="00F12772">
        <w:rPr>
          <w:rFonts w:eastAsiaTheme="majorEastAsia"/>
          <w:color w:val="auto"/>
        </w:rPr>
        <w:t>such</w:t>
      </w:r>
      <w:r w:rsidR="001963B1" w:rsidRPr="00F12772">
        <w:rPr>
          <w:rFonts w:eastAsiaTheme="majorEastAsia"/>
          <w:color w:val="auto"/>
        </w:rPr>
        <w:t xml:space="preserve"> river management actions.</w:t>
      </w:r>
      <w:r w:rsidR="001963B1">
        <w:rPr>
          <w:rFonts w:eastAsiaTheme="majorEastAsia"/>
          <w:color w:val="auto"/>
        </w:rPr>
        <w:t xml:space="preserve">    </w:t>
      </w:r>
      <w:r w:rsidR="00A5214F">
        <w:rPr>
          <w:rFonts w:eastAsiaTheme="majorEastAsia"/>
          <w:color w:val="auto"/>
        </w:rPr>
        <w:t xml:space="preserve"> </w:t>
      </w:r>
    </w:p>
    <w:p w14:paraId="1A176819" w14:textId="77777777" w:rsidR="00A5214F" w:rsidRDefault="00A5214F" w:rsidP="00A5214F">
      <w:pPr>
        <w:pStyle w:val="ListBullet"/>
        <w:numPr>
          <w:ilvl w:val="0"/>
          <w:numId w:val="0"/>
        </w:numPr>
        <w:rPr>
          <w:rFonts w:eastAsiaTheme="majorEastAsia"/>
          <w:color w:val="auto"/>
        </w:rPr>
      </w:pPr>
    </w:p>
    <w:p w14:paraId="59210205" w14:textId="7B5C56C6" w:rsidR="006414FD" w:rsidRPr="00A5214F" w:rsidRDefault="00A5214F" w:rsidP="00A5214F">
      <w:pPr>
        <w:pStyle w:val="ListBullet"/>
        <w:numPr>
          <w:ilvl w:val="0"/>
          <w:numId w:val="0"/>
        </w:numPr>
        <w:rPr>
          <w:rFonts w:eastAsiaTheme="majorEastAsia"/>
          <w:color w:val="auto"/>
        </w:rPr>
      </w:pPr>
      <w:r w:rsidRPr="00A5214F">
        <w:rPr>
          <w:rFonts w:eastAsiaTheme="majorEastAsia"/>
          <w:color w:val="auto"/>
        </w:rPr>
        <w:t>Concurrently with environmental water deliveries described above, there were other management interventions that occurred within or upstream of the LMR, such as manipulations of Weir Pools 2, 5, 6, 7, 8, 9 and 15 (refer to Appendix B for more information). These events may also have affected ecological responses in the LMR.</w:t>
      </w:r>
    </w:p>
    <w:p w14:paraId="4646C05B" w14:textId="131DC21F" w:rsidR="006075BC" w:rsidRDefault="006075BC" w:rsidP="006075BC">
      <w:r w:rsidRPr="00536F50">
        <w:rPr>
          <w:color w:val="auto"/>
        </w:rPr>
        <w:t>In annual reports, the evaluation questions for the Lower Murray, including both CEWO and DEW questions (</w:t>
      </w:r>
      <w:r w:rsidR="005128E6" w:rsidRPr="00536F50">
        <w:rPr>
          <w:color w:val="auto"/>
        </w:rPr>
        <w:fldChar w:fldCharType="begin"/>
      </w:r>
      <w:r w:rsidR="005128E6" w:rsidRPr="00536F50">
        <w:rPr>
          <w:color w:val="auto"/>
        </w:rPr>
        <w:instrText xml:space="preserve"> REF _Ref10106020 \h </w:instrText>
      </w:r>
      <w:r w:rsidR="005128E6" w:rsidRPr="00536F50">
        <w:rPr>
          <w:color w:val="auto"/>
        </w:rPr>
      </w:r>
      <w:r w:rsidR="005128E6" w:rsidRPr="00536F50">
        <w:rPr>
          <w:color w:val="auto"/>
        </w:rPr>
        <w:fldChar w:fldCharType="separate"/>
      </w:r>
      <w:r w:rsidR="00DF49CD">
        <w:t xml:space="preserve">Table </w:t>
      </w:r>
      <w:r w:rsidR="00DF49CD">
        <w:rPr>
          <w:noProof/>
        </w:rPr>
        <w:t>4</w:t>
      </w:r>
      <w:r w:rsidR="00DF49CD">
        <w:t>.</w:t>
      </w:r>
      <w:r w:rsidR="00DF49CD">
        <w:rPr>
          <w:noProof/>
        </w:rPr>
        <w:t>1</w:t>
      </w:r>
      <w:r w:rsidR="005128E6" w:rsidRPr="00536F50">
        <w:rPr>
          <w:color w:val="auto"/>
        </w:rPr>
        <w:fldChar w:fldCharType="end"/>
      </w:r>
      <w:r w:rsidR="005128E6" w:rsidRPr="00536F50">
        <w:rPr>
          <w:color w:val="auto"/>
        </w:rPr>
        <w:t xml:space="preserve"> and Appendix </w:t>
      </w:r>
      <w:r w:rsidR="003C5301" w:rsidRPr="00536F50">
        <w:rPr>
          <w:color w:val="auto"/>
        </w:rPr>
        <w:t>D</w:t>
      </w:r>
      <w:r w:rsidRPr="00536F50">
        <w:rPr>
          <w:color w:val="auto"/>
        </w:rPr>
        <w:t xml:space="preserve">) </w:t>
      </w:r>
      <w:r w:rsidR="004C4837" w:rsidRPr="00536F50">
        <w:rPr>
          <w:color w:val="auto"/>
        </w:rPr>
        <w:t xml:space="preserve">will </w:t>
      </w:r>
      <w:r w:rsidR="004C4837" w:rsidRPr="00C67ED2">
        <w:t xml:space="preserve">be </w:t>
      </w:r>
      <w:r w:rsidR="002C774D">
        <w:t>addressed</w:t>
      </w:r>
      <w:r w:rsidR="004C4837">
        <w:t xml:space="preserve">, </w:t>
      </w:r>
      <w:r>
        <w:t>along with key findings</w:t>
      </w:r>
      <w:r w:rsidRPr="00C67ED2">
        <w:t xml:space="preserve"> </w:t>
      </w:r>
      <w:r>
        <w:t>summ</w:t>
      </w:r>
      <w:r w:rsidR="005128E6">
        <w:t>a</w:t>
      </w:r>
      <w:r>
        <w:t xml:space="preserve">rised in </w:t>
      </w:r>
      <w:r w:rsidRPr="00C67ED2">
        <w:t>simple evaluation tables</w:t>
      </w:r>
      <w:r>
        <w:t xml:space="preserve"> (see Executive Summary Table 1.1, Ye </w:t>
      </w:r>
      <w:r w:rsidRPr="00CA2057">
        <w:rPr>
          <w:i/>
        </w:rPr>
        <w:t>et al.</w:t>
      </w:r>
      <w:r>
        <w:t xml:space="preserve"> 2016a). The findings will be disseminated to CEWO and water managers in this Selected Area to inform</w:t>
      </w:r>
      <w:r w:rsidRPr="00C67ED2">
        <w:t xml:space="preserve"> the adaptive management </w:t>
      </w:r>
      <w:r>
        <w:t>of C</w:t>
      </w:r>
      <w:r w:rsidRPr="00C67ED2">
        <w:t>ommonwealth environmental water</w:t>
      </w:r>
      <w:r w:rsidR="00BE64BD" w:rsidRPr="00BE64BD">
        <w:t>, and made publically available</w:t>
      </w:r>
      <w:r>
        <w:t xml:space="preserve">. Ongoing engagement of key stakeholders through the Selected Area Working Group assists with the review of the MER Project in the </w:t>
      </w:r>
      <w:r w:rsidRPr="000F53E7">
        <w:t>Lower Murray</w:t>
      </w:r>
      <w:r>
        <w:t>, and knowledge/information exchange to improve our</w:t>
      </w:r>
      <w:r w:rsidRPr="00C67ED2">
        <w:t xml:space="preserve"> understanding of </w:t>
      </w:r>
      <w:r>
        <w:t>ecosystem response</w:t>
      </w:r>
      <w:r w:rsidRPr="00C67ED2">
        <w:t xml:space="preserve"> to environmental water</w:t>
      </w:r>
      <w:r>
        <w:t>ing</w:t>
      </w:r>
      <w:r w:rsidRPr="00C67ED2">
        <w:t xml:space="preserve"> within the </w:t>
      </w:r>
      <w:r>
        <w:t>MDB</w:t>
      </w:r>
      <w:r w:rsidRPr="00C67ED2">
        <w:t xml:space="preserve">. </w:t>
      </w:r>
    </w:p>
    <w:p w14:paraId="23FF4535" w14:textId="77777777" w:rsidR="00886E4D" w:rsidRPr="00C67ED2" w:rsidRDefault="00886E4D" w:rsidP="00886E4D">
      <w:pPr>
        <w:sectPr w:rsidR="00886E4D" w:rsidRPr="00C67ED2" w:rsidSect="003F6444">
          <w:pgSz w:w="11900" w:h="16840"/>
          <w:pgMar w:top="1440" w:right="1440" w:bottom="1440" w:left="1440" w:header="708" w:footer="708" w:gutter="0"/>
          <w:cols w:space="708"/>
          <w:docGrid w:linePitch="360"/>
        </w:sectPr>
      </w:pPr>
    </w:p>
    <w:p w14:paraId="130ED594" w14:textId="73FA2707" w:rsidR="00886E4D" w:rsidRPr="00C67ED2" w:rsidRDefault="00CD468F" w:rsidP="00CD468F">
      <w:pPr>
        <w:pStyle w:val="Caption"/>
      </w:pPr>
      <w:bookmarkStart w:id="64" w:name="_Ref10106020"/>
      <w:bookmarkStart w:id="65" w:name="_Ref381169964"/>
      <w:bookmarkStart w:id="66" w:name="_Toc381380593"/>
      <w:bookmarkStart w:id="67" w:name="_Toc384985608"/>
      <w:bookmarkStart w:id="68" w:name="_Toc12630247"/>
      <w:r>
        <w:lastRenderedPageBreak/>
        <w:t xml:space="preserve">Table </w:t>
      </w:r>
      <w:r w:rsidR="00A8252A">
        <w:rPr>
          <w:noProof/>
        </w:rPr>
        <w:fldChar w:fldCharType="begin"/>
      </w:r>
      <w:r w:rsidR="00A8252A">
        <w:rPr>
          <w:noProof/>
        </w:rPr>
        <w:instrText xml:space="preserve"> STYLEREF 1 \s </w:instrText>
      </w:r>
      <w:r w:rsidR="00A8252A">
        <w:rPr>
          <w:noProof/>
        </w:rPr>
        <w:fldChar w:fldCharType="separate"/>
      </w:r>
      <w:r w:rsidR="00DF49CD">
        <w:rPr>
          <w:noProof/>
        </w:rPr>
        <w:t>4</w:t>
      </w:r>
      <w:r w:rsidR="00A8252A">
        <w:rPr>
          <w:noProof/>
        </w:rPr>
        <w:fldChar w:fldCharType="end"/>
      </w:r>
      <w:r w:rsidR="00F359A2">
        <w:t>.</w:t>
      </w:r>
      <w:r w:rsidR="00A8252A">
        <w:rPr>
          <w:noProof/>
        </w:rPr>
        <w:fldChar w:fldCharType="begin"/>
      </w:r>
      <w:r w:rsidR="00A8252A">
        <w:rPr>
          <w:noProof/>
        </w:rPr>
        <w:instrText xml:space="preserve"> SEQ Table \* ARABIC \s 1 </w:instrText>
      </w:r>
      <w:r w:rsidR="00A8252A">
        <w:rPr>
          <w:noProof/>
        </w:rPr>
        <w:fldChar w:fldCharType="separate"/>
      </w:r>
      <w:r w:rsidR="00DF49CD">
        <w:rPr>
          <w:noProof/>
        </w:rPr>
        <w:t>1</w:t>
      </w:r>
      <w:r w:rsidR="00A8252A">
        <w:rPr>
          <w:noProof/>
        </w:rPr>
        <w:fldChar w:fldCharType="end"/>
      </w:r>
      <w:bookmarkEnd w:id="64"/>
      <w:r>
        <w:t>.</w:t>
      </w:r>
      <w:r w:rsidR="00886E4D" w:rsidRPr="00C67ED2">
        <w:t xml:space="preserve"> </w:t>
      </w:r>
      <w:bookmarkEnd w:id="65"/>
      <w:bookmarkEnd w:id="66"/>
      <w:r w:rsidR="00E7088A">
        <w:t xml:space="preserve">Indicators, </w:t>
      </w:r>
      <w:r w:rsidR="002A3663">
        <w:t xml:space="preserve">monitoring </w:t>
      </w:r>
      <w:r w:rsidR="00E7088A">
        <w:t xml:space="preserve">objectives and </w:t>
      </w:r>
      <w:r w:rsidR="00886E4D">
        <w:t xml:space="preserve">CEWO </w:t>
      </w:r>
      <w:r w:rsidR="00F91D67">
        <w:t xml:space="preserve">key </w:t>
      </w:r>
      <w:r w:rsidR="00886E4D">
        <w:t xml:space="preserve">evaluation questions for the </w:t>
      </w:r>
      <w:r w:rsidR="00886E4D" w:rsidRPr="000F53E7">
        <w:t>Lower Murray</w:t>
      </w:r>
      <w:r w:rsidR="00886E4D">
        <w:t xml:space="preserve"> S</w:t>
      </w:r>
      <w:r w:rsidR="00886E4D" w:rsidRPr="00C67ED2">
        <w:t xml:space="preserve">elected </w:t>
      </w:r>
      <w:r w:rsidR="00886E4D">
        <w:t>A</w:t>
      </w:r>
      <w:r w:rsidR="00886E4D" w:rsidRPr="00C67ED2">
        <w:t xml:space="preserve">rea. </w:t>
      </w:r>
      <w:bookmarkEnd w:id="67"/>
      <w:r w:rsidR="00F91D67">
        <w:t>Evaluation</w:t>
      </w:r>
      <w:r w:rsidR="00886E4D">
        <w:t xml:space="preserve"> questions are s</w:t>
      </w:r>
      <w:r w:rsidR="00886E4D" w:rsidRPr="00924566">
        <w:t>ourced and/or adapted from</w:t>
      </w:r>
      <w:r w:rsidR="00886E4D">
        <w:t xml:space="preserve"> Gawne </w:t>
      </w:r>
      <w:r w:rsidR="00886E4D" w:rsidRPr="00924566">
        <w:rPr>
          <w:i/>
        </w:rPr>
        <w:t xml:space="preserve">et al. </w:t>
      </w:r>
      <w:r w:rsidR="00886E4D">
        <w:t>(2014).</w:t>
      </w:r>
      <w:r w:rsidR="00F91D67">
        <w:t xml:space="preserve"> Refer </w:t>
      </w:r>
      <w:r w:rsidR="00F91D67" w:rsidRPr="00014D8B">
        <w:t xml:space="preserve">to Appendix </w:t>
      </w:r>
      <w:r w:rsidR="003C5301">
        <w:t>D</w:t>
      </w:r>
      <w:r w:rsidR="00F91D67" w:rsidRPr="00014D8B">
        <w:t xml:space="preserve"> for</w:t>
      </w:r>
      <w:r w:rsidR="00F91D67">
        <w:t xml:space="preserve"> DEW evaluation questions, which serve as additional questions.</w:t>
      </w:r>
      <w:r w:rsidR="00297FFE">
        <w:t xml:space="preserve"> CEW = Commonwealth environmental water.</w:t>
      </w:r>
      <w:r w:rsidR="00E970A3">
        <w:t xml:space="preserve"> LTWP = </w:t>
      </w:r>
      <w:r w:rsidR="00055CAB">
        <w:t xml:space="preserve">South Australian Murray River </w:t>
      </w:r>
      <w:r w:rsidR="00E970A3">
        <w:t>Long-Term Watering Plan.</w:t>
      </w:r>
      <w:bookmarkEnd w:id="68"/>
      <w:r w:rsidR="00E970A3">
        <w:t xml:space="preserve"> </w:t>
      </w:r>
    </w:p>
    <w:tbl>
      <w:tblPr>
        <w:tblW w:w="4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6"/>
        <w:gridCol w:w="6378"/>
        <w:gridCol w:w="2834"/>
        <w:gridCol w:w="2716"/>
      </w:tblGrid>
      <w:tr w:rsidR="00BE64BD" w:rsidRPr="009C590E" w14:paraId="650C2F44" w14:textId="77777777" w:rsidTr="00266764">
        <w:trPr>
          <w:cantSplit/>
          <w:tblHeader/>
        </w:trPr>
        <w:tc>
          <w:tcPr>
            <w:tcW w:w="577" w:type="pct"/>
            <w:shd w:val="clear" w:color="auto" w:fill="BFBFBF" w:themeFill="background1" w:themeFillShade="BF"/>
          </w:tcPr>
          <w:p w14:paraId="78F7173A" w14:textId="77777777" w:rsidR="00BE64BD" w:rsidRPr="009C590E" w:rsidRDefault="00BE64BD" w:rsidP="00BE64BD">
            <w:pPr>
              <w:pStyle w:val="TableHeading"/>
            </w:pPr>
            <w:r w:rsidRPr="009C590E">
              <w:t>Indicator</w:t>
            </w:r>
          </w:p>
        </w:tc>
        <w:tc>
          <w:tcPr>
            <w:tcW w:w="2365" w:type="pct"/>
            <w:shd w:val="clear" w:color="auto" w:fill="BFBFBF" w:themeFill="background1" w:themeFillShade="BF"/>
          </w:tcPr>
          <w:p w14:paraId="2CA88024" w14:textId="6455DF73" w:rsidR="00BE64BD" w:rsidRDefault="00BE64BD" w:rsidP="00BE64BD">
            <w:pPr>
              <w:pStyle w:val="TableHeading"/>
            </w:pPr>
            <w:r>
              <w:t>Objectives</w:t>
            </w:r>
          </w:p>
        </w:tc>
        <w:tc>
          <w:tcPr>
            <w:tcW w:w="1051" w:type="pct"/>
            <w:shd w:val="clear" w:color="auto" w:fill="BFBFBF" w:themeFill="background1" w:themeFillShade="BF"/>
          </w:tcPr>
          <w:p w14:paraId="3A43066E" w14:textId="149007F2" w:rsidR="00BE64BD" w:rsidRPr="009C590E" w:rsidRDefault="00BE64BD" w:rsidP="00BE64BD">
            <w:pPr>
              <w:pStyle w:val="TableHeading"/>
            </w:pPr>
            <w:r>
              <w:t>E</w:t>
            </w:r>
            <w:r w:rsidRPr="009C590E">
              <w:t>valuation question</w:t>
            </w:r>
            <w:r>
              <w:t>s for short-term responses</w:t>
            </w:r>
          </w:p>
        </w:tc>
        <w:tc>
          <w:tcPr>
            <w:tcW w:w="1007" w:type="pct"/>
            <w:shd w:val="clear" w:color="auto" w:fill="BFBFBF" w:themeFill="background1" w:themeFillShade="BF"/>
          </w:tcPr>
          <w:p w14:paraId="01517A3D" w14:textId="75FDAEE8" w:rsidR="00BE64BD" w:rsidRPr="009C590E" w:rsidRDefault="00BE64BD" w:rsidP="00BE64BD">
            <w:pPr>
              <w:pStyle w:val="TableHeading"/>
            </w:pPr>
            <w:r>
              <w:t>E</w:t>
            </w:r>
            <w:r w:rsidRPr="009C590E">
              <w:t>valuation question</w:t>
            </w:r>
            <w:r>
              <w:t>s for long-term outcomes</w:t>
            </w:r>
          </w:p>
        </w:tc>
      </w:tr>
      <w:tr w:rsidR="002470CB" w:rsidRPr="009C590E" w14:paraId="588E5C60" w14:textId="77777777" w:rsidTr="002470CB">
        <w:trPr>
          <w:cantSplit/>
        </w:trPr>
        <w:tc>
          <w:tcPr>
            <w:tcW w:w="5000" w:type="pct"/>
            <w:gridSpan w:val="4"/>
            <w:shd w:val="clear" w:color="auto" w:fill="auto"/>
          </w:tcPr>
          <w:p w14:paraId="28A18C41" w14:textId="4576D817" w:rsidR="002470CB" w:rsidRPr="00B30541" w:rsidRDefault="00297FFE" w:rsidP="00F335C7">
            <w:pPr>
              <w:pStyle w:val="TableHeading"/>
              <w:rPr>
                <w:sz w:val="18"/>
                <w:szCs w:val="18"/>
              </w:rPr>
            </w:pPr>
            <w:r>
              <w:rPr>
                <w:sz w:val="18"/>
                <w:szCs w:val="18"/>
              </w:rPr>
              <w:t>C</w:t>
            </w:r>
            <w:r w:rsidR="00967AE2">
              <w:rPr>
                <w:sz w:val="18"/>
                <w:szCs w:val="18"/>
              </w:rPr>
              <w:t>ategory 1</w:t>
            </w:r>
          </w:p>
        </w:tc>
      </w:tr>
      <w:tr w:rsidR="006C60B5" w:rsidRPr="000D3251" w14:paraId="622B9E72" w14:textId="77777777" w:rsidTr="006C60B5">
        <w:trPr>
          <w:cantSplit/>
        </w:trPr>
        <w:tc>
          <w:tcPr>
            <w:tcW w:w="577" w:type="pct"/>
          </w:tcPr>
          <w:p w14:paraId="6CA3E4FF" w14:textId="1DFA47FC" w:rsidR="006C60B5" w:rsidRPr="00B30541" w:rsidRDefault="006C60B5" w:rsidP="00107F77">
            <w:pPr>
              <w:pStyle w:val="TableText"/>
              <w:rPr>
                <w:sz w:val="18"/>
                <w:szCs w:val="18"/>
              </w:rPr>
            </w:pPr>
            <w:r w:rsidRPr="00B30541">
              <w:rPr>
                <w:sz w:val="18"/>
                <w:szCs w:val="18"/>
              </w:rPr>
              <w:t>Hydrology (Channel)</w:t>
            </w:r>
          </w:p>
        </w:tc>
        <w:tc>
          <w:tcPr>
            <w:tcW w:w="2365" w:type="pct"/>
          </w:tcPr>
          <w:p w14:paraId="1D63A873" w14:textId="0B1F327F" w:rsidR="006C60B5" w:rsidRPr="00B30541" w:rsidRDefault="006C60B5" w:rsidP="00107F77">
            <w:pPr>
              <w:pStyle w:val="TableText"/>
              <w:rPr>
                <w:kern w:val="0"/>
                <w:sz w:val="18"/>
                <w:szCs w:val="18"/>
              </w:rPr>
            </w:pPr>
            <w:r w:rsidRPr="00B30541">
              <w:rPr>
                <w:sz w:val="18"/>
                <w:szCs w:val="18"/>
              </w:rPr>
              <w:t xml:space="preserve">• </w:t>
            </w:r>
            <w:r w:rsidRPr="00B30541">
              <w:rPr>
                <w:kern w:val="0"/>
                <w:sz w:val="18"/>
                <w:szCs w:val="18"/>
              </w:rPr>
              <w:t>Provide discharge and water level data to inform other indicators.</w:t>
            </w:r>
          </w:p>
        </w:tc>
        <w:tc>
          <w:tcPr>
            <w:tcW w:w="2058" w:type="pct"/>
            <w:gridSpan w:val="2"/>
            <w:shd w:val="clear" w:color="auto" w:fill="auto"/>
          </w:tcPr>
          <w:p w14:paraId="2FAF1D7F" w14:textId="77777777" w:rsidR="006C60B5" w:rsidRDefault="006C60B5" w:rsidP="006C60B5">
            <w:pPr>
              <w:pStyle w:val="TableText"/>
              <w:rPr>
                <w:kern w:val="0"/>
                <w:sz w:val="18"/>
                <w:szCs w:val="18"/>
              </w:rPr>
            </w:pPr>
            <w:r w:rsidRPr="006C60B5">
              <w:rPr>
                <w:kern w:val="0"/>
                <w:sz w:val="18"/>
                <w:szCs w:val="18"/>
              </w:rPr>
              <w:t>This indicator does not directly address specific evaluation questions but is important, providing fundamental information for analysis and evaluation of monitoring outcomes against hydrological conditions and environmental watering for all indicators.</w:t>
            </w:r>
          </w:p>
          <w:p w14:paraId="33E51BF6" w14:textId="6B8F27F2" w:rsidR="006C60B5" w:rsidRPr="00B30541" w:rsidRDefault="006C60B5" w:rsidP="00107F77">
            <w:pPr>
              <w:pStyle w:val="TableText"/>
              <w:rPr>
                <w:sz w:val="18"/>
                <w:szCs w:val="18"/>
              </w:rPr>
            </w:pPr>
          </w:p>
        </w:tc>
      </w:tr>
      <w:tr w:rsidR="002470CB" w:rsidRPr="00FF29FA" w14:paraId="13FB959B" w14:textId="77777777" w:rsidTr="00266764">
        <w:trPr>
          <w:cantSplit/>
        </w:trPr>
        <w:tc>
          <w:tcPr>
            <w:tcW w:w="577" w:type="pct"/>
          </w:tcPr>
          <w:p w14:paraId="5DD56039" w14:textId="1486D5F6" w:rsidR="002470CB" w:rsidRPr="00B30541" w:rsidRDefault="0021411A" w:rsidP="0021411A">
            <w:pPr>
              <w:pStyle w:val="TableText"/>
              <w:rPr>
                <w:sz w:val="18"/>
                <w:szCs w:val="18"/>
              </w:rPr>
            </w:pPr>
            <w:r w:rsidRPr="00B30541">
              <w:rPr>
                <w:sz w:val="18"/>
                <w:szCs w:val="18"/>
              </w:rPr>
              <w:t>Stream M</w:t>
            </w:r>
            <w:r w:rsidR="002470CB" w:rsidRPr="00B30541">
              <w:rPr>
                <w:sz w:val="18"/>
                <w:szCs w:val="18"/>
              </w:rPr>
              <w:t xml:space="preserve">etabolism and </w:t>
            </w:r>
            <w:r w:rsidRPr="00B30541">
              <w:rPr>
                <w:sz w:val="18"/>
                <w:szCs w:val="18"/>
              </w:rPr>
              <w:t>Water Q</w:t>
            </w:r>
            <w:r w:rsidR="002470CB" w:rsidRPr="00B30541">
              <w:rPr>
                <w:sz w:val="18"/>
                <w:szCs w:val="18"/>
              </w:rPr>
              <w:t>uality</w:t>
            </w:r>
          </w:p>
        </w:tc>
        <w:tc>
          <w:tcPr>
            <w:tcW w:w="2365" w:type="pct"/>
          </w:tcPr>
          <w:p w14:paraId="67A58887" w14:textId="7D96C550" w:rsidR="002470CB" w:rsidRPr="00B30541" w:rsidRDefault="006B63E6" w:rsidP="006B63E6">
            <w:pPr>
              <w:pStyle w:val="TableText"/>
              <w:rPr>
                <w:sz w:val="18"/>
                <w:szCs w:val="18"/>
              </w:rPr>
            </w:pPr>
            <w:r w:rsidRPr="00B30541">
              <w:rPr>
                <w:sz w:val="18"/>
                <w:szCs w:val="18"/>
              </w:rPr>
              <w:t xml:space="preserve">• </w:t>
            </w:r>
            <w:r w:rsidR="002470CB" w:rsidRPr="00B30541">
              <w:rPr>
                <w:sz w:val="18"/>
                <w:szCs w:val="18"/>
              </w:rPr>
              <w:t xml:space="preserve">Assess how environmental water influences </w:t>
            </w:r>
            <w:r w:rsidRPr="00B30541">
              <w:rPr>
                <w:sz w:val="18"/>
                <w:szCs w:val="18"/>
              </w:rPr>
              <w:t xml:space="preserve">water quality, </w:t>
            </w:r>
            <w:r w:rsidR="002470CB" w:rsidRPr="00B30541">
              <w:rPr>
                <w:sz w:val="18"/>
                <w:szCs w:val="18"/>
              </w:rPr>
              <w:t>primary production and ecosystem respiration in the river channel.</w:t>
            </w:r>
          </w:p>
        </w:tc>
        <w:tc>
          <w:tcPr>
            <w:tcW w:w="1051" w:type="pct"/>
            <w:shd w:val="clear" w:color="auto" w:fill="auto"/>
          </w:tcPr>
          <w:p w14:paraId="3DBCADA8" w14:textId="77777777" w:rsidR="00053163" w:rsidRPr="00B30541" w:rsidRDefault="002470CB" w:rsidP="00FF29FA">
            <w:pPr>
              <w:pStyle w:val="TableText"/>
              <w:rPr>
                <w:sz w:val="18"/>
                <w:szCs w:val="18"/>
              </w:rPr>
            </w:pPr>
            <w:r w:rsidRPr="00B30541">
              <w:rPr>
                <w:sz w:val="18"/>
                <w:szCs w:val="18"/>
              </w:rPr>
              <w:t>What did CEW contribute to</w:t>
            </w:r>
            <w:r w:rsidR="00053163" w:rsidRPr="00B30541">
              <w:rPr>
                <w:sz w:val="18"/>
                <w:szCs w:val="18"/>
              </w:rPr>
              <w:t>:</w:t>
            </w:r>
            <w:r w:rsidRPr="00B30541">
              <w:rPr>
                <w:sz w:val="18"/>
                <w:szCs w:val="18"/>
              </w:rPr>
              <w:t xml:space="preserve"> </w:t>
            </w:r>
          </w:p>
          <w:p w14:paraId="27A40657" w14:textId="655D9D51" w:rsidR="002470CB" w:rsidRPr="00B30541" w:rsidRDefault="00053163" w:rsidP="00053163">
            <w:pPr>
              <w:pStyle w:val="dotpoints"/>
              <w:numPr>
                <w:ilvl w:val="0"/>
                <w:numId w:val="0"/>
              </w:numPr>
              <w:ind w:left="57"/>
              <w:rPr>
                <w:sz w:val="18"/>
                <w:szCs w:val="18"/>
              </w:rPr>
            </w:pPr>
            <w:r w:rsidRPr="00B30541">
              <w:rPr>
                <w:sz w:val="18"/>
                <w:szCs w:val="18"/>
              </w:rPr>
              <w:t xml:space="preserve">• </w:t>
            </w:r>
            <w:r w:rsidR="002470CB" w:rsidRPr="00B30541">
              <w:rPr>
                <w:sz w:val="18"/>
                <w:szCs w:val="18"/>
              </w:rPr>
              <w:t>patterns and rates of decomposition?</w:t>
            </w:r>
          </w:p>
          <w:p w14:paraId="311864B2" w14:textId="5369104E" w:rsidR="002470CB" w:rsidRPr="00B30541" w:rsidRDefault="00053163" w:rsidP="00053163">
            <w:pPr>
              <w:pStyle w:val="dotpoints"/>
              <w:numPr>
                <w:ilvl w:val="0"/>
                <w:numId w:val="0"/>
              </w:numPr>
              <w:ind w:left="57"/>
              <w:rPr>
                <w:sz w:val="18"/>
                <w:szCs w:val="18"/>
                <w:lang w:val="en-US"/>
              </w:rPr>
            </w:pPr>
            <w:r w:rsidRPr="00B30541">
              <w:rPr>
                <w:sz w:val="18"/>
                <w:szCs w:val="18"/>
              </w:rPr>
              <w:t xml:space="preserve">• </w:t>
            </w:r>
            <w:r w:rsidR="002470CB" w:rsidRPr="00B30541">
              <w:rPr>
                <w:sz w:val="18"/>
                <w:szCs w:val="18"/>
              </w:rPr>
              <w:t>patterns and rates of primary productivity?</w:t>
            </w:r>
            <w:r w:rsidR="002470CB" w:rsidRPr="00B30541">
              <w:rPr>
                <w:sz w:val="18"/>
                <w:szCs w:val="18"/>
                <w:lang w:val="en-US"/>
              </w:rPr>
              <w:t xml:space="preserve"> </w:t>
            </w:r>
          </w:p>
          <w:p w14:paraId="7FE75DB4" w14:textId="00A35F0D" w:rsidR="002470CB" w:rsidRPr="00B30541" w:rsidRDefault="00053163" w:rsidP="00053163">
            <w:pPr>
              <w:pStyle w:val="dotpoints"/>
              <w:numPr>
                <w:ilvl w:val="0"/>
                <w:numId w:val="0"/>
              </w:numPr>
              <w:ind w:left="57"/>
              <w:rPr>
                <w:sz w:val="18"/>
                <w:szCs w:val="18"/>
              </w:rPr>
            </w:pPr>
            <w:r w:rsidRPr="00B30541">
              <w:rPr>
                <w:sz w:val="18"/>
                <w:szCs w:val="18"/>
              </w:rPr>
              <w:t xml:space="preserve">• </w:t>
            </w:r>
            <w:r w:rsidR="002470CB" w:rsidRPr="00B30541">
              <w:rPr>
                <w:sz w:val="18"/>
                <w:szCs w:val="18"/>
              </w:rPr>
              <w:t>dissolved oxygen levels?</w:t>
            </w:r>
          </w:p>
          <w:p w14:paraId="5DD948BE" w14:textId="1682199E" w:rsidR="002470CB" w:rsidRPr="00B30541" w:rsidRDefault="00053163" w:rsidP="00053163">
            <w:pPr>
              <w:pStyle w:val="dotpoints"/>
              <w:numPr>
                <w:ilvl w:val="0"/>
                <w:numId w:val="0"/>
              </w:numPr>
              <w:ind w:left="57"/>
              <w:rPr>
                <w:kern w:val="0"/>
                <w:sz w:val="18"/>
                <w:szCs w:val="18"/>
              </w:rPr>
            </w:pPr>
            <w:r w:rsidRPr="00B30541">
              <w:rPr>
                <w:sz w:val="18"/>
                <w:szCs w:val="18"/>
              </w:rPr>
              <w:t xml:space="preserve">• </w:t>
            </w:r>
            <w:r w:rsidR="002470CB" w:rsidRPr="00B30541">
              <w:rPr>
                <w:sz w:val="18"/>
                <w:szCs w:val="18"/>
              </w:rPr>
              <w:t>water quality?</w:t>
            </w:r>
          </w:p>
        </w:tc>
        <w:tc>
          <w:tcPr>
            <w:tcW w:w="1007" w:type="pct"/>
            <w:shd w:val="clear" w:color="auto" w:fill="auto"/>
          </w:tcPr>
          <w:p w14:paraId="75B385CE" w14:textId="77777777" w:rsidR="00053163" w:rsidRPr="00B30541" w:rsidRDefault="00053163" w:rsidP="00053163">
            <w:pPr>
              <w:pStyle w:val="TableText"/>
              <w:rPr>
                <w:sz w:val="18"/>
                <w:szCs w:val="18"/>
              </w:rPr>
            </w:pPr>
            <w:r w:rsidRPr="00B30541">
              <w:rPr>
                <w:sz w:val="18"/>
                <w:szCs w:val="18"/>
              </w:rPr>
              <w:t xml:space="preserve">What did CEW contribute to: </w:t>
            </w:r>
          </w:p>
          <w:p w14:paraId="03211C43" w14:textId="77777777" w:rsidR="00053163" w:rsidRPr="00B30541" w:rsidRDefault="00053163" w:rsidP="00053163">
            <w:pPr>
              <w:pStyle w:val="dotpoints"/>
              <w:numPr>
                <w:ilvl w:val="0"/>
                <w:numId w:val="0"/>
              </w:numPr>
              <w:ind w:left="57"/>
              <w:rPr>
                <w:sz w:val="18"/>
                <w:szCs w:val="18"/>
              </w:rPr>
            </w:pPr>
            <w:r w:rsidRPr="00B30541">
              <w:rPr>
                <w:sz w:val="18"/>
                <w:szCs w:val="18"/>
              </w:rPr>
              <w:t>• patterns and rates of decomposition?</w:t>
            </w:r>
          </w:p>
          <w:p w14:paraId="2845E386" w14:textId="77777777" w:rsidR="00053163" w:rsidRPr="00B30541" w:rsidRDefault="00053163" w:rsidP="00053163">
            <w:pPr>
              <w:pStyle w:val="dotpoints"/>
              <w:numPr>
                <w:ilvl w:val="0"/>
                <w:numId w:val="0"/>
              </w:numPr>
              <w:ind w:left="57"/>
              <w:rPr>
                <w:sz w:val="18"/>
                <w:szCs w:val="18"/>
                <w:lang w:val="en-US"/>
              </w:rPr>
            </w:pPr>
            <w:r w:rsidRPr="00B30541">
              <w:rPr>
                <w:sz w:val="18"/>
                <w:szCs w:val="18"/>
              </w:rPr>
              <w:t>• patterns and rates of primary productivity?</w:t>
            </w:r>
            <w:r w:rsidRPr="00B30541">
              <w:rPr>
                <w:sz w:val="18"/>
                <w:szCs w:val="18"/>
                <w:lang w:val="en-US"/>
              </w:rPr>
              <w:t xml:space="preserve"> </w:t>
            </w:r>
          </w:p>
          <w:p w14:paraId="1C365377" w14:textId="77777777" w:rsidR="00053163" w:rsidRPr="00B30541" w:rsidRDefault="00053163" w:rsidP="00053163">
            <w:pPr>
              <w:pStyle w:val="dotpoints"/>
              <w:numPr>
                <w:ilvl w:val="0"/>
                <w:numId w:val="0"/>
              </w:numPr>
              <w:ind w:left="57"/>
              <w:rPr>
                <w:sz w:val="18"/>
                <w:szCs w:val="18"/>
              </w:rPr>
            </w:pPr>
            <w:r w:rsidRPr="00B30541">
              <w:rPr>
                <w:sz w:val="18"/>
                <w:szCs w:val="18"/>
              </w:rPr>
              <w:t>• dissolved oxygen levels?</w:t>
            </w:r>
          </w:p>
          <w:p w14:paraId="6CE1E4AC" w14:textId="6B2CC728" w:rsidR="002470CB" w:rsidRPr="00B30541" w:rsidRDefault="00053163" w:rsidP="00053163">
            <w:pPr>
              <w:rPr>
                <w:sz w:val="18"/>
                <w:szCs w:val="18"/>
              </w:rPr>
            </w:pPr>
            <w:r w:rsidRPr="00B30541">
              <w:rPr>
                <w:sz w:val="18"/>
                <w:szCs w:val="18"/>
              </w:rPr>
              <w:t>• water quality?</w:t>
            </w:r>
          </w:p>
        </w:tc>
      </w:tr>
      <w:tr w:rsidR="006C60B5" w:rsidRPr="00FF29FA" w14:paraId="3B158230" w14:textId="77777777" w:rsidTr="006C60B5">
        <w:trPr>
          <w:cantSplit/>
        </w:trPr>
        <w:tc>
          <w:tcPr>
            <w:tcW w:w="577" w:type="pct"/>
            <w:shd w:val="clear" w:color="auto" w:fill="auto"/>
          </w:tcPr>
          <w:p w14:paraId="15861CBE" w14:textId="6A9309D0" w:rsidR="006C60B5" w:rsidRPr="00B30541" w:rsidRDefault="006C60B5" w:rsidP="00107F77">
            <w:pPr>
              <w:pStyle w:val="TableText"/>
              <w:rPr>
                <w:sz w:val="18"/>
                <w:szCs w:val="18"/>
              </w:rPr>
            </w:pPr>
            <w:r w:rsidRPr="00B30541">
              <w:rPr>
                <w:sz w:val="18"/>
                <w:szCs w:val="18"/>
              </w:rPr>
              <w:t>Fish (Channel)</w:t>
            </w:r>
          </w:p>
        </w:tc>
        <w:tc>
          <w:tcPr>
            <w:tcW w:w="2365" w:type="pct"/>
          </w:tcPr>
          <w:p w14:paraId="32A8F696" w14:textId="3B939831" w:rsidR="006C60B5" w:rsidRPr="00B30541" w:rsidRDefault="006C60B5" w:rsidP="00F816B4">
            <w:pPr>
              <w:pStyle w:val="TableText"/>
              <w:rPr>
                <w:sz w:val="18"/>
                <w:szCs w:val="18"/>
              </w:rPr>
            </w:pPr>
            <w:r w:rsidRPr="00B30541">
              <w:rPr>
                <w:sz w:val="18"/>
                <w:szCs w:val="18"/>
              </w:rPr>
              <w:t>• Determine presence or absence, relative abundance and age or size structure for selected key species.</w:t>
            </w:r>
          </w:p>
          <w:p w14:paraId="1708B34F" w14:textId="28426A64" w:rsidR="006C60B5" w:rsidRPr="00B30541" w:rsidRDefault="006C60B5" w:rsidP="00F816B4">
            <w:pPr>
              <w:pStyle w:val="TableText"/>
              <w:rPr>
                <w:sz w:val="18"/>
                <w:szCs w:val="18"/>
              </w:rPr>
            </w:pPr>
            <w:r w:rsidRPr="00B30541">
              <w:rPr>
                <w:sz w:val="18"/>
                <w:szCs w:val="18"/>
              </w:rPr>
              <w:t>• Determine temporal variation in large-bodied and small-bodied fish assemblage structures as well as the size/age compositions of key species.</w:t>
            </w:r>
          </w:p>
          <w:p w14:paraId="73029CCA" w14:textId="6124E94B" w:rsidR="006C60B5" w:rsidRPr="00B30541" w:rsidRDefault="006C60B5" w:rsidP="00967AE2">
            <w:pPr>
              <w:pStyle w:val="TableText"/>
              <w:rPr>
                <w:sz w:val="18"/>
                <w:szCs w:val="18"/>
              </w:rPr>
            </w:pPr>
            <w:r w:rsidRPr="00B30541">
              <w:rPr>
                <w:sz w:val="18"/>
                <w:szCs w:val="18"/>
              </w:rPr>
              <w:t xml:space="preserve">• Consolidate </w:t>
            </w:r>
            <w:r w:rsidRPr="00967AE2">
              <w:rPr>
                <w:i/>
                <w:sz w:val="18"/>
                <w:szCs w:val="18"/>
              </w:rPr>
              <w:t>Fish (Channel)</w:t>
            </w:r>
            <w:r w:rsidRPr="00B30541">
              <w:rPr>
                <w:sz w:val="18"/>
                <w:szCs w:val="18"/>
              </w:rPr>
              <w:t xml:space="preserve"> condition monitoring data to evaluate DEW’s Long Term Watering Plan targets.</w:t>
            </w:r>
          </w:p>
        </w:tc>
        <w:tc>
          <w:tcPr>
            <w:tcW w:w="2058" w:type="pct"/>
            <w:gridSpan w:val="2"/>
            <w:shd w:val="clear" w:color="auto" w:fill="auto"/>
          </w:tcPr>
          <w:p w14:paraId="4C326ED4" w14:textId="364BDF41" w:rsidR="006C60B5" w:rsidRPr="00B30541" w:rsidRDefault="00BA28FA" w:rsidP="00257CE2">
            <w:pPr>
              <w:rPr>
                <w:sz w:val="18"/>
                <w:szCs w:val="18"/>
              </w:rPr>
            </w:pPr>
            <w:r w:rsidRPr="00FE6E43">
              <w:rPr>
                <w:sz w:val="18"/>
                <w:szCs w:val="18"/>
              </w:rPr>
              <w:t xml:space="preserve">The analyses of Basin-scale community response to </w:t>
            </w:r>
            <w:r>
              <w:rPr>
                <w:sz w:val="18"/>
                <w:szCs w:val="18"/>
              </w:rPr>
              <w:t xml:space="preserve">CEW </w:t>
            </w:r>
            <w:r w:rsidRPr="00FE6E43">
              <w:rPr>
                <w:sz w:val="18"/>
                <w:szCs w:val="18"/>
              </w:rPr>
              <w:t xml:space="preserve">will be carried out by the MER </w:t>
            </w:r>
            <w:r w:rsidR="00257CE2">
              <w:rPr>
                <w:sz w:val="18"/>
                <w:szCs w:val="18"/>
              </w:rPr>
              <w:t>Basin-scale Provider</w:t>
            </w:r>
            <w:r w:rsidRPr="00FE6E43">
              <w:rPr>
                <w:sz w:val="18"/>
                <w:szCs w:val="18"/>
              </w:rPr>
              <w:t xml:space="preserve">. There are no CEWO evaluation questions for this indicator at Selected Area scale, </w:t>
            </w:r>
            <w:r w:rsidRPr="007B7CA1">
              <w:rPr>
                <w:sz w:val="18"/>
                <w:szCs w:val="18"/>
              </w:rPr>
              <w:t>therefore no evaluation will be undertaken.</w:t>
            </w:r>
          </w:p>
        </w:tc>
      </w:tr>
      <w:tr w:rsidR="002470CB" w:rsidRPr="00FF29FA" w14:paraId="338E4208" w14:textId="77777777" w:rsidTr="002470CB">
        <w:trPr>
          <w:cantSplit/>
        </w:trPr>
        <w:tc>
          <w:tcPr>
            <w:tcW w:w="5000" w:type="pct"/>
            <w:gridSpan w:val="4"/>
            <w:shd w:val="clear" w:color="auto" w:fill="auto"/>
          </w:tcPr>
          <w:p w14:paraId="0D3E8C05" w14:textId="091D460D" w:rsidR="002470CB" w:rsidRPr="00B30541" w:rsidRDefault="00967AE2" w:rsidP="00107F77">
            <w:pPr>
              <w:pStyle w:val="TableText"/>
              <w:rPr>
                <w:b/>
                <w:sz w:val="18"/>
                <w:szCs w:val="18"/>
              </w:rPr>
            </w:pPr>
            <w:r>
              <w:rPr>
                <w:b/>
                <w:sz w:val="18"/>
                <w:szCs w:val="18"/>
              </w:rPr>
              <w:t>Category 3</w:t>
            </w:r>
          </w:p>
        </w:tc>
      </w:tr>
      <w:tr w:rsidR="002470CB" w:rsidRPr="00FF29FA" w14:paraId="030AEC40" w14:textId="77777777" w:rsidTr="00266764">
        <w:trPr>
          <w:cantSplit/>
        </w:trPr>
        <w:tc>
          <w:tcPr>
            <w:tcW w:w="577" w:type="pct"/>
          </w:tcPr>
          <w:p w14:paraId="2CB673C9" w14:textId="77E600F2" w:rsidR="002470CB" w:rsidRPr="00B30541" w:rsidRDefault="002470CB" w:rsidP="00D639CA">
            <w:pPr>
              <w:pStyle w:val="TableText"/>
              <w:rPr>
                <w:sz w:val="18"/>
                <w:szCs w:val="18"/>
              </w:rPr>
            </w:pPr>
            <w:r w:rsidRPr="00B30541">
              <w:rPr>
                <w:sz w:val="18"/>
                <w:szCs w:val="18"/>
              </w:rPr>
              <w:t>Hydraulic</w:t>
            </w:r>
            <w:r w:rsidR="0021411A" w:rsidRPr="00B30541">
              <w:rPr>
                <w:sz w:val="18"/>
                <w:szCs w:val="18"/>
              </w:rPr>
              <w:t xml:space="preserve"> R</w:t>
            </w:r>
            <w:r w:rsidRPr="00B30541">
              <w:rPr>
                <w:sz w:val="18"/>
                <w:szCs w:val="18"/>
              </w:rPr>
              <w:t>egime</w:t>
            </w:r>
          </w:p>
        </w:tc>
        <w:tc>
          <w:tcPr>
            <w:tcW w:w="2365" w:type="pct"/>
          </w:tcPr>
          <w:p w14:paraId="0271CEC4" w14:textId="467B78B9" w:rsidR="002470CB" w:rsidRPr="00B30541" w:rsidRDefault="006B63E6" w:rsidP="00F12F4B">
            <w:pPr>
              <w:pStyle w:val="TableText"/>
              <w:rPr>
                <w:sz w:val="18"/>
                <w:szCs w:val="18"/>
              </w:rPr>
            </w:pPr>
            <w:r w:rsidRPr="00B30541">
              <w:rPr>
                <w:sz w:val="18"/>
                <w:szCs w:val="18"/>
              </w:rPr>
              <w:t xml:space="preserve">• </w:t>
            </w:r>
            <w:r w:rsidR="002470CB" w:rsidRPr="00B30541">
              <w:rPr>
                <w:sz w:val="18"/>
                <w:szCs w:val="18"/>
              </w:rPr>
              <w:t>Assess how CEW has contributed to an increase in discharge,</w:t>
            </w:r>
            <w:r w:rsidR="00F12F4B">
              <w:rPr>
                <w:sz w:val="18"/>
                <w:szCs w:val="18"/>
              </w:rPr>
              <w:t xml:space="preserve"> area,</w:t>
            </w:r>
            <w:r w:rsidR="002470CB" w:rsidRPr="00B30541">
              <w:rPr>
                <w:sz w:val="18"/>
                <w:szCs w:val="18"/>
              </w:rPr>
              <w:t xml:space="preserve"> velocity and depth of flow at a high s</w:t>
            </w:r>
            <w:r w:rsidR="00F12F4B">
              <w:rPr>
                <w:sz w:val="18"/>
                <w:szCs w:val="18"/>
              </w:rPr>
              <w:t>patial and temporal resolution.</w:t>
            </w:r>
          </w:p>
        </w:tc>
        <w:tc>
          <w:tcPr>
            <w:tcW w:w="1051" w:type="pct"/>
            <w:shd w:val="clear" w:color="auto" w:fill="auto"/>
          </w:tcPr>
          <w:p w14:paraId="60EC3856" w14:textId="77777777" w:rsidR="00C77254" w:rsidRPr="00B30541" w:rsidRDefault="002470CB" w:rsidP="00D639CA">
            <w:pPr>
              <w:pStyle w:val="TableText"/>
              <w:rPr>
                <w:sz w:val="18"/>
                <w:szCs w:val="18"/>
              </w:rPr>
            </w:pPr>
            <w:r w:rsidRPr="00B30541">
              <w:rPr>
                <w:sz w:val="18"/>
                <w:szCs w:val="18"/>
              </w:rPr>
              <w:t>What did CEW contribute to</w:t>
            </w:r>
            <w:r w:rsidR="00C77254" w:rsidRPr="00B30541">
              <w:rPr>
                <w:sz w:val="18"/>
                <w:szCs w:val="18"/>
              </w:rPr>
              <w:t>:</w:t>
            </w:r>
          </w:p>
          <w:p w14:paraId="60650E3C" w14:textId="7E4EE0E4" w:rsidR="002470CB" w:rsidRPr="00B30541" w:rsidRDefault="00C77254" w:rsidP="00D639CA">
            <w:pPr>
              <w:pStyle w:val="TableText"/>
              <w:rPr>
                <w:sz w:val="18"/>
                <w:szCs w:val="18"/>
              </w:rPr>
            </w:pPr>
            <w:r w:rsidRPr="00B30541">
              <w:rPr>
                <w:sz w:val="18"/>
                <w:szCs w:val="18"/>
              </w:rPr>
              <w:t xml:space="preserve">• </w:t>
            </w:r>
            <w:r w:rsidR="002470CB" w:rsidRPr="00B30541">
              <w:rPr>
                <w:sz w:val="18"/>
                <w:szCs w:val="18"/>
              </w:rPr>
              <w:t>hydraulic diversity within weir pools?</w:t>
            </w:r>
          </w:p>
          <w:p w14:paraId="6E84C1E1" w14:textId="099D9A9A" w:rsidR="002470CB" w:rsidRPr="00B30541" w:rsidRDefault="00C77254" w:rsidP="00D639CA">
            <w:pPr>
              <w:pStyle w:val="TableText"/>
              <w:rPr>
                <w:sz w:val="18"/>
                <w:szCs w:val="18"/>
              </w:rPr>
            </w:pPr>
            <w:r w:rsidRPr="00B30541">
              <w:rPr>
                <w:sz w:val="18"/>
                <w:szCs w:val="18"/>
              </w:rPr>
              <w:t xml:space="preserve">• </w:t>
            </w:r>
            <w:r w:rsidR="00F12F4B">
              <w:rPr>
                <w:sz w:val="18"/>
                <w:szCs w:val="18"/>
              </w:rPr>
              <w:t xml:space="preserve">in-channel </w:t>
            </w:r>
            <w:r w:rsidR="002470CB" w:rsidRPr="00B30541">
              <w:rPr>
                <w:sz w:val="18"/>
                <w:szCs w:val="18"/>
              </w:rPr>
              <w:t>variability in water levels?</w:t>
            </w:r>
          </w:p>
        </w:tc>
        <w:tc>
          <w:tcPr>
            <w:tcW w:w="1007" w:type="pct"/>
            <w:shd w:val="clear" w:color="auto" w:fill="auto"/>
          </w:tcPr>
          <w:p w14:paraId="33168D34" w14:textId="77777777" w:rsidR="00C77254" w:rsidRPr="00B30541" w:rsidRDefault="002470CB" w:rsidP="00D639CA">
            <w:pPr>
              <w:pStyle w:val="TableText"/>
              <w:rPr>
                <w:sz w:val="18"/>
                <w:szCs w:val="18"/>
              </w:rPr>
            </w:pPr>
            <w:r w:rsidRPr="00B30541">
              <w:rPr>
                <w:sz w:val="18"/>
                <w:szCs w:val="18"/>
              </w:rPr>
              <w:t>What did CEW contribute to</w:t>
            </w:r>
            <w:r w:rsidR="00C77254" w:rsidRPr="00B30541">
              <w:rPr>
                <w:sz w:val="18"/>
                <w:szCs w:val="18"/>
              </w:rPr>
              <w:t>:</w:t>
            </w:r>
          </w:p>
          <w:p w14:paraId="6D8EF71F" w14:textId="497948A4" w:rsidR="002470CB" w:rsidRPr="00B30541" w:rsidRDefault="00C77254" w:rsidP="00D639CA">
            <w:pPr>
              <w:pStyle w:val="TableText"/>
              <w:rPr>
                <w:sz w:val="18"/>
                <w:szCs w:val="18"/>
              </w:rPr>
            </w:pPr>
            <w:r w:rsidRPr="00B30541">
              <w:rPr>
                <w:sz w:val="18"/>
                <w:szCs w:val="18"/>
              </w:rPr>
              <w:t xml:space="preserve">• </w:t>
            </w:r>
            <w:r w:rsidR="002470CB" w:rsidRPr="00B30541">
              <w:rPr>
                <w:sz w:val="18"/>
                <w:szCs w:val="18"/>
              </w:rPr>
              <w:t>hydrological connectivity?</w:t>
            </w:r>
          </w:p>
          <w:p w14:paraId="3045C7BB" w14:textId="4DA8F3E2" w:rsidR="002470CB" w:rsidRPr="00B30541" w:rsidRDefault="00C77254" w:rsidP="00B47CBE">
            <w:pPr>
              <w:pStyle w:val="TableText"/>
              <w:rPr>
                <w:sz w:val="18"/>
                <w:szCs w:val="18"/>
              </w:rPr>
            </w:pPr>
            <w:r w:rsidRPr="00B30541">
              <w:rPr>
                <w:sz w:val="18"/>
                <w:szCs w:val="18"/>
              </w:rPr>
              <w:t>•</w:t>
            </w:r>
            <w:r w:rsidR="00B47CBE">
              <w:rPr>
                <w:sz w:val="18"/>
                <w:szCs w:val="18"/>
              </w:rPr>
              <w:t>Meeting E</w:t>
            </w:r>
            <w:r w:rsidR="00967AE2">
              <w:rPr>
                <w:sz w:val="18"/>
                <w:szCs w:val="18"/>
              </w:rPr>
              <w:t xml:space="preserve">nvironmental </w:t>
            </w:r>
            <w:r w:rsidR="00B47CBE">
              <w:rPr>
                <w:sz w:val="18"/>
                <w:szCs w:val="18"/>
              </w:rPr>
              <w:t>W</w:t>
            </w:r>
            <w:r w:rsidR="00967AE2">
              <w:rPr>
                <w:sz w:val="18"/>
                <w:szCs w:val="18"/>
              </w:rPr>
              <w:t xml:space="preserve">ater </w:t>
            </w:r>
            <w:r w:rsidR="00B47CBE">
              <w:rPr>
                <w:sz w:val="18"/>
                <w:szCs w:val="18"/>
              </w:rPr>
              <w:t>R</w:t>
            </w:r>
            <w:r w:rsidR="00967AE2">
              <w:rPr>
                <w:sz w:val="18"/>
                <w:szCs w:val="18"/>
              </w:rPr>
              <w:t>equirement</w:t>
            </w:r>
            <w:r w:rsidR="00B47CBE">
              <w:rPr>
                <w:sz w:val="18"/>
                <w:szCs w:val="18"/>
              </w:rPr>
              <w:t>s</w:t>
            </w:r>
            <w:r w:rsidR="00E970A3">
              <w:rPr>
                <w:sz w:val="18"/>
                <w:szCs w:val="18"/>
              </w:rPr>
              <w:t xml:space="preserve"> (</w:t>
            </w:r>
            <w:r w:rsidR="00CA3DD8">
              <w:rPr>
                <w:sz w:val="18"/>
                <w:szCs w:val="18"/>
              </w:rPr>
              <w:t xml:space="preserve">of the </w:t>
            </w:r>
            <w:r w:rsidR="00E970A3">
              <w:rPr>
                <w:sz w:val="18"/>
                <w:szCs w:val="18"/>
              </w:rPr>
              <w:t>LTWP)</w:t>
            </w:r>
            <w:r w:rsidR="00B47CBE">
              <w:rPr>
                <w:sz w:val="18"/>
                <w:szCs w:val="18"/>
              </w:rPr>
              <w:t xml:space="preserve"> in the main channel of the Lower Murray</w:t>
            </w:r>
            <w:r w:rsidR="002470CB" w:rsidRPr="00B30541">
              <w:rPr>
                <w:sz w:val="18"/>
                <w:szCs w:val="18"/>
              </w:rPr>
              <w:t>?</w:t>
            </w:r>
          </w:p>
        </w:tc>
      </w:tr>
      <w:tr w:rsidR="002470CB" w:rsidRPr="000D3251" w14:paraId="45E9B62F" w14:textId="77777777" w:rsidTr="00266764">
        <w:trPr>
          <w:cantSplit/>
        </w:trPr>
        <w:tc>
          <w:tcPr>
            <w:tcW w:w="577" w:type="pct"/>
          </w:tcPr>
          <w:p w14:paraId="45040C58" w14:textId="0333DFD5" w:rsidR="002470CB" w:rsidRPr="00B30541" w:rsidRDefault="002470CB" w:rsidP="00D639CA">
            <w:pPr>
              <w:pStyle w:val="TableText"/>
              <w:rPr>
                <w:sz w:val="18"/>
                <w:szCs w:val="18"/>
              </w:rPr>
            </w:pPr>
            <w:r w:rsidRPr="00B30541">
              <w:rPr>
                <w:sz w:val="18"/>
                <w:szCs w:val="18"/>
              </w:rPr>
              <w:lastRenderedPageBreak/>
              <w:t>Matter</w:t>
            </w:r>
            <w:r w:rsidR="0021411A" w:rsidRPr="00B30541">
              <w:rPr>
                <w:sz w:val="18"/>
                <w:szCs w:val="18"/>
              </w:rPr>
              <w:t xml:space="preserve"> T</w:t>
            </w:r>
            <w:r w:rsidRPr="00B30541">
              <w:rPr>
                <w:sz w:val="18"/>
                <w:szCs w:val="18"/>
              </w:rPr>
              <w:t>ransport</w:t>
            </w:r>
            <w:r w:rsidR="0021411A" w:rsidRPr="00B30541">
              <w:rPr>
                <w:sz w:val="18"/>
                <w:szCs w:val="18"/>
              </w:rPr>
              <w:t xml:space="preserve"> and Coorong H</w:t>
            </w:r>
            <w:r w:rsidRPr="00B30541">
              <w:rPr>
                <w:sz w:val="18"/>
                <w:szCs w:val="18"/>
              </w:rPr>
              <w:t>abitat</w:t>
            </w:r>
          </w:p>
        </w:tc>
        <w:tc>
          <w:tcPr>
            <w:tcW w:w="2365" w:type="pct"/>
          </w:tcPr>
          <w:p w14:paraId="32FDF4A0" w14:textId="73E9A05A" w:rsidR="00C55EAD" w:rsidRPr="00B30541" w:rsidRDefault="006B63E6" w:rsidP="00C55EAD">
            <w:pPr>
              <w:pStyle w:val="TableText"/>
              <w:rPr>
                <w:rFonts w:ascii="Calibri" w:hAnsi="Calibri"/>
                <w:sz w:val="18"/>
                <w:szCs w:val="18"/>
              </w:rPr>
            </w:pPr>
            <w:r w:rsidRPr="00B30541">
              <w:rPr>
                <w:sz w:val="18"/>
                <w:szCs w:val="18"/>
              </w:rPr>
              <w:t xml:space="preserve">• </w:t>
            </w:r>
            <w:r w:rsidR="002470CB" w:rsidRPr="00B30541">
              <w:rPr>
                <w:rFonts w:ascii="Calibri" w:hAnsi="Calibri"/>
                <w:sz w:val="18"/>
                <w:szCs w:val="18"/>
              </w:rPr>
              <w:t>Assess whether CEW has increased the transport and export of salt, nutrients and suspended solids through the L</w:t>
            </w:r>
            <w:r w:rsidR="002A3663">
              <w:rPr>
                <w:rFonts w:ascii="Calibri" w:hAnsi="Calibri"/>
                <w:sz w:val="18"/>
                <w:szCs w:val="18"/>
              </w:rPr>
              <w:t>ower Murray</w:t>
            </w:r>
            <w:r w:rsidR="002470CB" w:rsidRPr="00B30541">
              <w:rPr>
                <w:rFonts w:ascii="Calibri" w:hAnsi="Calibri"/>
                <w:sz w:val="18"/>
                <w:szCs w:val="18"/>
              </w:rPr>
              <w:t>.</w:t>
            </w:r>
          </w:p>
          <w:p w14:paraId="5A21D1AB" w14:textId="64B99A20" w:rsidR="00C55EAD" w:rsidRPr="00B30541" w:rsidRDefault="006B63E6" w:rsidP="002A3663">
            <w:pPr>
              <w:rPr>
                <w:sz w:val="18"/>
                <w:szCs w:val="18"/>
              </w:rPr>
            </w:pPr>
            <w:r w:rsidRPr="00B30541">
              <w:rPr>
                <w:sz w:val="18"/>
                <w:szCs w:val="18"/>
              </w:rPr>
              <w:t xml:space="preserve">• </w:t>
            </w:r>
            <w:r w:rsidR="00C55EAD" w:rsidRPr="00B30541">
              <w:rPr>
                <w:rFonts w:ascii="Calibri" w:hAnsi="Calibri"/>
                <w:sz w:val="18"/>
                <w:szCs w:val="18"/>
              </w:rPr>
              <w:t>Assess whether C</w:t>
            </w:r>
            <w:r w:rsidR="002A3663">
              <w:rPr>
                <w:rFonts w:ascii="Calibri" w:hAnsi="Calibri"/>
                <w:sz w:val="18"/>
                <w:szCs w:val="18"/>
              </w:rPr>
              <w:t>EW</w:t>
            </w:r>
            <w:r w:rsidR="00C55EAD" w:rsidRPr="00B30541">
              <w:rPr>
                <w:rFonts w:ascii="Calibri" w:hAnsi="Calibri"/>
                <w:sz w:val="18"/>
                <w:szCs w:val="18"/>
              </w:rPr>
              <w:t xml:space="preserve"> has enhanced </w:t>
            </w:r>
            <w:r w:rsidR="00C55EAD" w:rsidRPr="00B30541">
              <w:rPr>
                <w:rFonts w:ascii="Calibri" w:hAnsi="Calibri"/>
                <w:i/>
                <w:sz w:val="18"/>
                <w:szCs w:val="18"/>
              </w:rPr>
              <w:t>Ruppia tuberosa</w:t>
            </w:r>
            <w:r w:rsidR="00C55EAD" w:rsidRPr="00B30541">
              <w:rPr>
                <w:rFonts w:ascii="Calibri" w:hAnsi="Calibri"/>
                <w:sz w:val="18"/>
                <w:szCs w:val="18"/>
              </w:rPr>
              <w:t xml:space="preserve"> and fish habitats in the Coorong, through reduced salinity and increased water levels.</w:t>
            </w:r>
          </w:p>
        </w:tc>
        <w:tc>
          <w:tcPr>
            <w:tcW w:w="1051" w:type="pct"/>
            <w:shd w:val="clear" w:color="auto" w:fill="auto"/>
          </w:tcPr>
          <w:p w14:paraId="44EFDCF1" w14:textId="77777777" w:rsidR="00C77254" w:rsidRPr="00B30541" w:rsidRDefault="002470CB" w:rsidP="00D639CA">
            <w:pPr>
              <w:pStyle w:val="TableText"/>
              <w:rPr>
                <w:sz w:val="18"/>
                <w:szCs w:val="18"/>
              </w:rPr>
            </w:pPr>
            <w:r w:rsidRPr="00B30541">
              <w:rPr>
                <w:sz w:val="18"/>
                <w:szCs w:val="18"/>
              </w:rPr>
              <w:t>What did CEW contribute to</w:t>
            </w:r>
            <w:r w:rsidR="00C77254" w:rsidRPr="00B30541">
              <w:rPr>
                <w:sz w:val="18"/>
                <w:szCs w:val="18"/>
              </w:rPr>
              <w:t>:</w:t>
            </w:r>
          </w:p>
          <w:p w14:paraId="587FFCF2" w14:textId="5AD3C789" w:rsidR="002470CB" w:rsidRPr="00B30541" w:rsidRDefault="00C77254" w:rsidP="00C77254">
            <w:pPr>
              <w:pStyle w:val="TableText"/>
              <w:contextualSpacing/>
              <w:rPr>
                <w:sz w:val="18"/>
                <w:szCs w:val="18"/>
              </w:rPr>
            </w:pPr>
            <w:r w:rsidRPr="00B30541">
              <w:rPr>
                <w:sz w:val="18"/>
                <w:szCs w:val="18"/>
              </w:rPr>
              <w:t xml:space="preserve">• </w:t>
            </w:r>
            <w:r w:rsidR="002470CB" w:rsidRPr="00B30541">
              <w:rPr>
                <w:sz w:val="18"/>
                <w:szCs w:val="18"/>
              </w:rPr>
              <w:t xml:space="preserve">concentrations and transport of phytoplankton? </w:t>
            </w:r>
          </w:p>
          <w:p w14:paraId="4117BAE9" w14:textId="1074B079" w:rsidR="002470CB" w:rsidRPr="00B30541" w:rsidRDefault="00C77254" w:rsidP="00C77254">
            <w:pPr>
              <w:pStyle w:val="TableText"/>
              <w:contextualSpacing/>
              <w:rPr>
                <w:sz w:val="18"/>
                <w:szCs w:val="18"/>
              </w:rPr>
            </w:pPr>
            <w:r w:rsidRPr="00B30541">
              <w:rPr>
                <w:sz w:val="18"/>
                <w:szCs w:val="18"/>
              </w:rPr>
              <w:t xml:space="preserve">• </w:t>
            </w:r>
            <w:r w:rsidR="002470CB" w:rsidRPr="00B30541">
              <w:rPr>
                <w:sz w:val="18"/>
                <w:szCs w:val="18"/>
              </w:rPr>
              <w:t xml:space="preserve">salinity levels and transport? </w:t>
            </w:r>
          </w:p>
          <w:p w14:paraId="466A652B" w14:textId="325ED62D" w:rsidR="002470CB" w:rsidRPr="00B30541" w:rsidRDefault="00C77254" w:rsidP="00C77254">
            <w:pPr>
              <w:spacing w:before="40" w:after="40"/>
              <w:contextualSpacing/>
              <w:rPr>
                <w:sz w:val="18"/>
                <w:szCs w:val="18"/>
              </w:rPr>
            </w:pPr>
            <w:r w:rsidRPr="00B30541">
              <w:rPr>
                <w:sz w:val="18"/>
                <w:szCs w:val="18"/>
              </w:rPr>
              <w:t xml:space="preserve">• </w:t>
            </w:r>
            <w:r w:rsidR="002470CB" w:rsidRPr="00B30541">
              <w:rPr>
                <w:sz w:val="18"/>
                <w:szCs w:val="18"/>
              </w:rPr>
              <w:t>nutrient concentrations and transport?</w:t>
            </w:r>
          </w:p>
          <w:p w14:paraId="012EDD87" w14:textId="5F765CD1" w:rsidR="00C77254" w:rsidRPr="00B30541" w:rsidRDefault="00C77254" w:rsidP="00C77254">
            <w:pPr>
              <w:pStyle w:val="TableText"/>
              <w:contextualSpacing/>
              <w:rPr>
                <w:sz w:val="18"/>
                <w:szCs w:val="18"/>
              </w:rPr>
            </w:pPr>
            <w:r w:rsidRPr="00B30541">
              <w:rPr>
                <w:sz w:val="18"/>
                <w:szCs w:val="18"/>
              </w:rPr>
              <w:t xml:space="preserve">• </w:t>
            </w:r>
            <w:r w:rsidR="002470CB" w:rsidRPr="00B30541">
              <w:rPr>
                <w:sz w:val="18"/>
                <w:szCs w:val="18"/>
              </w:rPr>
              <w:t>water quality?</w:t>
            </w:r>
          </w:p>
          <w:p w14:paraId="470E00B6" w14:textId="7DF53006" w:rsidR="00C55EAD" w:rsidRPr="00B30541" w:rsidRDefault="00C77254" w:rsidP="00C77254">
            <w:pPr>
              <w:pStyle w:val="TableText"/>
              <w:contextualSpacing/>
              <w:rPr>
                <w:sz w:val="18"/>
                <w:szCs w:val="18"/>
              </w:rPr>
            </w:pPr>
            <w:r w:rsidRPr="00B30541">
              <w:rPr>
                <w:sz w:val="18"/>
                <w:szCs w:val="18"/>
              </w:rPr>
              <w:t xml:space="preserve">• </w:t>
            </w:r>
            <w:r w:rsidR="00C55EAD" w:rsidRPr="00B30541">
              <w:rPr>
                <w:sz w:val="18"/>
                <w:szCs w:val="18"/>
              </w:rPr>
              <w:t xml:space="preserve">improving </w:t>
            </w:r>
            <w:r w:rsidR="00C55EAD" w:rsidRPr="00B30541">
              <w:rPr>
                <w:i/>
                <w:sz w:val="18"/>
                <w:szCs w:val="18"/>
              </w:rPr>
              <w:t>Ruppia tuberosa</w:t>
            </w:r>
            <w:r w:rsidR="00C55EAD" w:rsidRPr="00B30541">
              <w:rPr>
                <w:sz w:val="18"/>
                <w:szCs w:val="18"/>
              </w:rPr>
              <w:t xml:space="preserve"> habitat in the Coorong?</w:t>
            </w:r>
          </w:p>
          <w:p w14:paraId="475A75C5" w14:textId="316311C6" w:rsidR="00C55EAD" w:rsidRPr="00B30541" w:rsidRDefault="00C77254" w:rsidP="00C77254">
            <w:pPr>
              <w:contextualSpacing/>
              <w:rPr>
                <w:sz w:val="18"/>
                <w:szCs w:val="18"/>
              </w:rPr>
            </w:pPr>
            <w:r w:rsidRPr="00B30541">
              <w:rPr>
                <w:sz w:val="18"/>
                <w:szCs w:val="18"/>
              </w:rPr>
              <w:t xml:space="preserve">• </w:t>
            </w:r>
            <w:r w:rsidR="00C55EAD" w:rsidRPr="00B30541">
              <w:rPr>
                <w:sz w:val="18"/>
                <w:szCs w:val="18"/>
              </w:rPr>
              <w:t>improving fish habitat in the Coorong?</w:t>
            </w:r>
          </w:p>
        </w:tc>
        <w:tc>
          <w:tcPr>
            <w:tcW w:w="1007" w:type="pct"/>
            <w:shd w:val="clear" w:color="auto" w:fill="auto"/>
          </w:tcPr>
          <w:p w14:paraId="462AC4D2" w14:textId="7E570634" w:rsidR="00C77254" w:rsidRPr="00B30541" w:rsidRDefault="00C77254" w:rsidP="00C77254">
            <w:pPr>
              <w:pStyle w:val="TableText"/>
              <w:rPr>
                <w:sz w:val="18"/>
                <w:szCs w:val="18"/>
              </w:rPr>
            </w:pPr>
            <w:r w:rsidRPr="00B30541">
              <w:rPr>
                <w:sz w:val="18"/>
                <w:szCs w:val="18"/>
              </w:rPr>
              <w:t>What did CEW contribute to:</w:t>
            </w:r>
          </w:p>
          <w:p w14:paraId="5C72BB01" w14:textId="5EFC4032" w:rsidR="00C77254" w:rsidRPr="00B30541" w:rsidRDefault="00C77254" w:rsidP="00C77254">
            <w:pPr>
              <w:pStyle w:val="TableText"/>
              <w:contextualSpacing/>
              <w:rPr>
                <w:sz w:val="18"/>
                <w:szCs w:val="18"/>
              </w:rPr>
            </w:pPr>
            <w:r w:rsidRPr="00B30541">
              <w:rPr>
                <w:sz w:val="18"/>
                <w:szCs w:val="18"/>
              </w:rPr>
              <w:t xml:space="preserve">• concentrations and transport of phytoplankton? </w:t>
            </w:r>
          </w:p>
          <w:p w14:paraId="387CF725" w14:textId="46A552A6" w:rsidR="00C77254" w:rsidRPr="00B30541" w:rsidRDefault="00C77254" w:rsidP="00C77254">
            <w:pPr>
              <w:pStyle w:val="TableText"/>
              <w:contextualSpacing/>
              <w:rPr>
                <w:sz w:val="18"/>
                <w:szCs w:val="18"/>
              </w:rPr>
            </w:pPr>
            <w:r w:rsidRPr="00B30541">
              <w:rPr>
                <w:sz w:val="18"/>
                <w:szCs w:val="18"/>
              </w:rPr>
              <w:t xml:space="preserve">• the salinity regime? </w:t>
            </w:r>
          </w:p>
          <w:p w14:paraId="2D2221DB" w14:textId="77777777" w:rsidR="00C77254" w:rsidRPr="00B30541" w:rsidRDefault="00C77254" w:rsidP="00C77254">
            <w:pPr>
              <w:spacing w:before="40" w:after="40"/>
              <w:contextualSpacing/>
              <w:rPr>
                <w:sz w:val="18"/>
                <w:szCs w:val="18"/>
              </w:rPr>
            </w:pPr>
            <w:r w:rsidRPr="00B30541">
              <w:rPr>
                <w:sz w:val="18"/>
                <w:szCs w:val="18"/>
              </w:rPr>
              <w:t>• nutrient concentrations and transport?</w:t>
            </w:r>
          </w:p>
          <w:p w14:paraId="1179991E" w14:textId="2147EDB1" w:rsidR="00C77254" w:rsidRPr="00B30541" w:rsidRDefault="00C77254" w:rsidP="00C77254">
            <w:pPr>
              <w:pStyle w:val="TableText"/>
              <w:contextualSpacing/>
              <w:rPr>
                <w:sz w:val="18"/>
                <w:szCs w:val="18"/>
              </w:rPr>
            </w:pPr>
            <w:r w:rsidRPr="00B30541">
              <w:rPr>
                <w:sz w:val="18"/>
                <w:szCs w:val="18"/>
              </w:rPr>
              <w:t>• water quality?</w:t>
            </w:r>
          </w:p>
          <w:p w14:paraId="00F3BD1D" w14:textId="77777777" w:rsidR="00C77254" w:rsidRPr="00B30541" w:rsidRDefault="00C77254" w:rsidP="00C77254">
            <w:pPr>
              <w:pStyle w:val="TableText"/>
              <w:contextualSpacing/>
              <w:rPr>
                <w:sz w:val="18"/>
                <w:szCs w:val="18"/>
              </w:rPr>
            </w:pPr>
            <w:r w:rsidRPr="00B30541">
              <w:rPr>
                <w:sz w:val="18"/>
                <w:szCs w:val="18"/>
              </w:rPr>
              <w:t xml:space="preserve">• improving </w:t>
            </w:r>
            <w:r w:rsidRPr="00B30541">
              <w:rPr>
                <w:i/>
                <w:sz w:val="18"/>
                <w:szCs w:val="18"/>
              </w:rPr>
              <w:t>Ruppia tuberosa</w:t>
            </w:r>
            <w:r w:rsidRPr="00B30541">
              <w:rPr>
                <w:sz w:val="18"/>
                <w:szCs w:val="18"/>
              </w:rPr>
              <w:t xml:space="preserve"> habitat in the Coorong?</w:t>
            </w:r>
          </w:p>
          <w:p w14:paraId="6B95F4BF" w14:textId="21AAB144" w:rsidR="00C77254" w:rsidRPr="00B30541" w:rsidRDefault="00C77254" w:rsidP="00C77254">
            <w:pPr>
              <w:rPr>
                <w:sz w:val="18"/>
                <w:szCs w:val="18"/>
              </w:rPr>
            </w:pPr>
            <w:r w:rsidRPr="00B30541">
              <w:rPr>
                <w:sz w:val="18"/>
                <w:szCs w:val="18"/>
              </w:rPr>
              <w:t>• improving fish habitat in the Coorong?</w:t>
            </w:r>
          </w:p>
          <w:p w14:paraId="5BB73653" w14:textId="7A89BB38" w:rsidR="00C55EAD" w:rsidRPr="00B30541" w:rsidRDefault="00C55EAD" w:rsidP="00C55EAD">
            <w:pPr>
              <w:rPr>
                <w:sz w:val="18"/>
                <w:szCs w:val="18"/>
              </w:rPr>
            </w:pPr>
          </w:p>
        </w:tc>
      </w:tr>
      <w:tr w:rsidR="002470CB" w:rsidRPr="000D3251" w14:paraId="2A60E13D" w14:textId="77777777" w:rsidTr="00266764">
        <w:trPr>
          <w:cantSplit/>
        </w:trPr>
        <w:tc>
          <w:tcPr>
            <w:tcW w:w="577" w:type="pct"/>
          </w:tcPr>
          <w:p w14:paraId="47C52DFD" w14:textId="72DB26F7" w:rsidR="002470CB" w:rsidRPr="00B30541" w:rsidRDefault="0021411A" w:rsidP="0021411A">
            <w:pPr>
              <w:pStyle w:val="TableText"/>
              <w:rPr>
                <w:sz w:val="18"/>
                <w:szCs w:val="18"/>
              </w:rPr>
            </w:pPr>
            <w:r w:rsidRPr="00B30541">
              <w:rPr>
                <w:sz w:val="18"/>
                <w:szCs w:val="18"/>
              </w:rPr>
              <w:t>Littoral V</w:t>
            </w:r>
            <w:r w:rsidR="002470CB" w:rsidRPr="00B30541">
              <w:rPr>
                <w:sz w:val="18"/>
                <w:szCs w:val="18"/>
              </w:rPr>
              <w:t xml:space="preserve">egetation </w:t>
            </w:r>
            <w:r w:rsidRPr="00B30541">
              <w:rPr>
                <w:sz w:val="18"/>
                <w:szCs w:val="18"/>
              </w:rPr>
              <w:t>D</w:t>
            </w:r>
            <w:r w:rsidR="002470CB" w:rsidRPr="00B30541">
              <w:rPr>
                <w:sz w:val="18"/>
                <w:szCs w:val="18"/>
              </w:rPr>
              <w:t xml:space="preserve">iversity and </w:t>
            </w:r>
            <w:r w:rsidRPr="00B30541">
              <w:rPr>
                <w:sz w:val="18"/>
                <w:szCs w:val="18"/>
              </w:rPr>
              <w:t>P</w:t>
            </w:r>
            <w:r w:rsidR="002470CB" w:rsidRPr="00B30541">
              <w:rPr>
                <w:sz w:val="18"/>
                <w:szCs w:val="18"/>
              </w:rPr>
              <w:t>roductivity</w:t>
            </w:r>
          </w:p>
        </w:tc>
        <w:tc>
          <w:tcPr>
            <w:tcW w:w="2365" w:type="pct"/>
          </w:tcPr>
          <w:p w14:paraId="6EB55619" w14:textId="2DE2CEE6" w:rsidR="002470CB" w:rsidRPr="00B30541" w:rsidRDefault="006B63E6" w:rsidP="006B63E6">
            <w:pPr>
              <w:contextualSpacing/>
              <w:rPr>
                <w:sz w:val="18"/>
                <w:szCs w:val="18"/>
              </w:rPr>
            </w:pPr>
            <w:r w:rsidRPr="00B30541">
              <w:rPr>
                <w:sz w:val="18"/>
                <w:szCs w:val="18"/>
              </w:rPr>
              <w:t xml:space="preserve">• </w:t>
            </w:r>
            <w:r w:rsidR="002470CB" w:rsidRPr="00B30541">
              <w:rPr>
                <w:sz w:val="18"/>
                <w:szCs w:val="18"/>
              </w:rPr>
              <w:t>Compare and contrast the response of the littoral vegetation to different environmental water deliveries.</w:t>
            </w:r>
          </w:p>
          <w:p w14:paraId="3DB4FD96" w14:textId="559FC8D1" w:rsidR="002470CB" w:rsidRPr="00B30541" w:rsidRDefault="006B63E6" w:rsidP="006B63E6">
            <w:pPr>
              <w:contextualSpacing/>
              <w:rPr>
                <w:sz w:val="18"/>
                <w:szCs w:val="18"/>
              </w:rPr>
            </w:pPr>
            <w:r w:rsidRPr="00B30541">
              <w:rPr>
                <w:sz w:val="18"/>
                <w:szCs w:val="18"/>
              </w:rPr>
              <w:t xml:space="preserve">• </w:t>
            </w:r>
            <w:r w:rsidR="002470CB" w:rsidRPr="00B30541">
              <w:rPr>
                <w:sz w:val="18"/>
                <w:szCs w:val="18"/>
              </w:rPr>
              <w:t xml:space="preserve">Compare the response of the littoral vegetation across the elevation gradient. </w:t>
            </w:r>
          </w:p>
          <w:p w14:paraId="41537B33" w14:textId="220BA2EA" w:rsidR="006043A5" w:rsidRPr="00B30541" w:rsidRDefault="006B63E6" w:rsidP="006043A5">
            <w:pPr>
              <w:contextualSpacing/>
              <w:rPr>
                <w:sz w:val="18"/>
                <w:szCs w:val="18"/>
              </w:rPr>
            </w:pPr>
            <w:r w:rsidRPr="00B30541">
              <w:rPr>
                <w:sz w:val="18"/>
                <w:szCs w:val="18"/>
              </w:rPr>
              <w:t xml:space="preserve">• </w:t>
            </w:r>
            <w:r w:rsidR="002470CB" w:rsidRPr="00B30541">
              <w:rPr>
                <w:sz w:val="18"/>
                <w:szCs w:val="18"/>
              </w:rPr>
              <w:t>Compare understorey vegetation biomass across the</w:t>
            </w:r>
            <w:r w:rsidR="003B4942">
              <w:rPr>
                <w:sz w:val="18"/>
                <w:szCs w:val="18"/>
              </w:rPr>
              <w:t xml:space="preserve"> elevation gradient.</w:t>
            </w:r>
          </w:p>
          <w:p w14:paraId="5C3797CB" w14:textId="14B68A57" w:rsidR="002470CB" w:rsidRPr="00B30541" w:rsidRDefault="006B63E6" w:rsidP="006B63E6">
            <w:pPr>
              <w:contextualSpacing/>
              <w:rPr>
                <w:sz w:val="18"/>
                <w:szCs w:val="18"/>
              </w:rPr>
            </w:pPr>
            <w:r w:rsidRPr="00B30541">
              <w:rPr>
                <w:sz w:val="18"/>
                <w:szCs w:val="18"/>
              </w:rPr>
              <w:t xml:space="preserve">• </w:t>
            </w:r>
            <w:r w:rsidR="002470CB" w:rsidRPr="00B30541">
              <w:rPr>
                <w:sz w:val="18"/>
                <w:szCs w:val="18"/>
              </w:rPr>
              <w:t>Use flood inundation modelling to identify the differences in water level and inundation duration with and without CEW (and other environmental water) to identify the contribution of environmental water to littoral vegetation diversity and productivity by comparison across the elevation gradient.</w:t>
            </w:r>
          </w:p>
        </w:tc>
        <w:tc>
          <w:tcPr>
            <w:tcW w:w="1051" w:type="pct"/>
            <w:shd w:val="clear" w:color="auto" w:fill="auto"/>
          </w:tcPr>
          <w:p w14:paraId="17A9733B" w14:textId="2E5BF306" w:rsidR="008E002D" w:rsidRPr="00B30541" w:rsidRDefault="002470CB" w:rsidP="00D639CA">
            <w:pPr>
              <w:pStyle w:val="TableBullets"/>
              <w:numPr>
                <w:ilvl w:val="0"/>
                <w:numId w:val="0"/>
              </w:numPr>
              <w:rPr>
                <w:sz w:val="18"/>
                <w:szCs w:val="18"/>
              </w:rPr>
            </w:pPr>
            <w:r w:rsidRPr="00B30541">
              <w:rPr>
                <w:sz w:val="18"/>
                <w:szCs w:val="18"/>
              </w:rPr>
              <w:t>What did CEW contribute to</w:t>
            </w:r>
            <w:r w:rsidR="008E002D" w:rsidRPr="00B30541">
              <w:rPr>
                <w:sz w:val="18"/>
                <w:szCs w:val="18"/>
              </w:rPr>
              <w:t>:</w:t>
            </w:r>
          </w:p>
          <w:p w14:paraId="6D8A0F8A" w14:textId="5163FDC0" w:rsidR="002470CB" w:rsidRPr="00BF0DD1" w:rsidRDefault="008E002D" w:rsidP="00D639CA">
            <w:pPr>
              <w:pStyle w:val="TableBullets"/>
              <w:numPr>
                <w:ilvl w:val="0"/>
                <w:numId w:val="0"/>
              </w:numPr>
              <w:rPr>
                <w:sz w:val="18"/>
                <w:szCs w:val="18"/>
              </w:rPr>
            </w:pPr>
            <w:r w:rsidRPr="00BF0DD1">
              <w:rPr>
                <w:sz w:val="18"/>
                <w:szCs w:val="18"/>
              </w:rPr>
              <w:t xml:space="preserve">• </w:t>
            </w:r>
            <w:r w:rsidR="002470CB" w:rsidRPr="00BF0DD1">
              <w:rPr>
                <w:sz w:val="18"/>
                <w:szCs w:val="18"/>
              </w:rPr>
              <w:t>littoral understorey vegetation diversity and productivity?</w:t>
            </w:r>
          </w:p>
          <w:p w14:paraId="72821661" w14:textId="22DF8B89" w:rsidR="002470CB" w:rsidRPr="00B30541" w:rsidRDefault="008E002D" w:rsidP="00D639CA">
            <w:pPr>
              <w:pStyle w:val="TableText"/>
              <w:rPr>
                <w:sz w:val="18"/>
                <w:szCs w:val="18"/>
              </w:rPr>
            </w:pPr>
            <w:r w:rsidRPr="00BF0DD1">
              <w:rPr>
                <w:sz w:val="18"/>
                <w:szCs w:val="18"/>
              </w:rPr>
              <w:t xml:space="preserve">• </w:t>
            </w:r>
            <w:r w:rsidR="006043A5" w:rsidRPr="00BF0DD1">
              <w:rPr>
                <w:sz w:val="18"/>
                <w:szCs w:val="18"/>
              </w:rPr>
              <w:t>above-ground biomass produced by understorey littoral vegetation?</w:t>
            </w:r>
          </w:p>
        </w:tc>
        <w:tc>
          <w:tcPr>
            <w:tcW w:w="1007" w:type="pct"/>
            <w:shd w:val="clear" w:color="auto" w:fill="auto"/>
          </w:tcPr>
          <w:p w14:paraId="055D4F77" w14:textId="3C066F5E" w:rsidR="00BE64BD" w:rsidRPr="00B30541" w:rsidRDefault="00D955D5" w:rsidP="00BE64BD">
            <w:pPr>
              <w:pStyle w:val="TableBullets"/>
              <w:numPr>
                <w:ilvl w:val="0"/>
                <w:numId w:val="0"/>
              </w:numPr>
              <w:ind w:left="63"/>
              <w:rPr>
                <w:kern w:val="0"/>
                <w:sz w:val="18"/>
                <w:szCs w:val="18"/>
              </w:rPr>
            </w:pPr>
            <w:r>
              <w:rPr>
                <w:kern w:val="0"/>
                <w:sz w:val="18"/>
                <w:szCs w:val="18"/>
              </w:rPr>
              <w:t xml:space="preserve">See additional questions in contingency monitoring (Section </w:t>
            </w:r>
            <w:r>
              <w:rPr>
                <w:kern w:val="0"/>
                <w:sz w:val="18"/>
                <w:szCs w:val="18"/>
              </w:rPr>
              <w:fldChar w:fldCharType="begin"/>
            </w:r>
            <w:r>
              <w:rPr>
                <w:kern w:val="0"/>
                <w:sz w:val="18"/>
                <w:szCs w:val="18"/>
              </w:rPr>
              <w:instrText xml:space="preserve"> REF _Ref11845127 \r \h </w:instrText>
            </w:r>
            <w:r>
              <w:rPr>
                <w:kern w:val="0"/>
                <w:sz w:val="18"/>
                <w:szCs w:val="18"/>
              </w:rPr>
            </w:r>
            <w:r>
              <w:rPr>
                <w:kern w:val="0"/>
                <w:sz w:val="18"/>
                <w:szCs w:val="18"/>
              </w:rPr>
              <w:fldChar w:fldCharType="separate"/>
            </w:r>
            <w:r w:rsidR="00DF49CD">
              <w:rPr>
                <w:kern w:val="0"/>
                <w:sz w:val="18"/>
                <w:szCs w:val="18"/>
              </w:rPr>
              <w:t>5.3</w:t>
            </w:r>
            <w:r>
              <w:rPr>
                <w:kern w:val="0"/>
                <w:sz w:val="18"/>
                <w:szCs w:val="18"/>
              </w:rPr>
              <w:fldChar w:fldCharType="end"/>
            </w:r>
            <w:r>
              <w:rPr>
                <w:kern w:val="0"/>
                <w:sz w:val="18"/>
                <w:szCs w:val="18"/>
              </w:rPr>
              <w:t>)*.</w:t>
            </w:r>
          </w:p>
          <w:p w14:paraId="531A09FC" w14:textId="77777777" w:rsidR="002470CB" w:rsidRPr="00B30541" w:rsidRDefault="002470CB" w:rsidP="00D639CA">
            <w:pPr>
              <w:pStyle w:val="TableText"/>
              <w:rPr>
                <w:sz w:val="18"/>
                <w:szCs w:val="18"/>
              </w:rPr>
            </w:pPr>
          </w:p>
        </w:tc>
      </w:tr>
      <w:tr w:rsidR="002470CB" w:rsidRPr="000D3251" w14:paraId="288A46B5" w14:textId="77777777" w:rsidTr="00266764">
        <w:trPr>
          <w:cantSplit/>
        </w:trPr>
        <w:tc>
          <w:tcPr>
            <w:tcW w:w="577" w:type="pct"/>
            <w:tcBorders>
              <w:bottom w:val="single" w:sz="4" w:space="0" w:color="auto"/>
            </w:tcBorders>
          </w:tcPr>
          <w:p w14:paraId="35D67FE6" w14:textId="5AB64F36" w:rsidR="002470CB" w:rsidRPr="00B30541" w:rsidRDefault="002470CB" w:rsidP="005A073B">
            <w:pPr>
              <w:pStyle w:val="TableText"/>
              <w:rPr>
                <w:sz w:val="18"/>
                <w:szCs w:val="18"/>
              </w:rPr>
            </w:pPr>
            <w:r w:rsidRPr="00B30541">
              <w:rPr>
                <w:sz w:val="18"/>
                <w:szCs w:val="18"/>
              </w:rPr>
              <w:t xml:space="preserve">Micro-invertebrate </w:t>
            </w:r>
            <w:r w:rsidR="0021411A" w:rsidRPr="00B30541">
              <w:rPr>
                <w:sz w:val="18"/>
                <w:szCs w:val="18"/>
              </w:rPr>
              <w:t>A</w:t>
            </w:r>
            <w:r w:rsidRPr="00B30541">
              <w:rPr>
                <w:sz w:val="18"/>
                <w:szCs w:val="18"/>
              </w:rPr>
              <w:t>ssemblage</w:t>
            </w:r>
          </w:p>
        </w:tc>
        <w:tc>
          <w:tcPr>
            <w:tcW w:w="2365" w:type="pct"/>
            <w:tcBorders>
              <w:bottom w:val="single" w:sz="4" w:space="0" w:color="auto"/>
            </w:tcBorders>
          </w:tcPr>
          <w:p w14:paraId="461F803B" w14:textId="30EDCA9D" w:rsidR="002470CB" w:rsidRPr="00B30541" w:rsidRDefault="006B63E6" w:rsidP="00F816B4">
            <w:pPr>
              <w:pStyle w:val="TableText"/>
              <w:rPr>
                <w:sz w:val="18"/>
                <w:szCs w:val="18"/>
              </w:rPr>
            </w:pPr>
            <w:r w:rsidRPr="00B30541">
              <w:rPr>
                <w:sz w:val="18"/>
                <w:szCs w:val="18"/>
              </w:rPr>
              <w:t xml:space="preserve">• </w:t>
            </w:r>
            <w:r w:rsidR="002470CB" w:rsidRPr="00B30541">
              <w:rPr>
                <w:sz w:val="18"/>
                <w:szCs w:val="18"/>
              </w:rPr>
              <w:t>Assess changes in pelagic potamoplankton assemblages during Commonwealth environmental water deliveries.</w:t>
            </w:r>
          </w:p>
          <w:p w14:paraId="418728E2" w14:textId="2D82C606" w:rsidR="002470CB" w:rsidRPr="00B30541" w:rsidRDefault="006B63E6" w:rsidP="00F816B4">
            <w:pPr>
              <w:pStyle w:val="TableText"/>
              <w:rPr>
                <w:sz w:val="18"/>
                <w:szCs w:val="18"/>
              </w:rPr>
            </w:pPr>
            <w:r w:rsidRPr="00B30541">
              <w:rPr>
                <w:sz w:val="18"/>
                <w:szCs w:val="18"/>
              </w:rPr>
              <w:t xml:space="preserve">• </w:t>
            </w:r>
            <w:r w:rsidR="002470CB" w:rsidRPr="00B30541">
              <w:rPr>
                <w:sz w:val="18"/>
                <w:szCs w:val="18"/>
              </w:rPr>
              <w:t>Relate changes in pelagic potamoplankton assemblages to longitudinal connectivity achieved through upstream watering events.</w:t>
            </w:r>
          </w:p>
          <w:p w14:paraId="79382A95" w14:textId="0CF3979E" w:rsidR="002470CB" w:rsidRPr="00B30541" w:rsidRDefault="006B63E6" w:rsidP="00F816B4">
            <w:pPr>
              <w:pStyle w:val="TableText"/>
              <w:rPr>
                <w:sz w:val="18"/>
                <w:szCs w:val="18"/>
              </w:rPr>
            </w:pPr>
            <w:r w:rsidRPr="00B30541">
              <w:rPr>
                <w:sz w:val="18"/>
                <w:szCs w:val="18"/>
              </w:rPr>
              <w:t xml:space="preserve">• </w:t>
            </w:r>
            <w:r w:rsidR="002470CB" w:rsidRPr="00B30541">
              <w:rPr>
                <w:sz w:val="18"/>
                <w:szCs w:val="18"/>
              </w:rPr>
              <w:t>Relate changes in the density and diversity of pelagic potamoplankton assemblages to lateral connectivity between the main river channel and adjacent littoral, backwater habitats and connected floodplain during environmental water deliveries.</w:t>
            </w:r>
          </w:p>
          <w:p w14:paraId="0184A8CE" w14:textId="780C4E27" w:rsidR="002470CB" w:rsidRPr="00B30541" w:rsidRDefault="006B63E6" w:rsidP="00F816B4">
            <w:pPr>
              <w:pStyle w:val="TableText"/>
              <w:rPr>
                <w:sz w:val="18"/>
                <w:szCs w:val="18"/>
              </w:rPr>
            </w:pPr>
            <w:r w:rsidRPr="00B30541">
              <w:rPr>
                <w:sz w:val="18"/>
                <w:szCs w:val="18"/>
              </w:rPr>
              <w:t xml:space="preserve">• </w:t>
            </w:r>
            <w:r w:rsidR="002470CB" w:rsidRPr="00B30541">
              <w:rPr>
                <w:sz w:val="18"/>
                <w:szCs w:val="18"/>
              </w:rPr>
              <w:t>Relate changes in the ratios of defined microinvertebrate categories to in-channel hydraulics, water residence time, lateral and longitudinal connectivity and season and discuss about trophic ecology implications.</w:t>
            </w:r>
          </w:p>
        </w:tc>
        <w:tc>
          <w:tcPr>
            <w:tcW w:w="1051" w:type="pct"/>
            <w:tcBorders>
              <w:bottom w:val="single" w:sz="4" w:space="0" w:color="auto"/>
            </w:tcBorders>
            <w:shd w:val="clear" w:color="auto" w:fill="auto"/>
          </w:tcPr>
          <w:p w14:paraId="63497D14" w14:textId="77777777" w:rsidR="008E002D" w:rsidRPr="00B30541" w:rsidRDefault="002470CB" w:rsidP="00D639CA">
            <w:pPr>
              <w:pStyle w:val="TableText"/>
              <w:rPr>
                <w:sz w:val="18"/>
                <w:szCs w:val="18"/>
              </w:rPr>
            </w:pPr>
            <w:r w:rsidRPr="00B30541">
              <w:rPr>
                <w:sz w:val="18"/>
                <w:szCs w:val="18"/>
              </w:rPr>
              <w:t>What did CEW contribute to</w:t>
            </w:r>
            <w:r w:rsidR="008E002D" w:rsidRPr="00B30541">
              <w:rPr>
                <w:sz w:val="18"/>
                <w:szCs w:val="18"/>
              </w:rPr>
              <w:t>:</w:t>
            </w:r>
          </w:p>
          <w:p w14:paraId="0381BBE6" w14:textId="13C18F3E" w:rsidR="002470CB" w:rsidRPr="00B30541" w:rsidRDefault="008E002D" w:rsidP="00D639CA">
            <w:pPr>
              <w:pStyle w:val="TableText"/>
              <w:rPr>
                <w:sz w:val="18"/>
                <w:szCs w:val="18"/>
              </w:rPr>
            </w:pPr>
            <w:r w:rsidRPr="00B30541">
              <w:rPr>
                <w:sz w:val="18"/>
                <w:szCs w:val="18"/>
              </w:rPr>
              <w:t xml:space="preserve">• </w:t>
            </w:r>
            <w:r w:rsidR="002470CB" w:rsidRPr="00B30541">
              <w:rPr>
                <w:sz w:val="18"/>
                <w:szCs w:val="18"/>
              </w:rPr>
              <w:t>microinvertebrate diversity and abundance (density)?</w:t>
            </w:r>
          </w:p>
          <w:p w14:paraId="21A5C00D" w14:textId="20DAEF99" w:rsidR="002470CB" w:rsidRPr="00B30541" w:rsidRDefault="008E002D" w:rsidP="00D639CA">
            <w:pPr>
              <w:pStyle w:val="TableText"/>
              <w:rPr>
                <w:sz w:val="18"/>
                <w:szCs w:val="18"/>
              </w:rPr>
            </w:pPr>
            <w:r w:rsidRPr="00B30541">
              <w:rPr>
                <w:sz w:val="18"/>
                <w:szCs w:val="18"/>
              </w:rPr>
              <w:t xml:space="preserve">• </w:t>
            </w:r>
            <w:r w:rsidR="002470CB" w:rsidRPr="00B30541">
              <w:rPr>
                <w:sz w:val="18"/>
                <w:szCs w:val="18"/>
              </w:rPr>
              <w:t>communities of the Lower Murray Selected Area</w:t>
            </w:r>
            <w:r w:rsidRPr="00B30541">
              <w:rPr>
                <w:sz w:val="18"/>
                <w:szCs w:val="18"/>
              </w:rPr>
              <w:t xml:space="preserve"> (via longitudinal and lateral connectivity)</w:t>
            </w:r>
            <w:r w:rsidR="002470CB" w:rsidRPr="00B30541">
              <w:rPr>
                <w:sz w:val="18"/>
                <w:szCs w:val="18"/>
              </w:rPr>
              <w:t>?</w:t>
            </w:r>
          </w:p>
          <w:p w14:paraId="645F4E46" w14:textId="4BA449BF" w:rsidR="002470CB" w:rsidRPr="00B30541" w:rsidRDefault="008E002D" w:rsidP="00701403">
            <w:pPr>
              <w:pStyle w:val="TableText"/>
              <w:rPr>
                <w:sz w:val="18"/>
                <w:szCs w:val="18"/>
              </w:rPr>
            </w:pPr>
            <w:r w:rsidRPr="00B30541">
              <w:rPr>
                <w:sz w:val="18"/>
                <w:szCs w:val="18"/>
              </w:rPr>
              <w:t xml:space="preserve">• </w:t>
            </w:r>
            <w:r w:rsidR="002470CB" w:rsidRPr="00B30541">
              <w:rPr>
                <w:sz w:val="18"/>
                <w:szCs w:val="18"/>
              </w:rPr>
              <w:t xml:space="preserve">the </w:t>
            </w:r>
            <w:r w:rsidR="000F092C">
              <w:rPr>
                <w:sz w:val="18"/>
                <w:szCs w:val="18"/>
              </w:rPr>
              <w:t xml:space="preserve">expected </w:t>
            </w:r>
            <w:r w:rsidR="002470CB" w:rsidRPr="00B30541">
              <w:rPr>
                <w:sz w:val="18"/>
                <w:szCs w:val="18"/>
              </w:rPr>
              <w:t>quality of food resources (microinvertebrates) for higher trophic organisms?</w:t>
            </w:r>
          </w:p>
        </w:tc>
        <w:tc>
          <w:tcPr>
            <w:tcW w:w="1007" w:type="pct"/>
            <w:tcBorders>
              <w:bottom w:val="single" w:sz="4" w:space="0" w:color="auto"/>
            </w:tcBorders>
            <w:shd w:val="clear" w:color="auto" w:fill="auto"/>
          </w:tcPr>
          <w:p w14:paraId="0BCDBAF9" w14:textId="77777777" w:rsidR="008E002D" w:rsidRPr="00B30541" w:rsidRDefault="002470CB" w:rsidP="00D639CA">
            <w:pPr>
              <w:pStyle w:val="TableText"/>
              <w:rPr>
                <w:sz w:val="18"/>
                <w:szCs w:val="18"/>
              </w:rPr>
            </w:pPr>
            <w:r w:rsidRPr="00B30541">
              <w:rPr>
                <w:sz w:val="18"/>
                <w:szCs w:val="18"/>
              </w:rPr>
              <w:t>What did CEW contribute to</w:t>
            </w:r>
            <w:r w:rsidR="008E002D" w:rsidRPr="00B30541">
              <w:rPr>
                <w:sz w:val="18"/>
                <w:szCs w:val="18"/>
              </w:rPr>
              <w:t>:</w:t>
            </w:r>
          </w:p>
          <w:p w14:paraId="6946D9D1" w14:textId="43613CB1" w:rsidR="002470CB" w:rsidRPr="00B30541" w:rsidRDefault="008E002D" w:rsidP="00D639CA">
            <w:pPr>
              <w:pStyle w:val="TableText"/>
              <w:rPr>
                <w:sz w:val="18"/>
                <w:szCs w:val="18"/>
              </w:rPr>
            </w:pPr>
            <w:r w:rsidRPr="00B30541">
              <w:rPr>
                <w:sz w:val="18"/>
                <w:szCs w:val="18"/>
              </w:rPr>
              <w:t xml:space="preserve">• </w:t>
            </w:r>
            <w:r w:rsidR="002470CB" w:rsidRPr="00B30541">
              <w:rPr>
                <w:sz w:val="18"/>
                <w:szCs w:val="18"/>
              </w:rPr>
              <w:t xml:space="preserve">the </w:t>
            </w:r>
            <w:r w:rsidR="000F092C">
              <w:rPr>
                <w:sz w:val="18"/>
                <w:szCs w:val="18"/>
              </w:rPr>
              <w:t xml:space="preserve">expected </w:t>
            </w:r>
            <w:r w:rsidR="002470CB" w:rsidRPr="00B30541">
              <w:rPr>
                <w:sz w:val="18"/>
                <w:szCs w:val="18"/>
              </w:rPr>
              <w:t>quality of food resources (microinvertebrates) for higher trophic organisms?</w:t>
            </w:r>
          </w:p>
          <w:p w14:paraId="3AF68E7C" w14:textId="249B3F6A" w:rsidR="002470CB" w:rsidRPr="00B30541" w:rsidRDefault="00D955D5" w:rsidP="008E002D">
            <w:pPr>
              <w:pStyle w:val="TableText"/>
              <w:rPr>
                <w:sz w:val="18"/>
                <w:szCs w:val="18"/>
              </w:rPr>
            </w:pPr>
            <w:r>
              <w:rPr>
                <w:kern w:val="0"/>
                <w:sz w:val="18"/>
                <w:szCs w:val="18"/>
              </w:rPr>
              <w:t xml:space="preserve">See additional questions in contingency monitoring (Section </w:t>
            </w:r>
            <w:r>
              <w:rPr>
                <w:kern w:val="0"/>
                <w:sz w:val="18"/>
                <w:szCs w:val="18"/>
              </w:rPr>
              <w:fldChar w:fldCharType="begin"/>
            </w:r>
            <w:r>
              <w:rPr>
                <w:kern w:val="0"/>
                <w:sz w:val="18"/>
                <w:szCs w:val="18"/>
              </w:rPr>
              <w:instrText xml:space="preserve"> REF _Ref11845127 \r \h </w:instrText>
            </w:r>
            <w:r>
              <w:rPr>
                <w:kern w:val="0"/>
                <w:sz w:val="18"/>
                <w:szCs w:val="18"/>
              </w:rPr>
            </w:r>
            <w:r>
              <w:rPr>
                <w:kern w:val="0"/>
                <w:sz w:val="18"/>
                <w:szCs w:val="18"/>
              </w:rPr>
              <w:fldChar w:fldCharType="separate"/>
            </w:r>
            <w:r w:rsidR="00DF49CD">
              <w:rPr>
                <w:kern w:val="0"/>
                <w:sz w:val="18"/>
                <w:szCs w:val="18"/>
              </w:rPr>
              <w:t>5.3</w:t>
            </w:r>
            <w:r>
              <w:rPr>
                <w:kern w:val="0"/>
                <w:sz w:val="18"/>
                <w:szCs w:val="18"/>
              </w:rPr>
              <w:fldChar w:fldCharType="end"/>
            </w:r>
            <w:r>
              <w:rPr>
                <w:kern w:val="0"/>
                <w:sz w:val="18"/>
                <w:szCs w:val="18"/>
              </w:rPr>
              <w:t>)*.</w:t>
            </w:r>
          </w:p>
        </w:tc>
      </w:tr>
      <w:tr w:rsidR="002470CB" w:rsidRPr="000D3251" w14:paraId="02A74BB6" w14:textId="77777777" w:rsidTr="00266764">
        <w:trPr>
          <w:cantSplit/>
        </w:trPr>
        <w:tc>
          <w:tcPr>
            <w:tcW w:w="577" w:type="pct"/>
            <w:tcBorders>
              <w:bottom w:val="single" w:sz="4" w:space="0" w:color="auto"/>
            </w:tcBorders>
          </w:tcPr>
          <w:p w14:paraId="0F37799A" w14:textId="030772BA" w:rsidR="002470CB" w:rsidRPr="00B30541" w:rsidRDefault="0021411A" w:rsidP="008C1585">
            <w:pPr>
              <w:pStyle w:val="TableText"/>
              <w:rPr>
                <w:sz w:val="18"/>
                <w:szCs w:val="18"/>
              </w:rPr>
            </w:pPr>
            <w:r w:rsidRPr="00B30541">
              <w:rPr>
                <w:sz w:val="18"/>
                <w:szCs w:val="18"/>
              </w:rPr>
              <w:lastRenderedPageBreak/>
              <w:t>Flow-cued S</w:t>
            </w:r>
            <w:r w:rsidR="008C1585">
              <w:rPr>
                <w:sz w:val="18"/>
                <w:szCs w:val="18"/>
              </w:rPr>
              <w:t>pawning Fish Recruitment</w:t>
            </w:r>
          </w:p>
        </w:tc>
        <w:tc>
          <w:tcPr>
            <w:tcW w:w="2365" w:type="pct"/>
            <w:tcBorders>
              <w:bottom w:val="single" w:sz="4" w:space="0" w:color="auto"/>
            </w:tcBorders>
          </w:tcPr>
          <w:p w14:paraId="2B2E685B" w14:textId="454F8F05" w:rsidR="002470CB" w:rsidRPr="00B30541" w:rsidRDefault="006B63E6" w:rsidP="00CC15DE">
            <w:pPr>
              <w:pStyle w:val="TableText"/>
              <w:rPr>
                <w:sz w:val="18"/>
                <w:szCs w:val="18"/>
              </w:rPr>
            </w:pPr>
            <w:r w:rsidRPr="00B30541">
              <w:rPr>
                <w:sz w:val="18"/>
                <w:szCs w:val="18"/>
              </w:rPr>
              <w:t xml:space="preserve">• </w:t>
            </w:r>
            <w:r w:rsidR="002840B7">
              <w:rPr>
                <w:sz w:val="18"/>
                <w:szCs w:val="18"/>
              </w:rPr>
              <w:t>Relate</w:t>
            </w:r>
            <w:r w:rsidR="008508C1">
              <w:rPr>
                <w:sz w:val="18"/>
                <w:szCs w:val="18"/>
              </w:rPr>
              <w:t xml:space="preserve"> golden perch and silver perch</w:t>
            </w:r>
            <w:r w:rsidR="002470CB" w:rsidRPr="00B30541">
              <w:rPr>
                <w:sz w:val="18"/>
                <w:szCs w:val="18"/>
              </w:rPr>
              <w:t xml:space="preserve"> </w:t>
            </w:r>
            <w:r w:rsidR="002840B7">
              <w:rPr>
                <w:sz w:val="18"/>
                <w:szCs w:val="18"/>
              </w:rPr>
              <w:t>recruitment to</w:t>
            </w:r>
            <w:r w:rsidR="002470CB" w:rsidRPr="00B30541">
              <w:rPr>
                <w:sz w:val="18"/>
                <w:szCs w:val="18"/>
              </w:rPr>
              <w:t xml:space="preserve"> </w:t>
            </w:r>
            <w:r w:rsidR="008508C1">
              <w:rPr>
                <w:sz w:val="18"/>
                <w:szCs w:val="18"/>
              </w:rPr>
              <w:t>flow</w:t>
            </w:r>
            <w:r w:rsidR="002470CB" w:rsidRPr="00B30541">
              <w:rPr>
                <w:sz w:val="18"/>
                <w:szCs w:val="18"/>
              </w:rPr>
              <w:t>.</w:t>
            </w:r>
          </w:p>
          <w:p w14:paraId="6BE833CD" w14:textId="6112977E" w:rsidR="002470CB" w:rsidRPr="00B30541" w:rsidRDefault="002470CB" w:rsidP="0077463F">
            <w:pPr>
              <w:pStyle w:val="TableText"/>
              <w:rPr>
                <w:sz w:val="18"/>
                <w:szCs w:val="18"/>
              </w:rPr>
            </w:pPr>
          </w:p>
        </w:tc>
        <w:tc>
          <w:tcPr>
            <w:tcW w:w="1051" w:type="pct"/>
            <w:tcBorders>
              <w:bottom w:val="single" w:sz="4" w:space="0" w:color="auto"/>
            </w:tcBorders>
            <w:shd w:val="clear" w:color="auto" w:fill="auto"/>
          </w:tcPr>
          <w:p w14:paraId="51A35FD7" w14:textId="44097BA3" w:rsidR="002470CB" w:rsidRDefault="008508C1" w:rsidP="00873F36">
            <w:pPr>
              <w:pStyle w:val="TableText"/>
              <w:rPr>
                <w:sz w:val="18"/>
                <w:szCs w:val="18"/>
              </w:rPr>
            </w:pPr>
            <w:r>
              <w:rPr>
                <w:sz w:val="18"/>
                <w:szCs w:val="18"/>
              </w:rPr>
              <w:t xml:space="preserve">Did the flow regime (including environmental water) </w:t>
            </w:r>
            <w:r w:rsidR="002470CB" w:rsidRPr="00B30541">
              <w:rPr>
                <w:sz w:val="18"/>
                <w:szCs w:val="18"/>
              </w:rPr>
              <w:t xml:space="preserve">contribute to </w:t>
            </w:r>
            <w:r w:rsidRPr="00B30541">
              <w:rPr>
                <w:sz w:val="18"/>
                <w:szCs w:val="18"/>
              </w:rPr>
              <w:t>re</w:t>
            </w:r>
            <w:r>
              <w:rPr>
                <w:sz w:val="18"/>
                <w:szCs w:val="18"/>
              </w:rPr>
              <w:t>cruitment</w:t>
            </w:r>
            <w:r w:rsidR="002470CB" w:rsidRPr="00B30541">
              <w:rPr>
                <w:sz w:val="18"/>
                <w:szCs w:val="18"/>
              </w:rPr>
              <w:t xml:space="preserve"> of golden perch and silver perch? </w:t>
            </w:r>
          </w:p>
          <w:p w14:paraId="5E40D393" w14:textId="0FFA6322" w:rsidR="00940929" w:rsidRPr="007B72C3" w:rsidRDefault="00940929" w:rsidP="007B72C3">
            <w:r>
              <w:rPr>
                <w:kern w:val="0"/>
                <w:sz w:val="18"/>
                <w:szCs w:val="18"/>
              </w:rPr>
              <w:t xml:space="preserve">See additional questions in contingency monitoring (Section </w:t>
            </w:r>
            <w:r>
              <w:rPr>
                <w:kern w:val="0"/>
                <w:sz w:val="18"/>
                <w:szCs w:val="18"/>
              </w:rPr>
              <w:fldChar w:fldCharType="begin"/>
            </w:r>
            <w:r>
              <w:rPr>
                <w:kern w:val="0"/>
                <w:sz w:val="18"/>
                <w:szCs w:val="18"/>
              </w:rPr>
              <w:instrText xml:space="preserve"> REF _Ref11845127 \r \h </w:instrText>
            </w:r>
            <w:r>
              <w:rPr>
                <w:kern w:val="0"/>
                <w:sz w:val="18"/>
                <w:szCs w:val="18"/>
              </w:rPr>
            </w:r>
            <w:r>
              <w:rPr>
                <w:kern w:val="0"/>
                <w:sz w:val="18"/>
                <w:szCs w:val="18"/>
              </w:rPr>
              <w:fldChar w:fldCharType="separate"/>
            </w:r>
            <w:r w:rsidR="00DF49CD">
              <w:rPr>
                <w:kern w:val="0"/>
                <w:sz w:val="18"/>
                <w:szCs w:val="18"/>
              </w:rPr>
              <w:t>5.3</w:t>
            </w:r>
            <w:r>
              <w:rPr>
                <w:kern w:val="0"/>
                <w:sz w:val="18"/>
                <w:szCs w:val="18"/>
              </w:rPr>
              <w:fldChar w:fldCharType="end"/>
            </w:r>
            <w:r>
              <w:rPr>
                <w:kern w:val="0"/>
                <w:sz w:val="18"/>
                <w:szCs w:val="18"/>
              </w:rPr>
              <w:t>)*.</w:t>
            </w:r>
          </w:p>
        </w:tc>
        <w:tc>
          <w:tcPr>
            <w:tcW w:w="1007" w:type="pct"/>
            <w:tcBorders>
              <w:bottom w:val="single" w:sz="4" w:space="0" w:color="auto"/>
            </w:tcBorders>
            <w:shd w:val="clear" w:color="auto" w:fill="auto"/>
          </w:tcPr>
          <w:p w14:paraId="4A45F350" w14:textId="38A6CA1B" w:rsidR="00BE64BD" w:rsidRPr="00B30541" w:rsidRDefault="00BE64BD" w:rsidP="00BE64BD">
            <w:pPr>
              <w:pStyle w:val="TableText"/>
              <w:rPr>
                <w:sz w:val="18"/>
                <w:szCs w:val="18"/>
              </w:rPr>
            </w:pPr>
            <w:r>
              <w:rPr>
                <w:sz w:val="18"/>
                <w:szCs w:val="18"/>
              </w:rPr>
              <w:t xml:space="preserve">Did the flow regime (including environmental water) </w:t>
            </w:r>
            <w:r w:rsidRPr="00B30541">
              <w:rPr>
                <w:sz w:val="18"/>
                <w:szCs w:val="18"/>
              </w:rPr>
              <w:t>contribute to the resilience of golden perch and silver perch populations?</w:t>
            </w:r>
          </w:p>
          <w:p w14:paraId="3CCD9D8B" w14:textId="3704C154" w:rsidR="002470CB" w:rsidRPr="00B30541" w:rsidRDefault="002470CB" w:rsidP="00D639CA">
            <w:pPr>
              <w:pStyle w:val="TableText"/>
              <w:rPr>
                <w:sz w:val="18"/>
                <w:szCs w:val="18"/>
              </w:rPr>
            </w:pPr>
          </w:p>
          <w:p w14:paraId="6D5609E2" w14:textId="77777777" w:rsidR="002470CB" w:rsidRPr="00B30541" w:rsidRDefault="002470CB" w:rsidP="00D639CA">
            <w:pPr>
              <w:pStyle w:val="TableText"/>
              <w:rPr>
                <w:sz w:val="18"/>
                <w:szCs w:val="18"/>
              </w:rPr>
            </w:pPr>
          </w:p>
        </w:tc>
      </w:tr>
      <w:tr w:rsidR="002470CB" w:rsidRPr="000D3251" w14:paraId="3BAF7047" w14:textId="77777777" w:rsidTr="00266764">
        <w:trPr>
          <w:cantSplit/>
        </w:trPr>
        <w:tc>
          <w:tcPr>
            <w:tcW w:w="577" w:type="pct"/>
            <w:tcBorders>
              <w:bottom w:val="single" w:sz="4" w:space="0" w:color="auto"/>
            </w:tcBorders>
          </w:tcPr>
          <w:p w14:paraId="0A9372C4" w14:textId="0386CBE6" w:rsidR="002470CB" w:rsidRPr="00B30541" w:rsidRDefault="0021411A" w:rsidP="00D639CA">
            <w:pPr>
              <w:pStyle w:val="TableText"/>
              <w:rPr>
                <w:sz w:val="18"/>
                <w:szCs w:val="18"/>
                <w:highlight w:val="yellow"/>
              </w:rPr>
            </w:pPr>
            <w:r w:rsidRPr="00B30541">
              <w:rPr>
                <w:sz w:val="18"/>
                <w:szCs w:val="18"/>
              </w:rPr>
              <w:t>Murray Cod R</w:t>
            </w:r>
            <w:r w:rsidR="002470CB" w:rsidRPr="00B30541">
              <w:rPr>
                <w:sz w:val="18"/>
                <w:szCs w:val="18"/>
              </w:rPr>
              <w:t>ecruitment</w:t>
            </w:r>
          </w:p>
        </w:tc>
        <w:tc>
          <w:tcPr>
            <w:tcW w:w="2365" w:type="pct"/>
            <w:tcBorders>
              <w:bottom w:val="single" w:sz="4" w:space="0" w:color="auto"/>
            </w:tcBorders>
          </w:tcPr>
          <w:p w14:paraId="1E45FCFD" w14:textId="44BD768F" w:rsidR="002470CB" w:rsidRPr="00B30541" w:rsidRDefault="006B63E6" w:rsidP="00CC15DE">
            <w:pPr>
              <w:pStyle w:val="TableText"/>
              <w:rPr>
                <w:sz w:val="18"/>
                <w:szCs w:val="18"/>
              </w:rPr>
            </w:pPr>
            <w:r w:rsidRPr="00B30541">
              <w:rPr>
                <w:sz w:val="18"/>
                <w:szCs w:val="18"/>
              </w:rPr>
              <w:t xml:space="preserve">• </w:t>
            </w:r>
            <w:r w:rsidR="002470CB" w:rsidRPr="00B30541">
              <w:rPr>
                <w:sz w:val="18"/>
                <w:szCs w:val="18"/>
              </w:rPr>
              <w:t xml:space="preserve">Compare and contrast growth rates and morphometric condition in response to annual flow regimes, including environmental water </w:t>
            </w:r>
          </w:p>
          <w:p w14:paraId="77D91411" w14:textId="77777777" w:rsidR="00BA28FA" w:rsidRDefault="006B63E6" w:rsidP="00BA28FA">
            <w:pPr>
              <w:pStyle w:val="TableText"/>
              <w:rPr>
                <w:sz w:val="18"/>
                <w:szCs w:val="18"/>
              </w:rPr>
            </w:pPr>
            <w:r w:rsidRPr="00B30541">
              <w:rPr>
                <w:sz w:val="18"/>
                <w:szCs w:val="18"/>
              </w:rPr>
              <w:t xml:space="preserve">• </w:t>
            </w:r>
            <w:r w:rsidR="002470CB" w:rsidRPr="00B30541">
              <w:rPr>
                <w:sz w:val="18"/>
                <w:szCs w:val="18"/>
              </w:rPr>
              <w:t>Identify potential associations between recruitment, hydraulic habitat (e.g. flow velocities), and food resources (productivity).</w:t>
            </w:r>
            <w:r w:rsidR="00BA28FA" w:rsidRPr="00B30541">
              <w:rPr>
                <w:sz w:val="18"/>
                <w:szCs w:val="18"/>
              </w:rPr>
              <w:t xml:space="preserve"> </w:t>
            </w:r>
          </w:p>
          <w:p w14:paraId="4D684FDA" w14:textId="5DE3C25D" w:rsidR="00BA28FA" w:rsidRPr="00B30541" w:rsidRDefault="00BA28FA" w:rsidP="00BA28FA">
            <w:pPr>
              <w:pStyle w:val="TableText"/>
              <w:rPr>
                <w:sz w:val="18"/>
                <w:szCs w:val="18"/>
              </w:rPr>
            </w:pPr>
            <w:r w:rsidRPr="00B30541">
              <w:rPr>
                <w:sz w:val="18"/>
                <w:szCs w:val="18"/>
              </w:rPr>
              <w:t xml:space="preserve">• Compare and contrast recruitment success (abundance of YOY) in response to annual flow regimes, including environmental water </w:t>
            </w:r>
          </w:p>
          <w:p w14:paraId="28B1DFCE" w14:textId="2DE47874" w:rsidR="002470CB" w:rsidRPr="00B30541" w:rsidRDefault="002470CB" w:rsidP="00CC15DE">
            <w:pPr>
              <w:pStyle w:val="TableText"/>
              <w:rPr>
                <w:sz w:val="18"/>
                <w:szCs w:val="18"/>
              </w:rPr>
            </w:pPr>
          </w:p>
        </w:tc>
        <w:tc>
          <w:tcPr>
            <w:tcW w:w="1051" w:type="pct"/>
            <w:tcBorders>
              <w:bottom w:val="single" w:sz="4" w:space="0" w:color="auto"/>
            </w:tcBorders>
            <w:shd w:val="clear" w:color="auto" w:fill="auto"/>
          </w:tcPr>
          <w:p w14:paraId="4508EA05" w14:textId="77777777" w:rsidR="008E002D" w:rsidRPr="00B30541" w:rsidRDefault="002470CB" w:rsidP="009F2E3F">
            <w:pPr>
              <w:pStyle w:val="TableText"/>
              <w:rPr>
                <w:sz w:val="18"/>
                <w:szCs w:val="18"/>
              </w:rPr>
            </w:pPr>
            <w:r w:rsidRPr="00B30541">
              <w:rPr>
                <w:sz w:val="18"/>
                <w:szCs w:val="18"/>
              </w:rPr>
              <w:t>What did CEW contribute to</w:t>
            </w:r>
            <w:r w:rsidR="008E002D" w:rsidRPr="00B30541">
              <w:rPr>
                <w:sz w:val="18"/>
                <w:szCs w:val="18"/>
              </w:rPr>
              <w:t>:</w:t>
            </w:r>
          </w:p>
          <w:p w14:paraId="462C4127" w14:textId="77777777" w:rsidR="00BA28FA" w:rsidRDefault="00BA28FA" w:rsidP="009F2E3F">
            <w:pPr>
              <w:pStyle w:val="TableText"/>
              <w:rPr>
                <w:sz w:val="18"/>
                <w:szCs w:val="18"/>
              </w:rPr>
            </w:pPr>
            <w:r>
              <w:rPr>
                <w:sz w:val="18"/>
                <w:szCs w:val="18"/>
              </w:rPr>
              <w:t xml:space="preserve">• </w:t>
            </w:r>
            <w:r w:rsidRPr="00B30541">
              <w:rPr>
                <w:sz w:val="18"/>
                <w:szCs w:val="18"/>
              </w:rPr>
              <w:t>growth and morphometric condition of Murray cod?</w:t>
            </w:r>
          </w:p>
          <w:p w14:paraId="09F669D6" w14:textId="2ACC5F1E" w:rsidR="002470CB" w:rsidRPr="00B30541" w:rsidRDefault="008E002D" w:rsidP="009F2E3F">
            <w:pPr>
              <w:pStyle w:val="TableText"/>
              <w:rPr>
                <w:sz w:val="18"/>
                <w:szCs w:val="18"/>
              </w:rPr>
            </w:pPr>
            <w:r w:rsidRPr="00B30541">
              <w:rPr>
                <w:sz w:val="18"/>
                <w:szCs w:val="18"/>
              </w:rPr>
              <w:t xml:space="preserve">• </w:t>
            </w:r>
            <w:r w:rsidR="002470CB" w:rsidRPr="00B30541">
              <w:rPr>
                <w:sz w:val="18"/>
                <w:szCs w:val="18"/>
              </w:rPr>
              <w:t>recruitment of Murray cod?</w:t>
            </w:r>
          </w:p>
          <w:p w14:paraId="406A6E7C" w14:textId="33BE1E73" w:rsidR="002470CB" w:rsidRPr="00B30541" w:rsidRDefault="002470CB" w:rsidP="009F2E3F">
            <w:pPr>
              <w:pStyle w:val="TableText"/>
              <w:rPr>
                <w:sz w:val="18"/>
                <w:szCs w:val="18"/>
                <w:highlight w:val="yellow"/>
              </w:rPr>
            </w:pPr>
          </w:p>
        </w:tc>
        <w:tc>
          <w:tcPr>
            <w:tcW w:w="1007" w:type="pct"/>
            <w:tcBorders>
              <w:bottom w:val="single" w:sz="4" w:space="0" w:color="auto"/>
            </w:tcBorders>
            <w:shd w:val="clear" w:color="auto" w:fill="auto"/>
          </w:tcPr>
          <w:p w14:paraId="45C94F39" w14:textId="11D4E234" w:rsidR="002470CB" w:rsidRPr="00B30541" w:rsidRDefault="002470CB" w:rsidP="009F2E3F">
            <w:pPr>
              <w:pStyle w:val="TableText"/>
              <w:rPr>
                <w:sz w:val="18"/>
                <w:szCs w:val="18"/>
                <w:highlight w:val="yellow"/>
              </w:rPr>
            </w:pPr>
            <w:r w:rsidRPr="00B30541">
              <w:rPr>
                <w:sz w:val="18"/>
                <w:szCs w:val="18"/>
              </w:rPr>
              <w:t>What did CEW contribute to the resilience of Murray cod populations?</w:t>
            </w:r>
          </w:p>
        </w:tc>
      </w:tr>
      <w:tr w:rsidR="002470CB" w:rsidRPr="000D3251" w14:paraId="0A90A8C2" w14:textId="77777777" w:rsidTr="002470CB">
        <w:trPr>
          <w:cantSplit/>
        </w:trPr>
        <w:tc>
          <w:tcPr>
            <w:tcW w:w="5000" w:type="pct"/>
            <w:gridSpan w:val="4"/>
            <w:tcBorders>
              <w:top w:val="single" w:sz="4" w:space="0" w:color="auto"/>
              <w:left w:val="nil"/>
              <w:bottom w:val="nil"/>
              <w:right w:val="nil"/>
            </w:tcBorders>
          </w:tcPr>
          <w:p w14:paraId="4487B93F" w14:textId="5ABD38BC" w:rsidR="00231915" w:rsidRDefault="00231915" w:rsidP="002470CB">
            <w:pPr>
              <w:pStyle w:val="TableText"/>
              <w:rPr>
                <w:sz w:val="18"/>
              </w:rPr>
            </w:pPr>
            <w:r>
              <w:rPr>
                <w:sz w:val="18"/>
              </w:rPr>
              <w:t xml:space="preserve">The capability of addressing long-term </w:t>
            </w:r>
            <w:r w:rsidR="00B27321">
              <w:rPr>
                <w:sz w:val="18"/>
              </w:rPr>
              <w:t xml:space="preserve">outcomes </w:t>
            </w:r>
            <w:r w:rsidR="008900D0">
              <w:rPr>
                <w:sz w:val="18"/>
              </w:rPr>
              <w:t xml:space="preserve">is limited </w:t>
            </w:r>
            <w:r w:rsidR="005455D0">
              <w:rPr>
                <w:sz w:val="18"/>
              </w:rPr>
              <w:t xml:space="preserve">for newly developed indicators for the MER </w:t>
            </w:r>
            <w:r w:rsidR="001F661A">
              <w:rPr>
                <w:sz w:val="18"/>
              </w:rPr>
              <w:t>three</w:t>
            </w:r>
            <w:r w:rsidR="005455D0">
              <w:rPr>
                <w:sz w:val="18"/>
              </w:rPr>
              <w:t xml:space="preserve">-year Project due to the length of time required to evaluate long-term </w:t>
            </w:r>
            <w:r w:rsidR="00F83F6A">
              <w:rPr>
                <w:sz w:val="18"/>
              </w:rPr>
              <w:t xml:space="preserve">outcomes </w:t>
            </w:r>
            <w:r w:rsidR="005455D0">
              <w:rPr>
                <w:sz w:val="18"/>
              </w:rPr>
              <w:t>(</w:t>
            </w:r>
            <w:r w:rsidR="008900D0">
              <w:rPr>
                <w:rFonts w:cstheme="minorHAnsi"/>
                <w:sz w:val="18"/>
              </w:rPr>
              <w:t>≥</w:t>
            </w:r>
            <w:r w:rsidR="005455D0">
              <w:rPr>
                <w:sz w:val="18"/>
              </w:rPr>
              <w:t>5 years).</w:t>
            </w:r>
          </w:p>
          <w:p w14:paraId="434D610B" w14:textId="5BF4E856" w:rsidR="00266764" w:rsidRPr="00231915" w:rsidRDefault="002470CB" w:rsidP="00940929">
            <w:pPr>
              <w:pStyle w:val="TableText"/>
              <w:rPr>
                <w:sz w:val="18"/>
                <w:szCs w:val="18"/>
              </w:rPr>
            </w:pPr>
            <w:r w:rsidRPr="00266764">
              <w:rPr>
                <w:sz w:val="18"/>
              </w:rPr>
              <w:t>*The capability to address evaluation questions</w:t>
            </w:r>
            <w:r w:rsidR="00F83F6A">
              <w:rPr>
                <w:sz w:val="18"/>
              </w:rPr>
              <w:t xml:space="preserve"> for long-term outcomes</w:t>
            </w:r>
            <w:r w:rsidR="00AC683A">
              <w:rPr>
                <w:sz w:val="18"/>
              </w:rPr>
              <w:t xml:space="preserve"> from watering</w:t>
            </w:r>
            <w:r w:rsidRPr="00266764">
              <w:rPr>
                <w:sz w:val="18"/>
              </w:rPr>
              <w:t xml:space="preserve"> for </w:t>
            </w:r>
            <w:r w:rsidRPr="00266764">
              <w:rPr>
                <w:i/>
                <w:sz w:val="18"/>
              </w:rPr>
              <w:t>Microinvertebrate Assemblage</w:t>
            </w:r>
            <w:r w:rsidRPr="00266764">
              <w:rPr>
                <w:sz w:val="18"/>
              </w:rPr>
              <w:t xml:space="preserve"> and </w:t>
            </w:r>
            <w:r w:rsidRPr="00266764">
              <w:rPr>
                <w:i/>
                <w:sz w:val="18"/>
              </w:rPr>
              <w:t>Littoral Vegetation Diversity and Productivity</w:t>
            </w:r>
            <w:r w:rsidR="00231915">
              <w:rPr>
                <w:sz w:val="18"/>
              </w:rPr>
              <w:t>, and</w:t>
            </w:r>
            <w:r w:rsidR="00940929">
              <w:rPr>
                <w:sz w:val="18"/>
              </w:rPr>
              <w:t xml:space="preserve"> additional</w:t>
            </w:r>
            <w:r w:rsidR="00231915">
              <w:rPr>
                <w:sz w:val="18"/>
              </w:rPr>
              <w:t xml:space="preserve"> </w:t>
            </w:r>
            <w:r w:rsidR="00940929">
              <w:rPr>
                <w:sz w:val="18"/>
              </w:rPr>
              <w:t>evaluation</w:t>
            </w:r>
            <w:r w:rsidR="00231915">
              <w:rPr>
                <w:sz w:val="18"/>
              </w:rPr>
              <w:t xml:space="preserve"> questions for</w:t>
            </w:r>
            <w:r w:rsidR="00940929">
              <w:rPr>
                <w:sz w:val="18"/>
              </w:rPr>
              <w:t xml:space="preserve"> short-term responses </w:t>
            </w:r>
            <w:r w:rsidR="00AC683A">
              <w:rPr>
                <w:sz w:val="18"/>
              </w:rPr>
              <w:t xml:space="preserve">to watering </w:t>
            </w:r>
            <w:r w:rsidR="00940929">
              <w:rPr>
                <w:sz w:val="18"/>
              </w:rPr>
              <w:t>for</w:t>
            </w:r>
            <w:r w:rsidR="00231915">
              <w:rPr>
                <w:sz w:val="18"/>
              </w:rPr>
              <w:t xml:space="preserve"> </w:t>
            </w:r>
            <w:r w:rsidR="001E4123">
              <w:rPr>
                <w:i/>
                <w:sz w:val="18"/>
              </w:rPr>
              <w:t>Flow-cued Spawning Fishe</w:t>
            </w:r>
            <w:r w:rsidR="00231915" w:rsidRPr="00231915">
              <w:rPr>
                <w:i/>
                <w:sz w:val="18"/>
              </w:rPr>
              <w:t>s</w:t>
            </w:r>
            <w:r w:rsidR="00231915">
              <w:rPr>
                <w:sz w:val="18"/>
              </w:rPr>
              <w:t>,</w:t>
            </w:r>
            <w:r w:rsidRPr="00266764">
              <w:rPr>
                <w:sz w:val="18"/>
              </w:rPr>
              <w:t xml:space="preserve"> is dependent on contingency </w:t>
            </w:r>
            <w:r w:rsidR="008900D0">
              <w:rPr>
                <w:sz w:val="18"/>
              </w:rPr>
              <w:t>monitoring</w:t>
            </w:r>
            <w:r w:rsidR="002840B7">
              <w:rPr>
                <w:sz w:val="18"/>
              </w:rPr>
              <w:t xml:space="preserve"> (see Section </w:t>
            </w:r>
            <w:r w:rsidR="002840B7">
              <w:rPr>
                <w:sz w:val="18"/>
              </w:rPr>
              <w:fldChar w:fldCharType="begin"/>
            </w:r>
            <w:r w:rsidR="002840B7">
              <w:rPr>
                <w:sz w:val="18"/>
              </w:rPr>
              <w:instrText xml:space="preserve"> REF _Ref11845127 \r \h </w:instrText>
            </w:r>
            <w:r w:rsidR="002840B7">
              <w:rPr>
                <w:sz w:val="18"/>
              </w:rPr>
            </w:r>
            <w:r w:rsidR="002840B7">
              <w:rPr>
                <w:sz w:val="18"/>
              </w:rPr>
              <w:fldChar w:fldCharType="separate"/>
            </w:r>
            <w:r w:rsidR="00DF49CD">
              <w:rPr>
                <w:sz w:val="18"/>
              </w:rPr>
              <w:t>5.3</w:t>
            </w:r>
            <w:r w:rsidR="002840B7">
              <w:rPr>
                <w:sz w:val="18"/>
              </w:rPr>
              <w:fldChar w:fldCharType="end"/>
            </w:r>
            <w:r w:rsidR="002840B7">
              <w:rPr>
                <w:sz w:val="18"/>
              </w:rPr>
              <w:t>)</w:t>
            </w:r>
            <w:r w:rsidRPr="00266764">
              <w:rPr>
                <w:sz w:val="18"/>
              </w:rPr>
              <w:t>.</w:t>
            </w:r>
          </w:p>
        </w:tc>
      </w:tr>
    </w:tbl>
    <w:p w14:paraId="21E94E96" w14:textId="77777777" w:rsidR="00886E4D" w:rsidRPr="00C67ED2" w:rsidRDefault="00886E4D" w:rsidP="00886E4D">
      <w:pPr>
        <w:sectPr w:rsidR="00886E4D" w:rsidRPr="00C67ED2" w:rsidSect="003F6444">
          <w:pgSz w:w="16840" w:h="11900" w:orient="landscape"/>
          <w:pgMar w:top="1440" w:right="1440" w:bottom="1440" w:left="1440" w:header="709" w:footer="709" w:gutter="0"/>
          <w:cols w:space="708"/>
          <w:docGrid w:linePitch="360"/>
        </w:sectPr>
      </w:pPr>
    </w:p>
    <w:p w14:paraId="3D4AD0CF" w14:textId="1205592D" w:rsidR="00443EDA" w:rsidRPr="00F70901" w:rsidRDefault="00443EDA" w:rsidP="00475425">
      <w:pPr>
        <w:pStyle w:val="Heading1"/>
      </w:pPr>
      <w:bookmarkStart w:id="69" w:name="_Ref10107162"/>
      <w:bookmarkStart w:id="70" w:name="_Toc22196695"/>
      <w:r w:rsidRPr="00F70901">
        <w:lastRenderedPageBreak/>
        <w:t>Indicators</w:t>
      </w:r>
      <w:bookmarkEnd w:id="54"/>
      <w:bookmarkEnd w:id="55"/>
      <w:bookmarkEnd w:id="56"/>
      <w:bookmarkEnd w:id="69"/>
      <w:bookmarkEnd w:id="70"/>
    </w:p>
    <w:p w14:paraId="1777EF00" w14:textId="42AF48CB" w:rsidR="0025651C" w:rsidRDefault="00F069E7" w:rsidP="00F069E7">
      <w:r w:rsidRPr="00443EDA">
        <w:t>Th</w:t>
      </w:r>
      <w:r>
        <w:t xml:space="preserve">is section provides further </w:t>
      </w:r>
      <w:r w:rsidRPr="00443EDA">
        <w:t>details for each indicator</w:t>
      </w:r>
      <w:r w:rsidR="0025651C">
        <w:t xml:space="preserve"> of the Lower Murray</w:t>
      </w:r>
      <w:r w:rsidRPr="00443EDA">
        <w:t>, including background</w:t>
      </w:r>
      <w:r>
        <w:t xml:space="preserve"> information</w:t>
      </w:r>
      <w:r w:rsidRPr="00443EDA">
        <w:t>, cause and effect diagrams</w:t>
      </w:r>
      <w:r w:rsidR="00527A1E">
        <w:t xml:space="preserve"> (also see</w:t>
      </w:r>
      <w:r w:rsidR="00251188">
        <w:t xml:space="preserve"> </w:t>
      </w:r>
      <w:r w:rsidR="00251188">
        <w:fldChar w:fldCharType="begin"/>
      </w:r>
      <w:r w:rsidR="00251188">
        <w:instrText xml:space="preserve"> REF _Ref12630355 \h </w:instrText>
      </w:r>
      <w:r w:rsidR="00251188">
        <w:fldChar w:fldCharType="separate"/>
      </w:r>
      <w:r w:rsidR="00DF49CD">
        <w:t xml:space="preserve">Figure </w:t>
      </w:r>
      <w:r w:rsidR="00DF49CD">
        <w:rPr>
          <w:noProof/>
        </w:rPr>
        <w:t>5</w:t>
      </w:r>
      <w:r w:rsidR="00DF49CD">
        <w:t>.</w:t>
      </w:r>
      <w:r w:rsidR="00DF49CD">
        <w:rPr>
          <w:noProof/>
        </w:rPr>
        <w:t>1</w:t>
      </w:r>
      <w:r w:rsidR="00251188">
        <w:fldChar w:fldCharType="end"/>
      </w:r>
      <w:r w:rsidR="00251188">
        <w:t>)</w:t>
      </w:r>
      <w:r w:rsidRPr="00443EDA">
        <w:t xml:space="preserve">, objectives and hypotheses, </w:t>
      </w:r>
      <w:r>
        <w:t xml:space="preserve">general </w:t>
      </w:r>
      <w:r w:rsidRPr="00443EDA">
        <w:t xml:space="preserve">methodologies, </w:t>
      </w:r>
      <w:r>
        <w:t xml:space="preserve">outputs and key staff involved. </w:t>
      </w:r>
      <w:r w:rsidR="0025651C">
        <w:t xml:space="preserve">Basin-scale (Category 1) indicators are presented in Section </w:t>
      </w:r>
      <w:r w:rsidR="00527A1E">
        <w:fldChar w:fldCharType="begin"/>
      </w:r>
      <w:r w:rsidR="00527A1E">
        <w:instrText xml:space="preserve"> REF _Ref385512625 \r \h </w:instrText>
      </w:r>
      <w:r w:rsidR="00527A1E">
        <w:fldChar w:fldCharType="separate"/>
      </w:r>
      <w:r w:rsidR="00DF49CD">
        <w:t>5.1</w:t>
      </w:r>
      <w:r w:rsidR="00527A1E">
        <w:fldChar w:fldCharType="end"/>
      </w:r>
      <w:r w:rsidR="0025651C">
        <w:t xml:space="preserve">, and Selected Area (Category </w:t>
      </w:r>
      <w:r w:rsidR="00527A1E">
        <w:t xml:space="preserve">3) indicators are in Section </w:t>
      </w:r>
      <w:r w:rsidR="00527A1E">
        <w:fldChar w:fldCharType="begin"/>
      </w:r>
      <w:r w:rsidR="00527A1E">
        <w:instrText xml:space="preserve"> REF _Ref384814153 \r \h </w:instrText>
      </w:r>
      <w:r w:rsidR="00527A1E">
        <w:fldChar w:fldCharType="separate"/>
      </w:r>
      <w:r w:rsidR="00DF49CD">
        <w:t>5.2</w:t>
      </w:r>
      <w:r w:rsidR="00527A1E">
        <w:fldChar w:fldCharType="end"/>
      </w:r>
      <w:r w:rsidR="0025651C">
        <w:t xml:space="preserve">. </w:t>
      </w:r>
    </w:p>
    <w:p w14:paraId="59D60951" w14:textId="0C094067" w:rsidR="00443EDA" w:rsidRDefault="00443EDA" w:rsidP="00F02673">
      <w:r w:rsidRPr="00443EDA">
        <w:t>The cause and effect dia</w:t>
      </w:r>
      <w:r w:rsidR="00EA1EA0">
        <w:t xml:space="preserve">gram </w:t>
      </w:r>
      <w:r w:rsidRPr="00443EDA">
        <w:t xml:space="preserve">for selected indicators in </w:t>
      </w:r>
      <w:r w:rsidR="0025651C">
        <w:t xml:space="preserve">the following sections and the general diagram for the </w:t>
      </w:r>
      <w:r w:rsidR="0025651C" w:rsidRPr="00D729DF">
        <w:t>Lower Murray</w:t>
      </w:r>
      <w:r w:rsidR="0025651C">
        <w:t xml:space="preserve"> (</w:t>
      </w:r>
      <w:r w:rsidR="00671486">
        <w:fldChar w:fldCharType="begin"/>
      </w:r>
      <w:r w:rsidR="00671486">
        <w:instrText xml:space="preserve"> REF _Ref10184501 \h </w:instrText>
      </w:r>
      <w:r w:rsidR="00671486">
        <w:fldChar w:fldCharType="separate"/>
      </w:r>
      <w:r w:rsidR="00DF49CD">
        <w:t xml:space="preserve">Figure </w:t>
      </w:r>
      <w:r w:rsidR="00DF49CD">
        <w:rPr>
          <w:noProof/>
        </w:rPr>
        <w:t>3</w:t>
      </w:r>
      <w:r w:rsidR="00DF49CD">
        <w:t>.</w:t>
      </w:r>
      <w:r w:rsidR="00DF49CD">
        <w:rPr>
          <w:noProof/>
        </w:rPr>
        <w:t>2</w:t>
      </w:r>
      <w:r w:rsidR="00671486">
        <w:fldChar w:fldCharType="end"/>
      </w:r>
      <w:r w:rsidR="0025651C">
        <w:t xml:space="preserve">) </w:t>
      </w:r>
      <w:r w:rsidRPr="00443EDA">
        <w:t xml:space="preserve">illustrate our conceptual understanding </w:t>
      </w:r>
      <w:r w:rsidRPr="00443EDA">
        <w:rPr>
          <w:rFonts w:ascii="Calibri" w:hAnsi="Calibri" w:cs="Calibri"/>
          <w:bCs/>
          <w:color w:val="auto"/>
          <w:kern w:val="0"/>
          <w:lang w:val="en-US"/>
        </w:rPr>
        <w:t xml:space="preserve">of the ecological processes and life histories of relevant biota, and the expected </w:t>
      </w:r>
      <w:r w:rsidRPr="00443EDA">
        <w:t>responses from Commonwealth environmental water delivery. Hypotheses are based on these concepts, and monitoring is designed to assess flow responses and ecological outcomes.</w:t>
      </w:r>
      <w:r w:rsidR="000B6913">
        <w:t xml:space="preserve"> </w:t>
      </w:r>
      <w:r w:rsidRPr="00443EDA">
        <w:t xml:space="preserve">This intervention monitoring approach allows strong inferences to be drawn regarding the contribution of Commonwealth environmental water to ecological outcomes in the </w:t>
      </w:r>
      <w:r w:rsidR="00D729DF" w:rsidRPr="00D729DF">
        <w:t>Lower Murray</w:t>
      </w:r>
      <w:r w:rsidRPr="00443EDA">
        <w:t xml:space="preserve">. </w:t>
      </w:r>
      <w:r w:rsidR="00AE320D">
        <w:t xml:space="preserve">Additional </w:t>
      </w:r>
      <w:r w:rsidR="00BC2E31">
        <w:t xml:space="preserve">monitoring, evaluation (contingent upon flow) and </w:t>
      </w:r>
      <w:r w:rsidR="00AE320D">
        <w:t xml:space="preserve">research </w:t>
      </w:r>
      <w:r w:rsidR="00887721">
        <w:t xml:space="preserve">(see Sections </w:t>
      </w:r>
      <w:r w:rsidR="00887721">
        <w:fldChar w:fldCharType="begin"/>
      </w:r>
      <w:r w:rsidR="00887721">
        <w:instrText xml:space="preserve"> REF _Ref10110123 \r \h </w:instrText>
      </w:r>
      <w:r w:rsidR="00887721">
        <w:fldChar w:fldCharType="separate"/>
      </w:r>
      <w:r w:rsidR="00DF49CD">
        <w:t>5.3</w:t>
      </w:r>
      <w:r w:rsidR="00887721">
        <w:fldChar w:fldCharType="end"/>
      </w:r>
      <w:r w:rsidR="006126D1">
        <w:t xml:space="preserve"> and </w:t>
      </w:r>
      <w:r w:rsidR="006126D1">
        <w:fldChar w:fldCharType="begin"/>
      </w:r>
      <w:r w:rsidR="006126D1">
        <w:instrText xml:space="preserve"> REF _Ref12000383 \r \h </w:instrText>
      </w:r>
      <w:r w:rsidR="006126D1">
        <w:fldChar w:fldCharType="separate"/>
      </w:r>
      <w:r w:rsidR="00DF49CD">
        <w:t>6</w:t>
      </w:r>
      <w:r w:rsidR="006126D1">
        <w:fldChar w:fldCharType="end"/>
      </w:r>
      <w:r w:rsidR="00887721">
        <w:t xml:space="preserve">) </w:t>
      </w:r>
      <w:r w:rsidR="00AE320D">
        <w:t>will be conducted in conjunction with the</w:t>
      </w:r>
      <w:r w:rsidR="00BC2E31">
        <w:t xml:space="preserve"> core</w:t>
      </w:r>
      <w:r w:rsidR="00AE320D">
        <w:t xml:space="preserve"> m</w:t>
      </w:r>
      <w:r w:rsidR="00527A1E">
        <w:t>onitoring program</w:t>
      </w:r>
      <w:r w:rsidR="00AE320D">
        <w:t xml:space="preserve">. </w:t>
      </w:r>
      <w:r w:rsidRPr="00443EDA">
        <w:t xml:space="preserve">Data and knowledge developed will </w:t>
      </w:r>
      <w:r w:rsidR="00AE320D">
        <w:t xml:space="preserve">inform the evaluation and </w:t>
      </w:r>
      <w:r w:rsidRPr="00443EDA">
        <w:t>underpin adaptive management</w:t>
      </w:r>
      <w:r w:rsidR="00AE320D" w:rsidRPr="00AE320D">
        <w:t xml:space="preserve"> </w:t>
      </w:r>
      <w:r w:rsidR="00AE320D">
        <w:t xml:space="preserve">of </w:t>
      </w:r>
      <w:r w:rsidR="00AE320D" w:rsidRPr="00443EDA">
        <w:t>environmental flow</w:t>
      </w:r>
      <w:r w:rsidR="00DB16CF">
        <w:t xml:space="preserve"> in the Lower Murray</w:t>
      </w:r>
      <w:r w:rsidRPr="00443EDA">
        <w:t>.</w:t>
      </w:r>
    </w:p>
    <w:p w14:paraId="3AD93349" w14:textId="2B2463C7" w:rsidR="0025651C" w:rsidRPr="00F16CED" w:rsidRDefault="0025651C" w:rsidP="0025651C">
      <w:pPr>
        <w:rPr>
          <w:lang w:val="en-US"/>
        </w:rPr>
      </w:pPr>
      <w:r>
        <w:t xml:space="preserve">More details </w:t>
      </w:r>
      <w:r w:rsidR="00DB16CF">
        <w:t xml:space="preserve">of </w:t>
      </w:r>
      <w:r>
        <w:t xml:space="preserve">the Standard Operating Procedures (SOPs) for each indicator </w:t>
      </w:r>
      <w:r w:rsidR="00DB16CF">
        <w:t xml:space="preserve">are available </w:t>
      </w:r>
      <w:r>
        <w:t xml:space="preserve">in </w:t>
      </w:r>
      <w:r w:rsidRPr="00A3471B">
        <w:t>Appendix</w:t>
      </w:r>
      <w:r>
        <w:t xml:space="preserve"> </w:t>
      </w:r>
      <w:r w:rsidR="003C5301">
        <w:t>B</w:t>
      </w:r>
      <w:r>
        <w:t xml:space="preserve">. </w:t>
      </w:r>
      <w:r w:rsidRPr="00443EDA">
        <w:t>An annual budget for each indicator</w:t>
      </w:r>
      <w:r>
        <w:t>,</w:t>
      </w:r>
      <w:r w:rsidRPr="00443EDA">
        <w:t xml:space="preserve"> </w:t>
      </w:r>
      <w:r>
        <w:t>along</w:t>
      </w:r>
      <w:r w:rsidRPr="00443EDA">
        <w:t xml:space="preserve"> with a more detailed breakdown of the budget </w:t>
      </w:r>
      <w:r>
        <w:t xml:space="preserve">is provided </w:t>
      </w:r>
      <w:r w:rsidRPr="00443EDA">
        <w:t xml:space="preserve">in </w:t>
      </w:r>
      <w:r>
        <w:t xml:space="preserve">Section </w:t>
      </w:r>
      <w:r w:rsidR="00BC2E31">
        <w:fldChar w:fldCharType="begin"/>
      </w:r>
      <w:r w:rsidR="00BC2E31">
        <w:instrText xml:space="preserve"> REF _Ref10110212 \r \h </w:instrText>
      </w:r>
      <w:r w:rsidR="00BC2E31">
        <w:fldChar w:fldCharType="separate"/>
      </w:r>
      <w:r w:rsidR="00DF49CD">
        <w:t>13</w:t>
      </w:r>
      <w:r w:rsidR="00BC2E31">
        <w:fldChar w:fldCharType="end"/>
      </w:r>
      <w:r w:rsidRPr="00443EDA">
        <w:t xml:space="preserve">. A matrix table linking indicators to the ecological objectives </w:t>
      </w:r>
      <w:r>
        <w:t xml:space="preserve">for the </w:t>
      </w:r>
      <w:r w:rsidRPr="00443EDA">
        <w:t xml:space="preserve">Basin Plan, CEWO and Selected Area evaluation questions </w:t>
      </w:r>
      <w:r>
        <w:t xml:space="preserve">is presented in </w:t>
      </w:r>
      <w:r w:rsidRPr="000D6A78">
        <w:t xml:space="preserve">Appendix </w:t>
      </w:r>
      <w:r w:rsidR="003C5301">
        <w:t>D</w:t>
      </w:r>
      <w:r w:rsidRPr="000D6A78">
        <w:t xml:space="preserve">. </w:t>
      </w:r>
    </w:p>
    <w:p w14:paraId="2476118A" w14:textId="77777777" w:rsidR="006A271C" w:rsidRDefault="006A271C">
      <w:pPr>
        <w:jc w:val="center"/>
        <w:rPr>
          <w:bCs/>
        </w:rPr>
      </w:pPr>
      <w:r>
        <w:rPr>
          <w:noProof/>
          <w:lang w:eastAsia="en-AU"/>
        </w:rPr>
        <w:drawing>
          <wp:inline distT="0" distB="0" distL="0" distR="0" wp14:anchorId="150C4903" wp14:editId="1359A99F">
            <wp:extent cx="5503801" cy="2851783"/>
            <wp:effectExtent l="19050" t="0" r="1649"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509036" cy="2854496"/>
                    </a:xfrm>
                    <a:prstGeom prst="rect">
                      <a:avLst/>
                    </a:prstGeom>
                    <a:noFill/>
                    <a:ln w="9525">
                      <a:noFill/>
                      <a:miter lim="800000"/>
                      <a:headEnd/>
                      <a:tailEnd/>
                    </a:ln>
                  </pic:spPr>
                </pic:pic>
              </a:graphicData>
            </a:graphic>
          </wp:inline>
        </w:drawing>
      </w:r>
    </w:p>
    <w:p w14:paraId="608BAD07" w14:textId="4B1462DC" w:rsidR="00F16CED" w:rsidRPr="00443EDA" w:rsidRDefault="00251188" w:rsidP="00251188">
      <w:pPr>
        <w:pStyle w:val="Caption"/>
        <w:rPr>
          <w:bCs w:val="0"/>
        </w:rPr>
        <w:sectPr w:rsidR="00F16CED" w:rsidRPr="00443EDA" w:rsidSect="003F6444">
          <w:pgSz w:w="11900" w:h="16840"/>
          <w:pgMar w:top="1440" w:right="1440" w:bottom="1440" w:left="1440" w:header="708" w:footer="708" w:gutter="0"/>
          <w:cols w:space="708"/>
          <w:docGrid w:linePitch="360"/>
        </w:sectPr>
      </w:pPr>
      <w:bookmarkStart w:id="71" w:name="_Ref12630355"/>
      <w:bookmarkStart w:id="72" w:name="_Toc12630432"/>
      <w:r>
        <w:t xml:space="preserve">Figure </w:t>
      </w:r>
      <w:r w:rsidR="00A8252A">
        <w:rPr>
          <w:noProof/>
        </w:rPr>
        <w:fldChar w:fldCharType="begin"/>
      </w:r>
      <w:r w:rsidR="00A8252A">
        <w:rPr>
          <w:noProof/>
        </w:rPr>
        <w:instrText xml:space="preserve"> STYLEREF 1 \s </w:instrText>
      </w:r>
      <w:r w:rsidR="00A8252A">
        <w:rPr>
          <w:noProof/>
        </w:rPr>
        <w:fldChar w:fldCharType="separate"/>
      </w:r>
      <w:r w:rsidR="00DF49CD">
        <w:rPr>
          <w:noProof/>
        </w:rPr>
        <w:t>5</w:t>
      </w:r>
      <w:r w:rsidR="00A8252A">
        <w:rPr>
          <w:noProof/>
        </w:rPr>
        <w:fldChar w:fldCharType="end"/>
      </w:r>
      <w:r>
        <w:t>.</w:t>
      </w:r>
      <w:r w:rsidR="00A8252A">
        <w:rPr>
          <w:noProof/>
        </w:rPr>
        <w:fldChar w:fldCharType="begin"/>
      </w:r>
      <w:r w:rsidR="00A8252A">
        <w:rPr>
          <w:noProof/>
        </w:rPr>
        <w:instrText xml:space="preserve"> SEQ Figure \* ARABIC \s 1 </w:instrText>
      </w:r>
      <w:r w:rsidR="00A8252A">
        <w:rPr>
          <w:noProof/>
        </w:rPr>
        <w:fldChar w:fldCharType="separate"/>
      </w:r>
      <w:r w:rsidR="00DF49CD">
        <w:rPr>
          <w:noProof/>
        </w:rPr>
        <w:t>1</w:t>
      </w:r>
      <w:r w:rsidR="00A8252A">
        <w:rPr>
          <w:noProof/>
        </w:rPr>
        <w:fldChar w:fldCharType="end"/>
      </w:r>
      <w:bookmarkEnd w:id="71"/>
      <w:r>
        <w:t xml:space="preserve">. </w:t>
      </w:r>
      <w:r w:rsidR="00F16CED">
        <w:rPr>
          <w:bCs w:val="0"/>
        </w:rPr>
        <w:t>Key for cause and effect diagrams (</w:t>
      </w:r>
      <w:r w:rsidR="00827C16">
        <w:rPr>
          <w:bCs w:val="0"/>
        </w:rPr>
        <w:t xml:space="preserve">taken from </w:t>
      </w:r>
      <w:r w:rsidR="00F16CED">
        <w:rPr>
          <w:bCs w:val="0"/>
        </w:rPr>
        <w:t xml:space="preserve">MDFRC 2013) </w:t>
      </w:r>
      <w:r w:rsidR="00827C16">
        <w:rPr>
          <w:bCs w:val="0"/>
        </w:rPr>
        <w:t xml:space="preserve">that are </w:t>
      </w:r>
      <w:r w:rsidR="00F16CED">
        <w:rPr>
          <w:bCs w:val="0"/>
        </w:rPr>
        <w:t xml:space="preserve">provided in Sections </w:t>
      </w:r>
      <w:r w:rsidR="006F4D01">
        <w:rPr>
          <w:bCs w:val="0"/>
        </w:rPr>
        <w:fldChar w:fldCharType="begin"/>
      </w:r>
      <w:r w:rsidR="006F4700">
        <w:rPr>
          <w:bCs w:val="0"/>
        </w:rPr>
        <w:instrText xml:space="preserve"> REF _Ref385512625 \r \h </w:instrText>
      </w:r>
      <w:r w:rsidR="006F4D01">
        <w:rPr>
          <w:bCs w:val="0"/>
        </w:rPr>
      </w:r>
      <w:r w:rsidR="006F4D01">
        <w:rPr>
          <w:bCs w:val="0"/>
        </w:rPr>
        <w:fldChar w:fldCharType="separate"/>
      </w:r>
      <w:r w:rsidR="00DF49CD">
        <w:rPr>
          <w:bCs w:val="0"/>
        </w:rPr>
        <w:t>5.1</w:t>
      </w:r>
      <w:r w:rsidR="006F4D01">
        <w:rPr>
          <w:bCs w:val="0"/>
        </w:rPr>
        <w:fldChar w:fldCharType="end"/>
      </w:r>
      <w:r w:rsidR="006F4700">
        <w:rPr>
          <w:bCs w:val="0"/>
        </w:rPr>
        <w:t xml:space="preserve"> and </w:t>
      </w:r>
      <w:r w:rsidR="006F4D01">
        <w:rPr>
          <w:bCs w:val="0"/>
        </w:rPr>
        <w:fldChar w:fldCharType="begin"/>
      </w:r>
      <w:r w:rsidR="006F4700">
        <w:rPr>
          <w:bCs w:val="0"/>
        </w:rPr>
        <w:instrText xml:space="preserve"> REF _Ref384814153 \r \h </w:instrText>
      </w:r>
      <w:r w:rsidR="006F4D01">
        <w:rPr>
          <w:bCs w:val="0"/>
        </w:rPr>
      </w:r>
      <w:r w:rsidR="006F4D01">
        <w:rPr>
          <w:bCs w:val="0"/>
        </w:rPr>
        <w:fldChar w:fldCharType="separate"/>
      </w:r>
      <w:r w:rsidR="00DF49CD">
        <w:rPr>
          <w:bCs w:val="0"/>
        </w:rPr>
        <w:t>5.2</w:t>
      </w:r>
      <w:r w:rsidR="006F4D01">
        <w:rPr>
          <w:bCs w:val="0"/>
        </w:rPr>
        <w:fldChar w:fldCharType="end"/>
      </w:r>
      <w:r w:rsidR="00F16CED">
        <w:rPr>
          <w:bCs w:val="0"/>
        </w:rPr>
        <w:t>.</w:t>
      </w:r>
      <w:bookmarkEnd w:id="72"/>
    </w:p>
    <w:p w14:paraId="2D5B9E60" w14:textId="4B257863" w:rsidR="007908DD" w:rsidRPr="00443EDA" w:rsidRDefault="007908DD" w:rsidP="00475425">
      <w:pPr>
        <w:pStyle w:val="Heading2"/>
      </w:pPr>
      <w:bookmarkStart w:id="73" w:name="_Ref385512625"/>
      <w:bookmarkStart w:id="74" w:name="_Ref385512656"/>
      <w:bookmarkStart w:id="75" w:name="_Ref10120008"/>
      <w:bookmarkStart w:id="76" w:name="_Toc22196696"/>
      <w:bookmarkStart w:id="77" w:name="_Toc384985532"/>
      <w:r w:rsidRPr="00443EDA">
        <w:lastRenderedPageBreak/>
        <w:t xml:space="preserve">Category </w:t>
      </w:r>
      <w:r w:rsidR="0022666F">
        <w:t>1</w:t>
      </w:r>
      <w:bookmarkEnd w:id="73"/>
      <w:bookmarkEnd w:id="74"/>
      <w:bookmarkEnd w:id="75"/>
      <w:r w:rsidR="00251188">
        <w:t>.</w:t>
      </w:r>
      <w:bookmarkEnd w:id="76"/>
      <w:r w:rsidR="00251188">
        <w:t xml:space="preserve"> </w:t>
      </w:r>
    </w:p>
    <w:p w14:paraId="310268A3" w14:textId="1BDBD0D7" w:rsidR="00960F5A" w:rsidRPr="00443EDA" w:rsidRDefault="00960F5A" w:rsidP="00960F5A">
      <w:pPr>
        <w:pStyle w:val="Heading3"/>
      </w:pPr>
      <w:bookmarkStart w:id="78" w:name="_Ref391538496"/>
      <w:bookmarkStart w:id="79" w:name="_Toc22196697"/>
      <w:bookmarkStart w:id="80" w:name="_Ref384981656"/>
      <w:bookmarkStart w:id="81" w:name="_Ref384981726"/>
      <w:bookmarkStart w:id="82" w:name="_Toc384985533"/>
      <w:bookmarkStart w:id="83" w:name="_Toc6407279"/>
      <w:r>
        <w:t xml:space="preserve">Hydrology </w:t>
      </w:r>
      <w:bookmarkEnd w:id="78"/>
      <w:r>
        <w:t>(</w:t>
      </w:r>
      <w:r w:rsidR="002D72BB">
        <w:t>C</w:t>
      </w:r>
      <w:r>
        <w:t>hannel)</w:t>
      </w:r>
      <w:bookmarkEnd w:id="79"/>
    </w:p>
    <w:p w14:paraId="44750803" w14:textId="77777777" w:rsidR="00960F5A" w:rsidRPr="00443EDA" w:rsidRDefault="00960F5A" w:rsidP="00960F5A">
      <w:pPr>
        <w:pStyle w:val="Heading4"/>
      </w:pPr>
      <w:r w:rsidRPr="00443EDA">
        <w:t>Indicators</w:t>
      </w:r>
    </w:p>
    <w:p w14:paraId="58C129EA" w14:textId="77777777" w:rsidR="00960F5A" w:rsidRPr="00DF5E68" w:rsidRDefault="00960F5A" w:rsidP="00960F5A">
      <w:pPr>
        <w:pStyle w:val="ListBullet"/>
        <w:rPr>
          <w:b/>
        </w:rPr>
      </w:pPr>
      <w:r w:rsidRPr="007D5364">
        <w:rPr>
          <w:rFonts w:eastAsia="Calibri"/>
        </w:rPr>
        <w:t xml:space="preserve">Recorded daily discharge </w:t>
      </w:r>
      <w:r w:rsidRPr="00DF5E68">
        <w:rPr>
          <w:rFonts w:eastAsia="Calibri"/>
        </w:rPr>
        <w:t>and water level at available stations.</w:t>
      </w:r>
    </w:p>
    <w:p w14:paraId="0571D326" w14:textId="77777777" w:rsidR="00960F5A" w:rsidRPr="00443EDA" w:rsidRDefault="00960F5A" w:rsidP="00960F5A">
      <w:pPr>
        <w:pStyle w:val="Heading4"/>
      </w:pPr>
      <w:r w:rsidRPr="00443EDA">
        <w:t>Background</w:t>
      </w:r>
    </w:p>
    <w:p w14:paraId="7ABE03CF" w14:textId="7B21674C" w:rsidR="00960F5A" w:rsidRPr="00443EDA" w:rsidRDefault="00960F5A" w:rsidP="00960F5A">
      <w:r>
        <w:t xml:space="preserve">The </w:t>
      </w:r>
      <w:r w:rsidRPr="00887721">
        <w:rPr>
          <w:i/>
        </w:rPr>
        <w:t>Hydrology (Channel)</w:t>
      </w:r>
      <w:r w:rsidRPr="00443EDA">
        <w:t xml:space="preserve"> protocol describes a stage-based rating curve to determine daily discharge, using velocity measurements to derive the rating curve and the relationship between stage and discharge. The highly regulated </w:t>
      </w:r>
      <w:r w:rsidRPr="000F53E7">
        <w:t>Lower Murray</w:t>
      </w:r>
      <w:r>
        <w:t xml:space="preserve"> Selected Area</w:t>
      </w:r>
      <w:r w:rsidR="00BE64BD">
        <w:t xml:space="preserve"> </w:t>
      </w:r>
      <w:r w:rsidRPr="00443EDA">
        <w:t xml:space="preserve">is not a free-flowing system where the downstream water level influences the discharge, so this approach is generally not appropriate. CEWO have advised that </w:t>
      </w:r>
      <w:r>
        <w:t>another approach can be used</w:t>
      </w:r>
      <w:r w:rsidRPr="00443EDA">
        <w:t xml:space="preserve"> if the necessary accuracy</w:t>
      </w:r>
      <w:r>
        <w:t xml:space="preserve"> can be</w:t>
      </w:r>
      <w:r w:rsidRPr="00443EDA">
        <w:t xml:space="preserve"> achieved.</w:t>
      </w:r>
    </w:p>
    <w:p w14:paraId="66A52671" w14:textId="428C3899" w:rsidR="00960F5A" w:rsidRPr="00443EDA" w:rsidRDefault="00960F5A" w:rsidP="00960F5A">
      <w:r w:rsidRPr="00443EDA">
        <w:t>Daily discharge is currently c</w:t>
      </w:r>
      <w:r>
        <w:t>alculated at all weirs (Locks 1</w:t>
      </w:r>
      <w:r>
        <w:rPr>
          <w:rFonts w:eastAsiaTheme="majorEastAsia"/>
        </w:rPr>
        <w:t>–</w:t>
      </w:r>
      <w:r w:rsidRPr="00443EDA">
        <w:t xml:space="preserve">6) in </w:t>
      </w:r>
      <w:r>
        <w:t>South Australia</w:t>
      </w:r>
      <w:r w:rsidRPr="00443EDA">
        <w:t xml:space="preserve"> within the necessary accuracy (within 10</w:t>
      </w:r>
      <w:r>
        <w:t xml:space="preserve"> percent</w:t>
      </w:r>
      <w:r w:rsidRPr="00443EDA">
        <w:t xml:space="preserve">), based on upstream and downstream water levels. A further station has recently been constructed on Katarapko Creek, and other sites may provide the necessary accuracy depending on the flow event, such as </w:t>
      </w:r>
      <w:r>
        <w:t>downstream of Chowilla regulator</w:t>
      </w:r>
      <w:r w:rsidR="00143C7C">
        <w:t>.</w:t>
      </w:r>
      <w:r w:rsidRPr="00443EDA">
        <w:t xml:space="preserve"> Monitoring stations in the </w:t>
      </w:r>
      <w:r w:rsidRPr="000F53E7">
        <w:t>Lower Murray</w:t>
      </w:r>
      <w:r>
        <w:t xml:space="preserve"> Selected Area</w:t>
      </w:r>
      <w:r w:rsidRPr="00443EDA">
        <w:t xml:space="preserve"> that record water level, discharge or salinity at least daily can be seen in </w:t>
      </w:r>
      <w:r>
        <w:fldChar w:fldCharType="begin"/>
      </w:r>
      <w:r>
        <w:instrText xml:space="preserve"> REF _Ref384739474 \h  \* MERGEFORMAT </w:instrText>
      </w:r>
      <w:r>
        <w:fldChar w:fldCharType="separate"/>
      </w:r>
      <w:r w:rsidR="00DF49CD" w:rsidRPr="00443EDA">
        <w:t xml:space="preserve">Figure </w:t>
      </w:r>
      <w:r w:rsidR="00DF49CD">
        <w:rPr>
          <w:noProof/>
        </w:rPr>
        <w:t>5.2</w:t>
      </w:r>
      <w:r>
        <w:fldChar w:fldCharType="end"/>
      </w:r>
      <w:r w:rsidRPr="00443EDA">
        <w:t xml:space="preserve">. Given this existing coverage of stations, and the limited locations suitable for further stations to be installed, no further discharge stations are proposed as part of the </w:t>
      </w:r>
      <w:r w:rsidRPr="0059562E">
        <w:t>MER</w:t>
      </w:r>
      <w:r w:rsidRPr="00443EDA">
        <w:t xml:space="preserve"> Project.</w:t>
      </w:r>
    </w:p>
    <w:p w14:paraId="294D9A55" w14:textId="77777777" w:rsidR="002D72BB" w:rsidRPr="00443EDA" w:rsidRDefault="002D72BB" w:rsidP="002D72BB">
      <w:pPr>
        <w:pStyle w:val="Heading4"/>
      </w:pPr>
      <w:r w:rsidRPr="00443EDA">
        <w:t>Cause and effect diagram</w:t>
      </w:r>
    </w:p>
    <w:p w14:paraId="21266701" w14:textId="77777777" w:rsidR="002D72BB" w:rsidRPr="00443EDA" w:rsidRDefault="002D72BB" w:rsidP="002D72BB">
      <w:r w:rsidRPr="00443EDA">
        <w:t xml:space="preserve">No cause and </w:t>
      </w:r>
      <w:r>
        <w:t xml:space="preserve">effect diagram is provided for </w:t>
      </w:r>
      <w:r w:rsidRPr="002D72BB">
        <w:rPr>
          <w:i/>
        </w:rPr>
        <w:t>Hydrology (Channel)</w:t>
      </w:r>
      <w:r w:rsidRPr="00443EDA">
        <w:t>. Instead, hydrology can be seen to be present as a cause in all cause and effect diagrams</w:t>
      </w:r>
      <w:r>
        <w:t xml:space="preserve"> and will be reported on as part of each indicator.</w:t>
      </w:r>
    </w:p>
    <w:p w14:paraId="594A46B6" w14:textId="77777777" w:rsidR="002D72BB" w:rsidRPr="00443EDA" w:rsidRDefault="002D72BB" w:rsidP="002D72BB">
      <w:pPr>
        <w:pStyle w:val="Heading4"/>
      </w:pPr>
      <w:r w:rsidRPr="00443EDA">
        <w:t>Key evaluation questions</w:t>
      </w:r>
    </w:p>
    <w:p w14:paraId="11879A8C" w14:textId="3A84629E" w:rsidR="002D72BB" w:rsidRDefault="002D72BB" w:rsidP="002D72BB">
      <w:pPr>
        <w:rPr>
          <w:szCs w:val="22"/>
        </w:rPr>
      </w:pPr>
      <w:r w:rsidRPr="00BC1FA3">
        <w:rPr>
          <w:rFonts w:eastAsia="Calibri"/>
        </w:rPr>
        <w:t xml:space="preserve">This </w:t>
      </w:r>
      <w:r>
        <w:rPr>
          <w:rFonts w:eastAsia="Calibri"/>
        </w:rPr>
        <w:t xml:space="preserve">indicator </w:t>
      </w:r>
      <w:r w:rsidRPr="00BC1FA3">
        <w:rPr>
          <w:rFonts w:eastAsia="Calibri"/>
        </w:rPr>
        <w:t>does not directly address specific evaluation questions</w:t>
      </w:r>
      <w:r>
        <w:rPr>
          <w:rFonts w:eastAsia="Calibri"/>
        </w:rPr>
        <w:t>,</w:t>
      </w:r>
      <w:r w:rsidRPr="00BC1FA3">
        <w:rPr>
          <w:rFonts w:eastAsia="Calibri"/>
        </w:rPr>
        <w:t xml:space="preserve"> </w:t>
      </w:r>
      <w:r w:rsidR="00BE64BD">
        <w:rPr>
          <w:rFonts w:eastAsia="Calibri"/>
        </w:rPr>
        <w:t xml:space="preserve">rather it </w:t>
      </w:r>
      <w:r w:rsidRPr="005E6398">
        <w:rPr>
          <w:rFonts w:eastAsia="Calibri"/>
        </w:rPr>
        <w:t>provid</w:t>
      </w:r>
      <w:r w:rsidR="00BE64BD">
        <w:rPr>
          <w:rFonts w:eastAsia="Calibri"/>
        </w:rPr>
        <w:t>es</w:t>
      </w:r>
      <w:r w:rsidRPr="005E6398">
        <w:rPr>
          <w:rFonts w:eastAsia="Calibri"/>
        </w:rPr>
        <w:t xml:space="preserve"> fundamental information for analysis and evaluation of monitoring outcomes against hydrological conditions and environmental watering for all indicators</w:t>
      </w:r>
      <w:r w:rsidRPr="00BC1FA3">
        <w:rPr>
          <w:rFonts w:eastAsia="Calibri"/>
        </w:rPr>
        <w:t xml:space="preserve">. </w:t>
      </w:r>
    </w:p>
    <w:p w14:paraId="1A40ABF4" w14:textId="77777777" w:rsidR="002D72BB" w:rsidRPr="00443EDA" w:rsidRDefault="002D72BB" w:rsidP="002D72BB">
      <w:pPr>
        <w:pStyle w:val="Heading4"/>
      </w:pPr>
      <w:r>
        <w:t>O</w:t>
      </w:r>
      <w:r w:rsidRPr="00443EDA">
        <w:t>bjective</w:t>
      </w:r>
    </w:p>
    <w:p w14:paraId="3E1160DE" w14:textId="77777777" w:rsidR="002D72BB" w:rsidRPr="000368FD" w:rsidRDefault="002D72BB" w:rsidP="002D72BB">
      <w:pPr>
        <w:pStyle w:val="ListBullet"/>
      </w:pPr>
      <w:r w:rsidRPr="000368FD">
        <w:t>Provide discharge and water level data to inform other indicators.</w:t>
      </w:r>
    </w:p>
    <w:p w14:paraId="3BBE0B73" w14:textId="77777777" w:rsidR="002D72BB" w:rsidRPr="00443EDA" w:rsidRDefault="002D72BB" w:rsidP="002D72BB">
      <w:pPr>
        <w:pStyle w:val="Heading4"/>
        <w:rPr>
          <w:rFonts w:cstheme="minorHAnsi"/>
        </w:rPr>
      </w:pPr>
      <w:r>
        <w:t>General m</w:t>
      </w:r>
      <w:r w:rsidRPr="00443EDA">
        <w:t>ethodology</w:t>
      </w:r>
    </w:p>
    <w:p w14:paraId="04CA1CB6" w14:textId="77777777" w:rsidR="002D72BB" w:rsidRDefault="002D72BB" w:rsidP="002D72BB">
      <w:pPr>
        <w:rPr>
          <w:rFonts w:ascii="Calibri" w:hAnsi="Calibri" w:cs="Calibri"/>
        </w:rPr>
      </w:pPr>
      <w:r w:rsidRPr="00EB4142">
        <w:rPr>
          <w:rFonts w:ascii="Calibri" w:hAnsi="Calibri" w:cs="Calibri"/>
        </w:rPr>
        <w:t>Daily discharge will be monitored at each existing station using existing methods that provide the necessary level of accuracy (within 10 percent). Hydrological information collected from this part of the project will be used as an input for the analysis of many other indicators.</w:t>
      </w:r>
    </w:p>
    <w:p w14:paraId="58BC351A" w14:textId="523359A2" w:rsidR="002D72BB" w:rsidRPr="00DD0855" w:rsidRDefault="002D72BB" w:rsidP="002D72BB">
      <w:pPr>
        <w:rPr>
          <w:rFonts w:cstheme="minorHAnsi"/>
        </w:rPr>
      </w:pPr>
      <w:r w:rsidRPr="00EB4142">
        <w:rPr>
          <w:rFonts w:cstheme="minorHAnsi"/>
        </w:rPr>
        <w:t xml:space="preserve">Refer to the </w:t>
      </w:r>
      <w:r w:rsidRPr="000F53E7">
        <w:rPr>
          <w:rFonts w:cstheme="minorHAnsi"/>
        </w:rPr>
        <w:t>Lower Murray</w:t>
      </w:r>
      <w:r w:rsidRPr="00EB4142">
        <w:rPr>
          <w:rFonts w:cstheme="minorHAnsi"/>
        </w:rPr>
        <w:t xml:space="preserve"> Selected Area S</w:t>
      </w:r>
      <w:r>
        <w:rPr>
          <w:rFonts w:cstheme="minorHAnsi"/>
        </w:rPr>
        <w:t xml:space="preserve">OP </w:t>
      </w:r>
      <w:r w:rsidRPr="00EB4142">
        <w:rPr>
          <w:rFonts w:cstheme="minorHAnsi"/>
        </w:rPr>
        <w:t xml:space="preserve">for </w:t>
      </w:r>
      <w:r w:rsidRPr="002D72BB">
        <w:rPr>
          <w:rFonts w:cstheme="minorHAnsi"/>
          <w:i/>
        </w:rPr>
        <w:t>Hydrology (Channel)</w:t>
      </w:r>
      <w:r w:rsidRPr="009D09D5">
        <w:rPr>
          <w:rFonts w:cstheme="minorHAnsi"/>
        </w:rPr>
        <w:t xml:space="preserve"> (Appendix </w:t>
      </w:r>
      <w:r w:rsidR="000E285D">
        <w:rPr>
          <w:rFonts w:cstheme="minorHAnsi"/>
        </w:rPr>
        <w:t>B</w:t>
      </w:r>
      <w:r w:rsidRPr="009D09D5">
        <w:rPr>
          <w:rFonts w:cstheme="minorHAnsi"/>
        </w:rPr>
        <w:t>) for more</w:t>
      </w:r>
      <w:r w:rsidRPr="00EB4142">
        <w:rPr>
          <w:rFonts w:cstheme="minorHAnsi"/>
        </w:rPr>
        <w:t xml:space="preserve"> information on the sampling protocol including sites, timing and equipment, and on data analysis</w:t>
      </w:r>
      <w:r>
        <w:rPr>
          <w:rFonts w:cstheme="minorHAnsi"/>
        </w:rPr>
        <w:t xml:space="preserve"> and evaluation</w:t>
      </w:r>
      <w:r w:rsidRPr="00EB4142">
        <w:rPr>
          <w:rFonts w:cstheme="minorHAnsi"/>
        </w:rPr>
        <w:t xml:space="preserve">, data management and quality assurance/quality control measures. </w:t>
      </w:r>
      <w:r w:rsidRPr="0009462F">
        <w:rPr>
          <w:rFonts w:cstheme="minorHAnsi"/>
          <w:color w:val="auto"/>
        </w:rPr>
        <w:t xml:space="preserve">Refer to Section </w:t>
      </w:r>
      <w:r>
        <w:rPr>
          <w:rFonts w:cstheme="minorHAnsi"/>
          <w:color w:val="auto"/>
        </w:rPr>
        <w:fldChar w:fldCharType="begin"/>
      </w:r>
      <w:r>
        <w:rPr>
          <w:rFonts w:cstheme="minorHAnsi"/>
          <w:color w:val="auto"/>
        </w:rPr>
        <w:instrText xml:space="preserve"> REF _Ref10114573 \r \h </w:instrText>
      </w:r>
      <w:r>
        <w:rPr>
          <w:rFonts w:cstheme="minorHAnsi"/>
          <w:color w:val="auto"/>
        </w:rPr>
      </w:r>
      <w:r>
        <w:rPr>
          <w:rFonts w:cstheme="minorHAnsi"/>
          <w:color w:val="auto"/>
        </w:rPr>
        <w:fldChar w:fldCharType="separate"/>
      </w:r>
      <w:r w:rsidR="00DF49CD">
        <w:rPr>
          <w:rFonts w:cstheme="minorHAnsi"/>
          <w:color w:val="auto"/>
        </w:rPr>
        <w:t>7</w:t>
      </w:r>
      <w:r>
        <w:rPr>
          <w:rFonts w:cstheme="minorHAnsi"/>
          <w:color w:val="auto"/>
        </w:rPr>
        <w:fldChar w:fldCharType="end"/>
      </w:r>
      <w:r>
        <w:t xml:space="preserve"> </w:t>
      </w:r>
      <w:r w:rsidRPr="0009462F">
        <w:rPr>
          <w:rFonts w:cstheme="minorHAnsi"/>
          <w:color w:val="auto"/>
        </w:rPr>
        <w:t>for timing of monitoring activities and more information on sampling sites and zones.</w:t>
      </w:r>
      <w:r w:rsidRPr="00EB4142">
        <w:rPr>
          <w:rFonts w:cstheme="minorHAnsi"/>
        </w:rPr>
        <w:t xml:space="preserve">  </w:t>
      </w:r>
    </w:p>
    <w:p w14:paraId="474E0F1F" w14:textId="77777777" w:rsidR="002D72BB" w:rsidRPr="00443EDA" w:rsidRDefault="002D72BB" w:rsidP="002D72BB">
      <w:pPr>
        <w:pStyle w:val="Heading4"/>
      </w:pPr>
      <w:r w:rsidRPr="00443EDA">
        <w:t>Outputs</w:t>
      </w:r>
    </w:p>
    <w:p w14:paraId="18A6E896" w14:textId="77777777" w:rsidR="002D72BB" w:rsidRPr="00443EDA" w:rsidRDefault="002D72BB" w:rsidP="002D72BB">
      <w:pPr>
        <w:pStyle w:val="ListBullet"/>
      </w:pPr>
      <w:r>
        <w:t>A</w:t>
      </w:r>
      <w:r w:rsidRPr="00443EDA">
        <w:t xml:space="preserve"> database of recorded daily discharge</w:t>
      </w:r>
      <w:r>
        <w:t>, provided</w:t>
      </w:r>
      <w:r w:rsidRPr="00443EDA">
        <w:t xml:space="preserve"> if necessary. This data is already held in publicly available databases.</w:t>
      </w:r>
    </w:p>
    <w:p w14:paraId="3C051042" w14:textId="77777777" w:rsidR="002D72BB" w:rsidRPr="00443EDA" w:rsidRDefault="002D72BB" w:rsidP="00960F5A">
      <w:pPr>
        <w:sectPr w:rsidR="002D72BB" w:rsidRPr="00443EDA" w:rsidSect="003F6444">
          <w:pgSz w:w="11906" w:h="16838"/>
          <w:pgMar w:top="1440" w:right="1440" w:bottom="1440" w:left="1440" w:header="708" w:footer="708" w:gutter="0"/>
          <w:cols w:space="708"/>
          <w:docGrid w:linePitch="360"/>
        </w:sectPr>
      </w:pPr>
    </w:p>
    <w:p w14:paraId="402731F7" w14:textId="77777777" w:rsidR="00960F5A" w:rsidRPr="00443EDA" w:rsidRDefault="00960F5A" w:rsidP="00960F5A">
      <w:r w:rsidRPr="00443EDA">
        <w:rPr>
          <w:noProof/>
          <w:lang w:eastAsia="en-AU"/>
        </w:rPr>
        <w:lastRenderedPageBreak/>
        <w:drawing>
          <wp:inline distT="0" distB="0" distL="0" distR="0" wp14:anchorId="64391A1F" wp14:editId="7DABFCA0">
            <wp:extent cx="7601803" cy="5174187"/>
            <wp:effectExtent l="19050" t="0" r="0" b="0"/>
            <wp:docPr id="47" name="Picture 1" descr="M:\Projects_SW\State\prj_Status_and_Condition_Reporting\Prescribed_Regions\Murray\outputs\Murray_Prescribed_Watercourse_Streamflow_No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s_SW\State\prj_Status_and_Condition_Reporting\Prescribed_Regions\Murray\outputs\Murray_Prescribed_Watercourse_Streamflow_North.png"/>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7617478" cy="5184856"/>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inline>
        </w:drawing>
      </w:r>
    </w:p>
    <w:p w14:paraId="3AB4A6AD" w14:textId="4AABED00" w:rsidR="00960F5A" w:rsidRPr="00443EDA" w:rsidRDefault="00960F5A" w:rsidP="00960F5A">
      <w:pPr>
        <w:pStyle w:val="FigureCaption"/>
        <w:sectPr w:rsidR="00960F5A" w:rsidRPr="00443EDA" w:rsidSect="003F6444">
          <w:pgSz w:w="16838" w:h="11906" w:orient="landscape"/>
          <w:pgMar w:top="1440" w:right="1440" w:bottom="1440" w:left="1440" w:header="708" w:footer="708" w:gutter="0"/>
          <w:cols w:space="708"/>
          <w:docGrid w:linePitch="360"/>
        </w:sectPr>
      </w:pPr>
      <w:bookmarkStart w:id="84" w:name="_Ref384739474"/>
      <w:bookmarkStart w:id="85" w:name="_Toc384985598"/>
      <w:bookmarkStart w:id="86" w:name="_Toc12630433"/>
      <w:r w:rsidRPr="00443EDA">
        <w:t xml:space="preserve">Figure </w:t>
      </w:r>
      <w:r w:rsidR="00A8252A">
        <w:rPr>
          <w:noProof/>
        </w:rPr>
        <w:fldChar w:fldCharType="begin"/>
      </w:r>
      <w:r w:rsidR="00A8252A">
        <w:rPr>
          <w:noProof/>
        </w:rPr>
        <w:instrText xml:space="preserve"> STYLEREF 1 \s </w:instrText>
      </w:r>
      <w:r w:rsidR="00A8252A">
        <w:rPr>
          <w:noProof/>
        </w:rPr>
        <w:fldChar w:fldCharType="separate"/>
      </w:r>
      <w:r w:rsidR="00DF49CD">
        <w:rPr>
          <w:noProof/>
        </w:rPr>
        <w:t>5</w:t>
      </w:r>
      <w:r w:rsidR="00A8252A">
        <w:rPr>
          <w:noProof/>
        </w:rPr>
        <w:fldChar w:fldCharType="end"/>
      </w:r>
      <w:r w:rsidR="00251188">
        <w:t>.</w:t>
      </w:r>
      <w:r w:rsidR="00A8252A">
        <w:rPr>
          <w:noProof/>
        </w:rPr>
        <w:fldChar w:fldCharType="begin"/>
      </w:r>
      <w:r w:rsidR="00A8252A">
        <w:rPr>
          <w:noProof/>
        </w:rPr>
        <w:instrText xml:space="preserve"> SEQ Figure \* ARABIC \s 1 </w:instrText>
      </w:r>
      <w:r w:rsidR="00A8252A">
        <w:rPr>
          <w:noProof/>
        </w:rPr>
        <w:fldChar w:fldCharType="separate"/>
      </w:r>
      <w:r w:rsidR="00DF49CD">
        <w:rPr>
          <w:noProof/>
        </w:rPr>
        <w:t>2</w:t>
      </w:r>
      <w:r w:rsidR="00A8252A">
        <w:rPr>
          <w:noProof/>
        </w:rPr>
        <w:fldChar w:fldCharType="end"/>
      </w:r>
      <w:bookmarkEnd w:id="84"/>
      <w:r w:rsidRPr="00443EDA">
        <w:t>.</w:t>
      </w:r>
      <w:r>
        <w:tab/>
      </w:r>
      <w:r w:rsidRPr="00443EDA">
        <w:t>Monitoring stations i</w:t>
      </w:r>
      <w:r>
        <w:t xml:space="preserve">n the </w:t>
      </w:r>
      <w:r w:rsidRPr="000F53E7">
        <w:t>Lower Murray</w:t>
      </w:r>
      <w:r>
        <w:t xml:space="preserve"> Selected Area (SA border to Mannum).</w:t>
      </w:r>
      <w:r w:rsidRPr="00443EDA">
        <w:t xml:space="preserve"> </w:t>
      </w:r>
      <w:r>
        <w:t>M</w:t>
      </w:r>
      <w:r w:rsidRPr="00443EDA">
        <w:t>ost stations record level and salinity, and only some stations record daily discharge.</w:t>
      </w:r>
      <w:bookmarkEnd w:id="85"/>
      <w:bookmarkEnd w:id="86"/>
    </w:p>
    <w:p w14:paraId="2DE694DF" w14:textId="77777777" w:rsidR="00960F5A" w:rsidRPr="00443EDA" w:rsidRDefault="00960F5A" w:rsidP="00960F5A">
      <w:pPr>
        <w:pStyle w:val="Heading4"/>
      </w:pPr>
      <w:r w:rsidRPr="00443EDA">
        <w:lastRenderedPageBreak/>
        <w:t xml:space="preserve">Staff </w:t>
      </w:r>
    </w:p>
    <w:p w14:paraId="01E9F1B4" w14:textId="77777777" w:rsidR="00960F5A" w:rsidRPr="00443EDA" w:rsidRDefault="00960F5A" w:rsidP="00960F5A">
      <w:pPr>
        <w:pStyle w:val="Heading5"/>
      </w:pPr>
      <w:r>
        <w:t>Dr Matt Gibbs</w:t>
      </w:r>
      <w:r>
        <w:tab/>
        <w:t>University of Adelaide</w:t>
      </w:r>
    </w:p>
    <w:p w14:paraId="63D41BB7" w14:textId="1FCD1019" w:rsidR="00960F5A" w:rsidRDefault="000E4EF5" w:rsidP="00CF3F56">
      <w:pPr>
        <w:rPr>
          <w:rFonts w:eastAsiaTheme="majorEastAsia" w:cstheme="majorBidi"/>
          <w:b/>
          <w:i/>
          <w:color w:val="auto"/>
          <w:sz w:val="24"/>
        </w:rPr>
      </w:pPr>
      <w:r w:rsidRPr="000E4EF5">
        <w:t>Dr Matt Gibbs is a hydrologist with 15 years’ experience in the fields of water resources, modelling and optimisation techniques. As well as a Research Fellow at The University of Adelaide, he has a joint appointment as Principal Hydrologist at DEW. This joint appointment puts him in the unique position to have detailed knowledge of the progress of modelling and requirements within government, and of techniques and research developments to improve these methods. Matt has detailed knowledge of the River Murray and hydrological and hydraulic models available in South Australia, and has published recently in the fields of river restoration and hydraulics, uncertainty analysis, forecasting and salinity modelling.</w:t>
      </w:r>
      <w:r w:rsidR="00960F5A">
        <w:br w:type="page"/>
      </w:r>
    </w:p>
    <w:p w14:paraId="2B14AC92" w14:textId="542F2046" w:rsidR="00B14E28" w:rsidRPr="00443EDA" w:rsidRDefault="002D72BB" w:rsidP="00B14E28">
      <w:pPr>
        <w:pStyle w:val="Heading3"/>
      </w:pPr>
      <w:bookmarkStart w:id="87" w:name="_Ref10197809"/>
      <w:bookmarkStart w:id="88" w:name="_Toc22196698"/>
      <w:r>
        <w:lastRenderedPageBreak/>
        <w:t>Stream M</w:t>
      </w:r>
      <w:r w:rsidR="00B14E28" w:rsidRPr="00443EDA">
        <w:t>etabolism</w:t>
      </w:r>
      <w:bookmarkEnd w:id="80"/>
      <w:bookmarkEnd w:id="81"/>
      <w:bookmarkEnd w:id="82"/>
      <w:bookmarkEnd w:id="83"/>
      <w:r>
        <w:t xml:space="preserve"> and Water Q</w:t>
      </w:r>
      <w:r w:rsidR="00B14E28">
        <w:t>uality</w:t>
      </w:r>
      <w:bookmarkEnd w:id="87"/>
      <w:bookmarkEnd w:id="88"/>
    </w:p>
    <w:p w14:paraId="21FFF2DA" w14:textId="77777777" w:rsidR="007908DD" w:rsidRPr="00443EDA" w:rsidRDefault="007908DD" w:rsidP="00475425">
      <w:pPr>
        <w:pStyle w:val="Heading4"/>
      </w:pPr>
      <w:r w:rsidRPr="00443EDA">
        <w:t>Indicators</w:t>
      </w:r>
    </w:p>
    <w:bookmarkEnd w:id="77"/>
    <w:p w14:paraId="0BC36517" w14:textId="77777777" w:rsidR="00B14E28" w:rsidRDefault="00B14E28" w:rsidP="00B14E28">
      <w:pPr>
        <w:rPr>
          <w:rFonts w:eastAsia="Calibri"/>
        </w:rPr>
      </w:pPr>
      <w:r>
        <w:rPr>
          <w:rFonts w:eastAsia="Calibri"/>
        </w:rPr>
        <w:t>Stream metabolism:</w:t>
      </w:r>
    </w:p>
    <w:p w14:paraId="6209DE19" w14:textId="0D53B2B3" w:rsidR="00B14E28" w:rsidRPr="00443EDA" w:rsidRDefault="00B14E28" w:rsidP="00B14E28">
      <w:pPr>
        <w:rPr>
          <w:rFonts w:eastAsia="Calibri"/>
        </w:rPr>
      </w:pPr>
      <w:r w:rsidRPr="00443EDA">
        <w:rPr>
          <w:rFonts w:eastAsia="Calibri"/>
        </w:rPr>
        <w:t>Dissolved oxygen concentratio</w:t>
      </w:r>
      <w:r>
        <w:rPr>
          <w:rFonts w:eastAsia="Calibri"/>
        </w:rPr>
        <w:t xml:space="preserve">ns and their diel fluctuations to assess the influence of </w:t>
      </w:r>
      <w:r w:rsidRPr="00C95302">
        <w:rPr>
          <w:rFonts w:eastAsia="Calibri"/>
        </w:rPr>
        <w:t>environmental flows on:</w:t>
      </w:r>
    </w:p>
    <w:p w14:paraId="2F9A4E82" w14:textId="77777777" w:rsidR="00B14E28" w:rsidRPr="00443EDA" w:rsidRDefault="00B14E28" w:rsidP="00B14E28">
      <w:pPr>
        <w:pStyle w:val="ListBullet"/>
        <w:rPr>
          <w:rFonts w:eastAsia="Calibri"/>
        </w:rPr>
      </w:pPr>
      <w:r w:rsidRPr="00443EDA">
        <w:rPr>
          <w:rFonts w:eastAsia="Calibri"/>
        </w:rPr>
        <w:t>River dissolved oxygen concentrations supportive of biota</w:t>
      </w:r>
    </w:p>
    <w:p w14:paraId="4DC29A82" w14:textId="77777777" w:rsidR="00B14E28" w:rsidRPr="00443EDA" w:rsidRDefault="00B14E28" w:rsidP="00B14E28">
      <w:pPr>
        <w:pStyle w:val="ListBullet"/>
        <w:rPr>
          <w:rFonts w:eastAsia="Calibri"/>
        </w:rPr>
      </w:pPr>
      <w:r w:rsidRPr="00443EDA">
        <w:rPr>
          <w:rFonts w:eastAsia="Calibri"/>
        </w:rPr>
        <w:t>Rates of photosynthesis</w:t>
      </w:r>
    </w:p>
    <w:p w14:paraId="3DAE396E" w14:textId="77777777" w:rsidR="00B14E28" w:rsidRPr="00443EDA" w:rsidRDefault="00B14E28" w:rsidP="00B14E28">
      <w:pPr>
        <w:pStyle w:val="ListBullet"/>
        <w:rPr>
          <w:rFonts w:eastAsia="Calibri"/>
        </w:rPr>
      </w:pPr>
      <w:r w:rsidRPr="00443EDA">
        <w:rPr>
          <w:rFonts w:eastAsia="Calibri"/>
        </w:rPr>
        <w:t>Rates of ecosystem respiration including decomposition.</w:t>
      </w:r>
    </w:p>
    <w:p w14:paraId="5FDE0062" w14:textId="7A0739C0" w:rsidR="00B14E28" w:rsidRDefault="00B14E28" w:rsidP="00B14E28">
      <w:pPr>
        <w:rPr>
          <w:rFonts w:eastAsia="Calibri"/>
        </w:rPr>
      </w:pPr>
      <w:r>
        <w:rPr>
          <w:rFonts w:eastAsia="Calibri"/>
        </w:rPr>
        <w:t xml:space="preserve">Water </w:t>
      </w:r>
      <w:r w:rsidR="00EC0D39">
        <w:rPr>
          <w:rFonts w:eastAsia="Calibri"/>
        </w:rPr>
        <w:t>q</w:t>
      </w:r>
      <w:r>
        <w:rPr>
          <w:rFonts w:eastAsia="Calibri"/>
        </w:rPr>
        <w:t>uality</w:t>
      </w:r>
      <w:r w:rsidR="00EC0D39">
        <w:rPr>
          <w:rFonts w:eastAsia="Calibri"/>
        </w:rPr>
        <w:t>:</w:t>
      </w:r>
    </w:p>
    <w:p w14:paraId="62C19E1E" w14:textId="77777777" w:rsidR="00B14E28" w:rsidRPr="00443EDA" w:rsidRDefault="00B14E28" w:rsidP="00B14E28">
      <w:pPr>
        <w:rPr>
          <w:rFonts w:eastAsia="Calibri"/>
        </w:rPr>
      </w:pPr>
      <w:r w:rsidRPr="00443EDA">
        <w:rPr>
          <w:rFonts w:eastAsia="Calibri"/>
        </w:rPr>
        <w:t>Concentrations of phytoplankton, nutrients, and organic carbon</w:t>
      </w:r>
      <w:r>
        <w:rPr>
          <w:rFonts w:eastAsia="Calibri"/>
        </w:rPr>
        <w:t xml:space="preserve"> to identify</w:t>
      </w:r>
      <w:r w:rsidRPr="00443EDA">
        <w:rPr>
          <w:rFonts w:eastAsia="Calibri"/>
        </w:rPr>
        <w:t>:</w:t>
      </w:r>
    </w:p>
    <w:p w14:paraId="38DBE208" w14:textId="77777777" w:rsidR="00B14E28" w:rsidRPr="00443EDA" w:rsidRDefault="00B14E28" w:rsidP="00B14E28">
      <w:pPr>
        <w:pStyle w:val="ListBullet"/>
        <w:rPr>
          <w:rFonts w:eastAsia="Calibri"/>
        </w:rPr>
      </w:pPr>
      <w:r w:rsidRPr="00443EDA">
        <w:rPr>
          <w:rFonts w:eastAsia="Calibri"/>
        </w:rPr>
        <w:t>Phytoplankton contributions to photosynthesis and respiration</w:t>
      </w:r>
    </w:p>
    <w:p w14:paraId="667B0D6B" w14:textId="77777777" w:rsidR="00B14E28" w:rsidRPr="00443EDA" w:rsidRDefault="00B14E28" w:rsidP="00B14E28">
      <w:pPr>
        <w:pStyle w:val="ListBullet"/>
        <w:rPr>
          <w:rFonts w:eastAsia="Calibri"/>
        </w:rPr>
      </w:pPr>
      <w:r w:rsidRPr="00443EDA">
        <w:rPr>
          <w:rFonts w:eastAsia="Calibri"/>
        </w:rPr>
        <w:t>Influence of organic carbon concentrations on ecosystem respiration</w:t>
      </w:r>
    </w:p>
    <w:p w14:paraId="19BEAAC6" w14:textId="77777777" w:rsidR="00B14E28" w:rsidRPr="00443EDA" w:rsidRDefault="00B14E28" w:rsidP="00B14E28">
      <w:pPr>
        <w:pStyle w:val="ListBullet"/>
        <w:rPr>
          <w:rFonts w:eastAsia="Calibri"/>
        </w:rPr>
      </w:pPr>
      <w:r>
        <w:rPr>
          <w:rFonts w:eastAsia="Calibri"/>
        </w:rPr>
        <w:t xml:space="preserve">Nutrient, phytoplankton </w:t>
      </w:r>
      <w:r w:rsidRPr="00C95302">
        <w:rPr>
          <w:rFonts w:eastAsia="Calibri"/>
        </w:rPr>
        <w:t>and metabolism links to environmental flows</w:t>
      </w:r>
    </w:p>
    <w:p w14:paraId="292B6B1A" w14:textId="77777777" w:rsidR="00443EDA" w:rsidRPr="00443EDA" w:rsidRDefault="00443EDA" w:rsidP="00475425">
      <w:pPr>
        <w:pStyle w:val="Heading4"/>
      </w:pPr>
      <w:r w:rsidRPr="00443EDA">
        <w:t>Background</w:t>
      </w:r>
    </w:p>
    <w:p w14:paraId="01B88E7B" w14:textId="5EFB2F3A" w:rsidR="00443EDA" w:rsidRPr="00443EDA" w:rsidRDefault="00443EDA" w:rsidP="00F02673">
      <w:r w:rsidRPr="00443EDA">
        <w:t xml:space="preserve">Under the </w:t>
      </w:r>
      <w:r w:rsidR="0059562E">
        <w:t>MER</w:t>
      </w:r>
      <w:r w:rsidR="0059562E" w:rsidRPr="00443EDA">
        <w:t xml:space="preserve"> </w:t>
      </w:r>
      <w:r w:rsidR="00E256A6">
        <w:t>Project</w:t>
      </w:r>
      <w:r w:rsidRPr="00443EDA">
        <w:t xml:space="preserve">, stream metabolism is measured for two purposes (Hale </w:t>
      </w:r>
      <w:r w:rsidR="00BB4109" w:rsidRPr="00CA1169">
        <w:rPr>
          <w:i/>
        </w:rPr>
        <w:t>et al</w:t>
      </w:r>
      <w:r w:rsidR="0083219F">
        <w:t>.</w:t>
      </w:r>
      <w:r w:rsidRPr="00443EDA">
        <w:t xml:space="preserve"> 201</w:t>
      </w:r>
      <w:r w:rsidR="00AE49E8">
        <w:t>4</w:t>
      </w:r>
      <w:r w:rsidRPr="00443EDA">
        <w:t xml:space="preserve">): </w:t>
      </w:r>
    </w:p>
    <w:p w14:paraId="203EA37B" w14:textId="71CAC35B" w:rsidR="00443EDA" w:rsidRPr="00EA2E6A" w:rsidRDefault="00443EDA" w:rsidP="008F4F40">
      <w:pPr>
        <w:pStyle w:val="ListBullet"/>
      </w:pPr>
      <w:r w:rsidRPr="00443EDA">
        <w:t xml:space="preserve">Inform the </w:t>
      </w:r>
      <w:r w:rsidR="008B235E">
        <w:t>B</w:t>
      </w:r>
      <w:r w:rsidRPr="00443EDA">
        <w:t>asin-scale quantitative evaluation of fish responses to Commonwealth environmental water (see</w:t>
      </w:r>
      <w:r w:rsidR="004B5E07">
        <w:t xml:space="preserve"> </w:t>
      </w:r>
      <w:r w:rsidR="00EA2E6A" w:rsidRPr="000F53E7">
        <w:rPr>
          <w:rFonts w:cstheme="minorHAnsi"/>
        </w:rPr>
        <w:t>Lower Murray</w:t>
      </w:r>
      <w:r w:rsidR="00EA2E6A" w:rsidRPr="00EB4142">
        <w:rPr>
          <w:rFonts w:cstheme="minorHAnsi"/>
        </w:rPr>
        <w:t xml:space="preserve"> Selected Area S</w:t>
      </w:r>
      <w:r w:rsidR="00EA2E6A">
        <w:rPr>
          <w:rFonts w:cstheme="minorHAnsi"/>
        </w:rPr>
        <w:t xml:space="preserve">OP </w:t>
      </w:r>
      <w:r w:rsidR="00EA2E6A" w:rsidRPr="00EB4142">
        <w:rPr>
          <w:rFonts w:cstheme="minorHAnsi"/>
        </w:rPr>
        <w:t xml:space="preserve">for </w:t>
      </w:r>
      <w:r w:rsidR="00087E25" w:rsidRPr="00887721">
        <w:rPr>
          <w:i/>
        </w:rPr>
        <w:t>Fish (Channel)</w:t>
      </w:r>
      <w:r w:rsidR="00EA2E6A">
        <w:t xml:space="preserve">, </w:t>
      </w:r>
      <w:r w:rsidR="00EA2E6A" w:rsidRPr="009D09D5">
        <w:rPr>
          <w:rFonts w:cstheme="minorHAnsi"/>
        </w:rPr>
        <w:t xml:space="preserve">Appendix </w:t>
      </w:r>
      <w:r w:rsidR="000E285D">
        <w:rPr>
          <w:rFonts w:cstheme="minorHAnsi"/>
        </w:rPr>
        <w:t>B</w:t>
      </w:r>
      <w:r w:rsidR="00087E25" w:rsidRPr="00EA2E6A">
        <w:t>)</w:t>
      </w:r>
    </w:p>
    <w:p w14:paraId="1E127244" w14:textId="77777777" w:rsidR="00443EDA" w:rsidRPr="00443EDA" w:rsidRDefault="00443EDA" w:rsidP="008F4F40">
      <w:pPr>
        <w:pStyle w:val="ListBullet"/>
      </w:pPr>
      <w:r w:rsidRPr="00443EDA">
        <w:t>Detect changes in primary productivity and decomposition in the river in response to Commonwealth environmental water.</w:t>
      </w:r>
    </w:p>
    <w:p w14:paraId="44B6573F" w14:textId="7467A21E" w:rsidR="00E256A6" w:rsidRDefault="0013052D" w:rsidP="00F02673">
      <w:r w:rsidRPr="002D6682">
        <w:t xml:space="preserve">River metabolism measurements estimate </w:t>
      </w:r>
      <w:r>
        <w:t xml:space="preserve">the in-stream </w:t>
      </w:r>
      <w:r w:rsidRPr="002D6682">
        <w:t>rates of photosynthesis and respiration and provide information on the energy processed through river food webs</w:t>
      </w:r>
      <w:r>
        <w:t xml:space="preserve"> </w:t>
      </w:r>
      <w:r>
        <w:rPr>
          <w:szCs w:val="22"/>
        </w:rPr>
        <w:t>(</w:t>
      </w:r>
      <w:r w:rsidR="00EA2E6A">
        <w:rPr>
          <w:szCs w:val="22"/>
        </w:rPr>
        <w:t>Odum 1956;</w:t>
      </w:r>
      <w:r w:rsidRPr="00404F2F">
        <w:rPr>
          <w:szCs w:val="22"/>
        </w:rPr>
        <w:t xml:space="preserve"> Young and Huryn 1996</w:t>
      </w:r>
      <w:r w:rsidR="00EA2E6A">
        <w:rPr>
          <w:szCs w:val="22"/>
        </w:rPr>
        <w:t>;</w:t>
      </w:r>
      <w:r w:rsidR="00E256A6">
        <w:rPr>
          <w:szCs w:val="22"/>
        </w:rPr>
        <w:t xml:space="preserve"> </w:t>
      </w:r>
      <w:r>
        <w:rPr>
          <w:szCs w:val="22"/>
        </w:rPr>
        <w:t>Oliver and Merrick 2006)</w:t>
      </w:r>
      <w:r w:rsidRPr="002D6682">
        <w:t xml:space="preserve">. Metabolism measurements help identify whether the sources of organic material that provide the food resources have come from within the river </w:t>
      </w:r>
      <w:r>
        <w:t xml:space="preserve">(autochthonous) </w:t>
      </w:r>
      <w:r w:rsidRPr="002D6682">
        <w:t>or from the surrounding landscape</w:t>
      </w:r>
      <w:r>
        <w:t xml:space="preserve"> (allochthonous)</w:t>
      </w:r>
      <w:r w:rsidR="00E256A6">
        <w:t>.</w:t>
      </w:r>
    </w:p>
    <w:p w14:paraId="223DDCBD" w14:textId="77777777" w:rsidR="00781651" w:rsidRPr="002D6682" w:rsidRDefault="00781651" w:rsidP="00F02673">
      <w:pPr>
        <w:rPr>
          <w:rFonts w:cstheme="minorHAnsi"/>
        </w:rPr>
      </w:pPr>
      <w:r>
        <w:rPr>
          <w:rFonts w:eastAsia="Calibri"/>
        </w:rPr>
        <w:t>Stream metabolism can be measured</w:t>
      </w:r>
      <w:r w:rsidRPr="005D57C8">
        <w:rPr>
          <w:rFonts w:eastAsia="Calibri"/>
        </w:rPr>
        <w:t xml:space="preserve"> by monitoring rates of change in the dissolved oxygen concentration over sequences of day and night cycles</w:t>
      </w:r>
      <w:r>
        <w:rPr>
          <w:rFonts w:eastAsia="Calibri"/>
        </w:rPr>
        <w:t xml:space="preserve"> (diel changes)</w:t>
      </w:r>
      <w:r w:rsidRPr="005D57C8">
        <w:rPr>
          <w:rFonts w:eastAsia="Calibri"/>
        </w:rPr>
        <w:t>. The</w:t>
      </w:r>
      <w:r>
        <w:rPr>
          <w:rFonts w:eastAsia="Calibri"/>
        </w:rPr>
        <w:t>se</w:t>
      </w:r>
      <w:r w:rsidRPr="005D57C8">
        <w:rPr>
          <w:rFonts w:eastAsia="Calibri"/>
        </w:rPr>
        <w:t xml:space="preserve"> changes in concentration are caused by the balance between photosynthetic oxygen production which occurs in the light, and oxygen depletion by respiration which occurs continuously. </w:t>
      </w:r>
      <w:r>
        <w:rPr>
          <w:rFonts w:eastAsia="Calibri"/>
        </w:rPr>
        <w:t>S</w:t>
      </w:r>
      <w:r w:rsidRPr="005D57C8">
        <w:rPr>
          <w:rFonts w:eastAsia="Calibri"/>
        </w:rPr>
        <w:t xml:space="preserve">uitable concentrations of dissolved oxygen are required for aquatic organisms </w:t>
      </w:r>
      <w:r>
        <w:rPr>
          <w:rFonts w:eastAsia="Calibri"/>
        </w:rPr>
        <w:t>to survive. M</w:t>
      </w:r>
      <w:r w:rsidRPr="005D57C8">
        <w:rPr>
          <w:rFonts w:eastAsia="Calibri"/>
        </w:rPr>
        <w:t xml:space="preserve">onitoring </w:t>
      </w:r>
      <w:r>
        <w:rPr>
          <w:rFonts w:eastAsia="Calibri"/>
        </w:rPr>
        <w:t xml:space="preserve">can </w:t>
      </w:r>
      <w:r w:rsidRPr="005D57C8">
        <w:rPr>
          <w:rFonts w:eastAsia="Calibri"/>
        </w:rPr>
        <w:t>inform on the mean oxygen levels, their changes in response to environmental flows, and likely impacts on the biota.</w:t>
      </w:r>
    </w:p>
    <w:p w14:paraId="41CC9B09" w14:textId="0D750DB1" w:rsidR="0013052D" w:rsidRDefault="0013052D" w:rsidP="00F02673">
      <w:r>
        <w:t>M</w:t>
      </w:r>
      <w:r w:rsidRPr="002D6682">
        <w:t xml:space="preserve">easurements </w:t>
      </w:r>
      <w:r>
        <w:t xml:space="preserve">of stream metabolism </w:t>
      </w:r>
      <w:r w:rsidRPr="002D6682">
        <w:t xml:space="preserve">describe the fundamental trophic </w:t>
      </w:r>
      <w:r>
        <w:t xml:space="preserve">energy </w:t>
      </w:r>
      <w:r w:rsidRPr="002D6682">
        <w:t>connections that characterise different food web types (e</w:t>
      </w:r>
      <w:r w:rsidR="00E256A6">
        <w:t>.</w:t>
      </w:r>
      <w:r w:rsidRPr="002D6682">
        <w:t>g. detrital, autotrophic). They indicate the size of the food web and its capacity to support higher trophic levels including fish and water birds</w:t>
      </w:r>
      <w:r>
        <w:t xml:space="preserve"> </w:t>
      </w:r>
      <w:r>
        <w:rPr>
          <w:szCs w:val="22"/>
        </w:rPr>
        <w:t>(</w:t>
      </w:r>
      <w:r w:rsidRPr="00404F2F">
        <w:rPr>
          <w:szCs w:val="22"/>
        </w:rPr>
        <w:t>Odum</w:t>
      </w:r>
      <w:r w:rsidR="00EA2E6A">
        <w:rPr>
          <w:szCs w:val="22"/>
        </w:rPr>
        <w:t xml:space="preserve"> 1956;</w:t>
      </w:r>
      <w:r w:rsidR="00E256A6">
        <w:rPr>
          <w:szCs w:val="22"/>
        </w:rPr>
        <w:t xml:space="preserve"> Young and Huryn</w:t>
      </w:r>
      <w:r w:rsidRPr="00404F2F">
        <w:rPr>
          <w:szCs w:val="22"/>
        </w:rPr>
        <w:t xml:space="preserve"> 1996</w:t>
      </w:r>
      <w:r w:rsidR="00EA2E6A">
        <w:rPr>
          <w:szCs w:val="22"/>
        </w:rPr>
        <w:t>;</w:t>
      </w:r>
      <w:r>
        <w:rPr>
          <w:szCs w:val="22"/>
        </w:rPr>
        <w:t xml:space="preserve"> Oliver and Merrick 2006)</w:t>
      </w:r>
      <w:r w:rsidR="00781651">
        <w:t>.</w:t>
      </w:r>
    </w:p>
    <w:p w14:paraId="6BA0C173" w14:textId="3AD93F56" w:rsidR="00B14E28" w:rsidRDefault="00EC0D39" w:rsidP="00F02673">
      <w:r w:rsidRPr="009928F8">
        <w:rPr>
          <w:rFonts w:eastAsiaTheme="minorHAnsi" w:cstheme="minorBidi"/>
          <w:color w:val="auto"/>
          <w:kern w:val="0"/>
          <w:szCs w:val="22"/>
        </w:rPr>
        <w:t>Water quality is included as a Basin Matter</w:t>
      </w:r>
      <w:r>
        <w:rPr>
          <w:rFonts w:eastAsiaTheme="minorHAnsi" w:cstheme="minorBidi"/>
          <w:color w:val="auto"/>
          <w:kern w:val="0"/>
          <w:szCs w:val="22"/>
        </w:rPr>
        <w:t xml:space="preserve"> as </w:t>
      </w:r>
      <w:r w:rsidRPr="009928F8">
        <w:rPr>
          <w:rFonts w:ascii="Calibri" w:hAnsi="Calibri" w:cs="Arial"/>
          <w:szCs w:val="22"/>
        </w:rPr>
        <w:t>it is one of the principal objectives of the Basin Plan</w:t>
      </w:r>
      <w:r>
        <w:rPr>
          <w:rFonts w:ascii="Calibri" w:hAnsi="Calibri" w:cs="Arial"/>
          <w:szCs w:val="22"/>
        </w:rPr>
        <w:t xml:space="preserve">, </w:t>
      </w:r>
      <w:r w:rsidRPr="009928F8">
        <w:rPr>
          <w:rFonts w:ascii="Calibri" w:hAnsi="Calibri" w:cs="Arial"/>
          <w:szCs w:val="22"/>
        </w:rPr>
        <w:t>it is known to respond to changes in flow</w:t>
      </w:r>
      <w:r>
        <w:rPr>
          <w:rFonts w:ascii="Calibri" w:hAnsi="Calibri" w:cs="Arial"/>
          <w:szCs w:val="22"/>
        </w:rPr>
        <w:t xml:space="preserve">, and </w:t>
      </w:r>
      <w:r w:rsidRPr="009928F8">
        <w:rPr>
          <w:rFonts w:ascii="Calibri" w:hAnsi="Calibri" w:cs="Arial"/>
          <w:szCs w:val="22"/>
        </w:rPr>
        <w:t xml:space="preserve">it can be a significant influence on the outcome of a watering action for biota (e.g. fish and </w:t>
      </w:r>
      <w:r>
        <w:rPr>
          <w:rFonts w:ascii="Calibri" w:hAnsi="Calibri" w:cs="Arial"/>
          <w:szCs w:val="22"/>
        </w:rPr>
        <w:t>waterbirds</w:t>
      </w:r>
      <w:r w:rsidRPr="009928F8">
        <w:rPr>
          <w:rFonts w:ascii="Calibri" w:hAnsi="Calibri" w:cs="Arial"/>
          <w:szCs w:val="22"/>
        </w:rPr>
        <w:t>).</w:t>
      </w:r>
      <w:r>
        <w:rPr>
          <w:rFonts w:ascii="Calibri" w:hAnsi="Calibri" w:cs="Arial"/>
          <w:szCs w:val="22"/>
        </w:rPr>
        <w:t xml:space="preserve"> </w:t>
      </w:r>
      <w:r w:rsidRPr="009928F8">
        <w:rPr>
          <w:rFonts w:eastAsiaTheme="minorHAnsi" w:cstheme="minorBidi"/>
          <w:color w:val="auto"/>
          <w:kern w:val="0"/>
          <w:szCs w:val="22"/>
        </w:rPr>
        <w:t xml:space="preserve">There are instances where the objective of a watering action is the amelioration of reduced water quality (e.g. dissolved oxygen, salinity) to prevent disturbance to an </w:t>
      </w:r>
      <w:r>
        <w:rPr>
          <w:rFonts w:eastAsiaTheme="minorHAnsi" w:cstheme="minorBidi"/>
          <w:color w:val="auto"/>
          <w:kern w:val="0"/>
          <w:szCs w:val="22"/>
        </w:rPr>
        <w:t>ec</w:t>
      </w:r>
      <w:r w:rsidR="00B14E28" w:rsidRPr="009928F8">
        <w:rPr>
          <w:rFonts w:eastAsiaTheme="minorHAnsi" w:cstheme="minorBidi"/>
          <w:color w:val="auto"/>
          <w:kern w:val="0"/>
          <w:szCs w:val="22"/>
        </w:rPr>
        <w:t>osystem.</w:t>
      </w:r>
    </w:p>
    <w:p w14:paraId="61646FE6" w14:textId="77777777" w:rsidR="00443EDA" w:rsidRPr="00443EDA" w:rsidRDefault="00443EDA" w:rsidP="00475425">
      <w:pPr>
        <w:pStyle w:val="Heading4"/>
      </w:pPr>
      <w:r w:rsidRPr="00443EDA">
        <w:lastRenderedPageBreak/>
        <w:t>Cause and effect diagram</w:t>
      </w:r>
    </w:p>
    <w:p w14:paraId="6525BD45" w14:textId="77777777" w:rsidR="00443EDA" w:rsidRPr="00443EDA" w:rsidRDefault="00443EDA" w:rsidP="00F02673">
      <w:r w:rsidRPr="00443EDA">
        <w:t xml:space="preserve">The cause and effect diagrams and background information presented in MDFRC (2013) for </w:t>
      </w:r>
      <w:r w:rsidR="00E256A6">
        <w:t>p</w:t>
      </w:r>
      <w:r w:rsidRPr="00443EDA">
        <w:t xml:space="preserve">rimary </w:t>
      </w:r>
      <w:r w:rsidR="00E256A6">
        <w:t>p</w:t>
      </w:r>
      <w:r w:rsidRPr="00443EDA">
        <w:t xml:space="preserve">roductivity and </w:t>
      </w:r>
      <w:r w:rsidR="00E256A6">
        <w:t>d</w:t>
      </w:r>
      <w:r w:rsidRPr="00443EDA">
        <w:t xml:space="preserve">ecomposition are applicable to this investigation. Refer to MDFRC (2013) for further details. </w:t>
      </w:r>
    </w:p>
    <w:p w14:paraId="73DADD6D" w14:textId="77777777" w:rsidR="00443EDA" w:rsidRPr="00443EDA" w:rsidRDefault="00443EDA" w:rsidP="0080273D">
      <w:pPr>
        <w:jc w:val="center"/>
      </w:pPr>
      <w:r w:rsidRPr="00443EDA">
        <w:rPr>
          <w:noProof/>
          <w:lang w:eastAsia="en-AU"/>
        </w:rPr>
        <w:drawing>
          <wp:inline distT="0" distB="0" distL="0" distR="0" wp14:anchorId="71CCEEB5" wp14:editId="0E90DA8D">
            <wp:extent cx="5131292" cy="3652128"/>
            <wp:effectExtent l="0" t="0" r="0" b="5715"/>
            <wp:docPr id="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131006" cy="3651924"/>
                    </a:xfrm>
                    <a:prstGeom prst="rect">
                      <a:avLst/>
                    </a:prstGeom>
                    <a:noFill/>
                    <a:ln w="9525">
                      <a:noFill/>
                      <a:miter lim="800000"/>
                      <a:headEnd/>
                      <a:tailEnd/>
                    </a:ln>
                  </pic:spPr>
                </pic:pic>
              </a:graphicData>
            </a:graphic>
          </wp:inline>
        </w:drawing>
      </w:r>
    </w:p>
    <w:p w14:paraId="2E6D84E0" w14:textId="77777777" w:rsidR="00443EDA" w:rsidRPr="00443EDA" w:rsidRDefault="00443EDA" w:rsidP="0080273D">
      <w:pPr>
        <w:jc w:val="center"/>
      </w:pPr>
      <w:r w:rsidRPr="00443EDA">
        <w:rPr>
          <w:noProof/>
          <w:lang w:eastAsia="en-AU"/>
        </w:rPr>
        <w:drawing>
          <wp:inline distT="0" distB="0" distL="0" distR="0" wp14:anchorId="23B9B83D" wp14:editId="29E2E1CA">
            <wp:extent cx="4890226" cy="3536742"/>
            <wp:effectExtent l="0" t="0" r="5715" b="6985"/>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891767" cy="3537856"/>
                    </a:xfrm>
                    <a:prstGeom prst="rect">
                      <a:avLst/>
                    </a:prstGeom>
                    <a:noFill/>
                    <a:ln w="9525">
                      <a:noFill/>
                      <a:miter lim="800000"/>
                      <a:headEnd/>
                      <a:tailEnd/>
                    </a:ln>
                  </pic:spPr>
                </pic:pic>
              </a:graphicData>
            </a:graphic>
          </wp:inline>
        </w:drawing>
      </w:r>
    </w:p>
    <w:p w14:paraId="3A8F5CF8" w14:textId="7F8F9A2E" w:rsidR="00443EDA" w:rsidRPr="00443EDA" w:rsidRDefault="00443EDA" w:rsidP="00FA4AA8">
      <w:pPr>
        <w:pStyle w:val="FigureCaption"/>
      </w:pPr>
      <w:bookmarkStart w:id="89" w:name="_Ref384729306"/>
      <w:bookmarkStart w:id="90" w:name="_Toc384985594"/>
      <w:bookmarkStart w:id="91" w:name="_Toc12630434"/>
      <w:r w:rsidRPr="00443EDA">
        <w:t xml:space="preserve">Figure </w:t>
      </w:r>
      <w:r w:rsidR="00A8252A">
        <w:rPr>
          <w:noProof/>
        </w:rPr>
        <w:fldChar w:fldCharType="begin"/>
      </w:r>
      <w:r w:rsidR="00A8252A">
        <w:rPr>
          <w:noProof/>
        </w:rPr>
        <w:instrText xml:space="preserve"> STYLEREF 1 \s </w:instrText>
      </w:r>
      <w:r w:rsidR="00A8252A">
        <w:rPr>
          <w:noProof/>
        </w:rPr>
        <w:fldChar w:fldCharType="separate"/>
      </w:r>
      <w:r w:rsidR="00DF49CD">
        <w:rPr>
          <w:noProof/>
        </w:rPr>
        <w:t>5</w:t>
      </w:r>
      <w:r w:rsidR="00A8252A">
        <w:rPr>
          <w:noProof/>
        </w:rPr>
        <w:fldChar w:fldCharType="end"/>
      </w:r>
      <w:r w:rsidR="00251188">
        <w:t>.</w:t>
      </w:r>
      <w:r w:rsidR="00A8252A">
        <w:rPr>
          <w:noProof/>
        </w:rPr>
        <w:fldChar w:fldCharType="begin"/>
      </w:r>
      <w:r w:rsidR="00A8252A">
        <w:rPr>
          <w:noProof/>
        </w:rPr>
        <w:instrText xml:space="preserve"> SEQ Figure \* ARABIC \s 1 </w:instrText>
      </w:r>
      <w:r w:rsidR="00A8252A">
        <w:rPr>
          <w:noProof/>
        </w:rPr>
        <w:fldChar w:fldCharType="separate"/>
      </w:r>
      <w:r w:rsidR="00DF49CD">
        <w:rPr>
          <w:noProof/>
        </w:rPr>
        <w:t>3</w:t>
      </w:r>
      <w:r w:rsidR="00A8252A">
        <w:rPr>
          <w:noProof/>
        </w:rPr>
        <w:fldChar w:fldCharType="end"/>
      </w:r>
      <w:bookmarkEnd w:id="89"/>
      <w:r w:rsidRPr="00443EDA">
        <w:t>.</w:t>
      </w:r>
      <w:r w:rsidR="00E256A6">
        <w:tab/>
      </w:r>
      <w:r w:rsidRPr="00443EDA">
        <w:t>Cause and effect diagrams depicting the influenc</w:t>
      </w:r>
      <w:r w:rsidR="004F7823">
        <w:t xml:space="preserve">e of flow on the components of </w:t>
      </w:r>
      <w:r w:rsidR="004F7823" w:rsidRPr="004F7823">
        <w:rPr>
          <w:i/>
        </w:rPr>
        <w:t>Stream M</w:t>
      </w:r>
      <w:r w:rsidRPr="004F7823">
        <w:rPr>
          <w:i/>
        </w:rPr>
        <w:t>etabolism</w:t>
      </w:r>
      <w:r w:rsidR="00E256A6">
        <w:t>,</w:t>
      </w:r>
      <w:r w:rsidRPr="00443EDA">
        <w:t xml:space="preserve"> on primary productivity (top) and decomposition (bottom) (MDFRC 2013). </w:t>
      </w:r>
      <w:r w:rsidRPr="00443EDA">
        <w:rPr>
          <w:rFonts w:eastAsiaTheme="minorEastAsia" w:cstheme="minorHAnsi"/>
          <w:color w:val="000000" w:themeColor="text1"/>
          <w:kern w:val="24"/>
          <w:lang w:val="en-US"/>
        </w:rPr>
        <w:t>Magnitude, timing and duration are factors of flow (in black).</w:t>
      </w:r>
      <w:bookmarkEnd w:id="90"/>
      <w:bookmarkEnd w:id="91"/>
      <w:r w:rsidRPr="00443EDA">
        <w:rPr>
          <w:rFonts w:eastAsiaTheme="minorEastAsia" w:cstheme="minorHAnsi"/>
          <w:color w:val="000000" w:themeColor="text1"/>
          <w:kern w:val="24"/>
          <w:lang w:val="en-US"/>
        </w:rPr>
        <w:t xml:space="preserve"> </w:t>
      </w:r>
    </w:p>
    <w:p w14:paraId="28EE5689" w14:textId="77777777" w:rsidR="00443EDA" w:rsidRPr="00443EDA" w:rsidRDefault="00443EDA" w:rsidP="00475425">
      <w:pPr>
        <w:pStyle w:val="Heading4"/>
      </w:pPr>
      <w:r w:rsidRPr="00443EDA">
        <w:lastRenderedPageBreak/>
        <w:t>Key evaluation question</w:t>
      </w:r>
      <w:r w:rsidR="0021201B">
        <w:t>s</w:t>
      </w:r>
    </w:p>
    <w:p w14:paraId="5A7A8156" w14:textId="0D7B4DB3" w:rsidR="00443EDA" w:rsidRPr="00443EDA" w:rsidRDefault="00BE64BD" w:rsidP="00F02673">
      <w:pPr>
        <w:rPr>
          <w:rFonts w:eastAsia="Calibri"/>
        </w:rPr>
      </w:pPr>
      <w:r>
        <w:rPr>
          <w:rFonts w:eastAsia="Calibri"/>
        </w:rPr>
        <w:t xml:space="preserve">Basin and Selected Area evaluation questions </w:t>
      </w:r>
      <w:r w:rsidRPr="00443EDA">
        <w:t xml:space="preserve">(Hale </w:t>
      </w:r>
      <w:r w:rsidRPr="0021201B">
        <w:rPr>
          <w:i/>
        </w:rPr>
        <w:t>et al.</w:t>
      </w:r>
      <w:r w:rsidRPr="00443EDA">
        <w:t xml:space="preserve"> 201</w:t>
      </w:r>
      <w:r>
        <w:t>4</w:t>
      </w:r>
      <w:r w:rsidRPr="00443EDA">
        <w:t>)</w:t>
      </w:r>
      <w:r w:rsidRPr="00443EDA">
        <w:rPr>
          <w:rFonts w:eastAsia="Calibri"/>
        </w:rPr>
        <w:t>:</w:t>
      </w:r>
    </w:p>
    <w:p w14:paraId="28C0A998" w14:textId="77777777" w:rsidR="00443EDA" w:rsidRPr="00443EDA" w:rsidRDefault="00443EDA" w:rsidP="008F4F40">
      <w:pPr>
        <w:pStyle w:val="ListBullet"/>
        <w:rPr>
          <w:rFonts w:eastAsia="Calibri"/>
        </w:rPr>
      </w:pPr>
      <w:r w:rsidRPr="00443EDA">
        <w:rPr>
          <w:rFonts w:eastAsia="Calibri"/>
        </w:rPr>
        <w:t>What did Commonwealth environmental water contribute to patterns and rates of decomposition?</w:t>
      </w:r>
    </w:p>
    <w:p w14:paraId="0236EE89" w14:textId="77777777" w:rsidR="00443EDA" w:rsidRPr="0013052D" w:rsidRDefault="00443EDA" w:rsidP="008F4F40">
      <w:pPr>
        <w:pStyle w:val="ListBullet"/>
      </w:pPr>
      <w:r w:rsidRPr="00443EDA">
        <w:rPr>
          <w:rFonts w:eastAsia="Calibri"/>
        </w:rPr>
        <w:t>What did Commonwealth environmental water contribute to patterns and rates of primary productivity?</w:t>
      </w:r>
    </w:p>
    <w:p w14:paraId="1069A7BC" w14:textId="77777777" w:rsidR="0013052D" w:rsidRDefault="0013052D" w:rsidP="008F4F40">
      <w:pPr>
        <w:pStyle w:val="ListBullet"/>
      </w:pPr>
      <w:r w:rsidRPr="0013052D">
        <w:t>What did Commonwealth environmental water contribute to dissolved oxygen levels</w:t>
      </w:r>
      <w:r>
        <w:t>?</w:t>
      </w:r>
    </w:p>
    <w:p w14:paraId="46C42AC6" w14:textId="7174CD20" w:rsidR="00B14E28" w:rsidRPr="00443EDA" w:rsidRDefault="00B14E28" w:rsidP="00B14E28">
      <w:pPr>
        <w:pStyle w:val="ListBullet"/>
      </w:pPr>
      <w:r>
        <w:t>What did Commonwealth environmental water contribute to water quality?</w:t>
      </w:r>
    </w:p>
    <w:p w14:paraId="40547FFC" w14:textId="77777777" w:rsidR="00443EDA" w:rsidRPr="00443EDA" w:rsidRDefault="003422E9" w:rsidP="00475425">
      <w:pPr>
        <w:pStyle w:val="Heading4"/>
      </w:pPr>
      <w:r>
        <w:t>O</w:t>
      </w:r>
      <w:r w:rsidR="00443EDA" w:rsidRPr="00443EDA">
        <w:t>bjectives and hypotheses</w:t>
      </w:r>
    </w:p>
    <w:p w14:paraId="04BEC93B" w14:textId="77777777" w:rsidR="00E342FC" w:rsidRDefault="00443EDA" w:rsidP="00F02673">
      <w:pPr>
        <w:rPr>
          <w:rFonts w:eastAsia="Calibri"/>
        </w:rPr>
      </w:pPr>
      <w:r w:rsidRPr="00443EDA">
        <w:rPr>
          <w:rFonts w:eastAsia="Calibri"/>
        </w:rPr>
        <w:t>The ob</w:t>
      </w:r>
      <w:r w:rsidR="00E342FC">
        <w:rPr>
          <w:rFonts w:eastAsia="Calibri"/>
        </w:rPr>
        <w:t>jective of this indicator is to:</w:t>
      </w:r>
    </w:p>
    <w:p w14:paraId="263A9861" w14:textId="77777777" w:rsidR="00E342FC" w:rsidRDefault="00E342FC" w:rsidP="00E342FC">
      <w:pPr>
        <w:pStyle w:val="ListBullet"/>
        <w:rPr>
          <w:rFonts w:eastAsia="Calibri"/>
        </w:rPr>
      </w:pPr>
      <w:r>
        <w:rPr>
          <w:rFonts w:eastAsia="Calibri"/>
        </w:rPr>
        <w:t>A</w:t>
      </w:r>
      <w:r w:rsidR="00443EDA" w:rsidRPr="00443EDA">
        <w:rPr>
          <w:rFonts w:eastAsia="Calibri"/>
        </w:rPr>
        <w:t>ssess how environmental water influences primary production and ecosystem re</w:t>
      </w:r>
      <w:r>
        <w:rPr>
          <w:rFonts w:eastAsia="Calibri"/>
        </w:rPr>
        <w:t>spiration in the river channel.</w:t>
      </w:r>
      <w:r w:rsidR="005D57C8">
        <w:rPr>
          <w:rFonts w:eastAsia="Calibri"/>
        </w:rPr>
        <w:t xml:space="preserve"> </w:t>
      </w:r>
    </w:p>
    <w:p w14:paraId="30F480B4" w14:textId="77777777" w:rsidR="00443EDA" w:rsidRPr="00443EDA" w:rsidRDefault="00443EDA" w:rsidP="00F02673">
      <w:r w:rsidRPr="00443EDA">
        <w:t>Major hypotheses are:</w:t>
      </w:r>
    </w:p>
    <w:p w14:paraId="2EFA4D76" w14:textId="77777777" w:rsidR="00443EDA" w:rsidRPr="00443EDA" w:rsidRDefault="005D57C8" w:rsidP="008F4F40">
      <w:pPr>
        <w:pStyle w:val="ListBullet"/>
      </w:pPr>
      <w:r w:rsidRPr="005D57C8">
        <w:t>During in-channel flows the transport of organic material from the floodplain is low and autochthonous carbon captured in-stream through photosynthesis is the major source of energy to the aquatic food webs.</w:t>
      </w:r>
    </w:p>
    <w:p w14:paraId="537A7A10" w14:textId="77777777" w:rsidR="005D57C8" w:rsidRDefault="005D57C8" w:rsidP="008F4F40">
      <w:pPr>
        <w:pStyle w:val="ListBullet"/>
      </w:pPr>
      <w:r w:rsidRPr="005D57C8">
        <w:t>Water quality influences the growth of aquatic plants (microalgae and macrophytes) by modifying light and nutrient availability and influences the supply of autochthonous organic carbon to food webs.</w:t>
      </w:r>
    </w:p>
    <w:p w14:paraId="1CA99B9F" w14:textId="77777777" w:rsidR="005D57C8" w:rsidRDefault="005D57C8" w:rsidP="005D57C8">
      <w:pPr>
        <w:pStyle w:val="ListBullet"/>
      </w:pPr>
      <w:r w:rsidRPr="005D57C8">
        <w:t>Increas</w:t>
      </w:r>
      <w:r w:rsidR="00BE4B07">
        <w:t xml:space="preserve">ing flow better connects </w:t>
      </w:r>
      <w:r w:rsidRPr="005D57C8">
        <w:t xml:space="preserve">the channel </w:t>
      </w:r>
      <w:r w:rsidR="00BE4B07">
        <w:t xml:space="preserve">with </w:t>
      </w:r>
      <w:r w:rsidRPr="005D57C8">
        <w:t>riparian, wetland or</w:t>
      </w:r>
      <w:r w:rsidR="00781651">
        <w:t xml:space="preserve"> floo</w:t>
      </w:r>
      <w:r w:rsidR="00BE4B07">
        <w:t>dplain areas</w:t>
      </w:r>
      <w:r w:rsidR="00781651">
        <w:t xml:space="preserve"> and enhance</w:t>
      </w:r>
      <w:r w:rsidR="00BE4B07">
        <w:t>s</w:t>
      </w:r>
      <w:r w:rsidRPr="005D57C8">
        <w:t xml:space="preserve"> the supply of allochthonous organic carbon to the river channel</w:t>
      </w:r>
      <w:r w:rsidR="00BE4B07">
        <w:t xml:space="preserve">, leading </w:t>
      </w:r>
      <w:r w:rsidRPr="005D57C8">
        <w:t>to increased energy suppl</w:t>
      </w:r>
      <w:r w:rsidR="00BE4B07">
        <w:t>ies</w:t>
      </w:r>
      <w:r w:rsidRPr="005D57C8">
        <w:t xml:space="preserve"> </w:t>
      </w:r>
      <w:r w:rsidR="00781651">
        <w:t xml:space="preserve">and </w:t>
      </w:r>
      <w:r w:rsidRPr="005D57C8">
        <w:t>enhanced ecosystem respiration rates due to decomposition.</w:t>
      </w:r>
    </w:p>
    <w:p w14:paraId="31C3D424" w14:textId="77777777" w:rsidR="005D57C8" w:rsidRPr="00443EDA" w:rsidRDefault="005D57C8" w:rsidP="005D57C8">
      <w:pPr>
        <w:pStyle w:val="ListBullet"/>
      </w:pPr>
      <w:r w:rsidRPr="005D57C8">
        <w:t>Excessive loads of organic carbon increase respiration and decomposition rates and reduce dissolved oxygen concentrations to levels below those required by aquatic organisms, with potentially lethal effects.</w:t>
      </w:r>
    </w:p>
    <w:p w14:paraId="40AE3774" w14:textId="77777777" w:rsidR="00443EDA" w:rsidRPr="00443EDA" w:rsidRDefault="00BE4B07" w:rsidP="008F4F40">
      <w:pPr>
        <w:pStyle w:val="ListBullet"/>
      </w:pPr>
      <w:r>
        <w:t>Increased energy supply</w:t>
      </w:r>
      <w:r w:rsidR="005D57C8" w:rsidRPr="005D57C8">
        <w:t xml:space="preserve"> due to enhanced aquatic photosynthet</w:t>
      </w:r>
      <w:r>
        <w:t>ic production or enhanced supply</w:t>
      </w:r>
      <w:r w:rsidR="005D57C8" w:rsidRPr="005D57C8">
        <w:t xml:space="preserve"> of externally sourced organic carbon leads to increased food web size and complexity that can support larger populations of organisms dependent on aq</w:t>
      </w:r>
      <w:r w:rsidR="005D57C8">
        <w:t>uatic systems for food supplies</w:t>
      </w:r>
      <w:r w:rsidR="00443EDA" w:rsidRPr="00443EDA">
        <w:t>.</w:t>
      </w:r>
    </w:p>
    <w:p w14:paraId="769236D4" w14:textId="77777777" w:rsidR="00443EDA" w:rsidRPr="00443EDA" w:rsidRDefault="00A94E5A" w:rsidP="00475425">
      <w:pPr>
        <w:pStyle w:val="Heading4"/>
        <w:rPr>
          <w:rFonts w:cstheme="minorHAnsi"/>
        </w:rPr>
      </w:pPr>
      <w:r>
        <w:t>General m</w:t>
      </w:r>
      <w:r w:rsidR="00443EDA" w:rsidRPr="00443EDA">
        <w:t>ethodology</w:t>
      </w:r>
    </w:p>
    <w:p w14:paraId="19C56F33" w14:textId="083C1A15" w:rsidR="001469D0" w:rsidRPr="001469D0" w:rsidRDefault="001469D0" w:rsidP="001469D0">
      <w:pPr>
        <w:pStyle w:val="CM6"/>
        <w:rPr>
          <w:rFonts w:asciiTheme="minorHAnsi" w:hAnsiTheme="minorHAnsi" w:cs="Calibri"/>
          <w:color w:val="000000"/>
          <w:sz w:val="22"/>
          <w:szCs w:val="22"/>
        </w:rPr>
      </w:pPr>
      <w:r w:rsidRPr="001469D0">
        <w:rPr>
          <w:rFonts w:asciiTheme="minorHAnsi" w:hAnsiTheme="minorHAnsi" w:cs="Calibri"/>
          <w:color w:val="000000"/>
          <w:sz w:val="22"/>
          <w:szCs w:val="22"/>
        </w:rPr>
        <w:t xml:space="preserve">This protocol is based on the single station open water stream metabolism method </w:t>
      </w:r>
      <w:r w:rsidRPr="001469D0">
        <w:rPr>
          <w:rFonts w:asciiTheme="minorHAnsi" w:eastAsiaTheme="minorHAnsi" w:hAnsiTheme="minorHAnsi"/>
          <w:sz w:val="22"/>
          <w:szCs w:val="22"/>
        </w:rPr>
        <w:t xml:space="preserve">(Hale </w:t>
      </w:r>
      <w:r w:rsidRPr="001469D0">
        <w:rPr>
          <w:rFonts w:asciiTheme="minorHAnsi" w:eastAsiaTheme="minorHAnsi" w:hAnsiTheme="minorHAnsi"/>
          <w:i/>
          <w:sz w:val="22"/>
          <w:szCs w:val="22"/>
        </w:rPr>
        <w:t>et al.</w:t>
      </w:r>
      <w:r w:rsidRPr="001469D0">
        <w:rPr>
          <w:rFonts w:asciiTheme="minorHAnsi" w:eastAsiaTheme="minorHAnsi" w:hAnsiTheme="minorHAnsi"/>
          <w:sz w:val="22"/>
          <w:szCs w:val="22"/>
        </w:rPr>
        <w:t xml:space="preserve"> 2014; Grace</w:t>
      </w:r>
      <w:r>
        <w:rPr>
          <w:rFonts w:asciiTheme="minorHAnsi" w:eastAsiaTheme="minorHAnsi" w:hAnsiTheme="minorHAnsi"/>
          <w:sz w:val="22"/>
          <w:szCs w:val="22"/>
        </w:rPr>
        <w:t xml:space="preserve"> </w:t>
      </w:r>
      <w:r w:rsidRPr="0081269B">
        <w:rPr>
          <w:rFonts w:asciiTheme="minorHAnsi" w:eastAsiaTheme="minorHAnsi" w:hAnsiTheme="minorHAnsi"/>
          <w:i/>
          <w:sz w:val="22"/>
          <w:szCs w:val="22"/>
        </w:rPr>
        <w:t>et al.</w:t>
      </w:r>
      <w:r>
        <w:rPr>
          <w:rFonts w:asciiTheme="minorHAnsi" w:eastAsiaTheme="minorHAnsi" w:hAnsiTheme="minorHAnsi"/>
          <w:sz w:val="22"/>
          <w:szCs w:val="22"/>
        </w:rPr>
        <w:t xml:space="preserve"> </w:t>
      </w:r>
      <w:r w:rsidR="0008315C" w:rsidRPr="0008315C">
        <w:rPr>
          <w:rFonts w:asciiTheme="minorHAnsi" w:eastAsiaTheme="minorHAnsi" w:hAnsiTheme="minorHAnsi"/>
          <w:i/>
          <w:sz w:val="22"/>
          <w:szCs w:val="22"/>
        </w:rPr>
        <w:t>In Prep</w:t>
      </w:r>
      <w:r w:rsidRPr="001469D0">
        <w:rPr>
          <w:rFonts w:asciiTheme="minorHAnsi" w:eastAsiaTheme="minorHAnsi" w:hAnsiTheme="minorHAnsi"/>
          <w:sz w:val="22"/>
          <w:szCs w:val="22"/>
        </w:rPr>
        <w:t>)</w:t>
      </w:r>
      <w:r w:rsidRPr="001469D0">
        <w:rPr>
          <w:rFonts w:asciiTheme="minorHAnsi" w:hAnsiTheme="minorHAnsi" w:cs="Calibri"/>
          <w:color w:val="000000"/>
          <w:sz w:val="22"/>
          <w:szCs w:val="22"/>
        </w:rPr>
        <w:t xml:space="preserve">. </w:t>
      </w:r>
    </w:p>
    <w:p w14:paraId="70F1332A" w14:textId="58E89C4E" w:rsidR="00E64836" w:rsidRPr="00034BE7" w:rsidRDefault="00E64836" w:rsidP="00706722">
      <w:pPr>
        <w:pStyle w:val="Default"/>
        <w:spacing w:before="120" w:after="120"/>
        <w:jc w:val="both"/>
        <w:rPr>
          <w:rFonts w:asciiTheme="minorHAnsi" w:hAnsiTheme="minorHAnsi" w:cs="Calibri"/>
          <w:sz w:val="22"/>
          <w:szCs w:val="22"/>
        </w:rPr>
      </w:pPr>
      <w:r>
        <w:rPr>
          <w:rFonts w:asciiTheme="minorHAnsi" w:hAnsiTheme="minorHAnsi" w:cs="Calibri"/>
          <w:sz w:val="22"/>
          <w:szCs w:val="22"/>
        </w:rPr>
        <w:t>Measurements of w</w:t>
      </w:r>
      <w:r w:rsidRPr="00F375F4">
        <w:rPr>
          <w:rFonts w:asciiTheme="minorHAnsi" w:hAnsiTheme="minorHAnsi" w:cs="Calibri"/>
          <w:sz w:val="22"/>
          <w:szCs w:val="22"/>
        </w:rPr>
        <w:t>ater level and stream characteristics</w:t>
      </w:r>
      <w:r>
        <w:rPr>
          <w:rFonts w:asciiTheme="minorHAnsi" w:hAnsiTheme="minorHAnsi" w:cs="Calibri"/>
          <w:sz w:val="22"/>
          <w:szCs w:val="22"/>
        </w:rPr>
        <w:t xml:space="preserve"> including water velocity, channel cross-sectional area and average depth of sampling sites </w:t>
      </w:r>
      <w:r w:rsidRPr="00F375F4">
        <w:rPr>
          <w:rFonts w:asciiTheme="minorHAnsi" w:hAnsiTheme="minorHAnsi" w:cs="Calibri"/>
          <w:sz w:val="22"/>
          <w:szCs w:val="22"/>
        </w:rPr>
        <w:t>will be provided from established gauging stations</w:t>
      </w:r>
      <w:r>
        <w:rPr>
          <w:rFonts w:asciiTheme="minorHAnsi" w:hAnsiTheme="minorHAnsi" w:cs="Calibri"/>
          <w:sz w:val="22"/>
          <w:szCs w:val="22"/>
        </w:rPr>
        <w:t xml:space="preserve"> in the </w:t>
      </w:r>
      <w:r w:rsidR="00D729DF" w:rsidRPr="00D729DF">
        <w:rPr>
          <w:rFonts w:asciiTheme="minorHAnsi" w:hAnsiTheme="minorHAnsi" w:cs="Calibri"/>
          <w:sz w:val="22"/>
          <w:szCs w:val="22"/>
        </w:rPr>
        <w:t>Lower Murray</w:t>
      </w:r>
      <w:r>
        <w:rPr>
          <w:rFonts w:asciiTheme="minorHAnsi" w:hAnsiTheme="minorHAnsi" w:cs="Calibri"/>
          <w:sz w:val="22"/>
          <w:szCs w:val="22"/>
        </w:rPr>
        <w:t xml:space="preserve"> in conjunction with site measurements during sampling trips. </w:t>
      </w:r>
      <w:r w:rsidR="00C3632C">
        <w:rPr>
          <w:rFonts w:asciiTheme="minorHAnsi" w:hAnsiTheme="minorHAnsi" w:cs="Calibri"/>
          <w:sz w:val="22"/>
          <w:szCs w:val="22"/>
        </w:rPr>
        <w:t>D</w:t>
      </w:r>
      <w:r w:rsidRPr="00F375F4">
        <w:rPr>
          <w:rFonts w:asciiTheme="minorHAnsi" w:hAnsiTheme="minorHAnsi" w:cs="Calibri"/>
          <w:sz w:val="22"/>
          <w:szCs w:val="22"/>
        </w:rPr>
        <w:t>iscrete water quality samples</w:t>
      </w:r>
      <w:r>
        <w:rPr>
          <w:rFonts w:asciiTheme="minorHAnsi" w:hAnsiTheme="minorHAnsi" w:cs="Calibri"/>
          <w:sz w:val="22"/>
          <w:szCs w:val="22"/>
        </w:rPr>
        <w:t xml:space="preserve"> </w:t>
      </w:r>
      <w:r w:rsidR="00C3632C">
        <w:rPr>
          <w:rFonts w:asciiTheme="minorHAnsi" w:hAnsiTheme="minorHAnsi" w:cs="Calibri"/>
          <w:sz w:val="22"/>
          <w:szCs w:val="22"/>
        </w:rPr>
        <w:t xml:space="preserve">will be collected </w:t>
      </w:r>
      <w:r>
        <w:rPr>
          <w:rFonts w:asciiTheme="minorHAnsi" w:hAnsiTheme="minorHAnsi" w:cs="Calibri"/>
          <w:sz w:val="22"/>
          <w:szCs w:val="22"/>
        </w:rPr>
        <w:t xml:space="preserve">for the analyses of </w:t>
      </w:r>
      <w:r w:rsidRPr="00F375F4">
        <w:rPr>
          <w:rFonts w:asciiTheme="minorHAnsi" w:hAnsiTheme="minorHAnsi" w:cs="Calibri"/>
          <w:sz w:val="22"/>
          <w:szCs w:val="22"/>
        </w:rPr>
        <w:t>chlorophyll-</w:t>
      </w:r>
      <w:r w:rsidRPr="00565FF7">
        <w:rPr>
          <w:rFonts w:asciiTheme="minorHAnsi" w:hAnsiTheme="minorHAnsi" w:cs="Calibri"/>
          <w:i/>
          <w:sz w:val="22"/>
          <w:szCs w:val="22"/>
        </w:rPr>
        <w:t>a</w:t>
      </w:r>
      <w:r w:rsidRPr="00F375F4">
        <w:rPr>
          <w:rFonts w:asciiTheme="minorHAnsi" w:hAnsiTheme="minorHAnsi" w:cs="Calibri"/>
          <w:sz w:val="22"/>
          <w:szCs w:val="22"/>
        </w:rPr>
        <w:t>, total nitrogen, NO</w:t>
      </w:r>
      <w:r>
        <w:rPr>
          <w:rFonts w:asciiTheme="minorHAnsi" w:hAnsiTheme="minorHAnsi" w:cs="Calibri"/>
          <w:sz w:val="22"/>
          <w:szCs w:val="22"/>
          <w:vertAlign w:val="subscript"/>
        </w:rPr>
        <w:t>X</w:t>
      </w:r>
      <w:r w:rsidRPr="00F375F4">
        <w:rPr>
          <w:rFonts w:asciiTheme="minorHAnsi" w:hAnsiTheme="minorHAnsi" w:cs="Calibri"/>
          <w:sz w:val="22"/>
          <w:szCs w:val="22"/>
        </w:rPr>
        <w:t>, NH</w:t>
      </w:r>
      <w:r w:rsidRPr="00B47D9C">
        <w:rPr>
          <w:rFonts w:asciiTheme="minorHAnsi" w:hAnsiTheme="minorHAnsi" w:cs="Calibri"/>
          <w:sz w:val="22"/>
          <w:szCs w:val="22"/>
          <w:vertAlign w:val="subscript"/>
        </w:rPr>
        <w:t>4</w:t>
      </w:r>
      <w:r w:rsidRPr="00F375F4">
        <w:rPr>
          <w:rFonts w:asciiTheme="minorHAnsi" w:hAnsiTheme="minorHAnsi" w:cs="Calibri"/>
          <w:sz w:val="22"/>
          <w:szCs w:val="22"/>
        </w:rPr>
        <w:t>, total phosphorus, PO</w:t>
      </w:r>
      <w:r w:rsidRPr="00B47D9C">
        <w:rPr>
          <w:rFonts w:asciiTheme="minorHAnsi" w:hAnsiTheme="minorHAnsi" w:cs="Calibri"/>
          <w:sz w:val="22"/>
          <w:szCs w:val="22"/>
          <w:vertAlign w:val="subscript"/>
        </w:rPr>
        <w:t>4</w:t>
      </w:r>
      <w:r w:rsidRPr="00F375F4">
        <w:rPr>
          <w:rFonts w:asciiTheme="minorHAnsi" w:hAnsiTheme="minorHAnsi" w:cs="Calibri"/>
          <w:sz w:val="22"/>
          <w:szCs w:val="22"/>
        </w:rPr>
        <w:t xml:space="preserve">, </w:t>
      </w:r>
      <w:r>
        <w:rPr>
          <w:rFonts w:asciiTheme="minorHAnsi" w:hAnsiTheme="minorHAnsi" w:cs="Calibri"/>
          <w:sz w:val="22"/>
          <w:szCs w:val="22"/>
        </w:rPr>
        <w:t xml:space="preserve">and </w:t>
      </w:r>
      <w:r w:rsidRPr="00F375F4">
        <w:rPr>
          <w:rFonts w:asciiTheme="minorHAnsi" w:hAnsiTheme="minorHAnsi" w:cs="Calibri"/>
          <w:sz w:val="22"/>
          <w:szCs w:val="22"/>
        </w:rPr>
        <w:t>dissolved organic carbon</w:t>
      </w:r>
      <w:r>
        <w:rPr>
          <w:rFonts w:asciiTheme="minorHAnsi" w:hAnsiTheme="minorHAnsi" w:cs="Calibri"/>
          <w:sz w:val="22"/>
          <w:szCs w:val="22"/>
        </w:rPr>
        <w:t xml:space="preserve">. </w:t>
      </w:r>
      <w:r w:rsidRPr="00B47D9C">
        <w:rPr>
          <w:rFonts w:asciiTheme="minorHAnsi" w:hAnsiTheme="minorHAnsi" w:cs="Calibri"/>
          <w:i/>
          <w:sz w:val="22"/>
          <w:szCs w:val="22"/>
        </w:rPr>
        <w:t>In situ</w:t>
      </w:r>
      <w:r w:rsidRPr="00391C5B">
        <w:rPr>
          <w:rFonts w:asciiTheme="minorHAnsi" w:hAnsiTheme="minorHAnsi" w:cs="Calibri"/>
          <w:sz w:val="22"/>
          <w:szCs w:val="22"/>
        </w:rPr>
        <w:t xml:space="preserve"> </w:t>
      </w:r>
      <w:r w:rsidRPr="00F375F4">
        <w:rPr>
          <w:rFonts w:asciiTheme="minorHAnsi" w:hAnsiTheme="minorHAnsi" w:cs="Calibri"/>
          <w:sz w:val="22"/>
          <w:szCs w:val="22"/>
        </w:rPr>
        <w:t xml:space="preserve">logging </w:t>
      </w:r>
      <w:r>
        <w:rPr>
          <w:rFonts w:asciiTheme="minorHAnsi" w:hAnsiTheme="minorHAnsi" w:cs="Calibri"/>
          <w:sz w:val="22"/>
          <w:szCs w:val="22"/>
        </w:rPr>
        <w:t xml:space="preserve">of the </w:t>
      </w:r>
      <w:r w:rsidRPr="00F375F4">
        <w:rPr>
          <w:rFonts w:asciiTheme="minorHAnsi" w:hAnsiTheme="minorHAnsi" w:cs="Calibri"/>
          <w:sz w:val="22"/>
          <w:szCs w:val="22"/>
        </w:rPr>
        <w:t xml:space="preserve">dissolved </w:t>
      </w:r>
      <w:r w:rsidRPr="00EB4142">
        <w:rPr>
          <w:rFonts w:asciiTheme="minorHAnsi" w:hAnsiTheme="minorHAnsi" w:cs="Calibri"/>
          <w:sz w:val="22"/>
          <w:szCs w:val="22"/>
        </w:rPr>
        <w:t xml:space="preserve">oxygen concentration and temperature will provide data for estimating stream metabolism at two sampling sites selected to represent the two zones </w:t>
      </w:r>
      <w:r w:rsidRPr="00C3632C">
        <w:rPr>
          <w:rFonts w:asciiTheme="minorHAnsi" w:hAnsiTheme="minorHAnsi" w:cs="Calibri"/>
          <w:sz w:val="22"/>
          <w:szCs w:val="22"/>
        </w:rPr>
        <w:t>(Gorge and Floodplain)</w:t>
      </w:r>
      <w:r w:rsidRPr="00EB4142">
        <w:rPr>
          <w:rFonts w:asciiTheme="minorHAnsi" w:hAnsiTheme="minorHAnsi" w:cs="Calibri"/>
          <w:sz w:val="22"/>
          <w:szCs w:val="22"/>
        </w:rPr>
        <w:t xml:space="preserve"> of the </w:t>
      </w:r>
      <w:r w:rsidR="00D729DF" w:rsidRPr="00D729DF">
        <w:rPr>
          <w:rFonts w:asciiTheme="minorHAnsi" w:hAnsiTheme="minorHAnsi" w:cs="Calibri"/>
          <w:sz w:val="22"/>
          <w:szCs w:val="22"/>
        </w:rPr>
        <w:t>Lower Murray</w:t>
      </w:r>
      <w:r>
        <w:rPr>
          <w:rFonts w:asciiTheme="minorHAnsi" w:hAnsiTheme="minorHAnsi" w:cs="Calibri"/>
          <w:sz w:val="22"/>
          <w:szCs w:val="22"/>
        </w:rPr>
        <w:t xml:space="preserve"> Selected Area</w:t>
      </w:r>
      <w:r w:rsidR="00530D11">
        <w:rPr>
          <w:rFonts w:asciiTheme="minorHAnsi" w:hAnsiTheme="minorHAnsi" w:cs="Calibri"/>
          <w:sz w:val="22"/>
          <w:szCs w:val="22"/>
        </w:rPr>
        <w:t>, and an additional site situated between the two in the Floodplain zone</w:t>
      </w:r>
      <w:r w:rsidRPr="00EB4142">
        <w:rPr>
          <w:rFonts w:asciiTheme="minorHAnsi" w:hAnsiTheme="minorHAnsi" w:cs="Calibri"/>
          <w:sz w:val="22"/>
          <w:szCs w:val="22"/>
        </w:rPr>
        <w:t xml:space="preserve">. A terrestrial station logging photosynthetically active radiation (PAR) and barometric pressure to match the stream metabolism measurements will be established in a </w:t>
      </w:r>
      <w:r w:rsidRPr="00EB4142">
        <w:rPr>
          <w:rFonts w:asciiTheme="minorHAnsi" w:hAnsiTheme="minorHAnsi" w:cstheme="minorHAnsi"/>
          <w:sz w:val="22"/>
          <w:szCs w:val="22"/>
        </w:rPr>
        <w:t xml:space="preserve">suitable nearby location. </w:t>
      </w:r>
    </w:p>
    <w:p w14:paraId="7044C618" w14:textId="780F9C9D" w:rsidR="00E64836" w:rsidRDefault="00E64836" w:rsidP="00E64836">
      <w:pPr>
        <w:rPr>
          <w:rFonts w:cstheme="minorHAnsi"/>
        </w:rPr>
      </w:pPr>
      <w:bookmarkStart w:id="92" w:name="OLE_LINK2"/>
      <w:bookmarkStart w:id="93" w:name="OLE_LINK3"/>
      <w:r w:rsidRPr="00EB4142">
        <w:rPr>
          <w:rFonts w:cstheme="minorHAnsi"/>
        </w:rPr>
        <w:t xml:space="preserve">Refer to the </w:t>
      </w:r>
      <w:r w:rsidR="000F53E7" w:rsidRPr="000F53E7">
        <w:rPr>
          <w:rFonts w:cstheme="minorHAnsi"/>
        </w:rPr>
        <w:t>Lower Murray</w:t>
      </w:r>
      <w:r w:rsidRPr="00EB4142">
        <w:rPr>
          <w:rFonts w:cstheme="minorHAnsi"/>
        </w:rPr>
        <w:t xml:space="preserve"> Selected Area S</w:t>
      </w:r>
      <w:r w:rsidR="00B72855">
        <w:rPr>
          <w:rFonts w:cstheme="minorHAnsi"/>
        </w:rPr>
        <w:t>OP</w:t>
      </w:r>
      <w:r w:rsidRPr="00EB4142">
        <w:rPr>
          <w:rFonts w:cstheme="minorHAnsi"/>
        </w:rPr>
        <w:t xml:space="preserve"> for </w:t>
      </w:r>
      <w:r w:rsidR="00B72855" w:rsidRPr="00887721">
        <w:rPr>
          <w:rFonts w:cstheme="minorHAnsi"/>
          <w:i/>
        </w:rPr>
        <w:t>S</w:t>
      </w:r>
      <w:r w:rsidRPr="00887721">
        <w:rPr>
          <w:rFonts w:cstheme="minorHAnsi"/>
          <w:i/>
        </w:rPr>
        <w:t xml:space="preserve">tream </w:t>
      </w:r>
      <w:r w:rsidR="00A819AC" w:rsidRPr="00887721">
        <w:rPr>
          <w:rFonts w:cstheme="minorHAnsi"/>
          <w:i/>
        </w:rPr>
        <w:t>M</w:t>
      </w:r>
      <w:r w:rsidRPr="00887721">
        <w:rPr>
          <w:rFonts w:cstheme="minorHAnsi"/>
          <w:i/>
        </w:rPr>
        <w:t>etabolism</w:t>
      </w:r>
      <w:r w:rsidR="00A819AC" w:rsidRPr="00887721">
        <w:rPr>
          <w:rFonts w:cstheme="minorHAnsi"/>
          <w:i/>
        </w:rPr>
        <w:t xml:space="preserve"> and Water Quality</w:t>
      </w:r>
      <w:r w:rsidR="00AB0A37" w:rsidRPr="00221267">
        <w:rPr>
          <w:rFonts w:cstheme="minorHAnsi"/>
        </w:rPr>
        <w:t xml:space="preserve"> (Appendix</w:t>
      </w:r>
      <w:r w:rsidR="00C84162">
        <w:rPr>
          <w:rFonts w:cstheme="minorHAnsi"/>
        </w:rPr>
        <w:t xml:space="preserve"> </w:t>
      </w:r>
      <w:r w:rsidR="000E285D">
        <w:rPr>
          <w:rFonts w:cstheme="minorHAnsi"/>
        </w:rPr>
        <w:t>B</w:t>
      </w:r>
      <w:r w:rsidR="00AB0A37">
        <w:rPr>
          <w:rFonts w:cstheme="minorHAnsi"/>
        </w:rPr>
        <w:t>)</w:t>
      </w:r>
      <w:r w:rsidRPr="00EB4142">
        <w:rPr>
          <w:rFonts w:cstheme="minorHAnsi"/>
        </w:rPr>
        <w:t xml:space="preserve"> for more information on the sampling protocol including sites, timing and equipment, and on data </w:t>
      </w:r>
      <w:r w:rsidRPr="00EB4142">
        <w:rPr>
          <w:rFonts w:cstheme="minorHAnsi"/>
        </w:rPr>
        <w:lastRenderedPageBreak/>
        <w:t>analysis</w:t>
      </w:r>
      <w:r w:rsidR="000958EE">
        <w:rPr>
          <w:rFonts w:cstheme="minorHAnsi"/>
        </w:rPr>
        <w:t xml:space="preserve"> and evaluation</w:t>
      </w:r>
      <w:r w:rsidRPr="00EB4142">
        <w:rPr>
          <w:rFonts w:cstheme="minorHAnsi"/>
        </w:rPr>
        <w:t>, data management and quality assurance/quality control measures. Refer to</w:t>
      </w:r>
      <w:r w:rsidR="00C3632C">
        <w:rPr>
          <w:rFonts w:cstheme="minorHAnsi"/>
        </w:rPr>
        <w:t xml:space="preserve"> Section</w:t>
      </w:r>
      <w:r w:rsidRPr="00EB4142">
        <w:rPr>
          <w:rFonts w:cstheme="minorHAnsi"/>
        </w:rPr>
        <w:t xml:space="preserve"> </w:t>
      </w:r>
      <w:r w:rsidR="00DF73F9">
        <w:rPr>
          <w:rFonts w:cstheme="minorHAnsi"/>
        </w:rPr>
        <w:fldChar w:fldCharType="begin"/>
      </w:r>
      <w:r w:rsidR="00DF73F9">
        <w:rPr>
          <w:rFonts w:cstheme="minorHAnsi"/>
        </w:rPr>
        <w:instrText xml:space="preserve"> REF _Ref10124925 \r \h </w:instrText>
      </w:r>
      <w:r w:rsidR="00DF73F9">
        <w:rPr>
          <w:rFonts w:cstheme="minorHAnsi"/>
        </w:rPr>
      </w:r>
      <w:r w:rsidR="00DF73F9">
        <w:rPr>
          <w:rFonts w:cstheme="minorHAnsi"/>
        </w:rPr>
        <w:fldChar w:fldCharType="separate"/>
      </w:r>
      <w:r w:rsidR="00DF49CD">
        <w:rPr>
          <w:rFonts w:cstheme="minorHAnsi"/>
        </w:rPr>
        <w:t>7</w:t>
      </w:r>
      <w:r w:rsidR="00DF73F9">
        <w:rPr>
          <w:rFonts w:cstheme="minorHAnsi"/>
        </w:rPr>
        <w:fldChar w:fldCharType="end"/>
      </w:r>
      <w:r w:rsidRPr="00EB4142">
        <w:rPr>
          <w:rFonts w:cstheme="minorHAnsi"/>
        </w:rPr>
        <w:t xml:space="preserve"> for timing of monitoring activities and more informatio</w:t>
      </w:r>
      <w:r w:rsidR="00C3632C">
        <w:rPr>
          <w:rFonts w:cstheme="minorHAnsi"/>
        </w:rPr>
        <w:t>n on sampling sites and zones.</w:t>
      </w:r>
    </w:p>
    <w:p w14:paraId="174A4DB6" w14:textId="095AC308" w:rsidR="00357D18" w:rsidRPr="00EB4142" w:rsidRDefault="004C4837" w:rsidP="00E64836">
      <w:pPr>
        <w:rPr>
          <w:rFonts w:cstheme="minorHAnsi"/>
        </w:rPr>
      </w:pPr>
      <w:r>
        <w:rPr>
          <w:rFonts w:eastAsiaTheme="minorHAnsi" w:cstheme="minorBidi"/>
          <w:color w:val="auto"/>
          <w:kern w:val="0"/>
          <w:szCs w:val="22"/>
        </w:rPr>
        <w:t>D</w:t>
      </w:r>
      <w:r w:rsidRPr="00602B2C">
        <w:rPr>
          <w:rFonts w:eastAsiaTheme="minorHAnsi" w:cstheme="minorBidi"/>
          <w:color w:val="auto"/>
          <w:kern w:val="0"/>
          <w:szCs w:val="22"/>
        </w:rPr>
        <w:t xml:space="preserve">ata on </w:t>
      </w:r>
      <w:r>
        <w:rPr>
          <w:rFonts w:eastAsiaTheme="minorHAnsi" w:cstheme="minorBidi"/>
          <w:color w:val="auto"/>
          <w:kern w:val="0"/>
          <w:szCs w:val="22"/>
        </w:rPr>
        <w:t>water quality</w:t>
      </w:r>
      <w:r w:rsidRPr="00602B2C">
        <w:rPr>
          <w:rFonts w:eastAsiaTheme="minorHAnsi" w:cstheme="minorBidi"/>
          <w:color w:val="auto"/>
          <w:kern w:val="0"/>
          <w:szCs w:val="22"/>
        </w:rPr>
        <w:t xml:space="preserve"> may be complemented by monitoring data</w:t>
      </w:r>
      <w:r w:rsidRPr="009928F8">
        <w:rPr>
          <w:rFonts w:eastAsiaTheme="minorHAnsi" w:cstheme="minorBidi"/>
          <w:color w:val="auto"/>
          <w:kern w:val="0"/>
          <w:szCs w:val="22"/>
        </w:rPr>
        <w:t xml:space="preserve"> collected through other relevant programs </w:t>
      </w:r>
      <w:r>
        <w:rPr>
          <w:rFonts w:eastAsiaTheme="minorHAnsi" w:cstheme="minorBidi"/>
          <w:color w:val="auto"/>
          <w:kern w:val="0"/>
          <w:szCs w:val="22"/>
        </w:rPr>
        <w:t xml:space="preserve">such as </w:t>
      </w:r>
      <w:r w:rsidRPr="00980032">
        <w:rPr>
          <w:rFonts w:ascii="Calibri" w:hAnsi="Calibri" w:cs="Arial"/>
          <w:szCs w:val="22"/>
        </w:rPr>
        <w:t>short-term monitoring instigated by CEWO and/or MDBA in response to planned watering actions or a potential water-quality</w:t>
      </w:r>
      <w:r>
        <w:rPr>
          <w:rFonts w:ascii="Calibri" w:hAnsi="Calibri" w:cs="Arial"/>
          <w:szCs w:val="22"/>
        </w:rPr>
        <w:t xml:space="preserve"> e</w:t>
      </w:r>
      <w:r w:rsidRPr="00980032">
        <w:rPr>
          <w:rFonts w:ascii="Calibri" w:hAnsi="Calibri" w:cs="Arial"/>
          <w:szCs w:val="22"/>
        </w:rPr>
        <w:t>vent</w:t>
      </w:r>
      <w:r>
        <w:rPr>
          <w:rFonts w:ascii="Calibri" w:hAnsi="Calibri" w:cs="Arial"/>
          <w:szCs w:val="22"/>
        </w:rPr>
        <w:t>.</w:t>
      </w:r>
    </w:p>
    <w:bookmarkEnd w:id="92"/>
    <w:bookmarkEnd w:id="93"/>
    <w:p w14:paraId="19708008" w14:textId="77777777" w:rsidR="00443EDA" w:rsidRPr="00443EDA" w:rsidRDefault="00443EDA" w:rsidP="00475425">
      <w:pPr>
        <w:pStyle w:val="Heading4"/>
      </w:pPr>
      <w:r w:rsidRPr="00443EDA">
        <w:t>Outputs</w:t>
      </w:r>
    </w:p>
    <w:p w14:paraId="0BEC6962" w14:textId="4F1FE875" w:rsidR="00123A50" w:rsidRDefault="00123A50" w:rsidP="000F53E7">
      <w:pPr>
        <w:pStyle w:val="ListBullet"/>
      </w:pPr>
      <w:r w:rsidRPr="008E3CFD">
        <w:t>A</w:t>
      </w:r>
      <w:r>
        <w:t>nnual</w:t>
      </w:r>
      <w:r w:rsidRPr="008E3CFD">
        <w:t xml:space="preserve"> report</w:t>
      </w:r>
      <w:r>
        <w:t>s</w:t>
      </w:r>
      <w:r w:rsidRPr="008E3CFD">
        <w:t xml:space="preserve"> on the </w:t>
      </w:r>
      <w:r>
        <w:t xml:space="preserve">stream metabolism </w:t>
      </w:r>
      <w:r w:rsidRPr="008E3CFD">
        <w:t xml:space="preserve">in response to flow regime, including environmental water delivery, in the </w:t>
      </w:r>
      <w:r w:rsidR="000F53E7" w:rsidRPr="000F53E7">
        <w:t>Lower Murray</w:t>
      </w:r>
      <w:r w:rsidRPr="008E3CFD">
        <w:t>. Th</w:t>
      </w:r>
      <w:r>
        <w:t xml:space="preserve">e report </w:t>
      </w:r>
      <w:r w:rsidRPr="008E3CFD">
        <w:t>will include</w:t>
      </w:r>
      <w:r>
        <w:t>:</w:t>
      </w:r>
    </w:p>
    <w:p w14:paraId="07938A1B" w14:textId="77777777" w:rsidR="00443EDA" w:rsidRPr="00443EDA" w:rsidRDefault="00443EDA" w:rsidP="00123A50">
      <w:pPr>
        <w:pStyle w:val="ListBullet"/>
        <w:numPr>
          <w:ilvl w:val="1"/>
          <w:numId w:val="1"/>
        </w:numPr>
      </w:pPr>
      <w:r w:rsidRPr="00443EDA">
        <w:t xml:space="preserve">Evaluation of the benefits of environmental flows to </w:t>
      </w:r>
      <w:r w:rsidR="001D11F6">
        <w:t xml:space="preserve">oxygen concentrations, </w:t>
      </w:r>
      <w:r w:rsidRPr="00443EDA">
        <w:t xml:space="preserve">primary production and ecosystem respiration </w:t>
      </w:r>
    </w:p>
    <w:p w14:paraId="4225D572" w14:textId="77777777" w:rsidR="00443EDA" w:rsidRPr="00443EDA" w:rsidRDefault="00443EDA" w:rsidP="00123A50">
      <w:pPr>
        <w:pStyle w:val="ListBullet"/>
        <w:numPr>
          <w:ilvl w:val="1"/>
          <w:numId w:val="1"/>
        </w:numPr>
      </w:pPr>
      <w:r w:rsidRPr="00443EDA">
        <w:t>Assessment of the influences of water quality and connectivity on stream metabolism</w:t>
      </w:r>
      <w:r w:rsidR="001D11F6">
        <w:t xml:space="preserve"> as</w:t>
      </w:r>
      <w:r w:rsidR="00D871AA">
        <w:t xml:space="preserve"> related to environmental water</w:t>
      </w:r>
    </w:p>
    <w:p w14:paraId="407A53A0" w14:textId="77777777" w:rsidR="00443EDA" w:rsidRPr="00443EDA" w:rsidRDefault="00443EDA" w:rsidP="00123A50">
      <w:pPr>
        <w:pStyle w:val="ListBullet"/>
      </w:pPr>
      <w:r w:rsidRPr="00443EDA">
        <w:t xml:space="preserve">Measurements of river metabolism suitable for </w:t>
      </w:r>
      <w:r w:rsidR="008B235E">
        <w:t>B</w:t>
      </w:r>
      <w:r w:rsidRPr="00443EDA">
        <w:t>asin-wide comparisons</w:t>
      </w:r>
    </w:p>
    <w:p w14:paraId="1C4CED79" w14:textId="77777777" w:rsidR="009B5628" w:rsidRDefault="009B5628" w:rsidP="009B5628">
      <w:pPr>
        <w:pStyle w:val="ListBullet"/>
      </w:pPr>
      <w:r w:rsidRPr="00443EDA">
        <w:t>Measurements of metabolism suitable for comparison with other aquatic indicators, especially fish population changes</w:t>
      </w:r>
      <w:r>
        <w:t xml:space="preserve"> in response to environmental water</w:t>
      </w:r>
      <w:r w:rsidRPr="00443EDA">
        <w:t>.</w:t>
      </w:r>
    </w:p>
    <w:p w14:paraId="4E3F05A9" w14:textId="2BEF45DB" w:rsidR="009B5628" w:rsidRPr="00443EDA" w:rsidRDefault="004C4837" w:rsidP="004C4837">
      <w:pPr>
        <w:pStyle w:val="ListBullet"/>
      </w:pPr>
      <w:r>
        <w:rPr>
          <w:rFonts w:eastAsiaTheme="minorHAnsi" w:cstheme="minorBidi"/>
          <w:color w:val="auto"/>
          <w:kern w:val="0"/>
        </w:rPr>
        <w:t>D</w:t>
      </w:r>
      <w:r w:rsidRPr="00602B2C">
        <w:rPr>
          <w:rFonts w:eastAsiaTheme="minorHAnsi" w:cstheme="minorBidi"/>
          <w:color w:val="auto"/>
          <w:kern w:val="0"/>
        </w:rPr>
        <w:t>ata on pH, EC and turbidity</w:t>
      </w:r>
      <w:r w:rsidRPr="008F2440">
        <w:rPr>
          <w:rFonts w:ascii="Calibri" w:hAnsi="Calibri"/>
        </w:rPr>
        <w:t xml:space="preserve"> </w:t>
      </w:r>
      <w:r w:rsidRPr="00980032">
        <w:rPr>
          <w:rFonts w:ascii="Calibri" w:hAnsi="Calibri"/>
        </w:rPr>
        <w:t>in response to watering actions</w:t>
      </w:r>
      <w:r>
        <w:rPr>
          <w:rFonts w:ascii="Calibri" w:hAnsi="Calibri"/>
        </w:rPr>
        <w:t xml:space="preserve"> compiled from complementary sources.</w:t>
      </w:r>
    </w:p>
    <w:p w14:paraId="4AFD29FD" w14:textId="77777777" w:rsidR="00C01249" w:rsidRDefault="00443EDA" w:rsidP="00475425">
      <w:pPr>
        <w:pStyle w:val="Heading4"/>
      </w:pPr>
      <w:r w:rsidRPr="00443EDA">
        <w:t xml:space="preserve">Staff </w:t>
      </w:r>
    </w:p>
    <w:p w14:paraId="6D40ADFE" w14:textId="63C7D87D" w:rsidR="008C7D90" w:rsidRPr="00443EDA" w:rsidRDefault="008C7D90" w:rsidP="008C7D90">
      <w:pPr>
        <w:pStyle w:val="Heading5"/>
      </w:pPr>
      <w:r w:rsidRPr="00443EDA">
        <w:t>Dr Rod Oliver</w:t>
      </w:r>
      <w:r w:rsidRPr="00443EDA">
        <w:tab/>
      </w:r>
      <w:r w:rsidR="00462309">
        <w:t>University of Adelaide</w:t>
      </w:r>
    </w:p>
    <w:p w14:paraId="4BE02665" w14:textId="3A830EB3" w:rsidR="006C61F4" w:rsidRPr="00CA1169" w:rsidRDefault="004C4837" w:rsidP="006C61F4">
      <w:r w:rsidRPr="008C7D90">
        <w:t xml:space="preserve">Rod Oliver </w:t>
      </w:r>
      <w:r>
        <w:t>was</w:t>
      </w:r>
      <w:r w:rsidRPr="008C7D90">
        <w:t xml:space="preserve"> a senior Principal Research Scientist in CSIRO Land and Water</w:t>
      </w:r>
      <w:r>
        <w:t xml:space="preserve"> for 30 years</w:t>
      </w:r>
      <w:r w:rsidRPr="008C7D90">
        <w:t>.</w:t>
      </w:r>
      <w:r>
        <w:t xml:space="preserve"> Recently, he joined the University of Adelaide, and continues to contribute to the MER Project as the Stream Metabolism Task Leader.</w:t>
      </w:r>
      <w:r w:rsidRPr="008C7D90">
        <w:t xml:space="preserve"> </w:t>
      </w:r>
      <w:r>
        <w:t xml:space="preserve">Rod </w:t>
      </w:r>
      <w:r w:rsidRPr="008C7D90">
        <w:t xml:space="preserve">has experience in aquatic ecology </w:t>
      </w:r>
      <w:r>
        <w:t>of</w:t>
      </w:r>
      <w:r w:rsidRPr="008C7D90">
        <w:t xml:space="preserve"> reservoirs</w:t>
      </w:r>
      <w:r w:rsidR="006C61F4" w:rsidRPr="008C7D90">
        <w:t>, lakes, rivers and wetlands. His research is aimed at understanding the effects of physical and chemical conditions on the population dynamics and community composition of phytoplankton, and how these interactions influence water quality, aquatic food webs, and ecosystem function. His current research is focussed on developing methods for assessing changes in the composition and activity of the micro-biota of riverine food webs using eco-physiological and molecular tools. This has included extensive use of stream metabolism measurements. He has numerous publications, including journal papers, articles, and book chapters.</w:t>
      </w:r>
    </w:p>
    <w:p w14:paraId="28AFBFF9" w14:textId="735B2A7F" w:rsidR="00443EDA" w:rsidRPr="00C01249" w:rsidRDefault="00443EDA" w:rsidP="00475425">
      <w:pPr>
        <w:pStyle w:val="Heading5"/>
      </w:pPr>
      <w:r w:rsidRPr="00C01249">
        <w:t xml:space="preserve">Zygmunt Lorenz </w:t>
      </w:r>
      <w:r w:rsidRPr="00C01249">
        <w:tab/>
      </w:r>
      <w:r w:rsidR="00887721">
        <w:t>U</w:t>
      </w:r>
      <w:r w:rsidR="009E14C4">
        <w:t>niversity of Adelaide</w:t>
      </w:r>
      <w:r w:rsidRPr="00C01249">
        <w:t xml:space="preserve"> </w:t>
      </w:r>
    </w:p>
    <w:p w14:paraId="7636318F" w14:textId="406F0451" w:rsidR="006C61F4" w:rsidRPr="00443EDA" w:rsidRDefault="006C61F4" w:rsidP="006C61F4">
      <w:r w:rsidRPr="00443EDA">
        <w:t xml:space="preserve">Zygmunt Lorenz has an MSc in aquatic systems measurement and modelling with over </w:t>
      </w:r>
      <w:r>
        <w:t>20 year</w:t>
      </w:r>
      <w:r w:rsidRPr="00443EDA">
        <w:t xml:space="preserve">s </w:t>
      </w:r>
      <w:r>
        <w:t>e</w:t>
      </w:r>
      <w:r w:rsidRPr="00443EDA">
        <w:t>xperience working in the M</w:t>
      </w:r>
      <w:r>
        <w:t>DB</w:t>
      </w:r>
      <w:r w:rsidRPr="00443EDA">
        <w:t xml:space="preserve">. He recently played a critical role in the analysis of the Coorong Lower Lakes and Murray Mouth monitoring data for DEW through his computing and data management skills. The areas of direct research experience that are relevant to the </w:t>
      </w:r>
      <w:r w:rsidRPr="0059562E">
        <w:t>MER</w:t>
      </w:r>
      <w:r>
        <w:t xml:space="preserve"> Project</w:t>
      </w:r>
      <w:r w:rsidRPr="00443EDA">
        <w:t xml:space="preserve"> are:</w:t>
      </w:r>
    </w:p>
    <w:p w14:paraId="18183CA7" w14:textId="77777777" w:rsidR="006C61F4" w:rsidRPr="00443EDA" w:rsidRDefault="006C61F4" w:rsidP="006C61F4">
      <w:pPr>
        <w:pStyle w:val="ListBullet"/>
      </w:pPr>
      <w:r w:rsidRPr="00443EDA">
        <w:t>Detailed knowledge of deploying, maintaining and managing electronic monitoring equipment including sensor systems, data loggers, GPS mapping, and remote communications. Experienced with design and construction of associated mounting</w:t>
      </w:r>
      <w:r>
        <w:t xml:space="preserve"> frames and incubation chambers</w:t>
      </w:r>
    </w:p>
    <w:p w14:paraId="74DB9653" w14:textId="77777777" w:rsidR="006C61F4" w:rsidRPr="00443EDA" w:rsidRDefault="006C61F4" w:rsidP="006C61F4">
      <w:pPr>
        <w:pStyle w:val="ListBullet"/>
      </w:pPr>
      <w:r w:rsidRPr="00443EDA">
        <w:t>Experienced in aquatic sampling protocols for biota, water quality and physical attributes with extended experience measuring river metabolism a</w:t>
      </w:r>
      <w:r>
        <w:t>nd phytoplankton eco-physiology</w:t>
      </w:r>
    </w:p>
    <w:p w14:paraId="2722EF2E" w14:textId="77777777" w:rsidR="006C61F4" w:rsidRPr="00443EDA" w:rsidRDefault="006C61F4" w:rsidP="006C61F4">
      <w:pPr>
        <w:pStyle w:val="ListBullet"/>
      </w:pPr>
      <w:r w:rsidRPr="00443EDA">
        <w:t>Extensive experience in planning and running complex field trips including operation of boats, v</w:t>
      </w:r>
      <w:r>
        <w:t>ehicles, and sampling equipment</w:t>
      </w:r>
    </w:p>
    <w:p w14:paraId="023E8976" w14:textId="77777777" w:rsidR="006C61F4" w:rsidRPr="00443EDA" w:rsidRDefault="006C61F4" w:rsidP="006C61F4">
      <w:pPr>
        <w:pStyle w:val="ListBullet"/>
      </w:pPr>
      <w:r w:rsidRPr="00443EDA">
        <w:t>Excellent computer programming skills in multiple languages including ‘R’, with experience in development and maintenance of large databases, large</w:t>
      </w:r>
      <w:r>
        <w:t>-</w:t>
      </w:r>
      <w:r w:rsidRPr="00443EDA">
        <w:t xml:space="preserve">scale statistical data analyses, and preparation </w:t>
      </w:r>
      <w:r>
        <w:t>of publication quality material</w:t>
      </w:r>
    </w:p>
    <w:p w14:paraId="342C2DDD" w14:textId="77777777" w:rsidR="006C61F4" w:rsidRPr="00443EDA" w:rsidRDefault="006C61F4" w:rsidP="006C61F4">
      <w:pPr>
        <w:pStyle w:val="ListBullet"/>
      </w:pPr>
      <w:r w:rsidRPr="00443EDA">
        <w:lastRenderedPageBreak/>
        <w:t xml:space="preserve">Experienced with ecohydrological analyses of hydrographs and description of watering regimes (spell analyses, peak flows </w:t>
      </w:r>
      <w:r>
        <w:t>etc.</w:t>
      </w:r>
      <w:r w:rsidRPr="00443EDA">
        <w:t>).</w:t>
      </w:r>
    </w:p>
    <w:p w14:paraId="7EC75AEB" w14:textId="55E36032" w:rsidR="00443EDA" w:rsidRPr="00443EDA" w:rsidRDefault="00443EDA" w:rsidP="006C61F4">
      <w:r w:rsidRPr="00443EDA">
        <w:br w:type="page"/>
      </w:r>
    </w:p>
    <w:p w14:paraId="40F7F377" w14:textId="2C6231F3" w:rsidR="00443EDA" w:rsidRPr="00443EDA" w:rsidRDefault="004B5E07" w:rsidP="00475425">
      <w:pPr>
        <w:pStyle w:val="Heading3"/>
      </w:pPr>
      <w:bookmarkStart w:id="94" w:name="_Ref384722147"/>
      <w:bookmarkStart w:id="95" w:name="_Toc384985534"/>
      <w:bookmarkStart w:id="96" w:name="_Ref466630618"/>
      <w:bookmarkStart w:id="97" w:name="_Toc22196699"/>
      <w:r>
        <w:lastRenderedPageBreak/>
        <w:t xml:space="preserve">Fish </w:t>
      </w:r>
      <w:bookmarkEnd w:id="94"/>
      <w:bookmarkEnd w:id="95"/>
      <w:r w:rsidR="00960F5A">
        <w:t>(</w:t>
      </w:r>
      <w:r w:rsidR="00A819AC">
        <w:t>C</w:t>
      </w:r>
      <w:r w:rsidR="00087E25">
        <w:t>hannel)</w:t>
      </w:r>
      <w:bookmarkEnd w:id="96"/>
      <w:bookmarkEnd w:id="97"/>
    </w:p>
    <w:p w14:paraId="0343ED15" w14:textId="77777777" w:rsidR="00443EDA" w:rsidRPr="00443EDA" w:rsidRDefault="00443EDA" w:rsidP="00475425">
      <w:pPr>
        <w:pStyle w:val="Heading4"/>
      </w:pPr>
      <w:r w:rsidRPr="00443EDA">
        <w:t>Indicators</w:t>
      </w:r>
    </w:p>
    <w:p w14:paraId="5FEAF1BA" w14:textId="77777777" w:rsidR="00443EDA" w:rsidRPr="00443EDA" w:rsidRDefault="00443EDA" w:rsidP="00C01249">
      <w:pPr>
        <w:pStyle w:val="ListBullet"/>
      </w:pPr>
      <w:r w:rsidRPr="00443EDA">
        <w:t>Fish diversity</w:t>
      </w:r>
    </w:p>
    <w:p w14:paraId="53486821" w14:textId="77777777" w:rsidR="00443EDA" w:rsidRPr="00443EDA" w:rsidRDefault="00443EDA" w:rsidP="00C01249">
      <w:pPr>
        <w:pStyle w:val="ListBullet"/>
      </w:pPr>
      <w:r w:rsidRPr="00443EDA">
        <w:t>Fish population dynamics.</w:t>
      </w:r>
    </w:p>
    <w:p w14:paraId="1BCF98A0" w14:textId="77777777" w:rsidR="00443EDA" w:rsidRPr="00443EDA" w:rsidRDefault="00443EDA" w:rsidP="00475425">
      <w:pPr>
        <w:pStyle w:val="Heading4"/>
      </w:pPr>
      <w:r w:rsidRPr="00443EDA">
        <w:t>Background</w:t>
      </w:r>
    </w:p>
    <w:p w14:paraId="061EF56A" w14:textId="26B2CDA4" w:rsidR="00443EDA" w:rsidRPr="00443EDA" w:rsidRDefault="009D24E7" w:rsidP="00F02673">
      <w:r w:rsidRPr="00443EDA">
        <w:t xml:space="preserve">River regulation and flow modification </w:t>
      </w:r>
      <w:r>
        <w:t xml:space="preserve">may </w:t>
      </w:r>
      <w:r w:rsidRPr="00443EDA">
        <w:t>have a profound impact on ecosystem processes and aquatic biota, including fish populations. In the M</w:t>
      </w:r>
      <w:r>
        <w:t>DB</w:t>
      </w:r>
      <w:r w:rsidRPr="00443EDA">
        <w:t xml:space="preserve">, </w:t>
      </w:r>
      <w:r>
        <w:t xml:space="preserve">declines in the abundance and distribution of </w:t>
      </w:r>
      <w:r w:rsidRPr="00443EDA">
        <w:t xml:space="preserve">native fish species </w:t>
      </w:r>
      <w:r>
        <w:t>have been associated with</w:t>
      </w:r>
      <w:r w:rsidRPr="00443EDA">
        <w:t xml:space="preserve"> river regulation and other anthropogenic perturbations (MDBC 2013). </w:t>
      </w:r>
      <w:r w:rsidR="00443EDA" w:rsidRPr="00443EDA">
        <w:t xml:space="preserve">This study was designed by the </w:t>
      </w:r>
      <w:r w:rsidR="003C12C6">
        <w:t xml:space="preserve">LTIM </w:t>
      </w:r>
      <w:r w:rsidR="00FF439A">
        <w:t xml:space="preserve">Basin-scale Provider </w:t>
      </w:r>
      <w:r w:rsidR="00443EDA" w:rsidRPr="00443EDA">
        <w:t xml:space="preserve">(MDFRC) to address </w:t>
      </w:r>
      <w:r w:rsidR="00A221C3">
        <w:t>B</w:t>
      </w:r>
      <w:r w:rsidR="00443EDA" w:rsidRPr="00443EDA">
        <w:t xml:space="preserve">asin-scale evaluation of the response of river fish (large- and small-bodied) to Commonwealth environmental water (for details see Hale </w:t>
      </w:r>
      <w:r w:rsidR="00443EDA" w:rsidRPr="00443EDA">
        <w:rPr>
          <w:i/>
        </w:rPr>
        <w:t>et al</w:t>
      </w:r>
      <w:r w:rsidR="00443EDA" w:rsidRPr="00443EDA">
        <w:t>. 2014).</w:t>
      </w:r>
      <w:r w:rsidR="00FF439A">
        <w:t xml:space="preserve"> </w:t>
      </w:r>
      <w:r w:rsidR="00F26A09">
        <w:t>The s</w:t>
      </w:r>
      <w:r w:rsidR="00FF439A">
        <w:t xml:space="preserve">tandard method for fish sampling will continue to be applied during the MER Project. </w:t>
      </w:r>
      <w:r w:rsidR="00443EDA" w:rsidRPr="00443EDA">
        <w:t xml:space="preserve">   </w:t>
      </w:r>
    </w:p>
    <w:p w14:paraId="17E8BA4A" w14:textId="77777777" w:rsidR="003C12C6" w:rsidRPr="00443EDA" w:rsidRDefault="003C12C6" w:rsidP="003C12C6">
      <w:pPr>
        <w:pStyle w:val="Heading4"/>
      </w:pPr>
      <w:r w:rsidRPr="00443EDA">
        <w:t>Cause and effect diagram</w:t>
      </w:r>
    </w:p>
    <w:p w14:paraId="2788CBB8" w14:textId="660D185E" w:rsidR="00443EDA" w:rsidRPr="00443EDA" w:rsidRDefault="00443EDA" w:rsidP="00F02673">
      <w:r w:rsidRPr="00443EDA">
        <w:t xml:space="preserve">The cause and effect diagram and background information presented in MDFRC (2013) for </w:t>
      </w:r>
      <w:r w:rsidR="00A221C3">
        <w:t>l</w:t>
      </w:r>
      <w:r w:rsidRPr="00443EDA">
        <w:t xml:space="preserve">andscape </w:t>
      </w:r>
      <w:r w:rsidR="00A221C3">
        <w:t>f</w:t>
      </w:r>
      <w:r w:rsidRPr="00443EDA">
        <w:t xml:space="preserve">ish </w:t>
      </w:r>
      <w:r w:rsidR="00A221C3">
        <w:t>d</w:t>
      </w:r>
      <w:r w:rsidRPr="00443EDA">
        <w:t>iversity is applicable to this investigation (</w:t>
      </w:r>
      <w:r w:rsidR="007E2C79">
        <w:fldChar w:fldCharType="begin"/>
      </w:r>
      <w:r w:rsidR="007E2C79">
        <w:instrText xml:space="preserve"> REF _Ref384970776 \h  \* MERGEFORMAT </w:instrText>
      </w:r>
      <w:r w:rsidR="007E2C79">
        <w:fldChar w:fldCharType="separate"/>
      </w:r>
      <w:r w:rsidR="00DF49CD" w:rsidRPr="00443EDA">
        <w:t xml:space="preserve">Figure </w:t>
      </w:r>
      <w:r w:rsidR="00DF49CD">
        <w:rPr>
          <w:noProof/>
        </w:rPr>
        <w:t>5.4</w:t>
      </w:r>
      <w:r w:rsidR="007E2C79">
        <w:fldChar w:fldCharType="end"/>
      </w:r>
      <w:r w:rsidRPr="00443EDA">
        <w:t xml:space="preserve">). Refer to MDFRC (2013) for further details. </w:t>
      </w:r>
    </w:p>
    <w:p w14:paraId="45FC2264" w14:textId="77777777" w:rsidR="00443EDA" w:rsidRPr="00443EDA" w:rsidRDefault="00443EDA" w:rsidP="0080273D">
      <w:pPr>
        <w:jc w:val="center"/>
      </w:pPr>
      <w:r w:rsidRPr="00443EDA">
        <w:rPr>
          <w:noProof/>
          <w:lang w:eastAsia="en-AU"/>
        </w:rPr>
        <w:drawing>
          <wp:inline distT="0" distB="0" distL="0" distR="0" wp14:anchorId="22CFE491" wp14:editId="2FBD0444">
            <wp:extent cx="5586095" cy="4673425"/>
            <wp:effectExtent l="0" t="0" r="0" b="0"/>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t="1801"/>
                    <a:stretch/>
                  </pic:blipFill>
                  <pic:spPr bwMode="auto">
                    <a:xfrm>
                      <a:off x="0" y="0"/>
                      <a:ext cx="5591171" cy="4677672"/>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inline>
        </w:drawing>
      </w:r>
    </w:p>
    <w:p w14:paraId="74C03A48" w14:textId="7CC21108" w:rsidR="00443EDA" w:rsidRPr="00443EDA" w:rsidRDefault="00443EDA" w:rsidP="00FA4AA8">
      <w:pPr>
        <w:pStyle w:val="FigureCaption"/>
      </w:pPr>
      <w:bookmarkStart w:id="98" w:name="_Ref384970776"/>
      <w:bookmarkStart w:id="99" w:name="_Toc384985595"/>
      <w:bookmarkStart w:id="100" w:name="_Toc12630435"/>
      <w:r w:rsidRPr="00443EDA">
        <w:t xml:space="preserve">Figure </w:t>
      </w:r>
      <w:r w:rsidR="00A8252A">
        <w:rPr>
          <w:noProof/>
        </w:rPr>
        <w:fldChar w:fldCharType="begin"/>
      </w:r>
      <w:r w:rsidR="00A8252A">
        <w:rPr>
          <w:noProof/>
        </w:rPr>
        <w:instrText xml:space="preserve"> STYLEREF 1 \s </w:instrText>
      </w:r>
      <w:r w:rsidR="00A8252A">
        <w:rPr>
          <w:noProof/>
        </w:rPr>
        <w:fldChar w:fldCharType="separate"/>
      </w:r>
      <w:r w:rsidR="00DF49CD">
        <w:rPr>
          <w:noProof/>
        </w:rPr>
        <w:t>5</w:t>
      </w:r>
      <w:r w:rsidR="00A8252A">
        <w:rPr>
          <w:noProof/>
        </w:rPr>
        <w:fldChar w:fldCharType="end"/>
      </w:r>
      <w:r w:rsidR="00251188">
        <w:t>.</w:t>
      </w:r>
      <w:r w:rsidR="00A8252A">
        <w:rPr>
          <w:noProof/>
        </w:rPr>
        <w:fldChar w:fldCharType="begin"/>
      </w:r>
      <w:r w:rsidR="00A8252A">
        <w:rPr>
          <w:noProof/>
        </w:rPr>
        <w:instrText xml:space="preserve"> SEQ Figure \* ARABIC \s 1 </w:instrText>
      </w:r>
      <w:r w:rsidR="00A8252A">
        <w:rPr>
          <w:noProof/>
        </w:rPr>
        <w:fldChar w:fldCharType="separate"/>
      </w:r>
      <w:r w:rsidR="00DF49CD">
        <w:rPr>
          <w:noProof/>
        </w:rPr>
        <w:t>4</w:t>
      </w:r>
      <w:r w:rsidR="00A8252A">
        <w:rPr>
          <w:noProof/>
        </w:rPr>
        <w:fldChar w:fldCharType="end"/>
      </w:r>
      <w:bookmarkEnd w:id="98"/>
      <w:r w:rsidR="00D26719">
        <w:t>.</w:t>
      </w:r>
      <w:r w:rsidR="00D26719">
        <w:tab/>
      </w:r>
      <w:r w:rsidR="004B5E07">
        <w:t xml:space="preserve">Fish </w:t>
      </w:r>
      <w:r w:rsidR="00087E25">
        <w:t>(Channel)</w:t>
      </w:r>
      <w:r w:rsidR="00087E25" w:rsidRPr="00443EDA">
        <w:t xml:space="preserve"> </w:t>
      </w:r>
      <w:r w:rsidRPr="00443EDA">
        <w:t xml:space="preserve">cause and effect diagram (MDFRC 2013). </w:t>
      </w:r>
      <w:r w:rsidRPr="00443EDA">
        <w:rPr>
          <w:rFonts w:eastAsiaTheme="minorEastAsia" w:cstheme="minorHAnsi"/>
          <w:color w:val="000000" w:themeColor="text1"/>
          <w:kern w:val="24"/>
          <w:lang w:val="en-US"/>
        </w:rPr>
        <w:t>Magnitude, timing and duration are factors of flow (in black).</w:t>
      </w:r>
      <w:bookmarkEnd w:id="99"/>
      <w:bookmarkEnd w:id="100"/>
    </w:p>
    <w:p w14:paraId="0D88C1D6" w14:textId="77777777" w:rsidR="00087E25" w:rsidRPr="00443EDA" w:rsidRDefault="00087E25" w:rsidP="00087E25">
      <w:pPr>
        <w:pStyle w:val="Heading4"/>
      </w:pPr>
      <w:r w:rsidRPr="00443EDA">
        <w:lastRenderedPageBreak/>
        <w:t>Key evaluation question</w:t>
      </w:r>
      <w:r>
        <w:t>s</w:t>
      </w:r>
    </w:p>
    <w:p w14:paraId="3D90C6AE" w14:textId="44F1ED74" w:rsidR="002B36AF" w:rsidRPr="004C5D35" w:rsidRDefault="004E3963" w:rsidP="009A5811">
      <w:pPr>
        <w:rPr>
          <w:rFonts w:eastAsia="Calibri"/>
        </w:rPr>
      </w:pPr>
      <w:r w:rsidRPr="004E3963">
        <w:rPr>
          <w:rFonts w:eastAsia="Calibri"/>
        </w:rPr>
        <w:t xml:space="preserve">This method does not include any </w:t>
      </w:r>
      <w:r>
        <w:rPr>
          <w:rFonts w:eastAsia="Calibri"/>
        </w:rPr>
        <w:t xml:space="preserve">Selected Area </w:t>
      </w:r>
      <w:r w:rsidRPr="004E3963">
        <w:rPr>
          <w:rFonts w:eastAsia="Calibri"/>
        </w:rPr>
        <w:t xml:space="preserve">evaluation questions. </w:t>
      </w:r>
      <w:r w:rsidR="009D24E7">
        <w:rPr>
          <w:rFonts w:eastAsia="Calibri"/>
        </w:rPr>
        <w:t>Nevertheless</w:t>
      </w:r>
      <w:r w:rsidRPr="004E3963">
        <w:rPr>
          <w:rFonts w:eastAsia="Calibri"/>
        </w:rPr>
        <w:t xml:space="preserve">, CEWO </w:t>
      </w:r>
      <w:r w:rsidRPr="00FF439A">
        <w:rPr>
          <w:rFonts w:eastAsia="Calibri"/>
          <w:i/>
        </w:rPr>
        <w:t>Fish (Channel)</w:t>
      </w:r>
      <w:r w:rsidRPr="004E3963">
        <w:rPr>
          <w:rFonts w:eastAsia="Calibri"/>
        </w:rPr>
        <w:t xml:space="preserve"> condition monitoring data will be consolidated to evaluate </w:t>
      </w:r>
      <w:r w:rsidR="00F528C8">
        <w:rPr>
          <w:rFonts w:eastAsia="Calibri"/>
        </w:rPr>
        <w:t xml:space="preserve">relevant fish </w:t>
      </w:r>
      <w:r w:rsidR="00F528C8" w:rsidRPr="004C5D35">
        <w:rPr>
          <w:rFonts w:eastAsia="Calibri"/>
        </w:rPr>
        <w:t xml:space="preserve">targets of </w:t>
      </w:r>
      <w:r w:rsidR="00602D06">
        <w:rPr>
          <w:rFonts w:eastAsia="Calibri"/>
        </w:rPr>
        <w:t xml:space="preserve">DEW’s Long </w:t>
      </w:r>
      <w:r w:rsidRPr="004C5D35">
        <w:rPr>
          <w:rFonts w:eastAsia="Calibri"/>
        </w:rPr>
        <w:t>Term Watering Plan</w:t>
      </w:r>
      <w:r w:rsidR="005A67B2" w:rsidRPr="004C5D35">
        <w:rPr>
          <w:rFonts w:eastAsia="Calibri"/>
        </w:rPr>
        <w:t xml:space="preserve"> using the evaluation questions in</w:t>
      </w:r>
      <w:r w:rsidR="00AD2880">
        <w:rPr>
          <w:rFonts w:eastAsia="Calibri"/>
        </w:rPr>
        <w:t xml:space="preserve"> Appendix D</w:t>
      </w:r>
      <w:r w:rsidR="00860EB3">
        <w:rPr>
          <w:rFonts w:eastAsia="Calibri"/>
        </w:rPr>
        <w:t>, which</w:t>
      </w:r>
      <w:r w:rsidR="00BE64BD">
        <w:rPr>
          <w:rFonts w:eastAsia="Calibri"/>
        </w:rPr>
        <w:t xml:space="preserve"> will be reported in an Appendix </w:t>
      </w:r>
      <w:r w:rsidR="00860EB3">
        <w:rPr>
          <w:rFonts w:eastAsia="Calibri"/>
        </w:rPr>
        <w:t>of</w:t>
      </w:r>
      <w:r w:rsidR="00BE64BD">
        <w:rPr>
          <w:rFonts w:eastAsia="Calibri"/>
        </w:rPr>
        <w:t xml:space="preserve"> the MER Annual Report</w:t>
      </w:r>
      <w:r w:rsidR="002B36AF" w:rsidRPr="004C5D35">
        <w:rPr>
          <w:rFonts w:eastAsia="Calibri"/>
        </w:rPr>
        <w:t>.</w:t>
      </w:r>
      <w:r w:rsidR="009A5811" w:rsidRPr="004C5D35">
        <w:rPr>
          <w:rFonts w:eastAsia="Calibri"/>
        </w:rPr>
        <w:t xml:space="preserve"> </w:t>
      </w:r>
    </w:p>
    <w:p w14:paraId="4B952646" w14:textId="77777777" w:rsidR="00443EDA" w:rsidRDefault="003422E9" w:rsidP="004C5D35">
      <w:pPr>
        <w:pStyle w:val="Heading4"/>
      </w:pPr>
      <w:r w:rsidRPr="004C5D35">
        <w:t>O</w:t>
      </w:r>
      <w:r w:rsidR="00443EDA" w:rsidRPr="004C5D35">
        <w:t>bjective</w:t>
      </w:r>
    </w:p>
    <w:p w14:paraId="63CE0CC5" w14:textId="77777777" w:rsidR="009D24E7" w:rsidRPr="001C4F23" w:rsidRDefault="009D24E7" w:rsidP="009D24E7">
      <w:r>
        <w:t>The objectives of this indicator are to:</w:t>
      </w:r>
    </w:p>
    <w:p w14:paraId="72CCCDE9" w14:textId="77777777" w:rsidR="009D24E7" w:rsidRPr="00E65A5D" w:rsidRDefault="009D24E7" w:rsidP="009D24E7">
      <w:pPr>
        <w:pStyle w:val="ListBullet"/>
      </w:pPr>
      <w:r w:rsidRPr="001D61A6">
        <w:t>Provide summary statistics of the catch rates and popula</w:t>
      </w:r>
      <w:r>
        <w:t xml:space="preserve">tion demographics for </w:t>
      </w:r>
      <w:r w:rsidRPr="00443EDA">
        <w:t xml:space="preserve">key </w:t>
      </w:r>
      <w:r w:rsidRPr="00E65A5D">
        <w:t>species.</w:t>
      </w:r>
    </w:p>
    <w:p w14:paraId="36045683" w14:textId="77777777" w:rsidR="009D24E7" w:rsidRPr="00E65A5D" w:rsidRDefault="009D24E7" w:rsidP="009D24E7">
      <w:pPr>
        <w:pStyle w:val="ListBullet"/>
      </w:pPr>
      <w:r w:rsidRPr="00E65A5D">
        <w:t>Determine temporal variation in large-bodied and small-bodied fish assemblage structures as well as the size/age compositions of key species.</w:t>
      </w:r>
    </w:p>
    <w:p w14:paraId="5F77A499" w14:textId="77777777" w:rsidR="009D24E7" w:rsidRDefault="009D24E7" w:rsidP="009D24E7">
      <w:pPr>
        <w:pStyle w:val="ListBullet"/>
      </w:pPr>
      <w:r w:rsidRPr="004457D9">
        <w:t>Discuss key findings based on published research and our current understanding of fish life histories an</w:t>
      </w:r>
      <w:r>
        <w:t>d population dynamics in the Lower Murray.</w:t>
      </w:r>
    </w:p>
    <w:p w14:paraId="0BF26697" w14:textId="77777777" w:rsidR="009D24E7" w:rsidRDefault="009D24E7" w:rsidP="009D24E7">
      <w:pPr>
        <w:pStyle w:val="ListBullet"/>
      </w:pPr>
      <w:r w:rsidRPr="004E3963">
        <w:t xml:space="preserve">Consolidate CEWO </w:t>
      </w:r>
      <w:r w:rsidRPr="00FF439A">
        <w:rPr>
          <w:i/>
        </w:rPr>
        <w:t>Fish (Channel)</w:t>
      </w:r>
      <w:r>
        <w:t xml:space="preserve"> </w:t>
      </w:r>
      <w:r w:rsidRPr="004E3963">
        <w:t xml:space="preserve">condition monitoring data to evaluate </w:t>
      </w:r>
      <w:r>
        <w:t xml:space="preserve">relevant fish targets of DEW’s Long </w:t>
      </w:r>
      <w:r w:rsidRPr="004E3963">
        <w:t>Term Watering Plan</w:t>
      </w:r>
      <w:r>
        <w:t>.</w:t>
      </w:r>
    </w:p>
    <w:p w14:paraId="7AA7419D" w14:textId="77777777" w:rsidR="00087E25" w:rsidRPr="00443EDA" w:rsidRDefault="00087E25" w:rsidP="00087E25">
      <w:pPr>
        <w:pStyle w:val="Heading4"/>
        <w:rPr>
          <w:rFonts w:cstheme="minorHAnsi"/>
        </w:rPr>
      </w:pPr>
      <w:r>
        <w:t>General m</w:t>
      </w:r>
      <w:r w:rsidRPr="00443EDA">
        <w:t>ethodology</w:t>
      </w:r>
    </w:p>
    <w:p w14:paraId="40AE161D" w14:textId="160C93BF" w:rsidR="003C12C6" w:rsidRPr="00EB4142" w:rsidRDefault="003C12C6" w:rsidP="003C12C6">
      <w:pPr>
        <w:rPr>
          <w:rFonts w:cstheme="minorHAnsi"/>
        </w:rPr>
      </w:pPr>
      <w:r w:rsidRPr="00EB4142">
        <w:rPr>
          <w:rFonts w:cstheme="minorHAnsi"/>
        </w:rPr>
        <w:t xml:space="preserve">This protocol follows the </w:t>
      </w:r>
      <w:r>
        <w:rPr>
          <w:rFonts w:cstheme="minorHAnsi"/>
        </w:rPr>
        <w:t xml:space="preserve">methods </w:t>
      </w:r>
      <w:r w:rsidRPr="00EB4142">
        <w:rPr>
          <w:rFonts w:cstheme="minorHAnsi"/>
        </w:rPr>
        <w:t xml:space="preserve">outlined in Hale </w:t>
      </w:r>
      <w:r w:rsidRPr="005C3BA4">
        <w:rPr>
          <w:rFonts w:cstheme="minorHAnsi"/>
          <w:i/>
        </w:rPr>
        <w:t>et al.</w:t>
      </w:r>
      <w:r w:rsidRPr="00EB4142">
        <w:rPr>
          <w:rFonts w:cstheme="minorHAnsi"/>
        </w:rPr>
        <w:t xml:space="preserve"> (2014)</w:t>
      </w:r>
      <w:r>
        <w:rPr>
          <w:rFonts w:cstheme="minorHAnsi"/>
        </w:rPr>
        <w:t xml:space="preserve"> with some modifications detailed in the most recent LTIM M&amp;E Plan for the Lower Murray (</w:t>
      </w:r>
      <w:r w:rsidR="00960F5A">
        <w:rPr>
          <w:rFonts w:cstheme="minorHAnsi"/>
        </w:rPr>
        <w:t xml:space="preserve">SARDI </w:t>
      </w:r>
      <w:r w:rsidR="00960F5A" w:rsidRPr="00960F5A">
        <w:rPr>
          <w:rFonts w:cstheme="minorHAnsi"/>
          <w:i/>
        </w:rPr>
        <w:t>et al.</w:t>
      </w:r>
      <w:r w:rsidR="00960F5A">
        <w:rPr>
          <w:rFonts w:cstheme="minorHAnsi"/>
        </w:rPr>
        <w:t xml:space="preserve"> 2018</w:t>
      </w:r>
      <w:r>
        <w:rPr>
          <w:rFonts w:cstheme="minorHAnsi"/>
        </w:rPr>
        <w:t>)</w:t>
      </w:r>
      <w:r w:rsidRPr="00EB4142">
        <w:rPr>
          <w:rFonts w:cstheme="minorHAnsi"/>
        </w:rPr>
        <w:t xml:space="preserve">. Sampling will occur in the Gorge </w:t>
      </w:r>
      <w:r>
        <w:rPr>
          <w:rFonts w:cstheme="minorHAnsi"/>
        </w:rPr>
        <w:t>z</w:t>
      </w:r>
      <w:r w:rsidRPr="00EB4142">
        <w:rPr>
          <w:rFonts w:cstheme="minorHAnsi"/>
        </w:rPr>
        <w:t>one each year using electrofishing (active sampling) and small-meshed fyke nets (passive sampling) to measure catch-per-unit-effort (CPUE) of fish species. Population structure (i.e. length, weight and age structure) data will be collected for target species. Target species include two equilibrium (Murray cod and freshwater catfish)</w:t>
      </w:r>
      <w:r>
        <w:rPr>
          <w:rFonts w:cstheme="minorHAnsi"/>
        </w:rPr>
        <w:t xml:space="preserve"> and</w:t>
      </w:r>
      <w:r w:rsidRPr="00EB4142">
        <w:rPr>
          <w:rFonts w:cstheme="minorHAnsi"/>
        </w:rPr>
        <w:t xml:space="preserve"> t</w:t>
      </w:r>
      <w:r>
        <w:rPr>
          <w:rFonts w:cstheme="minorHAnsi"/>
        </w:rPr>
        <w:t>hree</w:t>
      </w:r>
      <w:r w:rsidRPr="00EB4142">
        <w:rPr>
          <w:rFonts w:cstheme="minorHAnsi"/>
        </w:rPr>
        <w:t xml:space="preserve"> periodic (golden perch</w:t>
      </w:r>
      <w:r>
        <w:rPr>
          <w:rFonts w:cstheme="minorHAnsi"/>
        </w:rPr>
        <w:t>,</w:t>
      </w:r>
      <w:r w:rsidRPr="00EB4142">
        <w:rPr>
          <w:rFonts w:cstheme="minorHAnsi"/>
        </w:rPr>
        <w:t xml:space="preserve"> silver perch and </w:t>
      </w:r>
      <w:r>
        <w:rPr>
          <w:rFonts w:cstheme="minorHAnsi"/>
        </w:rPr>
        <w:t>bony herring).</w:t>
      </w:r>
    </w:p>
    <w:p w14:paraId="29247BCF" w14:textId="297AA3CC" w:rsidR="00451003" w:rsidRDefault="003C12C6" w:rsidP="003C12C6">
      <w:pPr>
        <w:rPr>
          <w:rFonts w:cstheme="minorHAnsi"/>
        </w:rPr>
      </w:pPr>
      <w:r w:rsidRPr="00EB4142">
        <w:rPr>
          <w:rFonts w:cstheme="minorHAnsi"/>
        </w:rPr>
        <w:t xml:space="preserve">Refer to the </w:t>
      </w:r>
      <w:r w:rsidRPr="000F53E7">
        <w:rPr>
          <w:rFonts w:cstheme="minorHAnsi"/>
        </w:rPr>
        <w:t>Lower Murray</w:t>
      </w:r>
      <w:r w:rsidRPr="00EB4142">
        <w:rPr>
          <w:rFonts w:cstheme="minorHAnsi"/>
        </w:rPr>
        <w:t xml:space="preserve"> Selected Area S</w:t>
      </w:r>
      <w:r>
        <w:rPr>
          <w:rFonts w:cstheme="minorHAnsi"/>
        </w:rPr>
        <w:t xml:space="preserve">OP for </w:t>
      </w:r>
      <w:r w:rsidRPr="00FF439A">
        <w:rPr>
          <w:rFonts w:cstheme="minorHAnsi"/>
          <w:i/>
        </w:rPr>
        <w:t xml:space="preserve">Fish (Channel) </w:t>
      </w:r>
      <w:r w:rsidR="00087E25" w:rsidRPr="00221267">
        <w:rPr>
          <w:rFonts w:cstheme="minorHAnsi"/>
        </w:rPr>
        <w:t>(A</w:t>
      </w:r>
      <w:r w:rsidR="00AB0A37" w:rsidRPr="00221267">
        <w:rPr>
          <w:rFonts w:cstheme="minorHAnsi"/>
        </w:rPr>
        <w:t>ppendix</w:t>
      </w:r>
      <w:r w:rsidR="00C84162" w:rsidRPr="00221267">
        <w:rPr>
          <w:rFonts w:cstheme="minorHAnsi"/>
        </w:rPr>
        <w:t xml:space="preserve"> </w:t>
      </w:r>
      <w:r w:rsidR="000E285D">
        <w:rPr>
          <w:rFonts w:cstheme="minorHAnsi"/>
        </w:rPr>
        <w:t>B</w:t>
      </w:r>
      <w:r w:rsidR="00AB0A37" w:rsidRPr="00221267">
        <w:rPr>
          <w:rFonts w:cstheme="minorHAnsi"/>
        </w:rPr>
        <w:t>)</w:t>
      </w:r>
      <w:r w:rsidR="00451003" w:rsidRPr="00221267">
        <w:rPr>
          <w:rFonts w:cstheme="minorHAnsi"/>
        </w:rPr>
        <w:t xml:space="preserve"> for</w:t>
      </w:r>
      <w:r w:rsidR="00451003" w:rsidRPr="00EB4142">
        <w:rPr>
          <w:rFonts w:cstheme="minorHAnsi"/>
        </w:rPr>
        <w:t xml:space="preserve"> more information on the sampling protocol including sites, timing and equipment, and on data analysis</w:t>
      </w:r>
      <w:r w:rsidR="000958EE">
        <w:rPr>
          <w:rFonts w:cstheme="minorHAnsi"/>
        </w:rPr>
        <w:t xml:space="preserve"> and evaluation</w:t>
      </w:r>
      <w:r w:rsidR="00451003" w:rsidRPr="00EB4142">
        <w:rPr>
          <w:rFonts w:cstheme="minorHAnsi"/>
        </w:rPr>
        <w:t xml:space="preserve">, data management and quality assurance/quality control measures. </w:t>
      </w:r>
      <w:r w:rsidR="00451003" w:rsidRPr="00451003">
        <w:rPr>
          <w:rFonts w:cstheme="minorHAnsi"/>
          <w:color w:val="auto"/>
        </w:rPr>
        <w:t xml:space="preserve">Refer to Section </w:t>
      </w:r>
      <w:r w:rsidR="00A37DB8">
        <w:fldChar w:fldCharType="begin"/>
      </w:r>
      <w:r w:rsidR="00A37DB8">
        <w:rPr>
          <w:rFonts w:cstheme="minorHAnsi"/>
          <w:color w:val="auto"/>
        </w:rPr>
        <w:instrText xml:space="preserve"> REF _Ref10125267 \r \h </w:instrText>
      </w:r>
      <w:r w:rsidR="00A37DB8">
        <w:fldChar w:fldCharType="separate"/>
      </w:r>
      <w:r w:rsidR="00DF49CD">
        <w:rPr>
          <w:rFonts w:cstheme="minorHAnsi"/>
          <w:color w:val="auto"/>
        </w:rPr>
        <w:t>7</w:t>
      </w:r>
      <w:r w:rsidR="00A37DB8">
        <w:fldChar w:fldCharType="end"/>
      </w:r>
      <w:r w:rsidR="00451003" w:rsidRPr="00451003">
        <w:rPr>
          <w:rFonts w:cstheme="minorHAnsi"/>
          <w:color w:val="auto"/>
        </w:rPr>
        <w:t xml:space="preserve"> for</w:t>
      </w:r>
      <w:r w:rsidR="00451003" w:rsidRPr="00EB4142">
        <w:rPr>
          <w:rFonts w:cstheme="minorHAnsi"/>
        </w:rPr>
        <w:t xml:space="preserve"> timing of monitoring activities and more information on sampling sites </w:t>
      </w:r>
      <w:r w:rsidR="00051157">
        <w:rPr>
          <w:rFonts w:cstheme="minorHAnsi"/>
        </w:rPr>
        <w:t>within the</w:t>
      </w:r>
      <w:r w:rsidR="00451003" w:rsidRPr="00EB4142">
        <w:rPr>
          <w:rFonts w:cstheme="minorHAnsi"/>
        </w:rPr>
        <w:t xml:space="preserve"> zone.  </w:t>
      </w:r>
    </w:p>
    <w:p w14:paraId="77AE8B0A" w14:textId="77777777" w:rsidR="00443EDA" w:rsidRPr="00CA1169" w:rsidRDefault="0061540D" w:rsidP="00475425">
      <w:pPr>
        <w:pStyle w:val="Heading4"/>
      </w:pPr>
      <w:r w:rsidRPr="00CA1169">
        <w:t>O</w:t>
      </w:r>
      <w:r>
        <w:t>utputs</w:t>
      </w:r>
      <w:r w:rsidRPr="004865B2">
        <w:t xml:space="preserve"> </w:t>
      </w:r>
    </w:p>
    <w:p w14:paraId="54E5CB6D" w14:textId="207ED91A" w:rsidR="003C12C6" w:rsidRPr="00E65A5D" w:rsidRDefault="003C12C6" w:rsidP="003C12C6">
      <w:pPr>
        <w:pStyle w:val="ListBullet"/>
        <w:rPr>
          <w:color w:val="auto"/>
        </w:rPr>
      </w:pPr>
      <w:r w:rsidRPr="00CA1169">
        <w:rPr>
          <w:color w:val="auto"/>
        </w:rPr>
        <w:t xml:space="preserve">Relative abundance </w:t>
      </w:r>
      <w:r w:rsidRPr="00E65A5D">
        <w:rPr>
          <w:color w:val="auto"/>
        </w:rPr>
        <w:t xml:space="preserve">estimation, population structure and community data will be submitted as described in Hale </w:t>
      </w:r>
      <w:r w:rsidRPr="00E65A5D">
        <w:rPr>
          <w:i/>
          <w:iCs/>
          <w:color w:val="auto"/>
        </w:rPr>
        <w:t>et al</w:t>
      </w:r>
      <w:r w:rsidRPr="00E65A5D">
        <w:rPr>
          <w:color w:val="auto"/>
        </w:rPr>
        <w:t>. (2014), complying with data standards as per Brooks and Wealands (201</w:t>
      </w:r>
      <w:r>
        <w:rPr>
          <w:color w:val="auto"/>
        </w:rPr>
        <w:t>8</w:t>
      </w:r>
      <w:r w:rsidRPr="00E65A5D">
        <w:rPr>
          <w:color w:val="auto"/>
        </w:rPr>
        <w:t>).</w:t>
      </w:r>
    </w:p>
    <w:p w14:paraId="0EBA01C6" w14:textId="3D5B7DBB" w:rsidR="003C12C6" w:rsidRPr="00E65A5D" w:rsidRDefault="003C12C6" w:rsidP="003C12C6">
      <w:pPr>
        <w:pStyle w:val="ListBullet"/>
        <w:rPr>
          <w:color w:val="auto"/>
        </w:rPr>
      </w:pPr>
      <w:r w:rsidRPr="00E65A5D">
        <w:t>In the annual area evaluation reports, there will be q</w:t>
      </w:r>
      <w:r w:rsidRPr="00E65A5D">
        <w:rPr>
          <w:color w:val="auto"/>
        </w:rPr>
        <w:t xml:space="preserve">uantitative analysis of data to determine temporal variation in large-bodied and small-bodied fish assemblage structures as well as the size/age compositions of key species. </w:t>
      </w:r>
    </w:p>
    <w:p w14:paraId="10E2AEFF" w14:textId="77777777" w:rsidR="003C12C6" w:rsidRPr="00E65A5D" w:rsidRDefault="003C12C6" w:rsidP="003C12C6">
      <w:pPr>
        <w:pStyle w:val="ListBullet"/>
        <w:rPr>
          <w:color w:val="auto"/>
        </w:rPr>
      </w:pPr>
      <w:r w:rsidRPr="00E65A5D">
        <w:t>P</w:t>
      </w:r>
      <w:r w:rsidRPr="00E65A5D">
        <w:rPr>
          <w:color w:val="auto"/>
        </w:rPr>
        <w:t>atterns, based on outputs from above analysis, will be discussed based on published research and our current conceptual understanding of fish life histories and population dynamics in the Lower Murray River.</w:t>
      </w:r>
    </w:p>
    <w:p w14:paraId="00D25358" w14:textId="5679CB86" w:rsidR="00522348" w:rsidRPr="00E65A5D" w:rsidRDefault="00522348" w:rsidP="00522348">
      <w:pPr>
        <w:pStyle w:val="ListBullet"/>
        <w:rPr>
          <w:color w:val="auto"/>
        </w:rPr>
      </w:pPr>
      <w:r w:rsidRPr="00E65A5D">
        <w:rPr>
          <w:color w:val="auto"/>
        </w:rPr>
        <w:t>Condition monitoring data will inform the evaluation of DEW’s Long Term Watering Plan fish targets</w:t>
      </w:r>
      <w:r>
        <w:rPr>
          <w:color w:val="auto"/>
        </w:rPr>
        <w:t xml:space="preserve"> and Matter 8 expected outcomes</w:t>
      </w:r>
      <w:r w:rsidRPr="00E65A5D">
        <w:rPr>
          <w:color w:val="auto"/>
        </w:rPr>
        <w:t>.</w:t>
      </w:r>
    </w:p>
    <w:p w14:paraId="7B4F3819" w14:textId="03BC1282" w:rsidR="003C12C6" w:rsidRPr="00F230DC" w:rsidRDefault="003C12C6" w:rsidP="003C12C6">
      <w:pPr>
        <w:pStyle w:val="ListBullet"/>
        <w:rPr>
          <w:color w:val="auto"/>
        </w:rPr>
      </w:pPr>
      <w:r>
        <w:t>T</w:t>
      </w:r>
      <w:r w:rsidRPr="00235DD2">
        <w:t xml:space="preserve">he analyses of Basin-scale community response to Commonwealth environmental water </w:t>
      </w:r>
      <w:r>
        <w:t xml:space="preserve">will </w:t>
      </w:r>
      <w:r w:rsidRPr="00235DD2">
        <w:t>be carried out by the ME</w:t>
      </w:r>
      <w:r>
        <w:t>R</w:t>
      </w:r>
      <w:r w:rsidRPr="00235DD2">
        <w:t xml:space="preserve"> Advisors</w:t>
      </w:r>
      <w:r>
        <w:t>. There are no CEWO evaluation questions for this indicator at Selected Area scale, therefore n</w:t>
      </w:r>
      <w:r w:rsidRPr="00235DD2">
        <w:t xml:space="preserve">o evaluation will be undertaken. </w:t>
      </w:r>
      <w:r w:rsidRPr="004457D9">
        <w:t>Our interpretations of the data for this indicator do not infer association with Commonwealth environmental water delivery.</w:t>
      </w:r>
    </w:p>
    <w:p w14:paraId="47C8FFFC" w14:textId="77777777" w:rsidR="00443EDA" w:rsidRPr="00443EDA" w:rsidRDefault="00443EDA" w:rsidP="00475425">
      <w:pPr>
        <w:pStyle w:val="Heading4"/>
      </w:pPr>
      <w:r w:rsidRPr="00443EDA">
        <w:lastRenderedPageBreak/>
        <w:t xml:space="preserve">Staff </w:t>
      </w:r>
    </w:p>
    <w:p w14:paraId="0511427D" w14:textId="5A4BDFEC" w:rsidR="00443EDA" w:rsidRPr="00C01249" w:rsidRDefault="008D5909" w:rsidP="00383682">
      <w:pPr>
        <w:pStyle w:val="Heading5"/>
      </w:pPr>
      <w:r>
        <w:t xml:space="preserve">Assoc. </w:t>
      </w:r>
      <w:r w:rsidR="00FF439A">
        <w:t>Prof</w:t>
      </w:r>
      <w:r>
        <w:t>.</w:t>
      </w:r>
      <w:r w:rsidR="00443EDA" w:rsidRPr="00C01249">
        <w:t xml:space="preserve"> Qifeng Ye </w:t>
      </w:r>
      <w:r w:rsidR="00443EDA" w:rsidRPr="00C01249">
        <w:tab/>
        <w:t xml:space="preserve">SARDI </w:t>
      </w:r>
    </w:p>
    <w:p w14:paraId="193A99DD" w14:textId="6D0A2B93" w:rsidR="00960F5A" w:rsidRDefault="00BD0D46" w:rsidP="00960F5A">
      <w:bookmarkStart w:id="101" w:name="_Toc365188925"/>
      <w:bookmarkStart w:id="102" w:name="_Toc365240173"/>
      <w:bookmarkStart w:id="103" w:name="_Toc365240851"/>
      <w:r w:rsidRPr="00442DF4">
        <w:t xml:space="preserve">Qifeng Ye is the Principal Scientist and Science Leader for the SARDI </w:t>
      </w:r>
      <w:r>
        <w:t>Inland Waters and Catchment Ecology (</w:t>
      </w:r>
      <w:r w:rsidRPr="00442DF4">
        <w:t>IWCE</w:t>
      </w:r>
      <w:r>
        <w:t>)</w:t>
      </w:r>
      <w:r w:rsidRPr="00442DF4">
        <w:t xml:space="preserve"> </w:t>
      </w:r>
      <w:r w:rsidR="00FF439A">
        <w:t>P</w:t>
      </w:r>
      <w:r w:rsidRPr="00442DF4">
        <w:t>rogram. She has a range of skills and extensive research experience in fish and fishery biology and ecology and population dynamics, accumulated through 2</w:t>
      </w:r>
      <w:r>
        <w:t>5</w:t>
      </w:r>
      <w:r w:rsidRPr="00442DF4">
        <w:t xml:space="preserve"> years of environmental and fishery related work. This has been done in freshwater, marine and estuarine systems in several countries. Qifeng has an excellent knowledge of the biology, habitat and environmental water requirements of native fish and the potential ecological impacts of river regulation. She has led and played a substantial role in a number of significant flow related</w:t>
      </w:r>
      <w:r w:rsidR="00526DE8">
        <w:t xml:space="preserve"> ecology</w:t>
      </w:r>
      <w:r w:rsidRPr="00442DF4">
        <w:t xml:space="preserve"> projects</w:t>
      </w:r>
      <w:r>
        <w:t xml:space="preserve"> (including the CEWO LTIM and short-term intervention monitoring projects)</w:t>
      </w:r>
      <w:r w:rsidRPr="00442DF4">
        <w:t xml:space="preserve"> in the </w:t>
      </w:r>
      <w:r>
        <w:t>MDB</w:t>
      </w:r>
      <w:r w:rsidRPr="00442DF4">
        <w:t xml:space="preserve"> and the South East region of SA.</w:t>
      </w:r>
      <w:bookmarkEnd w:id="101"/>
      <w:bookmarkEnd w:id="102"/>
      <w:bookmarkEnd w:id="103"/>
      <w:r w:rsidRPr="00442DF4">
        <w:t xml:space="preserve"> Qifeng represents SA on the M</w:t>
      </w:r>
      <w:r>
        <w:t>urray-Darling Basin Fish Working Group</w:t>
      </w:r>
      <w:r w:rsidRPr="00442DF4">
        <w:t xml:space="preserve">. She is also a member of several science and management committees at </w:t>
      </w:r>
      <w:r>
        <w:t>S</w:t>
      </w:r>
      <w:r w:rsidRPr="00442DF4">
        <w:t xml:space="preserve">tate and </w:t>
      </w:r>
      <w:r>
        <w:t>n</w:t>
      </w:r>
      <w:r w:rsidRPr="00442DF4">
        <w:t>ational levels, including the national</w:t>
      </w:r>
      <w:r w:rsidRPr="005C4602">
        <w:t xml:space="preserve"> </w:t>
      </w:r>
      <w:r w:rsidRPr="001123C3">
        <w:t>Murray Cod Fishery Management Group</w:t>
      </w:r>
      <w:r>
        <w:t>, National Carp Control Plan Science Advisory Group,</w:t>
      </w:r>
      <w:r w:rsidRPr="001123C3">
        <w:t xml:space="preserve"> an</w:t>
      </w:r>
      <w:r>
        <w:t>d CLLMM Science Advisory Group.</w:t>
      </w:r>
    </w:p>
    <w:p w14:paraId="1579C68C" w14:textId="782D7179" w:rsidR="00443EDA" w:rsidRPr="00C01249" w:rsidRDefault="00443EDA" w:rsidP="00475425">
      <w:pPr>
        <w:pStyle w:val="Heading5"/>
      </w:pPr>
      <w:r w:rsidRPr="00C01249">
        <w:t xml:space="preserve">Brenton Zampatti </w:t>
      </w:r>
      <w:r w:rsidRPr="00C01249">
        <w:tab/>
        <w:t>SARDI</w:t>
      </w:r>
    </w:p>
    <w:p w14:paraId="6C21C4F6" w14:textId="7053C1AB" w:rsidR="009D24E7" w:rsidRPr="00443EDA" w:rsidRDefault="009D24E7" w:rsidP="009D24E7">
      <w:r>
        <w:t xml:space="preserve">Brenton is a Senior Research Scientist at SARDI Aquatic Sciences and has been conducting research on the flow-related ecology of freshwater and estuarine fish for the past 20 years. Brenton has a comprehensive understanding of the ecology and hydrology of rivers in the MDB and has published extensively on the ecology of fish throughout south-eastern Australia. </w:t>
      </w:r>
      <w:r>
        <w:rPr>
          <w:lang w:val="en-GB"/>
        </w:rPr>
        <w:t>Brenton has played a key role in a number of multi-disciplinary and cross-jurisdictional environmental water requirement (EWR) projects, including development of a multi-disciplinary technique for the establishment of EWRs for rivers in south-eastern Australian (FLOWS) and monitoring programs (VEFMAP) for the Victorian Government, and more recently the CEWO LTIM and EWKR projects. Brenton is currently undertaking large-scale research projects on the flow-related ecology of fishes throughout the Murray-Darling Basin, including the CLLMM region in SA. These projects are directly informing the management of water resources and river operations, including the delivery of environmental water by the MDBA and CEWO</w:t>
      </w:r>
      <w:r w:rsidRPr="00D717DE">
        <w:rPr>
          <w:lang w:val="en-GB"/>
        </w:rPr>
        <w:t>.</w:t>
      </w:r>
      <w:r>
        <w:rPr>
          <w:lang w:val="en-GB"/>
        </w:rPr>
        <w:t xml:space="preserve"> </w:t>
      </w:r>
      <w:r w:rsidRPr="00423A9D">
        <w:t>Brenton is a member of numerous State and National</w:t>
      </w:r>
      <w:r>
        <w:t xml:space="preserve"> </w:t>
      </w:r>
      <w:r w:rsidRPr="00423A9D">
        <w:t>working and advisory groups, including the MDB Fish Working Group, Victorian Environmental</w:t>
      </w:r>
      <w:r>
        <w:t xml:space="preserve"> </w:t>
      </w:r>
      <w:r w:rsidRPr="00423A9D">
        <w:t>Flows Monitoring and Assessment Program (VEFMAP)</w:t>
      </w:r>
      <w:r>
        <w:t xml:space="preserve"> </w:t>
      </w:r>
      <w:r w:rsidRPr="00423A9D">
        <w:t xml:space="preserve">Technical Advisory Group, MDBA </w:t>
      </w:r>
      <w:r>
        <w:t>EWKR</w:t>
      </w:r>
      <w:r w:rsidRPr="00423A9D">
        <w:t xml:space="preserve"> fish leadership group</w:t>
      </w:r>
      <w:r>
        <w:t>,</w:t>
      </w:r>
      <w:r w:rsidRPr="00423A9D">
        <w:t xml:space="preserve"> South Australia’s River Murray Operations Working</w:t>
      </w:r>
      <w:r>
        <w:t xml:space="preserve"> </w:t>
      </w:r>
      <w:r w:rsidRPr="00423A9D">
        <w:t>Group</w:t>
      </w:r>
      <w:r>
        <w:t xml:space="preserve"> and the</w:t>
      </w:r>
      <w:r w:rsidRPr="00423A9D">
        <w:t xml:space="preserve"> </w:t>
      </w:r>
      <w:r>
        <w:t>CLLMM</w:t>
      </w:r>
      <w:r w:rsidRPr="00423A9D">
        <w:t xml:space="preserve"> Science Advisory Group</w:t>
      </w:r>
      <w:r w:rsidRPr="00443EDA">
        <w:t>.</w:t>
      </w:r>
    </w:p>
    <w:p w14:paraId="73C959DB" w14:textId="77777777" w:rsidR="00917C25" w:rsidRPr="00850BBA" w:rsidRDefault="00917C25" w:rsidP="00917C25">
      <w:pPr>
        <w:pStyle w:val="Heading5"/>
      </w:pPr>
      <w:r w:rsidRPr="00850BBA">
        <w:t>George Giatas</w:t>
      </w:r>
      <w:r w:rsidRPr="00850BBA">
        <w:tab/>
        <w:t xml:space="preserve">SARDI </w:t>
      </w:r>
    </w:p>
    <w:p w14:paraId="0E890E7D" w14:textId="55B11014" w:rsidR="00917C25" w:rsidRPr="00850BBA" w:rsidRDefault="00BD0D46" w:rsidP="00917C25">
      <w:r w:rsidRPr="00D717DE">
        <w:t>George Giatas is a Research</w:t>
      </w:r>
      <w:r>
        <w:t xml:space="preserve"> O</w:t>
      </w:r>
      <w:r w:rsidRPr="00D07285">
        <w:t>fficer at SARDI Aquatic Sciences</w:t>
      </w:r>
      <w:r>
        <w:t xml:space="preserve"> (IWCE Program)</w:t>
      </w:r>
      <w:r w:rsidRPr="00D07285">
        <w:t xml:space="preserve">. </w:t>
      </w:r>
      <w:r>
        <w:t xml:space="preserve">Since </w:t>
      </w:r>
      <w:r w:rsidRPr="00D07285">
        <w:t xml:space="preserve">2012, </w:t>
      </w:r>
      <w:r>
        <w:t>he</w:t>
      </w:r>
      <w:r w:rsidRPr="00D07285">
        <w:t xml:space="preserve"> has </w:t>
      </w:r>
      <w:r>
        <w:t>contributed towards</w:t>
      </w:r>
      <w:r w:rsidRPr="00D07285">
        <w:t xml:space="preserve"> </w:t>
      </w:r>
      <w:r>
        <w:t xml:space="preserve">a variety of fish ecology research projects at SARDI in the </w:t>
      </w:r>
      <w:r w:rsidR="00526DE8">
        <w:t xml:space="preserve">Lower Murray </w:t>
      </w:r>
      <w:r>
        <w:t xml:space="preserve">and the CLLMM region. George has been involved in monitoring and evaluating the responses of ecological indicators to environmental water delivery through the CEWO short-term intervention monitoring (2012-13 and 2013-14) and LTIM (2014-15 to </w:t>
      </w:r>
      <w:r w:rsidR="00107646">
        <w:t>2018-19</w:t>
      </w:r>
      <w:r>
        <w:t>) projects</w:t>
      </w:r>
      <w:r w:rsidR="00917C25" w:rsidRPr="00850BBA">
        <w:t>.</w:t>
      </w:r>
    </w:p>
    <w:p w14:paraId="00B85D8B" w14:textId="350D1659" w:rsidR="003C12C6" w:rsidRPr="00B563C1" w:rsidRDefault="003C12C6" w:rsidP="003C12C6">
      <w:pPr>
        <w:pStyle w:val="Heading5"/>
      </w:pPr>
      <w:bookmarkStart w:id="104" w:name="_Ref384810599"/>
      <w:bookmarkStart w:id="105" w:name="_Toc384985537"/>
      <w:r w:rsidRPr="00B563C1">
        <w:t>Arron Strawbridge</w:t>
      </w:r>
      <w:r w:rsidRPr="00B563C1">
        <w:tab/>
      </w:r>
      <w:r w:rsidR="009D24E7" w:rsidRPr="00FB7AD4">
        <w:t>SARDI</w:t>
      </w:r>
    </w:p>
    <w:p w14:paraId="3BE95B16" w14:textId="4BF64813" w:rsidR="003C12C6" w:rsidRPr="00B563C1" w:rsidRDefault="003C12C6" w:rsidP="003C12C6">
      <w:r w:rsidRPr="00B563C1">
        <w:t>Arron Strawbridge is an experienced senior technical officer who has worked in the field of aquatic eco</w:t>
      </w:r>
      <w:r w:rsidR="00B563C1" w:rsidRPr="00B563C1">
        <w:t>logy and aquaculture for over 25</w:t>
      </w:r>
      <w:r w:rsidRPr="00B563C1">
        <w:t xml:space="preserve"> years. He has extensive experience running field, laboratory and mesocosm studies and has provided technical and field leadership on numerous projects including vegetation condition and intervention monitoring, seed bank assessments, electrofishing, fish condition monitoring and fish passage assessment. Arron also manages all project databases, field and laboratory equipment, vehicles and boats for the Plant Ecology Sub-program. </w:t>
      </w:r>
    </w:p>
    <w:p w14:paraId="025840AD" w14:textId="77777777" w:rsidR="003C12C6" w:rsidRPr="00B563C1" w:rsidRDefault="003C12C6" w:rsidP="003C12C6">
      <w:pPr>
        <w:pStyle w:val="Heading5"/>
        <w:rPr>
          <w:rFonts w:cstheme="minorHAnsi"/>
        </w:rPr>
      </w:pPr>
      <w:r w:rsidRPr="00B563C1">
        <w:rPr>
          <w:rFonts w:cstheme="minorHAnsi"/>
        </w:rPr>
        <w:lastRenderedPageBreak/>
        <w:t xml:space="preserve">David Fleer </w:t>
      </w:r>
      <w:r w:rsidRPr="00B563C1">
        <w:rPr>
          <w:rFonts w:cstheme="minorHAnsi"/>
        </w:rPr>
        <w:tab/>
        <w:t>SARDI</w:t>
      </w:r>
    </w:p>
    <w:p w14:paraId="0EB5D816" w14:textId="29326A94" w:rsidR="003C12C6" w:rsidRPr="00B563C1" w:rsidRDefault="003C12C6" w:rsidP="003C12C6">
      <w:pPr>
        <w:rPr>
          <w:rFonts w:cstheme="minorHAnsi"/>
        </w:rPr>
      </w:pPr>
      <w:r w:rsidRPr="00B563C1">
        <w:rPr>
          <w:rFonts w:cstheme="minorHAnsi"/>
        </w:rPr>
        <w:t>David Fleer is a senior research services officer who has been working in the field of fisheries and en</w:t>
      </w:r>
      <w:r w:rsidR="00B563C1" w:rsidRPr="00B563C1">
        <w:rPr>
          <w:rFonts w:cstheme="minorHAnsi"/>
        </w:rPr>
        <w:t>vironmental research for over 30</w:t>
      </w:r>
      <w:r w:rsidRPr="00B563C1">
        <w:rPr>
          <w:rFonts w:cstheme="minorHAnsi"/>
        </w:rPr>
        <w:t xml:space="preserve"> years. David is a highly experienced technical officer offering many skills and expertise in boating, fieldwork operations, and laboratory analyses including fish ageing and reproductive analysis. In the last six years, he has been the key technical support staff for the larval fish recruitment dynamics study, native fish monitoring and Murray River wetland surveys in the Lower Murray River for the Inland Waters research team.</w:t>
      </w:r>
    </w:p>
    <w:p w14:paraId="712F700D" w14:textId="77777777" w:rsidR="003C12C6" w:rsidRPr="00B563C1" w:rsidRDefault="003C12C6" w:rsidP="003C12C6">
      <w:pPr>
        <w:pStyle w:val="Heading5"/>
      </w:pPr>
      <w:r w:rsidRPr="00B563C1">
        <w:t xml:space="preserve">Ian Magraith </w:t>
      </w:r>
      <w:r w:rsidRPr="00B563C1">
        <w:tab/>
        <w:t xml:space="preserve">SARDI </w:t>
      </w:r>
    </w:p>
    <w:p w14:paraId="43EA8C12" w14:textId="0EA4F9EB" w:rsidR="003C12C6" w:rsidRPr="00B563C1" w:rsidRDefault="003C12C6" w:rsidP="003C12C6">
      <w:r w:rsidRPr="00B563C1">
        <w:t>Ian Magraith is a senior technical services officer who has been working in the field of en</w:t>
      </w:r>
      <w:r w:rsidR="00B563C1" w:rsidRPr="00B563C1">
        <w:t>vironmental research for over 25</w:t>
      </w:r>
      <w:r w:rsidRPr="00B563C1">
        <w:t xml:space="preserve"> years. Ian worked for the University of Adelaide Zoology and Botany Departments as a technical officer throughout the 1990s and early 2000s before joining SARDI in 2003. Ian is a highly experienced technical officer offering many skills and expertise in boating and fieldwork operations.</w:t>
      </w:r>
    </w:p>
    <w:p w14:paraId="180C775E" w14:textId="77777777" w:rsidR="003C12C6" w:rsidRPr="00B563C1" w:rsidRDefault="003C12C6" w:rsidP="003C12C6">
      <w:pPr>
        <w:pStyle w:val="Heading5"/>
        <w:rPr>
          <w:rFonts w:cstheme="minorHAnsi"/>
        </w:rPr>
      </w:pPr>
      <w:r w:rsidRPr="00B563C1">
        <w:rPr>
          <w:rFonts w:cstheme="minorHAnsi"/>
        </w:rPr>
        <w:t xml:space="preserve">David Short </w:t>
      </w:r>
      <w:r w:rsidRPr="00B563C1">
        <w:rPr>
          <w:rFonts w:cstheme="minorHAnsi"/>
        </w:rPr>
        <w:tab/>
        <w:t>SARDI</w:t>
      </w:r>
    </w:p>
    <w:p w14:paraId="314C090C" w14:textId="55FDF4C5" w:rsidR="003C12C6" w:rsidRPr="00B563C1" w:rsidRDefault="003C12C6" w:rsidP="003C12C6">
      <w:pPr>
        <w:rPr>
          <w:rFonts w:cstheme="minorHAnsi"/>
          <w:szCs w:val="24"/>
        </w:rPr>
      </w:pPr>
      <w:r w:rsidRPr="00B563C1">
        <w:rPr>
          <w:rFonts w:cstheme="minorHAnsi"/>
          <w:szCs w:val="24"/>
        </w:rPr>
        <w:t>David Short is a Senior Research Services Officer who has been working in the field of fisheries a</w:t>
      </w:r>
      <w:r w:rsidR="00B563C1" w:rsidRPr="00B563C1">
        <w:rPr>
          <w:rFonts w:cstheme="minorHAnsi"/>
          <w:szCs w:val="24"/>
        </w:rPr>
        <w:t xml:space="preserve">nd environmental research for </w:t>
      </w:r>
      <w:r w:rsidR="00B563C1">
        <w:rPr>
          <w:rFonts w:cstheme="minorHAnsi"/>
          <w:szCs w:val="24"/>
        </w:rPr>
        <w:t xml:space="preserve">over </w:t>
      </w:r>
      <w:r w:rsidR="00B563C1" w:rsidRPr="00B563C1">
        <w:rPr>
          <w:rFonts w:cstheme="minorHAnsi"/>
          <w:szCs w:val="24"/>
        </w:rPr>
        <w:t>25</w:t>
      </w:r>
      <w:r w:rsidRPr="00B563C1">
        <w:rPr>
          <w:rFonts w:cstheme="minorHAnsi"/>
          <w:szCs w:val="24"/>
        </w:rPr>
        <w:t xml:space="preserve"> years. David is a highly experienced technical officer offering expertise in a large variety of fish sampling techniques including electrofishing, gill netting, seine netting and fyke netting, and holds a coxswains qualification. David is also highly skilled in database management and laboratory techniques including fish ageing and reproductive analysis. Over the last ten years, he has been the key technical officer for a number of important projects in the SA MDB, including the Coorong fish research and monitoring projects, the Sustainable Rivers Audit Project and Murray Fishway Program. </w:t>
      </w:r>
    </w:p>
    <w:p w14:paraId="443967BF" w14:textId="77777777" w:rsidR="00381D7D" w:rsidRPr="00B563C1" w:rsidRDefault="00381D7D" w:rsidP="00381D7D">
      <w:pPr>
        <w:pStyle w:val="Heading5"/>
        <w:rPr>
          <w:rFonts w:cstheme="minorHAnsi"/>
        </w:rPr>
      </w:pPr>
      <w:r w:rsidRPr="00B563C1">
        <w:rPr>
          <w:rFonts w:cstheme="minorHAnsi"/>
        </w:rPr>
        <w:t xml:space="preserve">Luciana Bucater </w:t>
      </w:r>
      <w:r w:rsidRPr="00B563C1">
        <w:rPr>
          <w:rFonts w:cstheme="minorHAnsi"/>
        </w:rPr>
        <w:tab/>
        <w:t>SARDI</w:t>
      </w:r>
    </w:p>
    <w:p w14:paraId="694DF455" w14:textId="5F478674" w:rsidR="00381D7D" w:rsidRPr="00DF38D9" w:rsidRDefault="00381D7D" w:rsidP="00381D7D">
      <w:pPr>
        <w:spacing w:after="120"/>
        <w:rPr>
          <w:rFonts w:cstheme="minorHAnsi"/>
          <w:szCs w:val="24"/>
        </w:rPr>
      </w:pPr>
      <w:r w:rsidRPr="00B563C1">
        <w:rPr>
          <w:rFonts w:cstheme="minorHAnsi"/>
          <w:szCs w:val="24"/>
        </w:rPr>
        <w:t xml:space="preserve">Luciana Bucater is an experienced fisheries ecologist, and has worked on a </w:t>
      </w:r>
      <w:r w:rsidR="00B563C1" w:rsidRPr="00B563C1">
        <w:rPr>
          <w:rFonts w:cstheme="minorHAnsi"/>
          <w:szCs w:val="24"/>
        </w:rPr>
        <w:t>range of research over 15</w:t>
      </w:r>
      <w:r w:rsidRPr="00B563C1">
        <w:rPr>
          <w:rFonts w:cstheme="minorHAnsi"/>
          <w:szCs w:val="24"/>
        </w:rPr>
        <w:t xml:space="preserve"> years. She is particularly interested in fish biology, early life history of fish, and the application of GIS in fisheries research. She migrated from Brazil in 2004 and since then she has been involved in research both in NSW and SA. Since 2007 she has been part of the Inland Waters and Catchment Ecology team at SARDI Aquatic Sciences, having been involved in various projects assessing changes in fish assemblage associated with different flow scenarios in the Lower Murray River, Lakes and Coorong. Information generated from these work has been used extensively by the state government agencies in management of the region.</w:t>
      </w:r>
    </w:p>
    <w:p w14:paraId="5C5E1F5E" w14:textId="77777777" w:rsidR="00381D7D" w:rsidRPr="00107646" w:rsidRDefault="00381D7D" w:rsidP="003C12C6">
      <w:pPr>
        <w:rPr>
          <w:rFonts w:cstheme="minorHAnsi"/>
          <w:szCs w:val="24"/>
          <w:highlight w:val="yellow"/>
        </w:rPr>
      </w:pPr>
    </w:p>
    <w:bookmarkEnd w:id="104"/>
    <w:bookmarkEnd w:id="105"/>
    <w:p w14:paraId="08A25CFB" w14:textId="77777777" w:rsidR="00443EDA" w:rsidRDefault="00443EDA" w:rsidP="00F02673">
      <w:r w:rsidRPr="00443EDA">
        <w:br w:type="page"/>
      </w:r>
    </w:p>
    <w:p w14:paraId="57D5C6D9" w14:textId="5DE7237E" w:rsidR="008E3CFD" w:rsidRPr="008E3CFD" w:rsidRDefault="008E3CFD" w:rsidP="00475425">
      <w:pPr>
        <w:pStyle w:val="Heading2"/>
      </w:pPr>
      <w:bookmarkStart w:id="106" w:name="_Ref384814153"/>
      <w:bookmarkStart w:id="107" w:name="_Toc384985540"/>
      <w:bookmarkStart w:id="108" w:name="_Ref10120011"/>
      <w:bookmarkStart w:id="109" w:name="_Toc22196700"/>
      <w:r w:rsidRPr="008E3CFD">
        <w:lastRenderedPageBreak/>
        <w:t xml:space="preserve">Category </w:t>
      </w:r>
      <w:r w:rsidR="0022666F">
        <w:t>3</w:t>
      </w:r>
      <w:bookmarkEnd w:id="106"/>
      <w:bookmarkEnd w:id="107"/>
      <w:bookmarkEnd w:id="108"/>
      <w:bookmarkEnd w:id="109"/>
    </w:p>
    <w:p w14:paraId="29282FF7" w14:textId="77777777" w:rsidR="009D24E7" w:rsidRPr="008E3CFD" w:rsidRDefault="009D24E7" w:rsidP="009D24E7">
      <w:pPr>
        <w:pStyle w:val="Heading3"/>
      </w:pPr>
      <w:bookmarkStart w:id="110" w:name="_Toc384985546"/>
      <w:bookmarkStart w:id="111" w:name="_Ref399155617"/>
      <w:bookmarkStart w:id="112" w:name="_Ref399155622"/>
      <w:bookmarkStart w:id="113" w:name="_Toc22196701"/>
      <w:r w:rsidRPr="008E3CFD">
        <w:t>Hydr</w:t>
      </w:r>
      <w:r>
        <w:t>aulic R</w:t>
      </w:r>
      <w:r w:rsidRPr="008E3CFD">
        <w:t>egime</w:t>
      </w:r>
      <w:bookmarkEnd w:id="110"/>
      <w:bookmarkEnd w:id="111"/>
      <w:bookmarkEnd w:id="112"/>
      <w:bookmarkEnd w:id="113"/>
    </w:p>
    <w:p w14:paraId="190BE883" w14:textId="77777777" w:rsidR="00960F5A" w:rsidRPr="008E3CFD" w:rsidRDefault="00960F5A" w:rsidP="00960F5A">
      <w:pPr>
        <w:pStyle w:val="Heading4"/>
      </w:pPr>
      <w:r w:rsidRPr="008E3CFD">
        <w:t>Indicators</w:t>
      </w:r>
    </w:p>
    <w:p w14:paraId="78E3BA0F" w14:textId="77777777" w:rsidR="00960F5A" w:rsidRPr="008E3CFD" w:rsidRDefault="00960F5A" w:rsidP="00960F5A">
      <w:pPr>
        <w:pStyle w:val="ListBullet"/>
      </w:pPr>
      <w:r w:rsidRPr="008E3CFD">
        <w:t xml:space="preserve">Modelled daily discharge with and without </w:t>
      </w:r>
      <w:r w:rsidRPr="00443EDA">
        <w:rPr>
          <w:rFonts w:eastAsia="Calibri"/>
        </w:rPr>
        <w:t>C</w:t>
      </w:r>
      <w:r>
        <w:rPr>
          <w:rFonts w:eastAsia="Calibri"/>
        </w:rPr>
        <w:t>ommonwealth environmental water</w:t>
      </w:r>
      <w:r w:rsidRPr="008E3CFD">
        <w:t xml:space="preserve"> </w:t>
      </w:r>
    </w:p>
    <w:p w14:paraId="5365D4CC" w14:textId="418E429A" w:rsidR="00960F5A" w:rsidRPr="008E3CFD" w:rsidRDefault="00960F5A" w:rsidP="00960F5A">
      <w:pPr>
        <w:pStyle w:val="ListBullet"/>
      </w:pPr>
      <w:r w:rsidRPr="008E3CFD">
        <w:t>velocity</w:t>
      </w:r>
      <w:r>
        <w:t xml:space="preserve"> metrics</w:t>
      </w:r>
      <w:r w:rsidRPr="008E3CFD">
        <w:t xml:space="preserve"> with and without </w:t>
      </w:r>
      <w:r w:rsidRPr="00443EDA">
        <w:rPr>
          <w:rFonts w:eastAsia="Calibri"/>
        </w:rPr>
        <w:t>C</w:t>
      </w:r>
      <w:r>
        <w:rPr>
          <w:rFonts w:eastAsia="Calibri"/>
        </w:rPr>
        <w:t>ommonwealth environmental water</w:t>
      </w:r>
      <w:r w:rsidRPr="008E3CFD">
        <w:t xml:space="preserve"> </w:t>
      </w:r>
    </w:p>
    <w:p w14:paraId="04A17FFD" w14:textId="77777777" w:rsidR="00960F5A" w:rsidRPr="008E3CFD" w:rsidRDefault="00960F5A" w:rsidP="00960F5A">
      <w:pPr>
        <w:pStyle w:val="ListBullet"/>
      </w:pPr>
      <w:r w:rsidRPr="008E3CFD">
        <w:t xml:space="preserve">Modelled daily </w:t>
      </w:r>
      <w:r>
        <w:t>water level</w:t>
      </w:r>
      <w:r w:rsidRPr="008E3CFD">
        <w:t xml:space="preserve"> with and without </w:t>
      </w:r>
      <w:r w:rsidRPr="00443EDA">
        <w:rPr>
          <w:rFonts w:eastAsia="Calibri"/>
        </w:rPr>
        <w:t>C</w:t>
      </w:r>
      <w:r>
        <w:rPr>
          <w:rFonts w:eastAsia="Calibri"/>
        </w:rPr>
        <w:t>ommonwealth environmental water</w:t>
      </w:r>
    </w:p>
    <w:p w14:paraId="42B7B346" w14:textId="2CDDF1EE" w:rsidR="00960F5A" w:rsidRPr="008E3CFD" w:rsidRDefault="00960F5A" w:rsidP="00960F5A">
      <w:pPr>
        <w:pStyle w:val="ListBullet"/>
      </w:pPr>
      <w:r w:rsidRPr="008E3CFD">
        <w:t xml:space="preserve">Modelled area inundated at different durations with and without </w:t>
      </w:r>
      <w:r w:rsidRPr="00443EDA">
        <w:rPr>
          <w:rFonts w:eastAsia="Calibri"/>
        </w:rPr>
        <w:t>C</w:t>
      </w:r>
      <w:r>
        <w:rPr>
          <w:rFonts w:eastAsia="Calibri"/>
        </w:rPr>
        <w:t>ommonwealth environmental water</w:t>
      </w:r>
      <w:r w:rsidRPr="008E3CFD">
        <w:t xml:space="preserve"> if appropriate (e.g. substantial overbank flows, exceeding </w:t>
      </w:r>
      <w:r>
        <w:t>5</w:t>
      </w:r>
      <w:r w:rsidRPr="008E3CFD">
        <w:t>0,000</w:t>
      </w:r>
      <w:r w:rsidR="001F661A">
        <w:t> ML/d</w:t>
      </w:r>
      <w:r w:rsidRPr="008E3CFD">
        <w:t>)</w:t>
      </w:r>
      <w:r>
        <w:t>.</w:t>
      </w:r>
    </w:p>
    <w:p w14:paraId="1C655E45" w14:textId="77777777" w:rsidR="00960F5A" w:rsidRPr="008E3CFD" w:rsidRDefault="00960F5A" w:rsidP="00960F5A">
      <w:pPr>
        <w:pStyle w:val="Heading4"/>
      </w:pPr>
      <w:r w:rsidRPr="008E3CFD">
        <w:t>Background</w:t>
      </w:r>
    </w:p>
    <w:p w14:paraId="51EBD6C2" w14:textId="6FF3688B" w:rsidR="009D24E7" w:rsidRDefault="00960F5A" w:rsidP="009D24E7">
      <w:r w:rsidRPr="00FF530E">
        <w:t xml:space="preserve">The hydraulic characteristics (e.g. depth, water velocity, turbulence) of fluvial ecosystems result from the interaction of discharge and physical features (e.g. channel morphology, woody debris, man-made structures, etc.), and have a profound influence on river ecosystem structure and function (Statzner and </w:t>
      </w:r>
      <w:r w:rsidR="00107646">
        <w:t xml:space="preserve">Higler 1986; Biggs </w:t>
      </w:r>
      <w:r w:rsidR="00107646" w:rsidRPr="00107646">
        <w:rPr>
          <w:i/>
        </w:rPr>
        <w:t>et al.</w:t>
      </w:r>
      <w:r w:rsidR="00107646">
        <w:t xml:space="preserve"> 2005;</w:t>
      </w:r>
      <w:r>
        <w:t xml:space="preserve"> Bice </w:t>
      </w:r>
      <w:r w:rsidRPr="00107646">
        <w:rPr>
          <w:i/>
        </w:rPr>
        <w:t>et al.</w:t>
      </w:r>
      <w:r>
        <w:t xml:space="preserve"> 2017)</w:t>
      </w:r>
      <w:r w:rsidRPr="00747C40">
        <w:t xml:space="preserve">. </w:t>
      </w:r>
      <w:r w:rsidR="009D24E7">
        <w:t xml:space="preserve">Indeed, many riverine biota have life histories that are fundamentally linked to aspects of river hydraulics, and notably exhibit adaptations (e.g. drifting eggs and larvae) that confer dependence on </w:t>
      </w:r>
      <w:r w:rsidR="009D24E7">
        <w:rPr>
          <w:i/>
        </w:rPr>
        <w:t xml:space="preserve">lotic </w:t>
      </w:r>
      <w:r w:rsidR="009D24E7">
        <w:t xml:space="preserve">(flowing water) environments. Flow regulation in the </w:t>
      </w:r>
      <w:r w:rsidR="00EF0A90">
        <w:t>Lower Murray</w:t>
      </w:r>
      <w:r w:rsidR="009D24E7">
        <w:t xml:space="preserve">, however, through a combination of reduction in overall discharge and construction of serial main channel weirs, has resulted in the transformation of a once lotic environment, to one that is predominantly </w:t>
      </w:r>
      <w:r w:rsidR="009D24E7" w:rsidRPr="003165F0">
        <w:rPr>
          <w:i/>
        </w:rPr>
        <w:t>lentic</w:t>
      </w:r>
      <w:r w:rsidR="009D24E7">
        <w:t xml:space="preserve"> (lake-like) in character (Bice </w:t>
      </w:r>
      <w:r w:rsidR="009D24E7">
        <w:rPr>
          <w:i/>
        </w:rPr>
        <w:t xml:space="preserve">et al. </w:t>
      </w:r>
      <w:r w:rsidR="009D24E7">
        <w:t xml:space="preserve">2017). In association, there have been declines and local extinction of lotic biota (Mallen-Cooper and Zampatti 2018). Promoting lotic habitats is critical to ecosystem rehabilitation in the </w:t>
      </w:r>
      <w:r w:rsidR="00C204F9">
        <w:t>Lower Murray</w:t>
      </w:r>
      <w:r w:rsidR="009D24E7">
        <w:t>, and may be achieved by two primary mechanisms: 1) increasing discharge volumes; and 2) lower</w:t>
      </w:r>
      <w:r w:rsidR="00F3710B">
        <w:t>ing</w:t>
      </w:r>
      <w:r w:rsidR="009D24E7">
        <w:t xml:space="preserve"> weir pools.  </w:t>
      </w:r>
    </w:p>
    <w:p w14:paraId="5F9AB255" w14:textId="68FA8F95" w:rsidR="009D24E7" w:rsidRPr="008E3CFD" w:rsidRDefault="009D24E7" w:rsidP="009D24E7">
      <w:r>
        <w:t>Ecological i</w:t>
      </w:r>
      <w:r w:rsidRPr="008E3CFD">
        <w:t xml:space="preserve">ndicators that are likely to </w:t>
      </w:r>
      <w:r>
        <w:t xml:space="preserve">have </w:t>
      </w:r>
      <w:r w:rsidRPr="008E3CFD">
        <w:t>detect</w:t>
      </w:r>
      <w:r>
        <w:t>able change in response to hydraulic characteristics (e.g. microinvertebrates, Murray cod</w:t>
      </w:r>
      <w:r w:rsidR="003165F0">
        <w:t>, littoral vegetation</w:t>
      </w:r>
      <w:r>
        <w:t xml:space="preserve">) </w:t>
      </w:r>
      <w:r w:rsidRPr="008E3CFD">
        <w:t xml:space="preserve">have been intentionally selected as part of this </w:t>
      </w:r>
      <w:r>
        <w:t>MER Plan.</w:t>
      </w:r>
      <w:r w:rsidRPr="008E3CFD">
        <w:t xml:space="preserve"> As such, detailed spatial and temporal information on the change in </w:t>
      </w:r>
      <w:r>
        <w:t>hydraulic</w:t>
      </w:r>
      <w:r w:rsidRPr="008E3CFD">
        <w:t xml:space="preserve"> regime due to </w:t>
      </w:r>
      <w:r>
        <w:t xml:space="preserve">changes in hydrology, i.e. flow and the delivery of </w:t>
      </w:r>
      <w:r w:rsidRPr="008E3CFD">
        <w:t>Commonwealth environmental water</w:t>
      </w:r>
      <w:r>
        <w:t>,</w:t>
      </w:r>
      <w:r w:rsidRPr="008E3CFD">
        <w:t xml:space="preserve"> is beneficial to report on </w:t>
      </w:r>
      <w:r>
        <w:t>hydraulic</w:t>
      </w:r>
      <w:r w:rsidRPr="008E3CFD">
        <w:t xml:space="preserve"> indicators</w:t>
      </w:r>
      <w:r>
        <w:t>,</w:t>
      </w:r>
      <w:r w:rsidRPr="008E3CFD">
        <w:t xml:space="preserve"> as well as to inform the assessment </w:t>
      </w:r>
      <w:r>
        <w:t xml:space="preserve">and interpretation </w:t>
      </w:r>
      <w:r w:rsidRPr="008E3CFD">
        <w:t xml:space="preserve">of the ecological </w:t>
      </w:r>
      <w:r>
        <w:t>responses</w:t>
      </w:r>
      <w:r w:rsidRPr="008E3CFD">
        <w:t>.</w:t>
      </w:r>
    </w:p>
    <w:p w14:paraId="267F820D" w14:textId="2087D241" w:rsidR="00960F5A" w:rsidRDefault="00960F5A" w:rsidP="00960F5A">
      <w:r>
        <w:t>M</w:t>
      </w:r>
      <w:r w:rsidRPr="008E3CFD">
        <w:t xml:space="preserve">odelling </w:t>
      </w:r>
      <w:r>
        <w:t>will be used</w:t>
      </w:r>
      <w:r w:rsidRPr="008E3CFD">
        <w:t xml:space="preserve"> to upscale monitoring to the regional scale, </w:t>
      </w:r>
      <w:r>
        <w:t xml:space="preserve">to </w:t>
      </w:r>
      <w:r w:rsidRPr="008E3CFD">
        <w:t>provide other variables such as velocity</w:t>
      </w:r>
      <w:r>
        <w:t>,</w:t>
      </w:r>
      <w:r w:rsidRPr="008E3CFD">
        <w:t xml:space="preserve"> and </w:t>
      </w:r>
      <w:r>
        <w:t xml:space="preserve">to </w:t>
      </w:r>
      <w:r w:rsidRPr="008E3CFD">
        <w:t xml:space="preserve">simulate conditions </w:t>
      </w:r>
      <w:r>
        <w:t>with and without Commonwealth environmental water</w:t>
      </w:r>
      <w:r w:rsidRPr="008E3CFD">
        <w:t>.</w:t>
      </w:r>
      <w:r>
        <w:t xml:space="preserve"> Pre-processed outputs from h</w:t>
      </w:r>
      <w:r w:rsidRPr="008E3CFD">
        <w:t>ydrodynamic (MIKE FLOOD) models</w:t>
      </w:r>
      <w:r>
        <w:t xml:space="preserve"> for the river channel between Lock 1 and Lock 5 will be used</w:t>
      </w:r>
      <w:r w:rsidRPr="008E3CFD">
        <w:t xml:space="preserve"> </w:t>
      </w:r>
      <w:r>
        <w:t xml:space="preserve">in combination with the hydrological (Source) model </w:t>
      </w:r>
      <w:r w:rsidRPr="008E3CFD">
        <w:t>to simulate the</w:t>
      </w:r>
      <w:r>
        <w:t xml:space="preserve"> with and without</w:t>
      </w:r>
      <w:r w:rsidRPr="008E3CFD">
        <w:t xml:space="preserve"> Commonwealth environmental water </w:t>
      </w:r>
      <w:r>
        <w:t xml:space="preserve">conditions </w:t>
      </w:r>
      <w:r w:rsidRPr="008E3CFD">
        <w:t>that occur</w:t>
      </w:r>
      <w:r>
        <w:t xml:space="preserve"> each year,</w:t>
      </w:r>
      <w:r w:rsidRPr="008E3CFD">
        <w:t xml:space="preserve"> </w:t>
      </w:r>
      <w:r>
        <w:t>simulating</w:t>
      </w:r>
      <w:r w:rsidRPr="008E3CFD">
        <w:t xml:space="preserve"> </w:t>
      </w:r>
      <w:r>
        <w:t xml:space="preserve">daily </w:t>
      </w:r>
      <w:r w:rsidRPr="008E3CFD">
        <w:t xml:space="preserve">discharge, </w:t>
      </w:r>
      <w:r w:rsidR="000710A8">
        <w:t>water levels</w:t>
      </w:r>
      <w:r w:rsidRPr="008E3CFD">
        <w:t xml:space="preserve"> and velocity </w:t>
      </w:r>
      <w:r>
        <w:t>for each weir pool. This modelling provides a direct indication of the</w:t>
      </w:r>
      <w:r w:rsidRPr="008E3CFD">
        <w:t xml:space="preserve"> contribution </w:t>
      </w:r>
      <w:r w:rsidR="004B02BA">
        <w:t xml:space="preserve">of </w:t>
      </w:r>
      <w:r>
        <w:t xml:space="preserve">environmental water </w:t>
      </w:r>
      <w:r w:rsidRPr="008E3CFD">
        <w:t xml:space="preserve">to </w:t>
      </w:r>
      <w:r>
        <w:t>hydraulic changes in the river, which are one of the main drivers for biological responses to environmental water</w:t>
      </w:r>
      <w:r w:rsidRPr="008E3CFD">
        <w:t xml:space="preserve">. This information </w:t>
      </w:r>
      <w:r>
        <w:t>will</w:t>
      </w:r>
      <w:r w:rsidRPr="008E3CFD">
        <w:t xml:space="preserve"> be reported as metrics (i.e. proportion of the reach in different velocity classes), as well as an input to the assessment of outcomes for other ecological indicators</w:t>
      </w:r>
      <w:r>
        <w:t>.</w:t>
      </w:r>
    </w:p>
    <w:p w14:paraId="04ACFB07" w14:textId="77777777" w:rsidR="00960F5A" w:rsidRPr="008E3CFD" w:rsidRDefault="00960F5A" w:rsidP="00960F5A">
      <w:pPr>
        <w:pStyle w:val="Heading4"/>
      </w:pPr>
      <w:r w:rsidRPr="008E3CFD">
        <w:t>Cause and effect diagram</w:t>
      </w:r>
    </w:p>
    <w:p w14:paraId="7B26E7E6" w14:textId="203D924A" w:rsidR="00960F5A" w:rsidRPr="008E3CFD" w:rsidRDefault="00960F5A" w:rsidP="00960F5A">
      <w:r w:rsidRPr="008E3CFD">
        <w:t xml:space="preserve">No individual cause and effect diagram is provided for </w:t>
      </w:r>
      <w:r w:rsidR="00107646" w:rsidRPr="00526DE8">
        <w:rPr>
          <w:i/>
        </w:rPr>
        <w:t>H</w:t>
      </w:r>
      <w:r w:rsidRPr="00526DE8">
        <w:rPr>
          <w:i/>
        </w:rPr>
        <w:t xml:space="preserve">ydraulic </w:t>
      </w:r>
      <w:r w:rsidR="00107646" w:rsidRPr="00526DE8">
        <w:rPr>
          <w:i/>
        </w:rPr>
        <w:t>R</w:t>
      </w:r>
      <w:r w:rsidRPr="00526DE8">
        <w:rPr>
          <w:i/>
        </w:rPr>
        <w:t>egime</w:t>
      </w:r>
      <w:r w:rsidRPr="008E3CFD">
        <w:t xml:space="preserve">. Instead, the </w:t>
      </w:r>
      <w:r>
        <w:t>hydraulic</w:t>
      </w:r>
      <w:r w:rsidRPr="008E3CFD">
        <w:t xml:space="preserve"> regime can be seen to be present as a cause in all cause and effect diagrams</w:t>
      </w:r>
      <w:r>
        <w:t>.</w:t>
      </w:r>
    </w:p>
    <w:p w14:paraId="1E9B50C7" w14:textId="77777777" w:rsidR="00960F5A" w:rsidRPr="008E3CFD" w:rsidRDefault="00960F5A" w:rsidP="00960F5A">
      <w:pPr>
        <w:pStyle w:val="Heading4"/>
      </w:pPr>
      <w:r w:rsidRPr="008E3CFD">
        <w:t>Key evaluation questions</w:t>
      </w:r>
    </w:p>
    <w:p w14:paraId="47769D43" w14:textId="6A90DC9B" w:rsidR="00960F5A" w:rsidRPr="009D3578" w:rsidRDefault="00F3710B" w:rsidP="00960F5A">
      <w:pPr>
        <w:pStyle w:val="TableText"/>
        <w:rPr>
          <w:sz w:val="22"/>
        </w:rPr>
      </w:pPr>
      <w:r w:rsidRPr="009D3578">
        <w:rPr>
          <w:sz w:val="22"/>
        </w:rPr>
        <w:t>Selected Area questions</w:t>
      </w:r>
      <w:r w:rsidR="00B77D2F">
        <w:rPr>
          <w:sz w:val="22"/>
        </w:rPr>
        <w:t xml:space="preserve"> for evaluating short-term responses</w:t>
      </w:r>
      <w:r w:rsidRPr="009D3578">
        <w:rPr>
          <w:sz w:val="22"/>
        </w:rPr>
        <w:t xml:space="preserve"> (</w:t>
      </w:r>
      <w:r w:rsidR="00960F5A">
        <w:rPr>
          <w:sz w:val="22"/>
        </w:rPr>
        <w:t xml:space="preserve">adapted from </w:t>
      </w:r>
      <w:r w:rsidR="00960F5A" w:rsidRPr="009D3578">
        <w:rPr>
          <w:sz w:val="22"/>
        </w:rPr>
        <w:t xml:space="preserve">Hale </w:t>
      </w:r>
      <w:r w:rsidR="00960F5A" w:rsidRPr="009D3578">
        <w:rPr>
          <w:i/>
          <w:sz w:val="22"/>
        </w:rPr>
        <w:t>et al.</w:t>
      </w:r>
      <w:r w:rsidR="00960F5A" w:rsidRPr="009D3578">
        <w:rPr>
          <w:sz w:val="22"/>
        </w:rPr>
        <w:t xml:space="preserve"> 201</w:t>
      </w:r>
      <w:r w:rsidR="00960F5A">
        <w:rPr>
          <w:sz w:val="22"/>
        </w:rPr>
        <w:t>4</w:t>
      </w:r>
      <w:r w:rsidR="00960F5A" w:rsidRPr="009D3578">
        <w:rPr>
          <w:sz w:val="22"/>
        </w:rPr>
        <w:t>):</w:t>
      </w:r>
    </w:p>
    <w:p w14:paraId="2C7BEB4F" w14:textId="77777777" w:rsidR="00960F5A" w:rsidRPr="009D3578" w:rsidRDefault="00960F5A" w:rsidP="00960F5A">
      <w:pPr>
        <w:pStyle w:val="TableBullets"/>
        <w:tabs>
          <w:tab w:val="num" w:pos="360"/>
        </w:tabs>
        <w:rPr>
          <w:sz w:val="22"/>
          <w:lang w:eastAsia="en-US"/>
        </w:rPr>
      </w:pPr>
      <w:r w:rsidRPr="00C86304">
        <w:rPr>
          <w:sz w:val="22"/>
        </w:rPr>
        <w:t>What did Commonwealth environmental water contribute to hydraulic diversity within weir pools?</w:t>
      </w:r>
    </w:p>
    <w:p w14:paraId="28FEF29E" w14:textId="7E40AC15" w:rsidR="00960F5A" w:rsidRPr="00522348" w:rsidRDefault="00522348" w:rsidP="00522348">
      <w:pPr>
        <w:pStyle w:val="TableBullets"/>
        <w:tabs>
          <w:tab w:val="num" w:pos="360"/>
        </w:tabs>
        <w:rPr>
          <w:sz w:val="22"/>
          <w:lang w:eastAsia="en-US"/>
        </w:rPr>
      </w:pPr>
      <w:r w:rsidRPr="00C86304">
        <w:rPr>
          <w:sz w:val="22"/>
        </w:rPr>
        <w:lastRenderedPageBreak/>
        <w:t xml:space="preserve">What did Commonwealth environmental water contribute to </w:t>
      </w:r>
      <w:r w:rsidR="00F12F4B">
        <w:rPr>
          <w:sz w:val="22"/>
        </w:rPr>
        <w:t xml:space="preserve">in-channel </w:t>
      </w:r>
      <w:r>
        <w:rPr>
          <w:sz w:val="22"/>
        </w:rPr>
        <w:t>variability in water levels</w:t>
      </w:r>
      <w:r w:rsidRPr="00C86304">
        <w:rPr>
          <w:sz w:val="22"/>
        </w:rPr>
        <w:t>?</w:t>
      </w:r>
    </w:p>
    <w:p w14:paraId="26895FBA" w14:textId="77777777" w:rsidR="009038F7" w:rsidRDefault="009038F7" w:rsidP="00960F5A">
      <w:pPr>
        <w:pStyle w:val="TableText"/>
        <w:rPr>
          <w:sz w:val="22"/>
        </w:rPr>
      </w:pPr>
    </w:p>
    <w:p w14:paraId="57AE64B9" w14:textId="61497AEE" w:rsidR="00960F5A" w:rsidRPr="009D3578" w:rsidRDefault="00F3710B" w:rsidP="00960F5A">
      <w:pPr>
        <w:pStyle w:val="TableText"/>
        <w:rPr>
          <w:sz w:val="22"/>
        </w:rPr>
      </w:pPr>
      <w:r>
        <w:rPr>
          <w:sz w:val="22"/>
        </w:rPr>
        <w:t>S</w:t>
      </w:r>
      <w:r w:rsidRPr="009D3578">
        <w:rPr>
          <w:sz w:val="22"/>
        </w:rPr>
        <w:t xml:space="preserve">elected Area questions </w:t>
      </w:r>
      <w:r>
        <w:rPr>
          <w:sz w:val="22"/>
        </w:rPr>
        <w:t>for evaluating long</w:t>
      </w:r>
      <w:r w:rsidR="007E2291">
        <w:rPr>
          <w:sz w:val="22"/>
        </w:rPr>
        <w:t>-</w:t>
      </w:r>
      <w:r>
        <w:rPr>
          <w:sz w:val="22"/>
        </w:rPr>
        <w:t xml:space="preserve">term outcomes </w:t>
      </w:r>
      <w:r w:rsidR="00960F5A" w:rsidRPr="009D3578">
        <w:rPr>
          <w:sz w:val="22"/>
        </w:rPr>
        <w:t>(</w:t>
      </w:r>
      <w:r w:rsidR="00960F5A">
        <w:rPr>
          <w:sz w:val="22"/>
        </w:rPr>
        <w:t xml:space="preserve">adapted from </w:t>
      </w:r>
      <w:r w:rsidR="00960F5A" w:rsidRPr="009D3578">
        <w:rPr>
          <w:sz w:val="22"/>
        </w:rPr>
        <w:t xml:space="preserve">Hale </w:t>
      </w:r>
      <w:r w:rsidR="00960F5A" w:rsidRPr="009D3578">
        <w:rPr>
          <w:i/>
          <w:sz w:val="22"/>
        </w:rPr>
        <w:t>et al.</w:t>
      </w:r>
      <w:r w:rsidR="00960F5A" w:rsidRPr="009D3578">
        <w:rPr>
          <w:sz w:val="22"/>
        </w:rPr>
        <w:t xml:space="preserve"> 201</w:t>
      </w:r>
      <w:r w:rsidR="00960F5A">
        <w:rPr>
          <w:sz w:val="22"/>
        </w:rPr>
        <w:t>4</w:t>
      </w:r>
      <w:r w:rsidR="00960F5A" w:rsidRPr="009D3578">
        <w:rPr>
          <w:sz w:val="22"/>
        </w:rPr>
        <w:t>):</w:t>
      </w:r>
    </w:p>
    <w:p w14:paraId="7D201805" w14:textId="77777777" w:rsidR="004A238E" w:rsidRDefault="004A238E" w:rsidP="004A238E">
      <w:pPr>
        <w:pStyle w:val="TableBullets"/>
        <w:tabs>
          <w:tab w:val="num" w:pos="360"/>
        </w:tabs>
      </w:pPr>
      <w:r w:rsidRPr="00C86304">
        <w:rPr>
          <w:sz w:val="22"/>
        </w:rPr>
        <w:t>What did Commonwealth environmental water contribute to hydrological connectivity?</w:t>
      </w:r>
    </w:p>
    <w:p w14:paraId="534681E9" w14:textId="3FD0F33D" w:rsidR="004A238E" w:rsidRDefault="004A238E" w:rsidP="004A238E">
      <w:pPr>
        <w:pStyle w:val="TableBullets"/>
      </w:pPr>
      <w:r w:rsidRPr="00013CA7">
        <w:rPr>
          <w:sz w:val="22"/>
        </w:rPr>
        <w:t xml:space="preserve">What did </w:t>
      </w:r>
      <w:r w:rsidRPr="00397198">
        <w:rPr>
          <w:sz w:val="22"/>
        </w:rPr>
        <w:t xml:space="preserve">Commonwealth environmental water contribute to </w:t>
      </w:r>
      <w:r>
        <w:rPr>
          <w:sz w:val="22"/>
        </w:rPr>
        <w:t>m</w:t>
      </w:r>
      <w:r w:rsidRPr="00397198">
        <w:rPr>
          <w:sz w:val="22"/>
        </w:rPr>
        <w:t>eeting Environmental Water Requirements (of the South Australian Murray River Long-Term Watering Plan) in the main channel of the Lower Murray?</w:t>
      </w:r>
    </w:p>
    <w:p w14:paraId="5F8BC7EE" w14:textId="77777777" w:rsidR="00960F5A" w:rsidRPr="008E3CFD" w:rsidRDefault="00960F5A" w:rsidP="00960F5A">
      <w:pPr>
        <w:pStyle w:val="Heading4"/>
      </w:pPr>
      <w:r>
        <w:t xml:space="preserve">Objective and </w:t>
      </w:r>
      <w:r w:rsidRPr="008E3CFD">
        <w:t>hypothes</w:t>
      </w:r>
      <w:r>
        <w:t>is</w:t>
      </w:r>
    </w:p>
    <w:p w14:paraId="1081CDE1" w14:textId="77777777" w:rsidR="00960F5A" w:rsidRDefault="00960F5A" w:rsidP="00960F5A">
      <w:r w:rsidRPr="008E3CFD">
        <w:t xml:space="preserve">The </w:t>
      </w:r>
      <w:r>
        <w:t>objective of this indicator</w:t>
      </w:r>
      <w:r w:rsidRPr="008E3CFD">
        <w:t xml:space="preserve"> </w:t>
      </w:r>
      <w:r>
        <w:t>is:</w:t>
      </w:r>
    </w:p>
    <w:p w14:paraId="5EC3F11A" w14:textId="4D811BDC" w:rsidR="00960F5A" w:rsidRDefault="00960F5A" w:rsidP="00960F5A">
      <w:pPr>
        <w:pStyle w:val="ListBullet"/>
      </w:pPr>
      <w:r>
        <w:t>A</w:t>
      </w:r>
      <w:r w:rsidRPr="008E3CFD">
        <w:t>ssess how</w:t>
      </w:r>
      <w:r w:rsidRPr="00104A97">
        <w:t xml:space="preserve"> </w:t>
      </w:r>
      <w:r w:rsidRPr="008E3CFD">
        <w:t xml:space="preserve">Commonwealth environmental water has contributed to an increase in discharge, </w:t>
      </w:r>
      <w:r w:rsidR="00F12F4B">
        <w:t xml:space="preserve">area, </w:t>
      </w:r>
      <w:r>
        <w:t xml:space="preserve">velocity </w:t>
      </w:r>
      <w:r w:rsidRPr="008E3CFD">
        <w:t xml:space="preserve">and </w:t>
      </w:r>
      <w:r>
        <w:t>water level</w:t>
      </w:r>
      <w:r w:rsidRPr="008E3CFD">
        <w:t xml:space="preserve"> at a high spatial and temporal resolution. Inundate</w:t>
      </w:r>
      <w:r>
        <w:t xml:space="preserve">d area will also be reported if </w:t>
      </w:r>
      <w:r w:rsidRPr="008E3CFD">
        <w:t>overbank flows</w:t>
      </w:r>
      <w:r>
        <w:t xml:space="preserve"> occur.</w:t>
      </w:r>
    </w:p>
    <w:p w14:paraId="1E054D69" w14:textId="77777777" w:rsidR="00960F5A" w:rsidRDefault="00960F5A" w:rsidP="00960F5A">
      <w:r w:rsidRPr="008E3CFD">
        <w:t>The hypothesis is</w:t>
      </w:r>
      <w:r>
        <w:t>:</w:t>
      </w:r>
    </w:p>
    <w:p w14:paraId="4C777C40" w14:textId="21A2C3C0" w:rsidR="00960F5A" w:rsidRPr="008E3CFD" w:rsidRDefault="00960F5A" w:rsidP="00453688">
      <w:pPr>
        <w:pStyle w:val="ListBullet"/>
      </w:pPr>
      <w:r w:rsidRPr="008E3CFD">
        <w:t xml:space="preserve">Commonwealth environmental water </w:t>
      </w:r>
      <w:r w:rsidR="00453688" w:rsidRPr="00453688">
        <w:t>will promote greater extent of lotic habitat as evidenced by increased water velocities and variability in water levels</w:t>
      </w:r>
      <w:r w:rsidR="00453688" w:rsidRPr="00453688" w:rsidDel="00453688">
        <w:t xml:space="preserve"> </w:t>
      </w:r>
    </w:p>
    <w:p w14:paraId="1EE68B8D" w14:textId="77777777" w:rsidR="00960F5A" w:rsidRPr="008E3CFD" w:rsidRDefault="00960F5A" w:rsidP="00960F5A">
      <w:pPr>
        <w:pStyle w:val="Heading4"/>
      </w:pPr>
      <w:r>
        <w:t>General m</w:t>
      </w:r>
      <w:r w:rsidRPr="008E3CFD">
        <w:t>ethodology</w:t>
      </w:r>
    </w:p>
    <w:p w14:paraId="0D847412" w14:textId="77777777" w:rsidR="00960F5A" w:rsidRDefault="00960F5A" w:rsidP="00960F5A">
      <w:r w:rsidRPr="008E3CFD">
        <w:t xml:space="preserve">This </w:t>
      </w:r>
      <w:r>
        <w:t xml:space="preserve">indicator </w:t>
      </w:r>
      <w:r w:rsidRPr="008E3CFD">
        <w:t>will make use of MIKE FLOOD hydrodynamic models that have been developed and used in the region (</w:t>
      </w:r>
      <w:r>
        <w:t xml:space="preserve">e.g. DHI 2014, McCullough </w:t>
      </w:r>
      <w:r w:rsidRPr="00960F5A">
        <w:rPr>
          <w:i/>
        </w:rPr>
        <w:t>et al.</w:t>
      </w:r>
      <w:r>
        <w:t xml:space="preserve"> 2017</w:t>
      </w:r>
      <w:r w:rsidRPr="008E3CFD">
        <w:t xml:space="preserve">). </w:t>
      </w:r>
      <w:r>
        <w:t xml:space="preserve">These models take the upstream flow and any structure settings (for example weir pool levels) as an input, and calculate hydraulic variables (e.g. velocity, water level) within the model domain. This is a very computationally demanding process, typically in the order of a number of days to simulate a period of a few months, over the domain of one weir pool. </w:t>
      </w:r>
    </w:p>
    <w:p w14:paraId="2D6593D5" w14:textId="77777777" w:rsidR="00960F5A" w:rsidRPr="008E3CFD" w:rsidRDefault="00960F5A" w:rsidP="00960F5A">
      <w:r>
        <w:t>This methodology used for this indicator will simulate a wide range of flow and structure settings, to calculate the hydraulic variables of interest in pre-processed tables that can be related to the hydrological conditions, both with and without environmental water. These tables also provide useful information to inform environmental watering decisions, where changes in hydraulic metrics due to changes in flow or infrastructure can be looked up directly, to inform the scale of changes that could be expected from a given management decision.</w:t>
      </w:r>
    </w:p>
    <w:p w14:paraId="2CE51C2F" w14:textId="473B6C7F" w:rsidR="00960F5A" w:rsidRDefault="00960F5A" w:rsidP="00960F5A">
      <w:r>
        <w:t xml:space="preserve">The Source hydrological model will be used to simulate flow hydrographs at the SA border throughout SA, accounting for travel time, losses and diversions. This model will also be used to interpolate the hydraulic lookup information each day, to provide time series representing the hydraulic regime. </w:t>
      </w:r>
      <w:r w:rsidR="00522348">
        <w:t>The metrics proposed to be included in proportion of each weir pool (weir pools 1 – 5) exceeding 0.3 m/s, representing lotic habitat, range in velocity within each weir pool (as the 10</w:t>
      </w:r>
      <w:r w:rsidR="00522348" w:rsidRPr="00C1716C">
        <w:rPr>
          <w:vertAlign w:val="superscript"/>
        </w:rPr>
        <w:t>th</w:t>
      </w:r>
      <w:r w:rsidR="00522348">
        <w:t>, 50</w:t>
      </w:r>
      <w:r w:rsidR="00522348" w:rsidRPr="00C1716C">
        <w:rPr>
          <w:vertAlign w:val="superscript"/>
        </w:rPr>
        <w:t>th</w:t>
      </w:r>
      <w:r w:rsidR="00522348">
        <w:t xml:space="preserve"> and 90</w:t>
      </w:r>
      <w:r w:rsidR="00522348" w:rsidRPr="00C1716C">
        <w:rPr>
          <w:vertAlign w:val="superscript"/>
        </w:rPr>
        <w:t>th</w:t>
      </w:r>
      <w:r w:rsidR="00522348">
        <w:t xml:space="preserve"> percentiles) and the water level at the upper extent of each weir pool, as the most responsive location to changes in flow.</w:t>
      </w:r>
    </w:p>
    <w:p w14:paraId="6C770DB0" w14:textId="77777777" w:rsidR="00960F5A" w:rsidRPr="008E3CFD" w:rsidRDefault="00960F5A" w:rsidP="00960F5A">
      <w:pPr>
        <w:pStyle w:val="Heading4"/>
      </w:pPr>
      <w:r w:rsidRPr="008E3CFD">
        <w:t>Outputs</w:t>
      </w:r>
    </w:p>
    <w:p w14:paraId="2E55183E" w14:textId="77777777" w:rsidR="00960F5A" w:rsidRPr="00B962B5" w:rsidRDefault="00960F5A" w:rsidP="00960F5A">
      <w:pPr>
        <w:pStyle w:val="ListBullet"/>
      </w:pPr>
      <w:r w:rsidRPr="008E3CFD">
        <w:t>Annual report</w:t>
      </w:r>
      <w:r>
        <w:t>s</w:t>
      </w:r>
      <w:r w:rsidRPr="008E3CFD">
        <w:t xml:space="preserve"> including </w:t>
      </w:r>
      <w:r>
        <w:t xml:space="preserve">an </w:t>
      </w:r>
      <w:r w:rsidRPr="008E3CFD">
        <w:t xml:space="preserve">assessment of the contribution of </w:t>
      </w:r>
      <w:r>
        <w:t>C</w:t>
      </w:r>
      <w:r w:rsidRPr="008E3CFD">
        <w:t>ommonwealth environmental water provisions to the variables above, presented as ecologically meaningful metrics (proportion of the reach in different velocity classes</w:t>
      </w:r>
      <w:r>
        <w:t xml:space="preserve"> and</w:t>
      </w:r>
      <w:r w:rsidRPr="008E3CFD">
        <w:t xml:space="preserve"> variability in water level</w:t>
      </w:r>
      <w:r>
        <w:t xml:space="preserve"> in association with discharge and weir pool manipulation</w:t>
      </w:r>
      <w:r w:rsidRPr="008E3CFD">
        <w:t>)</w:t>
      </w:r>
    </w:p>
    <w:p w14:paraId="697E14A7" w14:textId="6C6B7AD1" w:rsidR="004A238E" w:rsidRDefault="00960F5A" w:rsidP="004A238E">
      <w:pPr>
        <w:pStyle w:val="ListBullet"/>
      </w:pPr>
      <w:r>
        <w:t xml:space="preserve">Model outputs of </w:t>
      </w:r>
      <w:r w:rsidRPr="008E3CFD">
        <w:t xml:space="preserve">discharge, </w:t>
      </w:r>
      <w:r>
        <w:t>water level and</w:t>
      </w:r>
      <w:r w:rsidRPr="008E3CFD">
        <w:t xml:space="preserve"> velocity with and without the provision of </w:t>
      </w:r>
      <w:r>
        <w:t>Commonwealth environmental water provided in a format suitable for database entry.</w:t>
      </w:r>
      <w:r w:rsidR="004A238E" w:rsidRPr="004A238E">
        <w:t xml:space="preserve"> </w:t>
      </w:r>
    </w:p>
    <w:p w14:paraId="54C6C752" w14:textId="77777777" w:rsidR="00960F5A" w:rsidRPr="008E3CFD" w:rsidRDefault="00960F5A" w:rsidP="00960F5A">
      <w:pPr>
        <w:pStyle w:val="Heading4"/>
      </w:pPr>
      <w:r w:rsidRPr="008E3CFD">
        <w:lastRenderedPageBreak/>
        <w:t xml:space="preserve">Staff </w:t>
      </w:r>
    </w:p>
    <w:p w14:paraId="68D980C2" w14:textId="77777777" w:rsidR="00960F5A" w:rsidRPr="00B962B5" w:rsidRDefault="00960F5A" w:rsidP="00960F5A">
      <w:pPr>
        <w:pStyle w:val="Heading5"/>
      </w:pPr>
      <w:r w:rsidRPr="00B962B5">
        <w:t>Dr Matt Gibbs</w:t>
      </w:r>
      <w:r>
        <w:tab/>
        <w:t>University of Adelaide</w:t>
      </w:r>
    </w:p>
    <w:p w14:paraId="74FFE4CE" w14:textId="1F417217" w:rsidR="00960F5A" w:rsidRDefault="00960F5A" w:rsidP="00960F5A">
      <w:pPr>
        <w:rPr>
          <w:rFonts w:eastAsiaTheme="majorEastAsia" w:cstheme="majorBidi"/>
          <w:b/>
          <w:bCs/>
          <w:i/>
          <w:color w:val="auto"/>
          <w:sz w:val="24"/>
        </w:rPr>
      </w:pPr>
      <w:r w:rsidRPr="00B962B5">
        <w:t xml:space="preserve">Refer to Section </w:t>
      </w:r>
      <w:r>
        <w:fldChar w:fldCharType="begin"/>
      </w:r>
      <w:r>
        <w:instrText xml:space="preserve"> REF _Ref391538496 \r \h </w:instrText>
      </w:r>
      <w:r>
        <w:fldChar w:fldCharType="separate"/>
      </w:r>
      <w:r w:rsidR="00DF49CD">
        <w:t>5.1.1</w:t>
      </w:r>
      <w:r>
        <w:fldChar w:fldCharType="end"/>
      </w:r>
      <w:r w:rsidRPr="00B962B5">
        <w:t xml:space="preserve"> for staff capabilities</w:t>
      </w:r>
      <w:r>
        <w:t>.</w:t>
      </w:r>
      <w:r>
        <w:br w:type="page"/>
      </w:r>
    </w:p>
    <w:p w14:paraId="64888FDA" w14:textId="316C1F81" w:rsidR="008E3CFD" w:rsidRPr="008E3CFD" w:rsidRDefault="00EF7F2B" w:rsidP="00475425">
      <w:pPr>
        <w:pStyle w:val="Heading3"/>
      </w:pPr>
      <w:bookmarkStart w:id="114" w:name="_Toc384985542"/>
      <w:bookmarkStart w:id="115" w:name="_Ref385177614"/>
      <w:bookmarkStart w:id="116" w:name="_Ref399155460"/>
      <w:bookmarkStart w:id="117" w:name="_Ref399155465"/>
      <w:bookmarkStart w:id="118" w:name="_Ref401315316"/>
      <w:bookmarkStart w:id="119" w:name="_Ref401315330"/>
      <w:bookmarkStart w:id="120" w:name="_Ref401830144"/>
      <w:bookmarkStart w:id="121" w:name="_Ref9951228"/>
      <w:bookmarkStart w:id="122" w:name="_Toc22196702"/>
      <w:r>
        <w:lastRenderedPageBreak/>
        <w:t>M</w:t>
      </w:r>
      <w:r w:rsidR="004225C0">
        <w:t>atter T</w:t>
      </w:r>
      <w:r w:rsidR="008E3CFD" w:rsidRPr="008E3CFD">
        <w:t>ransport</w:t>
      </w:r>
      <w:bookmarkEnd w:id="114"/>
      <w:bookmarkEnd w:id="115"/>
      <w:bookmarkEnd w:id="116"/>
      <w:bookmarkEnd w:id="117"/>
      <w:bookmarkEnd w:id="118"/>
      <w:bookmarkEnd w:id="119"/>
      <w:bookmarkEnd w:id="120"/>
      <w:r w:rsidR="004225C0">
        <w:t xml:space="preserve"> and Coorong H</w:t>
      </w:r>
      <w:r>
        <w:t>abitat</w:t>
      </w:r>
      <w:bookmarkEnd w:id="121"/>
      <w:bookmarkEnd w:id="122"/>
    </w:p>
    <w:p w14:paraId="1458EB2D" w14:textId="749ABE20" w:rsidR="00EF7F2B" w:rsidRDefault="00F466A7" w:rsidP="00475425">
      <w:pPr>
        <w:pStyle w:val="Heading4"/>
      </w:pPr>
      <w:r>
        <w:t>Matter Transport</w:t>
      </w:r>
    </w:p>
    <w:p w14:paraId="660383A5" w14:textId="77777777" w:rsidR="008E3CFD" w:rsidRPr="008E3CFD" w:rsidRDefault="008E3CFD" w:rsidP="00EF7F2B">
      <w:pPr>
        <w:pStyle w:val="Heading5"/>
      </w:pPr>
      <w:r w:rsidRPr="008E3CFD">
        <w:t>Indicator</w:t>
      </w:r>
    </w:p>
    <w:p w14:paraId="2FDE4EE6" w14:textId="7EBD5257" w:rsidR="008E3CFD" w:rsidRPr="008E3CFD" w:rsidRDefault="008D5909" w:rsidP="00F02673">
      <w:r>
        <w:t>Modelled c</w:t>
      </w:r>
      <w:r w:rsidR="008E3CFD" w:rsidRPr="008E3CFD">
        <w:t>oncentrations and transport (loads) of:</w:t>
      </w:r>
    </w:p>
    <w:p w14:paraId="7E858DFD" w14:textId="77777777" w:rsidR="008E3CFD" w:rsidRPr="008E3CFD" w:rsidRDefault="008E3CFD" w:rsidP="00E36A43">
      <w:pPr>
        <w:pStyle w:val="ListBullet"/>
      </w:pPr>
      <w:r w:rsidRPr="008E3CFD">
        <w:t>Salt</w:t>
      </w:r>
    </w:p>
    <w:p w14:paraId="64A52B34" w14:textId="77777777" w:rsidR="008E3CFD" w:rsidRPr="008E3CFD" w:rsidRDefault="008E3CFD" w:rsidP="00E36A43">
      <w:pPr>
        <w:pStyle w:val="ListBullet"/>
      </w:pPr>
      <w:r w:rsidRPr="008E3CFD">
        <w:t>Dissolved and particulate nutrients</w:t>
      </w:r>
    </w:p>
    <w:p w14:paraId="2F775351" w14:textId="792D8BEA" w:rsidR="00DF02F2" w:rsidRPr="008E3CFD" w:rsidRDefault="00DF02F2" w:rsidP="00DF02F2">
      <w:pPr>
        <w:pStyle w:val="ListBullet"/>
      </w:pPr>
      <w:r>
        <w:t>P</w:t>
      </w:r>
      <w:r w:rsidRPr="008E3CFD">
        <w:t>hytoplankton biomass (chlorophyll</w:t>
      </w:r>
      <w:r>
        <w:t xml:space="preserve"> </w:t>
      </w:r>
      <w:r>
        <w:rPr>
          <w:i/>
        </w:rPr>
        <w:t>a</w:t>
      </w:r>
      <w:r w:rsidRPr="008E3CFD">
        <w:t>)</w:t>
      </w:r>
      <w:r>
        <w:t>.</w:t>
      </w:r>
    </w:p>
    <w:p w14:paraId="0FC413B5" w14:textId="77777777" w:rsidR="008E3CFD" w:rsidRPr="008E3CFD" w:rsidRDefault="008E3CFD" w:rsidP="00EF7F2B">
      <w:pPr>
        <w:pStyle w:val="Heading5"/>
      </w:pPr>
      <w:r w:rsidRPr="008E3CFD">
        <w:t>Background</w:t>
      </w:r>
    </w:p>
    <w:p w14:paraId="7034D2F4" w14:textId="77777777" w:rsidR="008E3CFD" w:rsidRPr="008E3CFD" w:rsidRDefault="008E3CFD" w:rsidP="00F02673">
      <w:r w:rsidRPr="008E3CFD">
        <w:t>Flow provides habitat and resources for aquatic organisms by altering the concentrations and transport of dissolved and particulate matter. Ultimately this governs the physiology, distribution and abundance of organisms. Here we consider d</w:t>
      </w:r>
      <w:r w:rsidR="004B0A1C">
        <w:t xml:space="preserve">issolved and particulate matter </w:t>
      </w:r>
      <w:r w:rsidRPr="008E3CFD">
        <w:t>to include:</w:t>
      </w:r>
    </w:p>
    <w:p w14:paraId="358DD06E" w14:textId="640461E7" w:rsidR="008E3CFD" w:rsidRPr="008E3CFD" w:rsidRDefault="008E3CFD" w:rsidP="00CB29B8">
      <w:pPr>
        <w:pStyle w:val="ListBullet"/>
      </w:pPr>
      <w:r w:rsidRPr="008E3CFD">
        <w:t>Salinity, which is a measure of total dissolved salts and is a particularly important parameter governing the distribution and abundance of aquatic biota. Salinity is strongly influenced by flow through the alteration of groundwater inputs, evapo</w:t>
      </w:r>
      <w:r w:rsidR="00C037FA">
        <w:t>-</w:t>
      </w:r>
      <w:r w:rsidRPr="008E3CFD">
        <w:t xml:space="preserve">concentration and </w:t>
      </w:r>
      <w:r w:rsidR="00975733">
        <w:t xml:space="preserve">in estuarine habitats, </w:t>
      </w:r>
      <w:r w:rsidRPr="008E3CFD">
        <w:t>in</w:t>
      </w:r>
      <w:r w:rsidR="00A54244">
        <w:t>cur</w:t>
      </w:r>
      <w:r w:rsidRPr="008E3CFD">
        <w:t>sions of seawater (Brookes</w:t>
      </w:r>
      <w:r w:rsidRPr="008E3CFD">
        <w:rPr>
          <w:i/>
        </w:rPr>
        <w:t xml:space="preserve"> et al.</w:t>
      </w:r>
      <w:r w:rsidRPr="008E3CFD">
        <w:t xml:space="preserve"> 2009</w:t>
      </w:r>
      <w:r w:rsidR="00D44065">
        <w:t>;</w:t>
      </w:r>
      <w:r w:rsidRPr="008E3CFD">
        <w:t xml:space="preserve"> Aldridge</w:t>
      </w:r>
      <w:r w:rsidRPr="008E3CFD">
        <w:rPr>
          <w:i/>
        </w:rPr>
        <w:t xml:space="preserve"> et al.</w:t>
      </w:r>
      <w:r w:rsidRPr="008E3CFD">
        <w:t xml:space="preserve"> 2011</w:t>
      </w:r>
      <w:r w:rsidR="00D44065">
        <w:t>;</w:t>
      </w:r>
      <w:r w:rsidRPr="008E3CFD">
        <w:t xml:space="preserve"> Aldridge</w:t>
      </w:r>
      <w:r w:rsidRPr="008E3CFD">
        <w:rPr>
          <w:i/>
        </w:rPr>
        <w:t xml:space="preserve"> et al.</w:t>
      </w:r>
      <w:r w:rsidRPr="008E3CFD">
        <w:t xml:space="preserve"> 2012</w:t>
      </w:r>
      <w:r w:rsidR="00D44065">
        <w:t>;</w:t>
      </w:r>
      <w:r w:rsidRPr="008E3CFD">
        <w:t xml:space="preserve"> Mosley</w:t>
      </w:r>
      <w:r w:rsidRPr="008E3CFD">
        <w:rPr>
          <w:i/>
        </w:rPr>
        <w:t xml:space="preserve"> et al.</w:t>
      </w:r>
      <w:r w:rsidRPr="008E3CFD">
        <w:t xml:space="preserve"> 2012). </w:t>
      </w:r>
    </w:p>
    <w:p w14:paraId="1C81D41F" w14:textId="77777777" w:rsidR="008E3CFD" w:rsidRPr="008E3CFD" w:rsidRDefault="008E3CFD" w:rsidP="00CB29B8">
      <w:pPr>
        <w:pStyle w:val="ListBullet"/>
      </w:pPr>
      <w:r w:rsidRPr="008E3CFD">
        <w:t>Dissolved inorganic nutrients, which are readily assimilated by biota and are essential resources for growth and survival (Poff</w:t>
      </w:r>
      <w:r w:rsidRPr="008E3CFD">
        <w:rPr>
          <w:i/>
        </w:rPr>
        <w:t xml:space="preserve"> et al.</w:t>
      </w:r>
      <w:r w:rsidRPr="008E3CFD">
        <w:t xml:space="preserve"> 1997). Nitrogen, phosphorus and silica are particularly important because they often control the productivity of aquatic ecosystems. Flow results in the mobilisation and transport of dissolved nutrients through the leaching of nutrients from dried sediments and dead organic matter.</w:t>
      </w:r>
    </w:p>
    <w:p w14:paraId="3BB359AA" w14:textId="77777777" w:rsidR="008E3CFD" w:rsidRPr="008E3CFD" w:rsidRDefault="008E3CFD" w:rsidP="00CB29B8">
      <w:pPr>
        <w:pStyle w:val="ListBullet"/>
      </w:pPr>
      <w:r w:rsidRPr="008E3CFD">
        <w:t>Particulate organic nutrients (phosphorus and nitrogen), which are those nutrients incorporated into the tissue of living and dead organisms. Flow can influence particulate organic nutrient concentrations and transport through a number of mechanisms, including through increased productivity associated with elevated dissolved nutrient concentrations.</w:t>
      </w:r>
    </w:p>
    <w:p w14:paraId="59DBF0C0" w14:textId="0B012259" w:rsidR="00501607" w:rsidRPr="008E3CFD" w:rsidRDefault="008E3CFD" w:rsidP="00235DD2">
      <w:pPr>
        <w:pStyle w:val="ListBullet"/>
      </w:pPr>
      <w:r w:rsidRPr="008E3CFD">
        <w:t xml:space="preserve">Chlorophyll </w:t>
      </w:r>
      <w:r w:rsidRPr="00501607">
        <w:rPr>
          <w:i/>
        </w:rPr>
        <w:t>a</w:t>
      </w:r>
      <w:r w:rsidRPr="008E3CFD">
        <w:t xml:space="preserve">, which is a measure of phytoplankton biomass, with phytoplankton being an important primary producer of riverine ecosystems. Flow can influence chlorophyll </w:t>
      </w:r>
      <w:r w:rsidRPr="00501607">
        <w:rPr>
          <w:i/>
        </w:rPr>
        <w:t>a</w:t>
      </w:r>
      <w:r w:rsidRPr="008E3CFD">
        <w:t xml:space="preserve"> concentrations and transport through increased phytoplankton productivity. </w:t>
      </w:r>
    </w:p>
    <w:p w14:paraId="65AFDAFA" w14:textId="33D043AE" w:rsidR="008E3CFD" w:rsidRPr="008E3CFD" w:rsidRDefault="008E3CFD" w:rsidP="00F02673">
      <w:r w:rsidRPr="008E3CFD">
        <w:t>Altering the flow regime of riverine systems has significant consequences for the concentrations and transport of dissolved and particulate matter (Aldridge</w:t>
      </w:r>
      <w:r w:rsidRPr="008E3CFD">
        <w:rPr>
          <w:i/>
        </w:rPr>
        <w:t xml:space="preserve"> et al.</w:t>
      </w:r>
      <w:r w:rsidRPr="008E3CFD">
        <w:t xml:space="preserve"> 2012). For example, reduced flow can result in</w:t>
      </w:r>
      <w:r w:rsidR="00CB4DB1">
        <w:t>:</w:t>
      </w:r>
      <w:r w:rsidRPr="008E3CFD">
        <w:t xml:space="preserve"> salinisation through evapo</w:t>
      </w:r>
      <w:r w:rsidR="00C037FA">
        <w:t>-</w:t>
      </w:r>
      <w:r w:rsidRPr="008E3CFD">
        <w:t xml:space="preserve">concentration and the intrusion of saline water; reduced nutrient concentrations due to decreased mobilisation of nutrients from the floodplain; </w:t>
      </w:r>
      <w:r w:rsidR="00B014B5">
        <w:t xml:space="preserve">and </w:t>
      </w:r>
      <w:r w:rsidRPr="008E3CFD">
        <w:t>reduced primary productivity because of nutrient limitation</w:t>
      </w:r>
      <w:r w:rsidR="00BE3E45">
        <w:t>,</w:t>
      </w:r>
      <w:r w:rsidRPr="008E3CFD">
        <w:t xml:space="preserve"> </w:t>
      </w:r>
      <w:r w:rsidR="00B014B5">
        <w:t>leading to</w:t>
      </w:r>
      <w:r w:rsidRPr="008E3CFD">
        <w:t xml:space="preserve"> reduced secondary productivity. Such observations have been made in the Lower Murray, including the </w:t>
      </w:r>
      <w:r w:rsidR="000F53E7" w:rsidRPr="000F53E7">
        <w:t>Lower Murray</w:t>
      </w:r>
      <w:r w:rsidR="00004B57">
        <w:t xml:space="preserve"> Selected Area</w:t>
      </w:r>
      <w:r w:rsidRPr="008E3CFD">
        <w:t>, Lower Lakes and Coorong (Brookes</w:t>
      </w:r>
      <w:r w:rsidRPr="008E3CFD">
        <w:rPr>
          <w:i/>
        </w:rPr>
        <w:t xml:space="preserve"> et al.</w:t>
      </w:r>
      <w:r w:rsidRPr="008E3CFD">
        <w:t xml:space="preserve"> 2009</w:t>
      </w:r>
      <w:r w:rsidR="00D44065">
        <w:t>;</w:t>
      </w:r>
      <w:r w:rsidRPr="008E3CFD">
        <w:t xml:space="preserve"> Aldridge</w:t>
      </w:r>
      <w:r w:rsidRPr="008E3CFD">
        <w:rPr>
          <w:i/>
        </w:rPr>
        <w:t xml:space="preserve"> et al.</w:t>
      </w:r>
      <w:r w:rsidRPr="008E3CFD">
        <w:t xml:space="preserve"> 2011</w:t>
      </w:r>
      <w:r w:rsidR="00D44065">
        <w:t>;</w:t>
      </w:r>
      <w:r w:rsidRPr="008E3CFD">
        <w:t xml:space="preserve"> Aldridge</w:t>
      </w:r>
      <w:r w:rsidRPr="008E3CFD">
        <w:rPr>
          <w:i/>
        </w:rPr>
        <w:t xml:space="preserve"> et al.</w:t>
      </w:r>
      <w:r w:rsidRPr="008E3CFD">
        <w:t xml:space="preserve"> 2012</w:t>
      </w:r>
      <w:r w:rsidR="00D44065">
        <w:t>;</w:t>
      </w:r>
      <w:r w:rsidRPr="008E3CFD">
        <w:t xml:space="preserve"> Mosley</w:t>
      </w:r>
      <w:r w:rsidRPr="008E3CFD">
        <w:rPr>
          <w:i/>
        </w:rPr>
        <w:t xml:space="preserve"> et al.</w:t>
      </w:r>
      <w:r w:rsidRPr="008E3CFD">
        <w:t xml:space="preserve"> 2012). Environmental flow provisions may be used to reinstate some of the natural processes that control the concentrations and transport of dissolved and particulate matter</w:t>
      </w:r>
      <w:r w:rsidR="00C1799F">
        <w:t>, and may</w:t>
      </w:r>
      <w:r w:rsidRPr="008E3CFD">
        <w:t xml:space="preserve"> provide ecological benefits</w:t>
      </w:r>
      <w:r w:rsidR="00C1799F">
        <w:t xml:space="preserve"> by doing so</w:t>
      </w:r>
      <w:r w:rsidRPr="008E3CFD">
        <w:t>.</w:t>
      </w:r>
    </w:p>
    <w:p w14:paraId="267091DF" w14:textId="1422F8DD" w:rsidR="008E3CFD" w:rsidRDefault="008E3CFD" w:rsidP="00F02673">
      <w:r w:rsidRPr="008E3CFD">
        <w:t xml:space="preserve">Relationships between flow and the transport of dissolved and </w:t>
      </w:r>
      <w:r w:rsidR="00101600" w:rsidRPr="008E3CFD">
        <w:t>particulate</w:t>
      </w:r>
      <w:r w:rsidRPr="008E3CFD">
        <w:t xml:space="preserve"> matter are relatively well established within the </w:t>
      </w:r>
      <w:r w:rsidR="000F53E7" w:rsidRPr="000F53E7">
        <w:t>Lower Murray</w:t>
      </w:r>
      <w:r w:rsidR="00004B57">
        <w:t xml:space="preserve"> </w:t>
      </w:r>
      <w:r w:rsidRPr="008E3CFD">
        <w:t>(Brookes</w:t>
      </w:r>
      <w:r w:rsidRPr="008E3CFD">
        <w:rPr>
          <w:i/>
        </w:rPr>
        <w:t xml:space="preserve"> et al.</w:t>
      </w:r>
      <w:r w:rsidRPr="008E3CFD">
        <w:t xml:space="preserve"> 2009</w:t>
      </w:r>
      <w:r w:rsidR="00D44065">
        <w:t>;</w:t>
      </w:r>
      <w:r w:rsidRPr="008E3CFD">
        <w:t xml:space="preserve"> Aldridge</w:t>
      </w:r>
      <w:r w:rsidRPr="008E3CFD">
        <w:rPr>
          <w:i/>
        </w:rPr>
        <w:t xml:space="preserve"> et al.</w:t>
      </w:r>
      <w:r w:rsidRPr="008E3CFD">
        <w:t xml:space="preserve"> 2011</w:t>
      </w:r>
      <w:r w:rsidR="00D44065">
        <w:t>;</w:t>
      </w:r>
      <w:r w:rsidRPr="008E3CFD">
        <w:t xml:space="preserve"> Aldridge</w:t>
      </w:r>
      <w:r w:rsidRPr="008E3CFD">
        <w:rPr>
          <w:i/>
        </w:rPr>
        <w:t xml:space="preserve"> et al.</w:t>
      </w:r>
      <w:r w:rsidRPr="008E3CFD">
        <w:t xml:space="preserve"> 2012</w:t>
      </w:r>
      <w:r w:rsidR="00D44065">
        <w:t>;</w:t>
      </w:r>
      <w:r w:rsidRPr="008E3CFD">
        <w:t xml:space="preserve"> Mosley</w:t>
      </w:r>
      <w:r w:rsidRPr="008E3CFD">
        <w:rPr>
          <w:i/>
        </w:rPr>
        <w:t xml:space="preserve"> et al.</w:t>
      </w:r>
      <w:r w:rsidRPr="008E3CFD">
        <w:t xml:space="preserve"> 2012). </w:t>
      </w:r>
      <w:r w:rsidR="00C1799F">
        <w:t>I</w:t>
      </w:r>
      <w:r w:rsidRPr="008E3CFD">
        <w:t xml:space="preserve">ncreased flows will lead to the </w:t>
      </w:r>
      <w:r w:rsidR="00101600" w:rsidRPr="008E3CFD">
        <w:t>mobilisation</w:t>
      </w:r>
      <w:r w:rsidRPr="008E3CFD">
        <w:t xml:space="preserve"> of dissolved and particulate matter from local and upstream sources through the inundation of the floodplain</w:t>
      </w:r>
      <w:r w:rsidR="007D2BE1">
        <w:t xml:space="preserve"> and </w:t>
      </w:r>
      <w:r w:rsidRPr="008E3CFD">
        <w:t xml:space="preserve">resuspension of </w:t>
      </w:r>
      <w:r w:rsidR="00C037FA" w:rsidRPr="008E3CFD">
        <w:t xml:space="preserve">matter </w:t>
      </w:r>
      <w:r w:rsidR="00C037FA">
        <w:t xml:space="preserve">from the </w:t>
      </w:r>
      <w:r w:rsidR="00283A82">
        <w:t xml:space="preserve">riverbed </w:t>
      </w:r>
      <w:r w:rsidRPr="008E3CFD">
        <w:t>(</w:t>
      </w:r>
      <w:r w:rsidR="006F4D01" w:rsidRPr="008E3CFD">
        <w:fldChar w:fldCharType="begin"/>
      </w:r>
      <w:r w:rsidRPr="008E3CFD">
        <w:instrText xml:space="preserve"> REF _Ref384733405 \h </w:instrText>
      </w:r>
      <w:r w:rsidR="006F4D01" w:rsidRPr="008E3CFD">
        <w:fldChar w:fldCharType="separate"/>
      </w:r>
      <w:r w:rsidR="00DF49CD" w:rsidRPr="008E3CFD">
        <w:t xml:space="preserve">Figure </w:t>
      </w:r>
      <w:r w:rsidR="00DF49CD">
        <w:rPr>
          <w:noProof/>
        </w:rPr>
        <w:t>5</w:t>
      </w:r>
      <w:r w:rsidR="00DF49CD">
        <w:t>.</w:t>
      </w:r>
      <w:r w:rsidR="00DF49CD">
        <w:rPr>
          <w:noProof/>
        </w:rPr>
        <w:t>5</w:t>
      </w:r>
      <w:r w:rsidR="006F4D01" w:rsidRPr="008E3CFD">
        <w:fldChar w:fldCharType="end"/>
      </w:r>
      <w:r w:rsidRPr="008E3CFD">
        <w:t xml:space="preserve">). This will influence dissolved oxygen levels, </w:t>
      </w:r>
      <w:r w:rsidR="00101600" w:rsidRPr="008E3CFD">
        <w:t>salinity</w:t>
      </w:r>
      <w:r w:rsidRPr="008E3CFD">
        <w:t xml:space="preserve"> levels, rates of nutrient and carbon cycling, primary production, decomposition and the occurrence of algal blooms </w:t>
      </w:r>
      <w:r w:rsidRPr="008E3CFD">
        <w:lastRenderedPageBreak/>
        <w:t>(Aldridge</w:t>
      </w:r>
      <w:r w:rsidRPr="008E3CFD">
        <w:rPr>
          <w:i/>
        </w:rPr>
        <w:t xml:space="preserve"> et al.</w:t>
      </w:r>
      <w:r w:rsidR="00283A82">
        <w:t xml:space="preserve"> 2</w:t>
      </w:r>
      <w:r w:rsidRPr="008E3CFD">
        <w:t xml:space="preserve">012). Increased flows will also lead to </w:t>
      </w:r>
      <w:r w:rsidR="00283A82">
        <w:t>increased</w:t>
      </w:r>
      <w:r w:rsidRPr="008E3CFD">
        <w:t xml:space="preserve"> channel mixing and flow velocities</w:t>
      </w:r>
      <w:r w:rsidR="00283A82" w:rsidRPr="00283A82">
        <w:t>, which will transport this matter to downstream ecosystems</w:t>
      </w:r>
      <w:r w:rsidRPr="008E3CFD">
        <w:t xml:space="preserve"> (</w:t>
      </w:r>
      <w:r w:rsidR="006F4D01" w:rsidRPr="008E3CFD">
        <w:fldChar w:fldCharType="begin"/>
      </w:r>
      <w:r w:rsidRPr="008E3CFD">
        <w:instrText xml:space="preserve"> REF _Ref384733405 \h </w:instrText>
      </w:r>
      <w:r w:rsidR="006F4D01" w:rsidRPr="008E3CFD">
        <w:fldChar w:fldCharType="separate"/>
      </w:r>
      <w:r w:rsidR="00DF49CD" w:rsidRPr="008E3CFD">
        <w:t xml:space="preserve">Figure </w:t>
      </w:r>
      <w:r w:rsidR="00DF49CD">
        <w:rPr>
          <w:noProof/>
        </w:rPr>
        <w:t>5</w:t>
      </w:r>
      <w:r w:rsidR="00DF49CD">
        <w:t>.</w:t>
      </w:r>
      <w:r w:rsidR="00DF49CD">
        <w:rPr>
          <w:noProof/>
        </w:rPr>
        <w:t>5</w:t>
      </w:r>
      <w:r w:rsidR="006F4D01" w:rsidRPr="008E3CFD">
        <w:fldChar w:fldCharType="end"/>
      </w:r>
      <w:r w:rsidR="00C1799F">
        <w:t xml:space="preserve">). </w:t>
      </w:r>
    </w:p>
    <w:p w14:paraId="182667F5" w14:textId="3148E9EA" w:rsidR="006D2C0D" w:rsidRPr="004D6122" w:rsidRDefault="006D2C0D" w:rsidP="00EF7F2B">
      <w:pPr>
        <w:pStyle w:val="Heading5"/>
      </w:pPr>
      <w:r w:rsidRPr="004D6122">
        <w:t xml:space="preserve">Targets for </w:t>
      </w:r>
      <w:r>
        <w:t>s</w:t>
      </w:r>
      <w:r w:rsidRPr="004D6122">
        <w:t>alt export</w:t>
      </w:r>
    </w:p>
    <w:p w14:paraId="146EF0D5" w14:textId="78D9198B" w:rsidR="006D2C0D" w:rsidRDefault="006D2C0D" w:rsidP="006D2C0D">
      <w:r>
        <w:t>There is approximately 10</w:t>
      </w:r>
      <w:r w:rsidRPr="007D4F2E">
        <w:rPr>
          <w:szCs w:val="22"/>
          <w:vertAlign w:val="superscript"/>
        </w:rPr>
        <w:t>11</w:t>
      </w:r>
      <w:r>
        <w:t xml:space="preserve"> tonnes of salt in groundwater in the </w:t>
      </w:r>
      <w:r w:rsidR="00C40E02">
        <w:t>MDB</w:t>
      </w:r>
      <w:r>
        <w:t xml:space="preserve"> and an additional 1.5 million tonnes of salt is deposited in the basin each year by rainfall (Herczeg </w:t>
      </w:r>
      <w:r w:rsidRPr="006D2C0D">
        <w:rPr>
          <w:i/>
        </w:rPr>
        <w:t>et al.</w:t>
      </w:r>
      <w:r>
        <w:t xml:space="preserve"> 2001). Unless salt is exported from the basin with flow there will be a net accumulation of salt within the basin. The Basin Plan sets out a salt export objective (section 9.09) to ensure adequate flushing of salt from the River Murray system into the Southern Ocean. The Basin Plan’s indicative figure for salt export from the basin is 2 million tonnes per year. </w:t>
      </w:r>
    </w:p>
    <w:p w14:paraId="1C9FF38B" w14:textId="1A51086D" w:rsidR="006D2C0D" w:rsidRDefault="006D2C0D" w:rsidP="00D44065">
      <w:r>
        <w:t xml:space="preserve">The four years of salt export modelling enable the contribution of environmental flows to salt export to be </w:t>
      </w:r>
      <w:r w:rsidRPr="00753829">
        <w:t>scrutinised (</w:t>
      </w:r>
      <w:r w:rsidR="00753829" w:rsidRPr="00753829">
        <w:fldChar w:fldCharType="begin"/>
      </w:r>
      <w:r w:rsidR="00753829" w:rsidRPr="00753829">
        <w:instrText xml:space="preserve"> REF _Ref9936730 \h </w:instrText>
      </w:r>
      <w:r w:rsidR="00753829">
        <w:instrText xml:space="preserve"> \* MERGEFORMAT </w:instrText>
      </w:r>
      <w:r w:rsidR="00753829" w:rsidRPr="00753829">
        <w:fldChar w:fldCharType="separate"/>
      </w:r>
      <w:r w:rsidR="00DF49CD">
        <w:t xml:space="preserve">Table </w:t>
      </w:r>
      <w:r w:rsidR="00DF49CD">
        <w:rPr>
          <w:noProof/>
        </w:rPr>
        <w:t>5.1</w:t>
      </w:r>
      <w:r w:rsidR="00753829" w:rsidRPr="00753829">
        <w:fldChar w:fldCharType="end"/>
      </w:r>
      <w:r w:rsidRPr="00753829">
        <w:t>). Flow</w:t>
      </w:r>
      <w:r>
        <w:t xml:space="preserve"> </w:t>
      </w:r>
      <w:r w:rsidR="00C037FA">
        <w:t>was</w:t>
      </w:r>
      <w:r>
        <w:t xml:space="preserve"> relatively low in three of the</w:t>
      </w:r>
      <w:r w:rsidR="00D44065">
        <w:t xml:space="preserve"> four years of LTIM monitoring. </w:t>
      </w:r>
      <w:r>
        <w:t>It is evident that in the low flow years (</w:t>
      </w:r>
      <w:r w:rsidR="00D44065">
        <w:t>20</w:t>
      </w:r>
      <w:r>
        <w:t>14</w:t>
      </w:r>
      <w:r w:rsidR="00D44065">
        <w:t>-</w:t>
      </w:r>
      <w:r>
        <w:t xml:space="preserve">15, </w:t>
      </w:r>
      <w:r w:rsidR="00D44065">
        <w:t>20</w:t>
      </w:r>
      <w:r>
        <w:t>15</w:t>
      </w:r>
      <w:r w:rsidR="00D44065">
        <w:t>-</w:t>
      </w:r>
      <w:r>
        <w:t xml:space="preserve">16 and </w:t>
      </w:r>
      <w:r w:rsidR="00D44065">
        <w:t>20</w:t>
      </w:r>
      <w:r>
        <w:t>17</w:t>
      </w:r>
      <w:r w:rsidR="00D44065">
        <w:t>-</w:t>
      </w:r>
      <w:r>
        <w:t xml:space="preserve">18) the </w:t>
      </w:r>
      <w:r w:rsidR="00D44065">
        <w:t>C</w:t>
      </w:r>
      <w:r>
        <w:t xml:space="preserve">ommonwealth environmental water plays a key role in salt export from the </w:t>
      </w:r>
      <w:r w:rsidR="00D44065">
        <w:t>B</w:t>
      </w:r>
      <w:r>
        <w:t xml:space="preserve">asin. </w:t>
      </w:r>
      <w:r w:rsidR="00D44065">
        <w:t>C</w:t>
      </w:r>
      <w:r>
        <w:t>ommonwealth environmental water accounted for 64% of salt export in 2014</w:t>
      </w:r>
      <w:r w:rsidR="00D44065">
        <w:t>-</w:t>
      </w:r>
      <w:r>
        <w:t>15, 87% of salt export in 2015</w:t>
      </w:r>
      <w:r w:rsidR="00D44065">
        <w:t>-</w:t>
      </w:r>
      <w:r>
        <w:t>16 and 69% of salt export in 2017</w:t>
      </w:r>
      <w:r w:rsidR="00D44065">
        <w:t>-</w:t>
      </w:r>
      <w:r>
        <w:t>18. In the high flow year (2016</w:t>
      </w:r>
      <w:r w:rsidR="00D44065">
        <w:t>-</w:t>
      </w:r>
      <w:r>
        <w:t>17)</w:t>
      </w:r>
      <w:r w:rsidR="00D44065">
        <w:t>,</w:t>
      </w:r>
      <w:r>
        <w:t xml:space="preserve"> 1.5 million tonnes was exported and the Commonwealth environmental water contributed 8% of salt export.</w:t>
      </w:r>
    </w:p>
    <w:p w14:paraId="3F4ED92A" w14:textId="77777777" w:rsidR="006D2C0D" w:rsidRDefault="006D2C0D" w:rsidP="006D2C0D">
      <w:pPr>
        <w:spacing w:after="0"/>
        <w:jc w:val="left"/>
      </w:pPr>
    </w:p>
    <w:p w14:paraId="4EEDE68A" w14:textId="73397125" w:rsidR="006D2C0D" w:rsidRDefault="00753829" w:rsidP="00753829">
      <w:pPr>
        <w:pStyle w:val="Caption"/>
        <w:keepNext/>
      </w:pPr>
      <w:bookmarkStart w:id="123" w:name="_Ref9936730"/>
      <w:bookmarkStart w:id="124" w:name="_Toc12630248"/>
      <w:r>
        <w:t xml:space="preserve">Table </w:t>
      </w:r>
      <w:r w:rsidR="00A8252A">
        <w:rPr>
          <w:noProof/>
        </w:rPr>
        <w:fldChar w:fldCharType="begin"/>
      </w:r>
      <w:r w:rsidR="00A8252A">
        <w:rPr>
          <w:noProof/>
        </w:rPr>
        <w:instrText xml:space="preserve"> STYLEREF 1 \s </w:instrText>
      </w:r>
      <w:r w:rsidR="00A8252A">
        <w:rPr>
          <w:noProof/>
        </w:rPr>
        <w:fldChar w:fldCharType="separate"/>
      </w:r>
      <w:r w:rsidR="00DF49CD">
        <w:rPr>
          <w:noProof/>
        </w:rPr>
        <w:t>5</w:t>
      </w:r>
      <w:r w:rsidR="00A8252A">
        <w:rPr>
          <w:noProof/>
        </w:rPr>
        <w:fldChar w:fldCharType="end"/>
      </w:r>
      <w:r w:rsidR="00F359A2">
        <w:t>.</w:t>
      </w:r>
      <w:r w:rsidR="00A8252A">
        <w:rPr>
          <w:noProof/>
        </w:rPr>
        <w:fldChar w:fldCharType="begin"/>
      </w:r>
      <w:r w:rsidR="00A8252A">
        <w:rPr>
          <w:noProof/>
        </w:rPr>
        <w:instrText xml:space="preserve"> SEQ Table \* ARABIC \s 1 </w:instrText>
      </w:r>
      <w:r w:rsidR="00A8252A">
        <w:rPr>
          <w:noProof/>
        </w:rPr>
        <w:fldChar w:fldCharType="separate"/>
      </w:r>
      <w:r w:rsidR="00DF49CD">
        <w:rPr>
          <w:noProof/>
        </w:rPr>
        <w:t>1</w:t>
      </w:r>
      <w:r w:rsidR="00A8252A">
        <w:rPr>
          <w:noProof/>
        </w:rPr>
        <w:fldChar w:fldCharType="end"/>
      </w:r>
      <w:bookmarkEnd w:id="123"/>
      <w:r>
        <w:t>.</w:t>
      </w:r>
      <w:r w:rsidR="006D2C0D">
        <w:t xml:space="preserve"> Four year record of salt export</w:t>
      </w:r>
      <w:r w:rsidR="0011534A">
        <w:t xml:space="preserve"> (tonnes)</w:t>
      </w:r>
      <w:r w:rsidR="006D2C0D">
        <w:t xml:space="preserve"> over the barrages to the </w:t>
      </w:r>
      <w:r w:rsidR="00E25F7E">
        <w:t>Coorong</w:t>
      </w:r>
      <w:r w:rsidR="006D2C0D">
        <w:t>.</w:t>
      </w:r>
      <w:bookmarkEnd w:id="124"/>
    </w:p>
    <w:tbl>
      <w:tblPr>
        <w:tblW w:w="6991"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1440"/>
        <w:gridCol w:w="1440"/>
        <w:gridCol w:w="1320"/>
        <w:gridCol w:w="1200"/>
      </w:tblGrid>
      <w:tr w:rsidR="00D44065" w:rsidRPr="00572468" w14:paraId="4A281B87" w14:textId="77777777" w:rsidTr="0026623C">
        <w:trPr>
          <w:trHeight w:val="283"/>
        </w:trPr>
        <w:tc>
          <w:tcPr>
            <w:tcW w:w="1591" w:type="dxa"/>
            <w:vMerge w:val="restart"/>
            <w:shd w:val="clear" w:color="auto" w:fill="auto"/>
            <w:vAlign w:val="center"/>
          </w:tcPr>
          <w:p w14:paraId="282F6A0B" w14:textId="51559590" w:rsidR="00D44065" w:rsidRPr="00572468" w:rsidRDefault="00D44065" w:rsidP="00572468">
            <w:pPr>
              <w:spacing w:after="0"/>
              <w:contextualSpacing/>
              <w:jc w:val="left"/>
              <w:rPr>
                <w:rFonts w:ascii="Calibri" w:hAnsi="Calibri"/>
                <w:b/>
                <w:color w:val="auto"/>
                <w:kern w:val="0"/>
                <w:sz w:val="20"/>
              </w:rPr>
            </w:pPr>
            <w:r w:rsidRPr="00572468">
              <w:rPr>
                <w:rFonts w:ascii="Calibri" w:hAnsi="Calibri"/>
                <w:b/>
                <w:color w:val="auto"/>
                <w:kern w:val="0"/>
                <w:sz w:val="20"/>
              </w:rPr>
              <w:t>Flow scenario</w:t>
            </w:r>
          </w:p>
        </w:tc>
        <w:tc>
          <w:tcPr>
            <w:tcW w:w="5400" w:type="dxa"/>
            <w:gridSpan w:val="4"/>
            <w:shd w:val="clear" w:color="auto" w:fill="auto"/>
            <w:noWrap/>
            <w:vAlign w:val="center"/>
          </w:tcPr>
          <w:p w14:paraId="1B19DC60" w14:textId="0260B51F" w:rsidR="00D44065" w:rsidRPr="00572468" w:rsidRDefault="00D44065" w:rsidP="00D44065">
            <w:pPr>
              <w:spacing w:after="0"/>
              <w:contextualSpacing/>
              <w:jc w:val="center"/>
              <w:rPr>
                <w:rFonts w:ascii="Calibri" w:hAnsi="Calibri"/>
                <w:b/>
                <w:color w:val="auto"/>
                <w:kern w:val="0"/>
                <w:sz w:val="20"/>
              </w:rPr>
            </w:pPr>
            <w:r>
              <w:rPr>
                <w:rFonts w:ascii="Calibri" w:hAnsi="Calibri"/>
                <w:b/>
                <w:color w:val="auto"/>
                <w:kern w:val="0"/>
                <w:sz w:val="20"/>
              </w:rPr>
              <w:t>Year</w:t>
            </w:r>
          </w:p>
        </w:tc>
      </w:tr>
      <w:tr w:rsidR="00D44065" w:rsidRPr="00572468" w14:paraId="6E5F1025" w14:textId="77777777" w:rsidTr="00572468">
        <w:trPr>
          <w:trHeight w:val="283"/>
        </w:trPr>
        <w:tc>
          <w:tcPr>
            <w:tcW w:w="1591" w:type="dxa"/>
            <w:vMerge/>
            <w:shd w:val="clear" w:color="auto" w:fill="auto"/>
            <w:vAlign w:val="center"/>
          </w:tcPr>
          <w:p w14:paraId="571561DF" w14:textId="77777777" w:rsidR="00D44065" w:rsidRPr="00572468" w:rsidRDefault="00D44065" w:rsidP="00D44065">
            <w:pPr>
              <w:spacing w:after="0"/>
              <w:contextualSpacing/>
              <w:jc w:val="left"/>
              <w:rPr>
                <w:rFonts w:ascii="Calibri" w:hAnsi="Calibri"/>
                <w:b/>
                <w:color w:val="auto"/>
                <w:kern w:val="0"/>
                <w:sz w:val="20"/>
              </w:rPr>
            </w:pPr>
          </w:p>
        </w:tc>
        <w:tc>
          <w:tcPr>
            <w:tcW w:w="1440" w:type="dxa"/>
            <w:shd w:val="clear" w:color="auto" w:fill="auto"/>
            <w:noWrap/>
            <w:vAlign w:val="center"/>
          </w:tcPr>
          <w:p w14:paraId="6A588871" w14:textId="49A54201" w:rsidR="00D44065" w:rsidRPr="00572468" w:rsidRDefault="00D44065" w:rsidP="00D44065">
            <w:pPr>
              <w:spacing w:after="0"/>
              <w:contextualSpacing/>
              <w:jc w:val="left"/>
              <w:rPr>
                <w:rFonts w:ascii="Calibri" w:hAnsi="Calibri"/>
                <w:b/>
                <w:color w:val="auto"/>
                <w:kern w:val="0"/>
                <w:sz w:val="20"/>
              </w:rPr>
            </w:pPr>
            <w:r w:rsidRPr="00572468">
              <w:rPr>
                <w:rFonts w:ascii="Calibri" w:hAnsi="Calibri"/>
                <w:b/>
                <w:color w:val="auto"/>
                <w:kern w:val="0"/>
                <w:sz w:val="20"/>
              </w:rPr>
              <w:t>2014</w:t>
            </w:r>
            <w:r>
              <w:rPr>
                <w:rFonts w:ascii="Calibri" w:hAnsi="Calibri"/>
                <w:b/>
                <w:color w:val="auto"/>
                <w:kern w:val="0"/>
                <w:sz w:val="20"/>
              </w:rPr>
              <w:t>-</w:t>
            </w:r>
            <w:r w:rsidRPr="00572468">
              <w:rPr>
                <w:rFonts w:ascii="Calibri" w:hAnsi="Calibri"/>
                <w:b/>
                <w:color w:val="auto"/>
                <w:kern w:val="0"/>
                <w:sz w:val="20"/>
              </w:rPr>
              <w:t>15</w:t>
            </w:r>
          </w:p>
        </w:tc>
        <w:tc>
          <w:tcPr>
            <w:tcW w:w="1440" w:type="dxa"/>
            <w:shd w:val="clear" w:color="auto" w:fill="auto"/>
            <w:noWrap/>
            <w:vAlign w:val="center"/>
          </w:tcPr>
          <w:p w14:paraId="61774E7C" w14:textId="63E208F6" w:rsidR="00D44065" w:rsidRPr="00572468" w:rsidRDefault="00D44065" w:rsidP="00D44065">
            <w:pPr>
              <w:spacing w:after="0"/>
              <w:contextualSpacing/>
              <w:jc w:val="left"/>
              <w:rPr>
                <w:rFonts w:ascii="Calibri" w:hAnsi="Calibri"/>
                <w:b/>
                <w:color w:val="auto"/>
                <w:kern w:val="0"/>
                <w:sz w:val="20"/>
              </w:rPr>
            </w:pPr>
            <w:r w:rsidRPr="00572468">
              <w:rPr>
                <w:rFonts w:ascii="Calibri" w:hAnsi="Calibri"/>
                <w:b/>
                <w:color w:val="auto"/>
                <w:kern w:val="0"/>
                <w:sz w:val="20"/>
              </w:rPr>
              <w:t>2015</w:t>
            </w:r>
            <w:r>
              <w:rPr>
                <w:rFonts w:ascii="Calibri" w:hAnsi="Calibri"/>
                <w:b/>
                <w:color w:val="auto"/>
                <w:kern w:val="0"/>
                <w:sz w:val="20"/>
              </w:rPr>
              <w:t>-</w:t>
            </w:r>
            <w:r w:rsidRPr="00572468">
              <w:rPr>
                <w:rFonts w:ascii="Calibri" w:hAnsi="Calibri"/>
                <w:b/>
                <w:color w:val="auto"/>
                <w:kern w:val="0"/>
                <w:sz w:val="20"/>
              </w:rPr>
              <w:t>16</w:t>
            </w:r>
          </w:p>
        </w:tc>
        <w:tc>
          <w:tcPr>
            <w:tcW w:w="1320" w:type="dxa"/>
            <w:shd w:val="clear" w:color="auto" w:fill="auto"/>
            <w:noWrap/>
            <w:vAlign w:val="center"/>
          </w:tcPr>
          <w:p w14:paraId="390AD96B" w14:textId="717EB515" w:rsidR="00D44065" w:rsidRPr="00572468" w:rsidRDefault="00D44065" w:rsidP="00D44065">
            <w:pPr>
              <w:spacing w:after="0"/>
              <w:contextualSpacing/>
              <w:jc w:val="left"/>
              <w:rPr>
                <w:rFonts w:ascii="Calibri" w:hAnsi="Calibri"/>
                <w:b/>
                <w:color w:val="auto"/>
                <w:kern w:val="0"/>
                <w:sz w:val="20"/>
              </w:rPr>
            </w:pPr>
            <w:r w:rsidRPr="00572468">
              <w:rPr>
                <w:rFonts w:ascii="Calibri" w:hAnsi="Calibri"/>
                <w:b/>
                <w:color w:val="auto"/>
                <w:kern w:val="0"/>
                <w:sz w:val="20"/>
              </w:rPr>
              <w:t>2016</w:t>
            </w:r>
            <w:r>
              <w:rPr>
                <w:rFonts w:ascii="Calibri" w:hAnsi="Calibri"/>
                <w:b/>
                <w:color w:val="auto"/>
                <w:kern w:val="0"/>
                <w:sz w:val="20"/>
              </w:rPr>
              <w:t>-</w:t>
            </w:r>
            <w:r w:rsidRPr="00572468">
              <w:rPr>
                <w:rFonts w:ascii="Calibri" w:hAnsi="Calibri"/>
                <w:b/>
                <w:color w:val="auto"/>
                <w:kern w:val="0"/>
                <w:sz w:val="20"/>
              </w:rPr>
              <w:t>17</w:t>
            </w:r>
          </w:p>
        </w:tc>
        <w:tc>
          <w:tcPr>
            <w:tcW w:w="1200" w:type="dxa"/>
            <w:shd w:val="clear" w:color="auto" w:fill="auto"/>
            <w:noWrap/>
            <w:vAlign w:val="center"/>
          </w:tcPr>
          <w:p w14:paraId="7043A6B3" w14:textId="24F5E02A" w:rsidR="00D44065" w:rsidRPr="00572468" w:rsidRDefault="00D44065" w:rsidP="00D44065">
            <w:pPr>
              <w:spacing w:after="0"/>
              <w:contextualSpacing/>
              <w:jc w:val="left"/>
              <w:rPr>
                <w:rFonts w:ascii="Calibri" w:hAnsi="Calibri"/>
                <w:b/>
                <w:color w:val="auto"/>
                <w:kern w:val="0"/>
                <w:sz w:val="20"/>
              </w:rPr>
            </w:pPr>
            <w:r w:rsidRPr="00572468">
              <w:rPr>
                <w:rFonts w:ascii="Calibri" w:hAnsi="Calibri"/>
                <w:b/>
                <w:color w:val="auto"/>
                <w:kern w:val="0"/>
                <w:sz w:val="20"/>
              </w:rPr>
              <w:t>2017</w:t>
            </w:r>
            <w:r>
              <w:rPr>
                <w:rFonts w:ascii="Calibri" w:hAnsi="Calibri"/>
                <w:b/>
                <w:color w:val="auto"/>
                <w:kern w:val="0"/>
                <w:sz w:val="20"/>
              </w:rPr>
              <w:t>-</w:t>
            </w:r>
            <w:r w:rsidRPr="00572468">
              <w:rPr>
                <w:rFonts w:ascii="Calibri" w:hAnsi="Calibri"/>
                <w:b/>
                <w:color w:val="auto"/>
                <w:kern w:val="0"/>
                <w:sz w:val="20"/>
              </w:rPr>
              <w:t>18</w:t>
            </w:r>
          </w:p>
        </w:tc>
      </w:tr>
      <w:tr w:rsidR="00D44065" w:rsidRPr="00572468" w14:paraId="6A25F251" w14:textId="77777777" w:rsidTr="00572468">
        <w:trPr>
          <w:trHeight w:val="283"/>
        </w:trPr>
        <w:tc>
          <w:tcPr>
            <w:tcW w:w="1591" w:type="dxa"/>
            <w:shd w:val="clear" w:color="auto" w:fill="auto"/>
            <w:vAlign w:val="center"/>
            <w:hideMark/>
          </w:tcPr>
          <w:p w14:paraId="588BD2CD" w14:textId="77777777" w:rsidR="00D44065" w:rsidRPr="00572468" w:rsidRDefault="00D44065" w:rsidP="00D44065">
            <w:pPr>
              <w:spacing w:after="0"/>
              <w:contextualSpacing/>
              <w:jc w:val="left"/>
              <w:rPr>
                <w:rFonts w:ascii="Calibri" w:hAnsi="Calibri"/>
                <w:kern w:val="0"/>
                <w:sz w:val="20"/>
              </w:rPr>
            </w:pPr>
            <w:r w:rsidRPr="00572468">
              <w:rPr>
                <w:rFonts w:ascii="Calibri" w:hAnsi="Calibri"/>
                <w:kern w:val="0"/>
                <w:sz w:val="20"/>
              </w:rPr>
              <w:t>With all water</w:t>
            </w:r>
          </w:p>
        </w:tc>
        <w:tc>
          <w:tcPr>
            <w:tcW w:w="1440" w:type="dxa"/>
            <w:shd w:val="clear" w:color="auto" w:fill="auto"/>
            <w:noWrap/>
            <w:vAlign w:val="center"/>
          </w:tcPr>
          <w:p w14:paraId="0722DB91" w14:textId="77777777" w:rsidR="00D44065" w:rsidRPr="00572468" w:rsidRDefault="00D44065" w:rsidP="00D44065">
            <w:pPr>
              <w:spacing w:after="0"/>
              <w:contextualSpacing/>
              <w:jc w:val="left"/>
              <w:rPr>
                <w:rFonts w:ascii="Calibri" w:hAnsi="Calibri"/>
                <w:kern w:val="0"/>
                <w:sz w:val="20"/>
              </w:rPr>
            </w:pPr>
            <w:r w:rsidRPr="00572468">
              <w:rPr>
                <w:rFonts w:ascii="Calibri" w:hAnsi="Calibri"/>
                <w:kern w:val="0"/>
                <w:sz w:val="20"/>
              </w:rPr>
              <w:t>446,855</w:t>
            </w:r>
          </w:p>
        </w:tc>
        <w:tc>
          <w:tcPr>
            <w:tcW w:w="1440" w:type="dxa"/>
            <w:shd w:val="clear" w:color="auto" w:fill="auto"/>
            <w:noWrap/>
            <w:vAlign w:val="center"/>
          </w:tcPr>
          <w:p w14:paraId="5F4DFC07" w14:textId="77777777" w:rsidR="00D44065" w:rsidRPr="00572468" w:rsidRDefault="00D44065" w:rsidP="00D44065">
            <w:pPr>
              <w:spacing w:after="0"/>
              <w:contextualSpacing/>
              <w:jc w:val="left"/>
              <w:rPr>
                <w:rFonts w:ascii="Calibri" w:hAnsi="Calibri"/>
                <w:kern w:val="0"/>
                <w:sz w:val="20"/>
              </w:rPr>
            </w:pPr>
            <w:r w:rsidRPr="00572468">
              <w:rPr>
                <w:rFonts w:ascii="Calibri" w:hAnsi="Calibri"/>
                <w:kern w:val="0"/>
                <w:sz w:val="20"/>
              </w:rPr>
              <w:t>288,516</w:t>
            </w:r>
          </w:p>
        </w:tc>
        <w:tc>
          <w:tcPr>
            <w:tcW w:w="1320" w:type="dxa"/>
            <w:shd w:val="clear" w:color="auto" w:fill="auto"/>
            <w:noWrap/>
            <w:vAlign w:val="center"/>
          </w:tcPr>
          <w:p w14:paraId="4DCA74C7" w14:textId="77777777" w:rsidR="00D44065" w:rsidRPr="00572468" w:rsidRDefault="00D44065" w:rsidP="00D44065">
            <w:pPr>
              <w:spacing w:after="0"/>
              <w:contextualSpacing/>
              <w:jc w:val="left"/>
              <w:rPr>
                <w:rFonts w:ascii="Calibri" w:hAnsi="Calibri"/>
                <w:kern w:val="0"/>
                <w:sz w:val="20"/>
              </w:rPr>
            </w:pPr>
            <w:r w:rsidRPr="00572468">
              <w:rPr>
                <w:rFonts w:ascii="Calibri" w:hAnsi="Calibri"/>
                <w:kern w:val="0"/>
                <w:sz w:val="20"/>
              </w:rPr>
              <w:t>1,504,541</w:t>
            </w:r>
          </w:p>
        </w:tc>
        <w:tc>
          <w:tcPr>
            <w:tcW w:w="1200" w:type="dxa"/>
            <w:shd w:val="clear" w:color="auto" w:fill="auto"/>
            <w:noWrap/>
            <w:vAlign w:val="center"/>
            <w:hideMark/>
          </w:tcPr>
          <w:p w14:paraId="6AEEE722" w14:textId="77777777" w:rsidR="00D44065" w:rsidRPr="00572468" w:rsidRDefault="00D44065" w:rsidP="00D44065">
            <w:pPr>
              <w:spacing w:after="0"/>
              <w:contextualSpacing/>
              <w:jc w:val="left"/>
              <w:rPr>
                <w:rFonts w:ascii="Calibri" w:hAnsi="Calibri"/>
                <w:kern w:val="0"/>
                <w:sz w:val="20"/>
              </w:rPr>
            </w:pPr>
            <w:r w:rsidRPr="00572468">
              <w:rPr>
                <w:rFonts w:ascii="Calibri" w:hAnsi="Calibri"/>
                <w:kern w:val="0"/>
                <w:sz w:val="20"/>
              </w:rPr>
              <w:t>349,893</w:t>
            </w:r>
          </w:p>
        </w:tc>
      </w:tr>
      <w:tr w:rsidR="00D44065" w:rsidRPr="00572468" w14:paraId="5A26ADE5" w14:textId="77777777" w:rsidTr="00572468">
        <w:trPr>
          <w:trHeight w:val="283"/>
        </w:trPr>
        <w:tc>
          <w:tcPr>
            <w:tcW w:w="1591" w:type="dxa"/>
            <w:shd w:val="clear" w:color="auto" w:fill="auto"/>
            <w:vAlign w:val="center"/>
            <w:hideMark/>
          </w:tcPr>
          <w:p w14:paraId="17FEEA63" w14:textId="77777777" w:rsidR="00D44065" w:rsidRPr="00572468" w:rsidRDefault="00D44065" w:rsidP="00D44065">
            <w:pPr>
              <w:spacing w:after="0"/>
              <w:contextualSpacing/>
              <w:jc w:val="left"/>
              <w:rPr>
                <w:rFonts w:ascii="Calibri" w:hAnsi="Calibri"/>
                <w:kern w:val="0"/>
                <w:sz w:val="20"/>
              </w:rPr>
            </w:pPr>
            <w:r w:rsidRPr="00572468">
              <w:rPr>
                <w:rFonts w:ascii="Calibri" w:hAnsi="Calibri"/>
                <w:kern w:val="0"/>
                <w:sz w:val="20"/>
              </w:rPr>
              <w:t>No CEW</w:t>
            </w:r>
          </w:p>
        </w:tc>
        <w:tc>
          <w:tcPr>
            <w:tcW w:w="1440" w:type="dxa"/>
            <w:shd w:val="clear" w:color="auto" w:fill="auto"/>
            <w:noWrap/>
            <w:vAlign w:val="center"/>
          </w:tcPr>
          <w:p w14:paraId="297298A1" w14:textId="77777777" w:rsidR="00D44065" w:rsidRPr="00572468" w:rsidRDefault="00D44065" w:rsidP="00D44065">
            <w:pPr>
              <w:spacing w:after="0"/>
              <w:contextualSpacing/>
              <w:jc w:val="left"/>
              <w:rPr>
                <w:rFonts w:ascii="Calibri" w:hAnsi="Calibri"/>
                <w:kern w:val="0"/>
                <w:sz w:val="20"/>
              </w:rPr>
            </w:pPr>
            <w:r w:rsidRPr="00572468">
              <w:rPr>
                <w:rFonts w:ascii="Calibri" w:hAnsi="Calibri"/>
                <w:kern w:val="0"/>
                <w:sz w:val="20"/>
              </w:rPr>
              <w:t>161,791</w:t>
            </w:r>
          </w:p>
        </w:tc>
        <w:tc>
          <w:tcPr>
            <w:tcW w:w="1440" w:type="dxa"/>
            <w:shd w:val="clear" w:color="auto" w:fill="auto"/>
            <w:noWrap/>
            <w:vAlign w:val="center"/>
          </w:tcPr>
          <w:p w14:paraId="2C5628F6" w14:textId="77777777" w:rsidR="00D44065" w:rsidRPr="00572468" w:rsidRDefault="00D44065" w:rsidP="00D44065">
            <w:pPr>
              <w:spacing w:after="0"/>
              <w:contextualSpacing/>
              <w:jc w:val="left"/>
              <w:rPr>
                <w:rFonts w:ascii="Calibri" w:hAnsi="Calibri"/>
                <w:kern w:val="0"/>
                <w:sz w:val="20"/>
              </w:rPr>
            </w:pPr>
            <w:r w:rsidRPr="00572468">
              <w:rPr>
                <w:rFonts w:ascii="Calibri" w:hAnsi="Calibri"/>
                <w:kern w:val="0"/>
                <w:sz w:val="20"/>
              </w:rPr>
              <w:t>36,884</w:t>
            </w:r>
          </w:p>
        </w:tc>
        <w:tc>
          <w:tcPr>
            <w:tcW w:w="1320" w:type="dxa"/>
            <w:shd w:val="clear" w:color="auto" w:fill="auto"/>
            <w:noWrap/>
            <w:vAlign w:val="center"/>
          </w:tcPr>
          <w:p w14:paraId="006E425B" w14:textId="77777777" w:rsidR="00D44065" w:rsidRPr="00572468" w:rsidRDefault="00D44065" w:rsidP="00D44065">
            <w:pPr>
              <w:spacing w:after="0"/>
              <w:contextualSpacing/>
              <w:jc w:val="left"/>
              <w:rPr>
                <w:rFonts w:ascii="Calibri" w:hAnsi="Calibri"/>
                <w:kern w:val="0"/>
                <w:sz w:val="20"/>
              </w:rPr>
            </w:pPr>
            <w:r w:rsidRPr="00572468">
              <w:rPr>
                <w:rFonts w:ascii="Calibri" w:hAnsi="Calibri"/>
                <w:kern w:val="0"/>
                <w:sz w:val="20"/>
              </w:rPr>
              <w:t>1,383,674</w:t>
            </w:r>
          </w:p>
        </w:tc>
        <w:tc>
          <w:tcPr>
            <w:tcW w:w="1200" w:type="dxa"/>
            <w:shd w:val="clear" w:color="auto" w:fill="auto"/>
            <w:noWrap/>
            <w:vAlign w:val="center"/>
            <w:hideMark/>
          </w:tcPr>
          <w:p w14:paraId="20F4607F" w14:textId="77777777" w:rsidR="00D44065" w:rsidRPr="00572468" w:rsidRDefault="00D44065" w:rsidP="00D44065">
            <w:pPr>
              <w:spacing w:after="0"/>
              <w:contextualSpacing/>
              <w:jc w:val="left"/>
              <w:rPr>
                <w:rFonts w:ascii="Calibri" w:hAnsi="Calibri"/>
                <w:kern w:val="0"/>
                <w:sz w:val="20"/>
              </w:rPr>
            </w:pPr>
            <w:r w:rsidRPr="00572468">
              <w:rPr>
                <w:rFonts w:ascii="Calibri" w:hAnsi="Calibri"/>
                <w:kern w:val="0"/>
                <w:sz w:val="20"/>
              </w:rPr>
              <w:t>109,171</w:t>
            </w:r>
          </w:p>
        </w:tc>
      </w:tr>
      <w:tr w:rsidR="00D44065" w:rsidRPr="00572468" w14:paraId="504F4BC7" w14:textId="77777777" w:rsidTr="00572468">
        <w:trPr>
          <w:trHeight w:val="283"/>
        </w:trPr>
        <w:tc>
          <w:tcPr>
            <w:tcW w:w="1591" w:type="dxa"/>
            <w:shd w:val="clear" w:color="auto" w:fill="auto"/>
            <w:vAlign w:val="center"/>
            <w:hideMark/>
          </w:tcPr>
          <w:p w14:paraId="6700CD93" w14:textId="77777777" w:rsidR="00D44065" w:rsidRPr="00572468" w:rsidRDefault="00D44065" w:rsidP="00D44065">
            <w:pPr>
              <w:spacing w:after="0"/>
              <w:contextualSpacing/>
              <w:jc w:val="left"/>
              <w:rPr>
                <w:rFonts w:ascii="Calibri" w:hAnsi="Calibri"/>
                <w:kern w:val="0"/>
                <w:sz w:val="20"/>
              </w:rPr>
            </w:pPr>
            <w:r w:rsidRPr="00572468">
              <w:rPr>
                <w:rFonts w:ascii="Calibri" w:hAnsi="Calibri"/>
                <w:kern w:val="0"/>
                <w:sz w:val="20"/>
              </w:rPr>
              <w:t>No eWater</w:t>
            </w:r>
          </w:p>
        </w:tc>
        <w:tc>
          <w:tcPr>
            <w:tcW w:w="1440" w:type="dxa"/>
            <w:shd w:val="clear" w:color="auto" w:fill="auto"/>
            <w:noWrap/>
            <w:vAlign w:val="center"/>
          </w:tcPr>
          <w:p w14:paraId="24DB6D6D" w14:textId="77777777" w:rsidR="00D44065" w:rsidRPr="00572468" w:rsidRDefault="00D44065" w:rsidP="00D44065">
            <w:pPr>
              <w:spacing w:after="0"/>
              <w:contextualSpacing/>
              <w:jc w:val="left"/>
              <w:rPr>
                <w:rFonts w:ascii="Calibri" w:hAnsi="Calibri"/>
                <w:kern w:val="0"/>
                <w:sz w:val="20"/>
              </w:rPr>
            </w:pPr>
            <w:r w:rsidRPr="00572468">
              <w:rPr>
                <w:rFonts w:ascii="Calibri" w:hAnsi="Calibri"/>
                <w:kern w:val="0"/>
                <w:sz w:val="20"/>
              </w:rPr>
              <w:t>152,406</w:t>
            </w:r>
          </w:p>
        </w:tc>
        <w:tc>
          <w:tcPr>
            <w:tcW w:w="1440" w:type="dxa"/>
            <w:shd w:val="clear" w:color="auto" w:fill="auto"/>
            <w:noWrap/>
            <w:vAlign w:val="center"/>
          </w:tcPr>
          <w:p w14:paraId="1101AD17" w14:textId="77777777" w:rsidR="00D44065" w:rsidRPr="00572468" w:rsidRDefault="00D44065" w:rsidP="00D44065">
            <w:pPr>
              <w:spacing w:after="0"/>
              <w:contextualSpacing/>
              <w:jc w:val="left"/>
              <w:rPr>
                <w:rFonts w:ascii="Calibri" w:hAnsi="Calibri"/>
                <w:kern w:val="0"/>
                <w:sz w:val="20"/>
              </w:rPr>
            </w:pPr>
            <w:r w:rsidRPr="00572468">
              <w:rPr>
                <w:rFonts w:ascii="Calibri" w:hAnsi="Calibri"/>
                <w:kern w:val="0"/>
                <w:sz w:val="20"/>
              </w:rPr>
              <w:t>31,031</w:t>
            </w:r>
          </w:p>
        </w:tc>
        <w:tc>
          <w:tcPr>
            <w:tcW w:w="1320" w:type="dxa"/>
            <w:shd w:val="clear" w:color="auto" w:fill="auto"/>
            <w:noWrap/>
            <w:vAlign w:val="center"/>
          </w:tcPr>
          <w:p w14:paraId="085A1191" w14:textId="77777777" w:rsidR="00D44065" w:rsidRPr="00572468" w:rsidRDefault="00D44065" w:rsidP="00D44065">
            <w:pPr>
              <w:spacing w:after="0"/>
              <w:contextualSpacing/>
              <w:jc w:val="left"/>
              <w:rPr>
                <w:rFonts w:ascii="Calibri" w:hAnsi="Calibri"/>
                <w:kern w:val="0"/>
                <w:sz w:val="20"/>
              </w:rPr>
            </w:pPr>
            <w:r w:rsidRPr="00572468">
              <w:rPr>
                <w:rFonts w:ascii="Calibri" w:hAnsi="Calibri"/>
                <w:kern w:val="0"/>
                <w:sz w:val="20"/>
              </w:rPr>
              <w:t>1,317,791</w:t>
            </w:r>
          </w:p>
        </w:tc>
        <w:tc>
          <w:tcPr>
            <w:tcW w:w="1200" w:type="dxa"/>
            <w:shd w:val="clear" w:color="auto" w:fill="auto"/>
            <w:noWrap/>
            <w:vAlign w:val="center"/>
            <w:hideMark/>
          </w:tcPr>
          <w:p w14:paraId="0260A2B9" w14:textId="77777777" w:rsidR="00D44065" w:rsidRPr="00572468" w:rsidRDefault="00D44065" w:rsidP="00D44065">
            <w:pPr>
              <w:spacing w:after="0"/>
              <w:contextualSpacing/>
              <w:jc w:val="left"/>
              <w:rPr>
                <w:rFonts w:ascii="Calibri" w:hAnsi="Calibri"/>
                <w:kern w:val="0"/>
                <w:sz w:val="20"/>
              </w:rPr>
            </w:pPr>
            <w:r w:rsidRPr="00572468">
              <w:rPr>
                <w:rFonts w:ascii="Calibri" w:hAnsi="Calibri"/>
                <w:kern w:val="0"/>
                <w:sz w:val="20"/>
              </w:rPr>
              <w:t>48,923</w:t>
            </w:r>
          </w:p>
        </w:tc>
      </w:tr>
    </w:tbl>
    <w:p w14:paraId="0D1AF075" w14:textId="77777777" w:rsidR="006D2C0D" w:rsidRPr="004D6122" w:rsidRDefault="006D2C0D" w:rsidP="006D2C0D">
      <w:pPr>
        <w:spacing w:after="0"/>
        <w:jc w:val="left"/>
        <w:rPr>
          <w:sz w:val="24"/>
          <w:szCs w:val="24"/>
        </w:rPr>
      </w:pPr>
    </w:p>
    <w:p w14:paraId="5D8776D8" w14:textId="77777777" w:rsidR="006D2C0D" w:rsidRDefault="006D2C0D" w:rsidP="006D2C0D">
      <w:pPr>
        <w:spacing w:after="0"/>
        <w:jc w:val="left"/>
      </w:pPr>
    </w:p>
    <w:p w14:paraId="4798E4D0" w14:textId="77777777" w:rsidR="009E34ED" w:rsidRPr="00C1799F" w:rsidRDefault="009E34ED" w:rsidP="00EF7F2B">
      <w:pPr>
        <w:pStyle w:val="Heading5"/>
      </w:pPr>
      <w:r w:rsidRPr="00C1799F">
        <w:lastRenderedPageBreak/>
        <w:t>Cause and effect diagram</w:t>
      </w:r>
    </w:p>
    <w:p w14:paraId="4F8EE05F" w14:textId="77777777" w:rsidR="008E3CFD" w:rsidRPr="008E3CFD" w:rsidRDefault="00CF3432" w:rsidP="0080273D">
      <w:pPr>
        <w:jc w:val="center"/>
      </w:pPr>
      <w:r w:rsidRPr="00BD3CE9">
        <w:rPr>
          <w:noProof/>
          <w:lang w:eastAsia="en-AU"/>
        </w:rPr>
        <w:drawing>
          <wp:inline distT="0" distB="0" distL="0" distR="0" wp14:anchorId="132175DC" wp14:editId="05B3371E">
            <wp:extent cx="4586400" cy="3996514"/>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586400" cy="3996514"/>
                    </a:xfrm>
                    <a:prstGeom prst="rect">
                      <a:avLst/>
                    </a:prstGeom>
                    <a:noFill/>
                    <a:ln>
                      <a:noFill/>
                    </a:ln>
                  </pic:spPr>
                </pic:pic>
              </a:graphicData>
            </a:graphic>
          </wp:inline>
        </w:drawing>
      </w:r>
    </w:p>
    <w:p w14:paraId="37426A10" w14:textId="427F6F19" w:rsidR="008E3CFD" w:rsidRPr="008E3CFD" w:rsidRDefault="008E3CFD" w:rsidP="00FA4AA8">
      <w:pPr>
        <w:pStyle w:val="FigureCaption"/>
      </w:pPr>
      <w:bookmarkStart w:id="125" w:name="_Ref384733405"/>
      <w:bookmarkStart w:id="126" w:name="_Toc384985601"/>
      <w:bookmarkStart w:id="127" w:name="_Toc12630436"/>
      <w:r w:rsidRPr="008E3CFD">
        <w:t xml:space="preserve">Figure </w:t>
      </w:r>
      <w:r w:rsidR="00A8252A">
        <w:rPr>
          <w:noProof/>
        </w:rPr>
        <w:fldChar w:fldCharType="begin"/>
      </w:r>
      <w:r w:rsidR="00A8252A">
        <w:rPr>
          <w:noProof/>
        </w:rPr>
        <w:instrText xml:space="preserve"> STYLEREF 1 \s </w:instrText>
      </w:r>
      <w:r w:rsidR="00A8252A">
        <w:rPr>
          <w:noProof/>
        </w:rPr>
        <w:fldChar w:fldCharType="separate"/>
      </w:r>
      <w:r w:rsidR="00DF49CD">
        <w:rPr>
          <w:noProof/>
        </w:rPr>
        <w:t>5</w:t>
      </w:r>
      <w:r w:rsidR="00A8252A">
        <w:rPr>
          <w:noProof/>
        </w:rPr>
        <w:fldChar w:fldCharType="end"/>
      </w:r>
      <w:r w:rsidR="00251188">
        <w:t>.</w:t>
      </w:r>
      <w:r w:rsidR="00A8252A">
        <w:rPr>
          <w:noProof/>
        </w:rPr>
        <w:fldChar w:fldCharType="begin"/>
      </w:r>
      <w:r w:rsidR="00A8252A">
        <w:rPr>
          <w:noProof/>
        </w:rPr>
        <w:instrText xml:space="preserve"> SEQ Figure \* ARABIC \s 1 </w:instrText>
      </w:r>
      <w:r w:rsidR="00A8252A">
        <w:rPr>
          <w:noProof/>
        </w:rPr>
        <w:fldChar w:fldCharType="separate"/>
      </w:r>
      <w:r w:rsidR="00DF49CD">
        <w:rPr>
          <w:noProof/>
        </w:rPr>
        <w:t>5</w:t>
      </w:r>
      <w:r w:rsidR="00A8252A">
        <w:rPr>
          <w:noProof/>
        </w:rPr>
        <w:fldChar w:fldCharType="end"/>
      </w:r>
      <w:bookmarkEnd w:id="125"/>
      <w:r w:rsidRPr="008E3CFD">
        <w:t>.</w:t>
      </w:r>
      <w:r w:rsidR="00B57BD7">
        <w:tab/>
      </w:r>
      <w:r w:rsidR="00F365AA">
        <w:t>Matter T</w:t>
      </w:r>
      <w:r w:rsidRPr="008E3CFD">
        <w:t xml:space="preserve">ransport cause and effect diagram. </w:t>
      </w:r>
      <w:r w:rsidRPr="008E3CFD">
        <w:rPr>
          <w:lang w:val="en-US"/>
        </w:rPr>
        <w:t>Magnitude, timing and duration are factors of flow (in black).</w:t>
      </w:r>
      <w:bookmarkEnd w:id="126"/>
      <w:bookmarkEnd w:id="127"/>
      <w:r w:rsidRPr="008E3CFD">
        <w:rPr>
          <w:lang w:val="en-US"/>
        </w:rPr>
        <w:t xml:space="preserve"> </w:t>
      </w:r>
    </w:p>
    <w:p w14:paraId="09EBC195" w14:textId="77777777" w:rsidR="008E3CFD" w:rsidRPr="008E3CFD" w:rsidRDefault="008E3CFD" w:rsidP="00EF7F2B">
      <w:pPr>
        <w:pStyle w:val="Heading5"/>
      </w:pPr>
      <w:r w:rsidRPr="008E3CFD">
        <w:t>Key evaluation questions</w:t>
      </w:r>
    </w:p>
    <w:p w14:paraId="346E1578" w14:textId="3B6EA4F0" w:rsidR="00CF3432" w:rsidRDefault="004A238E" w:rsidP="00CF3432">
      <w:pPr>
        <w:pStyle w:val="TableText"/>
        <w:rPr>
          <w:lang w:val="en-US"/>
        </w:rPr>
      </w:pPr>
      <w:r w:rsidRPr="00C86304">
        <w:rPr>
          <w:sz w:val="22"/>
        </w:rPr>
        <w:t xml:space="preserve">Selected Area </w:t>
      </w:r>
      <w:r>
        <w:rPr>
          <w:sz w:val="22"/>
        </w:rPr>
        <w:t xml:space="preserve">evaluation </w:t>
      </w:r>
      <w:r w:rsidRPr="00C86304">
        <w:rPr>
          <w:sz w:val="22"/>
        </w:rPr>
        <w:t>questions (</w:t>
      </w:r>
      <w:r w:rsidR="00FC6135">
        <w:rPr>
          <w:sz w:val="22"/>
        </w:rPr>
        <w:t xml:space="preserve">adapted from </w:t>
      </w:r>
      <w:r w:rsidR="00CF3432" w:rsidRPr="00C86304">
        <w:rPr>
          <w:sz w:val="22"/>
        </w:rPr>
        <w:t xml:space="preserve">Hale </w:t>
      </w:r>
      <w:r w:rsidR="00CF3432" w:rsidRPr="00C86304">
        <w:rPr>
          <w:i/>
          <w:sz w:val="22"/>
        </w:rPr>
        <w:t>et al.</w:t>
      </w:r>
      <w:r w:rsidR="00CF3432" w:rsidRPr="00C86304">
        <w:rPr>
          <w:sz w:val="22"/>
        </w:rPr>
        <w:t xml:space="preserve"> 201</w:t>
      </w:r>
      <w:r w:rsidR="00CF3432">
        <w:rPr>
          <w:sz w:val="22"/>
        </w:rPr>
        <w:t>4</w:t>
      </w:r>
      <w:r w:rsidR="00CF3432" w:rsidRPr="00C86304">
        <w:rPr>
          <w:sz w:val="22"/>
        </w:rPr>
        <w:t>):</w:t>
      </w:r>
    </w:p>
    <w:p w14:paraId="7E3A7A1A" w14:textId="32C9F83B" w:rsidR="00CF3432" w:rsidRPr="006512E7" w:rsidRDefault="00CF3432" w:rsidP="00CF3432">
      <w:pPr>
        <w:pStyle w:val="TableBullets"/>
        <w:rPr>
          <w:sz w:val="22"/>
        </w:rPr>
      </w:pPr>
      <w:r w:rsidRPr="006512E7">
        <w:rPr>
          <w:sz w:val="22"/>
        </w:rPr>
        <w:t xml:space="preserve">What did Commonwealth environmental water contribute to </w:t>
      </w:r>
      <w:r w:rsidRPr="009B4023">
        <w:rPr>
          <w:rFonts w:cstheme="minorHAnsi"/>
          <w:sz w:val="22"/>
        </w:rPr>
        <w:t>concentrations and transport of phytoplankton</w:t>
      </w:r>
      <w:r w:rsidRPr="006512E7">
        <w:rPr>
          <w:sz w:val="22"/>
        </w:rPr>
        <w:t>?</w:t>
      </w:r>
    </w:p>
    <w:p w14:paraId="246B2BA9" w14:textId="0944B1D3" w:rsidR="00CF3432" w:rsidRPr="006512E7" w:rsidRDefault="00CF3432" w:rsidP="00CF3432">
      <w:pPr>
        <w:pStyle w:val="TableBullets"/>
        <w:rPr>
          <w:sz w:val="22"/>
        </w:rPr>
      </w:pPr>
      <w:r w:rsidRPr="006512E7">
        <w:rPr>
          <w:sz w:val="22"/>
        </w:rPr>
        <w:t xml:space="preserve">What did Commonwealth environmental water contribute to salinity </w:t>
      </w:r>
      <w:r>
        <w:rPr>
          <w:sz w:val="22"/>
        </w:rPr>
        <w:t>levels</w:t>
      </w:r>
      <w:r w:rsidR="00C72EC3">
        <w:rPr>
          <w:sz w:val="22"/>
        </w:rPr>
        <w:t xml:space="preserve"> and transport</w:t>
      </w:r>
      <w:r w:rsidRPr="006512E7">
        <w:rPr>
          <w:sz w:val="22"/>
        </w:rPr>
        <w:t>?</w:t>
      </w:r>
    </w:p>
    <w:p w14:paraId="6CF37D92" w14:textId="0465E519" w:rsidR="00CF3432" w:rsidRPr="00612CA1" w:rsidRDefault="00CF3432" w:rsidP="00CF3432">
      <w:pPr>
        <w:pStyle w:val="TableBullets"/>
        <w:rPr>
          <w:sz w:val="22"/>
        </w:rPr>
      </w:pPr>
      <w:r w:rsidRPr="00612CA1">
        <w:rPr>
          <w:sz w:val="22"/>
        </w:rPr>
        <w:t xml:space="preserve">What did </w:t>
      </w:r>
      <w:r w:rsidRPr="00612CA1">
        <w:rPr>
          <w:kern w:val="0"/>
          <w:sz w:val="22"/>
        </w:rPr>
        <w:t>Commonwealth environmental water</w:t>
      </w:r>
      <w:r w:rsidRPr="00612CA1">
        <w:rPr>
          <w:sz w:val="22"/>
        </w:rPr>
        <w:t xml:space="preserve"> contribute to nutrient </w:t>
      </w:r>
      <w:r>
        <w:rPr>
          <w:sz w:val="22"/>
        </w:rPr>
        <w:t>concentrations and transport</w:t>
      </w:r>
      <w:r w:rsidRPr="00612CA1">
        <w:rPr>
          <w:sz w:val="22"/>
        </w:rPr>
        <w:t>?</w:t>
      </w:r>
    </w:p>
    <w:p w14:paraId="110A47E6" w14:textId="138495D8" w:rsidR="00CF3432" w:rsidRPr="00DD4B78" w:rsidRDefault="00CF3432" w:rsidP="002750A4">
      <w:pPr>
        <w:pStyle w:val="TableBullets"/>
        <w:rPr>
          <w:sz w:val="22"/>
        </w:rPr>
      </w:pPr>
      <w:r w:rsidRPr="00DD4B78">
        <w:rPr>
          <w:sz w:val="22"/>
        </w:rPr>
        <w:t xml:space="preserve">What did </w:t>
      </w:r>
      <w:r w:rsidRPr="00DD4B78">
        <w:rPr>
          <w:kern w:val="0"/>
          <w:sz w:val="22"/>
        </w:rPr>
        <w:t>Commonwealth environmental water</w:t>
      </w:r>
      <w:r w:rsidRPr="00DD4B78">
        <w:rPr>
          <w:sz w:val="22"/>
        </w:rPr>
        <w:t xml:space="preserve"> contribute to water quality?</w:t>
      </w:r>
    </w:p>
    <w:p w14:paraId="272A93C3" w14:textId="77777777" w:rsidR="00513923" w:rsidRDefault="003422E9" w:rsidP="00EF7F2B">
      <w:pPr>
        <w:pStyle w:val="Heading5"/>
      </w:pPr>
      <w:r>
        <w:t>O</w:t>
      </w:r>
      <w:r w:rsidR="00513923">
        <w:t>bjectives</w:t>
      </w:r>
      <w:r w:rsidR="002E3EEF">
        <w:t xml:space="preserve"> and hypotheses</w:t>
      </w:r>
    </w:p>
    <w:p w14:paraId="2773641A" w14:textId="77777777" w:rsidR="003422E9" w:rsidRDefault="003422E9" w:rsidP="003422E9">
      <w:r>
        <w:t xml:space="preserve">The </w:t>
      </w:r>
      <w:r w:rsidRPr="003422E9">
        <w:t>objective of this indicator is to</w:t>
      </w:r>
      <w:r>
        <w:t>:</w:t>
      </w:r>
    </w:p>
    <w:p w14:paraId="2041C638" w14:textId="60753364" w:rsidR="00F43B0F" w:rsidRPr="008E3CFD" w:rsidRDefault="00F43B0F" w:rsidP="00F43B0F">
      <w:pPr>
        <w:pStyle w:val="ListBullet"/>
      </w:pPr>
      <w:r>
        <w:t xml:space="preserve">Assess whether Commonwealth environmental water has increased the transport and export of salt, nutrients and phytoplankton through the </w:t>
      </w:r>
      <w:r w:rsidRPr="000F53E7">
        <w:t>Lower Murray</w:t>
      </w:r>
      <w:r>
        <w:t xml:space="preserve">. </w:t>
      </w:r>
    </w:p>
    <w:p w14:paraId="2FEF6BFB" w14:textId="77777777" w:rsidR="008E3CFD" w:rsidRPr="008E3CFD" w:rsidRDefault="003422E9" w:rsidP="003422E9">
      <w:r>
        <w:t>Major h</w:t>
      </w:r>
      <w:r w:rsidR="008E3CFD" w:rsidRPr="008E3CFD">
        <w:t>ypotheses</w:t>
      </w:r>
      <w:r>
        <w:t xml:space="preserve"> are:</w:t>
      </w:r>
    </w:p>
    <w:p w14:paraId="0F0E519B" w14:textId="70632148" w:rsidR="008E3CFD" w:rsidRPr="008E3CFD" w:rsidRDefault="00104A97" w:rsidP="000F53E7">
      <w:pPr>
        <w:pStyle w:val="ListBullet"/>
      </w:pPr>
      <w:r>
        <w:t>C</w:t>
      </w:r>
      <w:r w:rsidRPr="008E3CFD">
        <w:t xml:space="preserve">ommonwealth environmental water </w:t>
      </w:r>
      <w:r w:rsidR="008E3CFD" w:rsidRPr="008E3CFD">
        <w:t xml:space="preserve">will increase the mobilisation of salts from the </w:t>
      </w:r>
      <w:r w:rsidR="008B235E">
        <w:t>B</w:t>
      </w:r>
      <w:r w:rsidR="008E3CFD" w:rsidRPr="008E3CFD">
        <w:t xml:space="preserve">asin and increase the transport of salt passing from Lock 1 through </w:t>
      </w:r>
      <w:r w:rsidR="00E25F7E">
        <w:t>to</w:t>
      </w:r>
      <w:r w:rsidR="008E3CFD" w:rsidRPr="008E3CFD">
        <w:t xml:space="preserve"> the Lower Lakes </w:t>
      </w:r>
      <w:r w:rsidR="003422E9">
        <w:t>and Murray Mouth</w:t>
      </w:r>
    </w:p>
    <w:p w14:paraId="335D5D7C" w14:textId="75971816" w:rsidR="008E3CFD" w:rsidRPr="008E3CFD" w:rsidRDefault="00104A97" w:rsidP="000F53E7">
      <w:pPr>
        <w:pStyle w:val="ListBullet"/>
      </w:pPr>
      <w:r>
        <w:t>C</w:t>
      </w:r>
      <w:r w:rsidRPr="008E3CFD">
        <w:t xml:space="preserve">ommonwealth environmental water </w:t>
      </w:r>
      <w:r w:rsidR="008E3CFD" w:rsidRPr="008E3CFD">
        <w:t xml:space="preserve">will increase the mobilisation of nutrients from the </w:t>
      </w:r>
      <w:r w:rsidR="008B235E">
        <w:t>B</w:t>
      </w:r>
      <w:r w:rsidR="008E3CFD" w:rsidRPr="008E3CFD">
        <w:t xml:space="preserve">asin and increase nutrient loads passing from Lock 1 through </w:t>
      </w:r>
      <w:r w:rsidR="00E25F7E">
        <w:t>to</w:t>
      </w:r>
      <w:r w:rsidR="008E3CFD" w:rsidRPr="008E3CFD">
        <w:t xml:space="preserve"> th</w:t>
      </w:r>
      <w:r w:rsidR="00DA5476">
        <w:t>e Lower Lakes and Murray Mouth</w:t>
      </w:r>
    </w:p>
    <w:p w14:paraId="1FD81E0A" w14:textId="003BC449" w:rsidR="008E3CFD" w:rsidRPr="008E3CFD" w:rsidRDefault="00104A97" w:rsidP="000F53E7">
      <w:pPr>
        <w:pStyle w:val="ListBullet"/>
      </w:pPr>
      <w:r>
        <w:lastRenderedPageBreak/>
        <w:t>C</w:t>
      </w:r>
      <w:r w:rsidRPr="008E3CFD">
        <w:t>ommonwealth environmental water</w:t>
      </w:r>
      <w:r w:rsidR="008E3CFD" w:rsidRPr="008E3CFD">
        <w:t xml:space="preserve"> will increase </w:t>
      </w:r>
      <w:r w:rsidR="00501607">
        <w:t>the load of</w:t>
      </w:r>
      <w:r w:rsidR="00501607" w:rsidRPr="008E3CFD">
        <w:t xml:space="preserve"> phytoplankton biomass </w:t>
      </w:r>
      <w:r w:rsidR="008E3CFD" w:rsidRPr="008E3CFD">
        <w:t xml:space="preserve">passing from Lock 1 through </w:t>
      </w:r>
      <w:r w:rsidR="00E25F7E">
        <w:t>to</w:t>
      </w:r>
      <w:r w:rsidR="008E3CFD" w:rsidRPr="008E3CFD">
        <w:t xml:space="preserve"> the Lower Lakes and Murray Mouth.</w:t>
      </w:r>
    </w:p>
    <w:p w14:paraId="41051DC1" w14:textId="77777777" w:rsidR="008E3CFD" w:rsidRPr="008E3CFD" w:rsidRDefault="00A94E5A" w:rsidP="00EF7F2B">
      <w:pPr>
        <w:pStyle w:val="Heading5"/>
      </w:pPr>
      <w:r>
        <w:t>General m</w:t>
      </w:r>
      <w:r w:rsidR="008E3CFD" w:rsidRPr="008E3CFD">
        <w:t>ethodology</w:t>
      </w:r>
    </w:p>
    <w:p w14:paraId="7C5350D2" w14:textId="67F8E97E" w:rsidR="00501607" w:rsidRPr="008E199A" w:rsidRDefault="00501607" w:rsidP="00501607">
      <w:pPr>
        <w:rPr>
          <w:rFonts w:cstheme="minorHAnsi"/>
        </w:rPr>
      </w:pPr>
      <w:r w:rsidRPr="00E56D5E">
        <w:rPr>
          <w:rFonts w:ascii="Calibri" w:hAnsi="Calibri" w:cs="Calibri"/>
        </w:rPr>
        <w:t>This compo</w:t>
      </w:r>
      <w:r>
        <w:rPr>
          <w:rFonts w:ascii="Calibri" w:hAnsi="Calibri" w:cs="Calibri"/>
        </w:rPr>
        <w:t xml:space="preserve">nent will use </w:t>
      </w:r>
      <w:r>
        <w:rPr>
          <w:u w:color="0B4CB4"/>
          <w:lang w:val="en-US"/>
        </w:rPr>
        <w:t xml:space="preserve">the coupled hydrodynamic-biogeochemical model TUFLOW-FV-AED, developed by BMTWBM and the University of Western Australia. </w:t>
      </w:r>
      <w:r>
        <w:t xml:space="preserve">TUFLOW-FV is now used extensively in the region for hydrological purposes. </w:t>
      </w:r>
      <w:r>
        <w:rPr>
          <w:lang w:val="en-US"/>
        </w:rPr>
        <w:t xml:space="preserve">A single model domain was applied spanning Lock 1 to the Southern Ocean, including the </w:t>
      </w:r>
      <w:r w:rsidRPr="00EA458F">
        <w:rPr>
          <w:lang w:val="en-US"/>
        </w:rPr>
        <w:t>Coorong</w:t>
      </w:r>
      <w:r>
        <w:rPr>
          <w:u w:color="0B4CB4"/>
          <w:lang w:val="en-US"/>
        </w:rPr>
        <w:t xml:space="preserve">. </w:t>
      </w:r>
      <w:r w:rsidRPr="00E56D5E">
        <w:rPr>
          <w:rFonts w:ascii="Calibri" w:hAnsi="Calibri" w:cs="Calibri"/>
        </w:rPr>
        <w:t xml:space="preserve">For detailed information on the proposed modelling approach refer </w:t>
      </w:r>
      <w:r w:rsidR="00CF3432" w:rsidRPr="00E56D5E">
        <w:rPr>
          <w:rFonts w:ascii="Calibri" w:hAnsi="Calibri" w:cs="Calibri"/>
        </w:rPr>
        <w:t>to</w:t>
      </w:r>
      <w:r w:rsidR="00CF3432">
        <w:rPr>
          <w:rFonts w:ascii="Calibri" w:hAnsi="Calibri" w:cs="Calibri"/>
        </w:rPr>
        <w:t xml:space="preserve"> Ye </w:t>
      </w:r>
      <w:r w:rsidR="00CF3432" w:rsidRPr="00DD4B78">
        <w:rPr>
          <w:rFonts w:ascii="Calibri" w:hAnsi="Calibri" w:cs="Calibri"/>
          <w:i/>
        </w:rPr>
        <w:t>et al.</w:t>
      </w:r>
      <w:r w:rsidR="00CF3432">
        <w:rPr>
          <w:rFonts w:ascii="Calibri" w:hAnsi="Calibri" w:cs="Calibri"/>
        </w:rPr>
        <w:t xml:space="preserve"> (2016</w:t>
      </w:r>
      <w:r w:rsidR="00717EC0">
        <w:rPr>
          <w:rFonts w:ascii="Calibri" w:hAnsi="Calibri" w:cs="Calibri"/>
        </w:rPr>
        <w:t>b</w:t>
      </w:r>
      <w:r w:rsidR="00CF3432">
        <w:rPr>
          <w:rFonts w:ascii="Calibri" w:hAnsi="Calibri" w:cs="Calibri"/>
        </w:rPr>
        <w:t>)</w:t>
      </w:r>
      <w:r w:rsidRPr="00E56D5E">
        <w:rPr>
          <w:rFonts w:ascii="Calibri" w:hAnsi="Calibri" w:cs="Calibri"/>
        </w:rPr>
        <w:t xml:space="preserve">. Although outside of the </w:t>
      </w:r>
      <w:r w:rsidR="000F53E7" w:rsidRPr="000F53E7">
        <w:rPr>
          <w:rFonts w:ascii="Calibri" w:hAnsi="Calibri" w:cs="Calibri"/>
        </w:rPr>
        <w:t>Lower Murray</w:t>
      </w:r>
      <w:r w:rsidRPr="00E56D5E">
        <w:rPr>
          <w:rFonts w:ascii="Calibri" w:hAnsi="Calibri" w:cs="Calibri"/>
        </w:rPr>
        <w:t xml:space="preserve"> Selected Area, incorporation of Coorong, Lower Lakes and Murray Mouth increases the capacity of the </w:t>
      </w:r>
      <w:r w:rsidR="0059562E" w:rsidRPr="0059562E">
        <w:rPr>
          <w:rFonts w:ascii="Calibri" w:hAnsi="Calibri" w:cs="Calibri"/>
        </w:rPr>
        <w:t>MER</w:t>
      </w:r>
      <w:r w:rsidRPr="00E56D5E">
        <w:rPr>
          <w:rFonts w:ascii="Calibri" w:hAnsi="Calibri" w:cs="Calibri"/>
        </w:rPr>
        <w:t xml:space="preserve"> Project to demonstrate outcomes within other areas and allows </w:t>
      </w:r>
      <w:r w:rsidRPr="008E199A">
        <w:rPr>
          <w:rFonts w:cstheme="minorHAnsi"/>
        </w:rPr>
        <w:t xml:space="preserve">an assessment of exports to the Southern Ocean. </w:t>
      </w:r>
    </w:p>
    <w:p w14:paraId="23509515" w14:textId="77777777" w:rsidR="001744FD" w:rsidRDefault="001744FD" w:rsidP="001744FD">
      <w:pPr>
        <w:rPr>
          <w:rFonts w:cstheme="minorHAnsi"/>
        </w:rPr>
      </w:pPr>
      <w:r w:rsidRPr="008E199A">
        <w:rPr>
          <w:rFonts w:cstheme="minorHAnsi"/>
        </w:rPr>
        <w:t>No data will be collected through this indicator, but validation of the models will rely solely on monitoring data (i.e. water temperature, electrical conductivity, dissolved oxygen, pH and turbidity, and water samples to be analysed for nutrients) that will be collected by complementary monitoring programs.</w:t>
      </w:r>
    </w:p>
    <w:p w14:paraId="657405CB" w14:textId="3D0B22F0" w:rsidR="001744FD" w:rsidRPr="00EB4142" w:rsidRDefault="001744FD" w:rsidP="001744FD">
      <w:pPr>
        <w:rPr>
          <w:rFonts w:cstheme="minorHAnsi"/>
        </w:rPr>
      </w:pPr>
      <w:r w:rsidRPr="00EB4142">
        <w:rPr>
          <w:rFonts w:cstheme="minorHAnsi"/>
        </w:rPr>
        <w:t xml:space="preserve">Refer to the </w:t>
      </w:r>
      <w:r w:rsidR="000F53E7" w:rsidRPr="000F53E7">
        <w:rPr>
          <w:rFonts w:cstheme="minorHAnsi"/>
        </w:rPr>
        <w:t>Lower Murray</w:t>
      </w:r>
      <w:r w:rsidRPr="00EB4142">
        <w:rPr>
          <w:rFonts w:cstheme="minorHAnsi"/>
        </w:rPr>
        <w:t xml:space="preserve"> Selected Area </w:t>
      </w:r>
      <w:r w:rsidRPr="00DA5476">
        <w:rPr>
          <w:rFonts w:cstheme="minorHAnsi"/>
        </w:rPr>
        <w:t>S</w:t>
      </w:r>
      <w:r w:rsidR="00B72855" w:rsidRPr="00DA5476">
        <w:rPr>
          <w:rFonts w:cstheme="minorHAnsi"/>
        </w:rPr>
        <w:t>OP</w:t>
      </w:r>
      <w:r w:rsidR="002C1CBD" w:rsidRPr="00DA5476">
        <w:rPr>
          <w:rFonts w:cstheme="minorHAnsi"/>
        </w:rPr>
        <w:t xml:space="preserve"> </w:t>
      </w:r>
      <w:r w:rsidRPr="00DA5476">
        <w:rPr>
          <w:rFonts w:cstheme="minorHAnsi"/>
        </w:rPr>
        <w:t xml:space="preserve">for </w:t>
      </w:r>
      <w:r w:rsidR="00B72855" w:rsidRPr="00DA5476">
        <w:rPr>
          <w:rFonts w:cstheme="minorHAnsi"/>
        </w:rPr>
        <w:t>M</w:t>
      </w:r>
      <w:r w:rsidRPr="00DA5476">
        <w:rPr>
          <w:rFonts w:cstheme="minorHAnsi"/>
        </w:rPr>
        <w:t>atter transport</w:t>
      </w:r>
      <w:r w:rsidR="00AB0A37" w:rsidRPr="00DA5476">
        <w:rPr>
          <w:rFonts w:cstheme="minorHAnsi"/>
        </w:rPr>
        <w:t xml:space="preserve"> (Appendix</w:t>
      </w:r>
      <w:r w:rsidR="00C84162" w:rsidRPr="00DA5476">
        <w:rPr>
          <w:rFonts w:cstheme="minorHAnsi"/>
        </w:rPr>
        <w:t xml:space="preserve"> </w:t>
      </w:r>
      <w:r w:rsidR="000E285D">
        <w:rPr>
          <w:rFonts w:cstheme="minorHAnsi"/>
        </w:rPr>
        <w:t>B</w:t>
      </w:r>
      <w:r w:rsidR="00AB0A37" w:rsidRPr="00DA5476">
        <w:rPr>
          <w:rFonts w:cstheme="minorHAnsi"/>
        </w:rPr>
        <w:t>)</w:t>
      </w:r>
      <w:r w:rsidRPr="00DA5476">
        <w:rPr>
          <w:rFonts w:cstheme="minorHAnsi"/>
        </w:rPr>
        <w:t xml:space="preserve"> for</w:t>
      </w:r>
      <w:r w:rsidRPr="00EB4142">
        <w:rPr>
          <w:rFonts w:cstheme="minorHAnsi"/>
        </w:rPr>
        <w:t xml:space="preserve"> more information on the sampling protocol including sites, timing and equipment, and on data analysis</w:t>
      </w:r>
      <w:r w:rsidR="000958EE">
        <w:rPr>
          <w:rFonts w:cstheme="minorHAnsi"/>
        </w:rPr>
        <w:t xml:space="preserve"> and evaluation</w:t>
      </w:r>
      <w:r w:rsidRPr="00EB4142">
        <w:rPr>
          <w:rFonts w:cstheme="minorHAnsi"/>
        </w:rPr>
        <w:t xml:space="preserve">, data management and quality assurance/quality control measures. Refer to </w:t>
      </w:r>
      <w:r w:rsidRPr="001744FD">
        <w:rPr>
          <w:rFonts w:cstheme="minorHAnsi"/>
          <w:color w:val="auto"/>
        </w:rPr>
        <w:t xml:space="preserve">Section </w:t>
      </w:r>
      <w:r w:rsidR="0081153F">
        <w:fldChar w:fldCharType="begin"/>
      </w:r>
      <w:r w:rsidR="0081153F">
        <w:rPr>
          <w:rFonts w:cstheme="minorHAnsi"/>
          <w:color w:val="auto"/>
        </w:rPr>
        <w:instrText xml:space="preserve"> REF _Ref10125967 \r \h </w:instrText>
      </w:r>
      <w:r w:rsidR="0081153F">
        <w:fldChar w:fldCharType="separate"/>
      </w:r>
      <w:r w:rsidR="00DF49CD">
        <w:rPr>
          <w:rFonts w:cstheme="minorHAnsi"/>
          <w:color w:val="auto"/>
        </w:rPr>
        <w:t>7</w:t>
      </w:r>
      <w:r w:rsidR="0081153F">
        <w:fldChar w:fldCharType="end"/>
      </w:r>
      <w:r w:rsidRPr="001744FD">
        <w:rPr>
          <w:rFonts w:cstheme="minorHAnsi"/>
          <w:color w:val="auto"/>
        </w:rPr>
        <w:t xml:space="preserve"> for</w:t>
      </w:r>
      <w:r w:rsidRPr="00EB4142">
        <w:rPr>
          <w:rFonts w:cstheme="minorHAnsi"/>
        </w:rPr>
        <w:t xml:space="preserve"> timing of monitoring activities and more information on sampling sites and zones.  </w:t>
      </w:r>
    </w:p>
    <w:p w14:paraId="2F0F1B4F" w14:textId="77777777" w:rsidR="008E3CFD" w:rsidRPr="008E3CFD" w:rsidRDefault="008E3CFD" w:rsidP="00EF7F2B">
      <w:pPr>
        <w:pStyle w:val="Heading5"/>
      </w:pPr>
      <w:r w:rsidRPr="008E3CFD">
        <w:t>Outputs</w:t>
      </w:r>
    </w:p>
    <w:p w14:paraId="71976204" w14:textId="50749898" w:rsidR="00501607" w:rsidRPr="008E3CFD" w:rsidRDefault="00501607" w:rsidP="00501607">
      <w:pPr>
        <w:pStyle w:val="ListBullet"/>
      </w:pPr>
      <w:r w:rsidRPr="008E3CFD">
        <w:t>Annual report</w:t>
      </w:r>
      <w:r>
        <w:t>s</w:t>
      </w:r>
      <w:r w:rsidRPr="008E3CFD">
        <w:t xml:space="preserve"> describing</w:t>
      </w:r>
      <w:r>
        <w:t xml:space="preserve"> c</w:t>
      </w:r>
      <w:r w:rsidRPr="008E3CFD">
        <w:t xml:space="preserve">hanges in dissolved </w:t>
      </w:r>
      <w:r>
        <w:t>and</w:t>
      </w:r>
      <w:r w:rsidRPr="008E3CFD">
        <w:t xml:space="preserve"> </w:t>
      </w:r>
      <w:r>
        <w:t>particulate</w:t>
      </w:r>
      <w:r w:rsidRPr="008E3CFD">
        <w:t xml:space="preserve"> matter associated with river flows and environmental conditions between Lock 1 and the Southern Ocean</w:t>
      </w:r>
      <w:r>
        <w:t>, and a</w:t>
      </w:r>
      <w:r w:rsidRPr="008E3CFD">
        <w:t xml:space="preserve">n assessment of the contribution of </w:t>
      </w:r>
      <w:r>
        <w:t>C</w:t>
      </w:r>
      <w:r w:rsidRPr="008E3CFD">
        <w:t xml:space="preserve">ommonwealth environmental water </w:t>
      </w:r>
      <w:r>
        <w:t>delivery</w:t>
      </w:r>
      <w:r w:rsidRPr="008E3CFD">
        <w:t xml:space="preserve"> to </w:t>
      </w:r>
      <w:r>
        <w:t xml:space="preserve">those changes. Depending on the availability of validation data, model outputs may be limited to changes between Lock 1 and Wellington.  </w:t>
      </w:r>
    </w:p>
    <w:p w14:paraId="579815C2" w14:textId="77777777" w:rsidR="008E3CFD" w:rsidRPr="008E3CFD" w:rsidRDefault="008E3CFD" w:rsidP="00F3527B">
      <w:pPr>
        <w:pStyle w:val="ListBullet"/>
      </w:pPr>
      <w:r w:rsidRPr="008E3CFD">
        <w:t>A database to assess the response of dissolved and particulate matter to flow</w:t>
      </w:r>
      <w:r w:rsidR="00383682">
        <w:t xml:space="preserve">s </w:t>
      </w:r>
      <w:r w:rsidRPr="008E3CFD">
        <w:t>from Lock 1 to the Southern Ocean</w:t>
      </w:r>
    </w:p>
    <w:p w14:paraId="0087994F" w14:textId="77777777" w:rsidR="008E3CFD" w:rsidRPr="008E3CFD" w:rsidRDefault="003A06CC" w:rsidP="00F3527B">
      <w:pPr>
        <w:pStyle w:val="ListBullet"/>
      </w:pPr>
      <w:r>
        <w:t>A validated hydrodynamic</w:t>
      </w:r>
      <w:r>
        <w:rPr>
          <w:rFonts w:eastAsiaTheme="majorEastAsia"/>
        </w:rPr>
        <w:t>–</w:t>
      </w:r>
      <w:r w:rsidR="008E3CFD" w:rsidRPr="008E3CFD">
        <w:t>biogeochemical model</w:t>
      </w:r>
      <w:r w:rsidR="00383682">
        <w:t xml:space="preserve"> </w:t>
      </w:r>
      <w:r w:rsidR="008E3CFD" w:rsidRPr="008E3CFD">
        <w:t>from Lock 1 to the Southern Ocean</w:t>
      </w:r>
      <w:r w:rsidR="00C7084C">
        <w:t>.</w:t>
      </w:r>
    </w:p>
    <w:p w14:paraId="6D111967" w14:textId="77777777" w:rsidR="00310F37" w:rsidRPr="008E3CFD" w:rsidRDefault="00310F37" w:rsidP="00EF7F2B">
      <w:pPr>
        <w:pStyle w:val="Heading5"/>
      </w:pPr>
      <w:r w:rsidRPr="008E3CFD">
        <w:t>Staff</w:t>
      </w:r>
    </w:p>
    <w:p w14:paraId="1522D07C" w14:textId="762402DD" w:rsidR="006D2C0D" w:rsidRPr="00EF7F2B" w:rsidRDefault="008D5909" w:rsidP="00EF7F2B">
      <w:pPr>
        <w:rPr>
          <w:i/>
        </w:rPr>
      </w:pPr>
      <w:r>
        <w:rPr>
          <w:i/>
        </w:rPr>
        <w:t>Professor</w:t>
      </w:r>
      <w:r w:rsidR="006D2C0D" w:rsidRPr="00EF7F2B">
        <w:rPr>
          <w:i/>
        </w:rPr>
        <w:t xml:space="preserve"> Justin Brookes</w:t>
      </w:r>
      <w:r w:rsidR="006D2C0D" w:rsidRPr="00EF7F2B">
        <w:rPr>
          <w:i/>
        </w:rPr>
        <w:tab/>
        <w:t xml:space="preserve"> In</w:t>
      </w:r>
      <w:r>
        <w:rPr>
          <w:i/>
        </w:rPr>
        <w:t xml:space="preserve"> F</w:t>
      </w:r>
      <w:r w:rsidR="00E25F7E">
        <w:rPr>
          <w:i/>
        </w:rPr>
        <w:t>usion Consulting/</w:t>
      </w:r>
      <w:r>
        <w:rPr>
          <w:i/>
        </w:rPr>
        <w:t>University of Adelaide</w:t>
      </w:r>
    </w:p>
    <w:p w14:paraId="73A4D54C" w14:textId="77777777" w:rsidR="006D2C0D" w:rsidRPr="008E3CFD" w:rsidRDefault="006D2C0D" w:rsidP="006D2C0D">
      <w:r w:rsidRPr="00110E74">
        <w:t>Justin Brookes is a limnologist with a broad interest in the biogeochemistry, primary productivity, phytoplankton and aquatic ecology, and the ecological functioning of stream, lake and estuarine ecosystems. Justin’s research focuses on human impacts upon natural inland water ecosystems and on providing tools for better management of these systems. Justin has considerable experience in develo</w:t>
      </w:r>
      <w:r>
        <w:t>p</w:t>
      </w:r>
      <w:r w:rsidRPr="00110E74">
        <w:t>ing tools to assist determination of flow requirements and resource delivery to the Lower Murray Lakes and Northern Coorong. Justin has also been involved in numerous projects assessing changes in water quality in the Lower Murray Selected Area associated with river flows. Information generated from this work has been used extensively by state government agencies in management of the region.</w:t>
      </w:r>
      <w:r w:rsidRPr="008E3CFD">
        <w:t xml:space="preserve"> </w:t>
      </w:r>
    </w:p>
    <w:p w14:paraId="29BE6BD2" w14:textId="77777777" w:rsidR="008E3CFD" w:rsidRPr="00EF7F2B" w:rsidRDefault="008E3CFD" w:rsidP="00EF7F2B">
      <w:pPr>
        <w:rPr>
          <w:i/>
        </w:rPr>
      </w:pPr>
      <w:r w:rsidRPr="00EF7F2B">
        <w:rPr>
          <w:i/>
        </w:rPr>
        <w:t xml:space="preserve">Assoc. Prof. Matt Hipsey </w:t>
      </w:r>
      <w:r w:rsidRPr="00EF7F2B">
        <w:rPr>
          <w:i/>
        </w:rPr>
        <w:tab/>
        <w:t xml:space="preserve">University of Western Australia </w:t>
      </w:r>
    </w:p>
    <w:p w14:paraId="093B3314" w14:textId="0E934628" w:rsidR="008E3CFD" w:rsidRPr="008E3CFD" w:rsidRDefault="008E3CFD" w:rsidP="00F02673">
      <w:r w:rsidRPr="008E3CFD">
        <w:t xml:space="preserve">Matt </w:t>
      </w:r>
      <w:r w:rsidR="00567A9C">
        <w:t xml:space="preserve">Hipsey </w:t>
      </w:r>
      <w:r w:rsidRPr="008E3CFD">
        <w:t>is an Associate Professor at the University of Western Australia and leads a research group active in the area of aquatic system mod</w:t>
      </w:r>
      <w:r w:rsidR="00567A9C">
        <w:t>elling. He has a long history of</w:t>
      </w:r>
      <w:r w:rsidRPr="008E3CFD">
        <w:t xml:space="preserve"> </w:t>
      </w:r>
      <w:r w:rsidR="003A06CC">
        <w:t>developing coupled hydrodynamic</w:t>
      </w:r>
      <w:r w:rsidR="003A06CC">
        <w:rPr>
          <w:rFonts w:eastAsiaTheme="majorEastAsia"/>
        </w:rPr>
        <w:t>–</w:t>
      </w:r>
      <w:r w:rsidR="003A06CC">
        <w:t>biogeochemical</w:t>
      </w:r>
      <w:r w:rsidR="003A06CC">
        <w:rPr>
          <w:rFonts w:eastAsiaTheme="majorEastAsia"/>
        </w:rPr>
        <w:t>–</w:t>
      </w:r>
      <w:r w:rsidRPr="008E3CFD">
        <w:t>ecological model platforms</w:t>
      </w:r>
      <w:r w:rsidR="00567A9C">
        <w:t>,</w:t>
      </w:r>
      <w:r w:rsidRPr="008E3CFD">
        <w:t xml:space="preserve"> particularly for lakes, rivers and estuarine environments. Since 2008 he has had an active role in developing 3D model systems for the region from Lock 1 to the Coorong</w:t>
      </w:r>
      <w:r w:rsidR="00567A9C">
        <w:t>,</w:t>
      </w:r>
      <w:r w:rsidRPr="008E3CFD">
        <w:t xml:space="preserve"> including assess</w:t>
      </w:r>
      <w:r w:rsidR="00CD0D08">
        <w:t>ing</w:t>
      </w:r>
      <w:r w:rsidRPr="008E3CFD">
        <w:t xml:space="preserve"> the impacts of drought and floods on water </w:t>
      </w:r>
      <w:r w:rsidRPr="008E3CFD">
        <w:lastRenderedPageBreak/>
        <w:t xml:space="preserve">quality </w:t>
      </w:r>
      <w:r w:rsidR="00567A9C">
        <w:t xml:space="preserve">parameters such as </w:t>
      </w:r>
      <w:r w:rsidRPr="008E3CFD">
        <w:t>nutrients, phytoplankton and geochemistry</w:t>
      </w:r>
      <w:r w:rsidR="00567A9C" w:rsidRPr="008E3CFD">
        <w:t xml:space="preserve">. </w:t>
      </w:r>
      <w:r w:rsidRPr="008E3CFD">
        <w:t xml:space="preserve">These models have been used by state government agencies </w:t>
      </w:r>
      <w:r w:rsidR="00567A9C">
        <w:t>to</w:t>
      </w:r>
      <w:r w:rsidRPr="008E3CFD">
        <w:t xml:space="preserve"> manag</w:t>
      </w:r>
      <w:r w:rsidR="00567A9C">
        <w:t xml:space="preserve">e </w:t>
      </w:r>
      <w:r w:rsidRPr="008E3CFD">
        <w:t>the region and will be</w:t>
      </w:r>
      <w:r w:rsidR="00567A9C">
        <w:t xml:space="preserve"> built upon for the </w:t>
      </w:r>
      <w:r w:rsidR="0059562E" w:rsidRPr="0059562E">
        <w:t>MER</w:t>
      </w:r>
      <w:r w:rsidR="00567A9C">
        <w:t xml:space="preserve"> Project</w:t>
      </w:r>
      <w:r w:rsidRPr="008E3CFD">
        <w:t>.</w:t>
      </w:r>
    </w:p>
    <w:p w14:paraId="3F234D4C" w14:textId="77777777" w:rsidR="006D01B2" w:rsidRPr="00EF7F2B" w:rsidRDefault="006D01B2" w:rsidP="00EF7F2B">
      <w:pPr>
        <w:rPr>
          <w:i/>
        </w:rPr>
      </w:pPr>
      <w:r w:rsidRPr="00EF7F2B">
        <w:rPr>
          <w:i/>
        </w:rPr>
        <w:t>Brendan Busch</w:t>
      </w:r>
      <w:r w:rsidRPr="00EF7F2B">
        <w:rPr>
          <w:i/>
        </w:rPr>
        <w:tab/>
        <w:t>University of Western Australia</w:t>
      </w:r>
    </w:p>
    <w:p w14:paraId="48593DF1" w14:textId="77777777" w:rsidR="00004726" w:rsidRPr="00004726" w:rsidRDefault="00004726" w:rsidP="00004726">
      <w:pPr>
        <w:rPr>
          <w:rFonts w:ascii="Calibri" w:hAnsi="Calibri" w:cs="Calibri"/>
          <w:color w:val="auto"/>
          <w:szCs w:val="22"/>
        </w:rPr>
      </w:pPr>
      <w:r w:rsidRPr="00004726">
        <w:rPr>
          <w:rFonts w:ascii="Calibri" w:hAnsi="Calibri" w:cs="Calibri"/>
          <w:color w:val="auto"/>
          <w:szCs w:val="22"/>
        </w:rPr>
        <w:t xml:space="preserve">Brenton Busch is a Senior Research Engineer </w:t>
      </w:r>
      <w:r w:rsidRPr="00004726">
        <w:rPr>
          <w:color w:val="auto"/>
        </w:rPr>
        <w:t xml:space="preserve">at the University of Western Australia. </w:t>
      </w:r>
      <w:r w:rsidRPr="00004726">
        <w:rPr>
          <w:rFonts w:ascii="Calibri" w:hAnsi="Calibri" w:cs="Calibri"/>
          <w:color w:val="auto"/>
          <w:szCs w:val="22"/>
        </w:rPr>
        <w:t>Brendan manages field and remote sensing data, and setup and assessment of computer models for the Aquatic Ecodynamic Research group (AED). His expertise was developed from extensive experience in the design and implementation of monitoring programs, which started as the Field Operations Manager for the Centre for Water Research (UWA) in 2006. In his current role, Brendan is also responsible for the design and creation of the AED group’s data and model processing platforms, specialising in data analysis within the MATLAB computing environment.</w:t>
      </w:r>
    </w:p>
    <w:p w14:paraId="59C73974" w14:textId="77777777" w:rsidR="00EF7F2B" w:rsidRDefault="00EF7F2B" w:rsidP="00501607"/>
    <w:p w14:paraId="0C1D1719" w14:textId="77777777" w:rsidR="00EF7F2B" w:rsidRDefault="00EF7F2B">
      <w:pPr>
        <w:spacing w:after="200" w:line="276" w:lineRule="auto"/>
        <w:jc w:val="left"/>
      </w:pPr>
      <w:r>
        <w:br w:type="page"/>
      </w:r>
    </w:p>
    <w:p w14:paraId="530BE263" w14:textId="0FD8A903" w:rsidR="00EF7F2B" w:rsidRDefault="00EF7F2B" w:rsidP="00EF7F2B">
      <w:pPr>
        <w:pStyle w:val="Heading4"/>
      </w:pPr>
      <w:r>
        <w:lastRenderedPageBreak/>
        <w:t xml:space="preserve">Coorong </w:t>
      </w:r>
      <w:r w:rsidR="00453653">
        <w:t>H</w:t>
      </w:r>
      <w:r w:rsidR="00022F0C">
        <w:t>abitat</w:t>
      </w:r>
    </w:p>
    <w:p w14:paraId="3535EE95" w14:textId="77777777" w:rsidR="00EF7F2B" w:rsidRPr="008E3CFD" w:rsidRDefault="00EF7F2B" w:rsidP="00EF7F2B">
      <w:pPr>
        <w:pStyle w:val="Heading5"/>
      </w:pPr>
      <w:r w:rsidRPr="008E3CFD">
        <w:t>Indicator</w:t>
      </w:r>
      <w:r>
        <w:t>s</w:t>
      </w:r>
    </w:p>
    <w:p w14:paraId="710EAB4F" w14:textId="77777777" w:rsidR="00EF7F2B" w:rsidRPr="00386E1A" w:rsidRDefault="00EF7F2B" w:rsidP="00EF7F2B">
      <w:pPr>
        <w:pStyle w:val="ListBullet"/>
      </w:pPr>
      <w:r>
        <w:t>Modelled salinity concentrations</w:t>
      </w:r>
    </w:p>
    <w:p w14:paraId="5ACEE617" w14:textId="674717A4" w:rsidR="00EF7F2B" w:rsidRDefault="00EF7F2B" w:rsidP="00EF7F2B">
      <w:pPr>
        <w:pStyle w:val="ListBullet"/>
      </w:pPr>
      <w:r>
        <w:t>Modelled w</w:t>
      </w:r>
      <w:r w:rsidRPr="00386E1A">
        <w:t>ater level</w:t>
      </w:r>
    </w:p>
    <w:p w14:paraId="2D62D934" w14:textId="5B9A9949" w:rsidR="008D5909" w:rsidRDefault="008D5909" w:rsidP="00EF7F2B">
      <w:pPr>
        <w:pStyle w:val="ListBullet"/>
      </w:pPr>
      <w:r>
        <w:t>Modelled extent of fish habitat</w:t>
      </w:r>
      <w:r w:rsidR="008A08F9">
        <w:t>,</w:t>
      </w:r>
      <w:r>
        <w:t xml:space="preserve"> based on salinities</w:t>
      </w:r>
    </w:p>
    <w:p w14:paraId="2AF7EE6F" w14:textId="3B4888A8" w:rsidR="008D5909" w:rsidRPr="00386E1A" w:rsidRDefault="008D5909" w:rsidP="00EF7F2B">
      <w:pPr>
        <w:pStyle w:val="ListBullet"/>
      </w:pPr>
      <w:r>
        <w:t xml:space="preserve">Modelled extent of </w:t>
      </w:r>
      <w:r w:rsidRPr="008D5909">
        <w:rPr>
          <w:i/>
        </w:rPr>
        <w:t>Ruppia</w:t>
      </w:r>
      <w:r>
        <w:t xml:space="preserve"> habitat</w:t>
      </w:r>
      <w:r w:rsidR="008A08F9">
        <w:t>,</w:t>
      </w:r>
      <w:r>
        <w:t xml:space="preserve"> based on </w:t>
      </w:r>
      <w:r w:rsidR="008A08F9">
        <w:t>environmental conditions.</w:t>
      </w:r>
      <w:r>
        <w:t xml:space="preserve"> </w:t>
      </w:r>
    </w:p>
    <w:p w14:paraId="4E5DEBE1" w14:textId="77777777" w:rsidR="00EF7F2B" w:rsidRPr="008E3CFD" w:rsidRDefault="00EF7F2B" w:rsidP="00EF7F2B">
      <w:pPr>
        <w:pStyle w:val="Heading5"/>
      </w:pPr>
      <w:r w:rsidRPr="008E3CFD">
        <w:t>Background</w:t>
      </w:r>
    </w:p>
    <w:p w14:paraId="042EE352" w14:textId="6415970E" w:rsidR="00EF7F2B" w:rsidRDefault="00DA5568" w:rsidP="00DA5568">
      <w:r>
        <w:t>F</w:t>
      </w:r>
      <w:r w:rsidRPr="004F70B2">
        <w:t xml:space="preserve">reshwater flows </w:t>
      </w:r>
      <w:r>
        <w:t xml:space="preserve">are important in maintaining estuarine habitat and ecosystem health of the Coorong (Brookes </w:t>
      </w:r>
      <w:r w:rsidRPr="00DA5568">
        <w:rPr>
          <w:i/>
        </w:rPr>
        <w:t>et al.</w:t>
      </w:r>
      <w:r>
        <w:t xml:space="preserve"> 2009)</w:t>
      </w:r>
      <w:r w:rsidRPr="004F70B2">
        <w:t>.</w:t>
      </w:r>
      <w:r>
        <w:t xml:space="preserve"> </w:t>
      </w:r>
      <w:r w:rsidRPr="0099765D">
        <w:rPr>
          <w:i/>
        </w:rPr>
        <w:t>Ruppia</w:t>
      </w:r>
      <w:r>
        <w:rPr>
          <w:i/>
        </w:rPr>
        <w:t xml:space="preserve"> tuberosa</w:t>
      </w:r>
      <w:r w:rsidRPr="0099765D">
        <w:t xml:space="preserve"> is an important macrophyte in the Coorong that provides habitat for fish and food for herbivorous birds in the Coorong</w:t>
      </w:r>
      <w:r>
        <w:t xml:space="preserve"> (</w:t>
      </w:r>
      <w:r w:rsidR="00EE6F27">
        <w:t>Phillips and Muller 2006</w:t>
      </w:r>
      <w:r>
        <w:t>)</w:t>
      </w:r>
      <w:r w:rsidRPr="0099765D">
        <w:t xml:space="preserve">. </w:t>
      </w:r>
      <w:r w:rsidR="00F4533B" w:rsidRPr="0099765D">
        <w:t xml:space="preserve">The germination and growth of </w:t>
      </w:r>
      <w:r w:rsidR="00F4533B" w:rsidRPr="0099765D">
        <w:rPr>
          <w:i/>
        </w:rPr>
        <w:t>Ruppia</w:t>
      </w:r>
      <w:r w:rsidR="00F4533B" w:rsidRPr="0099765D">
        <w:t xml:space="preserve"> is known to be governed in large part by the salinity and water level regimes which </w:t>
      </w:r>
      <w:r w:rsidR="00F4533B">
        <w:t>are influenced by flows through the barrages</w:t>
      </w:r>
      <w:r w:rsidR="00276F04">
        <w:t xml:space="preserve"> (Kim </w:t>
      </w:r>
      <w:r w:rsidR="00276F04" w:rsidRPr="003B4942">
        <w:rPr>
          <w:i/>
        </w:rPr>
        <w:t>et al.</w:t>
      </w:r>
      <w:r w:rsidR="00276F04">
        <w:t xml:space="preserve"> </w:t>
      </w:r>
      <w:r w:rsidR="005D6FE5">
        <w:t>2013</w:t>
      </w:r>
      <w:r w:rsidR="00276F04">
        <w:t>)</w:t>
      </w:r>
      <w:r w:rsidR="00F4533B">
        <w:t xml:space="preserve">. Other factors that influence </w:t>
      </w:r>
      <w:r w:rsidR="00F4533B" w:rsidRPr="009025D7">
        <w:rPr>
          <w:i/>
        </w:rPr>
        <w:t>Ruppia</w:t>
      </w:r>
      <w:r w:rsidR="00F4533B">
        <w:t xml:space="preserve"> growth include nutrient availability, water temperature, sediment quality and interactions with algae, including shading of light and interference with flowers and fruits on the surface.</w:t>
      </w:r>
      <w:r w:rsidR="00F4533B" w:rsidRPr="0099765D">
        <w:t xml:space="preserve"> </w:t>
      </w:r>
      <w:r w:rsidR="00B91453">
        <w:t>Early s</w:t>
      </w:r>
      <w:r w:rsidR="00F4533B" w:rsidRPr="0099765D">
        <w:t>ummer flows are likely to be particularly beneficial as they delay the drop in wate</w:t>
      </w:r>
      <w:r w:rsidR="009D047B">
        <w:t>r level in the South Lagoon and</w:t>
      </w:r>
      <w:r w:rsidR="009D047B" w:rsidRPr="0099765D">
        <w:t xml:space="preserve"> </w:t>
      </w:r>
      <w:r w:rsidR="009D047B">
        <w:t>can prevent extreme salinities emerging, thereby encouraging a more complete reproductive cycle</w:t>
      </w:r>
      <w:r w:rsidR="009D047B" w:rsidRPr="0099765D">
        <w:t>.</w:t>
      </w:r>
      <w:r w:rsidR="009D047B">
        <w:t xml:space="preserve"> </w:t>
      </w:r>
      <w:r w:rsidR="00F4533B" w:rsidRPr="0099765D">
        <w:t xml:space="preserve">In addition, salinity has also been identified as the key driver that influences fish assemblage structure and the extent of estuarine fish habitat in the </w:t>
      </w:r>
      <w:r w:rsidR="00F4533B" w:rsidRPr="001B7243">
        <w:t xml:space="preserve">Coorong (Ye </w:t>
      </w:r>
      <w:r w:rsidR="00F4533B" w:rsidRPr="001B7243">
        <w:rPr>
          <w:i/>
        </w:rPr>
        <w:t>et al.</w:t>
      </w:r>
      <w:r w:rsidR="00F4533B" w:rsidRPr="001B7243">
        <w:t xml:space="preserve"> 2011).</w:t>
      </w:r>
      <w:r w:rsidR="00F4533B" w:rsidRPr="0099765D">
        <w:t xml:space="preserve"> This </w:t>
      </w:r>
      <w:r w:rsidR="00F4533B">
        <w:t>sub-</w:t>
      </w:r>
      <w:r w:rsidR="00F4533B" w:rsidRPr="0099765D">
        <w:t xml:space="preserve">project aims to assess the benefits of environmental flows for the enhancement of </w:t>
      </w:r>
      <w:r w:rsidR="00F4533B" w:rsidRPr="0099765D">
        <w:rPr>
          <w:i/>
        </w:rPr>
        <w:t>Ruppia</w:t>
      </w:r>
      <w:r w:rsidR="00F4533B" w:rsidRPr="0099765D">
        <w:t xml:space="preserve"> habitat, particularly those that are delivered</w:t>
      </w:r>
      <w:r w:rsidR="00F4533B">
        <w:t xml:space="preserve"> in</w:t>
      </w:r>
      <w:r w:rsidR="00F4533B" w:rsidRPr="0099765D">
        <w:t xml:space="preserve"> summer, as well as the improvement of estuarine fish habitat for several key species with different level</w:t>
      </w:r>
      <w:r w:rsidR="00F4533B">
        <w:t>s</w:t>
      </w:r>
      <w:r w:rsidR="00F4533B" w:rsidRPr="0099765D">
        <w:t xml:space="preserve"> of salinity tolerance.</w:t>
      </w:r>
    </w:p>
    <w:p w14:paraId="30802094" w14:textId="77777777" w:rsidR="00F359A2" w:rsidRDefault="00F359A2" w:rsidP="00DA5568">
      <w:pPr>
        <w:pStyle w:val="Heading5"/>
      </w:pPr>
    </w:p>
    <w:p w14:paraId="32A2BF34" w14:textId="77777777" w:rsidR="00F359A2" w:rsidRDefault="00F359A2">
      <w:pPr>
        <w:spacing w:after="200" w:line="276" w:lineRule="auto"/>
        <w:jc w:val="left"/>
        <w:rPr>
          <w:rFonts w:eastAsiaTheme="minorHAnsi" w:cstheme="majorBidi"/>
          <w:b/>
          <w:bCs/>
          <w:i/>
          <w:iCs/>
          <w:color w:val="auto"/>
          <w:kern w:val="0"/>
          <w:szCs w:val="22"/>
        </w:rPr>
      </w:pPr>
      <w:r>
        <w:br w:type="page"/>
      </w:r>
    </w:p>
    <w:p w14:paraId="71E4F604" w14:textId="5994DD7B" w:rsidR="00DA5568" w:rsidRPr="00C1799F" w:rsidRDefault="00DA5568" w:rsidP="00DA5568">
      <w:pPr>
        <w:pStyle w:val="Heading5"/>
      </w:pPr>
      <w:r w:rsidRPr="00A02235">
        <w:lastRenderedPageBreak/>
        <w:t>Cause and effect diagram</w:t>
      </w:r>
    </w:p>
    <w:p w14:paraId="4C5D9D2D" w14:textId="7279A0D6" w:rsidR="00BB7AC1" w:rsidRDefault="00EF7F2B" w:rsidP="00BB7AC1">
      <w:pPr>
        <w:jc w:val="center"/>
      </w:pPr>
      <w:r w:rsidRPr="00F73F85">
        <w:t xml:space="preserve"> </w:t>
      </w:r>
      <w:r w:rsidR="00BB7AC1" w:rsidRPr="00BB7AC1">
        <w:t xml:space="preserve"> </w:t>
      </w:r>
      <w:r w:rsidR="00ED3293" w:rsidRPr="00ED3293">
        <w:rPr>
          <w:noProof/>
          <w:lang w:eastAsia="en-AU"/>
        </w:rPr>
        <w:drawing>
          <wp:inline distT="0" distB="0" distL="0" distR="0" wp14:anchorId="21C738CD" wp14:editId="09287D3C">
            <wp:extent cx="4759511" cy="39820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765077" cy="3986742"/>
                    </a:xfrm>
                    <a:prstGeom prst="rect">
                      <a:avLst/>
                    </a:prstGeom>
                    <a:noFill/>
                    <a:ln>
                      <a:noFill/>
                    </a:ln>
                  </pic:spPr>
                </pic:pic>
              </a:graphicData>
            </a:graphic>
          </wp:inline>
        </w:drawing>
      </w:r>
    </w:p>
    <w:p w14:paraId="2B9CCBB5" w14:textId="3868B2AE" w:rsidR="00BB7AC1" w:rsidRPr="008E3CFD" w:rsidRDefault="003A61CA" w:rsidP="00BB7AC1">
      <w:pPr>
        <w:jc w:val="center"/>
      </w:pPr>
      <w:r w:rsidRPr="003A61CA">
        <w:t xml:space="preserve"> </w:t>
      </w:r>
      <w:r w:rsidRPr="003A61CA">
        <w:rPr>
          <w:noProof/>
          <w:lang w:eastAsia="en-AU"/>
        </w:rPr>
        <w:drawing>
          <wp:inline distT="0" distB="0" distL="0" distR="0" wp14:anchorId="268096DE" wp14:editId="6D01C743">
            <wp:extent cx="4278333" cy="3875666"/>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284980" cy="3881688"/>
                    </a:xfrm>
                    <a:prstGeom prst="rect">
                      <a:avLst/>
                    </a:prstGeom>
                    <a:noFill/>
                    <a:ln>
                      <a:noFill/>
                    </a:ln>
                  </pic:spPr>
                </pic:pic>
              </a:graphicData>
            </a:graphic>
          </wp:inline>
        </w:drawing>
      </w:r>
    </w:p>
    <w:p w14:paraId="09441A9B" w14:textId="2A8D0CF2" w:rsidR="00EF7F2B" w:rsidRPr="008E3CFD" w:rsidRDefault="00251188" w:rsidP="00251188">
      <w:pPr>
        <w:pStyle w:val="Caption"/>
      </w:pPr>
      <w:bookmarkStart w:id="128" w:name="_Toc12630437"/>
      <w:r>
        <w:t xml:space="preserve">Figure </w:t>
      </w:r>
      <w:r w:rsidR="00A8252A">
        <w:rPr>
          <w:noProof/>
        </w:rPr>
        <w:fldChar w:fldCharType="begin"/>
      </w:r>
      <w:r w:rsidR="00A8252A">
        <w:rPr>
          <w:noProof/>
        </w:rPr>
        <w:instrText xml:space="preserve"> STYLEREF 1 \s </w:instrText>
      </w:r>
      <w:r w:rsidR="00A8252A">
        <w:rPr>
          <w:noProof/>
        </w:rPr>
        <w:fldChar w:fldCharType="separate"/>
      </w:r>
      <w:r w:rsidR="00DF49CD">
        <w:rPr>
          <w:noProof/>
        </w:rPr>
        <w:t>5</w:t>
      </w:r>
      <w:r w:rsidR="00A8252A">
        <w:rPr>
          <w:noProof/>
        </w:rPr>
        <w:fldChar w:fldCharType="end"/>
      </w:r>
      <w:r>
        <w:t>.</w:t>
      </w:r>
      <w:r w:rsidR="00A8252A">
        <w:rPr>
          <w:noProof/>
        </w:rPr>
        <w:fldChar w:fldCharType="begin"/>
      </w:r>
      <w:r w:rsidR="00A8252A">
        <w:rPr>
          <w:noProof/>
        </w:rPr>
        <w:instrText xml:space="preserve"> SEQ Figure \* ARABIC \s 1 </w:instrText>
      </w:r>
      <w:r w:rsidR="00A8252A">
        <w:rPr>
          <w:noProof/>
        </w:rPr>
        <w:fldChar w:fldCharType="separate"/>
      </w:r>
      <w:r w:rsidR="00DF49CD">
        <w:rPr>
          <w:noProof/>
        </w:rPr>
        <w:t>6</w:t>
      </w:r>
      <w:r w:rsidR="00A8252A">
        <w:rPr>
          <w:noProof/>
        </w:rPr>
        <w:fldChar w:fldCharType="end"/>
      </w:r>
      <w:r>
        <w:t xml:space="preserve">. </w:t>
      </w:r>
      <w:r w:rsidR="00EF7F2B" w:rsidRPr="005D16B6">
        <w:t xml:space="preserve">Coorong </w:t>
      </w:r>
      <w:r w:rsidR="00DB31B4" w:rsidRPr="00DB31B4">
        <w:rPr>
          <w:i/>
        </w:rPr>
        <w:t>Ruppia</w:t>
      </w:r>
      <w:r w:rsidR="00DB31B4">
        <w:t xml:space="preserve"> </w:t>
      </w:r>
      <w:r w:rsidR="00BB7AC1">
        <w:t xml:space="preserve">(top) and fish (bottom) </w:t>
      </w:r>
      <w:r w:rsidR="00DB31B4">
        <w:t>h</w:t>
      </w:r>
      <w:r w:rsidR="00EF7F2B" w:rsidRPr="00F73F85">
        <w:t xml:space="preserve">abitat cause and effect diagram. </w:t>
      </w:r>
      <w:r w:rsidR="00EF7F2B" w:rsidRPr="00F73F85">
        <w:rPr>
          <w:lang w:val="en-US"/>
        </w:rPr>
        <w:t>Magnitude, timing and duration are factors of flow (in black).</w:t>
      </w:r>
      <w:bookmarkEnd w:id="128"/>
      <w:r w:rsidR="00EF7F2B" w:rsidRPr="008E3CFD">
        <w:rPr>
          <w:lang w:val="en-US"/>
        </w:rPr>
        <w:t xml:space="preserve"> </w:t>
      </w:r>
    </w:p>
    <w:p w14:paraId="14BD5B37" w14:textId="77777777" w:rsidR="00EF7F2B" w:rsidRPr="008E3CFD" w:rsidRDefault="00EF7F2B" w:rsidP="00EF7F2B">
      <w:pPr>
        <w:pStyle w:val="Heading5"/>
      </w:pPr>
      <w:r w:rsidRPr="008E3CFD">
        <w:lastRenderedPageBreak/>
        <w:t xml:space="preserve">Key </w:t>
      </w:r>
      <w:r>
        <w:t>evaluation question</w:t>
      </w:r>
    </w:p>
    <w:p w14:paraId="343E31C3" w14:textId="4AAF9A8E" w:rsidR="00F4533B" w:rsidRPr="00337BF1" w:rsidRDefault="004A238E" w:rsidP="00F4533B">
      <w:pPr>
        <w:pStyle w:val="TableText"/>
        <w:rPr>
          <w:sz w:val="22"/>
        </w:rPr>
      </w:pPr>
      <w:r w:rsidRPr="00337BF1">
        <w:rPr>
          <w:sz w:val="22"/>
        </w:rPr>
        <w:t xml:space="preserve">Selected Area </w:t>
      </w:r>
      <w:r>
        <w:rPr>
          <w:sz w:val="22"/>
        </w:rPr>
        <w:t xml:space="preserve">evaluation </w:t>
      </w:r>
      <w:r w:rsidRPr="00337BF1">
        <w:rPr>
          <w:sz w:val="22"/>
        </w:rPr>
        <w:t>questions</w:t>
      </w:r>
      <w:r w:rsidR="00F4533B" w:rsidRPr="00337BF1">
        <w:rPr>
          <w:sz w:val="22"/>
        </w:rPr>
        <w:t>:</w:t>
      </w:r>
    </w:p>
    <w:p w14:paraId="5107C7DA" w14:textId="77777777" w:rsidR="00F4533B" w:rsidRDefault="00F4533B" w:rsidP="00F4533B">
      <w:pPr>
        <w:pStyle w:val="TableBullets"/>
        <w:tabs>
          <w:tab w:val="num" w:pos="360"/>
        </w:tabs>
        <w:rPr>
          <w:sz w:val="22"/>
        </w:rPr>
      </w:pPr>
      <w:r w:rsidRPr="00557D7E">
        <w:rPr>
          <w:sz w:val="22"/>
        </w:rPr>
        <w:t xml:space="preserve">What did </w:t>
      </w:r>
      <w:r w:rsidRPr="00557D7E">
        <w:rPr>
          <w:kern w:val="0"/>
          <w:sz w:val="22"/>
        </w:rPr>
        <w:t>Commonwealth environmental water</w:t>
      </w:r>
      <w:r w:rsidRPr="00557D7E">
        <w:rPr>
          <w:sz w:val="22"/>
        </w:rPr>
        <w:t xml:space="preserve"> contribute to </w:t>
      </w:r>
      <w:r>
        <w:rPr>
          <w:sz w:val="22"/>
        </w:rPr>
        <w:t xml:space="preserve">improving </w:t>
      </w:r>
      <w:r w:rsidRPr="00EF29F4">
        <w:rPr>
          <w:i/>
          <w:sz w:val="22"/>
        </w:rPr>
        <w:t>Ruppia tuberosa</w:t>
      </w:r>
      <w:r>
        <w:rPr>
          <w:sz w:val="22"/>
        </w:rPr>
        <w:t xml:space="preserve"> habitat in the Coorong</w:t>
      </w:r>
      <w:r w:rsidRPr="00557D7E">
        <w:rPr>
          <w:sz w:val="22"/>
        </w:rPr>
        <w:t>?</w:t>
      </w:r>
    </w:p>
    <w:p w14:paraId="328AD102" w14:textId="77777777" w:rsidR="00F4533B" w:rsidRPr="004176ED" w:rsidRDefault="00F4533B" w:rsidP="00F4533B">
      <w:pPr>
        <w:pStyle w:val="TableBullets"/>
        <w:tabs>
          <w:tab w:val="num" w:pos="360"/>
        </w:tabs>
        <w:rPr>
          <w:sz w:val="22"/>
        </w:rPr>
      </w:pPr>
      <w:r w:rsidRPr="00557D7E">
        <w:rPr>
          <w:sz w:val="22"/>
        </w:rPr>
        <w:t xml:space="preserve">What did </w:t>
      </w:r>
      <w:r w:rsidRPr="00557D7E">
        <w:rPr>
          <w:kern w:val="0"/>
          <w:sz w:val="22"/>
        </w:rPr>
        <w:t>Commonwealth environmental water</w:t>
      </w:r>
      <w:r w:rsidRPr="00557D7E">
        <w:rPr>
          <w:sz w:val="22"/>
        </w:rPr>
        <w:t xml:space="preserve"> contribute to </w:t>
      </w:r>
      <w:r>
        <w:rPr>
          <w:sz w:val="22"/>
        </w:rPr>
        <w:t>improving fish habitat in the Coorong</w:t>
      </w:r>
      <w:r w:rsidRPr="00557D7E">
        <w:rPr>
          <w:sz w:val="22"/>
        </w:rPr>
        <w:t>?</w:t>
      </w:r>
    </w:p>
    <w:p w14:paraId="61C60F49" w14:textId="77777777" w:rsidR="00EF7F2B" w:rsidRDefault="00EF7F2B" w:rsidP="00EF7F2B">
      <w:pPr>
        <w:pStyle w:val="Heading5"/>
      </w:pPr>
      <w:r>
        <w:t>Objectives and hypotheses</w:t>
      </w:r>
    </w:p>
    <w:p w14:paraId="74F76EFD" w14:textId="77777777" w:rsidR="00F4533B" w:rsidRDefault="00F4533B" w:rsidP="00F4533B">
      <w:r>
        <w:t xml:space="preserve">The </w:t>
      </w:r>
      <w:r w:rsidRPr="003422E9">
        <w:t>objective of this indicator is to</w:t>
      </w:r>
      <w:r>
        <w:t>:</w:t>
      </w:r>
    </w:p>
    <w:p w14:paraId="5369D506" w14:textId="77777777" w:rsidR="00F4533B" w:rsidRPr="005A2124" w:rsidRDefault="00F4533B" w:rsidP="00F4533B">
      <w:pPr>
        <w:pStyle w:val="ListBullet"/>
      </w:pPr>
      <w:r w:rsidRPr="005A2124">
        <w:t xml:space="preserve">Assess whether Commonwealth environmental water has enhanced </w:t>
      </w:r>
      <w:r>
        <w:rPr>
          <w:i/>
        </w:rPr>
        <w:t>Ruppia</w:t>
      </w:r>
      <w:r w:rsidRPr="005A2124">
        <w:rPr>
          <w:i/>
        </w:rPr>
        <w:t xml:space="preserve"> tuberosa </w:t>
      </w:r>
      <w:r w:rsidRPr="005A2124">
        <w:t xml:space="preserve">and fish habitats in the Coorong, through reduced salinity and increased water levels. </w:t>
      </w:r>
    </w:p>
    <w:p w14:paraId="1E1E1D6D" w14:textId="77777777" w:rsidR="00F4533B" w:rsidRPr="008E3CFD" w:rsidRDefault="00F4533B" w:rsidP="00F4533B">
      <w:r>
        <w:t>The hypothesi</w:t>
      </w:r>
      <w:r w:rsidRPr="008E3CFD">
        <w:t>s</w:t>
      </w:r>
      <w:r>
        <w:t xml:space="preserve"> is:</w:t>
      </w:r>
    </w:p>
    <w:p w14:paraId="045B94B3" w14:textId="77777777" w:rsidR="00F4533B" w:rsidRPr="008E3CFD" w:rsidRDefault="00F4533B" w:rsidP="00F4533B">
      <w:pPr>
        <w:pStyle w:val="ListBullet"/>
      </w:pPr>
      <w:r w:rsidRPr="00F537DB">
        <w:t>Increased freshwater flow through the barrages and into the Coorong due to environmental watering will reduce salinity and increase water levels in the Coorong, thus enhancing</w:t>
      </w:r>
      <w:r>
        <w:t xml:space="preserve"> the extent of</w:t>
      </w:r>
      <w:r w:rsidRPr="00F537DB">
        <w:t xml:space="preserve"> </w:t>
      </w:r>
      <w:r>
        <w:rPr>
          <w:i/>
        </w:rPr>
        <w:t>Ruppia</w:t>
      </w:r>
      <w:r w:rsidRPr="005A2124">
        <w:rPr>
          <w:i/>
        </w:rPr>
        <w:t xml:space="preserve"> tuberosa </w:t>
      </w:r>
      <w:r w:rsidRPr="00F537DB">
        <w:t>and fish habitats.</w:t>
      </w:r>
    </w:p>
    <w:p w14:paraId="6978B8D1" w14:textId="77777777" w:rsidR="00EF7F2B" w:rsidRPr="008E3CFD" w:rsidRDefault="00EF7F2B" w:rsidP="00EF7F2B">
      <w:pPr>
        <w:pStyle w:val="Heading5"/>
      </w:pPr>
      <w:r>
        <w:t>General m</w:t>
      </w:r>
      <w:r w:rsidRPr="008E3CFD">
        <w:t>ethodology</w:t>
      </w:r>
    </w:p>
    <w:p w14:paraId="300CE84F" w14:textId="77777777" w:rsidR="00F4533B" w:rsidRPr="008E3CFD" w:rsidRDefault="00F4533B" w:rsidP="00F4533B">
      <w:r>
        <w:rPr>
          <w:rFonts w:ascii="Calibri" w:hAnsi="Calibri" w:cs="Calibri"/>
        </w:rPr>
        <w:t>This project will use the</w:t>
      </w:r>
      <w:r w:rsidRPr="005A4ABB">
        <w:rPr>
          <w:rFonts w:ascii="Calibri" w:hAnsi="Calibri" w:cs="Calibri"/>
        </w:rPr>
        <w:t xml:space="preserve"> </w:t>
      </w:r>
      <w:r>
        <w:rPr>
          <w:rFonts w:ascii="Calibri" w:hAnsi="Calibri" w:cs="Calibri"/>
        </w:rPr>
        <w:t>2D CLLMM model system</w:t>
      </w:r>
      <w:r w:rsidRPr="004C1A6B">
        <w:rPr>
          <w:rFonts w:ascii="Calibri" w:hAnsi="Calibri" w:cs="Calibri"/>
        </w:rPr>
        <w:t xml:space="preserve"> </w:t>
      </w:r>
      <w:r>
        <w:rPr>
          <w:rFonts w:ascii="Calibri" w:hAnsi="Calibri" w:cs="Calibri"/>
        </w:rPr>
        <w:t>based on the AED2 platform</w:t>
      </w:r>
      <w:r w:rsidRPr="005A4ABB">
        <w:rPr>
          <w:rFonts w:ascii="Calibri" w:hAnsi="Calibri" w:cs="Calibri"/>
        </w:rPr>
        <w:t xml:space="preserve"> (</w:t>
      </w:r>
      <w:r>
        <w:rPr>
          <w:rFonts w:ascii="Calibri" w:hAnsi="Calibri" w:cs="Calibri"/>
        </w:rPr>
        <w:t xml:space="preserve">Hipsey </w:t>
      </w:r>
      <w:r w:rsidRPr="004E19E6">
        <w:rPr>
          <w:rFonts w:ascii="Calibri" w:hAnsi="Calibri" w:cs="Calibri"/>
          <w:i/>
        </w:rPr>
        <w:t>et al.</w:t>
      </w:r>
      <w:r>
        <w:rPr>
          <w:rFonts w:ascii="Calibri" w:hAnsi="Calibri" w:cs="Calibri"/>
        </w:rPr>
        <w:t xml:space="preserve"> 2019</w:t>
      </w:r>
      <w:r w:rsidRPr="005A4ABB">
        <w:rPr>
          <w:rFonts w:ascii="Calibri" w:hAnsi="Calibri" w:cs="Calibri"/>
        </w:rPr>
        <w:t>)</w:t>
      </w:r>
      <w:r>
        <w:rPr>
          <w:rFonts w:ascii="Calibri" w:hAnsi="Calibri" w:cs="Calibri"/>
        </w:rPr>
        <w:t>,</w:t>
      </w:r>
      <w:r w:rsidRPr="005A4ABB">
        <w:rPr>
          <w:rFonts w:ascii="Calibri" w:hAnsi="Calibri" w:cs="Calibri"/>
        </w:rPr>
        <w:t xml:space="preserve"> to simulate water level and salinity</w:t>
      </w:r>
      <w:r>
        <w:rPr>
          <w:rFonts w:ascii="Calibri" w:hAnsi="Calibri" w:cs="Calibri"/>
        </w:rPr>
        <w:t>, spanning</w:t>
      </w:r>
      <w:r w:rsidRPr="005A4ABB">
        <w:rPr>
          <w:rFonts w:ascii="Calibri" w:hAnsi="Calibri" w:cs="Calibri"/>
        </w:rPr>
        <w:t xml:space="preserve"> </w:t>
      </w:r>
      <w:r>
        <w:rPr>
          <w:rFonts w:ascii="Calibri" w:hAnsi="Calibri" w:cs="Calibri"/>
        </w:rPr>
        <w:t xml:space="preserve">from the Lower Murray </w:t>
      </w:r>
      <w:r w:rsidRPr="005A4ABB">
        <w:rPr>
          <w:rFonts w:ascii="Calibri" w:hAnsi="Calibri" w:cs="Calibri"/>
        </w:rPr>
        <w:t xml:space="preserve">to the southern end of the South Lagoon. The hydrodynamic model is based on daily </w:t>
      </w:r>
      <w:r>
        <w:rPr>
          <w:rFonts w:ascii="Calibri" w:hAnsi="Calibri" w:cs="Calibri"/>
        </w:rPr>
        <w:t xml:space="preserve">river </w:t>
      </w:r>
      <w:r w:rsidRPr="005A4ABB">
        <w:rPr>
          <w:rFonts w:ascii="Calibri" w:hAnsi="Calibri" w:cs="Calibri"/>
        </w:rPr>
        <w:t>flow</w:t>
      </w:r>
      <w:r>
        <w:rPr>
          <w:rFonts w:ascii="Calibri" w:hAnsi="Calibri" w:cs="Calibri"/>
        </w:rPr>
        <w:t>s, oceanic and meteorological conditions, and barrage operation logic</w:t>
      </w:r>
      <w:r w:rsidRPr="005A4ABB">
        <w:rPr>
          <w:rFonts w:ascii="Calibri" w:hAnsi="Calibri" w:cs="Calibri"/>
        </w:rPr>
        <w:t xml:space="preserve">. Salinities and water level along the North and South Lagoon </w:t>
      </w:r>
      <w:r>
        <w:rPr>
          <w:rFonts w:ascii="Calibri" w:hAnsi="Calibri" w:cs="Calibri"/>
        </w:rPr>
        <w:t xml:space="preserve">of the Coorong are </w:t>
      </w:r>
      <w:r w:rsidRPr="005A4ABB">
        <w:rPr>
          <w:rFonts w:ascii="Calibri" w:hAnsi="Calibri" w:cs="Calibri"/>
        </w:rPr>
        <w:t xml:space="preserve">calculated </w:t>
      </w:r>
      <w:r>
        <w:rPr>
          <w:rFonts w:ascii="Calibri" w:hAnsi="Calibri" w:cs="Calibri"/>
        </w:rPr>
        <w:t>at a fine 2D</w:t>
      </w:r>
      <w:r w:rsidRPr="005A4ABB">
        <w:rPr>
          <w:rFonts w:ascii="Calibri" w:hAnsi="Calibri" w:cs="Calibri"/>
        </w:rPr>
        <w:t xml:space="preserve"> resolution</w:t>
      </w:r>
      <w:r>
        <w:rPr>
          <w:rFonts w:ascii="Calibri" w:hAnsi="Calibri" w:cs="Calibri"/>
        </w:rPr>
        <w:t>,</w:t>
      </w:r>
      <w:r w:rsidRPr="005A4ABB">
        <w:rPr>
          <w:rFonts w:ascii="Calibri" w:hAnsi="Calibri" w:cs="Calibri"/>
        </w:rPr>
        <w:t xml:space="preserve"> </w:t>
      </w:r>
      <w:r>
        <w:rPr>
          <w:rFonts w:ascii="Calibri" w:hAnsi="Calibri" w:cs="Calibri"/>
        </w:rPr>
        <w:t>allowing analysis of suitable areas of habitat</w:t>
      </w:r>
      <w:r w:rsidRPr="005A4ABB">
        <w:rPr>
          <w:rFonts w:ascii="Calibri" w:hAnsi="Calibri" w:cs="Calibri"/>
        </w:rPr>
        <w:t xml:space="preserve">. </w:t>
      </w:r>
      <w:r>
        <w:rPr>
          <w:rFonts w:ascii="Calibri" w:hAnsi="Calibri" w:cs="Calibri"/>
        </w:rPr>
        <w:t xml:space="preserve">The model has been validated in detail against available water level and salinity monitoring across the Coorong in collaboration with DEW. </w:t>
      </w:r>
    </w:p>
    <w:p w14:paraId="33414857" w14:textId="15A962A8" w:rsidR="00DA5568" w:rsidRDefault="00F4533B" w:rsidP="00F4533B">
      <w:pPr>
        <w:rPr>
          <w:rFonts w:ascii="Calibri" w:hAnsi="Calibri" w:cs="Calibri"/>
        </w:rPr>
      </w:pPr>
      <w:r>
        <w:rPr>
          <w:rFonts w:ascii="Calibri" w:hAnsi="Calibri" w:cs="Calibri"/>
        </w:rPr>
        <w:t>R</w:t>
      </w:r>
      <w:r w:rsidRPr="005A4ABB">
        <w:rPr>
          <w:rFonts w:ascii="Calibri" w:hAnsi="Calibri" w:cs="Calibri"/>
        </w:rPr>
        <w:t xml:space="preserve">esults of salinities and water levels from </w:t>
      </w:r>
      <w:r>
        <w:rPr>
          <w:rFonts w:ascii="Calibri" w:hAnsi="Calibri" w:cs="Calibri"/>
        </w:rPr>
        <w:t xml:space="preserve">simulations with and without environmental water </w:t>
      </w:r>
      <w:r w:rsidRPr="005A4ABB">
        <w:rPr>
          <w:rFonts w:ascii="Calibri" w:hAnsi="Calibri" w:cs="Calibri"/>
        </w:rPr>
        <w:t xml:space="preserve">scenario </w:t>
      </w:r>
      <w:r>
        <w:rPr>
          <w:rFonts w:ascii="Calibri" w:hAnsi="Calibri" w:cs="Calibri"/>
        </w:rPr>
        <w:t>will be</w:t>
      </w:r>
      <w:r w:rsidRPr="005A4ABB">
        <w:rPr>
          <w:rFonts w:ascii="Calibri" w:hAnsi="Calibri" w:cs="Calibri"/>
        </w:rPr>
        <w:t xml:space="preserve"> used to simulate habitat characteristics for </w:t>
      </w:r>
      <w:r w:rsidRPr="007E4FBE">
        <w:rPr>
          <w:rFonts w:ascii="Calibri" w:hAnsi="Calibri" w:cs="Calibri"/>
          <w:i/>
        </w:rPr>
        <w:t>Ruppia tuberosa</w:t>
      </w:r>
      <w:r w:rsidRPr="005A4ABB">
        <w:rPr>
          <w:rFonts w:ascii="Calibri" w:hAnsi="Calibri" w:cs="Calibri"/>
        </w:rPr>
        <w:t xml:space="preserve"> as well as fish species</w:t>
      </w:r>
      <w:r>
        <w:rPr>
          <w:rFonts w:ascii="Calibri" w:hAnsi="Calibri" w:cs="Calibri"/>
        </w:rPr>
        <w:t xml:space="preserve"> based on </w:t>
      </w:r>
      <w:r w:rsidRPr="004C1A6B">
        <w:rPr>
          <w:rFonts w:ascii="Calibri" w:hAnsi="Calibri" w:cs="Calibri"/>
          <w:i/>
        </w:rPr>
        <w:t>Ruppia tuberosa</w:t>
      </w:r>
      <w:r>
        <w:rPr>
          <w:rFonts w:ascii="Calibri" w:hAnsi="Calibri" w:cs="Calibri"/>
        </w:rPr>
        <w:t xml:space="preserve"> and fish ecological response models (Collier </w:t>
      </w:r>
      <w:r w:rsidRPr="004E19E6">
        <w:rPr>
          <w:rFonts w:ascii="Calibri" w:hAnsi="Calibri" w:cs="Calibri"/>
          <w:i/>
        </w:rPr>
        <w:t>et al</w:t>
      </w:r>
      <w:r>
        <w:rPr>
          <w:rFonts w:ascii="Calibri" w:hAnsi="Calibri" w:cs="Calibri"/>
        </w:rPr>
        <w:t xml:space="preserve">. 2017; Ye </w:t>
      </w:r>
      <w:r w:rsidRPr="003630E3">
        <w:rPr>
          <w:rFonts w:ascii="Calibri" w:hAnsi="Calibri" w:cs="Calibri"/>
          <w:i/>
        </w:rPr>
        <w:t>et al.</w:t>
      </w:r>
      <w:r>
        <w:rPr>
          <w:rFonts w:ascii="Calibri" w:hAnsi="Calibri" w:cs="Calibri"/>
        </w:rPr>
        <w:t xml:space="preserve"> 2016</w:t>
      </w:r>
      <w:r w:rsidR="00ED3EDB">
        <w:rPr>
          <w:rFonts w:ascii="Calibri" w:hAnsi="Calibri" w:cs="Calibri"/>
        </w:rPr>
        <w:t>b</w:t>
      </w:r>
      <w:r>
        <w:rPr>
          <w:rFonts w:ascii="Calibri" w:hAnsi="Calibri" w:cs="Calibri"/>
        </w:rPr>
        <w:t>)</w:t>
      </w:r>
      <w:r w:rsidRPr="005A4ABB">
        <w:rPr>
          <w:rFonts w:ascii="Calibri" w:hAnsi="Calibri" w:cs="Calibri"/>
        </w:rPr>
        <w:t>.</w:t>
      </w:r>
      <w:r>
        <w:rPr>
          <w:rFonts w:ascii="Calibri" w:hAnsi="Calibri" w:cs="Calibri"/>
        </w:rPr>
        <w:t xml:space="preserve"> As part of the Optimising </w:t>
      </w:r>
      <w:r w:rsidRPr="004E19E6">
        <w:rPr>
          <w:rFonts w:ascii="Calibri" w:hAnsi="Calibri" w:cs="Calibri"/>
          <w:i/>
        </w:rPr>
        <w:t>Ruppia</w:t>
      </w:r>
      <w:r>
        <w:rPr>
          <w:rFonts w:ascii="Calibri" w:hAnsi="Calibri" w:cs="Calibri"/>
        </w:rPr>
        <w:t xml:space="preserve"> Habitat project (Collier </w:t>
      </w:r>
      <w:r>
        <w:rPr>
          <w:rFonts w:ascii="Calibri" w:hAnsi="Calibri" w:cs="Calibri"/>
          <w:i/>
        </w:rPr>
        <w:t>et al.</w:t>
      </w:r>
      <w:r>
        <w:rPr>
          <w:rFonts w:ascii="Calibri" w:hAnsi="Calibri" w:cs="Calibri"/>
        </w:rPr>
        <w:t xml:space="preserve"> 2017), the </w:t>
      </w:r>
      <w:r w:rsidRPr="0062293F">
        <w:rPr>
          <w:rFonts w:ascii="Calibri" w:hAnsi="Calibri" w:cs="Calibri"/>
          <w:i/>
        </w:rPr>
        <w:t>Ruppia</w:t>
      </w:r>
      <w:r w:rsidRPr="005A4ABB">
        <w:rPr>
          <w:rFonts w:ascii="Calibri" w:hAnsi="Calibri" w:cs="Calibri"/>
        </w:rPr>
        <w:t xml:space="preserve"> ecological response model </w:t>
      </w:r>
      <w:r>
        <w:rPr>
          <w:rFonts w:ascii="Calibri" w:hAnsi="Calibri" w:cs="Calibri"/>
        </w:rPr>
        <w:t>has capability to account for habitat suitability of critical life stages, and is able to estimate</w:t>
      </w:r>
      <w:r w:rsidRPr="005A4ABB">
        <w:rPr>
          <w:rFonts w:ascii="Calibri" w:hAnsi="Calibri" w:cs="Calibri"/>
        </w:rPr>
        <w:t xml:space="preserve"> the probability of replenishing the sediment </w:t>
      </w:r>
      <w:r w:rsidR="00DC6CEA">
        <w:rPr>
          <w:rFonts w:ascii="Calibri" w:hAnsi="Calibri" w:cs="Calibri"/>
        </w:rPr>
        <w:t>seed-</w:t>
      </w:r>
      <w:r w:rsidRPr="005A4ABB">
        <w:rPr>
          <w:rFonts w:ascii="Calibri" w:hAnsi="Calibri" w:cs="Calibri"/>
        </w:rPr>
        <w:t>bank based</w:t>
      </w:r>
      <w:r w:rsidRPr="00512341">
        <w:rPr>
          <w:rFonts w:ascii="Calibri" w:hAnsi="Calibri" w:cs="Calibri"/>
        </w:rPr>
        <w:t xml:space="preserve">, turion sprouting, seedling development to juvenile plants, </w:t>
      </w:r>
      <w:r>
        <w:rPr>
          <w:rFonts w:ascii="Calibri" w:hAnsi="Calibri" w:cs="Calibri"/>
        </w:rPr>
        <w:t>and adult plant flowering and seed setting</w:t>
      </w:r>
      <w:r w:rsidRPr="00512341">
        <w:rPr>
          <w:rFonts w:ascii="Calibri" w:hAnsi="Calibri" w:cs="Calibri"/>
        </w:rPr>
        <w:t xml:space="preserve">. Each </w:t>
      </w:r>
      <w:r>
        <w:rPr>
          <w:rFonts w:ascii="Calibri" w:hAnsi="Calibri" w:cs="Calibri"/>
        </w:rPr>
        <w:t>stage</w:t>
      </w:r>
      <w:r w:rsidRPr="00512341">
        <w:rPr>
          <w:rFonts w:ascii="Calibri" w:hAnsi="Calibri" w:cs="Calibri"/>
        </w:rPr>
        <w:t xml:space="preserve"> is assigned a </w:t>
      </w:r>
      <w:r>
        <w:rPr>
          <w:rFonts w:ascii="Calibri" w:hAnsi="Calibri" w:cs="Calibri"/>
        </w:rPr>
        <w:t>suitability based on cell specific light, depth, salinity and temperature</w:t>
      </w:r>
      <w:r w:rsidRPr="00512341">
        <w:rPr>
          <w:rFonts w:ascii="Calibri" w:hAnsi="Calibri" w:cs="Calibri"/>
        </w:rPr>
        <w:t xml:space="preserve">, which in the end results in a combined probability of </w:t>
      </w:r>
      <w:r>
        <w:rPr>
          <w:rFonts w:ascii="Calibri" w:hAnsi="Calibri" w:cs="Calibri"/>
        </w:rPr>
        <w:t xml:space="preserve">sexual or asexual life-cycle completion </w:t>
      </w:r>
      <w:r w:rsidR="00DA5568">
        <w:rPr>
          <w:rFonts w:ascii="Calibri" w:hAnsi="Calibri" w:cs="Calibri"/>
        </w:rPr>
        <w:t>(e.g.</w:t>
      </w:r>
      <w:r w:rsidR="00251188">
        <w:rPr>
          <w:rFonts w:ascii="Calibri" w:hAnsi="Calibri" w:cs="Calibri"/>
        </w:rPr>
        <w:t xml:space="preserve"> </w:t>
      </w:r>
      <w:r w:rsidR="00251188">
        <w:rPr>
          <w:rFonts w:ascii="Calibri" w:hAnsi="Calibri" w:cs="Calibri"/>
        </w:rPr>
        <w:fldChar w:fldCharType="begin"/>
      </w:r>
      <w:r w:rsidR="00251188">
        <w:rPr>
          <w:rFonts w:ascii="Calibri" w:hAnsi="Calibri" w:cs="Calibri"/>
        </w:rPr>
        <w:instrText xml:space="preserve"> REF _Ref12630400 \h </w:instrText>
      </w:r>
      <w:r w:rsidR="00251188">
        <w:rPr>
          <w:rFonts w:ascii="Calibri" w:hAnsi="Calibri" w:cs="Calibri"/>
        </w:rPr>
      </w:r>
      <w:r w:rsidR="00251188">
        <w:rPr>
          <w:rFonts w:ascii="Calibri" w:hAnsi="Calibri" w:cs="Calibri"/>
        </w:rPr>
        <w:fldChar w:fldCharType="separate"/>
      </w:r>
      <w:r w:rsidR="00DF49CD">
        <w:t xml:space="preserve">Figure </w:t>
      </w:r>
      <w:r w:rsidR="00DF49CD">
        <w:rPr>
          <w:noProof/>
        </w:rPr>
        <w:t>5</w:t>
      </w:r>
      <w:r w:rsidR="00DF49CD">
        <w:t>.</w:t>
      </w:r>
      <w:r w:rsidR="00DF49CD">
        <w:rPr>
          <w:noProof/>
        </w:rPr>
        <w:t>7</w:t>
      </w:r>
      <w:r w:rsidR="00251188">
        <w:rPr>
          <w:rFonts w:ascii="Calibri" w:hAnsi="Calibri" w:cs="Calibri"/>
        </w:rPr>
        <w:fldChar w:fldCharType="end"/>
      </w:r>
      <w:r w:rsidR="00251188">
        <w:rPr>
          <w:rFonts w:ascii="Calibri" w:hAnsi="Calibri" w:cs="Calibri"/>
        </w:rPr>
        <w:t>)</w:t>
      </w:r>
      <w:r w:rsidR="00DA5568" w:rsidRPr="00512341">
        <w:rPr>
          <w:rFonts w:ascii="Calibri" w:hAnsi="Calibri" w:cs="Calibri"/>
        </w:rPr>
        <w:t>.</w:t>
      </w:r>
      <w:r w:rsidR="00DA5568">
        <w:rPr>
          <w:rFonts w:ascii="Calibri" w:hAnsi="Calibri" w:cs="Calibri"/>
        </w:rPr>
        <w:t xml:space="preserve"> </w:t>
      </w:r>
      <w:r>
        <w:rPr>
          <w:rFonts w:ascii="Calibri" w:hAnsi="Calibri" w:cs="Calibri"/>
        </w:rPr>
        <w:t>A</w:t>
      </w:r>
      <w:r w:rsidRPr="005A4ABB">
        <w:rPr>
          <w:rFonts w:ascii="Calibri" w:hAnsi="Calibri" w:cs="Calibri"/>
        </w:rPr>
        <w:t xml:space="preserve"> basic fish model </w:t>
      </w:r>
      <w:r>
        <w:rPr>
          <w:rFonts w:ascii="Calibri" w:hAnsi="Calibri" w:cs="Calibri"/>
        </w:rPr>
        <w:t xml:space="preserve">calculates probabilities of habitat suitability for juveniles of key species based on </w:t>
      </w:r>
      <w:r w:rsidRPr="005A4ABB">
        <w:rPr>
          <w:rFonts w:ascii="Calibri" w:hAnsi="Calibri" w:cs="Calibri"/>
        </w:rPr>
        <w:t xml:space="preserve">salinity thresholds </w:t>
      </w:r>
      <w:r>
        <w:rPr>
          <w:rFonts w:ascii="Calibri" w:hAnsi="Calibri" w:cs="Calibri"/>
        </w:rPr>
        <w:t>of</w:t>
      </w:r>
      <w:r w:rsidRPr="005A4ABB">
        <w:rPr>
          <w:rFonts w:ascii="Calibri" w:hAnsi="Calibri" w:cs="Calibri"/>
        </w:rPr>
        <w:t xml:space="preserve"> </w:t>
      </w:r>
      <w:r>
        <w:rPr>
          <w:rFonts w:ascii="Calibri" w:hAnsi="Calibri" w:cs="Calibri"/>
        </w:rPr>
        <w:t>key fish species including mulloway, black bream, greenback flounder, yelloweye mullet, congolli, Tamar goby and smallmouth hardyhead</w:t>
      </w:r>
      <w:r w:rsidRPr="005A4ABB">
        <w:rPr>
          <w:rFonts w:ascii="Calibri" w:hAnsi="Calibri" w:cs="Calibri"/>
        </w:rPr>
        <w:t>.</w:t>
      </w:r>
    </w:p>
    <w:p w14:paraId="5D08D16C" w14:textId="77777777" w:rsidR="00DA5568" w:rsidRDefault="00DA5568" w:rsidP="00DA5568">
      <w:pPr>
        <w:jc w:val="center"/>
        <w:rPr>
          <w:rFonts w:ascii="Calibri" w:hAnsi="Calibri" w:cs="Calibri"/>
        </w:rPr>
      </w:pPr>
      <w:r w:rsidRPr="00C30156">
        <w:rPr>
          <w:rFonts w:ascii="Calibri" w:hAnsi="Calibri" w:cs="Calibri"/>
          <w:noProof/>
          <w:lang w:eastAsia="en-AU"/>
        </w:rPr>
        <w:lastRenderedPageBreak/>
        <w:drawing>
          <wp:inline distT="0" distB="0" distL="0" distR="0" wp14:anchorId="42FCB3A0" wp14:editId="7383CB14">
            <wp:extent cx="4394835" cy="2170814"/>
            <wp:effectExtent l="0" t="0" r="0"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0" y="0"/>
                      <a:ext cx="4399120" cy="2172930"/>
                    </a:xfrm>
                    <a:prstGeom prst="rect">
                      <a:avLst/>
                    </a:prstGeom>
                  </pic:spPr>
                </pic:pic>
              </a:graphicData>
            </a:graphic>
          </wp:inline>
        </w:drawing>
      </w:r>
    </w:p>
    <w:p w14:paraId="36570236" w14:textId="289ADC78" w:rsidR="00DA5568" w:rsidRPr="008E3CFD" w:rsidRDefault="00251188" w:rsidP="00251188">
      <w:pPr>
        <w:pStyle w:val="Caption"/>
      </w:pPr>
      <w:bookmarkStart w:id="129" w:name="_Ref12630400"/>
      <w:bookmarkStart w:id="130" w:name="_Toc12630438"/>
      <w:r>
        <w:t xml:space="preserve">Figure </w:t>
      </w:r>
      <w:r w:rsidR="00A8252A">
        <w:rPr>
          <w:noProof/>
        </w:rPr>
        <w:fldChar w:fldCharType="begin"/>
      </w:r>
      <w:r w:rsidR="00A8252A">
        <w:rPr>
          <w:noProof/>
        </w:rPr>
        <w:instrText xml:space="preserve"> STYLEREF 1 \s </w:instrText>
      </w:r>
      <w:r w:rsidR="00A8252A">
        <w:rPr>
          <w:noProof/>
        </w:rPr>
        <w:fldChar w:fldCharType="separate"/>
      </w:r>
      <w:r w:rsidR="00DF49CD">
        <w:rPr>
          <w:noProof/>
        </w:rPr>
        <w:t>5</w:t>
      </w:r>
      <w:r w:rsidR="00A8252A">
        <w:rPr>
          <w:noProof/>
        </w:rPr>
        <w:fldChar w:fldCharType="end"/>
      </w:r>
      <w:r>
        <w:t>.</w:t>
      </w:r>
      <w:r w:rsidR="00A8252A">
        <w:rPr>
          <w:noProof/>
        </w:rPr>
        <w:fldChar w:fldCharType="begin"/>
      </w:r>
      <w:r w:rsidR="00A8252A">
        <w:rPr>
          <w:noProof/>
        </w:rPr>
        <w:instrText xml:space="preserve"> SEQ Figure \* ARABIC \s 1 </w:instrText>
      </w:r>
      <w:r w:rsidR="00A8252A">
        <w:rPr>
          <w:noProof/>
        </w:rPr>
        <w:fldChar w:fldCharType="separate"/>
      </w:r>
      <w:r w:rsidR="00DF49CD">
        <w:rPr>
          <w:noProof/>
        </w:rPr>
        <w:t>7</w:t>
      </w:r>
      <w:r w:rsidR="00A8252A">
        <w:rPr>
          <w:noProof/>
        </w:rPr>
        <w:fldChar w:fldCharType="end"/>
      </w:r>
      <w:bookmarkEnd w:id="129"/>
      <w:r>
        <w:t xml:space="preserve">. </w:t>
      </w:r>
      <w:r w:rsidR="00DA5568" w:rsidRPr="005D16B6">
        <w:t xml:space="preserve">Coorong </w:t>
      </w:r>
      <w:r w:rsidR="00DA5568" w:rsidRPr="00F73F85">
        <w:rPr>
          <w:i/>
        </w:rPr>
        <w:t>Ruppia tuberosa</w:t>
      </w:r>
      <w:r w:rsidR="00DA5568" w:rsidRPr="00F73F85">
        <w:t xml:space="preserve"> </w:t>
      </w:r>
      <w:r w:rsidR="00DA5568">
        <w:t>habitat suitability map under two different water level histories, generated by the AED2 model</w:t>
      </w:r>
      <w:r w:rsidR="00DA5568" w:rsidRPr="00F73F85">
        <w:rPr>
          <w:lang w:val="en-US"/>
        </w:rPr>
        <w:t>.</w:t>
      </w:r>
      <w:bookmarkEnd w:id="130"/>
      <w:r w:rsidR="00DA5568" w:rsidRPr="008E3CFD">
        <w:rPr>
          <w:lang w:val="en-US"/>
        </w:rPr>
        <w:t xml:space="preserve"> </w:t>
      </w:r>
    </w:p>
    <w:p w14:paraId="6FA8A976" w14:textId="732EF0B0" w:rsidR="00EF7F2B" w:rsidRPr="00EB4142" w:rsidRDefault="00EF7F2B" w:rsidP="00EF7F2B">
      <w:pPr>
        <w:rPr>
          <w:rFonts w:cstheme="minorHAnsi"/>
        </w:rPr>
      </w:pPr>
      <w:r w:rsidRPr="005A4ABB">
        <w:rPr>
          <w:rFonts w:ascii="Calibri" w:hAnsi="Calibri" w:cs="Calibri"/>
        </w:rPr>
        <w:t xml:space="preserve"> </w:t>
      </w:r>
      <w:r w:rsidRPr="00A17E88">
        <w:rPr>
          <w:rFonts w:cstheme="minorHAnsi"/>
        </w:rPr>
        <w:t xml:space="preserve">Refer to the Lower Murray </w:t>
      </w:r>
      <w:r w:rsidRPr="0036752B">
        <w:rPr>
          <w:rFonts w:cstheme="minorHAnsi"/>
        </w:rPr>
        <w:t xml:space="preserve">Selected Area SOP for </w:t>
      </w:r>
      <w:r w:rsidRPr="0036752B">
        <w:rPr>
          <w:rFonts w:cstheme="minorHAnsi"/>
          <w:i/>
        </w:rPr>
        <w:t xml:space="preserve">Coorong </w:t>
      </w:r>
      <w:r w:rsidR="0036752B" w:rsidRPr="0036752B">
        <w:rPr>
          <w:rFonts w:cstheme="minorHAnsi"/>
          <w:i/>
        </w:rPr>
        <w:t>H</w:t>
      </w:r>
      <w:r w:rsidRPr="0036752B">
        <w:rPr>
          <w:rFonts w:cstheme="minorHAnsi"/>
          <w:i/>
        </w:rPr>
        <w:t>abitat</w:t>
      </w:r>
      <w:r w:rsidRPr="0036752B">
        <w:rPr>
          <w:rFonts w:cstheme="minorHAnsi"/>
        </w:rPr>
        <w:t xml:space="preserve"> (Appendix</w:t>
      </w:r>
      <w:r w:rsidR="0036752B" w:rsidRPr="0036752B">
        <w:rPr>
          <w:rFonts w:cstheme="minorHAnsi"/>
        </w:rPr>
        <w:t xml:space="preserve"> </w:t>
      </w:r>
      <w:r w:rsidR="000E285D">
        <w:rPr>
          <w:rFonts w:cstheme="minorHAnsi"/>
        </w:rPr>
        <w:t>B</w:t>
      </w:r>
      <w:r w:rsidRPr="0036752B">
        <w:rPr>
          <w:rFonts w:cstheme="minorHAnsi"/>
        </w:rPr>
        <w:t>) for more information on the</w:t>
      </w:r>
      <w:r w:rsidRPr="00A17E88">
        <w:rPr>
          <w:rFonts w:cstheme="minorHAnsi"/>
        </w:rPr>
        <w:t xml:space="preserve"> </w:t>
      </w:r>
      <w:r>
        <w:rPr>
          <w:rFonts w:cstheme="minorHAnsi"/>
        </w:rPr>
        <w:t>modelling protocol,</w:t>
      </w:r>
      <w:r w:rsidRPr="00A17E88">
        <w:rPr>
          <w:rFonts w:cstheme="minorHAnsi"/>
        </w:rPr>
        <w:t xml:space="preserve"> data analysis and evaluation, data management and quality assurance/quality control measures.</w:t>
      </w:r>
      <w:r w:rsidRPr="00EB4142">
        <w:rPr>
          <w:rFonts w:cstheme="minorHAnsi"/>
        </w:rPr>
        <w:t xml:space="preserve">  </w:t>
      </w:r>
    </w:p>
    <w:p w14:paraId="3479FD11" w14:textId="77777777" w:rsidR="00EF7F2B" w:rsidRPr="008E3CFD" w:rsidRDefault="00EF7F2B" w:rsidP="00EF7F2B">
      <w:pPr>
        <w:pStyle w:val="Heading5"/>
      </w:pPr>
      <w:r w:rsidRPr="008E3CFD">
        <w:t>Outputs</w:t>
      </w:r>
    </w:p>
    <w:p w14:paraId="5A9351EB" w14:textId="09B25B9A" w:rsidR="004A238E" w:rsidRPr="008E3CFD" w:rsidRDefault="004A238E" w:rsidP="004A238E">
      <w:pPr>
        <w:pStyle w:val="ListBullet"/>
      </w:pPr>
      <w:r w:rsidRPr="008E3CFD">
        <w:t>Annual report</w:t>
      </w:r>
      <w:r>
        <w:t>s</w:t>
      </w:r>
      <w:r w:rsidRPr="008E3CFD">
        <w:t xml:space="preserve"> describing</w:t>
      </w:r>
      <w:r>
        <w:t xml:space="preserve"> predicted c</w:t>
      </w:r>
      <w:r w:rsidRPr="008E3CFD">
        <w:t xml:space="preserve">hanges in </w:t>
      </w:r>
      <w:r>
        <w:t>habitat suitab</w:t>
      </w:r>
      <w:r w:rsidR="00A152D7">
        <w:t>ility</w:t>
      </w:r>
      <w:r>
        <w:t xml:space="preserve"> for </w:t>
      </w:r>
      <w:r w:rsidRPr="00C11329">
        <w:rPr>
          <w:i/>
        </w:rPr>
        <w:t>Ruppia</w:t>
      </w:r>
      <w:r>
        <w:t xml:space="preserve"> and fish (based on modelled salinity and water levels) in the Coorong</w:t>
      </w:r>
      <w:r w:rsidRPr="008E3CFD">
        <w:t xml:space="preserve"> associated with </w:t>
      </w:r>
      <w:r>
        <w:t>barrage flows and configurations, and a</w:t>
      </w:r>
      <w:r w:rsidRPr="008E3CFD">
        <w:t xml:space="preserve">n assessment of the contribution of </w:t>
      </w:r>
      <w:r>
        <w:t>C</w:t>
      </w:r>
      <w:r w:rsidRPr="008E3CFD">
        <w:t xml:space="preserve">ommonwealth environmental water </w:t>
      </w:r>
      <w:r>
        <w:t>delivery</w:t>
      </w:r>
      <w:r w:rsidRPr="008E3CFD">
        <w:t xml:space="preserve"> to </w:t>
      </w:r>
      <w:r>
        <w:t xml:space="preserve">those changes. </w:t>
      </w:r>
    </w:p>
    <w:p w14:paraId="60BA8866" w14:textId="77777777" w:rsidR="004A238E" w:rsidRDefault="004A238E" w:rsidP="004A238E">
      <w:pPr>
        <w:pStyle w:val="ListBullet"/>
      </w:pPr>
      <w:r w:rsidRPr="00C11329">
        <w:t xml:space="preserve">Model outputs of </w:t>
      </w:r>
      <w:r>
        <w:t>salinity and</w:t>
      </w:r>
      <w:r w:rsidRPr="00C11329">
        <w:t xml:space="preserve"> water level with and without the </w:t>
      </w:r>
      <w:r>
        <w:t xml:space="preserve">delivery </w:t>
      </w:r>
      <w:r w:rsidRPr="00C11329">
        <w:t>of Commonwealth environmental water provided in a format suitable for database entry</w:t>
      </w:r>
      <w:r>
        <w:t>.</w:t>
      </w:r>
    </w:p>
    <w:p w14:paraId="2A8F81B4" w14:textId="77777777" w:rsidR="00EF7F2B" w:rsidRPr="008E3CFD" w:rsidRDefault="00EF7F2B" w:rsidP="00EF7F2B">
      <w:pPr>
        <w:pStyle w:val="Heading5"/>
      </w:pPr>
      <w:r w:rsidRPr="008E3CFD">
        <w:t>Staff</w:t>
      </w:r>
    </w:p>
    <w:p w14:paraId="5E6FA91C" w14:textId="1B0F75CD" w:rsidR="00EF7F2B" w:rsidRPr="00EF7F2B" w:rsidRDefault="00EF7F2B" w:rsidP="00EF7F2B">
      <w:pPr>
        <w:rPr>
          <w:i/>
        </w:rPr>
      </w:pPr>
      <w:r w:rsidRPr="00EF7F2B">
        <w:rPr>
          <w:i/>
        </w:rPr>
        <w:t>Prof. Justin Brookes</w:t>
      </w:r>
      <w:r w:rsidRPr="00EF7F2B">
        <w:rPr>
          <w:i/>
        </w:rPr>
        <w:tab/>
      </w:r>
      <w:r w:rsidR="0036752B">
        <w:rPr>
          <w:i/>
        </w:rPr>
        <w:t>In</w:t>
      </w:r>
      <w:r w:rsidR="008D5909">
        <w:rPr>
          <w:i/>
        </w:rPr>
        <w:t xml:space="preserve"> F</w:t>
      </w:r>
      <w:r w:rsidR="005075C8">
        <w:rPr>
          <w:i/>
        </w:rPr>
        <w:t>usion C</w:t>
      </w:r>
      <w:r w:rsidR="0036752B">
        <w:rPr>
          <w:i/>
        </w:rPr>
        <w:t>onsulting</w:t>
      </w:r>
      <w:r w:rsidR="008D5909">
        <w:rPr>
          <w:i/>
        </w:rPr>
        <w:t>/University of Adelaide</w:t>
      </w:r>
    </w:p>
    <w:p w14:paraId="6C118402" w14:textId="77777777" w:rsidR="009A6CF2" w:rsidRPr="00EF7F2B" w:rsidRDefault="009A6CF2" w:rsidP="009A6CF2">
      <w:pPr>
        <w:rPr>
          <w:i/>
        </w:rPr>
      </w:pPr>
      <w:r w:rsidRPr="00EF7F2B">
        <w:rPr>
          <w:i/>
        </w:rPr>
        <w:t xml:space="preserve">Assoc. Prof. Matt Hipsey </w:t>
      </w:r>
      <w:r w:rsidRPr="00EF7F2B">
        <w:rPr>
          <w:i/>
        </w:rPr>
        <w:tab/>
        <w:t xml:space="preserve">University of Western Australia </w:t>
      </w:r>
    </w:p>
    <w:p w14:paraId="7CB78563" w14:textId="51175F4F" w:rsidR="00EF7F2B" w:rsidRDefault="00EF7F2B" w:rsidP="00EF7F2B">
      <w:r>
        <w:t xml:space="preserve">See section </w:t>
      </w:r>
      <w:r w:rsidR="009A6CF2">
        <w:t>above</w:t>
      </w:r>
      <w:r w:rsidR="009A6CF2" w:rsidRPr="009A6CF2">
        <w:t xml:space="preserve"> </w:t>
      </w:r>
      <w:r w:rsidR="00B56039">
        <w:t xml:space="preserve">(Matter Transport) </w:t>
      </w:r>
      <w:r w:rsidR="009A6CF2" w:rsidRPr="00B962B5">
        <w:t>for staff capabilities</w:t>
      </w:r>
      <w:r w:rsidRPr="008E3CFD">
        <w:t>.</w:t>
      </w:r>
    </w:p>
    <w:p w14:paraId="60A0BF8D" w14:textId="05EDF624" w:rsidR="00EF7F2B" w:rsidRPr="00EF7F2B" w:rsidRDefault="00EF7F2B" w:rsidP="00EF7F2B">
      <w:pPr>
        <w:rPr>
          <w:i/>
        </w:rPr>
      </w:pPr>
      <w:r w:rsidRPr="00EF7F2B">
        <w:rPr>
          <w:i/>
        </w:rPr>
        <w:t>Dr Mat</w:t>
      </w:r>
      <w:r w:rsidR="005F416D">
        <w:rPr>
          <w:i/>
        </w:rPr>
        <w:t xml:space="preserve">t Gibbs </w:t>
      </w:r>
      <w:r w:rsidR="005F416D">
        <w:rPr>
          <w:i/>
        </w:rPr>
        <w:tab/>
        <w:t>University of Adelaide</w:t>
      </w:r>
      <w:r w:rsidR="008D5909">
        <w:rPr>
          <w:i/>
        </w:rPr>
        <w:t>/D</w:t>
      </w:r>
      <w:r w:rsidR="005F416D">
        <w:rPr>
          <w:i/>
        </w:rPr>
        <w:t xml:space="preserve">epartment for </w:t>
      </w:r>
      <w:r w:rsidR="008D5909">
        <w:rPr>
          <w:i/>
        </w:rPr>
        <w:t>E</w:t>
      </w:r>
      <w:r w:rsidR="005F416D">
        <w:rPr>
          <w:i/>
        </w:rPr>
        <w:t xml:space="preserve">nvironment and </w:t>
      </w:r>
      <w:r w:rsidR="008D5909">
        <w:rPr>
          <w:i/>
        </w:rPr>
        <w:t>W</w:t>
      </w:r>
      <w:r w:rsidR="005F416D">
        <w:rPr>
          <w:i/>
        </w:rPr>
        <w:t>ater</w:t>
      </w:r>
    </w:p>
    <w:p w14:paraId="14805EEE" w14:textId="460D0CCB" w:rsidR="009A6CF2" w:rsidRDefault="009A6CF2" w:rsidP="00EF7F2B">
      <w:r w:rsidRPr="00B962B5">
        <w:t xml:space="preserve">Refer to Section </w:t>
      </w:r>
      <w:r>
        <w:fldChar w:fldCharType="begin"/>
      </w:r>
      <w:r>
        <w:instrText xml:space="preserve"> REF _Ref391538496 \r \h </w:instrText>
      </w:r>
      <w:r>
        <w:fldChar w:fldCharType="separate"/>
      </w:r>
      <w:r w:rsidR="00DF49CD">
        <w:t>5.1.1</w:t>
      </w:r>
      <w:r>
        <w:fldChar w:fldCharType="end"/>
      </w:r>
      <w:r w:rsidRPr="00B962B5">
        <w:t xml:space="preserve"> for staff capabilities</w:t>
      </w:r>
      <w:r>
        <w:t>.</w:t>
      </w:r>
    </w:p>
    <w:p w14:paraId="10777FBE" w14:textId="1BC67C5F" w:rsidR="00EF7F2B" w:rsidRPr="00EF7F2B" w:rsidRDefault="00EF7F2B" w:rsidP="00EF7F2B">
      <w:pPr>
        <w:rPr>
          <w:i/>
        </w:rPr>
      </w:pPr>
      <w:r w:rsidRPr="00EF7F2B">
        <w:rPr>
          <w:i/>
        </w:rPr>
        <w:t>Assoc. Prof. Qifeng Ye</w:t>
      </w:r>
      <w:r w:rsidRPr="00EF7F2B">
        <w:rPr>
          <w:i/>
        </w:rPr>
        <w:tab/>
        <w:t>SARDI Aquatic Sciences</w:t>
      </w:r>
    </w:p>
    <w:p w14:paraId="21D4C344" w14:textId="7BE90C86" w:rsidR="009A6CF2" w:rsidRDefault="009A6CF2" w:rsidP="009A6CF2">
      <w:r w:rsidRPr="00B962B5">
        <w:t xml:space="preserve">Refer to Section </w:t>
      </w:r>
      <w:r>
        <w:fldChar w:fldCharType="begin"/>
      </w:r>
      <w:r>
        <w:instrText xml:space="preserve"> REF _Ref466630618 \r \h </w:instrText>
      </w:r>
      <w:r>
        <w:fldChar w:fldCharType="separate"/>
      </w:r>
      <w:r w:rsidR="00DF49CD">
        <w:t>5.1.3</w:t>
      </w:r>
      <w:r>
        <w:fldChar w:fldCharType="end"/>
      </w:r>
      <w:r w:rsidRPr="00B962B5">
        <w:t xml:space="preserve"> for staff capabilities</w:t>
      </w:r>
      <w:r>
        <w:t>.</w:t>
      </w:r>
    </w:p>
    <w:p w14:paraId="7ED0A08C" w14:textId="77777777" w:rsidR="00EF7F2B" w:rsidRPr="00EF7F2B" w:rsidRDefault="00EF7F2B" w:rsidP="00EF7F2B">
      <w:pPr>
        <w:rPr>
          <w:i/>
        </w:rPr>
      </w:pPr>
      <w:r w:rsidRPr="00EF7F2B">
        <w:rPr>
          <w:i/>
        </w:rPr>
        <w:t>Dr Jason Nicol</w:t>
      </w:r>
      <w:r w:rsidRPr="00EF7F2B">
        <w:rPr>
          <w:i/>
        </w:rPr>
        <w:tab/>
        <w:t>SARDI Aquatic Sciences</w:t>
      </w:r>
    </w:p>
    <w:p w14:paraId="7CC6287B" w14:textId="1B855795" w:rsidR="008E3CFD" w:rsidRPr="008E3CFD" w:rsidRDefault="0039594A" w:rsidP="00501607">
      <w:r w:rsidRPr="0039594A">
        <w:rPr>
          <w:rFonts w:ascii="Calibri" w:hAnsi="Calibri" w:cs="Calibri"/>
          <w:color w:val="auto"/>
          <w:szCs w:val="22"/>
        </w:rPr>
        <w:t xml:space="preserve">Jason Nicol is an experienced aquatic and riparian plant ecologist who has worked extensively throughout south-eastern Australia over the past 21 years.  He has excellent knowledge of the aquatic and riparian vegetation the lower Murray and Darling Rivers and current research activities in the Murray-Darling Basin include: impacts of altered hydrological regimes, plant recruitment, environmental water requirements, ecological risk assessment, restoration ecology, condition and intervention monitoring and seed banks. He has established two The Living Murray condition monitoring programs (Chowilla Floodplain commencing in 2006 and Lower Lakes commencing in 2008) and the intervention monitoring program at the Chowilla Floodplain Icon Site. Jason has authored or co-authored over 120 publications including book chapters, papers in peer review </w:t>
      </w:r>
      <w:r w:rsidRPr="0039594A">
        <w:rPr>
          <w:rFonts w:ascii="Calibri" w:hAnsi="Calibri" w:cs="Calibri"/>
          <w:color w:val="auto"/>
          <w:szCs w:val="22"/>
        </w:rPr>
        <w:lastRenderedPageBreak/>
        <w:t>journals, conference presentations, technical reports and management plans and successfully delivered over 60 projects as principal investigator.</w:t>
      </w:r>
    </w:p>
    <w:p w14:paraId="67BE3CE5" w14:textId="77777777" w:rsidR="00580C37" w:rsidRDefault="00580C37" w:rsidP="00F02673"/>
    <w:p w14:paraId="08331501" w14:textId="77777777" w:rsidR="00580C37" w:rsidRDefault="00580C37" w:rsidP="00F02673">
      <w:r>
        <w:br w:type="page"/>
      </w:r>
    </w:p>
    <w:p w14:paraId="352846D6" w14:textId="77777777" w:rsidR="004B02BA" w:rsidRPr="008E3CFD" w:rsidRDefault="004B02BA" w:rsidP="004B02BA">
      <w:pPr>
        <w:pStyle w:val="Heading3"/>
      </w:pPr>
      <w:bookmarkStart w:id="131" w:name="_Ref10126835"/>
      <w:bookmarkStart w:id="132" w:name="_Toc22196703"/>
      <w:bookmarkStart w:id="133" w:name="_Ref399155787"/>
      <w:bookmarkStart w:id="134" w:name="_Ref399155794"/>
      <w:bookmarkStart w:id="135" w:name="_Ref401830146"/>
      <w:bookmarkStart w:id="136" w:name="_Toc6407286"/>
      <w:r>
        <w:lastRenderedPageBreak/>
        <w:t>Littoral Vegetation Diversity and Productivity</w:t>
      </w:r>
      <w:bookmarkEnd w:id="131"/>
      <w:bookmarkEnd w:id="132"/>
    </w:p>
    <w:p w14:paraId="5EC53CE7" w14:textId="77777777" w:rsidR="003963EC" w:rsidRDefault="003963EC" w:rsidP="003963EC">
      <w:pPr>
        <w:pStyle w:val="Heading4"/>
      </w:pPr>
      <w:r w:rsidRPr="008E3CFD">
        <w:t>Indicators</w:t>
      </w:r>
    </w:p>
    <w:p w14:paraId="4FBE4E8C" w14:textId="77777777" w:rsidR="003963EC" w:rsidRDefault="003963EC" w:rsidP="003963EC">
      <w:pPr>
        <w:pStyle w:val="ListParagraph"/>
        <w:numPr>
          <w:ilvl w:val="0"/>
          <w:numId w:val="10"/>
        </w:numPr>
      </w:pPr>
      <w:r>
        <w:t>Littoral understorey vegetation functional and biological diversity.</w:t>
      </w:r>
    </w:p>
    <w:p w14:paraId="52D82886" w14:textId="77777777" w:rsidR="003963EC" w:rsidRPr="00A95033" w:rsidRDefault="003963EC" w:rsidP="003963EC">
      <w:pPr>
        <w:pStyle w:val="ListParagraph"/>
        <w:numPr>
          <w:ilvl w:val="0"/>
          <w:numId w:val="10"/>
        </w:numPr>
      </w:pPr>
      <w:r>
        <w:t>Littoral understorey vegetation above-ground biomass.</w:t>
      </w:r>
    </w:p>
    <w:p w14:paraId="5F9D78C3" w14:textId="77777777" w:rsidR="00424124" w:rsidRDefault="00424124" w:rsidP="00424124">
      <w:pPr>
        <w:pStyle w:val="Heading4"/>
      </w:pPr>
      <w:r w:rsidRPr="008E3CFD">
        <w:t>Background</w:t>
      </w:r>
    </w:p>
    <w:p w14:paraId="372EB0AD" w14:textId="77777777" w:rsidR="00424124" w:rsidRDefault="00424124" w:rsidP="00424124">
      <w:r>
        <w:t xml:space="preserve">Littoral (streambank) vegetation is an important component of the biota of riverine ecosystems. Littoral vegetation is an important primary producer for both the riverine and terrestrial ecosystem </w:t>
      </w:r>
      <w:r w:rsidRPr="00D12B40">
        <w:t>(e.g. Roberts and Ganf 1986; Froend and McComb 1994)</w:t>
      </w:r>
      <w:r>
        <w:t xml:space="preserve">, can improve water quality </w:t>
      </w:r>
      <w:r w:rsidRPr="00D12B40">
        <w:t xml:space="preserve">(e.g. Kadlec and Wallace 2009; Maddison </w:t>
      </w:r>
      <w:r w:rsidRPr="00424124">
        <w:rPr>
          <w:i/>
        </w:rPr>
        <w:t>et al.</w:t>
      </w:r>
      <w:r w:rsidRPr="00D12B40">
        <w:t xml:space="preserve"> 2009; Li </w:t>
      </w:r>
      <w:r w:rsidRPr="00424124">
        <w:rPr>
          <w:i/>
        </w:rPr>
        <w:t>et al.</w:t>
      </w:r>
      <w:r w:rsidRPr="00D12B40">
        <w:t xml:space="preserve"> 2010; Borin and Salvato 2012), oxygenate the sediment and water column (e.g. Blom </w:t>
      </w:r>
      <w:r w:rsidRPr="003B4942">
        <w:rPr>
          <w:i/>
        </w:rPr>
        <w:t>et al.</w:t>
      </w:r>
      <w:r w:rsidRPr="00D12B40">
        <w:t xml:space="preserve"> 1990; Sorrell and Hawes 2010; Dickopp </w:t>
      </w:r>
      <w:r w:rsidRPr="00424124">
        <w:rPr>
          <w:i/>
        </w:rPr>
        <w:t>et al.</w:t>
      </w:r>
      <w:r>
        <w:t xml:space="preserve"> 2011) provide habitat for </w:t>
      </w:r>
      <w:r w:rsidRPr="00D12B40">
        <w:t xml:space="preserve">water birds (e.g. Jansen and Robertson 2001; Kapa and Clarkson 2009) and invertebrates (e.g. Papas 2007; Walker </w:t>
      </w:r>
      <w:r w:rsidRPr="00424124">
        <w:rPr>
          <w:i/>
        </w:rPr>
        <w:t>et al.</w:t>
      </w:r>
      <w:r w:rsidRPr="00D12B40">
        <w:t xml:space="preserve"> 2013) and stabilise </w:t>
      </w:r>
      <w:r>
        <w:t>banks</w:t>
      </w:r>
      <w:r w:rsidRPr="00D12B40">
        <w:t xml:space="preserve"> (e.g. Abernethy and Rutherfurd 1998).</w:t>
      </w:r>
      <w:r>
        <w:t xml:space="preserve">  Littoral zones are also hot spots for biodiversity because they contain a specialised group of species adapted to wetting and drying not found in aquatic or terrestrial systems (</w:t>
      </w:r>
      <w:r w:rsidRPr="00CE0B4D">
        <w:t xml:space="preserve">Sabo </w:t>
      </w:r>
      <w:r w:rsidRPr="00424124">
        <w:rPr>
          <w:i/>
        </w:rPr>
        <w:t>et al.</w:t>
      </w:r>
      <w:r w:rsidRPr="00CE0B4D">
        <w:t xml:space="preserve"> 2005</w:t>
      </w:r>
      <w:r>
        <w:t>).</w:t>
      </w:r>
    </w:p>
    <w:p w14:paraId="153C9C8A" w14:textId="5C3563C6" w:rsidR="00424124" w:rsidRPr="00A4526E" w:rsidRDefault="00424124" w:rsidP="00424124">
      <w:r>
        <w:t xml:space="preserve">Littoral vegetation responds rapidly to changes in water level (e.g. Nicol </w:t>
      </w:r>
      <w:r w:rsidRPr="00424124">
        <w:rPr>
          <w:i/>
        </w:rPr>
        <w:t>et al.</w:t>
      </w:r>
      <w:r>
        <w:t xml:space="preserve"> 2018), with most species recruiting as water levels recede (e.g. Nicol 2004; Capon 2007). Maintaining stable water levels in lower weir pools can result in small increases in flow causing </w:t>
      </w:r>
      <w:r w:rsidR="00071F7F">
        <w:t>large water level rises in tail</w:t>
      </w:r>
      <w:r>
        <w:t>waters immediately downstream of weirs (</w:t>
      </w:r>
      <w:r w:rsidRPr="00DD3B02">
        <w:t xml:space="preserve">Maheshwari </w:t>
      </w:r>
      <w:r w:rsidRPr="00424124">
        <w:rPr>
          <w:i/>
        </w:rPr>
        <w:t>et al.</w:t>
      </w:r>
      <w:r w:rsidRPr="00DD3B02">
        <w:t xml:space="preserve"> 1995</w:t>
      </w:r>
      <w:r w:rsidR="00071F7F">
        <w:t>). Therefore, tail</w:t>
      </w:r>
      <w:r>
        <w:t xml:space="preserve">waters represent areas where floodplain and amphibious vegetation can persist in the absence of over bank flows over a wide range of the elevation gradient </w:t>
      </w:r>
      <w:r w:rsidRPr="006616F3">
        <w:t xml:space="preserve">(Blanch </w:t>
      </w:r>
      <w:r w:rsidRPr="00424124">
        <w:rPr>
          <w:i/>
        </w:rPr>
        <w:t>et al.</w:t>
      </w:r>
      <w:r w:rsidRPr="006616F3">
        <w:t xml:space="preserve"> 1999, Blanch </w:t>
      </w:r>
      <w:r w:rsidRPr="00424124">
        <w:rPr>
          <w:i/>
        </w:rPr>
        <w:t>et al.</w:t>
      </w:r>
      <w:r w:rsidRPr="006616F3">
        <w:t xml:space="preserve"> 2000)</w:t>
      </w:r>
      <w:r>
        <w:t>. Thes</w:t>
      </w:r>
      <w:r w:rsidR="00071F7F">
        <w:t>e water level changes make tail</w:t>
      </w:r>
      <w:r>
        <w:t>waters an ideal location to evaluate the benefit of C</w:t>
      </w:r>
      <w:r w:rsidR="002B0438">
        <w:t>ommonwealth environmental water</w:t>
      </w:r>
      <w:r>
        <w:t xml:space="preserve"> as the volumes available for delivery by the CEWO will have a significant impact on water levels. The response of the vegetation along</w:t>
      </w:r>
      <w:r w:rsidR="00071F7F">
        <w:t xml:space="preserve"> the elevation gradient in tail</w:t>
      </w:r>
      <w:r>
        <w:t>waters can then be exploited to evaluate the benefit of C</w:t>
      </w:r>
      <w:r w:rsidR="002B0438">
        <w:t>ommonwealth environmental water</w:t>
      </w:r>
      <w:r>
        <w:t xml:space="preserve">.    </w:t>
      </w:r>
    </w:p>
    <w:p w14:paraId="514E1CBE" w14:textId="77777777" w:rsidR="00424124" w:rsidRDefault="00424124" w:rsidP="00424124">
      <w:pPr>
        <w:pStyle w:val="Heading4"/>
      </w:pPr>
      <w:r w:rsidRPr="00CA1169">
        <w:lastRenderedPageBreak/>
        <w:t>Cause and effect diagram</w:t>
      </w:r>
    </w:p>
    <w:p w14:paraId="3CB19138" w14:textId="77777777" w:rsidR="00424124" w:rsidRDefault="00424124" w:rsidP="003113FB">
      <w:pPr>
        <w:jc w:val="center"/>
        <w:rPr>
          <w:highlight w:val="yellow"/>
        </w:rPr>
      </w:pPr>
      <w:r w:rsidRPr="00424124">
        <w:rPr>
          <w:noProof/>
          <w:lang w:eastAsia="en-AU"/>
        </w:rPr>
        <w:drawing>
          <wp:inline distT="0" distB="0" distL="0" distR="0" wp14:anchorId="48C507CC" wp14:editId="49C90050">
            <wp:extent cx="4943475" cy="3943350"/>
            <wp:effectExtent l="0" t="0" r="9525" b="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r="13683"/>
                    <a:stretch/>
                  </pic:blipFill>
                  <pic:spPr bwMode="auto">
                    <a:xfrm>
                      <a:off x="0" y="0"/>
                      <a:ext cx="4943989" cy="394376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inline>
        </w:drawing>
      </w:r>
    </w:p>
    <w:p w14:paraId="031CF647" w14:textId="63540014" w:rsidR="00424124" w:rsidRDefault="00424124" w:rsidP="00424124">
      <w:pPr>
        <w:pStyle w:val="FigureCaption"/>
      </w:pPr>
      <w:bookmarkStart w:id="137" w:name="_Toc12630439"/>
      <w:r w:rsidRPr="000F4B2C">
        <w:t xml:space="preserve">Figure </w:t>
      </w:r>
      <w:r w:rsidR="00A8252A">
        <w:rPr>
          <w:noProof/>
        </w:rPr>
        <w:fldChar w:fldCharType="begin"/>
      </w:r>
      <w:r w:rsidR="00A8252A">
        <w:rPr>
          <w:noProof/>
        </w:rPr>
        <w:instrText xml:space="preserve"> STYLEREF 1 \s </w:instrText>
      </w:r>
      <w:r w:rsidR="00A8252A">
        <w:rPr>
          <w:noProof/>
        </w:rPr>
        <w:fldChar w:fldCharType="separate"/>
      </w:r>
      <w:r w:rsidR="00DF49CD">
        <w:rPr>
          <w:noProof/>
        </w:rPr>
        <w:t>5</w:t>
      </w:r>
      <w:r w:rsidR="00A8252A">
        <w:rPr>
          <w:noProof/>
        </w:rPr>
        <w:fldChar w:fldCharType="end"/>
      </w:r>
      <w:r w:rsidR="00251188">
        <w:t>.</w:t>
      </w:r>
      <w:r w:rsidR="00A8252A">
        <w:rPr>
          <w:noProof/>
        </w:rPr>
        <w:fldChar w:fldCharType="begin"/>
      </w:r>
      <w:r w:rsidR="00A8252A">
        <w:rPr>
          <w:noProof/>
        </w:rPr>
        <w:instrText xml:space="preserve"> SEQ Figure \* ARABIC \s 1 </w:instrText>
      </w:r>
      <w:r w:rsidR="00A8252A">
        <w:rPr>
          <w:noProof/>
        </w:rPr>
        <w:fldChar w:fldCharType="separate"/>
      </w:r>
      <w:r w:rsidR="00DF49CD">
        <w:rPr>
          <w:noProof/>
        </w:rPr>
        <w:t>8</w:t>
      </w:r>
      <w:r w:rsidR="00A8252A">
        <w:rPr>
          <w:noProof/>
        </w:rPr>
        <w:fldChar w:fldCharType="end"/>
      </w:r>
      <w:r w:rsidRPr="000F4B2C">
        <w:t>.</w:t>
      </w:r>
      <w:r w:rsidR="002B0438">
        <w:tab/>
        <w:t xml:space="preserve"> Littoral V</w:t>
      </w:r>
      <w:r>
        <w:t xml:space="preserve">egetation </w:t>
      </w:r>
      <w:r w:rsidR="002B0438">
        <w:t>D</w:t>
      </w:r>
      <w:r w:rsidRPr="00CA1169">
        <w:t>iversity</w:t>
      </w:r>
      <w:r w:rsidR="002B0438">
        <w:t xml:space="preserve"> and P</w:t>
      </w:r>
      <w:r>
        <w:t>roductivity</w:t>
      </w:r>
      <w:r w:rsidRPr="00CA1169">
        <w:t xml:space="preserve"> cause and effect diagram.</w:t>
      </w:r>
      <w:bookmarkEnd w:id="137"/>
      <w:r w:rsidRPr="00CA1169">
        <w:t xml:space="preserve"> </w:t>
      </w:r>
    </w:p>
    <w:p w14:paraId="0920A89C" w14:textId="3FBE91EC" w:rsidR="00424124" w:rsidRDefault="00424124" w:rsidP="00424124">
      <w:pPr>
        <w:pStyle w:val="Heading4"/>
      </w:pPr>
      <w:r>
        <w:t>Key evaluation question</w:t>
      </w:r>
      <w:r w:rsidR="00A152D7">
        <w:t>s</w:t>
      </w:r>
    </w:p>
    <w:p w14:paraId="44F11F99" w14:textId="6B695F34" w:rsidR="00424124" w:rsidRPr="009D3578" w:rsidRDefault="00A152D7" w:rsidP="00424124">
      <w:pPr>
        <w:pStyle w:val="TableText"/>
        <w:rPr>
          <w:sz w:val="22"/>
        </w:rPr>
      </w:pPr>
      <w:r>
        <w:rPr>
          <w:sz w:val="22"/>
        </w:rPr>
        <w:t>Selected Area evaluation questions</w:t>
      </w:r>
      <w:r w:rsidR="00424124" w:rsidRPr="009D3578">
        <w:rPr>
          <w:sz w:val="22"/>
        </w:rPr>
        <w:t>:</w:t>
      </w:r>
    </w:p>
    <w:p w14:paraId="71560085" w14:textId="3A9414C1" w:rsidR="00424124" w:rsidRPr="00717B78" w:rsidRDefault="00424124" w:rsidP="00424124">
      <w:pPr>
        <w:pStyle w:val="TableBullets"/>
        <w:rPr>
          <w:sz w:val="22"/>
        </w:rPr>
      </w:pPr>
      <w:r w:rsidRPr="00717B78">
        <w:rPr>
          <w:sz w:val="22"/>
        </w:rPr>
        <w:t xml:space="preserve">What did </w:t>
      </w:r>
      <w:r w:rsidR="00F432B5" w:rsidRPr="00717B78">
        <w:rPr>
          <w:sz w:val="22"/>
        </w:rPr>
        <w:t>C</w:t>
      </w:r>
      <w:r w:rsidR="00F432B5">
        <w:rPr>
          <w:sz w:val="22"/>
        </w:rPr>
        <w:t>ommonwealth environmental water</w:t>
      </w:r>
      <w:r w:rsidRPr="00717B78">
        <w:rPr>
          <w:sz w:val="22"/>
        </w:rPr>
        <w:t xml:space="preserve"> contribute to littoral understorey vegetation diversity and productivity?</w:t>
      </w:r>
    </w:p>
    <w:p w14:paraId="0B5ED7F8" w14:textId="22024485" w:rsidR="00424124" w:rsidRDefault="006043A5" w:rsidP="00424124">
      <w:pPr>
        <w:pStyle w:val="TableBullets"/>
        <w:rPr>
          <w:sz w:val="22"/>
        </w:rPr>
      </w:pPr>
      <w:r w:rsidRPr="00717B78">
        <w:rPr>
          <w:sz w:val="22"/>
        </w:rPr>
        <w:t>What did C</w:t>
      </w:r>
      <w:r>
        <w:rPr>
          <w:sz w:val="22"/>
        </w:rPr>
        <w:t>ommonwealth environmental water</w:t>
      </w:r>
      <w:r w:rsidRPr="00717B78">
        <w:rPr>
          <w:sz w:val="22"/>
        </w:rPr>
        <w:t xml:space="preserve"> contribute to above-ground </w:t>
      </w:r>
      <w:r>
        <w:rPr>
          <w:sz w:val="22"/>
        </w:rPr>
        <w:t>biomass produced</w:t>
      </w:r>
      <w:r w:rsidRPr="00717B78">
        <w:rPr>
          <w:sz w:val="22"/>
        </w:rPr>
        <w:t xml:space="preserve"> by understorey littoral vegetation</w:t>
      </w:r>
      <w:r w:rsidR="00424124" w:rsidRPr="00717B78">
        <w:rPr>
          <w:sz w:val="22"/>
        </w:rPr>
        <w:t>?</w:t>
      </w:r>
    </w:p>
    <w:p w14:paraId="508FFD11" w14:textId="77777777" w:rsidR="00424124" w:rsidRPr="00717B78" w:rsidRDefault="00424124" w:rsidP="00424124">
      <w:pPr>
        <w:pStyle w:val="TableBullets"/>
        <w:numPr>
          <w:ilvl w:val="0"/>
          <w:numId w:val="0"/>
        </w:numPr>
        <w:ind w:left="410"/>
        <w:rPr>
          <w:sz w:val="22"/>
        </w:rPr>
      </w:pPr>
    </w:p>
    <w:p w14:paraId="047BB4DA" w14:textId="264E2E9A" w:rsidR="00B7129B" w:rsidRPr="00B7129B" w:rsidRDefault="00855B72" w:rsidP="00B7129B">
      <w:r w:rsidRPr="00855B72">
        <w:t xml:space="preserve">See additional </w:t>
      </w:r>
      <w:r>
        <w:t xml:space="preserve">evaluation </w:t>
      </w:r>
      <w:r w:rsidRPr="00855B72">
        <w:t>questions</w:t>
      </w:r>
      <w:r>
        <w:t xml:space="preserve"> for long-term </w:t>
      </w:r>
      <w:r w:rsidR="000D6141">
        <w:t>outcomes</w:t>
      </w:r>
      <w:r w:rsidRPr="00855B72">
        <w:t xml:space="preserve"> in conti</w:t>
      </w:r>
      <w:r>
        <w:t>ngency monitoring (Section 5.3)</w:t>
      </w:r>
      <w:r w:rsidRPr="00855B72">
        <w:t>.</w:t>
      </w:r>
    </w:p>
    <w:p w14:paraId="6167F29E" w14:textId="77777777" w:rsidR="00424124" w:rsidRDefault="00424124" w:rsidP="00424124">
      <w:pPr>
        <w:pStyle w:val="Heading4"/>
      </w:pPr>
      <w:r>
        <w:t>Objectives and hypotheses</w:t>
      </w:r>
    </w:p>
    <w:p w14:paraId="6BD37608" w14:textId="77777777" w:rsidR="00424124" w:rsidRDefault="00424124" w:rsidP="00424124">
      <w:r>
        <w:t>The objectives of this indicator are to:</w:t>
      </w:r>
    </w:p>
    <w:p w14:paraId="2A63FA8F" w14:textId="77777777" w:rsidR="00424124" w:rsidRPr="00717B78" w:rsidRDefault="00424124" w:rsidP="00424124">
      <w:pPr>
        <w:pStyle w:val="TableBullets"/>
        <w:rPr>
          <w:sz w:val="22"/>
        </w:rPr>
      </w:pPr>
      <w:r w:rsidRPr="00717B78">
        <w:rPr>
          <w:sz w:val="22"/>
        </w:rPr>
        <w:t>Compare and contrast the response of the littoral vegetation to different environmental water deliveries.</w:t>
      </w:r>
    </w:p>
    <w:p w14:paraId="588FF7EB" w14:textId="1A70C68A" w:rsidR="00424124" w:rsidRPr="00717B78" w:rsidRDefault="00424124" w:rsidP="00424124">
      <w:pPr>
        <w:pStyle w:val="TableBullets"/>
        <w:rPr>
          <w:sz w:val="22"/>
        </w:rPr>
      </w:pPr>
      <w:r w:rsidRPr="00717B78">
        <w:rPr>
          <w:sz w:val="22"/>
        </w:rPr>
        <w:t xml:space="preserve">Compare the response of the littoral vegetation across the elevation gradient. </w:t>
      </w:r>
    </w:p>
    <w:p w14:paraId="2626E683" w14:textId="737D5A52" w:rsidR="00424124" w:rsidRPr="00717B78" w:rsidRDefault="00424124" w:rsidP="00424124">
      <w:pPr>
        <w:pStyle w:val="TableBullets"/>
        <w:rPr>
          <w:sz w:val="22"/>
        </w:rPr>
      </w:pPr>
      <w:r w:rsidRPr="00717B78">
        <w:rPr>
          <w:sz w:val="22"/>
        </w:rPr>
        <w:t>Compare understorey vegetation biomass across the elevation gradient.</w:t>
      </w:r>
    </w:p>
    <w:p w14:paraId="0BE3F0E6" w14:textId="2791DF0A" w:rsidR="00424124" w:rsidRPr="0069670B" w:rsidRDefault="00424124" w:rsidP="00424124">
      <w:pPr>
        <w:pStyle w:val="TableBullets"/>
      </w:pPr>
      <w:r w:rsidRPr="00717B78">
        <w:rPr>
          <w:sz w:val="22"/>
        </w:rPr>
        <w:t>Use flood inundation modelling to identify the differences in water level and inundation duration with and without C</w:t>
      </w:r>
      <w:r w:rsidR="002B0438">
        <w:rPr>
          <w:sz w:val="22"/>
        </w:rPr>
        <w:t>ommonwealth environmental water</w:t>
      </w:r>
      <w:r w:rsidRPr="00717B78">
        <w:rPr>
          <w:sz w:val="22"/>
        </w:rPr>
        <w:t xml:space="preserve"> (and other environmental water) to identify the contribution of environmental water to littoral vegetation diversity and productivity by comparison across the elevation gradient.</w:t>
      </w:r>
    </w:p>
    <w:p w14:paraId="7A152BED" w14:textId="77777777" w:rsidR="00424124" w:rsidRDefault="00424124" w:rsidP="00424124"/>
    <w:p w14:paraId="6CFE50FD" w14:textId="77777777" w:rsidR="00E93280" w:rsidRDefault="00E93280">
      <w:pPr>
        <w:spacing w:after="200" w:line="276" w:lineRule="auto"/>
        <w:jc w:val="left"/>
      </w:pPr>
      <w:r>
        <w:br w:type="page"/>
      </w:r>
    </w:p>
    <w:p w14:paraId="429D5FD3" w14:textId="304F4B08" w:rsidR="00424124" w:rsidRDefault="00424124" w:rsidP="00424124">
      <w:r>
        <w:lastRenderedPageBreak/>
        <w:t>Major h</w:t>
      </w:r>
      <w:r w:rsidRPr="008E3CFD">
        <w:t>ypothes</w:t>
      </w:r>
      <w:r>
        <w:t>es are:</w:t>
      </w:r>
    </w:p>
    <w:p w14:paraId="2A720B4E" w14:textId="77777777" w:rsidR="00424124" w:rsidRDefault="00424124" w:rsidP="00424124">
      <w:pPr>
        <w:pStyle w:val="ListParagraph"/>
        <w:numPr>
          <w:ilvl w:val="0"/>
          <w:numId w:val="15"/>
        </w:numPr>
      </w:pPr>
      <w:r w:rsidRPr="00115B0F">
        <w:t>Increases in flow above regulated entitlement flow will result in increased water levels in the littoral zone that will facilitate the recruitment of floodplain and amphibious understorey species and in turn increase biological and functional diversity of the littoral zone plant community.</w:t>
      </w:r>
    </w:p>
    <w:p w14:paraId="74286728" w14:textId="77777777" w:rsidR="00424124" w:rsidRPr="00115B0F" w:rsidRDefault="00424124" w:rsidP="00424124">
      <w:pPr>
        <w:pStyle w:val="ListParagraph"/>
        <w:numPr>
          <w:ilvl w:val="0"/>
          <w:numId w:val="15"/>
        </w:numPr>
      </w:pPr>
      <w:r w:rsidRPr="00115B0F">
        <w:t>The increase in water level due to increases in flow above regulated entitlement flow will result in increased productivity of littoral vegetation compared to areas not inundated.</w:t>
      </w:r>
    </w:p>
    <w:p w14:paraId="4D0A4FBC" w14:textId="77777777" w:rsidR="00424124" w:rsidRDefault="00424124" w:rsidP="00424124">
      <w:pPr>
        <w:pStyle w:val="Heading4"/>
      </w:pPr>
      <w:r>
        <w:t>General m</w:t>
      </w:r>
      <w:r w:rsidRPr="008E3CFD">
        <w:t>ethodology</w:t>
      </w:r>
    </w:p>
    <w:p w14:paraId="1FA1AFD9" w14:textId="09AD8D7C" w:rsidR="00424124" w:rsidRDefault="00424124" w:rsidP="00424124">
      <w:pPr>
        <w:rPr>
          <w:rFonts w:cstheme="minorHAnsi"/>
        </w:rPr>
      </w:pPr>
      <w:r>
        <w:rPr>
          <w:rFonts w:cstheme="minorHAnsi"/>
        </w:rPr>
        <w:t>Sampling of littoral vegetation will occu</w:t>
      </w:r>
      <w:r w:rsidR="00071F7F">
        <w:rPr>
          <w:rFonts w:cstheme="minorHAnsi"/>
        </w:rPr>
        <w:t>r in weir pool tail</w:t>
      </w:r>
      <w:r w:rsidR="0039594A">
        <w:rPr>
          <w:rFonts w:cstheme="minorHAnsi"/>
        </w:rPr>
        <w:t xml:space="preserve">waters downstream of </w:t>
      </w:r>
      <w:r>
        <w:rPr>
          <w:rFonts w:cstheme="minorHAnsi"/>
        </w:rPr>
        <w:t>Lock 4 and Lock 1 to correspond with sampling locations of ot</w:t>
      </w:r>
      <w:r w:rsidR="005D4E4A">
        <w:rPr>
          <w:rFonts w:cstheme="minorHAnsi"/>
        </w:rPr>
        <w:t xml:space="preserve">her indicators. At each site, a </w:t>
      </w:r>
      <w:r>
        <w:rPr>
          <w:rFonts w:cstheme="minorHAnsi"/>
        </w:rPr>
        <w:t>transect running</w:t>
      </w:r>
      <w:r w:rsidRPr="00EB4142">
        <w:rPr>
          <w:rFonts w:cstheme="minorHAnsi"/>
        </w:rPr>
        <w:t xml:space="preserve"> </w:t>
      </w:r>
      <w:r>
        <w:rPr>
          <w:rFonts w:cstheme="minorHAnsi"/>
        </w:rPr>
        <w:t>perpendicular to elevation contours will be established from normal pool level to the elevation inundated by flows of 40,000 ML</w:t>
      </w:r>
      <w:r w:rsidR="002B0438">
        <w:rPr>
          <w:rFonts w:cstheme="minorHAnsi"/>
        </w:rPr>
        <w:t>/</w:t>
      </w:r>
      <w:r>
        <w:rPr>
          <w:rFonts w:cstheme="minorHAnsi"/>
        </w:rPr>
        <w:t>d (this flow level is the extent of the Channel PEA in South Australia but transects may</w:t>
      </w:r>
      <w:r w:rsidR="00A152D7">
        <w:rPr>
          <w:rFonts w:cstheme="minorHAnsi"/>
        </w:rPr>
        <w:t xml:space="preserve"> extend beyond this elevation if</w:t>
      </w:r>
      <w:r>
        <w:rPr>
          <w:rFonts w:cstheme="minorHAnsi"/>
        </w:rPr>
        <w:t xml:space="preserve"> flows exceed 40,000 ML</w:t>
      </w:r>
      <w:r w:rsidR="002B0438">
        <w:rPr>
          <w:rFonts w:cstheme="minorHAnsi"/>
        </w:rPr>
        <w:t>/</w:t>
      </w:r>
      <w:r>
        <w:rPr>
          <w:rFonts w:cstheme="minorHAnsi"/>
        </w:rPr>
        <w:t xml:space="preserve">d). Quadrats will be positioned on the transect depending on water delivery. </w:t>
      </w:r>
      <w:r>
        <w:rPr>
          <w:rFonts w:cstheme="minorHAnsi"/>
        </w:rPr>
        <w:fldChar w:fldCharType="begin"/>
      </w:r>
      <w:r>
        <w:rPr>
          <w:rFonts w:cstheme="minorHAnsi"/>
        </w:rPr>
        <w:instrText xml:space="preserve"> REF _Ref8736401 \h </w:instrText>
      </w:r>
      <w:r>
        <w:rPr>
          <w:rFonts w:cstheme="minorHAnsi"/>
        </w:rPr>
      </w:r>
      <w:r>
        <w:rPr>
          <w:rFonts w:cstheme="minorHAnsi"/>
        </w:rPr>
        <w:fldChar w:fldCharType="separate"/>
      </w:r>
      <w:r w:rsidR="00DF49CD" w:rsidRPr="000F4B2C">
        <w:t xml:space="preserve">Figure </w:t>
      </w:r>
      <w:r w:rsidR="00DF49CD">
        <w:rPr>
          <w:noProof/>
        </w:rPr>
        <w:t>5</w:t>
      </w:r>
      <w:r w:rsidR="00DF49CD">
        <w:t>.</w:t>
      </w:r>
      <w:r w:rsidR="00DF49CD">
        <w:rPr>
          <w:noProof/>
        </w:rPr>
        <w:t>9</w:t>
      </w:r>
      <w:r>
        <w:rPr>
          <w:rFonts w:cstheme="minorHAnsi"/>
        </w:rPr>
        <w:fldChar w:fldCharType="end"/>
      </w:r>
      <w:r>
        <w:rPr>
          <w:rFonts w:cstheme="minorHAnsi"/>
        </w:rPr>
        <w:t xml:space="preserve"> represents the impact on water levels when C</w:t>
      </w:r>
      <w:r w:rsidR="002B0438">
        <w:rPr>
          <w:rFonts w:cstheme="minorHAnsi"/>
        </w:rPr>
        <w:t>ommonwealth environmental water</w:t>
      </w:r>
      <w:r>
        <w:rPr>
          <w:rFonts w:cstheme="minorHAnsi"/>
        </w:rPr>
        <w:t xml:space="preserve"> is delivered to increase flow magnitude. </w:t>
      </w:r>
      <w:r w:rsidR="00522348">
        <w:rPr>
          <w:rFonts w:cstheme="minorHAnsi"/>
        </w:rPr>
        <w:t xml:space="preserve">In this scenario, quadrats will be positioned at an elevation above the maximum water level, in the zone inundated by the addition of Commonwealth environmental water, in the zone inundated by the addition of other environmental water and in the zone inundated without the addition of any environmental water. </w:t>
      </w:r>
      <w:r>
        <w:rPr>
          <w:rFonts w:cstheme="minorHAnsi"/>
        </w:rPr>
        <w:t xml:space="preserve">Placing quadrats in these zones will give an indication of the benefit of </w:t>
      </w:r>
      <w:r w:rsidR="002B0438">
        <w:rPr>
          <w:rFonts w:cstheme="minorHAnsi"/>
        </w:rPr>
        <w:t>Commonwealth environmental water</w:t>
      </w:r>
      <w:r>
        <w:rPr>
          <w:rFonts w:cstheme="minorHAnsi"/>
        </w:rPr>
        <w:t xml:space="preserve"> comparing species richness and productivity between zones. It will also provide an estimate of littoral vegetation biomass produced by </w:t>
      </w:r>
      <w:r w:rsidR="002B0438">
        <w:rPr>
          <w:rFonts w:cstheme="minorHAnsi"/>
        </w:rPr>
        <w:t>Commonwealth environmental water</w:t>
      </w:r>
      <w:r>
        <w:rPr>
          <w:rFonts w:cstheme="minorHAnsi"/>
        </w:rPr>
        <w:t>.</w:t>
      </w:r>
    </w:p>
    <w:p w14:paraId="18E3D56D" w14:textId="27665191" w:rsidR="00424124" w:rsidRDefault="00424124" w:rsidP="00424124">
      <w:pPr>
        <w:rPr>
          <w:rFonts w:cstheme="minorHAnsi"/>
        </w:rPr>
      </w:pPr>
      <w:r>
        <w:rPr>
          <w:rFonts w:cstheme="minorHAnsi"/>
        </w:rPr>
        <w:fldChar w:fldCharType="begin"/>
      </w:r>
      <w:r>
        <w:rPr>
          <w:rFonts w:cstheme="minorHAnsi"/>
        </w:rPr>
        <w:instrText xml:space="preserve"> REF _Ref8736495 \h </w:instrText>
      </w:r>
      <w:r>
        <w:rPr>
          <w:rFonts w:cstheme="minorHAnsi"/>
        </w:rPr>
      </w:r>
      <w:r>
        <w:rPr>
          <w:rFonts w:cstheme="minorHAnsi"/>
        </w:rPr>
        <w:fldChar w:fldCharType="separate"/>
      </w:r>
      <w:r w:rsidR="00DF49CD" w:rsidRPr="000F4B2C">
        <w:t xml:space="preserve">Figure </w:t>
      </w:r>
      <w:r w:rsidR="00DF49CD">
        <w:rPr>
          <w:noProof/>
        </w:rPr>
        <w:t>5</w:t>
      </w:r>
      <w:r w:rsidR="00DF49CD">
        <w:t>.</w:t>
      </w:r>
      <w:r w:rsidR="00DF49CD">
        <w:rPr>
          <w:noProof/>
        </w:rPr>
        <w:t>10</w:t>
      </w:r>
      <w:r>
        <w:rPr>
          <w:rFonts w:cstheme="minorHAnsi"/>
        </w:rPr>
        <w:fldChar w:fldCharType="end"/>
      </w:r>
      <w:r>
        <w:rPr>
          <w:rFonts w:cstheme="minorHAnsi"/>
        </w:rPr>
        <w:t xml:space="preserve"> represents the predicted benefit of inundation duration on diversity or productivity of littoral vegetation. It is predicted that increased duration of inundation will result increased productivity and diversity to a point, after which there will be no further benefit (e.g. the soil profile is saturated and increased duration of inundation does not result in further water availability during draw down) (e.g. Ganf </w:t>
      </w:r>
      <w:r w:rsidRPr="00424124">
        <w:rPr>
          <w:rFonts w:cstheme="minorHAnsi"/>
          <w:i/>
        </w:rPr>
        <w:t>et al.</w:t>
      </w:r>
      <w:r>
        <w:rPr>
          <w:rFonts w:cstheme="minorHAnsi"/>
        </w:rPr>
        <w:t xml:space="preserve"> 2010).  In a scenario when </w:t>
      </w:r>
      <w:r w:rsidR="00443538">
        <w:rPr>
          <w:rFonts w:cstheme="minorHAnsi"/>
        </w:rPr>
        <w:t>Commonwealth environmental water</w:t>
      </w:r>
      <w:r>
        <w:rPr>
          <w:rFonts w:cstheme="minorHAnsi"/>
        </w:rPr>
        <w:t xml:space="preserve"> is used to increase inundation duration, quadrats will be placed at regular intervals on the elevation gradient at elevations that correspond to a point that was inundated for a certain duration (</w:t>
      </w:r>
      <w:r>
        <w:rPr>
          <w:rFonts w:cstheme="minorHAnsi"/>
        </w:rPr>
        <w:fldChar w:fldCharType="begin"/>
      </w:r>
      <w:r>
        <w:rPr>
          <w:rFonts w:cstheme="minorHAnsi"/>
        </w:rPr>
        <w:instrText xml:space="preserve"> REF _Ref8744628 \h </w:instrText>
      </w:r>
      <w:r>
        <w:rPr>
          <w:rFonts w:cstheme="minorHAnsi"/>
        </w:rPr>
      </w:r>
      <w:r>
        <w:rPr>
          <w:rFonts w:cstheme="minorHAnsi"/>
        </w:rPr>
        <w:fldChar w:fldCharType="separate"/>
      </w:r>
      <w:r w:rsidR="00DF49CD" w:rsidRPr="000F4B2C">
        <w:t xml:space="preserve">Figure </w:t>
      </w:r>
      <w:r w:rsidR="00DF49CD">
        <w:rPr>
          <w:noProof/>
        </w:rPr>
        <w:t>5</w:t>
      </w:r>
      <w:r w:rsidR="00DF49CD">
        <w:t>.</w:t>
      </w:r>
      <w:r w:rsidR="00DF49CD">
        <w:rPr>
          <w:noProof/>
        </w:rPr>
        <w:t>11</w:t>
      </w:r>
      <w:r>
        <w:rPr>
          <w:rFonts w:cstheme="minorHAnsi"/>
        </w:rPr>
        <w:fldChar w:fldCharType="end"/>
      </w:r>
      <w:r>
        <w:rPr>
          <w:rFonts w:cstheme="minorHAnsi"/>
        </w:rPr>
        <w:t xml:space="preserve">). For example, </w:t>
      </w:r>
      <w:r>
        <w:rPr>
          <w:rFonts w:cstheme="minorHAnsi"/>
        </w:rPr>
        <w:fldChar w:fldCharType="begin"/>
      </w:r>
      <w:r>
        <w:rPr>
          <w:rFonts w:cstheme="minorHAnsi"/>
        </w:rPr>
        <w:instrText xml:space="preserve"> REF _Ref8744628 \h </w:instrText>
      </w:r>
      <w:r>
        <w:rPr>
          <w:rFonts w:cstheme="minorHAnsi"/>
        </w:rPr>
      </w:r>
      <w:r>
        <w:rPr>
          <w:rFonts w:cstheme="minorHAnsi"/>
        </w:rPr>
        <w:fldChar w:fldCharType="separate"/>
      </w:r>
      <w:r w:rsidR="00DF49CD" w:rsidRPr="000F4B2C">
        <w:t xml:space="preserve">Figure </w:t>
      </w:r>
      <w:r w:rsidR="00DF49CD">
        <w:rPr>
          <w:noProof/>
        </w:rPr>
        <w:t>5</w:t>
      </w:r>
      <w:r w:rsidR="00DF49CD">
        <w:t>.</w:t>
      </w:r>
      <w:r w:rsidR="00DF49CD">
        <w:rPr>
          <w:noProof/>
        </w:rPr>
        <w:t>11</w:t>
      </w:r>
      <w:r>
        <w:rPr>
          <w:rFonts w:cstheme="minorHAnsi"/>
        </w:rPr>
        <w:fldChar w:fldCharType="end"/>
      </w:r>
      <w:r>
        <w:rPr>
          <w:rFonts w:cstheme="minorHAnsi"/>
        </w:rPr>
        <w:t xml:space="preserve"> shows potential quadrat placement for a flow pulse of 50 days with quadrats positioned on points that were inundated between zero and 50 days with 5 day intervals. The number and position of quadrats would depend on the magnitude and duration of the flow pulse. The relationships between inundation duration and productivity and diversity will be determined and the benefit of </w:t>
      </w:r>
      <w:r w:rsidR="00443538">
        <w:rPr>
          <w:rFonts w:cstheme="minorHAnsi"/>
        </w:rPr>
        <w:t>Commonwealth environmental water</w:t>
      </w:r>
      <w:r>
        <w:rPr>
          <w:rFonts w:cstheme="minorHAnsi"/>
        </w:rPr>
        <w:t xml:space="preserve"> will be estimated using this relationship comparing the inundation duration with and without </w:t>
      </w:r>
      <w:r w:rsidR="00443538">
        <w:rPr>
          <w:rFonts w:cstheme="minorHAnsi"/>
        </w:rPr>
        <w:t>Commonwealth environmental water</w:t>
      </w:r>
      <w:r>
        <w:rPr>
          <w:rFonts w:cstheme="minorHAnsi"/>
        </w:rPr>
        <w:t xml:space="preserve">. </w:t>
      </w:r>
    </w:p>
    <w:p w14:paraId="777F75E9" w14:textId="6B7B5E21" w:rsidR="00424124" w:rsidRDefault="00424124" w:rsidP="00424124">
      <w:pPr>
        <w:rPr>
          <w:rFonts w:cstheme="minorHAnsi"/>
        </w:rPr>
      </w:pPr>
      <w:r>
        <w:rPr>
          <w:rFonts w:cstheme="minorHAnsi"/>
        </w:rPr>
        <w:t xml:space="preserve"> </w:t>
      </w:r>
    </w:p>
    <w:p w14:paraId="6FDB5823" w14:textId="77777777" w:rsidR="00424124" w:rsidRDefault="00424124" w:rsidP="00424124">
      <w:pPr>
        <w:rPr>
          <w:rFonts w:cstheme="minorHAnsi"/>
        </w:rPr>
      </w:pPr>
    </w:p>
    <w:p w14:paraId="4CD13784" w14:textId="77777777" w:rsidR="00424124" w:rsidRDefault="00424124" w:rsidP="00CF3F56">
      <w:pPr>
        <w:rPr>
          <w:rFonts w:cstheme="minorHAnsi"/>
        </w:rPr>
      </w:pPr>
      <w:r w:rsidRPr="006F56CF">
        <w:rPr>
          <w:noProof/>
          <w:lang w:eastAsia="en-AU"/>
        </w:rPr>
        <w:lastRenderedPageBreak/>
        <w:drawing>
          <wp:inline distT="0" distB="0" distL="0" distR="0" wp14:anchorId="3F1DE9C9" wp14:editId="799E8CFF">
            <wp:extent cx="5727700" cy="3490701"/>
            <wp:effectExtent l="0" t="0" r="0"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727700" cy="3490701"/>
                    </a:xfrm>
                    <a:prstGeom prst="rect">
                      <a:avLst/>
                    </a:prstGeom>
                    <a:noFill/>
                    <a:ln>
                      <a:noFill/>
                    </a:ln>
                  </pic:spPr>
                </pic:pic>
              </a:graphicData>
            </a:graphic>
          </wp:inline>
        </w:drawing>
      </w:r>
    </w:p>
    <w:p w14:paraId="114BA616" w14:textId="71C5D264" w:rsidR="00424124" w:rsidRDefault="00424124" w:rsidP="00424124">
      <w:pPr>
        <w:pStyle w:val="FigureCaption"/>
      </w:pPr>
      <w:bookmarkStart w:id="138" w:name="_Ref8736401"/>
      <w:bookmarkStart w:id="139" w:name="_Toc12630440"/>
      <w:r w:rsidRPr="000F4B2C">
        <w:t xml:space="preserve">Figure </w:t>
      </w:r>
      <w:r w:rsidR="00A8252A">
        <w:rPr>
          <w:noProof/>
        </w:rPr>
        <w:fldChar w:fldCharType="begin"/>
      </w:r>
      <w:r w:rsidR="00A8252A">
        <w:rPr>
          <w:noProof/>
        </w:rPr>
        <w:instrText xml:space="preserve"> STYLEREF 1 \s </w:instrText>
      </w:r>
      <w:r w:rsidR="00A8252A">
        <w:rPr>
          <w:noProof/>
        </w:rPr>
        <w:fldChar w:fldCharType="separate"/>
      </w:r>
      <w:r w:rsidR="00DF49CD">
        <w:rPr>
          <w:noProof/>
        </w:rPr>
        <w:t>5</w:t>
      </w:r>
      <w:r w:rsidR="00A8252A">
        <w:rPr>
          <w:noProof/>
        </w:rPr>
        <w:fldChar w:fldCharType="end"/>
      </w:r>
      <w:r w:rsidR="00251188">
        <w:t>.</w:t>
      </w:r>
      <w:r w:rsidR="00A8252A">
        <w:rPr>
          <w:noProof/>
        </w:rPr>
        <w:fldChar w:fldCharType="begin"/>
      </w:r>
      <w:r w:rsidR="00A8252A">
        <w:rPr>
          <w:noProof/>
        </w:rPr>
        <w:instrText xml:space="preserve"> SEQ Figure \* ARABIC \s 1 </w:instrText>
      </w:r>
      <w:r w:rsidR="00A8252A">
        <w:rPr>
          <w:noProof/>
        </w:rPr>
        <w:fldChar w:fldCharType="separate"/>
      </w:r>
      <w:r w:rsidR="00DF49CD">
        <w:rPr>
          <w:noProof/>
        </w:rPr>
        <w:t>9</w:t>
      </w:r>
      <w:r w:rsidR="00A8252A">
        <w:rPr>
          <w:noProof/>
        </w:rPr>
        <w:fldChar w:fldCharType="end"/>
      </w:r>
      <w:bookmarkEnd w:id="138"/>
      <w:r w:rsidRPr="000F4B2C">
        <w:t>.</w:t>
      </w:r>
      <w:r>
        <w:tab/>
        <w:t xml:space="preserve"> Vegetation sampling zones based on delivery of </w:t>
      </w:r>
      <w:r w:rsidR="00443538">
        <w:t xml:space="preserve">Commonwealth environmental water </w:t>
      </w:r>
      <w:r>
        <w:t>increasing flow magnitude</w:t>
      </w:r>
      <w:r w:rsidRPr="00CA1169">
        <w:t>.</w:t>
      </w:r>
      <w:bookmarkEnd w:id="139"/>
      <w:r w:rsidRPr="00CA1169">
        <w:t xml:space="preserve"> </w:t>
      </w:r>
    </w:p>
    <w:p w14:paraId="1E2F5962" w14:textId="77777777" w:rsidR="00424124" w:rsidRDefault="00424124" w:rsidP="00CF3F56">
      <w:r w:rsidRPr="00106372">
        <w:rPr>
          <w:noProof/>
          <w:lang w:eastAsia="en-AU"/>
        </w:rPr>
        <w:drawing>
          <wp:inline distT="0" distB="0" distL="0" distR="0" wp14:anchorId="52940FB1" wp14:editId="64879311">
            <wp:extent cx="4988524" cy="3105515"/>
            <wp:effectExtent l="0" t="0" r="3175" b="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992297" cy="3107864"/>
                    </a:xfrm>
                    <a:prstGeom prst="rect">
                      <a:avLst/>
                    </a:prstGeom>
                    <a:noFill/>
                    <a:ln>
                      <a:noFill/>
                    </a:ln>
                  </pic:spPr>
                </pic:pic>
              </a:graphicData>
            </a:graphic>
          </wp:inline>
        </w:drawing>
      </w:r>
    </w:p>
    <w:p w14:paraId="1984D1B5" w14:textId="691AA2D4" w:rsidR="00424124" w:rsidRDefault="00424124" w:rsidP="00424124">
      <w:pPr>
        <w:pStyle w:val="FigureCaption"/>
      </w:pPr>
      <w:bookmarkStart w:id="140" w:name="_Ref8736495"/>
      <w:bookmarkStart w:id="141" w:name="_Toc12630441"/>
      <w:r w:rsidRPr="000F4B2C">
        <w:t xml:space="preserve">Figure </w:t>
      </w:r>
      <w:r w:rsidR="00A8252A">
        <w:rPr>
          <w:noProof/>
        </w:rPr>
        <w:fldChar w:fldCharType="begin"/>
      </w:r>
      <w:r w:rsidR="00A8252A">
        <w:rPr>
          <w:noProof/>
        </w:rPr>
        <w:instrText xml:space="preserve"> STYLEREF 1 \s </w:instrText>
      </w:r>
      <w:r w:rsidR="00A8252A">
        <w:rPr>
          <w:noProof/>
        </w:rPr>
        <w:fldChar w:fldCharType="separate"/>
      </w:r>
      <w:r w:rsidR="00DF49CD">
        <w:rPr>
          <w:noProof/>
        </w:rPr>
        <w:t>5</w:t>
      </w:r>
      <w:r w:rsidR="00A8252A">
        <w:rPr>
          <w:noProof/>
        </w:rPr>
        <w:fldChar w:fldCharType="end"/>
      </w:r>
      <w:r w:rsidR="00251188">
        <w:t>.</w:t>
      </w:r>
      <w:r w:rsidR="00A8252A">
        <w:rPr>
          <w:noProof/>
        </w:rPr>
        <w:fldChar w:fldCharType="begin"/>
      </w:r>
      <w:r w:rsidR="00A8252A">
        <w:rPr>
          <w:noProof/>
        </w:rPr>
        <w:instrText xml:space="preserve"> SEQ Figure \* ARABIC \s 1 </w:instrText>
      </w:r>
      <w:r w:rsidR="00A8252A">
        <w:rPr>
          <w:noProof/>
        </w:rPr>
        <w:fldChar w:fldCharType="separate"/>
      </w:r>
      <w:r w:rsidR="00DF49CD">
        <w:rPr>
          <w:noProof/>
        </w:rPr>
        <w:t>10</w:t>
      </w:r>
      <w:r w:rsidR="00A8252A">
        <w:rPr>
          <w:noProof/>
        </w:rPr>
        <w:fldChar w:fldCharType="end"/>
      </w:r>
      <w:bookmarkEnd w:id="140"/>
      <w:r w:rsidRPr="000F4B2C">
        <w:t>.</w:t>
      </w:r>
      <w:r>
        <w:tab/>
        <w:t xml:space="preserve"> Predicted benefit of increased inundation duration on diversity or productivity of littoral vegetation.</w:t>
      </w:r>
      <w:bookmarkEnd w:id="141"/>
    </w:p>
    <w:p w14:paraId="176DBCB6" w14:textId="77777777" w:rsidR="00424124" w:rsidRDefault="00424124" w:rsidP="00CF3F56">
      <w:r w:rsidRPr="00106372">
        <w:rPr>
          <w:noProof/>
          <w:lang w:eastAsia="en-AU"/>
        </w:rPr>
        <w:lastRenderedPageBreak/>
        <w:drawing>
          <wp:inline distT="0" distB="0" distL="0" distR="0" wp14:anchorId="27DE9326" wp14:editId="70B1619C">
            <wp:extent cx="5125196" cy="3227397"/>
            <wp:effectExtent l="0" t="0" r="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125196" cy="3227397"/>
                    </a:xfrm>
                    <a:prstGeom prst="rect">
                      <a:avLst/>
                    </a:prstGeom>
                    <a:noFill/>
                    <a:ln>
                      <a:noFill/>
                    </a:ln>
                  </pic:spPr>
                </pic:pic>
              </a:graphicData>
            </a:graphic>
          </wp:inline>
        </w:drawing>
      </w:r>
    </w:p>
    <w:p w14:paraId="67ED4F2E" w14:textId="53CA5916" w:rsidR="00424124" w:rsidRDefault="00424124" w:rsidP="00424124">
      <w:pPr>
        <w:pStyle w:val="FigureCaption"/>
      </w:pPr>
      <w:bookmarkStart w:id="142" w:name="_Ref8744628"/>
      <w:bookmarkStart w:id="143" w:name="_Toc12630442"/>
      <w:r w:rsidRPr="000F4B2C">
        <w:t xml:space="preserve">Figure </w:t>
      </w:r>
      <w:r w:rsidR="00A8252A">
        <w:rPr>
          <w:noProof/>
        </w:rPr>
        <w:fldChar w:fldCharType="begin"/>
      </w:r>
      <w:r w:rsidR="00A8252A">
        <w:rPr>
          <w:noProof/>
        </w:rPr>
        <w:instrText xml:space="preserve"> STYLEREF 1 \s </w:instrText>
      </w:r>
      <w:r w:rsidR="00A8252A">
        <w:rPr>
          <w:noProof/>
        </w:rPr>
        <w:fldChar w:fldCharType="separate"/>
      </w:r>
      <w:r w:rsidR="00DF49CD">
        <w:rPr>
          <w:noProof/>
        </w:rPr>
        <w:t>5</w:t>
      </w:r>
      <w:r w:rsidR="00A8252A">
        <w:rPr>
          <w:noProof/>
        </w:rPr>
        <w:fldChar w:fldCharType="end"/>
      </w:r>
      <w:r w:rsidR="00251188">
        <w:t>.</w:t>
      </w:r>
      <w:r w:rsidR="00A8252A">
        <w:rPr>
          <w:noProof/>
        </w:rPr>
        <w:fldChar w:fldCharType="begin"/>
      </w:r>
      <w:r w:rsidR="00A8252A">
        <w:rPr>
          <w:noProof/>
        </w:rPr>
        <w:instrText xml:space="preserve"> SEQ Figure \* ARABIC \s 1 </w:instrText>
      </w:r>
      <w:r w:rsidR="00A8252A">
        <w:rPr>
          <w:noProof/>
        </w:rPr>
        <w:fldChar w:fldCharType="separate"/>
      </w:r>
      <w:r w:rsidR="00DF49CD">
        <w:rPr>
          <w:noProof/>
        </w:rPr>
        <w:t>11</w:t>
      </w:r>
      <w:r w:rsidR="00A8252A">
        <w:rPr>
          <w:noProof/>
        </w:rPr>
        <w:fldChar w:fldCharType="end"/>
      </w:r>
      <w:bookmarkEnd w:id="142"/>
      <w:r w:rsidRPr="000F4B2C">
        <w:t>.</w:t>
      </w:r>
      <w:r>
        <w:tab/>
        <w:t xml:space="preserve"> Potential position of quadrats on the elevation gradient when </w:t>
      </w:r>
      <w:r w:rsidR="00443538">
        <w:t xml:space="preserve">Commonwealth environmental water </w:t>
      </w:r>
      <w:r>
        <w:t>is delivered to increase duration of inundation. In this instance the total duration of flows above normal pool level was 50 days and quadrats were positioned on the elevation gradient to capture 5 day intervals but would change depending on magnitude and duration of flow.</w:t>
      </w:r>
      <w:bookmarkEnd w:id="143"/>
      <w:r>
        <w:t xml:space="preserve">  </w:t>
      </w:r>
    </w:p>
    <w:p w14:paraId="2BFE41EC" w14:textId="7FE7E0D7" w:rsidR="00022052" w:rsidRPr="00022052" w:rsidRDefault="00022052" w:rsidP="00022052">
      <w:pPr>
        <w:rPr>
          <w:rFonts w:cstheme="minorHAnsi"/>
        </w:rPr>
      </w:pPr>
      <w:r w:rsidRPr="005518F2">
        <w:rPr>
          <w:rFonts w:cstheme="minorHAnsi"/>
        </w:rPr>
        <w:t xml:space="preserve">Refer to the </w:t>
      </w:r>
      <w:r w:rsidRPr="000F53E7">
        <w:rPr>
          <w:rFonts w:cstheme="minorHAnsi"/>
        </w:rPr>
        <w:t>Lower Murray</w:t>
      </w:r>
      <w:r w:rsidRPr="005518F2">
        <w:rPr>
          <w:rFonts w:cstheme="minorHAnsi"/>
        </w:rPr>
        <w:t xml:space="preserve"> Selected Area SOP for </w:t>
      </w:r>
      <w:r>
        <w:rPr>
          <w:rFonts w:cstheme="minorHAnsi"/>
          <w:i/>
        </w:rPr>
        <w:t>Littoral Vegetation Diversity and Productivity</w:t>
      </w:r>
      <w:r w:rsidRPr="005518F2">
        <w:rPr>
          <w:rFonts w:cstheme="minorHAnsi"/>
        </w:rPr>
        <w:t xml:space="preserve"> (</w:t>
      </w:r>
      <w:r w:rsidR="000E285D">
        <w:rPr>
          <w:rFonts w:cstheme="minorHAnsi"/>
        </w:rPr>
        <w:t>Appendix B</w:t>
      </w:r>
      <w:r w:rsidRPr="00E6468B">
        <w:rPr>
          <w:rFonts w:cstheme="minorHAnsi"/>
        </w:rPr>
        <w:t>) for</w:t>
      </w:r>
      <w:r w:rsidRPr="005518F2">
        <w:rPr>
          <w:rFonts w:cstheme="minorHAnsi"/>
        </w:rPr>
        <w:t xml:space="preserve"> more information on the sampling protocol including sites, timing and equipment, and on data analysis and evaluation, data management and quality assurance/quality control measures. Refer</w:t>
      </w:r>
      <w:r w:rsidRPr="00EB4142">
        <w:rPr>
          <w:rFonts w:cstheme="minorHAnsi"/>
        </w:rPr>
        <w:t xml:space="preserve"> </w:t>
      </w:r>
      <w:r w:rsidRPr="00D81D1B">
        <w:rPr>
          <w:rFonts w:cstheme="minorHAnsi"/>
          <w:color w:val="auto"/>
        </w:rPr>
        <w:t xml:space="preserve">to Section </w:t>
      </w:r>
      <w:r>
        <w:fldChar w:fldCharType="begin"/>
      </w:r>
      <w:r>
        <w:rPr>
          <w:rFonts w:cstheme="minorHAnsi"/>
          <w:color w:val="auto"/>
        </w:rPr>
        <w:instrText xml:space="preserve"> REF _Ref10127770 \r \h </w:instrText>
      </w:r>
      <w:r>
        <w:fldChar w:fldCharType="separate"/>
      </w:r>
      <w:r w:rsidR="00DF49CD">
        <w:rPr>
          <w:rFonts w:cstheme="minorHAnsi"/>
          <w:color w:val="auto"/>
        </w:rPr>
        <w:t>7</w:t>
      </w:r>
      <w:r>
        <w:fldChar w:fldCharType="end"/>
      </w:r>
      <w:r w:rsidRPr="00D81D1B">
        <w:rPr>
          <w:rFonts w:cstheme="minorHAnsi"/>
          <w:color w:val="auto"/>
        </w:rPr>
        <w:t xml:space="preserve"> for</w:t>
      </w:r>
      <w:r w:rsidRPr="00EB4142">
        <w:rPr>
          <w:rFonts w:cstheme="minorHAnsi"/>
        </w:rPr>
        <w:t xml:space="preserve"> timing of monitoring activities and more information on sampling sites and zones.  </w:t>
      </w:r>
    </w:p>
    <w:p w14:paraId="16039957" w14:textId="77777777" w:rsidR="00424124" w:rsidRDefault="00424124" w:rsidP="00424124">
      <w:pPr>
        <w:pStyle w:val="Heading4"/>
      </w:pPr>
      <w:r w:rsidRPr="008E3CFD">
        <w:t>Outputs</w:t>
      </w:r>
    </w:p>
    <w:p w14:paraId="231E5B39" w14:textId="37EC45C0" w:rsidR="00424124" w:rsidRDefault="00424124" w:rsidP="00424124">
      <w:pPr>
        <w:pStyle w:val="ListParagraph"/>
        <w:numPr>
          <w:ilvl w:val="0"/>
          <w:numId w:val="0"/>
        </w:numPr>
      </w:pPr>
      <w:r>
        <w:rPr>
          <w:color w:val="auto"/>
        </w:rPr>
        <w:t>Annual</w:t>
      </w:r>
      <w:r w:rsidRPr="004B7CC1">
        <w:t xml:space="preserve"> report</w:t>
      </w:r>
      <w:r>
        <w:t>s</w:t>
      </w:r>
      <w:r w:rsidRPr="004B7CC1">
        <w:t xml:space="preserve"> on the </w:t>
      </w:r>
      <w:r>
        <w:t xml:space="preserve">benefit of </w:t>
      </w:r>
      <w:r w:rsidR="00443538">
        <w:t xml:space="preserve">Commonwealth environmental water </w:t>
      </w:r>
      <w:r>
        <w:t>(and other environmental water) on the diversity (biological and functional) and productivity of littoral vegetation</w:t>
      </w:r>
      <w:r w:rsidRPr="004B7CC1">
        <w:t xml:space="preserve">, in the </w:t>
      </w:r>
      <w:r w:rsidRPr="000F53E7">
        <w:t>Lower Murray</w:t>
      </w:r>
      <w:r w:rsidRPr="004B7CC1">
        <w:t xml:space="preserve"> Selected Area</w:t>
      </w:r>
      <w:r w:rsidRPr="00EC7BA8">
        <w:t xml:space="preserve"> </w:t>
      </w:r>
      <w:r>
        <w:t>from 2019</w:t>
      </w:r>
      <w:r w:rsidR="00BD42BE">
        <w:rPr>
          <w:rFonts w:eastAsiaTheme="majorEastAsia"/>
        </w:rPr>
        <w:t>-</w:t>
      </w:r>
      <w:r>
        <w:t>20 to 2021</w:t>
      </w:r>
      <w:r w:rsidR="00BD42BE">
        <w:rPr>
          <w:rFonts w:eastAsiaTheme="majorEastAsia"/>
        </w:rPr>
        <w:t>-</w:t>
      </w:r>
      <w:r>
        <w:t>22</w:t>
      </w:r>
      <w:r w:rsidRPr="004B7CC1">
        <w:t>. The report will include:</w:t>
      </w:r>
    </w:p>
    <w:p w14:paraId="5E9E7185" w14:textId="3BA3D20F" w:rsidR="00424124" w:rsidRDefault="00424124" w:rsidP="00424124">
      <w:pPr>
        <w:pStyle w:val="ListBullet"/>
        <w:numPr>
          <w:ilvl w:val="0"/>
          <w:numId w:val="14"/>
        </w:numPr>
      </w:pPr>
      <w:r>
        <w:t xml:space="preserve">Quantitative estimates of the benefit of </w:t>
      </w:r>
      <w:r w:rsidR="00E6468B">
        <w:t xml:space="preserve">Commonwealth environmental water </w:t>
      </w:r>
      <w:r>
        <w:t>(and other environmental water) on the diversity and productivity of littoral vegetation under different water delivery scenarios</w:t>
      </w:r>
    </w:p>
    <w:p w14:paraId="4F58CE32" w14:textId="77777777" w:rsidR="00A152D7" w:rsidRDefault="00424124" w:rsidP="00A152D7">
      <w:pPr>
        <w:pStyle w:val="ListBullet"/>
        <w:numPr>
          <w:ilvl w:val="0"/>
          <w:numId w:val="14"/>
        </w:numPr>
      </w:pPr>
      <w:r w:rsidRPr="004B7CC1">
        <w:t xml:space="preserve">Data interpretation that considers the current conceptual understanding of the </w:t>
      </w:r>
      <w:r>
        <w:t>benefits of environmental water for littoral vegetation in the Selected Area</w:t>
      </w:r>
      <w:r w:rsidR="00A152D7" w:rsidRPr="00A152D7">
        <w:t xml:space="preserve"> </w:t>
      </w:r>
    </w:p>
    <w:p w14:paraId="6B9276BF" w14:textId="77777777" w:rsidR="00424124" w:rsidRPr="008E3CFD" w:rsidRDefault="00424124" w:rsidP="00424124">
      <w:pPr>
        <w:pStyle w:val="Heading4"/>
      </w:pPr>
      <w:r w:rsidRPr="008E3CFD">
        <w:t xml:space="preserve">Staff </w:t>
      </w:r>
    </w:p>
    <w:p w14:paraId="6CE26802" w14:textId="77777777" w:rsidR="00424124" w:rsidRDefault="00424124" w:rsidP="00424124">
      <w:pPr>
        <w:pStyle w:val="Heading5"/>
      </w:pPr>
      <w:r>
        <w:t xml:space="preserve">Dr Jason Nicol </w:t>
      </w:r>
      <w:r>
        <w:tab/>
        <w:t>SARDI Aquatic Sciences</w:t>
      </w:r>
    </w:p>
    <w:p w14:paraId="4EE01768" w14:textId="6B3FA34F" w:rsidR="009A6CF2" w:rsidRPr="009A6CF2" w:rsidRDefault="009A6CF2" w:rsidP="009A6CF2">
      <w:r>
        <w:t xml:space="preserve">See section </w:t>
      </w:r>
      <w:r>
        <w:fldChar w:fldCharType="begin"/>
      </w:r>
      <w:r>
        <w:instrText xml:space="preserve"> REF _Ref9951228 \r \h </w:instrText>
      </w:r>
      <w:r>
        <w:fldChar w:fldCharType="separate"/>
      </w:r>
      <w:r w:rsidR="00DF49CD">
        <w:t>5.2.2</w:t>
      </w:r>
      <w:r>
        <w:fldChar w:fldCharType="end"/>
      </w:r>
      <w:r>
        <w:t xml:space="preserve"> for staff capabilities.</w:t>
      </w:r>
    </w:p>
    <w:p w14:paraId="21D662DF" w14:textId="77777777" w:rsidR="00424124" w:rsidRDefault="00424124" w:rsidP="00424124">
      <w:pPr>
        <w:pStyle w:val="Heading5"/>
      </w:pPr>
      <w:r>
        <w:t>Kate Frahn</w:t>
      </w:r>
      <w:r>
        <w:tab/>
        <w:t xml:space="preserve">SARDI Aquatic Sciences </w:t>
      </w:r>
    </w:p>
    <w:p w14:paraId="65B9FBFA" w14:textId="2306ACEB" w:rsidR="003963EC" w:rsidRDefault="00424124" w:rsidP="004E0845">
      <w:pPr>
        <w:rPr>
          <w:rFonts w:eastAsiaTheme="majorEastAsia" w:cstheme="majorBidi"/>
          <w:b/>
          <w:bCs/>
          <w:i/>
          <w:color w:val="auto"/>
          <w:sz w:val="24"/>
        </w:rPr>
      </w:pPr>
      <w:r>
        <w:t>Kate Frahn has worked at SARDI Aquatic Sciences since 2011 and worked extensively on vegetation monitoring, tree condition assessments, ecophysiology, seed bank assessments and plant identification. She has excellent knowledge of the flora of the lower River Murray, Mount Lofty Ranges and the south east of South Australia and has led the field component for numerous projects.</w:t>
      </w:r>
      <w:r w:rsidR="003963EC">
        <w:br w:type="page"/>
      </w:r>
    </w:p>
    <w:p w14:paraId="2C1CE0EE" w14:textId="24191D1B" w:rsidR="00775351" w:rsidRPr="004F394C" w:rsidRDefault="00775351" w:rsidP="00775351">
      <w:pPr>
        <w:pStyle w:val="Heading3"/>
      </w:pPr>
      <w:bookmarkStart w:id="144" w:name="_Ref10197058"/>
      <w:bookmarkStart w:id="145" w:name="_Ref10197146"/>
      <w:bookmarkStart w:id="146" w:name="_Toc22196704"/>
      <w:r>
        <w:lastRenderedPageBreak/>
        <w:t xml:space="preserve">Microinvertebrate </w:t>
      </w:r>
      <w:bookmarkEnd w:id="133"/>
      <w:bookmarkEnd w:id="134"/>
      <w:bookmarkEnd w:id="135"/>
      <w:bookmarkEnd w:id="136"/>
      <w:r w:rsidR="00E6468B">
        <w:t>A</w:t>
      </w:r>
      <w:r>
        <w:t>ssemblage</w:t>
      </w:r>
      <w:bookmarkEnd w:id="144"/>
      <w:bookmarkEnd w:id="145"/>
      <w:bookmarkEnd w:id="146"/>
    </w:p>
    <w:p w14:paraId="2B36DE6C" w14:textId="77777777" w:rsidR="00580C37" w:rsidRDefault="00580C37" w:rsidP="00475425">
      <w:pPr>
        <w:pStyle w:val="Heading4"/>
      </w:pPr>
      <w:r w:rsidRPr="008E3CFD">
        <w:t>Indicators</w:t>
      </w:r>
    </w:p>
    <w:p w14:paraId="56F7CF38" w14:textId="77777777" w:rsidR="00775351" w:rsidRDefault="00775351" w:rsidP="00775351">
      <w:pPr>
        <w:pStyle w:val="ListParagraph"/>
        <w:numPr>
          <w:ilvl w:val="0"/>
          <w:numId w:val="10"/>
        </w:numPr>
      </w:pPr>
      <w:r>
        <w:t>Microinvertebrate diversity and abundance</w:t>
      </w:r>
    </w:p>
    <w:p w14:paraId="7BD580FD" w14:textId="77777777" w:rsidR="00775351" w:rsidRDefault="00775351" w:rsidP="00775351">
      <w:pPr>
        <w:pStyle w:val="ListParagraph"/>
        <w:numPr>
          <w:ilvl w:val="0"/>
          <w:numId w:val="10"/>
        </w:numPr>
      </w:pPr>
      <w:r>
        <w:t>Ratios of different flow categories of microinvertebrates (e.g. littoral, lentic or limnetic)</w:t>
      </w:r>
    </w:p>
    <w:p w14:paraId="712D120F" w14:textId="77777777" w:rsidR="00580C37" w:rsidRDefault="00580C37" w:rsidP="00475425">
      <w:pPr>
        <w:pStyle w:val="Heading4"/>
      </w:pPr>
      <w:r w:rsidRPr="008E3CFD">
        <w:t>Background</w:t>
      </w:r>
    </w:p>
    <w:p w14:paraId="5D56C255" w14:textId="0952B861" w:rsidR="0090011B" w:rsidRDefault="0090011B" w:rsidP="0090011B">
      <w:r w:rsidRPr="004F36DE">
        <w:t xml:space="preserve">To date, more than </w:t>
      </w:r>
      <w:r>
        <w:t>4</w:t>
      </w:r>
      <w:r w:rsidRPr="004F36DE">
        <w:t>00 species of planktonic and littoral microinvertebrates</w:t>
      </w:r>
      <w:r>
        <w:t xml:space="preserve"> (protists, rotifers and microcrustaceans)</w:t>
      </w:r>
      <w:r w:rsidRPr="004F36DE">
        <w:t xml:space="preserve"> have been identified in the Lower Murray Selected Area and Lower Lakes</w:t>
      </w:r>
      <w:r>
        <w:t xml:space="preserve">. </w:t>
      </w:r>
      <w:r w:rsidRPr="004F36DE">
        <w:t>This assemblage provides</w:t>
      </w:r>
      <w:r>
        <w:t xml:space="preserve"> an important food</w:t>
      </w:r>
      <w:r w:rsidRPr="004F36DE">
        <w:t xml:space="preserve"> resource for </w:t>
      </w:r>
      <w:r>
        <w:t xml:space="preserve">a range of </w:t>
      </w:r>
      <w:r w:rsidRPr="004F36DE">
        <w:t>higher order consumers</w:t>
      </w:r>
      <w:r>
        <w:t xml:space="preserve"> </w:t>
      </w:r>
      <w:r w:rsidRPr="00775351">
        <w:t xml:space="preserve">(Shiel </w:t>
      </w:r>
      <w:r w:rsidRPr="00775351">
        <w:rPr>
          <w:i/>
        </w:rPr>
        <w:t>et al.</w:t>
      </w:r>
      <w:r w:rsidRPr="00775351">
        <w:t xml:space="preserve"> 1982; Shiel and Aldridge 2011; Shiel and Tan 2013a; 2013b). </w:t>
      </w:r>
      <w:r w:rsidRPr="004F36DE">
        <w:t>Different habitat types promote different assemblages of microinvertebrates within riverine ecosystems</w:t>
      </w:r>
      <w:r>
        <w:t xml:space="preserve">, and at the simplest level can be classified as either littoral, limnetic, lotic or benthic. </w:t>
      </w:r>
    </w:p>
    <w:p w14:paraId="5F2F725F" w14:textId="2752EDB4" w:rsidR="0090011B" w:rsidRDefault="0090011B" w:rsidP="0090011B">
      <w:r>
        <w:t>M</w:t>
      </w:r>
      <w:r w:rsidR="00775351">
        <w:t xml:space="preserve">icroinvertebrates are rapid </w:t>
      </w:r>
      <w:r>
        <w:t>responders to environmental flows, where within habitats that undergo wetting and drying cycles (e.g. the littoral zone and floodplains), organisms start to emerge from an egg-bank and begin to reproduce</w:t>
      </w:r>
      <w:r w:rsidRPr="0049731A">
        <w:t xml:space="preserve"> </w:t>
      </w:r>
      <w:r>
        <w:t>within hours of inundation (Tan and Shiel</w:t>
      </w:r>
      <w:r w:rsidRPr="00775351">
        <w:t xml:space="preserve"> 1993)</w:t>
      </w:r>
      <w:r>
        <w:t>. Therefore, a healthy egg-bank, which is primarily a result of long term flooding regime, is an important driver of the magnitude of response to inundation (Boulton and Lloyd</w:t>
      </w:r>
      <w:r w:rsidRPr="00775351">
        <w:t xml:space="preserve"> 1992)</w:t>
      </w:r>
      <w:r>
        <w:t xml:space="preserve">. Once inundated, longer water residence times (WRT) will result in higher </w:t>
      </w:r>
      <w:r w:rsidRPr="00D31E32">
        <w:t xml:space="preserve">abundance and biomass </w:t>
      </w:r>
      <w:r>
        <w:t xml:space="preserve">of organisms </w:t>
      </w:r>
      <w:r w:rsidRPr="00D31E32">
        <w:t>and resul</w:t>
      </w:r>
      <w:r>
        <w:t>t</w:t>
      </w:r>
      <w:r w:rsidRPr="00D31E32">
        <w:t xml:space="preserve"> in a shift from rotifer to crustacean dominated communities</w:t>
      </w:r>
      <w:r>
        <w:t xml:space="preserve"> </w:t>
      </w:r>
      <w:r w:rsidRPr="00775351">
        <w:t xml:space="preserve">(e.g. Basu and Pick, 1996; Baranyi </w:t>
      </w:r>
      <w:r w:rsidRPr="00775351">
        <w:rPr>
          <w:i/>
        </w:rPr>
        <w:t>et al.</w:t>
      </w:r>
      <w:r w:rsidRPr="00775351">
        <w:t xml:space="preserve"> 2002; Obertegger et al. 2007)</w:t>
      </w:r>
      <w:r w:rsidRPr="00D31E32">
        <w:t>.</w:t>
      </w:r>
      <w:r>
        <w:t xml:space="preserve"> Therefore, slow flowing habitats such as littoral zones and floodplains favour the development of abundant microinvertebrate communities which can then be transferred between habitats, through hydrological mixing and exchange. Once in the main river channel, only some organisms will survive, with a component of the persistent community, reproducing within areas of the main river channel. Which component persists will largely depend on factors such as season and hydraulics. </w:t>
      </w:r>
    </w:p>
    <w:p w14:paraId="4D9C6BF7" w14:textId="77777777" w:rsidR="0090011B" w:rsidRDefault="0090011B" w:rsidP="00AF79BD">
      <w:pPr>
        <w:spacing w:after="0"/>
      </w:pPr>
      <w:r>
        <w:t xml:space="preserve">Therefore, Commonwealth environmental water can facilitate the maintenance and development of microinvertebrate assemblages within the Lower Murray region by:  </w:t>
      </w:r>
    </w:p>
    <w:p w14:paraId="04E6CC75" w14:textId="77777777" w:rsidR="0090011B" w:rsidRDefault="0090011B" w:rsidP="00CB75AF">
      <w:pPr>
        <w:pStyle w:val="ListParagraph"/>
        <w:numPr>
          <w:ilvl w:val="0"/>
          <w:numId w:val="55"/>
        </w:numPr>
        <w:spacing w:after="0"/>
      </w:pPr>
      <w:r>
        <w:t>Creating slow flowing habitat adjacent to the main river channel and therefore sustaining populations that can act as a source to the main river channel community,</w:t>
      </w:r>
    </w:p>
    <w:p w14:paraId="253E634C" w14:textId="77777777" w:rsidR="0090011B" w:rsidRDefault="0090011B" w:rsidP="00CB75AF">
      <w:pPr>
        <w:pStyle w:val="ListParagraph"/>
        <w:numPr>
          <w:ilvl w:val="0"/>
          <w:numId w:val="55"/>
        </w:numPr>
        <w:spacing w:after="0"/>
      </w:pPr>
      <w:r>
        <w:t>Improving lateral and longitudinal hydrological connectivity which promotes the dispersal of organisms,</w:t>
      </w:r>
    </w:p>
    <w:p w14:paraId="65741653" w14:textId="77777777" w:rsidR="0090011B" w:rsidRDefault="0090011B" w:rsidP="00CB75AF">
      <w:pPr>
        <w:pStyle w:val="ListParagraph"/>
        <w:numPr>
          <w:ilvl w:val="0"/>
          <w:numId w:val="55"/>
        </w:numPr>
        <w:spacing w:after="0"/>
      </w:pPr>
      <w:r>
        <w:t>Improving the flow regime over the long term to promote a more diverse and abundant egg-bank and thus more diverse and abundant community dispersed through lateral and longitudinal connectivity, and</w:t>
      </w:r>
    </w:p>
    <w:p w14:paraId="31896570" w14:textId="77777777" w:rsidR="0090011B" w:rsidRDefault="0090011B" w:rsidP="00CB75AF">
      <w:pPr>
        <w:pStyle w:val="ListParagraph"/>
        <w:numPr>
          <w:ilvl w:val="0"/>
          <w:numId w:val="55"/>
        </w:numPr>
        <w:spacing w:after="0"/>
      </w:pPr>
      <w:r>
        <w:t>Influencing instream environments (e.g. hydraulics) in a way that supports lower trophic level integrity.</w:t>
      </w:r>
    </w:p>
    <w:p w14:paraId="7F055A1E" w14:textId="77777777" w:rsidR="0090011B" w:rsidRPr="000C346F" w:rsidRDefault="0090011B" w:rsidP="00AF79BD">
      <w:pPr>
        <w:spacing w:after="0"/>
        <w:ind w:left="360"/>
      </w:pPr>
    </w:p>
    <w:p w14:paraId="763B864F" w14:textId="7E9A3F5B" w:rsidR="00775351" w:rsidRDefault="0090011B" w:rsidP="0090011B">
      <w:r w:rsidRPr="00A4526E">
        <w:t xml:space="preserve">To determine the responses of the microinvertebrate community to </w:t>
      </w:r>
      <w:r w:rsidRPr="00443EDA">
        <w:rPr>
          <w:rFonts w:eastAsia="Calibri"/>
        </w:rPr>
        <w:t>C</w:t>
      </w:r>
      <w:r>
        <w:rPr>
          <w:rFonts w:eastAsia="Calibri"/>
        </w:rPr>
        <w:t>ommonwealth environmental water</w:t>
      </w:r>
      <w:r w:rsidRPr="00A4526E">
        <w:t xml:space="preserve"> </w:t>
      </w:r>
      <w:r>
        <w:t>deliveries</w:t>
      </w:r>
      <w:r w:rsidRPr="00A4526E">
        <w:t xml:space="preserve">, it is proposed to quantify the </w:t>
      </w:r>
      <w:r>
        <w:t xml:space="preserve">diversity and abundance of </w:t>
      </w:r>
      <w:r w:rsidRPr="00A4526E">
        <w:t>assemblage(s),</w:t>
      </w:r>
      <w:r>
        <w:t xml:space="preserve"> and changes in the ratios of key microinvertebrate flow categories</w:t>
      </w:r>
      <w:r w:rsidRPr="00A4526E">
        <w:t xml:space="preserve"> during and after </w:t>
      </w:r>
      <w:r w:rsidRPr="00443EDA">
        <w:rPr>
          <w:rFonts w:eastAsia="Calibri"/>
        </w:rPr>
        <w:t>C</w:t>
      </w:r>
      <w:r>
        <w:rPr>
          <w:rFonts w:eastAsia="Calibri"/>
        </w:rPr>
        <w:t>ommonwealth environmental water</w:t>
      </w:r>
      <w:r w:rsidRPr="00A4526E">
        <w:t xml:space="preserve"> releases. </w:t>
      </w:r>
      <w:r>
        <w:t xml:space="preserve">Quantitative sampling of planktonic microinvertebrates will occur annually during spring and summer. Samples taken during the delivery of Commonwealth environmental water will permit the community responses to lateral and/or longitudinal connectivity (with the assistance of Commonwealth environmental water) to be identified. </w:t>
      </w:r>
      <w:r w:rsidR="00775351">
        <w:t xml:space="preserve"> </w:t>
      </w:r>
    </w:p>
    <w:p w14:paraId="649C79CF" w14:textId="77777777" w:rsidR="00775351" w:rsidRDefault="00775351" w:rsidP="00775351"/>
    <w:p w14:paraId="61F9F6CE" w14:textId="77777777" w:rsidR="00775351" w:rsidRDefault="00775351" w:rsidP="0090011B">
      <w:pPr>
        <w:jc w:val="center"/>
      </w:pPr>
      <w:bookmarkStart w:id="147" w:name="_Ref385343729"/>
      <w:bookmarkStart w:id="148" w:name="_Toc6407259"/>
      <w:r w:rsidRPr="00E41CD2">
        <w:rPr>
          <w:noProof/>
          <w:lang w:eastAsia="en-AU"/>
        </w:rPr>
        <w:lastRenderedPageBreak/>
        <w:drawing>
          <wp:inline distT="0" distB="0" distL="0" distR="0" wp14:anchorId="799D57FD" wp14:editId="24458DE2">
            <wp:extent cx="5679062" cy="4435475"/>
            <wp:effectExtent l="0" t="0" r="0"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5679062" cy="443547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inline>
        </w:drawing>
      </w:r>
    </w:p>
    <w:p w14:paraId="4D7E194C" w14:textId="0F9EC6F1" w:rsidR="00775351" w:rsidRDefault="00775351" w:rsidP="00775351">
      <w:pPr>
        <w:pStyle w:val="FigureCaption"/>
      </w:pPr>
      <w:bookmarkStart w:id="149" w:name="_Ref10205985"/>
      <w:bookmarkStart w:id="150" w:name="_Toc12630443"/>
      <w:r w:rsidRPr="000F4B2C">
        <w:t xml:space="preserve">Figure </w:t>
      </w:r>
      <w:r w:rsidR="00A8252A">
        <w:rPr>
          <w:noProof/>
        </w:rPr>
        <w:fldChar w:fldCharType="begin"/>
      </w:r>
      <w:r w:rsidR="00A8252A">
        <w:rPr>
          <w:noProof/>
        </w:rPr>
        <w:instrText xml:space="preserve"> STYLEREF 1 \s </w:instrText>
      </w:r>
      <w:r w:rsidR="00A8252A">
        <w:rPr>
          <w:noProof/>
        </w:rPr>
        <w:fldChar w:fldCharType="separate"/>
      </w:r>
      <w:r w:rsidR="00DF49CD">
        <w:rPr>
          <w:noProof/>
        </w:rPr>
        <w:t>5</w:t>
      </w:r>
      <w:r w:rsidR="00A8252A">
        <w:rPr>
          <w:noProof/>
        </w:rPr>
        <w:fldChar w:fldCharType="end"/>
      </w:r>
      <w:r w:rsidR="00251188">
        <w:t>.</w:t>
      </w:r>
      <w:r w:rsidR="00A8252A">
        <w:rPr>
          <w:noProof/>
        </w:rPr>
        <w:fldChar w:fldCharType="begin"/>
      </w:r>
      <w:r w:rsidR="00A8252A">
        <w:rPr>
          <w:noProof/>
        </w:rPr>
        <w:instrText xml:space="preserve"> SEQ Figure \* ARABIC \s 1 </w:instrText>
      </w:r>
      <w:r w:rsidR="00A8252A">
        <w:rPr>
          <w:noProof/>
        </w:rPr>
        <w:fldChar w:fldCharType="separate"/>
      </w:r>
      <w:r w:rsidR="00DF49CD">
        <w:rPr>
          <w:noProof/>
        </w:rPr>
        <w:t>12</w:t>
      </w:r>
      <w:r w:rsidR="00A8252A">
        <w:rPr>
          <w:noProof/>
        </w:rPr>
        <w:fldChar w:fldCharType="end"/>
      </w:r>
      <w:bookmarkEnd w:id="147"/>
      <w:bookmarkEnd w:id="149"/>
      <w:r w:rsidRPr="000F4B2C">
        <w:t>.</w:t>
      </w:r>
      <w:r>
        <w:tab/>
        <w:t xml:space="preserve"> </w:t>
      </w:r>
      <w:r w:rsidRPr="00CA1169">
        <w:t xml:space="preserve">Microinvertebrate </w:t>
      </w:r>
      <w:r>
        <w:t>assemblage</w:t>
      </w:r>
      <w:r w:rsidRPr="00CA1169">
        <w:t xml:space="preserve"> cause and effect diagram. </w:t>
      </w:r>
      <w:r w:rsidRPr="00CA1169">
        <w:rPr>
          <w:lang w:val="en-US"/>
        </w:rPr>
        <w:t>Magnitude, timing and duration are factors of flow (in black).</w:t>
      </w:r>
      <w:bookmarkEnd w:id="148"/>
      <w:bookmarkEnd w:id="150"/>
    </w:p>
    <w:p w14:paraId="5BD2AD18" w14:textId="7E7D76E6" w:rsidR="005056CC" w:rsidRDefault="005056CC" w:rsidP="005056CC">
      <w:pPr>
        <w:pStyle w:val="Heading4"/>
      </w:pPr>
      <w:r>
        <w:t>Key evaluation question</w:t>
      </w:r>
      <w:r w:rsidR="00A152D7">
        <w:t>s</w:t>
      </w:r>
    </w:p>
    <w:p w14:paraId="15C90794" w14:textId="31FDCF67" w:rsidR="00775351" w:rsidRPr="00201F3C" w:rsidRDefault="00A152D7" w:rsidP="00775351">
      <w:r>
        <w:t>Selected Area evaluation questions</w:t>
      </w:r>
      <w:r w:rsidR="00775351">
        <w:t>:</w:t>
      </w:r>
    </w:p>
    <w:p w14:paraId="3EDE6B0A" w14:textId="77777777" w:rsidR="008D0C2B" w:rsidRDefault="008D0C2B" w:rsidP="008D0C2B">
      <w:pPr>
        <w:pStyle w:val="ListParagraph"/>
        <w:numPr>
          <w:ilvl w:val="0"/>
          <w:numId w:val="11"/>
        </w:numPr>
      </w:pPr>
      <w:r>
        <w:t>What did Commonwealth environmental water contribute to microinvertebrate diversity and abundance (density)?</w:t>
      </w:r>
    </w:p>
    <w:p w14:paraId="75BD3D7D" w14:textId="4214F832" w:rsidR="008D0C2B" w:rsidRPr="00D22EF9" w:rsidRDefault="008D0C2B" w:rsidP="008D0C2B">
      <w:pPr>
        <w:pStyle w:val="ListParagraph"/>
        <w:numPr>
          <w:ilvl w:val="0"/>
          <w:numId w:val="15"/>
        </w:numPr>
        <w:rPr>
          <w:rFonts w:eastAsia="Calibri" w:cs="Arial"/>
          <w:szCs w:val="22"/>
        </w:rPr>
      </w:pPr>
      <w:r w:rsidRPr="00D22EF9">
        <w:rPr>
          <w:rFonts w:eastAsia="Calibri" w:cs="Arial"/>
          <w:szCs w:val="22"/>
        </w:rPr>
        <w:t xml:space="preserve">What did </w:t>
      </w:r>
      <w:r w:rsidRPr="00D22EF9">
        <w:rPr>
          <w:rFonts w:eastAsia="Calibri" w:cs="Arial"/>
          <w:kern w:val="0"/>
          <w:szCs w:val="22"/>
        </w:rPr>
        <w:t>Commonwealth environmental water</w:t>
      </w:r>
      <w:r w:rsidRPr="00D22EF9">
        <w:rPr>
          <w:rFonts w:eastAsia="Calibri" w:cs="Arial"/>
          <w:szCs w:val="22"/>
        </w:rPr>
        <w:t xml:space="preserve"> contribute via </w:t>
      </w:r>
      <w:r>
        <w:rPr>
          <w:rFonts w:eastAsia="Calibri" w:cs="Arial"/>
          <w:szCs w:val="22"/>
        </w:rPr>
        <w:t>longitudinal (</w:t>
      </w:r>
      <w:r w:rsidRPr="00D22EF9">
        <w:rPr>
          <w:rFonts w:eastAsia="Calibri" w:cs="Arial"/>
          <w:szCs w:val="22"/>
        </w:rPr>
        <w:t>upstream</w:t>
      </w:r>
      <w:r>
        <w:rPr>
          <w:rFonts w:eastAsia="Calibri" w:cs="Arial"/>
          <w:szCs w:val="22"/>
        </w:rPr>
        <w:t>)</w:t>
      </w:r>
      <w:r w:rsidRPr="00D22EF9">
        <w:rPr>
          <w:rFonts w:eastAsia="Calibri" w:cs="Arial"/>
          <w:szCs w:val="22"/>
        </w:rPr>
        <w:t xml:space="preserve"> </w:t>
      </w:r>
      <w:r>
        <w:rPr>
          <w:rFonts w:eastAsia="Calibri" w:cs="Arial"/>
          <w:szCs w:val="22"/>
        </w:rPr>
        <w:t xml:space="preserve">and lateral </w:t>
      </w:r>
      <w:r w:rsidRPr="00D22EF9">
        <w:rPr>
          <w:rFonts w:eastAsia="Calibri" w:cs="Arial"/>
          <w:szCs w:val="22"/>
        </w:rPr>
        <w:t>connectivity</w:t>
      </w:r>
      <w:r>
        <w:rPr>
          <w:rFonts w:eastAsia="Calibri" w:cs="Arial"/>
          <w:szCs w:val="22"/>
        </w:rPr>
        <w:t>*</w:t>
      </w:r>
      <w:r w:rsidR="00CC4BF9">
        <w:rPr>
          <w:rFonts w:eastAsia="Calibri" w:cs="Arial"/>
          <w:szCs w:val="22"/>
        </w:rPr>
        <w:t xml:space="preserve"> and thus associated</w:t>
      </w:r>
      <w:r w:rsidRPr="00D22EF9">
        <w:rPr>
          <w:rFonts w:eastAsia="Calibri" w:cs="Arial"/>
          <w:szCs w:val="22"/>
        </w:rPr>
        <w:t xml:space="preserve"> microinvertebrate communities of the </w:t>
      </w:r>
      <w:r w:rsidRPr="000F53E7">
        <w:rPr>
          <w:rFonts w:eastAsia="Calibri" w:cs="Arial"/>
          <w:szCs w:val="22"/>
        </w:rPr>
        <w:t>Lower Murray</w:t>
      </w:r>
      <w:r w:rsidRPr="00D22EF9">
        <w:rPr>
          <w:rFonts w:eastAsia="Calibri" w:cs="Arial"/>
          <w:szCs w:val="22"/>
        </w:rPr>
        <w:t xml:space="preserve"> Selected Area?</w:t>
      </w:r>
    </w:p>
    <w:p w14:paraId="68F11682" w14:textId="4B80B821" w:rsidR="00775351" w:rsidRDefault="008D0C2B" w:rsidP="008D0C2B">
      <w:pPr>
        <w:pStyle w:val="ListParagraph"/>
        <w:numPr>
          <w:ilvl w:val="0"/>
          <w:numId w:val="15"/>
        </w:numPr>
      </w:pPr>
      <w:r>
        <w:t xml:space="preserve">What did Commonwealth environmental water contribute to the </w:t>
      </w:r>
      <w:r w:rsidR="005438B3">
        <w:t xml:space="preserve">expected </w:t>
      </w:r>
      <w:r>
        <w:t>quality** of food resources (microinvertebrates) for higher trophic organisms?</w:t>
      </w:r>
    </w:p>
    <w:p w14:paraId="0BD0B2D4" w14:textId="77777777" w:rsidR="008D0C2B" w:rsidRDefault="008D0C2B" w:rsidP="008D0C2B">
      <w:r>
        <w:t>*Our assessment of the influence of longitudinal connectivity will be based on comparing findings to the modelled (Bigmod) flow source data from the MDBA. We acknowledge there are assumptions with this approach, and it may be difficult to distinguish between the responses to environmental water and operational water</w:t>
      </w:r>
      <w:r w:rsidRPr="00F3143B">
        <w:t>.</w:t>
      </w:r>
    </w:p>
    <w:p w14:paraId="606927CF" w14:textId="24A498EA" w:rsidR="008D0C2B" w:rsidRDefault="008D0C2B" w:rsidP="008D0C2B">
      <w:r>
        <w:t>**</w:t>
      </w:r>
      <w:r w:rsidRPr="0086338A">
        <w:t xml:space="preserve"> </w:t>
      </w:r>
      <w:r>
        <w:t xml:space="preserve">Assumptions will be made about the quality of specific groups of </w:t>
      </w:r>
      <w:r w:rsidR="009C3B8C">
        <w:t>microinvertebrates</w:t>
      </w:r>
      <w:r>
        <w:t xml:space="preserve"> as a food resource for higher trophic organisms based on what food types they are known to eat, which of those food types are present at the time of sampling and the quality of that food type based on findings in the literature. Due to these assumptions, the complexity of riverine ecosystems and the limited information on Australian specimens, it is important to </w:t>
      </w:r>
      <w:r w:rsidR="00EB6482">
        <w:t xml:space="preserve">note </w:t>
      </w:r>
      <w:r>
        <w:t xml:space="preserve">the potential inaccuracy in </w:t>
      </w:r>
      <w:r w:rsidR="00EB6482">
        <w:t xml:space="preserve">defining </w:t>
      </w:r>
      <w:r>
        <w:t xml:space="preserve">food quality.  </w:t>
      </w:r>
    </w:p>
    <w:p w14:paraId="425178F8" w14:textId="090B3E7A" w:rsidR="00A152D7" w:rsidRDefault="005438B3" w:rsidP="00A152D7">
      <w:r w:rsidRPr="00855B72">
        <w:lastRenderedPageBreak/>
        <w:t xml:space="preserve">See additional </w:t>
      </w:r>
      <w:r>
        <w:t xml:space="preserve">evaluation </w:t>
      </w:r>
      <w:r w:rsidRPr="00855B72">
        <w:t>questions</w:t>
      </w:r>
      <w:r>
        <w:t xml:space="preserve"> for long-term </w:t>
      </w:r>
      <w:r w:rsidR="000D6141">
        <w:t>outcomes</w:t>
      </w:r>
      <w:r w:rsidRPr="00855B72">
        <w:t xml:space="preserve"> in conti</w:t>
      </w:r>
      <w:r>
        <w:t>ngency monitoring (Section 5.3)</w:t>
      </w:r>
      <w:r w:rsidRPr="00855B72">
        <w:t>.</w:t>
      </w:r>
    </w:p>
    <w:p w14:paraId="0862A60C" w14:textId="77777777" w:rsidR="00775351" w:rsidRDefault="00775351" w:rsidP="00775351">
      <w:pPr>
        <w:pStyle w:val="Heading4"/>
      </w:pPr>
      <w:r>
        <w:t>Objectives and hypotheses</w:t>
      </w:r>
    </w:p>
    <w:p w14:paraId="7469FDF7" w14:textId="77777777" w:rsidR="00775351" w:rsidRPr="00E40830" w:rsidRDefault="00775351" w:rsidP="00775351">
      <w:r>
        <w:t>The objectives of this indicator are to:</w:t>
      </w:r>
    </w:p>
    <w:p w14:paraId="2140D08A" w14:textId="7AC015C0" w:rsidR="00775351" w:rsidRPr="00F3507C" w:rsidRDefault="00775351" w:rsidP="00775351">
      <w:pPr>
        <w:pStyle w:val="ListBullet"/>
        <w:numPr>
          <w:ilvl w:val="0"/>
          <w:numId w:val="12"/>
        </w:numPr>
        <w:rPr>
          <w:rFonts w:ascii="Tahoma" w:hAnsi="Tahoma" w:cs="Tahoma"/>
        </w:rPr>
      </w:pPr>
      <w:r>
        <w:rPr>
          <w:rFonts w:ascii="Calibri" w:hAnsi="Calibri" w:cs="Calibri"/>
        </w:rPr>
        <w:t>Assess changes in</w:t>
      </w:r>
      <w:r w:rsidRPr="00341C5B">
        <w:rPr>
          <w:rFonts w:ascii="Calibri" w:hAnsi="Calibri" w:cs="Calibri"/>
        </w:rPr>
        <w:t xml:space="preserve"> </w:t>
      </w:r>
      <w:r>
        <w:rPr>
          <w:rFonts w:ascii="Calibri" w:hAnsi="Calibri" w:cs="Calibri"/>
        </w:rPr>
        <w:t xml:space="preserve">pelagic </w:t>
      </w:r>
      <w:r w:rsidRPr="00341C5B">
        <w:rPr>
          <w:rFonts w:ascii="Calibri" w:hAnsi="Calibri" w:cs="Calibri"/>
        </w:rPr>
        <w:t xml:space="preserve">potamoplankton assemblages </w:t>
      </w:r>
      <w:r>
        <w:rPr>
          <w:rFonts w:ascii="Calibri" w:hAnsi="Calibri" w:cs="Calibri"/>
        </w:rPr>
        <w:t>during Commonwealth</w:t>
      </w:r>
      <w:r w:rsidRPr="00341C5B">
        <w:rPr>
          <w:rFonts w:ascii="Calibri" w:hAnsi="Calibri" w:cs="Calibri"/>
        </w:rPr>
        <w:t xml:space="preserve"> environmental water deliveries</w:t>
      </w:r>
    </w:p>
    <w:p w14:paraId="4E8CEF83" w14:textId="0FF66652" w:rsidR="00775351" w:rsidRDefault="00775351" w:rsidP="00775351">
      <w:pPr>
        <w:pStyle w:val="ListBullet"/>
        <w:numPr>
          <w:ilvl w:val="0"/>
          <w:numId w:val="12"/>
        </w:numPr>
        <w:rPr>
          <w:rFonts w:ascii="Calibri" w:hAnsi="Calibri" w:cs="Calibri"/>
        </w:rPr>
      </w:pPr>
      <w:r>
        <w:rPr>
          <w:rFonts w:ascii="Calibri" w:hAnsi="Calibri" w:cs="Calibri"/>
        </w:rPr>
        <w:t>Relate changes in pelagic potamoplankton assemblages to longitudinal connectivity achieved t</w:t>
      </w:r>
      <w:r w:rsidR="008D0C2B">
        <w:rPr>
          <w:rFonts w:ascii="Calibri" w:hAnsi="Calibri" w:cs="Calibri"/>
        </w:rPr>
        <w:t>hrough upstream watering events</w:t>
      </w:r>
    </w:p>
    <w:p w14:paraId="0FCD42F8" w14:textId="04DEDABD" w:rsidR="00775351" w:rsidRDefault="00775351" w:rsidP="00775351">
      <w:pPr>
        <w:pStyle w:val="ListBullet"/>
        <w:numPr>
          <w:ilvl w:val="0"/>
          <w:numId w:val="12"/>
        </w:numPr>
        <w:rPr>
          <w:rFonts w:ascii="Calibri" w:hAnsi="Calibri" w:cs="Calibri"/>
        </w:rPr>
      </w:pPr>
      <w:r>
        <w:rPr>
          <w:rFonts w:ascii="Calibri" w:hAnsi="Calibri" w:cs="Calibri"/>
        </w:rPr>
        <w:t>Relate changes in the density and diversity of pelagic potamoplankton assemblages to lateral connectivity between the main river channel and adjacent littoral, backwater habitats and connected floodplain during</w:t>
      </w:r>
      <w:r w:rsidR="008D0C2B">
        <w:rPr>
          <w:rFonts w:ascii="Calibri" w:hAnsi="Calibri" w:cs="Calibri"/>
        </w:rPr>
        <w:t xml:space="preserve"> environmental water deliveries</w:t>
      </w:r>
    </w:p>
    <w:p w14:paraId="508ED76B" w14:textId="2D2E65FE" w:rsidR="00775351" w:rsidRPr="004B5B03" w:rsidRDefault="00775351" w:rsidP="00775351">
      <w:pPr>
        <w:pStyle w:val="ListBullet"/>
        <w:numPr>
          <w:ilvl w:val="0"/>
          <w:numId w:val="12"/>
        </w:numPr>
        <w:rPr>
          <w:rFonts w:ascii="Calibri" w:hAnsi="Calibri" w:cs="Calibri"/>
        </w:rPr>
      </w:pPr>
      <w:r w:rsidRPr="004B5B03">
        <w:rPr>
          <w:rFonts w:ascii="Calibri" w:hAnsi="Calibri" w:cs="Calibri"/>
        </w:rPr>
        <w:t>Relate</w:t>
      </w:r>
      <w:r>
        <w:rPr>
          <w:rFonts w:ascii="Calibri" w:hAnsi="Calibri" w:cs="Calibri"/>
        </w:rPr>
        <w:t xml:space="preserve"> changes in the ratios of defined microinvertebrate categories to in-channel hydraulics, water residence time, lateral and longitudinal connectivity and season and discuss about trophic ecology implications</w:t>
      </w:r>
      <w:r w:rsidR="008D0C2B">
        <w:rPr>
          <w:rFonts w:ascii="Calibri" w:hAnsi="Calibri" w:cs="Calibri"/>
        </w:rPr>
        <w:t>.</w:t>
      </w:r>
    </w:p>
    <w:p w14:paraId="12EB0DF9" w14:textId="77777777" w:rsidR="00775351" w:rsidRDefault="00775351" w:rsidP="00775351">
      <w:r>
        <w:t>Major h</w:t>
      </w:r>
      <w:r w:rsidRPr="008E3CFD">
        <w:t>ypothes</w:t>
      </w:r>
      <w:r>
        <w:t>es are:</w:t>
      </w:r>
    </w:p>
    <w:p w14:paraId="5E83C4B9" w14:textId="77777777" w:rsidR="00775351" w:rsidRPr="00D55F14" w:rsidRDefault="00775351" w:rsidP="00775351">
      <w:pPr>
        <w:pStyle w:val="ListParagraph"/>
        <w:numPr>
          <w:ilvl w:val="0"/>
          <w:numId w:val="12"/>
        </w:numPr>
        <w:rPr>
          <w:color w:val="auto"/>
        </w:rPr>
      </w:pPr>
      <w:r w:rsidRPr="00D55F14">
        <w:rPr>
          <w:color w:val="auto"/>
        </w:rPr>
        <w:t xml:space="preserve">Microinvertebrate taxonomic diversity will increase due to </w:t>
      </w:r>
      <w:r>
        <w:rPr>
          <w:color w:val="auto"/>
        </w:rPr>
        <w:t>flow induced transport of populations from upstream sources</w:t>
      </w:r>
    </w:p>
    <w:p w14:paraId="001EE10D" w14:textId="77777777" w:rsidR="00775351" w:rsidRDefault="00775351" w:rsidP="00775351">
      <w:pPr>
        <w:pStyle w:val="ListParagraph"/>
        <w:numPr>
          <w:ilvl w:val="0"/>
          <w:numId w:val="12"/>
        </w:numPr>
        <w:rPr>
          <w:color w:val="auto"/>
        </w:rPr>
      </w:pPr>
      <w:r w:rsidRPr="00973BFC">
        <w:rPr>
          <w:color w:val="auto"/>
        </w:rPr>
        <w:t xml:space="preserve">Microinvertebrate </w:t>
      </w:r>
      <w:r>
        <w:rPr>
          <w:color w:val="auto"/>
        </w:rPr>
        <w:t xml:space="preserve">diversity and density </w:t>
      </w:r>
      <w:r w:rsidRPr="00973BFC">
        <w:rPr>
          <w:color w:val="auto"/>
        </w:rPr>
        <w:t xml:space="preserve">will increase </w:t>
      </w:r>
      <w:r>
        <w:rPr>
          <w:color w:val="auto"/>
        </w:rPr>
        <w:t xml:space="preserve">in the main channel during overbank flows or when increased flow leads to improved lateral connectivity with off-channel habitats </w:t>
      </w:r>
    </w:p>
    <w:p w14:paraId="6FD8C1B0" w14:textId="77777777" w:rsidR="00E6468B" w:rsidRDefault="00E6468B" w:rsidP="00E6468B">
      <w:pPr>
        <w:pStyle w:val="ListParagraph"/>
        <w:numPr>
          <w:ilvl w:val="0"/>
          <w:numId w:val="12"/>
        </w:numPr>
        <w:rPr>
          <w:color w:val="auto"/>
        </w:rPr>
      </w:pPr>
      <w:r>
        <w:rPr>
          <w:color w:val="auto"/>
        </w:rPr>
        <w:t>Increased flow during spring will increase the abundance and diversity of littoral, diatom consuming zooplankton of higher quality food for higher trophic organisms.</w:t>
      </w:r>
    </w:p>
    <w:p w14:paraId="698B7379" w14:textId="77777777" w:rsidR="00E6468B" w:rsidRPr="003D52A9" w:rsidRDefault="00E6468B" w:rsidP="00E6468B">
      <w:pPr>
        <w:pStyle w:val="ListParagraph"/>
        <w:numPr>
          <w:ilvl w:val="0"/>
          <w:numId w:val="12"/>
        </w:numPr>
        <w:rPr>
          <w:color w:val="auto"/>
        </w:rPr>
      </w:pPr>
      <w:r>
        <w:rPr>
          <w:color w:val="auto"/>
        </w:rPr>
        <w:t>Reduced flow during summer will increase the abundance of cyanobacteria and abundance of lentic, bacteria consuming zooplankton communities of poorer quality food for higher trophic organisms.</w:t>
      </w:r>
    </w:p>
    <w:p w14:paraId="04ABBE62" w14:textId="77777777" w:rsidR="00580C37" w:rsidRDefault="00A94E5A" w:rsidP="00475425">
      <w:pPr>
        <w:pStyle w:val="Heading4"/>
      </w:pPr>
      <w:r>
        <w:t>General m</w:t>
      </w:r>
      <w:r w:rsidR="00580C37" w:rsidRPr="008E3CFD">
        <w:t>ethodology</w:t>
      </w:r>
    </w:p>
    <w:p w14:paraId="3B5FF679" w14:textId="77777777" w:rsidR="00775351" w:rsidRPr="005518F2" w:rsidRDefault="00775351" w:rsidP="00775351">
      <w:pPr>
        <w:rPr>
          <w:rFonts w:cstheme="minorHAnsi"/>
        </w:rPr>
      </w:pPr>
      <w:r>
        <w:rPr>
          <w:rFonts w:cstheme="minorHAnsi"/>
        </w:rPr>
        <w:t xml:space="preserve">Sampling </w:t>
      </w:r>
      <w:r w:rsidRPr="005518F2">
        <w:rPr>
          <w:rFonts w:cstheme="minorHAnsi"/>
        </w:rPr>
        <w:t xml:space="preserve">for potamoplankton will occur in the Gorge and Floodplain zones of the </w:t>
      </w:r>
      <w:r w:rsidRPr="000F53E7">
        <w:rPr>
          <w:rFonts w:cstheme="minorHAnsi"/>
        </w:rPr>
        <w:t>Lower Murray</w:t>
      </w:r>
      <w:r w:rsidRPr="005518F2">
        <w:rPr>
          <w:rFonts w:cstheme="minorHAnsi"/>
        </w:rPr>
        <w:t xml:space="preserve"> Selected Area. Sampling</w:t>
      </w:r>
      <w:r>
        <w:rPr>
          <w:rFonts w:cstheme="minorHAnsi"/>
        </w:rPr>
        <w:t xml:space="preserve"> will occur three times during spring and three times during summer, approximately two weeks apart and will coincide </w:t>
      </w:r>
      <w:r w:rsidRPr="005518F2">
        <w:rPr>
          <w:rFonts w:cstheme="minorHAnsi"/>
        </w:rPr>
        <w:t xml:space="preserve">with </w:t>
      </w:r>
      <w:r>
        <w:rPr>
          <w:rFonts w:cstheme="minorHAnsi"/>
        </w:rPr>
        <w:t xml:space="preserve">stream metabolism </w:t>
      </w:r>
      <w:r w:rsidRPr="005518F2">
        <w:rPr>
          <w:rFonts w:cstheme="minorHAnsi"/>
        </w:rPr>
        <w:t xml:space="preserve">sampling. Pelagic sampling for potamoplankton will be conducted with a Haney trap (quantitative) and a pelagic plankton net tow (qualitative). </w:t>
      </w:r>
    </w:p>
    <w:p w14:paraId="028927BB" w14:textId="702BA6C6" w:rsidR="00D81D1B" w:rsidRPr="00EB4142" w:rsidRDefault="00775351" w:rsidP="00775351">
      <w:pPr>
        <w:rPr>
          <w:rFonts w:cstheme="minorHAnsi"/>
        </w:rPr>
      </w:pPr>
      <w:r w:rsidRPr="005518F2">
        <w:rPr>
          <w:rFonts w:cstheme="minorHAnsi"/>
        </w:rPr>
        <w:t xml:space="preserve">Refer to the </w:t>
      </w:r>
      <w:r w:rsidRPr="000F53E7">
        <w:rPr>
          <w:rFonts w:cstheme="minorHAnsi"/>
        </w:rPr>
        <w:t>Lower Murray</w:t>
      </w:r>
      <w:r w:rsidRPr="005518F2">
        <w:rPr>
          <w:rFonts w:cstheme="minorHAnsi"/>
        </w:rPr>
        <w:t xml:space="preserve"> Selected Area SOP for </w:t>
      </w:r>
      <w:r w:rsidRPr="00022052">
        <w:rPr>
          <w:rFonts w:cstheme="minorHAnsi"/>
          <w:i/>
        </w:rPr>
        <w:t>M</w:t>
      </w:r>
      <w:r w:rsidR="00022052" w:rsidRPr="00022052">
        <w:rPr>
          <w:rFonts w:cstheme="minorHAnsi"/>
          <w:i/>
        </w:rPr>
        <w:t>icroinvertebrate Assemblage</w:t>
      </w:r>
      <w:r w:rsidRPr="005518F2">
        <w:rPr>
          <w:rFonts w:cstheme="minorHAnsi"/>
        </w:rPr>
        <w:t xml:space="preserve"> (</w:t>
      </w:r>
      <w:r w:rsidR="000E285D">
        <w:rPr>
          <w:rFonts w:cstheme="minorHAnsi"/>
        </w:rPr>
        <w:t>Appendix B</w:t>
      </w:r>
      <w:r w:rsidRPr="00E6468B">
        <w:rPr>
          <w:rFonts w:cstheme="minorHAnsi"/>
        </w:rPr>
        <w:t>) for</w:t>
      </w:r>
      <w:r w:rsidRPr="005518F2">
        <w:rPr>
          <w:rFonts w:cstheme="minorHAnsi"/>
        </w:rPr>
        <w:t xml:space="preserve"> more information on the sampling protocol including sites, timing and equipment, and on data analysis and evaluation, data management and quality assurance/quality control measures. </w:t>
      </w:r>
      <w:r w:rsidR="00D81D1B" w:rsidRPr="005518F2">
        <w:rPr>
          <w:rFonts w:cstheme="minorHAnsi"/>
        </w:rPr>
        <w:t>Refer</w:t>
      </w:r>
      <w:r w:rsidR="00D81D1B" w:rsidRPr="00EB4142">
        <w:rPr>
          <w:rFonts w:cstheme="minorHAnsi"/>
        </w:rPr>
        <w:t xml:space="preserve"> </w:t>
      </w:r>
      <w:r w:rsidR="00D81D1B" w:rsidRPr="00D81D1B">
        <w:rPr>
          <w:rFonts w:cstheme="minorHAnsi"/>
          <w:color w:val="auto"/>
        </w:rPr>
        <w:t xml:space="preserve">to Section </w:t>
      </w:r>
      <w:r w:rsidR="00E6468B">
        <w:fldChar w:fldCharType="begin"/>
      </w:r>
      <w:r w:rsidR="00E6468B">
        <w:rPr>
          <w:rFonts w:cstheme="minorHAnsi"/>
          <w:color w:val="auto"/>
        </w:rPr>
        <w:instrText xml:space="preserve"> REF _Ref10127770 \r \h </w:instrText>
      </w:r>
      <w:r w:rsidR="00E6468B">
        <w:fldChar w:fldCharType="separate"/>
      </w:r>
      <w:r w:rsidR="00DF49CD">
        <w:rPr>
          <w:rFonts w:cstheme="minorHAnsi"/>
          <w:color w:val="auto"/>
        </w:rPr>
        <w:t>7</w:t>
      </w:r>
      <w:r w:rsidR="00E6468B">
        <w:fldChar w:fldCharType="end"/>
      </w:r>
      <w:r w:rsidR="00D81D1B" w:rsidRPr="00D81D1B">
        <w:rPr>
          <w:rFonts w:cstheme="minorHAnsi"/>
          <w:color w:val="auto"/>
        </w:rPr>
        <w:t xml:space="preserve"> for</w:t>
      </w:r>
      <w:r w:rsidR="00D81D1B" w:rsidRPr="00EB4142">
        <w:rPr>
          <w:rFonts w:cstheme="minorHAnsi"/>
        </w:rPr>
        <w:t xml:space="preserve"> timing of monitoring activities and more information on sampling sites and zones.  </w:t>
      </w:r>
    </w:p>
    <w:p w14:paraId="62C5E754" w14:textId="77777777" w:rsidR="00580C37" w:rsidRDefault="00580C37" w:rsidP="00475425">
      <w:pPr>
        <w:pStyle w:val="Heading4"/>
      </w:pPr>
      <w:r w:rsidRPr="008E3CFD">
        <w:t>Outputs</w:t>
      </w:r>
    </w:p>
    <w:p w14:paraId="2BA01AAC" w14:textId="18EB926D" w:rsidR="00BF3C13" w:rsidRDefault="00BF3C13" w:rsidP="00BF3C13">
      <w:pPr>
        <w:pStyle w:val="ListParagraph"/>
        <w:numPr>
          <w:ilvl w:val="0"/>
          <w:numId w:val="0"/>
        </w:numPr>
      </w:pPr>
      <w:r>
        <w:rPr>
          <w:color w:val="auto"/>
        </w:rPr>
        <w:t>Annual</w:t>
      </w:r>
      <w:r w:rsidRPr="004B7CC1">
        <w:t xml:space="preserve"> report</w:t>
      </w:r>
      <w:r>
        <w:t>s</w:t>
      </w:r>
      <w:r w:rsidRPr="004B7CC1">
        <w:t xml:space="preserve"> on the </w:t>
      </w:r>
      <w:r>
        <w:t xml:space="preserve">changes in microinvertebrate community </w:t>
      </w:r>
      <w:r w:rsidRPr="004B7CC1">
        <w:t xml:space="preserve">response to flow regime, including environmental water delivery, in the </w:t>
      </w:r>
      <w:r w:rsidRPr="000F53E7">
        <w:t>Lower Murray</w:t>
      </w:r>
      <w:r w:rsidRPr="004B7CC1">
        <w:t xml:space="preserve"> Selected Area</w:t>
      </w:r>
      <w:r w:rsidRPr="00EC7BA8">
        <w:t xml:space="preserve"> </w:t>
      </w:r>
      <w:r>
        <w:t>from 2019</w:t>
      </w:r>
      <w:r w:rsidR="007C4E25">
        <w:rPr>
          <w:rFonts w:eastAsiaTheme="majorEastAsia"/>
        </w:rPr>
        <w:t>-</w:t>
      </w:r>
      <w:r>
        <w:t>20 to 2021</w:t>
      </w:r>
      <w:r w:rsidR="007C4E25">
        <w:rPr>
          <w:rFonts w:eastAsiaTheme="majorEastAsia"/>
        </w:rPr>
        <w:t>-</w:t>
      </w:r>
      <w:r>
        <w:t>22</w:t>
      </w:r>
      <w:r w:rsidRPr="004B7CC1">
        <w:t>. The report will include:</w:t>
      </w:r>
    </w:p>
    <w:p w14:paraId="382BFDA5" w14:textId="77777777" w:rsidR="00BF3C13" w:rsidRDefault="00BF3C13" w:rsidP="00BF3C13">
      <w:pPr>
        <w:pStyle w:val="ListBullet"/>
        <w:numPr>
          <w:ilvl w:val="0"/>
          <w:numId w:val="14"/>
        </w:numPr>
      </w:pPr>
      <w:r>
        <w:t>Changes in the diversity and abundance of microinvertebrates to assess the influence of environmental flows on lateral and longitudinal connectivity.</w:t>
      </w:r>
    </w:p>
    <w:p w14:paraId="0AAE6F86" w14:textId="77777777" w:rsidR="00BF3C13" w:rsidRDefault="00BF3C13" w:rsidP="00BF3C13">
      <w:pPr>
        <w:pStyle w:val="ListBullet"/>
        <w:numPr>
          <w:ilvl w:val="0"/>
          <w:numId w:val="14"/>
        </w:numPr>
      </w:pPr>
      <w:r>
        <w:t>Changes in the ratios of different categories of microinvertebrates (e.g. littoral, lentic or limnetic) to assess the influence of environmental flows on driving and maintaining lower trophic level integrity.</w:t>
      </w:r>
    </w:p>
    <w:p w14:paraId="60F90D38" w14:textId="77777777" w:rsidR="00BF3C13" w:rsidRDefault="00BF3C13" w:rsidP="00BF3C13">
      <w:pPr>
        <w:pStyle w:val="ListBullet"/>
        <w:numPr>
          <w:ilvl w:val="0"/>
          <w:numId w:val="14"/>
        </w:numPr>
      </w:pPr>
      <w:r w:rsidRPr="004B7CC1">
        <w:t xml:space="preserve">Data interpretation that considers the current conceptual understanding of the </w:t>
      </w:r>
      <w:r>
        <w:t xml:space="preserve">changes in relative abundance of microinvertebrate species and microinvertebrate categories in the </w:t>
      </w:r>
      <w:r>
        <w:lastRenderedPageBreak/>
        <w:t>Selected Area with particular reference to community responses to flow, environmental water deliveries and potential ecological implications.</w:t>
      </w:r>
    </w:p>
    <w:p w14:paraId="06C3E5D1" w14:textId="77777777" w:rsidR="00580C37" w:rsidRPr="008E3CFD" w:rsidRDefault="00580C37" w:rsidP="00475425">
      <w:pPr>
        <w:pStyle w:val="Heading4"/>
      </w:pPr>
      <w:r w:rsidRPr="008E3CFD">
        <w:t xml:space="preserve">Staff </w:t>
      </w:r>
    </w:p>
    <w:p w14:paraId="6419849B" w14:textId="77777777" w:rsidR="00B735C8" w:rsidRDefault="00B735C8" w:rsidP="00B735C8">
      <w:pPr>
        <w:pStyle w:val="Heading5"/>
      </w:pPr>
      <w:r>
        <w:t xml:space="preserve">Dr Deborah Furst </w:t>
      </w:r>
      <w:r>
        <w:tab/>
        <w:t>University of Adelaide</w:t>
      </w:r>
    </w:p>
    <w:p w14:paraId="3EFDD5EF" w14:textId="7CE8F66D" w:rsidR="00B735C8" w:rsidRPr="00C601CC" w:rsidRDefault="00B735C8" w:rsidP="00C953C2">
      <w:r w:rsidRPr="00F358B6">
        <w:rPr>
          <w:rFonts w:cstheme="minorHAnsi"/>
        </w:rPr>
        <w:t>Deborah completed her PhD in Freshwater Biology in 2014</w:t>
      </w:r>
      <w:r>
        <w:rPr>
          <w:rFonts w:cstheme="minorHAnsi"/>
        </w:rPr>
        <w:t xml:space="preserve">. </w:t>
      </w:r>
      <w:r w:rsidRPr="00F358B6">
        <w:rPr>
          <w:rFonts w:cstheme="minorHAnsi"/>
        </w:rPr>
        <w:t xml:space="preserve">Since </w:t>
      </w:r>
      <w:r w:rsidR="00453688">
        <w:rPr>
          <w:rFonts w:cstheme="minorHAnsi"/>
        </w:rPr>
        <w:t>then</w:t>
      </w:r>
      <w:r w:rsidRPr="00F358B6">
        <w:rPr>
          <w:rFonts w:cstheme="minorHAnsi"/>
        </w:rPr>
        <w:t xml:space="preserve">, Deborah has been involved in </w:t>
      </w:r>
      <w:r>
        <w:rPr>
          <w:rFonts w:cstheme="minorHAnsi"/>
        </w:rPr>
        <w:t>range</w:t>
      </w:r>
      <w:r w:rsidRPr="00F358B6">
        <w:rPr>
          <w:rFonts w:cstheme="minorHAnsi"/>
        </w:rPr>
        <w:t xml:space="preserve"> projects investigating the impact of environmental water delivery on the ecology of the River Murray system</w:t>
      </w:r>
      <w:r>
        <w:rPr>
          <w:rFonts w:cstheme="minorHAnsi"/>
        </w:rPr>
        <w:t>.</w:t>
      </w:r>
      <w:r w:rsidR="00453688">
        <w:rPr>
          <w:rFonts w:cstheme="minorHAnsi"/>
        </w:rPr>
        <w:t xml:space="preserve"> Key projects include the</w:t>
      </w:r>
      <w:r w:rsidR="00453688" w:rsidRPr="00C601CC">
        <w:t xml:space="preserve"> Commonwealth Environmental Water Office funded project</w:t>
      </w:r>
      <w:r w:rsidR="00453688">
        <w:t>s</w:t>
      </w:r>
      <w:r w:rsidR="00453688" w:rsidRPr="00C601CC">
        <w:t xml:space="preserve"> “Ecological response to the Lake Victoria bypass trial 2015</w:t>
      </w:r>
      <w:r w:rsidR="00453688">
        <w:t xml:space="preserve">–2017” and </w:t>
      </w:r>
      <w:r w:rsidR="00453688" w:rsidRPr="00C601CC">
        <w:t>“The influence of flow translucency and integrity on resource availability in the River Murray”</w:t>
      </w:r>
      <w:r w:rsidR="00C953C2">
        <w:t>; and t</w:t>
      </w:r>
      <w:r w:rsidRPr="00C601CC">
        <w:t>he Goyder Institute funded project</w:t>
      </w:r>
      <w:r w:rsidR="00453688">
        <w:t>s</w:t>
      </w:r>
      <w:r w:rsidRPr="00C601CC">
        <w:t xml:space="preserve"> “An assessment of the research requirements to support effective provisions of environmental water in the South Au</w:t>
      </w:r>
      <w:r w:rsidR="00453688">
        <w:t xml:space="preserve">stralian Murray-Darling Basin”; </w:t>
      </w:r>
      <w:r w:rsidRPr="00C601CC">
        <w:t>“Science to inform operational decisions of major environmental infrastructure on the Chowilla Floodplain and other regulated flood</w:t>
      </w:r>
      <w:r w:rsidR="00453688">
        <w:t xml:space="preserve">plains in the SA River Murray”, </w:t>
      </w:r>
      <w:r w:rsidRPr="00C601CC">
        <w:t xml:space="preserve">“Science to inform environmental water allocation in the Coorong: Investigation of productivity, microbiota community structure and trophic dynamics in the Coorong estuary in relation </w:t>
      </w:r>
      <w:r w:rsidR="00453688">
        <w:t>to low volume freshwater flows” and</w:t>
      </w:r>
      <w:r w:rsidRPr="00C601CC">
        <w:t xml:space="preserve"> </w:t>
      </w:r>
      <w:r w:rsidR="00453688" w:rsidRPr="00C601CC">
        <w:t>“Ecological connectivity: managing ecological outcomes and water quality risks through integrated river management”.</w:t>
      </w:r>
    </w:p>
    <w:p w14:paraId="25EDB566" w14:textId="2C5D5209" w:rsidR="00B735C8" w:rsidRPr="00A4526E" w:rsidRDefault="00B735C8" w:rsidP="00B735C8">
      <w:pPr>
        <w:pStyle w:val="Heading5"/>
      </w:pPr>
      <w:r>
        <w:t xml:space="preserve">Dr Russell Shiel </w:t>
      </w:r>
      <w:r>
        <w:tab/>
      </w:r>
      <w:r w:rsidRPr="003B2E65">
        <w:t>Wetland Research &amp; Management</w:t>
      </w:r>
      <w:r w:rsidR="004C5577">
        <w:t>/</w:t>
      </w:r>
      <w:r w:rsidR="004C5577" w:rsidRPr="003B2E65">
        <w:t>University of Adelaide</w:t>
      </w:r>
    </w:p>
    <w:p w14:paraId="2CC762DA" w14:textId="0A00EE82" w:rsidR="00B735C8" w:rsidRDefault="00B735C8" w:rsidP="00B735C8">
      <w:r w:rsidRPr="00A4526E">
        <w:t xml:space="preserve">Russell Shiel completed a PhD on Murray River plankton ecology at the University of Adelaide in 1981, and has </w:t>
      </w:r>
      <w:r>
        <w:t>45</w:t>
      </w:r>
      <w:r w:rsidRPr="00A4526E">
        <w:t xml:space="preserve"> y</w:t>
      </w:r>
      <w:r>
        <w:t>ea</w:t>
      </w:r>
      <w:r w:rsidRPr="00A4526E">
        <w:t>rs</w:t>
      </w:r>
      <w:r>
        <w:rPr>
          <w:rStyle w:val="CommentReference"/>
        </w:rPr>
        <w:t>’</w:t>
      </w:r>
      <w:r w:rsidRPr="00A4526E">
        <w:t xml:space="preserve"> experience researching zooplankton taxonomy and ecology, resulting in 170 publications and technical reports. Most recent projects</w:t>
      </w:r>
      <w:r w:rsidR="00C953C2">
        <w:t xml:space="preserve"> include ‘LTIM Project – monitoring microinvertebrates’; ‘</w:t>
      </w:r>
      <w:r>
        <w:t>M</w:t>
      </w:r>
      <w:r w:rsidRPr="00A4526E">
        <w:t>onitoring zo</w:t>
      </w:r>
      <w:r>
        <w:t>oplankton responses to the 2010</w:t>
      </w:r>
      <w:r>
        <w:rPr>
          <w:rFonts w:eastAsiaTheme="majorEastAsia"/>
        </w:rPr>
        <w:t>–</w:t>
      </w:r>
      <w:r>
        <w:t>2012 Murray</w:t>
      </w:r>
      <w:r>
        <w:rPr>
          <w:rFonts w:eastAsiaTheme="majorEastAsia"/>
        </w:rPr>
        <w:t>–</w:t>
      </w:r>
      <w:r w:rsidRPr="00A4526E">
        <w:t>Darling floods into the Lower Lakes and Coorong Lagoons</w:t>
      </w:r>
      <w:r>
        <w:t xml:space="preserve"> (South Australia)</w:t>
      </w:r>
      <w:r w:rsidR="00C953C2">
        <w:t>’; ‘</w:t>
      </w:r>
      <w:r>
        <w:t>Investigating</w:t>
      </w:r>
      <w:r w:rsidRPr="00A4526E">
        <w:t xml:space="preserve"> impacts</w:t>
      </w:r>
      <w:r>
        <w:t xml:space="preserve"> of </w:t>
      </w:r>
      <w:r w:rsidRPr="00A4526E">
        <w:t>mining on zoopla</w:t>
      </w:r>
      <w:r>
        <w:t>nkton in the Kimberley in Western Australia</w:t>
      </w:r>
      <w:r w:rsidRPr="00842898">
        <w:t xml:space="preserve"> </w:t>
      </w:r>
      <w:r>
        <w:t xml:space="preserve">for </w:t>
      </w:r>
      <w:r w:rsidRPr="00A4526E">
        <w:t>ERISS (N</w:t>
      </w:r>
      <w:r>
        <w:t xml:space="preserve">orthern </w:t>
      </w:r>
      <w:r w:rsidRPr="00A4526E">
        <w:t>T</w:t>
      </w:r>
      <w:r>
        <w:t>erritory</w:t>
      </w:r>
      <w:r w:rsidRPr="00A4526E">
        <w:t>)</w:t>
      </w:r>
      <w:r w:rsidR="00C953C2">
        <w:t>’, ‘</w:t>
      </w:r>
      <w:r>
        <w:t>Investigating</w:t>
      </w:r>
      <w:r w:rsidRPr="00A4526E">
        <w:t xml:space="preserve"> </w:t>
      </w:r>
      <w:r>
        <w:t>zooplankton responses to salinis</w:t>
      </w:r>
      <w:r w:rsidRPr="00A4526E">
        <w:t>ation of wetlands in the L</w:t>
      </w:r>
      <w:r>
        <w:t>ower</w:t>
      </w:r>
      <w:r w:rsidRPr="00A4526E">
        <w:t xml:space="preserve"> Muir region of the southwest</w:t>
      </w:r>
      <w:r w:rsidR="00C953C2">
        <w:t xml:space="preserve"> of Western Australia’; and ‘I</w:t>
      </w:r>
      <w:r>
        <w:t>nvestigating</w:t>
      </w:r>
      <w:r w:rsidRPr="00A4526E">
        <w:t xml:space="preserve"> the downstream effects of the Ok Tedi mine </w:t>
      </w:r>
      <w:r>
        <w:t>in Papua New Guinea</w:t>
      </w:r>
      <w:r w:rsidRPr="00A4526E">
        <w:t xml:space="preserve"> on Fly River oxbow microinvertebrate diversity</w:t>
      </w:r>
      <w:r w:rsidR="00C953C2">
        <w:t xml:space="preserve"> in Western Australia’.</w:t>
      </w:r>
    </w:p>
    <w:p w14:paraId="06FA27CE" w14:textId="77752501" w:rsidR="006654EE" w:rsidRDefault="006654EE" w:rsidP="00E6468B"/>
    <w:p w14:paraId="35C660F9" w14:textId="77777777" w:rsidR="006654EE" w:rsidRDefault="006654EE">
      <w:pPr>
        <w:spacing w:after="200" w:line="276" w:lineRule="auto"/>
        <w:jc w:val="left"/>
      </w:pPr>
      <w:r>
        <w:br w:type="page"/>
      </w:r>
    </w:p>
    <w:p w14:paraId="29122A39" w14:textId="014931F7" w:rsidR="006654EE" w:rsidRPr="008E3CFD" w:rsidRDefault="008C1585" w:rsidP="008C1585">
      <w:pPr>
        <w:pStyle w:val="Heading3"/>
      </w:pPr>
      <w:bookmarkStart w:id="151" w:name="_Ref12003582"/>
      <w:bookmarkStart w:id="152" w:name="_Toc22196705"/>
      <w:r w:rsidRPr="008C1585">
        <w:lastRenderedPageBreak/>
        <w:t>Flow-cued Spawning Fish Recruitment</w:t>
      </w:r>
      <w:bookmarkEnd w:id="151"/>
      <w:bookmarkEnd w:id="152"/>
    </w:p>
    <w:p w14:paraId="38EA8C19" w14:textId="77777777" w:rsidR="006654EE" w:rsidRPr="008E3CFD" w:rsidRDefault="006654EE" w:rsidP="006654EE">
      <w:pPr>
        <w:pStyle w:val="Heading4"/>
      </w:pPr>
      <w:r w:rsidRPr="008E3CFD">
        <w:t>Indicators</w:t>
      </w:r>
    </w:p>
    <w:p w14:paraId="0E0944C3" w14:textId="0D4986CA" w:rsidR="006654EE" w:rsidRPr="008E3CFD" w:rsidRDefault="006654EE" w:rsidP="00CB75AF">
      <w:pPr>
        <w:pStyle w:val="ListBullet"/>
        <w:numPr>
          <w:ilvl w:val="0"/>
          <w:numId w:val="67"/>
        </w:numPr>
      </w:pPr>
      <w:r w:rsidRPr="008E3CFD">
        <w:t xml:space="preserve">Recruitment (presence of young of the year </w:t>
      </w:r>
      <w:r>
        <w:t>(</w:t>
      </w:r>
      <w:r w:rsidRPr="008E3CFD">
        <w:t>YOY</w:t>
      </w:r>
      <w:r>
        <w:t>)</w:t>
      </w:r>
      <w:r w:rsidRPr="008E3CFD">
        <w:t>)</w:t>
      </w:r>
    </w:p>
    <w:p w14:paraId="4B0CB2A4" w14:textId="77777777" w:rsidR="006654EE" w:rsidRPr="008E3CFD" w:rsidRDefault="006654EE" w:rsidP="00CB75AF">
      <w:pPr>
        <w:pStyle w:val="ListBullet"/>
        <w:numPr>
          <w:ilvl w:val="0"/>
          <w:numId w:val="67"/>
        </w:numPr>
      </w:pPr>
      <w:r w:rsidRPr="008E3CFD">
        <w:t>Age structure</w:t>
      </w:r>
      <w:r>
        <w:t>.</w:t>
      </w:r>
    </w:p>
    <w:p w14:paraId="412E1565" w14:textId="72ABF62A" w:rsidR="006654EE" w:rsidRPr="008E3CFD" w:rsidRDefault="003C1876" w:rsidP="006654EE">
      <w:pPr>
        <w:rPr>
          <w:lang w:val="en-US"/>
        </w:rPr>
      </w:pPr>
      <w:r>
        <w:rPr>
          <w:lang w:val="en-US"/>
        </w:rPr>
        <w:t xml:space="preserve">Spawning (presence of eggs and larvae) and the natal origin of larvae/YOY will no longer be investigated as part of the core monitoring for this indicator (also see SARDI </w:t>
      </w:r>
      <w:r w:rsidRPr="00E93280">
        <w:rPr>
          <w:i/>
          <w:lang w:val="en-US"/>
        </w:rPr>
        <w:t>et al.</w:t>
      </w:r>
      <w:r>
        <w:rPr>
          <w:lang w:val="en-US"/>
        </w:rPr>
        <w:t xml:space="preserve"> 2018).  </w:t>
      </w:r>
      <w:r w:rsidRPr="00E6468B">
        <w:rPr>
          <w:rFonts w:cstheme="minorHAnsi"/>
        </w:rPr>
        <w:t>Results from previous years of low</w:t>
      </w:r>
      <w:r>
        <w:rPr>
          <w:rFonts w:cstheme="minorHAnsi"/>
        </w:rPr>
        <w:t>, in-channel flows (&lt;18,000 </w:t>
      </w:r>
      <w:r w:rsidRPr="00E6468B">
        <w:rPr>
          <w:rFonts w:cstheme="minorHAnsi"/>
        </w:rPr>
        <w:t>ML/d) during LTIM have consistently demonstrated</w:t>
      </w:r>
      <w:r>
        <w:rPr>
          <w:rFonts w:cstheme="minorHAnsi"/>
        </w:rPr>
        <w:t xml:space="preserve"> poor recruitment success of golden perch (Ye </w:t>
      </w:r>
      <w:r w:rsidRPr="00E93280">
        <w:rPr>
          <w:rFonts w:cstheme="minorHAnsi"/>
          <w:i/>
        </w:rPr>
        <w:t>et al.</w:t>
      </w:r>
      <w:r>
        <w:rPr>
          <w:rFonts w:cstheme="minorHAnsi"/>
        </w:rPr>
        <w:t xml:space="preserve"> 2019). Larval sampling and associated analyses will, therefore, be </w:t>
      </w:r>
      <w:r w:rsidRPr="00E6468B">
        <w:rPr>
          <w:rFonts w:cstheme="minorHAnsi"/>
        </w:rPr>
        <w:t>contingent upon spring</w:t>
      </w:r>
      <w:r w:rsidR="00E93280">
        <w:rPr>
          <w:rFonts w:cstheme="minorHAnsi"/>
        </w:rPr>
        <w:t>−</w:t>
      </w:r>
      <w:r w:rsidRPr="00E6468B">
        <w:rPr>
          <w:rFonts w:cstheme="minorHAnsi"/>
        </w:rPr>
        <w:t xml:space="preserve">summer flows </w:t>
      </w:r>
      <w:r w:rsidR="000150F2" w:rsidRPr="00E6468B">
        <w:rPr>
          <w:rFonts w:cstheme="minorHAnsi"/>
        </w:rPr>
        <w:t xml:space="preserve">exceeding 20,000 ML/d (see contingency monitoring, Section </w:t>
      </w:r>
      <w:r w:rsidR="000150F2" w:rsidRPr="00E6468B">
        <w:rPr>
          <w:rFonts w:cstheme="minorHAnsi"/>
        </w:rPr>
        <w:fldChar w:fldCharType="begin"/>
      </w:r>
      <w:r w:rsidR="000150F2" w:rsidRPr="00E6468B">
        <w:rPr>
          <w:rFonts w:cstheme="minorHAnsi"/>
        </w:rPr>
        <w:instrText xml:space="preserve"> REF _Ref10127934 \r \h </w:instrText>
      </w:r>
      <w:r w:rsidR="000150F2">
        <w:rPr>
          <w:rFonts w:cstheme="minorHAnsi"/>
        </w:rPr>
        <w:instrText xml:space="preserve"> \* MERGEFORMAT </w:instrText>
      </w:r>
      <w:r w:rsidR="000150F2" w:rsidRPr="00E6468B">
        <w:rPr>
          <w:rFonts w:cstheme="minorHAnsi"/>
        </w:rPr>
      </w:r>
      <w:r w:rsidR="000150F2" w:rsidRPr="00E6468B">
        <w:rPr>
          <w:rFonts w:cstheme="minorHAnsi"/>
        </w:rPr>
        <w:fldChar w:fldCharType="separate"/>
      </w:r>
      <w:r w:rsidR="00DF49CD">
        <w:rPr>
          <w:rFonts w:cstheme="minorHAnsi"/>
        </w:rPr>
        <w:t>5.3</w:t>
      </w:r>
      <w:r w:rsidR="000150F2" w:rsidRPr="00E6468B">
        <w:rPr>
          <w:rFonts w:cstheme="minorHAnsi"/>
        </w:rPr>
        <w:fldChar w:fldCharType="end"/>
      </w:r>
      <w:r w:rsidR="000150F2" w:rsidRPr="00E6468B">
        <w:rPr>
          <w:rFonts w:cstheme="minorHAnsi"/>
        </w:rPr>
        <w:t xml:space="preserve">). </w:t>
      </w:r>
      <w:r w:rsidR="006654EE">
        <w:rPr>
          <w:lang w:val="en-US"/>
        </w:rPr>
        <w:t xml:space="preserve">Whilst this indicator will focus on two flow-cued spawning species (golden perch and silver perch), </w:t>
      </w:r>
      <w:r w:rsidR="0070562F">
        <w:rPr>
          <w:lang w:val="en-US"/>
        </w:rPr>
        <w:t>we acknowledge that low abundances of silver perch may preclude assessment.</w:t>
      </w:r>
    </w:p>
    <w:p w14:paraId="1FF79909" w14:textId="77777777" w:rsidR="006654EE" w:rsidRPr="008E3CFD" w:rsidRDefault="006654EE" w:rsidP="006654EE">
      <w:pPr>
        <w:pStyle w:val="Heading4"/>
      </w:pPr>
      <w:r w:rsidRPr="008E3CFD">
        <w:t>Background</w:t>
      </w:r>
    </w:p>
    <w:p w14:paraId="78B6C3D6" w14:textId="487F69DE" w:rsidR="006654EE" w:rsidRPr="008E3CFD" w:rsidRDefault="006654EE" w:rsidP="006654EE">
      <w:r>
        <w:t>Flow regulation may impact fish</w:t>
      </w:r>
      <w:r w:rsidRPr="008E3CFD">
        <w:t xml:space="preserve"> directly through loss of spawning cues and barriers to dispersion, and ind</w:t>
      </w:r>
      <w:r w:rsidR="009016D1">
        <w:t xml:space="preserve">irectly through effects on </w:t>
      </w:r>
      <w:r w:rsidRPr="008E3CFD">
        <w:t>habitat and food resources (</w:t>
      </w:r>
      <w:r>
        <w:fldChar w:fldCharType="begin"/>
      </w:r>
      <w:r>
        <w:instrText xml:space="preserve"> REF _Ref384920770 \h  \* MERGEFORMAT </w:instrText>
      </w:r>
      <w:r>
        <w:fldChar w:fldCharType="separate"/>
      </w:r>
      <w:r w:rsidR="00DF49CD" w:rsidRPr="008E3CFD">
        <w:t xml:space="preserve">Figure </w:t>
      </w:r>
      <w:r w:rsidR="00DF49CD">
        <w:t>5.13</w:t>
      </w:r>
      <w:r>
        <w:fldChar w:fldCharType="end"/>
      </w:r>
      <w:r w:rsidRPr="008E3CFD">
        <w:t xml:space="preserve">). Understanding the influence of flow and the mechanisms that facilitate fish reproduction will </w:t>
      </w:r>
      <w:r w:rsidR="009016D1" w:rsidRPr="008E3CFD">
        <w:t xml:space="preserve">inform flow management to </w:t>
      </w:r>
      <w:r w:rsidR="009016D1">
        <w:t>rehabilitate</w:t>
      </w:r>
      <w:r w:rsidR="009016D1" w:rsidRPr="008E3CFD">
        <w:t xml:space="preserve"> native fish populations.</w:t>
      </w:r>
    </w:p>
    <w:p w14:paraId="1683D338" w14:textId="5668121E" w:rsidR="006654EE" w:rsidRPr="008E3CFD" w:rsidRDefault="006654EE" w:rsidP="006654EE">
      <w:r>
        <w:t>In the southern MDB, s</w:t>
      </w:r>
      <w:r w:rsidRPr="00112911">
        <w:t xml:space="preserve">pawning and recruitment of golden perch corresponds with increases in water temperature and discharge, either in-channel or overbank (Mallen-Cooper and Stuart 2003; Zampatti and Leigh 2013a; 2013b). Silver perch display similar life history characteristics and population dynamics, although in the lotic reaches of the River Murray, silver perch may spawn circa-annually (Tonkin </w:t>
      </w:r>
      <w:r w:rsidRPr="00717B78">
        <w:rPr>
          <w:i/>
        </w:rPr>
        <w:t>et al.</w:t>
      </w:r>
      <w:r w:rsidRPr="00112911">
        <w:t xml:space="preserve"> </w:t>
      </w:r>
      <w:r w:rsidR="009016D1" w:rsidRPr="00112911">
        <w:t>201</w:t>
      </w:r>
      <w:r w:rsidR="009016D1">
        <w:t>9</w:t>
      </w:r>
      <w:r w:rsidR="009016D1" w:rsidRPr="00112911">
        <w:t>).</w:t>
      </w:r>
      <w:r w:rsidR="009016D1">
        <w:t xml:space="preserve"> Within-channel increases in flow (</w:t>
      </w:r>
      <w:r w:rsidR="009016D1" w:rsidRPr="009016D1">
        <w:rPr>
          <w:i/>
        </w:rPr>
        <w:t>spring flow pulses</w:t>
      </w:r>
      <w:r w:rsidR="009016D1">
        <w:t xml:space="preserve">) were an annual feature of the hydrological regime of the unregulated River Murray (Mallen-Cooper and Zampatti 2018). In regions where these features remain intact (e.g. the mid River Murray), golden perch population display more consistent recruitment (Zampatti </w:t>
      </w:r>
      <w:r w:rsidR="009016D1" w:rsidRPr="009016D1">
        <w:rPr>
          <w:i/>
        </w:rPr>
        <w:t>et al.</w:t>
      </w:r>
      <w:r w:rsidR="009016D1">
        <w:t xml:space="preserve"> 2018). In the lower River Murray</w:t>
      </w:r>
      <w:r w:rsidR="008D5F43">
        <w:t xml:space="preserve"> (downstream of the Darling junction)</w:t>
      </w:r>
      <w:r w:rsidR="009016D1">
        <w:t>, spring flow pulses are compromised by river regulation, but res</w:t>
      </w:r>
      <w:r w:rsidR="008D5F43">
        <w:t>toration is potential with Commonwealth environmental water</w:t>
      </w:r>
      <w:r w:rsidR="00EF0A90">
        <w:t>.</w:t>
      </w:r>
    </w:p>
    <w:p w14:paraId="5E07676A" w14:textId="3C388896" w:rsidR="006654EE" w:rsidRPr="00B62D0A" w:rsidRDefault="006654EE" w:rsidP="00F93A31">
      <w:pPr>
        <w:rPr>
          <w:color w:val="auto"/>
        </w:rPr>
      </w:pPr>
      <w:r w:rsidRPr="00B62D0A">
        <w:rPr>
          <w:color w:val="auto"/>
        </w:rPr>
        <w:t>Th</w:t>
      </w:r>
      <w:r w:rsidR="00DF57AB">
        <w:rPr>
          <w:color w:val="auto"/>
        </w:rPr>
        <w:t>rough age structure analysis, th</w:t>
      </w:r>
      <w:r w:rsidRPr="00B62D0A">
        <w:rPr>
          <w:color w:val="auto"/>
        </w:rPr>
        <w:t>e recruitment of golden perch</w:t>
      </w:r>
      <w:r w:rsidR="00DF57AB">
        <w:rPr>
          <w:color w:val="auto"/>
        </w:rPr>
        <w:t xml:space="preserve"> and silver perch</w:t>
      </w:r>
      <w:r w:rsidRPr="00B62D0A">
        <w:rPr>
          <w:color w:val="auto"/>
        </w:rPr>
        <w:t xml:space="preserve"> in the </w:t>
      </w:r>
      <w:r w:rsidRPr="000F53E7">
        <w:rPr>
          <w:color w:val="auto"/>
        </w:rPr>
        <w:t>Lower Murray</w:t>
      </w:r>
      <w:r w:rsidRPr="00B62D0A">
        <w:rPr>
          <w:color w:val="auto"/>
        </w:rPr>
        <w:t xml:space="preserve"> will be investigated to assess the </w:t>
      </w:r>
      <w:r w:rsidR="00F93A31">
        <w:rPr>
          <w:color w:val="auto"/>
        </w:rPr>
        <w:t>impact of the flow regime</w:t>
      </w:r>
      <w:r w:rsidRPr="00B62D0A">
        <w:rPr>
          <w:color w:val="auto"/>
        </w:rPr>
        <w:t xml:space="preserve"> </w:t>
      </w:r>
      <w:r w:rsidR="00981F8D">
        <w:rPr>
          <w:color w:val="auto"/>
        </w:rPr>
        <w:t xml:space="preserve">(including environmental water) </w:t>
      </w:r>
      <w:r w:rsidR="00F93A31">
        <w:rPr>
          <w:color w:val="auto"/>
        </w:rPr>
        <w:t>on</w:t>
      </w:r>
      <w:r w:rsidRPr="00B62D0A">
        <w:rPr>
          <w:color w:val="auto"/>
        </w:rPr>
        <w:t xml:space="preserve"> </w:t>
      </w:r>
      <w:r w:rsidR="00F93A31">
        <w:rPr>
          <w:color w:val="auto"/>
        </w:rPr>
        <w:t>the</w:t>
      </w:r>
      <w:r w:rsidRPr="00B62D0A">
        <w:rPr>
          <w:color w:val="auto"/>
        </w:rPr>
        <w:t xml:space="preserve"> populations</w:t>
      </w:r>
      <w:r w:rsidR="00F93A31">
        <w:rPr>
          <w:color w:val="auto"/>
        </w:rPr>
        <w:t xml:space="preserve"> of flow-cued spawning fish</w:t>
      </w:r>
      <w:r w:rsidR="00981F8D">
        <w:rPr>
          <w:color w:val="auto"/>
        </w:rPr>
        <w:t>es</w:t>
      </w:r>
      <w:r w:rsidRPr="00B62D0A">
        <w:rPr>
          <w:color w:val="auto"/>
        </w:rPr>
        <w:t xml:space="preserve">. </w:t>
      </w:r>
    </w:p>
    <w:p w14:paraId="5D173176" w14:textId="77777777" w:rsidR="006654EE" w:rsidRPr="00B62D0A" w:rsidRDefault="006654EE" w:rsidP="006654EE">
      <w:pPr>
        <w:pStyle w:val="Heading4"/>
      </w:pPr>
      <w:r w:rsidRPr="009E0BCF">
        <w:lastRenderedPageBreak/>
        <w:t>Cause and effect diagram</w:t>
      </w:r>
    </w:p>
    <w:p w14:paraId="5DD16D02" w14:textId="510A07B7" w:rsidR="006654EE" w:rsidRPr="008E3CFD" w:rsidRDefault="001725AC" w:rsidP="006654EE">
      <w:pPr>
        <w:jc w:val="center"/>
      </w:pPr>
      <w:r w:rsidRPr="001725AC">
        <w:rPr>
          <w:noProof/>
          <w:lang w:eastAsia="en-AU"/>
        </w:rPr>
        <w:drawing>
          <wp:inline distT="0" distB="0" distL="0" distR="0" wp14:anchorId="6514D6A7" wp14:editId="476E1417">
            <wp:extent cx="5727700" cy="4236501"/>
            <wp:effectExtent l="0" t="0" r="6350"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727700" cy="4236501"/>
                    </a:xfrm>
                    <a:prstGeom prst="rect">
                      <a:avLst/>
                    </a:prstGeom>
                    <a:noFill/>
                    <a:ln>
                      <a:noFill/>
                    </a:ln>
                  </pic:spPr>
                </pic:pic>
              </a:graphicData>
            </a:graphic>
          </wp:inline>
        </w:drawing>
      </w:r>
    </w:p>
    <w:p w14:paraId="464FCA35" w14:textId="6C2E99B2" w:rsidR="006654EE" w:rsidRPr="008E3CFD" w:rsidRDefault="006654EE" w:rsidP="006654EE">
      <w:pPr>
        <w:pStyle w:val="FigureCaption"/>
      </w:pPr>
      <w:bookmarkStart w:id="153" w:name="_Ref384920770"/>
      <w:bookmarkStart w:id="154" w:name="_Toc384985600"/>
      <w:bookmarkStart w:id="155" w:name="_Toc12630444"/>
      <w:r w:rsidRPr="008E3CFD">
        <w:t xml:space="preserve">Figure </w:t>
      </w:r>
      <w:r w:rsidR="00A8252A">
        <w:rPr>
          <w:noProof/>
        </w:rPr>
        <w:fldChar w:fldCharType="begin"/>
      </w:r>
      <w:r w:rsidR="00A8252A">
        <w:rPr>
          <w:noProof/>
        </w:rPr>
        <w:instrText xml:space="preserve"> STYLEREF 1 \s </w:instrText>
      </w:r>
      <w:r w:rsidR="00A8252A">
        <w:rPr>
          <w:noProof/>
        </w:rPr>
        <w:fldChar w:fldCharType="separate"/>
      </w:r>
      <w:r w:rsidR="00DF49CD">
        <w:rPr>
          <w:noProof/>
        </w:rPr>
        <w:t>5</w:t>
      </w:r>
      <w:r w:rsidR="00A8252A">
        <w:rPr>
          <w:noProof/>
        </w:rPr>
        <w:fldChar w:fldCharType="end"/>
      </w:r>
      <w:r w:rsidR="00251188">
        <w:t>.</w:t>
      </w:r>
      <w:r w:rsidR="00A8252A">
        <w:rPr>
          <w:noProof/>
        </w:rPr>
        <w:fldChar w:fldCharType="begin"/>
      </w:r>
      <w:r w:rsidR="00A8252A">
        <w:rPr>
          <w:noProof/>
        </w:rPr>
        <w:instrText xml:space="preserve"> SEQ Figure \* ARABIC \s 1 </w:instrText>
      </w:r>
      <w:r w:rsidR="00A8252A">
        <w:rPr>
          <w:noProof/>
        </w:rPr>
        <w:fldChar w:fldCharType="separate"/>
      </w:r>
      <w:r w:rsidR="00DF49CD">
        <w:rPr>
          <w:noProof/>
        </w:rPr>
        <w:t>13</w:t>
      </w:r>
      <w:r w:rsidR="00A8252A">
        <w:rPr>
          <w:noProof/>
        </w:rPr>
        <w:fldChar w:fldCharType="end"/>
      </w:r>
      <w:bookmarkEnd w:id="153"/>
      <w:r w:rsidRPr="008E3CFD">
        <w:t>.</w:t>
      </w:r>
      <w:r>
        <w:tab/>
      </w:r>
      <w:bookmarkEnd w:id="154"/>
      <w:r w:rsidR="008C1585" w:rsidRPr="008C1585">
        <w:rPr>
          <w:i/>
        </w:rPr>
        <w:t>Flow-cued Spawning Fish Recruitment</w:t>
      </w:r>
      <w:r w:rsidRPr="008E3CFD">
        <w:t xml:space="preserve"> cause and effect diagram (MDFRC 2013). </w:t>
      </w:r>
      <w:r w:rsidRPr="008E3CFD">
        <w:rPr>
          <w:lang w:val="en-US"/>
        </w:rPr>
        <w:t>Magnitude, timing and duration are factors of flow (in black).</w:t>
      </w:r>
      <w:bookmarkEnd w:id="155"/>
    </w:p>
    <w:p w14:paraId="7E0D1CFB" w14:textId="77777777" w:rsidR="006654EE" w:rsidRPr="008E3CFD" w:rsidRDefault="006654EE" w:rsidP="006654EE">
      <w:pPr>
        <w:pStyle w:val="Heading4"/>
      </w:pPr>
      <w:r>
        <w:t>Key evaluation questions</w:t>
      </w:r>
    </w:p>
    <w:p w14:paraId="581DBF32" w14:textId="3BED885D" w:rsidR="006654EE" w:rsidRPr="00113E03" w:rsidRDefault="006654EE" w:rsidP="006654EE">
      <w:pPr>
        <w:pStyle w:val="TableText"/>
        <w:rPr>
          <w:sz w:val="22"/>
        </w:rPr>
      </w:pPr>
      <w:r w:rsidRPr="00C86304">
        <w:rPr>
          <w:sz w:val="22"/>
        </w:rPr>
        <w:t>Selected Area question</w:t>
      </w:r>
      <w:r w:rsidR="007E2291">
        <w:rPr>
          <w:sz w:val="22"/>
        </w:rPr>
        <w:t xml:space="preserve"> for evaluating short-term responses</w:t>
      </w:r>
      <w:r w:rsidRPr="00C86304">
        <w:rPr>
          <w:sz w:val="22"/>
        </w:rPr>
        <w:t xml:space="preserve"> (</w:t>
      </w:r>
      <w:r>
        <w:rPr>
          <w:sz w:val="22"/>
        </w:rPr>
        <w:t xml:space="preserve">adapted from </w:t>
      </w:r>
      <w:r w:rsidRPr="00C86304">
        <w:rPr>
          <w:sz w:val="22"/>
        </w:rPr>
        <w:t xml:space="preserve">Hale </w:t>
      </w:r>
      <w:r w:rsidRPr="00C86304">
        <w:rPr>
          <w:i/>
          <w:sz w:val="22"/>
        </w:rPr>
        <w:t>et al.</w:t>
      </w:r>
      <w:r w:rsidRPr="00C86304">
        <w:rPr>
          <w:sz w:val="22"/>
        </w:rPr>
        <w:t xml:space="preserve"> 201</w:t>
      </w:r>
      <w:r>
        <w:rPr>
          <w:sz w:val="22"/>
        </w:rPr>
        <w:t>4</w:t>
      </w:r>
      <w:r w:rsidRPr="00C86304">
        <w:rPr>
          <w:sz w:val="22"/>
        </w:rPr>
        <w:t>):</w:t>
      </w:r>
    </w:p>
    <w:p w14:paraId="083CBE4E" w14:textId="665ACBF4" w:rsidR="006654EE" w:rsidRPr="00DE01CF" w:rsidRDefault="00DF57AB" w:rsidP="006654EE">
      <w:pPr>
        <w:pStyle w:val="TableBullets"/>
        <w:rPr>
          <w:sz w:val="22"/>
        </w:rPr>
      </w:pPr>
      <w:r>
        <w:rPr>
          <w:sz w:val="22"/>
        </w:rPr>
        <w:t>Did the flow regime</w:t>
      </w:r>
      <w:r w:rsidR="00725E0D">
        <w:rPr>
          <w:sz w:val="22"/>
        </w:rPr>
        <w:t xml:space="preserve"> (including environmental water)</w:t>
      </w:r>
      <w:r w:rsidR="006654EE" w:rsidRPr="00DE01CF">
        <w:rPr>
          <w:sz w:val="22"/>
        </w:rPr>
        <w:t xml:space="preserve"> contribute to </w:t>
      </w:r>
      <w:r>
        <w:rPr>
          <w:kern w:val="0"/>
          <w:sz w:val="22"/>
        </w:rPr>
        <w:t>recruitment</w:t>
      </w:r>
      <w:r w:rsidR="006654EE" w:rsidRPr="00DE01CF">
        <w:rPr>
          <w:kern w:val="0"/>
          <w:sz w:val="22"/>
        </w:rPr>
        <w:t xml:space="preserve"> of golden perch and silver perch</w:t>
      </w:r>
      <w:r w:rsidR="006654EE" w:rsidRPr="00DE01CF">
        <w:rPr>
          <w:sz w:val="22"/>
        </w:rPr>
        <w:t>?</w:t>
      </w:r>
    </w:p>
    <w:p w14:paraId="1CB05ED0" w14:textId="77777777" w:rsidR="007E2291" w:rsidRDefault="007E2291" w:rsidP="006654EE">
      <w:pPr>
        <w:pStyle w:val="TableText"/>
        <w:rPr>
          <w:sz w:val="22"/>
        </w:rPr>
      </w:pPr>
    </w:p>
    <w:p w14:paraId="1D5D6159" w14:textId="2CEB7A5D" w:rsidR="006654EE" w:rsidRPr="00113E03" w:rsidRDefault="006654EE" w:rsidP="006654EE">
      <w:pPr>
        <w:pStyle w:val="TableText"/>
        <w:rPr>
          <w:sz w:val="22"/>
        </w:rPr>
      </w:pPr>
      <w:r w:rsidRPr="00C86304">
        <w:rPr>
          <w:sz w:val="22"/>
        </w:rPr>
        <w:t>Selected Area question</w:t>
      </w:r>
      <w:r w:rsidR="007E2291">
        <w:rPr>
          <w:sz w:val="22"/>
        </w:rPr>
        <w:t xml:space="preserve"> for evaluating long-term outcomes</w:t>
      </w:r>
      <w:r w:rsidRPr="00C86304">
        <w:rPr>
          <w:sz w:val="22"/>
        </w:rPr>
        <w:t xml:space="preserve"> (</w:t>
      </w:r>
      <w:r>
        <w:rPr>
          <w:sz w:val="22"/>
        </w:rPr>
        <w:t xml:space="preserve">adapted from </w:t>
      </w:r>
      <w:r w:rsidRPr="00C86304">
        <w:rPr>
          <w:sz w:val="22"/>
        </w:rPr>
        <w:t xml:space="preserve">Hale </w:t>
      </w:r>
      <w:r w:rsidRPr="00C86304">
        <w:rPr>
          <w:i/>
          <w:sz w:val="22"/>
        </w:rPr>
        <w:t>et al.</w:t>
      </w:r>
      <w:r w:rsidRPr="00C86304">
        <w:rPr>
          <w:sz w:val="22"/>
        </w:rPr>
        <w:t xml:space="preserve"> 201</w:t>
      </w:r>
      <w:r>
        <w:rPr>
          <w:sz w:val="22"/>
        </w:rPr>
        <w:t>4</w:t>
      </w:r>
      <w:r w:rsidRPr="00C86304">
        <w:rPr>
          <w:sz w:val="22"/>
        </w:rPr>
        <w:t>):</w:t>
      </w:r>
    </w:p>
    <w:p w14:paraId="60A8D8D8" w14:textId="10D8C43E" w:rsidR="00DF57AB" w:rsidRDefault="00DF57AB" w:rsidP="00E93280">
      <w:pPr>
        <w:pStyle w:val="TableBullets"/>
        <w:spacing w:after="240"/>
        <w:ind w:left="765" w:hanging="357"/>
      </w:pPr>
      <w:r>
        <w:rPr>
          <w:sz w:val="22"/>
        </w:rPr>
        <w:t>Did the flow regime</w:t>
      </w:r>
      <w:r w:rsidR="006654EE" w:rsidRPr="00DE01CF">
        <w:rPr>
          <w:sz w:val="22"/>
        </w:rPr>
        <w:t xml:space="preserve"> </w:t>
      </w:r>
      <w:r w:rsidR="00725E0D">
        <w:rPr>
          <w:sz w:val="22"/>
        </w:rPr>
        <w:t xml:space="preserve">(including environmental water) </w:t>
      </w:r>
      <w:r w:rsidR="006654EE" w:rsidRPr="00DE01CF">
        <w:rPr>
          <w:sz w:val="22"/>
        </w:rPr>
        <w:t>contribute to</w:t>
      </w:r>
      <w:r w:rsidR="006654EE">
        <w:rPr>
          <w:sz w:val="22"/>
        </w:rPr>
        <w:t xml:space="preserve"> the resilience</w:t>
      </w:r>
      <w:r w:rsidR="006654EE" w:rsidRPr="00DE01CF">
        <w:rPr>
          <w:sz w:val="22"/>
        </w:rPr>
        <w:t xml:space="preserve"> </w:t>
      </w:r>
      <w:r w:rsidR="006654EE" w:rsidRPr="00DE01CF">
        <w:rPr>
          <w:kern w:val="0"/>
          <w:sz w:val="22"/>
        </w:rPr>
        <w:t>of golden perch and silver perch</w:t>
      </w:r>
      <w:r w:rsidR="006654EE" w:rsidRPr="00E2063F">
        <w:rPr>
          <w:kern w:val="0"/>
          <w:sz w:val="22"/>
        </w:rPr>
        <w:t xml:space="preserve"> </w:t>
      </w:r>
      <w:r w:rsidR="006654EE" w:rsidRPr="00DE01CF">
        <w:rPr>
          <w:kern w:val="0"/>
          <w:sz w:val="22"/>
        </w:rPr>
        <w:t>populations</w:t>
      </w:r>
      <w:r w:rsidR="006654EE" w:rsidRPr="00DE01CF">
        <w:rPr>
          <w:sz w:val="22"/>
        </w:rPr>
        <w:t>?</w:t>
      </w:r>
    </w:p>
    <w:p w14:paraId="4FAC269D" w14:textId="29BD033C" w:rsidR="00DF57AB" w:rsidRPr="00F93A31" w:rsidRDefault="00CF163F" w:rsidP="00981F8D">
      <w:r>
        <w:t xml:space="preserve">There is limited capacity to evaluate the effect of Commonwealth environmental water on the reproduction (spawning and recruitment) of golden perch and silver perch under the current core monitoring as knowledge of hydrological conditions at the time and place of spawning is fundamental to explicitly relate spawning of flow-cued fishes to flow. </w:t>
      </w:r>
      <w:r w:rsidR="00746F0A">
        <w:t>The full evaluation of the reproduction</w:t>
      </w:r>
      <w:r w:rsidR="00654D65">
        <w:t xml:space="preserve"> (e.g. spawning)</w:t>
      </w:r>
      <w:r w:rsidR="00746F0A">
        <w:t xml:space="preserve"> of golden perch and silver perch in response to Commonwealth environmental water is </w:t>
      </w:r>
      <w:r w:rsidR="001728FF">
        <w:rPr>
          <w:rFonts w:cstheme="minorHAnsi"/>
        </w:rPr>
        <w:t>contingent upon spring−</w:t>
      </w:r>
      <w:r w:rsidR="00725E0D" w:rsidRPr="00E6468B">
        <w:rPr>
          <w:rFonts w:cstheme="minorHAnsi"/>
        </w:rPr>
        <w:t>summer flows exceeding 20,000</w:t>
      </w:r>
      <w:r w:rsidR="00654D65">
        <w:rPr>
          <w:rFonts w:cstheme="minorHAnsi"/>
        </w:rPr>
        <w:t> </w:t>
      </w:r>
      <w:r w:rsidR="00725E0D" w:rsidRPr="00E6468B">
        <w:rPr>
          <w:rFonts w:cstheme="minorHAnsi"/>
        </w:rPr>
        <w:t xml:space="preserve">ML/d (see contingency monitoring, Section </w:t>
      </w:r>
      <w:r w:rsidR="00725E0D" w:rsidRPr="00E6468B">
        <w:rPr>
          <w:rFonts w:cstheme="minorHAnsi"/>
        </w:rPr>
        <w:fldChar w:fldCharType="begin"/>
      </w:r>
      <w:r w:rsidR="00725E0D" w:rsidRPr="00E6468B">
        <w:rPr>
          <w:rFonts w:cstheme="minorHAnsi"/>
        </w:rPr>
        <w:instrText xml:space="preserve"> REF _Ref10127934 \r \h </w:instrText>
      </w:r>
      <w:r w:rsidR="00725E0D">
        <w:rPr>
          <w:rFonts w:cstheme="minorHAnsi"/>
        </w:rPr>
        <w:instrText xml:space="preserve"> \* MERGEFORMAT </w:instrText>
      </w:r>
      <w:r w:rsidR="00725E0D" w:rsidRPr="00E6468B">
        <w:rPr>
          <w:rFonts w:cstheme="minorHAnsi"/>
        </w:rPr>
      </w:r>
      <w:r w:rsidR="00725E0D" w:rsidRPr="00E6468B">
        <w:rPr>
          <w:rFonts w:cstheme="minorHAnsi"/>
        </w:rPr>
        <w:fldChar w:fldCharType="separate"/>
      </w:r>
      <w:r w:rsidR="00DF49CD">
        <w:rPr>
          <w:rFonts w:cstheme="minorHAnsi"/>
        </w:rPr>
        <w:t>5.3</w:t>
      </w:r>
      <w:r w:rsidR="00725E0D" w:rsidRPr="00E6468B">
        <w:rPr>
          <w:rFonts w:cstheme="minorHAnsi"/>
        </w:rPr>
        <w:fldChar w:fldCharType="end"/>
      </w:r>
      <w:r w:rsidR="00725E0D" w:rsidRPr="00E6468B">
        <w:rPr>
          <w:rFonts w:cstheme="minorHAnsi"/>
        </w:rPr>
        <w:t>).</w:t>
      </w:r>
    </w:p>
    <w:p w14:paraId="3066738B" w14:textId="0395536A" w:rsidR="006654EE" w:rsidRDefault="006654EE" w:rsidP="006654EE">
      <w:pPr>
        <w:pStyle w:val="Heading4"/>
      </w:pPr>
      <w:r>
        <w:t>Objective and hypotheses</w:t>
      </w:r>
    </w:p>
    <w:p w14:paraId="656B65C0" w14:textId="2B7D60A5" w:rsidR="006654EE" w:rsidRPr="003422E9" w:rsidRDefault="006654EE" w:rsidP="006654EE">
      <w:r>
        <w:t xml:space="preserve">The objective of this indicator </w:t>
      </w:r>
      <w:r w:rsidR="009730A0">
        <w:t xml:space="preserve">is </w:t>
      </w:r>
      <w:r>
        <w:t>to:</w:t>
      </w:r>
    </w:p>
    <w:p w14:paraId="50A7AD55" w14:textId="5290D752" w:rsidR="00CF163F" w:rsidRPr="008E3CFD" w:rsidRDefault="00CF163F" w:rsidP="00CF163F">
      <w:pPr>
        <w:pStyle w:val="ListBullet"/>
      </w:pPr>
      <w:r>
        <w:t>Relate golden perch and silver perch recruitment to flow.</w:t>
      </w:r>
    </w:p>
    <w:p w14:paraId="5F793D84" w14:textId="77777777" w:rsidR="006654EE" w:rsidRPr="003422E9" w:rsidRDefault="006654EE" w:rsidP="006654EE">
      <w:r>
        <w:lastRenderedPageBreak/>
        <w:t xml:space="preserve">Major </w:t>
      </w:r>
      <w:r w:rsidRPr="003422E9">
        <w:t>hypotheses</w:t>
      </w:r>
      <w:r>
        <w:t xml:space="preserve"> are</w:t>
      </w:r>
      <w:r w:rsidRPr="003422E9">
        <w:t>:</w:t>
      </w:r>
    </w:p>
    <w:p w14:paraId="4939D788" w14:textId="659CF3C6" w:rsidR="006654EE" w:rsidRDefault="006654EE" w:rsidP="006654EE">
      <w:pPr>
        <w:pStyle w:val="ListBullet"/>
      </w:pPr>
      <w:r w:rsidRPr="00AA0736">
        <w:t>Increase</w:t>
      </w:r>
      <w:r>
        <w:t>d</w:t>
      </w:r>
      <w:r w:rsidRPr="00AA0736">
        <w:t xml:space="preserve"> spring–summer flow </w:t>
      </w:r>
      <w:r w:rsidR="00CF163F">
        <w:t xml:space="preserve">(nominally &gt;20,000 ML/d), </w:t>
      </w:r>
      <w:r>
        <w:t xml:space="preserve">either </w:t>
      </w:r>
      <w:r w:rsidRPr="00AA0736">
        <w:t>in-channel or overbank</w:t>
      </w:r>
      <w:r>
        <w:t>,</w:t>
      </w:r>
      <w:r w:rsidRPr="00AA0736">
        <w:t xml:space="preserve"> will promote the spawning and recruitment (to YOY) of golden perch and silver perch</w:t>
      </w:r>
    </w:p>
    <w:p w14:paraId="4B0E496F" w14:textId="77777777" w:rsidR="006654EE" w:rsidRPr="008E3CFD" w:rsidRDefault="006654EE" w:rsidP="006654EE">
      <w:pPr>
        <w:pStyle w:val="ListBullet"/>
      </w:pPr>
      <w:r>
        <w:t>Multiple years of enhanced spring</w:t>
      </w:r>
      <w:r>
        <w:rPr>
          <w:rFonts w:cstheme="minorHAnsi"/>
        </w:rPr>
        <w:t>–</w:t>
      </w:r>
      <w:r>
        <w:t xml:space="preserve">summer flow will increase the resilience of golden perch and silver perch populations in the </w:t>
      </w:r>
      <w:r w:rsidRPr="000F53E7">
        <w:t>Lower Murray</w:t>
      </w:r>
      <w:r>
        <w:t>.</w:t>
      </w:r>
    </w:p>
    <w:p w14:paraId="7E23F6AB" w14:textId="77777777" w:rsidR="006654EE" w:rsidRPr="008E3CFD" w:rsidRDefault="006654EE" w:rsidP="006654EE">
      <w:pPr>
        <w:pStyle w:val="Heading4"/>
      </w:pPr>
      <w:r>
        <w:t>General m</w:t>
      </w:r>
      <w:r w:rsidRPr="008E3CFD">
        <w:t>ethodology</w:t>
      </w:r>
    </w:p>
    <w:p w14:paraId="0DB1F4C7" w14:textId="3BE7C88B" w:rsidR="006654EE" w:rsidRPr="00EB4142" w:rsidRDefault="00CF163F" w:rsidP="00CF163F">
      <w:pPr>
        <w:rPr>
          <w:rFonts w:cstheme="minorHAnsi"/>
        </w:rPr>
      </w:pPr>
      <w:r>
        <w:rPr>
          <w:rFonts w:cstheme="minorHAnsi"/>
        </w:rPr>
        <w:t>Golden perch population structure data (i.e. length and age) will be collected annually to assess recruitment of golden perch.</w:t>
      </w:r>
      <w:r w:rsidRPr="003422E9">
        <w:rPr>
          <w:rFonts w:ascii="Calibri" w:hAnsi="Calibri" w:cs="Calibri"/>
        </w:rPr>
        <w:t xml:space="preserve"> Juvenile </w:t>
      </w:r>
      <w:r>
        <w:rPr>
          <w:rFonts w:ascii="Calibri" w:hAnsi="Calibri" w:cs="Calibri"/>
        </w:rPr>
        <w:t xml:space="preserve">and adult </w:t>
      </w:r>
      <w:r w:rsidRPr="003422E9">
        <w:rPr>
          <w:rFonts w:ascii="Calibri" w:hAnsi="Calibri" w:cs="Calibri"/>
        </w:rPr>
        <w:t xml:space="preserve">golden perch will be obtained through </w:t>
      </w:r>
      <w:r w:rsidRPr="00E6468B">
        <w:rPr>
          <w:rFonts w:ascii="Calibri" w:hAnsi="Calibri" w:cs="Calibri"/>
          <w:i/>
        </w:rPr>
        <w:t>Fish (Channel)</w:t>
      </w:r>
      <w:r>
        <w:rPr>
          <w:rFonts w:ascii="Calibri" w:hAnsi="Calibri" w:cs="Calibri"/>
        </w:rPr>
        <w:t xml:space="preserve"> and </w:t>
      </w:r>
      <w:r w:rsidRPr="00E6468B">
        <w:rPr>
          <w:rFonts w:ascii="Calibri" w:hAnsi="Calibri" w:cs="Calibri"/>
          <w:i/>
        </w:rPr>
        <w:t>Murray Cod Recruitment</w:t>
      </w:r>
      <w:r w:rsidRPr="003422E9">
        <w:rPr>
          <w:rFonts w:ascii="Calibri" w:hAnsi="Calibri" w:cs="Calibri"/>
        </w:rPr>
        <w:t xml:space="preserve"> sampling in the Gorge and Floodplain zone</w:t>
      </w:r>
      <w:r>
        <w:rPr>
          <w:rFonts w:ascii="Calibri" w:hAnsi="Calibri" w:cs="Calibri"/>
        </w:rPr>
        <w:t>s</w:t>
      </w:r>
      <w:r w:rsidRPr="003422E9">
        <w:rPr>
          <w:rFonts w:ascii="Calibri" w:hAnsi="Calibri" w:cs="Calibri"/>
        </w:rPr>
        <w:t xml:space="preserve">. </w:t>
      </w:r>
      <w:r>
        <w:rPr>
          <w:rFonts w:cstheme="minorHAnsi"/>
        </w:rPr>
        <w:t xml:space="preserve">. </w:t>
      </w:r>
      <w:r w:rsidR="006654EE" w:rsidRPr="003422E9">
        <w:rPr>
          <w:rFonts w:cstheme="minorHAnsi"/>
        </w:rPr>
        <w:t xml:space="preserve">Refer to the </w:t>
      </w:r>
      <w:r w:rsidR="006654EE" w:rsidRPr="000F53E7">
        <w:rPr>
          <w:rFonts w:cstheme="minorHAnsi"/>
        </w:rPr>
        <w:t>Lower Murray</w:t>
      </w:r>
      <w:r w:rsidR="006654EE" w:rsidRPr="003422E9">
        <w:rPr>
          <w:rFonts w:cstheme="minorHAnsi"/>
        </w:rPr>
        <w:t xml:space="preserve"> Selected Area SOP for </w:t>
      </w:r>
      <w:r w:rsidR="00022052" w:rsidRPr="00022052">
        <w:rPr>
          <w:rFonts w:cstheme="minorHAnsi"/>
          <w:i/>
        </w:rPr>
        <w:t>Flow-cued S</w:t>
      </w:r>
      <w:r w:rsidR="001E4123">
        <w:rPr>
          <w:rFonts w:cstheme="minorHAnsi"/>
          <w:i/>
        </w:rPr>
        <w:t>pawning Fishes</w:t>
      </w:r>
      <w:r w:rsidR="000E285D">
        <w:rPr>
          <w:rFonts w:cstheme="minorHAnsi"/>
        </w:rPr>
        <w:t xml:space="preserve"> (Appendix B</w:t>
      </w:r>
      <w:r w:rsidR="006654EE" w:rsidRPr="003422E9">
        <w:rPr>
          <w:rFonts w:cstheme="minorHAnsi"/>
        </w:rPr>
        <w:t>) for</w:t>
      </w:r>
      <w:r w:rsidR="006654EE" w:rsidRPr="00EB4142">
        <w:rPr>
          <w:rFonts w:cstheme="minorHAnsi"/>
        </w:rPr>
        <w:t xml:space="preserve"> more information on the sampling protocol including sites, timing and equipment, and on data analysis</w:t>
      </w:r>
      <w:r w:rsidR="006654EE">
        <w:rPr>
          <w:rFonts w:cstheme="minorHAnsi"/>
        </w:rPr>
        <w:t xml:space="preserve"> and evaluation</w:t>
      </w:r>
      <w:r w:rsidR="006654EE" w:rsidRPr="00EB4142">
        <w:rPr>
          <w:rFonts w:cstheme="minorHAnsi"/>
        </w:rPr>
        <w:t xml:space="preserve">, data management and quality assurance/quality control measures. Refer to </w:t>
      </w:r>
      <w:r w:rsidR="006654EE" w:rsidRPr="0009462F">
        <w:rPr>
          <w:rFonts w:cstheme="minorHAnsi"/>
          <w:color w:val="auto"/>
        </w:rPr>
        <w:t xml:space="preserve">Section </w:t>
      </w:r>
      <w:r w:rsidR="00DE3BCB">
        <w:rPr>
          <w:rFonts w:cstheme="minorHAnsi"/>
          <w:color w:val="auto"/>
        </w:rPr>
        <w:fldChar w:fldCharType="begin"/>
      </w:r>
      <w:r w:rsidR="00DE3BCB">
        <w:rPr>
          <w:rFonts w:cstheme="minorHAnsi"/>
          <w:color w:val="auto"/>
        </w:rPr>
        <w:instrText xml:space="preserve"> REF _Ref10114573 \r \h </w:instrText>
      </w:r>
      <w:r w:rsidR="00DE3BCB">
        <w:rPr>
          <w:rFonts w:cstheme="minorHAnsi"/>
          <w:color w:val="auto"/>
        </w:rPr>
      </w:r>
      <w:r w:rsidR="00DE3BCB">
        <w:rPr>
          <w:rFonts w:cstheme="minorHAnsi"/>
          <w:color w:val="auto"/>
        </w:rPr>
        <w:fldChar w:fldCharType="separate"/>
      </w:r>
      <w:r w:rsidR="00DF49CD">
        <w:rPr>
          <w:rFonts w:cstheme="minorHAnsi"/>
          <w:color w:val="auto"/>
        </w:rPr>
        <w:t>7</w:t>
      </w:r>
      <w:r w:rsidR="00DE3BCB">
        <w:rPr>
          <w:rFonts w:cstheme="minorHAnsi"/>
          <w:color w:val="auto"/>
        </w:rPr>
        <w:fldChar w:fldCharType="end"/>
      </w:r>
      <w:r w:rsidR="006654EE" w:rsidRPr="0009462F">
        <w:rPr>
          <w:rFonts w:cstheme="minorHAnsi"/>
          <w:color w:val="auto"/>
        </w:rPr>
        <w:t xml:space="preserve"> for timing</w:t>
      </w:r>
      <w:r w:rsidR="006654EE" w:rsidRPr="00EB4142">
        <w:rPr>
          <w:rFonts w:cstheme="minorHAnsi"/>
        </w:rPr>
        <w:t xml:space="preserve"> of monitoring activities and more information on sampling sites and zones.  </w:t>
      </w:r>
    </w:p>
    <w:p w14:paraId="7F08341B" w14:textId="77777777" w:rsidR="006654EE" w:rsidRPr="008E3CFD" w:rsidRDefault="006654EE" w:rsidP="006654EE">
      <w:pPr>
        <w:pStyle w:val="Heading4"/>
      </w:pPr>
      <w:r w:rsidRPr="008E3CFD">
        <w:t>Outputs</w:t>
      </w:r>
    </w:p>
    <w:p w14:paraId="0F03DE77" w14:textId="270B143A" w:rsidR="006654EE" w:rsidRDefault="006654EE" w:rsidP="00CB75AF">
      <w:pPr>
        <w:pStyle w:val="ListParagraph"/>
        <w:numPr>
          <w:ilvl w:val="0"/>
          <w:numId w:val="67"/>
        </w:numPr>
      </w:pPr>
      <w:r>
        <w:t>Annual report on the population structure of golden perch</w:t>
      </w:r>
      <w:r w:rsidRPr="006A7719">
        <w:t xml:space="preserve"> </w:t>
      </w:r>
      <w:r w:rsidRPr="008E3CFD">
        <w:t xml:space="preserve">in the </w:t>
      </w:r>
      <w:r w:rsidRPr="000F53E7">
        <w:t>Lower Murray</w:t>
      </w:r>
      <w:r>
        <w:t xml:space="preserve"> from 2019-20 to 2021-22 </w:t>
      </w:r>
      <w:r w:rsidR="00856375">
        <w:t>and c</w:t>
      </w:r>
      <w:r>
        <w:t>omparison of contemporary age structure to prior years of LTIM.</w:t>
      </w:r>
    </w:p>
    <w:p w14:paraId="37137453" w14:textId="77777777" w:rsidR="006654EE" w:rsidRPr="008E3CFD" w:rsidRDefault="006654EE" w:rsidP="006654EE">
      <w:pPr>
        <w:pStyle w:val="Heading4"/>
      </w:pPr>
      <w:r w:rsidRPr="008E3CFD">
        <w:t xml:space="preserve">Staff </w:t>
      </w:r>
    </w:p>
    <w:p w14:paraId="3E9B89B5" w14:textId="579F9DF6" w:rsidR="00272A35" w:rsidRDefault="006654EE">
      <w:pPr>
        <w:spacing w:after="200" w:line="276" w:lineRule="auto"/>
        <w:jc w:val="left"/>
        <w:rPr>
          <w:lang w:val="en-US"/>
        </w:rPr>
      </w:pPr>
      <w:r w:rsidRPr="008E3CFD">
        <w:rPr>
          <w:lang w:val="en-US"/>
        </w:rPr>
        <w:t xml:space="preserve">Refer to Section </w:t>
      </w:r>
      <w:r>
        <w:fldChar w:fldCharType="begin"/>
      </w:r>
      <w:r>
        <w:instrText xml:space="preserve"> REF _Ref384722147 \r \h  \* MERGEFORMAT </w:instrText>
      </w:r>
      <w:r>
        <w:fldChar w:fldCharType="separate"/>
      </w:r>
      <w:r w:rsidR="00DF49CD" w:rsidRPr="00DF49CD">
        <w:rPr>
          <w:lang w:val="en-US"/>
        </w:rPr>
        <w:t>5.1.3</w:t>
      </w:r>
      <w:r>
        <w:fldChar w:fldCharType="end"/>
      </w:r>
      <w:r w:rsidRPr="008E3CFD">
        <w:rPr>
          <w:lang w:val="en-US"/>
        </w:rPr>
        <w:t xml:space="preserve"> for staff </w:t>
      </w:r>
      <w:r w:rsidR="00DE3BCB">
        <w:rPr>
          <w:lang w:val="en-US"/>
        </w:rPr>
        <w:t xml:space="preserve">and their </w:t>
      </w:r>
      <w:r w:rsidRPr="008E3CFD">
        <w:rPr>
          <w:lang w:val="en-US"/>
        </w:rPr>
        <w:t>capabilities.</w:t>
      </w:r>
      <w:r w:rsidR="00272A35">
        <w:rPr>
          <w:lang w:val="en-US"/>
        </w:rPr>
        <w:br w:type="page"/>
      </w:r>
    </w:p>
    <w:p w14:paraId="4C3DDD82" w14:textId="11AE4B88" w:rsidR="009A6CF2" w:rsidRPr="008E3CFD" w:rsidRDefault="0053246C" w:rsidP="009A6CF2">
      <w:pPr>
        <w:pStyle w:val="Heading3"/>
      </w:pPr>
      <w:bookmarkStart w:id="156" w:name="_Ref10128814"/>
      <w:bookmarkStart w:id="157" w:name="_Toc22196706"/>
      <w:r>
        <w:lastRenderedPageBreak/>
        <w:t>Murray Cod R</w:t>
      </w:r>
      <w:r w:rsidR="009A6CF2">
        <w:t>ecruitment</w:t>
      </w:r>
      <w:bookmarkEnd w:id="156"/>
      <w:bookmarkEnd w:id="157"/>
    </w:p>
    <w:p w14:paraId="7C679A17" w14:textId="77777777" w:rsidR="009A6CF2" w:rsidRPr="008E3CFD" w:rsidRDefault="009A6CF2" w:rsidP="009A6CF2">
      <w:pPr>
        <w:pStyle w:val="Heading4"/>
      </w:pPr>
      <w:r w:rsidRPr="009A6CF2">
        <w:t>Indicators</w:t>
      </w:r>
    </w:p>
    <w:p w14:paraId="71FD4917" w14:textId="77777777" w:rsidR="009A6CF2" w:rsidRDefault="009A6CF2" w:rsidP="00CB75AF">
      <w:pPr>
        <w:pStyle w:val="ListBullet"/>
        <w:numPr>
          <w:ilvl w:val="0"/>
          <w:numId w:val="64"/>
        </w:numPr>
      </w:pPr>
      <w:r>
        <w:t>Growth</w:t>
      </w:r>
      <w:r w:rsidRPr="000131BD">
        <w:t xml:space="preserve"> </w:t>
      </w:r>
      <w:r>
        <w:t>rates of larvae and juveniles</w:t>
      </w:r>
    </w:p>
    <w:p w14:paraId="1CE9DF0F" w14:textId="77777777" w:rsidR="009A6CF2" w:rsidRPr="008E3CFD" w:rsidRDefault="009A6CF2" w:rsidP="00CB75AF">
      <w:pPr>
        <w:pStyle w:val="ListBullet"/>
        <w:numPr>
          <w:ilvl w:val="0"/>
          <w:numId w:val="64"/>
        </w:numPr>
      </w:pPr>
      <w:r>
        <w:t>Morphometric condition of larvae and juveniles</w:t>
      </w:r>
      <w:r w:rsidRPr="008E3CFD">
        <w:t xml:space="preserve"> </w:t>
      </w:r>
    </w:p>
    <w:p w14:paraId="7974D494" w14:textId="77777777" w:rsidR="00BA28FA" w:rsidRPr="008E3CFD" w:rsidRDefault="00BA28FA" w:rsidP="00CB75AF">
      <w:pPr>
        <w:pStyle w:val="ListBullet"/>
        <w:numPr>
          <w:ilvl w:val="0"/>
          <w:numId w:val="64"/>
        </w:numPr>
      </w:pPr>
      <w:r w:rsidRPr="008E3CFD">
        <w:t>Recruitment (</w:t>
      </w:r>
      <w:r>
        <w:t>abundance</w:t>
      </w:r>
      <w:r w:rsidRPr="008E3CFD">
        <w:t xml:space="preserve"> of young of the year </w:t>
      </w:r>
      <w:r>
        <w:t>(</w:t>
      </w:r>
      <w:r w:rsidRPr="008E3CFD">
        <w:t>YOY</w:t>
      </w:r>
      <w:r>
        <w:t>)</w:t>
      </w:r>
      <w:r w:rsidRPr="008E3CFD">
        <w:t>)</w:t>
      </w:r>
    </w:p>
    <w:p w14:paraId="531F04E9" w14:textId="77777777" w:rsidR="009A6CF2" w:rsidRPr="008E3CFD" w:rsidRDefault="009A6CF2" w:rsidP="00CB75AF">
      <w:pPr>
        <w:pStyle w:val="ListBullet"/>
        <w:numPr>
          <w:ilvl w:val="0"/>
          <w:numId w:val="64"/>
        </w:numPr>
      </w:pPr>
      <w:r w:rsidRPr="008E3CFD">
        <w:t>Age structure</w:t>
      </w:r>
      <w:r>
        <w:t>.</w:t>
      </w:r>
    </w:p>
    <w:p w14:paraId="680C3CE7" w14:textId="77777777" w:rsidR="009A6CF2" w:rsidRPr="008E3CFD" w:rsidRDefault="009A6CF2" w:rsidP="009A6CF2">
      <w:pPr>
        <w:pStyle w:val="Heading4"/>
      </w:pPr>
      <w:r w:rsidRPr="009A6CF2">
        <w:t>Background</w:t>
      </w:r>
    </w:p>
    <w:p w14:paraId="38895717" w14:textId="014787BE" w:rsidR="009A6CF2" w:rsidRDefault="009A6CF2" w:rsidP="009A6CF2">
      <w:r>
        <w:t xml:space="preserve">Murray cod </w:t>
      </w:r>
      <w:r w:rsidR="0070705F">
        <w:t>has great</w:t>
      </w:r>
      <w:r>
        <w:t xml:space="preserve"> recreational and cultural significance</w:t>
      </w:r>
      <w:r w:rsidR="0070705F">
        <w:t xml:space="preserve"> in the MDB</w:t>
      </w:r>
      <w:r>
        <w:t>. Nonetheless, populations have declined as a result of human impacts including alteration of flow regimes, barriers to movement, overharvesting and habitat (hydraulic and physical) degradation (Linterman</w:t>
      </w:r>
      <w:r w:rsidR="00B96F04">
        <w:t>s</w:t>
      </w:r>
      <w:r>
        <w:t xml:space="preserve"> and Phillips 2005). Murray cod is considered </w:t>
      </w:r>
      <w:r w:rsidRPr="00E70462">
        <w:rPr>
          <w:i/>
        </w:rPr>
        <w:t>vulnerable</w:t>
      </w:r>
      <w:r>
        <w:t xml:space="preserve"> under the Australian </w:t>
      </w:r>
      <w:r w:rsidRPr="00511741">
        <w:rPr>
          <w:i/>
        </w:rPr>
        <w:t>EPBC Act</w:t>
      </w:r>
      <w:r>
        <w:t xml:space="preserve"> (1999) and </w:t>
      </w:r>
      <w:r w:rsidRPr="00E70462">
        <w:rPr>
          <w:i/>
        </w:rPr>
        <w:t>critical endangered</w:t>
      </w:r>
      <w:r>
        <w:t xml:space="preserve"> by the IUCN. In the lower River Murray (downstream of the Darling River junction), the fragmentation of the river by sequential weirs, alteration to hydraulics and loss of lotic habitats are considered primary threats to the persistence of Murray cod populations (Zampatti </w:t>
      </w:r>
      <w:r w:rsidRPr="00511741">
        <w:rPr>
          <w:i/>
        </w:rPr>
        <w:t>et al.</w:t>
      </w:r>
      <w:r>
        <w:t xml:space="preserve"> 2014; Mallen-Cooper and Zampatti 2018). Indeed, under low flows, lotic environments that provide favourable juvenile and adult habitat, and support key life history processes (spawning and recruitment) can only be found in select anabranch systems (e.g. Chowilla) and lock and weir tailwaters. During elevated flows (e.g. &gt;20,000 ML/d), however, lotic conditions are returned to considerable reaches of the </w:t>
      </w:r>
      <w:r w:rsidR="004673ED">
        <w:t>L</w:t>
      </w:r>
      <w:r>
        <w:t xml:space="preserve">ower Murray.  </w:t>
      </w:r>
    </w:p>
    <w:p w14:paraId="07DED9C9" w14:textId="69EF4BEA" w:rsidR="009A6CF2" w:rsidRDefault="009A6CF2" w:rsidP="009A6CF2">
      <w:r>
        <w:t xml:space="preserve">Murray cod </w:t>
      </w:r>
      <w:r w:rsidRPr="004B6D08">
        <w:t>spawn</w:t>
      </w:r>
      <w:r>
        <w:t xml:space="preserve"> annually</w:t>
      </w:r>
      <w:r w:rsidRPr="004B6D08">
        <w:t xml:space="preserve"> over a well</w:t>
      </w:r>
      <w:r>
        <w:t>-defined period from</w:t>
      </w:r>
      <w:r w:rsidRPr="004B6D08">
        <w:t xml:space="preserve"> </w:t>
      </w:r>
      <w:r>
        <w:t>October</w:t>
      </w:r>
      <w:r>
        <w:rPr>
          <w:rFonts w:cstheme="minorHAnsi"/>
        </w:rPr>
        <w:t>–</w:t>
      </w:r>
      <w:r>
        <w:t>December</w:t>
      </w:r>
      <w:r w:rsidRPr="004B6D08">
        <w:t>, irrespective of flow (</w:t>
      </w:r>
      <w:r w:rsidR="0039594A" w:rsidRPr="004B6D08">
        <w:t>Davis 1977</w:t>
      </w:r>
      <w:r w:rsidR="0039594A">
        <w:t>; Rowland 1998</w:t>
      </w:r>
      <w:r w:rsidRPr="004B6D08">
        <w:t>)</w:t>
      </w:r>
      <w:r>
        <w:t xml:space="preserve">, but recruitment in the lower Murray River main channel is positively associated with flow (Ye and Zampatti 2007; Zampatti </w:t>
      </w:r>
      <w:r w:rsidRPr="00511741">
        <w:rPr>
          <w:i/>
        </w:rPr>
        <w:t>et al.</w:t>
      </w:r>
      <w:r>
        <w:t xml:space="preserve"> 2014)</w:t>
      </w:r>
      <w:r w:rsidRPr="004B6D08">
        <w:t>.</w:t>
      </w:r>
      <w:r>
        <w:t xml:space="preserve"> </w:t>
      </w:r>
      <w:r w:rsidRPr="00CA30E5">
        <w:t>In</w:t>
      </w:r>
      <w:r>
        <w:t>deed</w:t>
      </w:r>
      <w:r w:rsidRPr="00CA30E5">
        <w:t xml:space="preserve">, </w:t>
      </w:r>
      <w:r>
        <w:t xml:space="preserve">from </w:t>
      </w:r>
      <w:r w:rsidRPr="00CA30E5">
        <w:t>2003–2010</w:t>
      </w:r>
      <w:r>
        <w:t xml:space="preserve"> during the Millennium Drought, </w:t>
      </w:r>
      <w:r w:rsidRPr="00CA30E5">
        <w:t>Murray cod recruitment</w:t>
      </w:r>
      <w:r>
        <w:t>, measured as abundances of YOY in autumn,</w:t>
      </w:r>
      <w:r w:rsidRPr="00CA30E5">
        <w:t xml:space="preserve"> </w:t>
      </w:r>
      <w:r>
        <w:t>was limited in the predominantly lentic main channel habitats. Subsequently, recruitment was observed in association with spawning that occurred in high flow years from 2010</w:t>
      </w:r>
      <w:r>
        <w:rPr>
          <w:rFonts w:cstheme="minorHAnsi"/>
        </w:rPr>
        <w:t>–</w:t>
      </w:r>
      <w:r>
        <w:t xml:space="preserve">2013 (Zampatti </w:t>
      </w:r>
      <w:r>
        <w:rPr>
          <w:i/>
        </w:rPr>
        <w:t xml:space="preserve">et al. </w:t>
      </w:r>
      <w:r>
        <w:t>2014). In more recent years (</w:t>
      </w:r>
      <w:r w:rsidRPr="007300A8">
        <w:t>2015–2019</w:t>
      </w:r>
      <w:r>
        <w:t>)</w:t>
      </w:r>
      <w:r w:rsidRPr="007300A8">
        <w:t>, regular recruitment of Murray cod</w:t>
      </w:r>
      <w:r>
        <w:t xml:space="preserve"> has been observed</w:t>
      </w:r>
      <w:r w:rsidRPr="007300A8">
        <w:t xml:space="preserve"> in the Lower Murray</w:t>
      </w:r>
      <w:r>
        <w:t>, including following</w:t>
      </w:r>
      <w:r w:rsidRPr="007300A8">
        <w:t xml:space="preserve"> an in-channel flow pulse (15,000–18</w:t>
      </w:r>
      <w:r>
        <w:t xml:space="preserve">,000 ML/d) and a </w:t>
      </w:r>
      <w:r w:rsidR="003D3A86">
        <w:t>high, overbank flow</w:t>
      </w:r>
      <w:r>
        <w:t xml:space="preserve"> (&gt;90,000 </w:t>
      </w:r>
      <w:r w:rsidRPr="007300A8">
        <w:t xml:space="preserve">ML/d) (Ye </w:t>
      </w:r>
      <w:r w:rsidRPr="0032480D">
        <w:rPr>
          <w:i/>
        </w:rPr>
        <w:t>et al.</w:t>
      </w:r>
      <w:r w:rsidRPr="007300A8">
        <w:t xml:space="preserve"> 2016</w:t>
      </w:r>
      <w:r w:rsidR="00B96F04">
        <w:t>a</w:t>
      </w:r>
      <w:r w:rsidRPr="007300A8">
        <w:t>; 2017; 2018</w:t>
      </w:r>
      <w:r w:rsidR="009216C8">
        <w:t>a</w:t>
      </w:r>
      <w:r w:rsidRPr="007300A8">
        <w:t xml:space="preserve">; </w:t>
      </w:r>
      <w:r w:rsidRPr="00511741">
        <w:t xml:space="preserve">2019; SARDI unpublished data), but also </w:t>
      </w:r>
      <w:r>
        <w:t>during three years of</w:t>
      </w:r>
      <w:r w:rsidRPr="007300A8">
        <w:t xml:space="preserve"> low, stable, in-channel flows (&lt;12,000 </w:t>
      </w:r>
      <w:r w:rsidRPr="00511741">
        <w:t>ML/d). Furthermore</w:t>
      </w:r>
      <w:r w:rsidRPr="00CA30E5">
        <w:t xml:space="preserve">, these cohorts have </w:t>
      </w:r>
      <w:r>
        <w:t xml:space="preserve">generally </w:t>
      </w:r>
      <w:r w:rsidRPr="00CA30E5">
        <w:t>persisted in the population</w:t>
      </w:r>
      <w:r>
        <w:t xml:space="preserve"> (Ye </w:t>
      </w:r>
      <w:r w:rsidRPr="000774D6">
        <w:rPr>
          <w:i/>
        </w:rPr>
        <w:t>et al.</w:t>
      </w:r>
      <w:r>
        <w:t xml:space="preserve"> 2019)</w:t>
      </w:r>
      <w:r w:rsidRPr="00CA30E5">
        <w:t>.</w:t>
      </w:r>
    </w:p>
    <w:p w14:paraId="0B55B1FD" w14:textId="442E8615" w:rsidR="009A6CF2" w:rsidRPr="00B62D0A" w:rsidRDefault="009A6CF2" w:rsidP="009A6CF2">
      <w:r w:rsidRPr="0032480D">
        <w:t xml:space="preserve">The mechanisms </w:t>
      </w:r>
      <w:r>
        <w:t xml:space="preserve">that </w:t>
      </w:r>
      <w:r w:rsidRPr="0032480D">
        <w:t>facilitat</w:t>
      </w:r>
      <w:r>
        <w:t xml:space="preserve">e </w:t>
      </w:r>
      <w:r w:rsidRPr="0032480D">
        <w:t>recruitment of Murray cod</w:t>
      </w:r>
      <w:r>
        <w:t xml:space="preserve"> (to YOY) in the Lower Murray</w:t>
      </w:r>
      <w:r w:rsidRPr="0032480D">
        <w:t xml:space="preserve"> </w:t>
      </w:r>
      <w:r>
        <w:t>likely relate to enhanced survival of early life stages associated with riverine hydr</w:t>
      </w:r>
      <w:r w:rsidR="000434AB">
        <w:t>aulics and productivity (</w:t>
      </w:r>
      <w:r w:rsidR="000434AB">
        <w:fldChar w:fldCharType="begin"/>
      </w:r>
      <w:r w:rsidR="000434AB">
        <w:instrText xml:space="preserve"> REF _Ref10206033 \h </w:instrText>
      </w:r>
      <w:r w:rsidR="000434AB">
        <w:fldChar w:fldCharType="separate"/>
      </w:r>
      <w:r w:rsidR="00DF49CD" w:rsidRPr="008E3CFD">
        <w:t xml:space="preserve">Figure </w:t>
      </w:r>
      <w:r w:rsidR="00DF49CD">
        <w:rPr>
          <w:noProof/>
        </w:rPr>
        <w:t>5</w:t>
      </w:r>
      <w:r w:rsidR="00DF49CD">
        <w:t>.</w:t>
      </w:r>
      <w:r w:rsidR="00DF49CD">
        <w:rPr>
          <w:noProof/>
        </w:rPr>
        <w:t>14</w:t>
      </w:r>
      <w:r w:rsidR="000434AB">
        <w:fldChar w:fldCharType="end"/>
      </w:r>
      <w:r w:rsidR="000434AB">
        <w:t>).</w:t>
      </w:r>
      <w:r>
        <w:t xml:space="preserve"> Survival is likely mediated by enhanced growth rates and condition, and will ultimately determine recruitment and </w:t>
      </w:r>
      <w:r w:rsidR="0070705F">
        <w:t xml:space="preserve">population </w:t>
      </w:r>
      <w:r>
        <w:t xml:space="preserve">abundance. This indicator will explore these mechanisms, in association with the proposed research project, by assessing aspects of Murray cod recruitment (e.g. abundance, growth, condition) in association with flow. Understanding the magnitude of recruitment, and causal links between recruitment and flow, are critical for informing future environmental flow management and will help </w:t>
      </w:r>
      <w:r w:rsidRPr="00B62D0A">
        <w:t>evaluate ecological outcomes of Commonwealth environmental water</w:t>
      </w:r>
      <w:r>
        <w:t xml:space="preserve">.  </w:t>
      </w:r>
    </w:p>
    <w:p w14:paraId="7199F2B3" w14:textId="77777777" w:rsidR="009A6CF2" w:rsidRPr="00B62D0A" w:rsidRDefault="009A6CF2" w:rsidP="009A6CF2">
      <w:pPr>
        <w:pStyle w:val="Heading4"/>
      </w:pPr>
      <w:r w:rsidRPr="00B62D0A">
        <w:lastRenderedPageBreak/>
        <w:t xml:space="preserve">Cause and effect </w:t>
      </w:r>
      <w:r w:rsidRPr="009A6CF2">
        <w:t>diagram</w:t>
      </w:r>
    </w:p>
    <w:p w14:paraId="3A00BB48" w14:textId="12249F1B" w:rsidR="009A6CF2" w:rsidRPr="008E3CFD" w:rsidRDefault="009A6CF2" w:rsidP="009A6CF2">
      <w:pPr>
        <w:jc w:val="center"/>
      </w:pPr>
      <w:r w:rsidRPr="00C1640F">
        <w:t xml:space="preserve"> </w:t>
      </w:r>
      <w:r w:rsidR="00945945" w:rsidRPr="00945945">
        <w:t xml:space="preserve"> </w:t>
      </w:r>
      <w:r w:rsidR="00945945" w:rsidRPr="00945945">
        <w:rPr>
          <w:noProof/>
          <w:lang w:eastAsia="en-AU"/>
        </w:rPr>
        <w:drawing>
          <wp:inline distT="0" distB="0" distL="0" distR="0" wp14:anchorId="7F358455" wp14:editId="772662F0">
            <wp:extent cx="5727700" cy="4236501"/>
            <wp:effectExtent l="0" t="0" r="635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727700" cy="4236501"/>
                    </a:xfrm>
                    <a:prstGeom prst="rect">
                      <a:avLst/>
                    </a:prstGeom>
                    <a:noFill/>
                    <a:ln>
                      <a:noFill/>
                    </a:ln>
                  </pic:spPr>
                </pic:pic>
              </a:graphicData>
            </a:graphic>
          </wp:inline>
        </w:drawing>
      </w:r>
    </w:p>
    <w:p w14:paraId="491D958B" w14:textId="2EF03A14" w:rsidR="009A6CF2" w:rsidRPr="008E3CFD" w:rsidRDefault="009A6CF2" w:rsidP="009A6CF2">
      <w:pPr>
        <w:pStyle w:val="FigureCaption"/>
      </w:pPr>
      <w:bookmarkStart w:id="158" w:name="_Ref10206033"/>
      <w:bookmarkStart w:id="159" w:name="_Toc12630445"/>
      <w:r w:rsidRPr="008E3CFD">
        <w:t xml:space="preserve">Figure </w:t>
      </w:r>
      <w:r w:rsidR="00A8252A">
        <w:rPr>
          <w:noProof/>
        </w:rPr>
        <w:fldChar w:fldCharType="begin"/>
      </w:r>
      <w:r w:rsidR="00A8252A">
        <w:rPr>
          <w:noProof/>
        </w:rPr>
        <w:instrText xml:space="preserve"> STYLEREF 1 \s </w:instrText>
      </w:r>
      <w:r w:rsidR="00A8252A">
        <w:rPr>
          <w:noProof/>
        </w:rPr>
        <w:fldChar w:fldCharType="separate"/>
      </w:r>
      <w:r w:rsidR="00DF49CD">
        <w:rPr>
          <w:noProof/>
        </w:rPr>
        <w:t>5</w:t>
      </w:r>
      <w:r w:rsidR="00A8252A">
        <w:rPr>
          <w:noProof/>
        </w:rPr>
        <w:fldChar w:fldCharType="end"/>
      </w:r>
      <w:r w:rsidR="00251188">
        <w:t>.</w:t>
      </w:r>
      <w:r w:rsidR="00A8252A">
        <w:rPr>
          <w:noProof/>
        </w:rPr>
        <w:fldChar w:fldCharType="begin"/>
      </w:r>
      <w:r w:rsidR="00A8252A">
        <w:rPr>
          <w:noProof/>
        </w:rPr>
        <w:instrText xml:space="preserve"> SEQ Figure \* ARABIC \s 1 </w:instrText>
      </w:r>
      <w:r w:rsidR="00A8252A">
        <w:rPr>
          <w:noProof/>
        </w:rPr>
        <w:fldChar w:fldCharType="separate"/>
      </w:r>
      <w:r w:rsidR="00DF49CD">
        <w:rPr>
          <w:noProof/>
        </w:rPr>
        <w:t>14</w:t>
      </w:r>
      <w:r w:rsidR="00A8252A">
        <w:rPr>
          <w:noProof/>
        </w:rPr>
        <w:fldChar w:fldCharType="end"/>
      </w:r>
      <w:bookmarkEnd w:id="158"/>
      <w:r w:rsidRPr="008E3CFD">
        <w:t>.</w:t>
      </w:r>
      <w:r w:rsidR="000A0F1A">
        <w:tab/>
      </w:r>
      <w:r w:rsidR="000A0F1A" w:rsidRPr="00391A27">
        <w:rPr>
          <w:i/>
        </w:rPr>
        <w:t>Murray C</w:t>
      </w:r>
      <w:r w:rsidRPr="00391A27">
        <w:rPr>
          <w:i/>
        </w:rPr>
        <w:t>od</w:t>
      </w:r>
      <w:r w:rsidR="000A0F1A" w:rsidRPr="00391A27">
        <w:rPr>
          <w:i/>
        </w:rPr>
        <w:t xml:space="preserve"> R</w:t>
      </w:r>
      <w:r w:rsidRPr="00391A27">
        <w:rPr>
          <w:i/>
        </w:rPr>
        <w:t>ecruitment</w:t>
      </w:r>
      <w:r w:rsidRPr="008E3CFD">
        <w:t xml:space="preserve"> cause and effect diagram (</w:t>
      </w:r>
      <w:r>
        <w:t xml:space="preserve">modified from </w:t>
      </w:r>
      <w:r w:rsidRPr="008E3CFD">
        <w:t xml:space="preserve">MDFRC 2013). </w:t>
      </w:r>
      <w:r w:rsidRPr="008E3CFD">
        <w:rPr>
          <w:lang w:val="en-US"/>
        </w:rPr>
        <w:t>Magnitude, timing and duration are factors of flow (in black).</w:t>
      </w:r>
      <w:bookmarkEnd w:id="159"/>
    </w:p>
    <w:p w14:paraId="57B357A0" w14:textId="77777777" w:rsidR="0039024F" w:rsidRPr="008E3CFD" w:rsidRDefault="0039024F" w:rsidP="0039024F">
      <w:pPr>
        <w:pStyle w:val="Heading4"/>
      </w:pPr>
      <w:r>
        <w:t>Key evaluation questions</w:t>
      </w:r>
    </w:p>
    <w:p w14:paraId="602E4A5F" w14:textId="741FFE72" w:rsidR="009A6CF2" w:rsidRPr="00113E03" w:rsidRDefault="009A6CF2" w:rsidP="009A6CF2">
      <w:pPr>
        <w:pStyle w:val="TableText"/>
        <w:rPr>
          <w:sz w:val="22"/>
        </w:rPr>
      </w:pPr>
      <w:r w:rsidRPr="00C86304">
        <w:rPr>
          <w:sz w:val="22"/>
        </w:rPr>
        <w:t>Selected Area question</w:t>
      </w:r>
      <w:r w:rsidR="007E2291">
        <w:rPr>
          <w:sz w:val="22"/>
        </w:rPr>
        <w:t xml:space="preserve"> for evaluating short-term responses</w:t>
      </w:r>
      <w:r w:rsidRPr="00C86304">
        <w:rPr>
          <w:sz w:val="22"/>
        </w:rPr>
        <w:t xml:space="preserve"> (</w:t>
      </w:r>
      <w:r>
        <w:rPr>
          <w:sz w:val="22"/>
        </w:rPr>
        <w:t xml:space="preserve">adapted from </w:t>
      </w:r>
      <w:r w:rsidRPr="00C86304">
        <w:rPr>
          <w:sz w:val="22"/>
        </w:rPr>
        <w:t xml:space="preserve">Hale </w:t>
      </w:r>
      <w:r w:rsidRPr="00C86304">
        <w:rPr>
          <w:i/>
          <w:sz w:val="22"/>
        </w:rPr>
        <w:t>et al.</w:t>
      </w:r>
      <w:r w:rsidRPr="00C86304">
        <w:rPr>
          <w:sz w:val="22"/>
        </w:rPr>
        <w:t xml:space="preserve"> 201</w:t>
      </w:r>
      <w:r>
        <w:rPr>
          <w:sz w:val="22"/>
        </w:rPr>
        <w:t>4</w:t>
      </w:r>
      <w:r w:rsidRPr="00C86304">
        <w:rPr>
          <w:sz w:val="22"/>
        </w:rPr>
        <w:t>):</w:t>
      </w:r>
    </w:p>
    <w:p w14:paraId="35DBFCFE" w14:textId="77777777" w:rsidR="00BA28FA" w:rsidRPr="002166D1" w:rsidRDefault="00BA28FA" w:rsidP="00BA28FA">
      <w:pPr>
        <w:pStyle w:val="TableBullets"/>
        <w:rPr>
          <w:sz w:val="22"/>
        </w:rPr>
      </w:pPr>
      <w:r w:rsidRPr="002166D1">
        <w:rPr>
          <w:sz w:val="22"/>
        </w:rPr>
        <w:t xml:space="preserve">What did Commonwealth environmental water contribute to </w:t>
      </w:r>
      <w:r>
        <w:rPr>
          <w:sz w:val="22"/>
        </w:rPr>
        <w:t>the growth</w:t>
      </w:r>
      <w:r w:rsidRPr="002166D1">
        <w:rPr>
          <w:sz w:val="22"/>
        </w:rPr>
        <w:t xml:space="preserve"> </w:t>
      </w:r>
      <w:r>
        <w:rPr>
          <w:sz w:val="22"/>
        </w:rPr>
        <w:t xml:space="preserve">and morphometric condition </w:t>
      </w:r>
      <w:r w:rsidRPr="002166D1">
        <w:rPr>
          <w:sz w:val="22"/>
        </w:rPr>
        <w:t>of Murray cod?</w:t>
      </w:r>
    </w:p>
    <w:p w14:paraId="6AE7F979" w14:textId="77777777" w:rsidR="009A6CF2" w:rsidRDefault="009A6CF2" w:rsidP="009A6CF2">
      <w:pPr>
        <w:pStyle w:val="TableBullets"/>
        <w:rPr>
          <w:sz w:val="22"/>
        </w:rPr>
      </w:pPr>
      <w:r w:rsidRPr="00DE2696">
        <w:rPr>
          <w:sz w:val="22"/>
        </w:rPr>
        <w:t xml:space="preserve">What did Commonwealth environmental water contribute to </w:t>
      </w:r>
      <w:r w:rsidRPr="00DE2696">
        <w:rPr>
          <w:kern w:val="0"/>
          <w:sz w:val="22"/>
        </w:rPr>
        <w:t>recruitment of Murray cod</w:t>
      </w:r>
      <w:r w:rsidRPr="00DE2696">
        <w:rPr>
          <w:sz w:val="22"/>
        </w:rPr>
        <w:t>?</w:t>
      </w:r>
    </w:p>
    <w:p w14:paraId="0B9731FA" w14:textId="0A716283" w:rsidR="009A6CF2" w:rsidRPr="00DE2696" w:rsidRDefault="009A6CF2" w:rsidP="009A6CF2">
      <w:pPr>
        <w:pStyle w:val="TableText"/>
        <w:rPr>
          <w:sz w:val="22"/>
        </w:rPr>
      </w:pPr>
      <w:r w:rsidRPr="00DE2696">
        <w:rPr>
          <w:sz w:val="22"/>
        </w:rPr>
        <w:t xml:space="preserve">Selected Area question </w:t>
      </w:r>
      <w:r w:rsidR="007E2291">
        <w:rPr>
          <w:sz w:val="22"/>
        </w:rPr>
        <w:t xml:space="preserve">for evaluating long-term outcomes </w:t>
      </w:r>
      <w:r w:rsidRPr="00DE2696">
        <w:rPr>
          <w:sz w:val="22"/>
        </w:rPr>
        <w:t xml:space="preserve">(adapted from Hale </w:t>
      </w:r>
      <w:r w:rsidRPr="00DE2696">
        <w:rPr>
          <w:i/>
          <w:sz w:val="22"/>
        </w:rPr>
        <w:t>et al.</w:t>
      </w:r>
      <w:r w:rsidRPr="00DE2696">
        <w:rPr>
          <w:sz w:val="22"/>
        </w:rPr>
        <w:t xml:space="preserve"> 2014):</w:t>
      </w:r>
    </w:p>
    <w:p w14:paraId="4264F845" w14:textId="77777777" w:rsidR="009A6CF2" w:rsidRPr="00DE2696" w:rsidRDefault="009A6CF2" w:rsidP="009A6CF2">
      <w:pPr>
        <w:pStyle w:val="TableBullets"/>
        <w:rPr>
          <w:sz w:val="22"/>
        </w:rPr>
      </w:pPr>
      <w:r w:rsidRPr="00DE2696">
        <w:rPr>
          <w:sz w:val="22"/>
        </w:rPr>
        <w:t xml:space="preserve">What did Commonwealth environmental water contribute to the resilience </w:t>
      </w:r>
      <w:r w:rsidRPr="00DE2696">
        <w:rPr>
          <w:kern w:val="0"/>
          <w:sz w:val="22"/>
        </w:rPr>
        <w:t>of Murray cod populations</w:t>
      </w:r>
      <w:r w:rsidRPr="00DE2696">
        <w:rPr>
          <w:sz w:val="22"/>
        </w:rPr>
        <w:t>?</w:t>
      </w:r>
    </w:p>
    <w:p w14:paraId="36954E9A" w14:textId="77777777" w:rsidR="009A6CF2" w:rsidRDefault="009A6CF2" w:rsidP="009A6CF2">
      <w:pPr>
        <w:pStyle w:val="Heading4"/>
      </w:pPr>
      <w:r>
        <w:t>Objectives and hypotheses</w:t>
      </w:r>
    </w:p>
    <w:p w14:paraId="18F53421" w14:textId="77777777" w:rsidR="009A6CF2" w:rsidRPr="00EA5B78" w:rsidRDefault="009A6CF2" w:rsidP="009A6CF2">
      <w:r>
        <w:t xml:space="preserve">The objectives of </w:t>
      </w:r>
      <w:r w:rsidRPr="00EA5B78">
        <w:t>this indicator are to:</w:t>
      </w:r>
    </w:p>
    <w:p w14:paraId="79ECB78A" w14:textId="77777777" w:rsidR="009A6CF2" w:rsidRPr="00EA5B78" w:rsidRDefault="009A6CF2" w:rsidP="009A6CF2">
      <w:pPr>
        <w:pStyle w:val="ListBullet"/>
      </w:pPr>
      <w:r w:rsidRPr="00EA5B78">
        <w:t xml:space="preserve">Compare and contrast growth </w:t>
      </w:r>
      <w:r>
        <w:t xml:space="preserve">rates </w:t>
      </w:r>
      <w:r w:rsidRPr="00EA5B78">
        <w:t xml:space="preserve">and </w:t>
      </w:r>
      <w:r>
        <w:t>morphometric</w:t>
      </w:r>
      <w:r w:rsidRPr="00EA5B78">
        <w:t xml:space="preserve"> condition in response to annual flow regimes, including environmental water </w:t>
      </w:r>
    </w:p>
    <w:p w14:paraId="7E5D5634" w14:textId="77777777" w:rsidR="00BA28FA" w:rsidRPr="00EA5B78" w:rsidRDefault="00BA28FA" w:rsidP="00BA28FA">
      <w:pPr>
        <w:pStyle w:val="ListBullet"/>
      </w:pPr>
      <w:r w:rsidRPr="00EA5B78">
        <w:t xml:space="preserve">Compare and contrast recruitment success </w:t>
      </w:r>
      <w:r>
        <w:t xml:space="preserve">(abundance of YOY) </w:t>
      </w:r>
      <w:r w:rsidRPr="00EA5B78">
        <w:t xml:space="preserve">in response to annual flow regimes, including environmental water </w:t>
      </w:r>
    </w:p>
    <w:p w14:paraId="094A1C27" w14:textId="77777777" w:rsidR="009A6CF2" w:rsidRPr="00EA5B78" w:rsidRDefault="009A6CF2" w:rsidP="009A6CF2">
      <w:pPr>
        <w:pStyle w:val="ListBullet"/>
      </w:pPr>
      <w:r w:rsidRPr="00EA5B78">
        <w:t>Identify potential associations between recruitment</w:t>
      </w:r>
      <w:r>
        <w:t>,</w:t>
      </w:r>
      <w:r w:rsidRPr="00EA5B78">
        <w:t xml:space="preserve"> hydraulic habitat (e.g. </w:t>
      </w:r>
      <w:r>
        <w:t xml:space="preserve">flow </w:t>
      </w:r>
      <w:r w:rsidRPr="00EA5B78">
        <w:t>velocities), and food resources</w:t>
      </w:r>
      <w:r>
        <w:t xml:space="preserve"> (productivity)</w:t>
      </w:r>
      <w:r w:rsidRPr="00EA5B78">
        <w:t>.</w:t>
      </w:r>
    </w:p>
    <w:p w14:paraId="0F31AF0A" w14:textId="77777777" w:rsidR="00F359A2" w:rsidRDefault="00F359A2" w:rsidP="009A6CF2"/>
    <w:p w14:paraId="7B26B0BF" w14:textId="77777777" w:rsidR="009A6CF2" w:rsidRPr="003422E9" w:rsidRDefault="009A6CF2" w:rsidP="009A6CF2">
      <w:r>
        <w:lastRenderedPageBreak/>
        <w:t xml:space="preserve">Major </w:t>
      </w:r>
      <w:r w:rsidRPr="003422E9">
        <w:t>hypotheses</w:t>
      </w:r>
      <w:r>
        <w:t xml:space="preserve"> are</w:t>
      </w:r>
      <w:r w:rsidRPr="003422E9">
        <w:t>:</w:t>
      </w:r>
    </w:p>
    <w:p w14:paraId="16579284" w14:textId="77777777" w:rsidR="009A6CF2" w:rsidRDefault="009A6CF2" w:rsidP="009A6CF2">
      <w:pPr>
        <w:pStyle w:val="ListBullet"/>
      </w:pPr>
      <w:r>
        <w:t>Elevat</w:t>
      </w:r>
      <w:r w:rsidRPr="00AA0736">
        <w:t>e</w:t>
      </w:r>
      <w:r>
        <w:t>d</w:t>
      </w:r>
      <w:r w:rsidRPr="00AA0736">
        <w:t xml:space="preserve"> spring–summer flow</w:t>
      </w:r>
      <w:r>
        <w:t xml:space="preserve">, either </w:t>
      </w:r>
      <w:r w:rsidRPr="00AA0736">
        <w:t>in-channel or overbank</w:t>
      </w:r>
      <w:r>
        <w:t>,</w:t>
      </w:r>
      <w:r w:rsidRPr="00AA0736">
        <w:t xml:space="preserve"> </w:t>
      </w:r>
      <w:r>
        <w:t xml:space="preserve">and associated increase in lotic habitat, </w:t>
      </w:r>
      <w:r w:rsidRPr="00AA0736">
        <w:t xml:space="preserve">will </w:t>
      </w:r>
      <w:r>
        <w:t xml:space="preserve">enhance </w:t>
      </w:r>
      <w:r w:rsidRPr="00AA0736">
        <w:t xml:space="preserve">recruitment (to YOY) of </w:t>
      </w:r>
      <w:r>
        <w:t>Murray cod</w:t>
      </w:r>
    </w:p>
    <w:p w14:paraId="389C80A2" w14:textId="77777777" w:rsidR="009A6CF2" w:rsidRDefault="009A6CF2" w:rsidP="009A6CF2">
      <w:pPr>
        <w:pStyle w:val="ListBullet"/>
      </w:pPr>
      <w:r>
        <w:t>Elevat</w:t>
      </w:r>
      <w:r w:rsidRPr="00AA0736">
        <w:t>e</w:t>
      </w:r>
      <w:r>
        <w:t>d</w:t>
      </w:r>
      <w:r w:rsidRPr="00AA0736">
        <w:t xml:space="preserve"> spring–summer flow</w:t>
      </w:r>
      <w:r>
        <w:t xml:space="preserve">, either </w:t>
      </w:r>
      <w:r w:rsidRPr="00AA0736">
        <w:t>in-channel or overbank</w:t>
      </w:r>
      <w:r>
        <w:t>,</w:t>
      </w:r>
      <w:r w:rsidRPr="00AA0736">
        <w:t xml:space="preserve"> </w:t>
      </w:r>
      <w:r>
        <w:t xml:space="preserve">and associated increase in lotic habitat, </w:t>
      </w:r>
      <w:r w:rsidRPr="00AA0736">
        <w:t xml:space="preserve">will </w:t>
      </w:r>
      <w:r>
        <w:t>be associated with enhanced growth rates and morphometric condition of Murray cod</w:t>
      </w:r>
    </w:p>
    <w:p w14:paraId="66FFA6E8" w14:textId="77777777" w:rsidR="009A6CF2" w:rsidRPr="008E3CFD" w:rsidRDefault="009A6CF2" w:rsidP="009A6CF2">
      <w:pPr>
        <w:pStyle w:val="ListBullet"/>
      </w:pPr>
      <w:r>
        <w:t>Multiple years of enhanced spring</w:t>
      </w:r>
      <w:r>
        <w:rPr>
          <w:rFonts w:cstheme="minorHAnsi"/>
        </w:rPr>
        <w:t>–</w:t>
      </w:r>
      <w:r>
        <w:t xml:space="preserve">summer flow will result in broad size/age distributions of Murray cod and increased population resilience in the </w:t>
      </w:r>
      <w:r w:rsidRPr="000F53E7">
        <w:t>Lower Murray</w:t>
      </w:r>
      <w:r>
        <w:t>.</w:t>
      </w:r>
    </w:p>
    <w:p w14:paraId="78B30D3C" w14:textId="77777777" w:rsidR="009A6CF2" w:rsidRPr="008E3CFD" w:rsidRDefault="009A6CF2" w:rsidP="009A6CF2">
      <w:pPr>
        <w:pStyle w:val="Heading4"/>
      </w:pPr>
      <w:r>
        <w:t>General m</w:t>
      </w:r>
      <w:r w:rsidRPr="008E3CFD">
        <w:t>ethodology</w:t>
      </w:r>
    </w:p>
    <w:p w14:paraId="080FB9C6" w14:textId="78E5C8F0" w:rsidR="009A6CF2" w:rsidRDefault="009A6CF2" w:rsidP="009A6CF2">
      <w:pPr>
        <w:rPr>
          <w:rFonts w:ascii="Calibri" w:hAnsi="Calibri" w:cs="Calibri"/>
          <w:bCs/>
        </w:rPr>
      </w:pPr>
      <w:r>
        <w:rPr>
          <w:rFonts w:ascii="Calibri" w:hAnsi="Calibri" w:cs="Calibri"/>
          <w:bCs/>
        </w:rPr>
        <w:t>To quantify abundance and collect samples for further analyses, Murray cod will be sampled at several stages during early ontogeny, from larvae through to YOY</w:t>
      </w:r>
      <w:r w:rsidR="000150F2">
        <w:rPr>
          <w:rFonts w:ascii="Calibri" w:hAnsi="Calibri" w:cs="Calibri"/>
          <w:bCs/>
        </w:rPr>
        <w:t xml:space="preserve"> (&gt;120 d of age).</w:t>
      </w:r>
    </w:p>
    <w:p w14:paraId="5E56A7E3" w14:textId="77777777" w:rsidR="009A6CF2" w:rsidRPr="00153D02" w:rsidRDefault="009A6CF2" w:rsidP="009A6CF2">
      <w:pPr>
        <w:rPr>
          <w:rFonts w:ascii="Calibri" w:hAnsi="Calibri" w:cs="Calibri"/>
        </w:rPr>
      </w:pPr>
      <w:r w:rsidRPr="00EA5B78">
        <w:rPr>
          <w:rFonts w:ascii="Calibri" w:hAnsi="Calibri" w:cs="Calibri"/>
          <w:bCs/>
        </w:rPr>
        <w:t xml:space="preserve">Sampling for larvae </w:t>
      </w:r>
      <w:r>
        <w:rPr>
          <w:rFonts w:ascii="Calibri" w:hAnsi="Calibri" w:cs="Calibri"/>
          <w:bCs/>
        </w:rPr>
        <w:t xml:space="preserve">(&lt;30 mm) </w:t>
      </w:r>
      <w:r w:rsidRPr="00EA5B78">
        <w:rPr>
          <w:rFonts w:ascii="Calibri" w:hAnsi="Calibri" w:cs="Calibri"/>
          <w:bCs/>
        </w:rPr>
        <w:t xml:space="preserve">will be conducted in the main channel of the Lower Murray using </w:t>
      </w:r>
      <w:r>
        <w:rPr>
          <w:rFonts w:ascii="Calibri" w:hAnsi="Calibri" w:cs="Calibri"/>
          <w:bCs/>
        </w:rPr>
        <w:t>a combination</w:t>
      </w:r>
      <w:r w:rsidRPr="00EA5B78">
        <w:rPr>
          <w:rFonts w:ascii="Calibri" w:hAnsi="Calibri" w:cs="Calibri"/>
          <w:bCs/>
        </w:rPr>
        <w:t xml:space="preserve"> of </w:t>
      </w:r>
      <w:r>
        <w:rPr>
          <w:rFonts w:ascii="Calibri" w:hAnsi="Calibri" w:cs="Calibri"/>
          <w:bCs/>
        </w:rPr>
        <w:t>techniques,</w:t>
      </w:r>
      <w:r w:rsidRPr="00EA5B78">
        <w:rPr>
          <w:rFonts w:ascii="Calibri" w:hAnsi="Calibri" w:cs="Calibri"/>
          <w:bCs/>
        </w:rPr>
        <w:t xml:space="preserve"> including light traps and net tows. </w:t>
      </w:r>
      <w:r>
        <w:rPr>
          <w:rFonts w:ascii="Calibri" w:hAnsi="Calibri" w:cs="Calibri"/>
        </w:rPr>
        <w:t>Juvenile</w:t>
      </w:r>
      <w:r w:rsidRPr="005452AB">
        <w:rPr>
          <w:rFonts w:ascii="Calibri" w:hAnsi="Calibri" w:cs="Calibri"/>
        </w:rPr>
        <w:t xml:space="preserve"> Murray cod will be sampled during three different sampling occasions to capture a broad size range of </w:t>
      </w:r>
      <w:r>
        <w:rPr>
          <w:rFonts w:ascii="Calibri" w:hAnsi="Calibri" w:cs="Calibri"/>
        </w:rPr>
        <w:t>individuals ~30–150 mm</w:t>
      </w:r>
      <w:r w:rsidRPr="005452AB">
        <w:rPr>
          <w:rFonts w:ascii="Calibri" w:hAnsi="Calibri" w:cs="Calibri"/>
        </w:rPr>
        <w:t xml:space="preserve">. Sampling methods (e.g. light traps and electrofishing) will depend on the expected fish size at the time of sampling. </w:t>
      </w:r>
      <w:r>
        <w:rPr>
          <w:rFonts w:ascii="Calibri" w:hAnsi="Calibri" w:cs="Calibri"/>
        </w:rPr>
        <w:t>Juvenile Murray c</w:t>
      </w:r>
      <w:r w:rsidRPr="00A91EC2">
        <w:rPr>
          <w:rFonts w:ascii="Calibri" w:hAnsi="Calibri" w:cs="Calibri"/>
        </w:rPr>
        <w:t xml:space="preserve">od will also be obtained through complementary Fish (Channel) sampling in the Gorge zone. In addition to YOY, larger </w:t>
      </w:r>
      <w:r>
        <w:rPr>
          <w:rFonts w:ascii="Calibri" w:hAnsi="Calibri" w:cs="Calibri"/>
        </w:rPr>
        <w:t>sub-adult</w:t>
      </w:r>
      <w:r w:rsidRPr="00A91EC2">
        <w:rPr>
          <w:rFonts w:ascii="Calibri" w:hAnsi="Calibri" w:cs="Calibri"/>
        </w:rPr>
        <w:t xml:space="preserve"> and adult Murray cod will be sampled during electrofishing to collect size</w:t>
      </w:r>
      <w:r>
        <w:rPr>
          <w:rFonts w:ascii="Calibri" w:hAnsi="Calibri" w:cs="Calibri"/>
        </w:rPr>
        <w:t>/</w:t>
      </w:r>
      <w:r w:rsidRPr="00A91EC2">
        <w:rPr>
          <w:rFonts w:ascii="Calibri" w:hAnsi="Calibri" w:cs="Calibri"/>
        </w:rPr>
        <w:t xml:space="preserve">age </w:t>
      </w:r>
      <w:r w:rsidRPr="00153D02">
        <w:rPr>
          <w:rFonts w:ascii="Calibri" w:hAnsi="Calibri" w:cs="Calibri"/>
        </w:rPr>
        <w:t xml:space="preserve">information on the </w:t>
      </w:r>
      <w:r>
        <w:rPr>
          <w:rFonts w:ascii="Calibri" w:hAnsi="Calibri" w:cs="Calibri"/>
        </w:rPr>
        <w:t xml:space="preserve">broader </w:t>
      </w:r>
      <w:r w:rsidRPr="00153D02">
        <w:rPr>
          <w:rFonts w:ascii="Calibri" w:hAnsi="Calibri" w:cs="Calibri"/>
        </w:rPr>
        <w:t>population.</w:t>
      </w:r>
    </w:p>
    <w:p w14:paraId="3D7389D4" w14:textId="77777777" w:rsidR="009A6CF2" w:rsidRDefault="009A6CF2" w:rsidP="009A6CF2">
      <w:pPr>
        <w:rPr>
          <w:rFonts w:ascii="Calibri" w:hAnsi="Calibri" w:cs="Calibri"/>
          <w:highlight w:val="yellow"/>
        </w:rPr>
      </w:pPr>
      <w:r>
        <w:rPr>
          <w:rFonts w:ascii="Calibri" w:hAnsi="Calibri" w:cs="Calibri"/>
        </w:rPr>
        <w:t>Otolith microstructure analysis, and measurements of length and weight, will support investigations of growth and morphometric condition. This will include, w</w:t>
      </w:r>
      <w:r w:rsidRPr="00153D02">
        <w:rPr>
          <w:rFonts w:ascii="Calibri" w:hAnsi="Calibri" w:cs="Calibri"/>
        </w:rPr>
        <w:t xml:space="preserve">here possible, </w:t>
      </w:r>
      <w:r>
        <w:rPr>
          <w:rFonts w:ascii="Calibri" w:hAnsi="Calibri" w:cs="Calibri"/>
        </w:rPr>
        <w:t xml:space="preserve">estimation of </w:t>
      </w:r>
      <w:r w:rsidRPr="00153D02">
        <w:rPr>
          <w:rFonts w:ascii="Calibri" w:hAnsi="Calibri" w:cs="Calibri"/>
        </w:rPr>
        <w:t>daily age</w:t>
      </w:r>
      <w:r>
        <w:rPr>
          <w:rFonts w:ascii="Calibri" w:hAnsi="Calibri" w:cs="Calibri"/>
        </w:rPr>
        <w:t xml:space="preserve"> and</w:t>
      </w:r>
      <w:r w:rsidRPr="00153D02">
        <w:rPr>
          <w:rFonts w:ascii="Calibri" w:hAnsi="Calibri" w:cs="Calibri"/>
        </w:rPr>
        <w:t xml:space="preserve"> spawn dates </w:t>
      </w:r>
      <w:r>
        <w:rPr>
          <w:rFonts w:ascii="Calibri" w:hAnsi="Calibri" w:cs="Calibri"/>
        </w:rPr>
        <w:t>(increment counts), as well as daily (increment width analysis) and seasonal g</w:t>
      </w:r>
      <w:r w:rsidRPr="00153D02">
        <w:rPr>
          <w:rFonts w:ascii="Calibri" w:hAnsi="Calibri" w:cs="Calibri"/>
        </w:rPr>
        <w:t xml:space="preserve">rowth </w:t>
      </w:r>
      <w:r>
        <w:rPr>
          <w:rFonts w:ascii="Calibri" w:hAnsi="Calibri" w:cs="Calibri"/>
        </w:rPr>
        <w:t>rates. Morphometric</w:t>
      </w:r>
      <w:r w:rsidRPr="00153D02">
        <w:rPr>
          <w:rFonts w:ascii="Calibri" w:hAnsi="Calibri" w:cs="Calibri"/>
        </w:rPr>
        <w:t xml:space="preserve"> condition will be determined </w:t>
      </w:r>
      <w:r>
        <w:rPr>
          <w:rFonts w:ascii="Calibri" w:hAnsi="Calibri" w:cs="Calibri"/>
        </w:rPr>
        <w:t>by investigating length-weight relationships and associated metrics (e.g. condition factor, see Froese 2006), and comparison with reference data.</w:t>
      </w:r>
      <w:r w:rsidRPr="00153D02">
        <w:rPr>
          <w:rFonts w:ascii="Calibri" w:hAnsi="Calibri" w:cs="Calibri"/>
        </w:rPr>
        <w:t xml:space="preserve"> </w:t>
      </w:r>
    </w:p>
    <w:p w14:paraId="147B661B" w14:textId="2BC4C030" w:rsidR="009A6CF2" w:rsidRDefault="009A6CF2" w:rsidP="009A6CF2">
      <w:pPr>
        <w:rPr>
          <w:rFonts w:cstheme="minorHAnsi"/>
        </w:rPr>
      </w:pPr>
      <w:r w:rsidRPr="00A91EC2">
        <w:rPr>
          <w:rFonts w:cstheme="minorHAnsi"/>
        </w:rPr>
        <w:t xml:space="preserve">Refer to the Lower Murray Selected Area SOP for </w:t>
      </w:r>
      <w:r w:rsidRPr="00022052">
        <w:rPr>
          <w:rFonts w:cstheme="minorHAnsi"/>
          <w:i/>
        </w:rPr>
        <w:t xml:space="preserve">Murray </w:t>
      </w:r>
      <w:r w:rsidR="00022052" w:rsidRPr="00022052">
        <w:rPr>
          <w:rFonts w:cstheme="minorHAnsi"/>
          <w:i/>
        </w:rPr>
        <w:t>C</w:t>
      </w:r>
      <w:r w:rsidRPr="00022052">
        <w:rPr>
          <w:rFonts w:cstheme="minorHAnsi"/>
          <w:i/>
        </w:rPr>
        <w:t xml:space="preserve">od </w:t>
      </w:r>
      <w:r w:rsidR="00022052" w:rsidRPr="00022052">
        <w:rPr>
          <w:rFonts w:cstheme="minorHAnsi"/>
          <w:i/>
        </w:rPr>
        <w:t>R</w:t>
      </w:r>
      <w:r w:rsidRPr="00022052">
        <w:rPr>
          <w:rFonts w:cstheme="minorHAnsi"/>
          <w:i/>
        </w:rPr>
        <w:t>ecruitment</w:t>
      </w:r>
      <w:r w:rsidRPr="009C6219">
        <w:rPr>
          <w:rFonts w:cstheme="minorHAnsi"/>
        </w:rPr>
        <w:t xml:space="preserve"> </w:t>
      </w:r>
      <w:r w:rsidR="000E285D">
        <w:rPr>
          <w:rFonts w:cstheme="minorHAnsi"/>
        </w:rPr>
        <w:t>(Appendix B</w:t>
      </w:r>
      <w:r w:rsidRPr="009C6219">
        <w:rPr>
          <w:rFonts w:cstheme="minorHAnsi"/>
        </w:rPr>
        <w:t>) for</w:t>
      </w:r>
      <w:r w:rsidRPr="00A91EC2">
        <w:rPr>
          <w:rFonts w:cstheme="minorHAnsi"/>
        </w:rPr>
        <w:t xml:space="preserve"> more information on the sampling protocol including sites, timing and equipment, and on data analysis and evaluation, data management and quality assurance/quality con</w:t>
      </w:r>
      <w:r w:rsidR="00B56039">
        <w:rPr>
          <w:rFonts w:cstheme="minorHAnsi"/>
        </w:rPr>
        <w:t xml:space="preserve">trol measures. Refer to Section </w:t>
      </w:r>
      <w:r w:rsidR="00B56039">
        <w:rPr>
          <w:rFonts w:cstheme="minorHAnsi"/>
        </w:rPr>
        <w:fldChar w:fldCharType="begin"/>
      </w:r>
      <w:r w:rsidR="00B56039">
        <w:rPr>
          <w:rFonts w:cstheme="minorHAnsi"/>
        </w:rPr>
        <w:instrText xml:space="preserve"> REF _Ref10114573 \r \h </w:instrText>
      </w:r>
      <w:r w:rsidR="00B56039">
        <w:rPr>
          <w:rFonts w:cstheme="minorHAnsi"/>
        </w:rPr>
      </w:r>
      <w:r w:rsidR="00B56039">
        <w:rPr>
          <w:rFonts w:cstheme="minorHAnsi"/>
        </w:rPr>
        <w:fldChar w:fldCharType="separate"/>
      </w:r>
      <w:r w:rsidR="00DF49CD">
        <w:rPr>
          <w:rFonts w:cstheme="minorHAnsi"/>
        </w:rPr>
        <w:t>7</w:t>
      </w:r>
      <w:r w:rsidR="00B56039">
        <w:rPr>
          <w:rFonts w:cstheme="minorHAnsi"/>
        </w:rPr>
        <w:fldChar w:fldCharType="end"/>
      </w:r>
      <w:r w:rsidR="00B56039">
        <w:rPr>
          <w:rFonts w:cstheme="minorHAnsi"/>
        </w:rPr>
        <w:t xml:space="preserve"> </w:t>
      </w:r>
      <w:r w:rsidRPr="00A91EC2">
        <w:rPr>
          <w:rFonts w:cstheme="minorHAnsi"/>
        </w:rPr>
        <w:t>for timing of monitoring activities and more information on sampling sites and zones.</w:t>
      </w:r>
    </w:p>
    <w:p w14:paraId="5D08D659" w14:textId="77777777" w:rsidR="009A6CF2" w:rsidRPr="008E3CFD" w:rsidRDefault="009A6CF2" w:rsidP="009A6CF2">
      <w:pPr>
        <w:pStyle w:val="Heading4"/>
      </w:pPr>
      <w:r w:rsidRPr="008E3CFD">
        <w:t>Outputs</w:t>
      </w:r>
    </w:p>
    <w:p w14:paraId="37140B8B" w14:textId="77777777" w:rsidR="009A6CF2" w:rsidRDefault="009A6CF2" w:rsidP="009A6CF2">
      <w:pPr>
        <w:pStyle w:val="ListBullet"/>
      </w:pPr>
      <w:r w:rsidRPr="008E3CFD">
        <w:t>A</w:t>
      </w:r>
      <w:r>
        <w:t>nnual</w:t>
      </w:r>
      <w:r w:rsidRPr="008E3CFD">
        <w:t xml:space="preserve"> report</w:t>
      </w:r>
      <w:r>
        <w:t xml:space="preserve"> </w:t>
      </w:r>
      <w:r w:rsidRPr="008E3CFD">
        <w:t xml:space="preserve">on the </w:t>
      </w:r>
      <w:r>
        <w:t>recruitment, growth rates and morphometric condition</w:t>
      </w:r>
      <w:r w:rsidRPr="008E3CFD">
        <w:t xml:space="preserve"> of </w:t>
      </w:r>
      <w:r>
        <w:t>Murray cod</w:t>
      </w:r>
      <w:r w:rsidRPr="008E3CFD">
        <w:t xml:space="preserve"> in response to flow regime</w:t>
      </w:r>
      <w:r>
        <w:t>s</w:t>
      </w:r>
      <w:r w:rsidRPr="008E3CFD">
        <w:t xml:space="preserve">, including environmental water delivery, in the </w:t>
      </w:r>
      <w:r w:rsidRPr="000F53E7">
        <w:t>Lower Murray</w:t>
      </w:r>
      <w:r>
        <w:t xml:space="preserve"> Selected Area from 2019</w:t>
      </w:r>
      <w:r>
        <w:rPr>
          <w:rFonts w:eastAsiaTheme="majorEastAsia"/>
        </w:rPr>
        <w:t>-</w:t>
      </w:r>
      <w:r>
        <w:t>20 to 2021</w:t>
      </w:r>
      <w:r>
        <w:rPr>
          <w:rFonts w:eastAsiaTheme="majorEastAsia"/>
        </w:rPr>
        <w:t>-</w:t>
      </w:r>
      <w:r>
        <w:t>22</w:t>
      </w:r>
      <w:r w:rsidRPr="008E3CFD">
        <w:t>. Th</w:t>
      </w:r>
      <w:r>
        <w:t xml:space="preserve">e report </w:t>
      </w:r>
      <w:r w:rsidRPr="008E3CFD">
        <w:t>will include</w:t>
      </w:r>
      <w:r>
        <w:t>:</w:t>
      </w:r>
    </w:p>
    <w:p w14:paraId="170BACF7" w14:textId="77777777" w:rsidR="009A6CF2" w:rsidRDefault="009A6CF2" w:rsidP="009A6CF2">
      <w:pPr>
        <w:pStyle w:val="ListBullet"/>
        <w:numPr>
          <w:ilvl w:val="1"/>
          <w:numId w:val="1"/>
        </w:numPr>
      </w:pPr>
      <w:r>
        <w:t>Spatial and temporal variation in abundance of YOY (recruitment) Murray cod</w:t>
      </w:r>
    </w:p>
    <w:p w14:paraId="35F72E90" w14:textId="77777777" w:rsidR="009A6CF2" w:rsidRDefault="009A6CF2" w:rsidP="009A6CF2">
      <w:pPr>
        <w:pStyle w:val="ListBullet"/>
        <w:numPr>
          <w:ilvl w:val="1"/>
          <w:numId w:val="1"/>
        </w:numPr>
      </w:pPr>
      <w:r>
        <w:t xml:space="preserve">Spatial and temporal variation in growth rates and morphometric condition of juvenile Murray cod </w:t>
      </w:r>
    </w:p>
    <w:p w14:paraId="66C211F1" w14:textId="77777777" w:rsidR="009A6CF2" w:rsidRDefault="009A6CF2" w:rsidP="009A6CF2">
      <w:pPr>
        <w:pStyle w:val="ListBullet"/>
        <w:numPr>
          <w:ilvl w:val="1"/>
          <w:numId w:val="1"/>
        </w:numPr>
      </w:pPr>
      <w:r>
        <w:t>Data interpretation in the context of flow and hydraulics that considers</w:t>
      </w:r>
      <w:r w:rsidRPr="008E3CFD">
        <w:t xml:space="preserve"> the current conceptual understanding of </w:t>
      </w:r>
      <w:r>
        <w:t xml:space="preserve">the </w:t>
      </w:r>
      <w:r w:rsidRPr="008E3CFD">
        <w:t>life history</w:t>
      </w:r>
      <w:r>
        <w:t>,</w:t>
      </w:r>
      <w:r w:rsidRPr="008E3CFD">
        <w:t xml:space="preserve"> spawning and recruitment of </w:t>
      </w:r>
      <w:r>
        <w:t>Murray cod</w:t>
      </w:r>
      <w:r w:rsidRPr="008E3CFD">
        <w:t xml:space="preserve"> in the </w:t>
      </w:r>
      <w:r w:rsidRPr="000F53E7">
        <w:t>Lower Murray</w:t>
      </w:r>
      <w:r>
        <w:t>, with comparison to prior years (e.g. LTIM).</w:t>
      </w:r>
    </w:p>
    <w:p w14:paraId="3E373D44" w14:textId="77777777" w:rsidR="009A6CF2" w:rsidRDefault="009A6CF2" w:rsidP="009A6CF2">
      <w:pPr>
        <w:pStyle w:val="ListBullet"/>
        <w:numPr>
          <w:ilvl w:val="1"/>
          <w:numId w:val="1"/>
        </w:numPr>
      </w:pPr>
      <w:r>
        <w:t>Comparison of contemporary size/age structure of Murray cod in the Lower Murray Selected Area to prior years, including LTIM.</w:t>
      </w:r>
    </w:p>
    <w:p w14:paraId="68363710" w14:textId="77777777" w:rsidR="009A6CF2" w:rsidRPr="008E3CFD" w:rsidRDefault="009A6CF2" w:rsidP="009A6CF2">
      <w:pPr>
        <w:pStyle w:val="Heading4"/>
      </w:pPr>
      <w:r w:rsidRPr="008E3CFD">
        <w:t xml:space="preserve">Staff </w:t>
      </w:r>
    </w:p>
    <w:p w14:paraId="51A3268E" w14:textId="49E31879" w:rsidR="009A6CF2" w:rsidRDefault="009A6CF2" w:rsidP="009A6CF2">
      <w:pPr>
        <w:rPr>
          <w:lang w:val="en-US"/>
        </w:rPr>
      </w:pPr>
      <w:r w:rsidRPr="008E3CFD">
        <w:rPr>
          <w:lang w:val="en-US"/>
        </w:rPr>
        <w:t xml:space="preserve">Refer to Section </w:t>
      </w:r>
      <w:r>
        <w:fldChar w:fldCharType="begin"/>
      </w:r>
      <w:r>
        <w:instrText xml:space="preserve"> REF _Ref384722147 \r \h  \* MERGEFORMAT </w:instrText>
      </w:r>
      <w:r>
        <w:fldChar w:fldCharType="separate"/>
      </w:r>
      <w:r w:rsidR="00DF49CD" w:rsidRPr="00DF49CD">
        <w:rPr>
          <w:lang w:val="en-US"/>
        </w:rPr>
        <w:t>5.1.3</w:t>
      </w:r>
      <w:r>
        <w:fldChar w:fldCharType="end"/>
      </w:r>
      <w:r w:rsidRPr="008E3CFD">
        <w:rPr>
          <w:lang w:val="en-US"/>
        </w:rPr>
        <w:t xml:space="preserve"> for staff </w:t>
      </w:r>
      <w:r w:rsidR="00DE3BCB">
        <w:rPr>
          <w:lang w:val="en-US"/>
        </w:rPr>
        <w:t xml:space="preserve">and their </w:t>
      </w:r>
      <w:r w:rsidRPr="008E3CFD">
        <w:rPr>
          <w:lang w:val="en-US"/>
        </w:rPr>
        <w:t>capabilities.</w:t>
      </w:r>
    </w:p>
    <w:p w14:paraId="651F5DCB" w14:textId="5E31FBF3" w:rsidR="00311804" w:rsidRDefault="00311804" w:rsidP="006654EE">
      <w:pPr>
        <w:spacing w:after="200" w:line="276" w:lineRule="auto"/>
        <w:jc w:val="left"/>
        <w:rPr>
          <w:rFonts w:eastAsiaTheme="majorEastAsia" w:cstheme="majorBidi"/>
          <w:b/>
          <w:bCs/>
          <w:color w:val="auto"/>
          <w:sz w:val="26"/>
          <w:szCs w:val="26"/>
        </w:rPr>
      </w:pPr>
      <w:r>
        <w:br w:type="page"/>
      </w:r>
    </w:p>
    <w:p w14:paraId="1C05F225" w14:textId="3C0F106B" w:rsidR="00311804" w:rsidRDefault="00311804" w:rsidP="00311804">
      <w:pPr>
        <w:pStyle w:val="Heading2"/>
      </w:pPr>
      <w:bookmarkStart w:id="160" w:name="_Ref10110123"/>
      <w:bookmarkStart w:id="161" w:name="_Ref10127934"/>
      <w:bookmarkStart w:id="162" w:name="_Ref10130249"/>
      <w:bookmarkStart w:id="163" w:name="_Ref11845127"/>
      <w:bookmarkStart w:id="164" w:name="_Toc22196707"/>
      <w:r>
        <w:lastRenderedPageBreak/>
        <w:t>Contingency monitoring</w:t>
      </w:r>
      <w:bookmarkEnd w:id="160"/>
      <w:bookmarkEnd w:id="161"/>
      <w:bookmarkEnd w:id="162"/>
      <w:bookmarkEnd w:id="163"/>
      <w:bookmarkEnd w:id="164"/>
    </w:p>
    <w:p w14:paraId="0DC043BD" w14:textId="6C453FA1" w:rsidR="002B0A6A" w:rsidRDefault="00867C75" w:rsidP="002B0A6A">
      <w:pPr>
        <w:rPr>
          <w:szCs w:val="22"/>
        </w:rPr>
      </w:pPr>
      <w:r w:rsidRPr="001350AF">
        <w:rPr>
          <w:szCs w:val="22"/>
        </w:rPr>
        <w:t>In addition to the core monitoring (Section</w:t>
      </w:r>
      <w:r>
        <w:rPr>
          <w:szCs w:val="22"/>
        </w:rPr>
        <w:t xml:space="preserve">s </w:t>
      </w:r>
      <w:r>
        <w:rPr>
          <w:szCs w:val="22"/>
        </w:rPr>
        <w:fldChar w:fldCharType="begin"/>
      </w:r>
      <w:r>
        <w:rPr>
          <w:szCs w:val="22"/>
        </w:rPr>
        <w:instrText xml:space="preserve"> REF _Ref10120008 \r \h </w:instrText>
      </w:r>
      <w:r>
        <w:rPr>
          <w:szCs w:val="22"/>
        </w:rPr>
      </w:r>
      <w:r>
        <w:rPr>
          <w:szCs w:val="22"/>
        </w:rPr>
        <w:fldChar w:fldCharType="separate"/>
      </w:r>
      <w:r w:rsidR="00DF49CD">
        <w:rPr>
          <w:szCs w:val="22"/>
        </w:rPr>
        <w:t>5.1</w:t>
      </w:r>
      <w:r>
        <w:rPr>
          <w:szCs w:val="22"/>
        </w:rPr>
        <w:fldChar w:fldCharType="end"/>
      </w:r>
      <w:r>
        <w:rPr>
          <w:szCs w:val="22"/>
        </w:rPr>
        <w:t xml:space="preserve"> and </w:t>
      </w:r>
      <w:r>
        <w:rPr>
          <w:szCs w:val="22"/>
        </w:rPr>
        <w:fldChar w:fldCharType="begin"/>
      </w:r>
      <w:r>
        <w:rPr>
          <w:szCs w:val="22"/>
        </w:rPr>
        <w:instrText xml:space="preserve"> REF _Ref10120011 \r \h </w:instrText>
      </w:r>
      <w:r>
        <w:rPr>
          <w:szCs w:val="22"/>
        </w:rPr>
      </w:r>
      <w:r>
        <w:rPr>
          <w:szCs w:val="22"/>
        </w:rPr>
        <w:fldChar w:fldCharType="separate"/>
      </w:r>
      <w:r w:rsidR="00DF49CD">
        <w:rPr>
          <w:szCs w:val="22"/>
        </w:rPr>
        <w:t>5.2</w:t>
      </w:r>
      <w:r>
        <w:rPr>
          <w:szCs w:val="22"/>
        </w:rPr>
        <w:fldChar w:fldCharType="end"/>
      </w:r>
      <w:r w:rsidRPr="001350AF">
        <w:rPr>
          <w:szCs w:val="22"/>
        </w:rPr>
        <w:t xml:space="preserve">) </w:t>
      </w:r>
      <w:r w:rsidR="002B0A6A" w:rsidRPr="001350AF">
        <w:rPr>
          <w:szCs w:val="22"/>
        </w:rPr>
        <w:t>proposed</w:t>
      </w:r>
      <w:r w:rsidR="002B0A6A">
        <w:rPr>
          <w:szCs w:val="22"/>
        </w:rPr>
        <w:t xml:space="preserve"> for this Selected Area, additional resources have been made available for contingency monitoring. These additional services will be ordered by the CEWO when a need is identified, in response to opportunities and conditions that arise during the project. Contingency monitoring will allow for greater flexibility in undertaking short-</w:t>
      </w:r>
      <w:r w:rsidR="002B0A6A" w:rsidRPr="00E51C73">
        <w:rPr>
          <w:szCs w:val="22"/>
        </w:rPr>
        <w:t xml:space="preserve">term monitoring as needs </w:t>
      </w:r>
      <w:r w:rsidR="002B0A6A">
        <w:rPr>
          <w:szCs w:val="22"/>
        </w:rPr>
        <w:t>and priorities evolve over time,</w:t>
      </w:r>
      <w:r w:rsidR="002B0A6A" w:rsidRPr="00E51C73">
        <w:rPr>
          <w:szCs w:val="22"/>
        </w:rPr>
        <w:t xml:space="preserve"> and</w:t>
      </w:r>
      <w:r w:rsidR="002B0A6A">
        <w:rPr>
          <w:szCs w:val="22"/>
        </w:rPr>
        <w:t xml:space="preserve"> to allow the CEWO to o</w:t>
      </w:r>
      <w:r w:rsidR="002B0A6A" w:rsidRPr="00E51C73">
        <w:rPr>
          <w:szCs w:val="22"/>
        </w:rPr>
        <w:t xml:space="preserve">btain additional scientific advice as needed to inform environmental water </w:t>
      </w:r>
      <w:r w:rsidR="002B0A6A">
        <w:rPr>
          <w:szCs w:val="22"/>
        </w:rPr>
        <w:t xml:space="preserve">use </w:t>
      </w:r>
      <w:r w:rsidR="002B0A6A" w:rsidRPr="00E51C73">
        <w:rPr>
          <w:szCs w:val="22"/>
        </w:rPr>
        <w:t>planning and management.</w:t>
      </w:r>
      <w:r w:rsidR="002B0A6A">
        <w:rPr>
          <w:szCs w:val="22"/>
        </w:rPr>
        <w:t xml:space="preserve"> Summaries of potential contingency monitoring activities are presented below</w:t>
      </w:r>
      <w:r w:rsidR="009A5811">
        <w:rPr>
          <w:szCs w:val="22"/>
        </w:rPr>
        <w:t xml:space="preserve">, and in </w:t>
      </w:r>
      <w:r w:rsidR="009A5811">
        <w:rPr>
          <w:szCs w:val="22"/>
        </w:rPr>
        <w:fldChar w:fldCharType="begin"/>
      </w:r>
      <w:r w:rsidR="009A5811">
        <w:rPr>
          <w:szCs w:val="22"/>
        </w:rPr>
        <w:instrText xml:space="preserve"> REF _Ref10119982 \h </w:instrText>
      </w:r>
      <w:r w:rsidR="009A5811">
        <w:rPr>
          <w:szCs w:val="22"/>
        </w:rPr>
      </w:r>
      <w:r w:rsidR="009A5811">
        <w:rPr>
          <w:szCs w:val="22"/>
        </w:rPr>
        <w:fldChar w:fldCharType="separate"/>
      </w:r>
      <w:r w:rsidR="00DF49CD">
        <w:t xml:space="preserve">Table </w:t>
      </w:r>
      <w:r w:rsidR="00DF49CD">
        <w:rPr>
          <w:noProof/>
        </w:rPr>
        <w:t>5</w:t>
      </w:r>
      <w:r w:rsidR="00DF49CD">
        <w:t>.</w:t>
      </w:r>
      <w:r w:rsidR="00DF49CD">
        <w:rPr>
          <w:noProof/>
        </w:rPr>
        <w:t>2</w:t>
      </w:r>
      <w:r w:rsidR="009A5811">
        <w:rPr>
          <w:szCs w:val="22"/>
        </w:rPr>
        <w:fldChar w:fldCharType="end"/>
      </w:r>
      <w:r w:rsidR="002B0A6A">
        <w:rPr>
          <w:szCs w:val="22"/>
        </w:rPr>
        <w:t>, in</w:t>
      </w:r>
      <w:r w:rsidR="009A5811">
        <w:rPr>
          <w:szCs w:val="22"/>
        </w:rPr>
        <w:t>cluding background, the need,</w:t>
      </w:r>
      <w:r w:rsidR="002B0A6A" w:rsidRPr="004A046B">
        <w:rPr>
          <w:szCs w:val="22"/>
        </w:rPr>
        <w:t xml:space="preserve"> </w:t>
      </w:r>
      <w:r w:rsidR="002B0A6A">
        <w:rPr>
          <w:szCs w:val="22"/>
        </w:rPr>
        <w:t>monitoring approach</w:t>
      </w:r>
      <w:r w:rsidR="009A5811">
        <w:rPr>
          <w:szCs w:val="22"/>
        </w:rPr>
        <w:t xml:space="preserve"> and indicative budget</w:t>
      </w:r>
      <w:r w:rsidR="002B0A6A">
        <w:rPr>
          <w:szCs w:val="22"/>
        </w:rPr>
        <w:t>. Contingency monitoring, however, is not limited to these proposals; any activities proposed to be undertaken will be further outlined and submitted for approval at the request of the CEWO via the work order template and process set out in the MER</w:t>
      </w:r>
      <w:r w:rsidR="00466CA7">
        <w:rPr>
          <w:szCs w:val="22"/>
        </w:rPr>
        <w:t xml:space="preserve"> Project</w:t>
      </w:r>
      <w:r w:rsidR="002B0A6A">
        <w:rPr>
          <w:szCs w:val="22"/>
        </w:rPr>
        <w:t xml:space="preserve"> contract.</w:t>
      </w:r>
    </w:p>
    <w:p w14:paraId="06C160C7" w14:textId="7EBFA6DB" w:rsidR="00753829" w:rsidRDefault="009E0735" w:rsidP="00753829">
      <w:pPr>
        <w:pStyle w:val="Heading3"/>
      </w:pPr>
      <w:bookmarkStart w:id="165" w:name="_Toc22196708"/>
      <w:r>
        <w:t>Spawning and natal origin of f</w:t>
      </w:r>
      <w:r w:rsidR="00D6538F">
        <w:t>low-cued Spawning Fishes</w:t>
      </w:r>
      <w:bookmarkEnd w:id="165"/>
    </w:p>
    <w:p w14:paraId="251B7A4D" w14:textId="48EC4A84" w:rsidR="00867C75" w:rsidRDefault="00867C75" w:rsidP="00867C75">
      <w:r>
        <w:t>Under LTIM, the contribution of environmental water to the reproduction of flow-cued spawning fishes was investigated. L</w:t>
      </w:r>
      <w:r w:rsidRPr="00A7355D">
        <w:t>ow</w:t>
      </w:r>
      <w:r>
        <w:t>,</w:t>
      </w:r>
      <w:r w:rsidRPr="00A7355D">
        <w:t xml:space="preserve"> </w:t>
      </w:r>
      <w:r>
        <w:t>in-channel flows (&lt;18,000 ML/d</w:t>
      </w:r>
      <w:r w:rsidRPr="00A7355D">
        <w:t>)</w:t>
      </w:r>
      <w:r>
        <w:t xml:space="preserve"> occurred for four of the five years and were associated with negligible recruitment</w:t>
      </w:r>
      <w:r w:rsidRPr="00A7355D">
        <w:t xml:space="preserve"> </w:t>
      </w:r>
      <w:r>
        <w:t xml:space="preserve">of </w:t>
      </w:r>
      <w:r w:rsidRPr="00A7355D">
        <w:t>golden perch.</w:t>
      </w:r>
      <w:r>
        <w:t xml:space="preserve"> High, overbank flows (&gt;90,000 ML/d) that occurred in the remaining year were also associated with negligible recruitment, although survival of eggs and larvae may have been impacted by hypoxia.</w:t>
      </w:r>
    </w:p>
    <w:p w14:paraId="4A235CEA" w14:textId="7AA0D984" w:rsidR="006018FE" w:rsidRDefault="006018FE" w:rsidP="006018FE">
      <w:r>
        <w:t>Spring–</w:t>
      </w:r>
      <w:r w:rsidRPr="00CE477F">
        <w:t>early summer ‘in-channel’ increases in di</w:t>
      </w:r>
      <w:r>
        <w:t>scharge (20,000–45,000 ML/d</w:t>
      </w:r>
      <w:r w:rsidRPr="00CE477F">
        <w:t xml:space="preserve">) </w:t>
      </w:r>
      <w:r>
        <w:t xml:space="preserve">were once a key feature of the natural hydrograph, but </w:t>
      </w:r>
      <w:r w:rsidRPr="00CE477F">
        <w:t>are conspicuously absent from the contemporary flow regime.</w:t>
      </w:r>
      <w:r>
        <w:t xml:space="preserve"> We hypothesise that increased</w:t>
      </w:r>
      <w:r w:rsidRPr="00992190">
        <w:t xml:space="preserve"> spring–s</w:t>
      </w:r>
      <w:r>
        <w:t>ummer flow (nominally &gt;20,000 </w:t>
      </w:r>
      <w:r w:rsidRPr="00992190">
        <w:t>ML</w:t>
      </w:r>
      <w:r w:rsidR="001F661A">
        <w:t>/d</w:t>
      </w:r>
      <w:r>
        <w:t>)</w:t>
      </w:r>
      <w:r w:rsidRPr="00992190">
        <w:t xml:space="preserve"> will promote the spawning and recruitment (to YOY) of golden perch and silver perch</w:t>
      </w:r>
      <w:r>
        <w:t xml:space="preserve">. </w:t>
      </w:r>
    </w:p>
    <w:p w14:paraId="0A9AA334" w14:textId="1C0C1D39" w:rsidR="00E81ABF" w:rsidRDefault="006018FE" w:rsidP="006018FE">
      <w:pPr>
        <w:rPr>
          <w:szCs w:val="22"/>
        </w:rPr>
      </w:pPr>
      <w:r>
        <w:t xml:space="preserve">We propose to assess recruitment of golden perch and silver perch through annual electrofishing as a core monitoring activity </w:t>
      </w:r>
      <w:r w:rsidR="00CD0525">
        <w:t>(</w:t>
      </w:r>
      <w:r w:rsidR="008C1585" w:rsidRPr="008C1585">
        <w:rPr>
          <w:i/>
        </w:rPr>
        <w:t>Flow-cued Spawning Fish Recruitment</w:t>
      </w:r>
      <w:r w:rsidR="00CD0525">
        <w:rPr>
          <w:i/>
        </w:rPr>
        <w:t>,</w:t>
      </w:r>
      <w:r w:rsidRPr="009B1BF8">
        <w:t xml:space="preserve"> </w:t>
      </w:r>
      <w:r w:rsidR="00C450EA">
        <w:t xml:space="preserve">Section </w:t>
      </w:r>
      <w:r w:rsidR="00C450EA">
        <w:fldChar w:fldCharType="begin"/>
      </w:r>
      <w:r w:rsidR="00C450EA">
        <w:instrText xml:space="preserve"> REF _Ref12003582 \r \h </w:instrText>
      </w:r>
      <w:r w:rsidR="00C450EA">
        <w:fldChar w:fldCharType="separate"/>
      </w:r>
      <w:r w:rsidR="00DF49CD">
        <w:t>5.2.5</w:t>
      </w:r>
      <w:r w:rsidR="00C450EA">
        <w:fldChar w:fldCharType="end"/>
      </w:r>
      <w:r w:rsidR="00C450EA">
        <w:t>)</w:t>
      </w:r>
      <w:r w:rsidR="00753829" w:rsidRPr="009B1BF8">
        <w:t>,</w:t>
      </w:r>
      <w:r w:rsidR="00753829">
        <w:t xml:space="preserve"> </w:t>
      </w:r>
      <w:r w:rsidR="00940929">
        <w:t>but assessment of</w:t>
      </w:r>
      <w:r w:rsidR="00867C75">
        <w:t xml:space="preserve"> spawning </w:t>
      </w:r>
      <w:r w:rsidR="0079050F">
        <w:t>and natal origin</w:t>
      </w:r>
      <w:r w:rsidR="00867C75">
        <w:t xml:space="preserve"> </w:t>
      </w:r>
      <w:r w:rsidR="007F5E8E">
        <w:t xml:space="preserve">of new recruits </w:t>
      </w:r>
      <w:r w:rsidR="002B0A6A">
        <w:t>would</w:t>
      </w:r>
      <w:r w:rsidR="00867C75">
        <w:t xml:space="preserve"> be contingent upon receiving flows  that are likely to promote recruitment (i.e. &gt;20,000 ML/d). Collecting data at flows of these magnitude will address a substantial hydro-ecological knowledge gap for </w:t>
      </w:r>
      <w:r w:rsidR="000D5A79">
        <w:t>golden perch</w:t>
      </w:r>
      <w:r w:rsidR="00867C75">
        <w:t xml:space="preserve"> and </w:t>
      </w:r>
      <w:r w:rsidR="000D5A79">
        <w:t>silver perch</w:t>
      </w:r>
      <w:r w:rsidR="00867C75">
        <w:t xml:space="preserve"> population dynamics in the </w:t>
      </w:r>
      <w:r w:rsidR="00C204F9">
        <w:t>Lower Murray</w:t>
      </w:r>
      <w:r w:rsidR="00867C75">
        <w:t xml:space="preserve">. </w:t>
      </w:r>
      <w:r w:rsidR="002B0A6A">
        <w:t xml:space="preserve"> </w:t>
      </w:r>
      <w:r w:rsidR="002B0A6A" w:rsidRPr="008E6ED5">
        <w:rPr>
          <w:szCs w:val="22"/>
        </w:rPr>
        <w:t xml:space="preserve">Under </w:t>
      </w:r>
      <w:r w:rsidR="002B0A6A">
        <w:rPr>
          <w:szCs w:val="22"/>
        </w:rPr>
        <w:t xml:space="preserve">the </w:t>
      </w:r>
      <w:r w:rsidR="002B0A6A" w:rsidRPr="008E6ED5">
        <w:rPr>
          <w:szCs w:val="22"/>
        </w:rPr>
        <w:t>scenario</w:t>
      </w:r>
      <w:r w:rsidR="002B0A6A">
        <w:rPr>
          <w:szCs w:val="22"/>
        </w:rPr>
        <w:t xml:space="preserve"> of</w:t>
      </w:r>
      <w:r w:rsidR="002B0A6A" w:rsidRPr="008E6ED5">
        <w:rPr>
          <w:szCs w:val="22"/>
        </w:rPr>
        <w:t xml:space="preserve"> a higher spring–summer in-channel or </w:t>
      </w:r>
      <w:r w:rsidR="002B0A6A">
        <w:rPr>
          <w:szCs w:val="22"/>
        </w:rPr>
        <w:t>overbank flow</w:t>
      </w:r>
      <w:r w:rsidR="002B0A6A" w:rsidRPr="008E6ED5">
        <w:rPr>
          <w:szCs w:val="22"/>
        </w:rPr>
        <w:t xml:space="preserve"> (&gt;20,000 ML/d), golden perch spawning and recruitment monitoring </w:t>
      </w:r>
      <w:r w:rsidR="002B0A6A">
        <w:rPr>
          <w:szCs w:val="22"/>
        </w:rPr>
        <w:t>is a</w:t>
      </w:r>
      <w:r w:rsidR="002B0A6A" w:rsidRPr="008E6ED5">
        <w:rPr>
          <w:szCs w:val="22"/>
        </w:rPr>
        <w:t xml:space="preserve"> priority for</w:t>
      </w:r>
      <w:r w:rsidR="002B0A6A">
        <w:rPr>
          <w:szCs w:val="22"/>
        </w:rPr>
        <w:t xml:space="preserve"> contingency monitoring in</w:t>
      </w:r>
      <w:r w:rsidR="002B0A6A" w:rsidRPr="008E6ED5">
        <w:rPr>
          <w:szCs w:val="22"/>
        </w:rPr>
        <w:t xml:space="preserve"> the Lower Murray.</w:t>
      </w:r>
    </w:p>
    <w:p w14:paraId="2205BC72" w14:textId="25A3AF62" w:rsidR="00940929" w:rsidRDefault="00940929" w:rsidP="006018FE">
      <w:r>
        <w:rPr>
          <w:szCs w:val="22"/>
        </w:rPr>
        <w:t xml:space="preserve">The additional question for evaluating short-term responses to Commonwealth environmental water delivery for the </w:t>
      </w:r>
      <w:r w:rsidR="008C1585" w:rsidRPr="008C1585">
        <w:rPr>
          <w:i/>
          <w:szCs w:val="22"/>
        </w:rPr>
        <w:t>Flow-cued Spawning Fish Recruitment</w:t>
      </w:r>
      <w:r>
        <w:rPr>
          <w:szCs w:val="22"/>
        </w:rPr>
        <w:t xml:space="preserve"> indicator is: What did Commonwealth environmental water contribute to the spawning of golden perch and silver perch?  </w:t>
      </w:r>
    </w:p>
    <w:p w14:paraId="4541A83A" w14:textId="5A8D3D15" w:rsidR="00753829" w:rsidRDefault="00E81ABF" w:rsidP="006018FE">
      <w:r>
        <w:t>If flow</w:t>
      </w:r>
      <w:r w:rsidR="001F661A">
        <w:t>s remain &lt;20,000 ML/d over the three</w:t>
      </w:r>
      <w:r>
        <w:t xml:space="preserve">-year MER Project period, </w:t>
      </w:r>
      <w:r w:rsidR="00244B1E" w:rsidRPr="00244B1E">
        <w:t xml:space="preserve">natal origin and migration history of dominant cohorts of golden perch and silver perch in the </w:t>
      </w:r>
      <w:r w:rsidR="00344884">
        <w:t>Lower Murray</w:t>
      </w:r>
      <w:r w:rsidR="00244B1E" w:rsidRPr="00244B1E">
        <w:t xml:space="preserve"> </w:t>
      </w:r>
      <w:r w:rsidR="002B0A6A">
        <w:t xml:space="preserve">may be investigated </w:t>
      </w:r>
      <w:r w:rsidR="00244B1E">
        <w:t xml:space="preserve">by </w:t>
      </w:r>
      <w:r w:rsidR="00244B1E" w:rsidRPr="00244B1E">
        <w:t>analys</w:t>
      </w:r>
      <w:r w:rsidR="00244B1E">
        <w:t>ing</w:t>
      </w:r>
      <w:r w:rsidR="00244B1E" w:rsidRPr="00244B1E">
        <w:t xml:space="preserve"> </w:t>
      </w:r>
      <w:r w:rsidR="00244B1E" w:rsidRPr="00244B1E">
        <w:rPr>
          <w:vertAlign w:val="superscript"/>
        </w:rPr>
        <w:t>87</w:t>
      </w:r>
      <w:r w:rsidR="00244B1E" w:rsidRPr="00244B1E">
        <w:t>Sr/</w:t>
      </w:r>
      <w:r w:rsidR="00244B1E" w:rsidRPr="00244B1E">
        <w:rPr>
          <w:vertAlign w:val="superscript"/>
        </w:rPr>
        <w:t>86</w:t>
      </w:r>
      <w:r w:rsidR="00244B1E" w:rsidRPr="00244B1E">
        <w:t xml:space="preserve">Sr from the otolith core to edge </w:t>
      </w:r>
      <w:r w:rsidR="004D76E1">
        <w:t xml:space="preserve">using otoliths collected </w:t>
      </w:r>
      <w:r w:rsidR="00244B1E">
        <w:t xml:space="preserve">through </w:t>
      </w:r>
      <w:r w:rsidR="00244B1E" w:rsidRPr="00244B1E">
        <w:rPr>
          <w:i/>
        </w:rPr>
        <w:t>Fish (Channel)</w:t>
      </w:r>
      <w:r w:rsidR="00244B1E">
        <w:t xml:space="preserve"> and </w:t>
      </w:r>
      <w:r w:rsidR="00244B1E" w:rsidRPr="00244B1E">
        <w:rPr>
          <w:i/>
        </w:rPr>
        <w:t>Murray Cod Recruitment</w:t>
      </w:r>
      <w:r w:rsidR="00244B1E">
        <w:t xml:space="preserve"> electrofishing</w:t>
      </w:r>
      <w:r w:rsidR="00244B1E" w:rsidRPr="00244B1E">
        <w:t xml:space="preserve">. We </w:t>
      </w:r>
      <w:r w:rsidR="002B0A6A">
        <w:t>would</w:t>
      </w:r>
      <w:r w:rsidR="00244B1E">
        <w:t xml:space="preserve"> </w:t>
      </w:r>
      <w:r w:rsidR="00867C75">
        <w:t>compare</w:t>
      </w:r>
      <w:r w:rsidR="00244B1E" w:rsidRPr="00244B1E">
        <w:t xml:space="preserve"> these transects to water </w:t>
      </w:r>
      <w:r w:rsidR="00244B1E" w:rsidRPr="00244B1E">
        <w:rPr>
          <w:vertAlign w:val="superscript"/>
        </w:rPr>
        <w:t>87</w:t>
      </w:r>
      <w:r w:rsidR="00244B1E" w:rsidRPr="00244B1E">
        <w:t>Sr/</w:t>
      </w:r>
      <w:r w:rsidR="00244B1E" w:rsidRPr="00244B1E">
        <w:rPr>
          <w:vertAlign w:val="superscript"/>
        </w:rPr>
        <w:t>86</w:t>
      </w:r>
      <w:r w:rsidR="00244B1E" w:rsidRPr="00244B1E">
        <w:t>Sr measured</w:t>
      </w:r>
      <w:r w:rsidR="00244B1E">
        <w:t xml:space="preserve"> at sites across the southern MDB</w:t>
      </w:r>
      <w:r w:rsidR="00244B1E" w:rsidRPr="00244B1E">
        <w:t xml:space="preserve"> </w:t>
      </w:r>
      <w:r w:rsidR="00244B1E">
        <w:t>during spring–summer 2021-22 and from</w:t>
      </w:r>
      <w:r w:rsidR="00244B1E" w:rsidRPr="00244B1E">
        <w:t xml:space="preserve"> 2011–2018</w:t>
      </w:r>
      <w:r w:rsidR="00244B1E">
        <w:t>.</w:t>
      </w:r>
      <w:r w:rsidR="005B5E29">
        <w:t xml:space="preserve"> See the last LTIM annual report for the Lower Murray (Ye </w:t>
      </w:r>
      <w:r w:rsidR="005B5E29" w:rsidRPr="00524492">
        <w:rPr>
          <w:i/>
        </w:rPr>
        <w:t>et al.</w:t>
      </w:r>
      <w:r w:rsidR="005B5E29">
        <w:t xml:space="preserve"> </w:t>
      </w:r>
      <w:r w:rsidR="00524492" w:rsidRPr="00524492">
        <w:t>2019</w:t>
      </w:r>
      <w:r w:rsidR="005B5E29">
        <w:t>) for details.</w:t>
      </w:r>
    </w:p>
    <w:p w14:paraId="17AC3E86" w14:textId="117D18DB" w:rsidR="006018FE" w:rsidRPr="00AE541B" w:rsidRDefault="006018FE" w:rsidP="006018FE">
      <w:pPr>
        <w:pStyle w:val="Heading3"/>
      </w:pPr>
      <w:bookmarkStart w:id="166" w:name="_Toc22196709"/>
      <w:r>
        <w:t>Stream metabolism (high flow)</w:t>
      </w:r>
      <w:bookmarkEnd w:id="166"/>
    </w:p>
    <w:p w14:paraId="29858A11" w14:textId="544E4146" w:rsidR="004C4837" w:rsidRDefault="004C4837" w:rsidP="004C4837">
      <w:pPr>
        <w:rPr>
          <w:szCs w:val="22"/>
        </w:rPr>
      </w:pPr>
      <w:r>
        <w:rPr>
          <w:szCs w:val="22"/>
        </w:rPr>
        <w:t xml:space="preserve">Increased flows that result in expanding connections between the river and its littoral zone and floodplain have major impacts on stream metabolism. Under some scenarios, the movement of shallow waters across the floodplain can enhance the production of microorganisms that form a potential food source for larger organisms, either directly on the floodplain or on return to the river. However, if the conditions within the river are not conducive to the continued growth of these </w:t>
      </w:r>
      <w:r>
        <w:rPr>
          <w:szCs w:val="22"/>
        </w:rPr>
        <w:lastRenderedPageBreak/>
        <w:t xml:space="preserve">organisms then their decomposition can remove oxygen from the water column. If oxygen loss is not replaced by gas transfer from the atmosphere, or the production of oxygen by photosynthesis then dissolved oxygen concentrations decline. This process is enhanced if the floodplain inflows contain dissolved and particulate organic matter of terrestrial origin. This detrital material is not often a useful food resource for microorganisms and instead is decomposed by microbes including bacteria and fungi. The decomposition of organic materials from the floodplain can greatly enhance reductions in dissolved oxygen concentrations and may result in “black water” events where oxygen concentrations are below levels required for the support of aquatic plants and animals. </w:t>
      </w:r>
    </w:p>
    <w:p w14:paraId="3530BB13" w14:textId="2BC579D6" w:rsidR="004C4837" w:rsidRPr="00962CE4" w:rsidRDefault="000150F2" w:rsidP="004C4837">
      <w:r w:rsidRPr="000150F2">
        <w:rPr>
          <w:szCs w:val="22"/>
        </w:rPr>
        <w:t>If these conditions are expected to occur, there is potential to increase the dissolved oxygen monitoring to include an extra site below the entry of Chowilla Creek, which is expected to reflect the influence of the return flow from the Chowilla Floodplain. This  extra site, along with the below Lock 4 site, will require more detailed information on water quality and the associated communities of micro-organisms than the standard monitoring sites (i.e. below Lock 1 and 6). Data collected will inform on the influence of overbank flows on production and decomposition within the river channel</w:t>
      </w:r>
      <w:r>
        <w:rPr>
          <w:szCs w:val="22"/>
        </w:rPr>
        <w:t>.</w:t>
      </w:r>
    </w:p>
    <w:p w14:paraId="557469D9" w14:textId="77777777" w:rsidR="00867C75" w:rsidRPr="00AE541B" w:rsidRDefault="00867C75" w:rsidP="00867C75">
      <w:pPr>
        <w:pStyle w:val="Heading3"/>
      </w:pPr>
      <w:bookmarkStart w:id="167" w:name="_Toc22196710"/>
      <w:r w:rsidRPr="00AE541B">
        <w:t>Hypoxia risk</w:t>
      </w:r>
      <w:bookmarkEnd w:id="167"/>
    </w:p>
    <w:p w14:paraId="038256ED" w14:textId="59143674" w:rsidR="001B1333" w:rsidRPr="00AE541B" w:rsidRDefault="001B1333" w:rsidP="001B1333">
      <w:pPr>
        <w:rPr>
          <w:szCs w:val="22"/>
        </w:rPr>
      </w:pPr>
      <w:r w:rsidRPr="00AE541B">
        <w:rPr>
          <w:szCs w:val="22"/>
        </w:rPr>
        <w:t>Hypoxia risk can eventuate under low flow when sediment oxygen demand and biological oxygen demand from microbes and phytoplankton in the pelagic zone exceed the rate of supply of oxygen from photosynthesis and the atmosphere to the water column.</w:t>
      </w:r>
    </w:p>
    <w:p w14:paraId="3A056F79" w14:textId="22C0D4F3" w:rsidR="00753829" w:rsidRPr="00AE541B" w:rsidRDefault="001B1333" w:rsidP="00753829">
      <w:pPr>
        <w:rPr>
          <w:szCs w:val="22"/>
        </w:rPr>
      </w:pPr>
      <w:r w:rsidRPr="00AE541B">
        <w:rPr>
          <w:szCs w:val="22"/>
        </w:rPr>
        <w:t>If low flow conditions persist</w:t>
      </w:r>
      <w:r>
        <w:rPr>
          <w:szCs w:val="22"/>
        </w:rPr>
        <w:t>,</w:t>
      </w:r>
      <w:r w:rsidRPr="00AE541B">
        <w:rPr>
          <w:szCs w:val="22"/>
        </w:rPr>
        <w:t xml:space="preserve"> then contingency monitoring could occur at key sites in the main channel of the Lower Murray Selected Area, for example the weir pools above the locks where the water velocity is lowest. Monitoring would include deployment of </w:t>
      </w:r>
      <w:r>
        <w:rPr>
          <w:szCs w:val="22"/>
        </w:rPr>
        <w:t>o</w:t>
      </w:r>
      <w:r w:rsidRPr="00AE541B">
        <w:rPr>
          <w:szCs w:val="22"/>
        </w:rPr>
        <w:t xml:space="preserve">xygen loggers and routine depth-profiles to determine if there is oxygen stratification at the key sites. Data collected will inform real time and future management of flow and environmental water delivery to mitigate hypoxia risk in the weir pools of the Lower Murray, and </w:t>
      </w:r>
      <w:r>
        <w:rPr>
          <w:szCs w:val="22"/>
        </w:rPr>
        <w:t xml:space="preserve">will </w:t>
      </w:r>
      <w:r w:rsidRPr="00AE541B">
        <w:rPr>
          <w:szCs w:val="22"/>
        </w:rPr>
        <w:t>contribute to the evaluation of ecological outcomes from Commonweal</w:t>
      </w:r>
      <w:r>
        <w:rPr>
          <w:szCs w:val="22"/>
        </w:rPr>
        <w:t>th environmental water delivery</w:t>
      </w:r>
      <w:r w:rsidR="00753829" w:rsidRPr="00AE541B">
        <w:rPr>
          <w:szCs w:val="22"/>
        </w:rPr>
        <w:t>.</w:t>
      </w:r>
    </w:p>
    <w:p w14:paraId="7D9257EF" w14:textId="77777777" w:rsidR="00753829" w:rsidRPr="00AE541B" w:rsidRDefault="00753829" w:rsidP="00753829">
      <w:pPr>
        <w:pStyle w:val="Heading3"/>
      </w:pPr>
      <w:bookmarkStart w:id="168" w:name="_Toc22196711"/>
      <w:r w:rsidRPr="00AE541B">
        <w:t>Cyanobacteria risk</w:t>
      </w:r>
      <w:bookmarkEnd w:id="168"/>
    </w:p>
    <w:p w14:paraId="556D3C82" w14:textId="77777777" w:rsidR="001B1333" w:rsidRPr="00AE541B" w:rsidRDefault="001B1333" w:rsidP="001B1333">
      <w:pPr>
        <w:rPr>
          <w:szCs w:val="22"/>
        </w:rPr>
      </w:pPr>
      <w:r w:rsidRPr="00AE541B">
        <w:rPr>
          <w:szCs w:val="22"/>
        </w:rPr>
        <w:t>Cyanobacteria risk can also occur when flow is low enough to allow stratification to persist in the main river channel. Under calm, stable, stratified conditions gas vesicles in the cyanobacteria enable the colonies to flow to the surface where they can access adequate light to grow, while denser phytoplankton tend to sediment away from the illuminated surface waters.</w:t>
      </w:r>
    </w:p>
    <w:p w14:paraId="45A37DB5" w14:textId="2C85DE2E" w:rsidR="00753829" w:rsidRPr="00AE541B" w:rsidRDefault="001B1333" w:rsidP="001B1333">
      <w:pPr>
        <w:rPr>
          <w:szCs w:val="22"/>
        </w:rPr>
      </w:pPr>
      <w:r w:rsidRPr="00AE541B">
        <w:rPr>
          <w:szCs w:val="22"/>
        </w:rPr>
        <w:t xml:space="preserve">The critical flow velocity necessary to disrupt temperature stratification has been determined in a number of rivers through both deployment of thermistors and by modelling the hydrodynamics. This monitoring </w:t>
      </w:r>
      <w:r w:rsidR="002B0A6A">
        <w:rPr>
          <w:szCs w:val="22"/>
        </w:rPr>
        <w:t>would</w:t>
      </w:r>
      <w:r w:rsidRPr="00AE541B">
        <w:rPr>
          <w:szCs w:val="22"/>
        </w:rPr>
        <w:t xml:space="preserve"> include depth distributed thermistors at key sites including weir pools and key connected wetland complexes where thermal stratification may occur and cyanobacterial blooms may originate. In collaboration with SA Water the phytoplankton community </w:t>
      </w:r>
      <w:r w:rsidR="002B0A6A">
        <w:rPr>
          <w:szCs w:val="22"/>
        </w:rPr>
        <w:t>would</w:t>
      </w:r>
      <w:r w:rsidRPr="00AE541B">
        <w:rPr>
          <w:szCs w:val="22"/>
        </w:rPr>
        <w:t xml:space="preserve"> be monitored and when problematic cyanobacteria are detected more intensive sampling </w:t>
      </w:r>
      <w:r w:rsidR="002B0A6A">
        <w:rPr>
          <w:szCs w:val="22"/>
        </w:rPr>
        <w:t>would</w:t>
      </w:r>
      <w:r w:rsidRPr="00AE541B">
        <w:rPr>
          <w:szCs w:val="22"/>
        </w:rPr>
        <w:t xml:space="preserve"> commence. Data collected </w:t>
      </w:r>
      <w:r w:rsidR="002B0A6A">
        <w:rPr>
          <w:szCs w:val="22"/>
        </w:rPr>
        <w:t>would</w:t>
      </w:r>
      <w:r w:rsidRPr="00AE541B">
        <w:rPr>
          <w:szCs w:val="22"/>
        </w:rPr>
        <w:t xml:space="preserve"> inform real time and future management of flow and environmental water delivery to mitigate cyanobacteria risk in the weir pools of the Lower Murray, and contribute to the evaluation of ecological outcomes from Commonwealth environmental water delivery</w:t>
      </w:r>
      <w:r w:rsidR="00753829" w:rsidRPr="00AE541B">
        <w:rPr>
          <w:szCs w:val="22"/>
        </w:rPr>
        <w:t>.</w:t>
      </w:r>
    </w:p>
    <w:p w14:paraId="2C1A5E66" w14:textId="693D9E76" w:rsidR="00753829" w:rsidRDefault="00A168C8" w:rsidP="00753829">
      <w:pPr>
        <w:pStyle w:val="Heading3"/>
      </w:pPr>
      <w:bookmarkStart w:id="169" w:name="_Toc22196712"/>
      <w:r>
        <w:t>Seed/egg b</w:t>
      </w:r>
      <w:r w:rsidR="00753829">
        <w:t>ank baseline assessment</w:t>
      </w:r>
      <w:bookmarkEnd w:id="169"/>
      <w:r w:rsidR="00753829">
        <w:t xml:space="preserve"> </w:t>
      </w:r>
    </w:p>
    <w:p w14:paraId="4FA506DD" w14:textId="2AD8CAC3" w:rsidR="001B1333" w:rsidRDefault="00F3751F" w:rsidP="001B1333">
      <w:r>
        <w:t>E</w:t>
      </w:r>
      <w:r w:rsidR="001B1333">
        <w:t>valuation questions</w:t>
      </w:r>
      <w:r>
        <w:t xml:space="preserve"> for long-term outcomes</w:t>
      </w:r>
      <w:r w:rsidR="001B1333">
        <w:t xml:space="preserve"> for the </w:t>
      </w:r>
      <w:r w:rsidR="00567A10" w:rsidRPr="00567A10">
        <w:rPr>
          <w:i/>
        </w:rPr>
        <w:t>Littoral Vegetation Diversity and Productivity</w:t>
      </w:r>
      <w:r w:rsidR="001B1333">
        <w:t xml:space="preserve"> and </w:t>
      </w:r>
      <w:r w:rsidR="00567A10" w:rsidRPr="00567A10">
        <w:rPr>
          <w:i/>
        </w:rPr>
        <w:t>M</w:t>
      </w:r>
      <w:r w:rsidR="001B1333" w:rsidRPr="00567A10">
        <w:rPr>
          <w:i/>
        </w:rPr>
        <w:t>icroinvertebrate</w:t>
      </w:r>
      <w:r w:rsidR="00567A10" w:rsidRPr="00567A10">
        <w:rPr>
          <w:i/>
        </w:rPr>
        <w:t xml:space="preserve"> Assemblage</w:t>
      </w:r>
      <w:r w:rsidR="001B1333">
        <w:t xml:space="preserve"> </w:t>
      </w:r>
      <w:r>
        <w:t xml:space="preserve">(see below) </w:t>
      </w:r>
      <w:r w:rsidR="001B1333">
        <w:t xml:space="preserve">involve measuring Commonwealth environmental water contribution to resilience. The ability of plant and microinvertebrate communities to respond to changes in water level and recover after disturbance is largely due to seed and dormant or resting eggs deposited on dry areas of the river bank and floodplain. Under low flow conditions, only limited </w:t>
      </w:r>
      <w:r w:rsidR="001B1333">
        <w:lastRenderedPageBreak/>
        <w:t xml:space="preserve">areas of the littoral zone and floodplain are inundated. It is anticipated that improved flow regime contributed by Commonwealth environmental water over years will help replenish seed and egg banks in these areas either by facilitating seed/egg dispersal into ‘new’ areas or by improved reproduction of mature organisms locally. </w:t>
      </w:r>
    </w:p>
    <w:p w14:paraId="0AA43A23" w14:textId="26A85EE2" w:rsidR="00753829" w:rsidRDefault="001B1333" w:rsidP="001B1333">
      <w:r>
        <w:t>Sediment samples could be collected in the first year of the project at vegetation monitoring sites by the vegetation team, dried and stored to be assessed at a later date to gain an indication of the “baseline” seed and egg bank. Sediment samples could be collected at a later date to compare with the “baseline” to determine how the seed and egg banks have changed and evaluate the contribution of Commonwealth environmental water</w:t>
      </w:r>
      <w:r w:rsidR="00753829">
        <w:t>.</w:t>
      </w:r>
    </w:p>
    <w:p w14:paraId="10D44DB6" w14:textId="2C998B46" w:rsidR="00F3751F" w:rsidRDefault="00F3751F" w:rsidP="001B1333">
      <w:r>
        <w:t>Evaluation questions for long-term outcomes</w:t>
      </w:r>
      <w:r w:rsidR="00A508B6">
        <w:t xml:space="preserve"> for </w:t>
      </w:r>
      <w:r w:rsidR="00A508B6" w:rsidRPr="00AC45B9">
        <w:rPr>
          <w:i/>
        </w:rPr>
        <w:t xml:space="preserve">Littoral </w:t>
      </w:r>
      <w:r w:rsidR="00A508B6">
        <w:rPr>
          <w:i/>
        </w:rPr>
        <w:t xml:space="preserve">Vegetation </w:t>
      </w:r>
      <w:r w:rsidR="00A508B6" w:rsidRPr="00AC45B9">
        <w:rPr>
          <w:i/>
        </w:rPr>
        <w:t>Diversity and Productivity</w:t>
      </w:r>
      <w:r w:rsidR="00A508B6">
        <w:t xml:space="preserve"> and </w:t>
      </w:r>
      <w:r w:rsidR="00A508B6" w:rsidRPr="00AC45B9">
        <w:rPr>
          <w:i/>
        </w:rPr>
        <w:t>Microinvertebrate Assemblage</w:t>
      </w:r>
      <w:r w:rsidR="00A508B6">
        <w:t xml:space="preserve"> are: What did Commonwealth environmental water contribute to:</w:t>
      </w:r>
    </w:p>
    <w:p w14:paraId="210AC726" w14:textId="31772B73" w:rsidR="00A508B6" w:rsidRDefault="00A508B6" w:rsidP="00CB75AF">
      <w:pPr>
        <w:pStyle w:val="ListParagraph"/>
        <w:numPr>
          <w:ilvl w:val="0"/>
          <w:numId w:val="68"/>
        </w:numPr>
      </w:pPr>
      <w:r>
        <w:t>the resilience of littoral plan communities? and</w:t>
      </w:r>
    </w:p>
    <w:p w14:paraId="34989337" w14:textId="7E0102F2" w:rsidR="00A508B6" w:rsidRDefault="00A508B6" w:rsidP="00CB75AF">
      <w:pPr>
        <w:pStyle w:val="ListParagraph"/>
        <w:numPr>
          <w:ilvl w:val="0"/>
          <w:numId w:val="68"/>
        </w:numPr>
      </w:pPr>
      <w:r>
        <w:t>increasing the diversity and abundance of the microinvertebrate egg-bank (via improvement of the flow regime)?</w:t>
      </w:r>
    </w:p>
    <w:p w14:paraId="7F2BD11C" w14:textId="01A81280" w:rsidR="007F5E8E" w:rsidRDefault="007F5E8E" w:rsidP="007F5E8E">
      <w:pPr>
        <w:pStyle w:val="Heading3"/>
      </w:pPr>
      <w:bookmarkStart w:id="170" w:name="_Toc22196713"/>
      <w:r w:rsidRPr="004F7774">
        <w:t>Lamprey migration</w:t>
      </w:r>
      <w:bookmarkEnd w:id="170"/>
    </w:p>
    <w:p w14:paraId="35C91807" w14:textId="632A9626" w:rsidR="005808F4" w:rsidRDefault="005808F4" w:rsidP="005808F4">
      <w:r>
        <w:t>The anadromous life histories of pouched lamprey (</w:t>
      </w:r>
      <w:r w:rsidRPr="005808F4">
        <w:rPr>
          <w:i/>
        </w:rPr>
        <w:t>Geotria australis</w:t>
      </w:r>
      <w:r>
        <w:t>) and short-headed lamprey (</w:t>
      </w:r>
      <w:r w:rsidRPr="005808F4">
        <w:rPr>
          <w:i/>
        </w:rPr>
        <w:t>Mordacia mordax</w:t>
      </w:r>
      <w:r>
        <w:t>), characterised by long distance migrations between marine and freshwater habitats, are unique among the fishes of the MDB. This life history is dependent upon discharge to facilitate connectivity (e.g. fishway operation) and stimulate migrations into the Murray River (e.g. olfactory cues). Anecdotally, lamprey were common prior to regulation, with migrations extending up to 2000 km upstream in the Murray River and tributaries (e.g. the Goulburn, the Murrumbidgee), but altered flow regimes and obstruction by barriers likely led to population declines. However, in recent years, delivery of Commonwealth environmental water from the Murray barrages during key upstream migration periods (winter–spring) has provided opportunities for lamprey migration. Indeed since 2013, lamprey have been regularly detected entering the Murray, with migration observed as far upstream as Lock 11 (Mildura). Lamprey are thus a useful indicator of the influence of CEW on connectivity with the ocean and throughout the Lower Murray.</w:t>
      </w:r>
    </w:p>
    <w:p w14:paraId="3F4B52CB" w14:textId="500F925D" w:rsidR="005808F4" w:rsidRPr="005808F4" w:rsidRDefault="005808F4" w:rsidP="005808F4">
      <w:r>
        <w:t xml:space="preserve">Monitoring of lamprey migration at the Murray Barrages is typically supported by the MDBA’s TLM program. This meets TLM Icon Site reporting requirement, but also provides information on the influence of Commonwealth environmental water delivery. In certain years when adequate funds are not available, </w:t>
      </w:r>
      <w:r w:rsidR="002B0A6A">
        <w:t xml:space="preserve">MER contingency monitoring may </w:t>
      </w:r>
      <w:r>
        <w:t>facilitate an appropriate level of monitoring to assess abundance, and movement of lamprey (assessed by movement of tagged fish through fishways).</w:t>
      </w:r>
      <w:r w:rsidR="00B7627B">
        <w:t xml:space="preserve"> See Attachment A for the 2019 </w:t>
      </w:r>
      <w:r w:rsidR="00FE1095">
        <w:t xml:space="preserve">Work Order and </w:t>
      </w:r>
      <w:r w:rsidR="00B7627B">
        <w:t>Project Scope.</w:t>
      </w:r>
    </w:p>
    <w:p w14:paraId="41E97EE5" w14:textId="1E31E57F" w:rsidR="0084756A" w:rsidRDefault="0084756A" w:rsidP="003A068E">
      <w:pPr>
        <w:pStyle w:val="Heading3"/>
      </w:pPr>
      <w:bookmarkStart w:id="171" w:name="_Toc22196714"/>
      <w:r>
        <w:t>Winter stream metabolism</w:t>
      </w:r>
      <w:bookmarkEnd w:id="171"/>
    </w:p>
    <w:p w14:paraId="35B5E57E" w14:textId="334443BD" w:rsidR="0084756A" w:rsidRPr="0084756A" w:rsidRDefault="0084756A" w:rsidP="00AC45B9">
      <w:r>
        <w:t>The timing (spring–summer) of the core stream metabolism monitoring in the Lower Murray</w:t>
      </w:r>
      <w:r w:rsidR="000249F4">
        <w:t xml:space="preserve"> </w:t>
      </w:r>
      <w:r>
        <w:t>follows that of the LTIM Project</w:t>
      </w:r>
      <w:r w:rsidR="000249F4">
        <w:t xml:space="preserve"> (see Section </w:t>
      </w:r>
      <w:r w:rsidR="000249F4">
        <w:fldChar w:fldCharType="begin"/>
      </w:r>
      <w:r w:rsidR="000249F4">
        <w:instrText xml:space="preserve"> REF _Ref10197809 \r \h </w:instrText>
      </w:r>
      <w:r w:rsidR="000249F4">
        <w:fldChar w:fldCharType="separate"/>
      </w:r>
      <w:r w:rsidR="00DF49CD">
        <w:t>5.1.2</w:t>
      </w:r>
      <w:r w:rsidR="000249F4">
        <w:fldChar w:fldCharType="end"/>
      </w:r>
      <w:r w:rsidR="000249F4">
        <w:t>)</w:t>
      </w:r>
      <w:r>
        <w:t xml:space="preserve">. </w:t>
      </w:r>
      <w:r w:rsidR="005D6811">
        <w:t xml:space="preserve">In recent years, </w:t>
      </w:r>
      <w:r w:rsidR="000249F4">
        <w:t xml:space="preserve">return flows from upstream watering events (e.g. Goulburn River) have produced </w:t>
      </w:r>
      <w:r w:rsidR="005D6811">
        <w:t>in-channel flow pulses (up to ~12,000 ML/d)</w:t>
      </w:r>
      <w:r w:rsidR="000249F4">
        <w:t xml:space="preserve"> in the Lower Murray</w:t>
      </w:r>
      <w:r w:rsidR="00275549">
        <w:t>, prior to the monitoring period</w:t>
      </w:r>
      <w:r w:rsidR="000249F4">
        <w:t>.</w:t>
      </w:r>
      <w:r w:rsidR="005D6811">
        <w:t xml:space="preserve"> </w:t>
      </w:r>
      <w:r>
        <w:t xml:space="preserve">Understanding of how </w:t>
      </w:r>
      <w:r w:rsidR="000249F4">
        <w:t xml:space="preserve">these </w:t>
      </w:r>
      <w:r>
        <w:t xml:space="preserve">winter flows influence stream metabolism in the Lower Murray is currently limited. </w:t>
      </w:r>
      <w:r w:rsidR="005D6811">
        <w:t xml:space="preserve">By adding another three sampling trips to the current sampling regime, stream metabolism and water quality monitoring can be extended forward to late June/early July to capture winter pulses delivered down the main channel of the Lower Murray.  </w:t>
      </w:r>
    </w:p>
    <w:p w14:paraId="1B9E028F" w14:textId="77777777" w:rsidR="003A068E" w:rsidRDefault="003A068E" w:rsidP="003A068E">
      <w:pPr>
        <w:pStyle w:val="Heading3"/>
      </w:pPr>
      <w:bookmarkStart w:id="172" w:name="_Toc22196715"/>
      <w:r>
        <w:t>Egg/larval drift and hydraulic modelling</w:t>
      </w:r>
      <w:bookmarkEnd w:id="172"/>
      <w:r>
        <w:t xml:space="preserve">  </w:t>
      </w:r>
    </w:p>
    <w:p w14:paraId="7DC9D131" w14:textId="6AA6F4F5" w:rsidR="001B1333" w:rsidRDefault="001B1333" w:rsidP="001B1333">
      <w:r>
        <w:t>The dispersal of eggs and larvae (hereafter referred to as propagules) is dependent upon the</w:t>
      </w:r>
      <w:r w:rsidR="002948D4">
        <w:t>ir</w:t>
      </w:r>
      <w:r>
        <w:t xml:space="preserve"> inherent sinking or swimming characteristics</w:t>
      </w:r>
      <w:r w:rsidR="002948D4">
        <w:t>/abilities</w:t>
      </w:r>
      <w:r>
        <w:t xml:space="preserve">, the hydrodynamic conditions which keep the propagules entrained and the flow which transports the propagule. Flow and hydrodynamics are </w:t>
      </w:r>
      <w:r>
        <w:lastRenderedPageBreak/>
        <w:t xml:space="preserve">variable within a reach between locks. For example the water depth in the tailwater displays greater variability than </w:t>
      </w:r>
      <w:r w:rsidR="002948D4">
        <w:t xml:space="preserve">in </w:t>
      </w:r>
      <w:r>
        <w:t>the weir pool, wh</w:t>
      </w:r>
      <w:r w:rsidR="002948D4">
        <w:t>ere water levels</w:t>
      </w:r>
      <w:r w:rsidR="00663DFD">
        <w:t xml:space="preserve"> are</w:t>
      </w:r>
      <w:r w:rsidR="002948D4">
        <w:t xml:space="preserve"> </w:t>
      </w:r>
      <w:r>
        <w:t>fairly const</w:t>
      </w:r>
      <w:r w:rsidR="003A068E">
        <w:t xml:space="preserve">ant. Similarly </w:t>
      </w:r>
      <w:r>
        <w:t>hydrodynamics change through the reach with tailwater having greater turbulence, which is dampened downstream as the weir</w:t>
      </w:r>
      <w:r w:rsidR="002948D4">
        <w:t xml:space="preserve"> </w:t>
      </w:r>
      <w:r>
        <w:t>pool backs up water. This means that weir pools are more prone to stratification than the tailwater. As water slows and turbulence decreases propagules are more likely to be disentrained</w:t>
      </w:r>
      <w:r w:rsidR="002948D4">
        <w:t>,</w:t>
      </w:r>
      <w:r>
        <w:t xml:space="preserve"> increasing sedimentation losses.</w:t>
      </w:r>
    </w:p>
    <w:p w14:paraId="7A4E5D36" w14:textId="4672A29A" w:rsidR="00753829" w:rsidRPr="00963435" w:rsidRDefault="001B1333" w:rsidP="001B1333">
      <w:r>
        <w:t xml:space="preserve">Understanding the range of flow velocities and turbulence intensities through the river reach is critical to understanding how propagules are dispersed or lost. Profiling for velocity and turbulence along weir pool reaches over the spawning season coupled with laboratory experiments of the intrinsic settling velocity of various propagules </w:t>
      </w:r>
      <w:r w:rsidR="002948D4">
        <w:t xml:space="preserve">with different swimming/floating abilities </w:t>
      </w:r>
      <w:r>
        <w:t>will facilitate a new level of refinement on the environmental flows required for propagule entrainment and dispersal.</w:t>
      </w:r>
    </w:p>
    <w:p w14:paraId="2B5AD821" w14:textId="77777777" w:rsidR="00753829" w:rsidRPr="00AE541B" w:rsidRDefault="00753829" w:rsidP="00753829">
      <w:pPr>
        <w:pStyle w:val="Heading3"/>
      </w:pPr>
      <w:bookmarkStart w:id="173" w:name="_Toc22196716"/>
      <w:r w:rsidRPr="00AE541B">
        <w:t>Review of nutrient export – is nutrient export a good thing?</w:t>
      </w:r>
      <w:bookmarkEnd w:id="173"/>
    </w:p>
    <w:p w14:paraId="3291650A" w14:textId="663F8813" w:rsidR="007D3060" w:rsidRDefault="001B1333" w:rsidP="007D3060">
      <w:pPr>
        <w:sectPr w:rsidR="007D3060" w:rsidSect="003F6444">
          <w:pgSz w:w="11900" w:h="16840"/>
          <w:pgMar w:top="1440" w:right="1440" w:bottom="1440" w:left="1440" w:header="708" w:footer="708" w:gutter="0"/>
          <w:cols w:space="708"/>
          <w:docGrid w:linePitch="360"/>
        </w:sectPr>
      </w:pPr>
      <w:r w:rsidRPr="00AE541B">
        <w:rPr>
          <w:szCs w:val="22"/>
        </w:rPr>
        <w:t xml:space="preserve">For the past four years of the LTIM Project, the </w:t>
      </w:r>
      <w:r w:rsidRPr="007347FC">
        <w:rPr>
          <w:i/>
          <w:szCs w:val="22"/>
        </w:rPr>
        <w:t>Matter Transport</w:t>
      </w:r>
      <w:r w:rsidRPr="00AE541B">
        <w:rPr>
          <w:szCs w:val="22"/>
        </w:rPr>
        <w:t xml:space="preserve"> indicator has modelled the export of salt and nutrients over the barrages to the Southern Ocean. There is a target for salt export set by the Murray</w:t>
      </w:r>
      <w:r>
        <w:rPr>
          <w:szCs w:val="22"/>
        </w:rPr>
        <w:t>-</w:t>
      </w:r>
      <w:r w:rsidRPr="00AE541B">
        <w:rPr>
          <w:szCs w:val="22"/>
        </w:rPr>
        <w:t xml:space="preserve">Darling Basin plan of </w:t>
      </w:r>
      <w:r>
        <w:rPr>
          <w:szCs w:val="22"/>
        </w:rPr>
        <w:t xml:space="preserve">average </w:t>
      </w:r>
      <w:r w:rsidRPr="00AE541B">
        <w:rPr>
          <w:szCs w:val="22"/>
        </w:rPr>
        <w:t xml:space="preserve">2 million tonnes of salt per annum. The hydrodynamic and biogeochemical modelling enables an estimate of salt export attributable to unregulated river flow and environmental water including the Commonwealth environmental water. Nutrient export is also determined, however, it is not currently clear whether what levels of nutrient export from the basin will be optimal considering both water quality and ecological implications. Nutrient delivery to the estuary will drive productivity and so provide energy at the base of the food web, however this also means that nutrients are being eroded from the catchment, which will affect soil productivity. This contingency monitoring program </w:t>
      </w:r>
      <w:r w:rsidR="003134FC">
        <w:rPr>
          <w:szCs w:val="22"/>
        </w:rPr>
        <w:t>would</w:t>
      </w:r>
      <w:r w:rsidRPr="00AE541B">
        <w:rPr>
          <w:szCs w:val="22"/>
        </w:rPr>
        <w:t xml:space="preserve"> measure nutrients concentrations at the barrage overflow to validate the hyd</w:t>
      </w:r>
      <w:r w:rsidR="00B83D38">
        <w:rPr>
          <w:szCs w:val="22"/>
        </w:rPr>
        <w:t>rodynamic modelling and</w:t>
      </w:r>
      <w:r w:rsidRPr="00AE541B">
        <w:rPr>
          <w:szCs w:val="22"/>
        </w:rPr>
        <w:t xml:space="preserve"> use a literature review and biogeochemical modelling to determine an appropriate nutrient export target that considers both estuarine productivity and appropriate nutrient levels to maintain water quality and productivity in the catchment</w:t>
      </w:r>
      <w:r w:rsidR="00753829" w:rsidRPr="00AE541B">
        <w:rPr>
          <w:szCs w:val="22"/>
        </w:rPr>
        <w:t>.</w:t>
      </w:r>
      <w:bookmarkStart w:id="174" w:name="_Ref9936755"/>
    </w:p>
    <w:p w14:paraId="169ED5A5" w14:textId="5A38D99B" w:rsidR="00753829" w:rsidRDefault="00753829" w:rsidP="00753829">
      <w:pPr>
        <w:pStyle w:val="Caption"/>
        <w:rPr>
          <w:szCs w:val="22"/>
        </w:rPr>
      </w:pPr>
      <w:bookmarkStart w:id="175" w:name="_Ref10119982"/>
      <w:bookmarkStart w:id="176" w:name="_Toc12630249"/>
      <w:r>
        <w:lastRenderedPageBreak/>
        <w:t xml:space="preserve">Table </w:t>
      </w:r>
      <w:r w:rsidR="00A8252A">
        <w:rPr>
          <w:noProof/>
        </w:rPr>
        <w:fldChar w:fldCharType="begin"/>
      </w:r>
      <w:r w:rsidR="00A8252A">
        <w:rPr>
          <w:noProof/>
        </w:rPr>
        <w:instrText xml:space="preserve"> STYLEREF 1 \s </w:instrText>
      </w:r>
      <w:r w:rsidR="00A8252A">
        <w:rPr>
          <w:noProof/>
        </w:rPr>
        <w:fldChar w:fldCharType="separate"/>
      </w:r>
      <w:r w:rsidR="00DF49CD">
        <w:rPr>
          <w:noProof/>
        </w:rPr>
        <w:t>5</w:t>
      </w:r>
      <w:r w:rsidR="00A8252A">
        <w:rPr>
          <w:noProof/>
        </w:rPr>
        <w:fldChar w:fldCharType="end"/>
      </w:r>
      <w:r w:rsidR="00F359A2">
        <w:t>.</w:t>
      </w:r>
      <w:r w:rsidR="00A8252A">
        <w:rPr>
          <w:noProof/>
        </w:rPr>
        <w:fldChar w:fldCharType="begin"/>
      </w:r>
      <w:r w:rsidR="00A8252A">
        <w:rPr>
          <w:noProof/>
        </w:rPr>
        <w:instrText xml:space="preserve"> SEQ Table \* ARABIC \s 1 </w:instrText>
      </w:r>
      <w:r w:rsidR="00A8252A">
        <w:rPr>
          <w:noProof/>
        </w:rPr>
        <w:fldChar w:fldCharType="separate"/>
      </w:r>
      <w:r w:rsidR="00DF49CD">
        <w:rPr>
          <w:noProof/>
        </w:rPr>
        <w:t>2</w:t>
      </w:r>
      <w:r w:rsidR="00A8252A">
        <w:rPr>
          <w:noProof/>
        </w:rPr>
        <w:fldChar w:fldCharType="end"/>
      </w:r>
      <w:bookmarkEnd w:id="174"/>
      <w:bookmarkEnd w:id="175"/>
      <w:r>
        <w:rPr>
          <w:szCs w:val="22"/>
        </w:rPr>
        <w:t xml:space="preserve">. Flow scenario trigger and </w:t>
      </w:r>
      <w:r w:rsidR="00B83D38">
        <w:rPr>
          <w:szCs w:val="22"/>
        </w:rPr>
        <w:t xml:space="preserve">indicative budget </w:t>
      </w:r>
      <w:r>
        <w:rPr>
          <w:szCs w:val="22"/>
        </w:rPr>
        <w:t xml:space="preserve">for contingency monitoring </w:t>
      </w:r>
      <w:r w:rsidR="00B83D38">
        <w:rPr>
          <w:szCs w:val="22"/>
        </w:rPr>
        <w:t xml:space="preserve">during the three-year MER Project </w:t>
      </w:r>
      <w:r>
        <w:rPr>
          <w:szCs w:val="22"/>
        </w:rPr>
        <w:t>in the Lower Murray.</w:t>
      </w:r>
      <w:bookmarkEnd w:id="176"/>
    </w:p>
    <w:tbl>
      <w:tblPr>
        <w:tblStyle w:val="TableGrid"/>
        <w:tblW w:w="0" w:type="auto"/>
        <w:tblLook w:val="04A0" w:firstRow="1" w:lastRow="0" w:firstColumn="1" w:lastColumn="0" w:noHBand="0" w:noVBand="1"/>
      </w:tblPr>
      <w:tblGrid>
        <w:gridCol w:w="2072"/>
        <w:gridCol w:w="2885"/>
        <w:gridCol w:w="1701"/>
        <w:gridCol w:w="46"/>
        <w:gridCol w:w="2363"/>
        <w:gridCol w:w="1843"/>
        <w:gridCol w:w="2977"/>
      </w:tblGrid>
      <w:tr w:rsidR="000E1A85" w:rsidRPr="00234491" w14:paraId="7D0ECBCA" w14:textId="77777777" w:rsidTr="000E1A85">
        <w:tc>
          <w:tcPr>
            <w:tcW w:w="2072" w:type="dxa"/>
            <w:shd w:val="clear" w:color="auto" w:fill="D9D9D9" w:themeFill="background1" w:themeFillShade="D9"/>
          </w:tcPr>
          <w:p w14:paraId="6338F0B4" w14:textId="77777777" w:rsidR="000E1A85" w:rsidRPr="00234491" w:rsidRDefault="000E1A85" w:rsidP="008D0C2B">
            <w:pPr>
              <w:contextualSpacing/>
              <w:rPr>
                <w:b/>
              </w:rPr>
            </w:pPr>
            <w:r>
              <w:rPr>
                <w:b/>
              </w:rPr>
              <w:t>Flow scenario trigger</w:t>
            </w:r>
          </w:p>
          <w:p w14:paraId="1A771DFB" w14:textId="77777777" w:rsidR="000E1A85" w:rsidRPr="00234491" w:rsidRDefault="000E1A85" w:rsidP="008D0C2B">
            <w:pPr>
              <w:contextualSpacing/>
              <w:rPr>
                <w:b/>
              </w:rPr>
            </w:pPr>
          </w:p>
        </w:tc>
        <w:tc>
          <w:tcPr>
            <w:tcW w:w="2885" w:type="dxa"/>
            <w:shd w:val="clear" w:color="auto" w:fill="D9D9D9" w:themeFill="background1" w:themeFillShade="D9"/>
          </w:tcPr>
          <w:p w14:paraId="66C5F1EF" w14:textId="77777777" w:rsidR="000E1A85" w:rsidRPr="00234491" w:rsidRDefault="000E1A85" w:rsidP="008D0C2B">
            <w:pPr>
              <w:contextualSpacing/>
              <w:rPr>
                <w:b/>
              </w:rPr>
            </w:pPr>
            <w:r w:rsidRPr="00234491">
              <w:rPr>
                <w:b/>
              </w:rPr>
              <w:t>Year 1</w:t>
            </w:r>
          </w:p>
        </w:tc>
        <w:tc>
          <w:tcPr>
            <w:tcW w:w="1701" w:type="dxa"/>
            <w:shd w:val="clear" w:color="auto" w:fill="D9D9D9" w:themeFill="background1" w:themeFillShade="D9"/>
          </w:tcPr>
          <w:p w14:paraId="52DF502A" w14:textId="77777777" w:rsidR="000E1A85" w:rsidRPr="00234491" w:rsidRDefault="000E1A85" w:rsidP="008D0C2B">
            <w:pPr>
              <w:contextualSpacing/>
              <w:rPr>
                <w:b/>
              </w:rPr>
            </w:pPr>
            <w:r w:rsidRPr="00234491">
              <w:rPr>
                <w:b/>
              </w:rPr>
              <w:t>Year 2</w:t>
            </w:r>
          </w:p>
        </w:tc>
        <w:tc>
          <w:tcPr>
            <w:tcW w:w="2409" w:type="dxa"/>
            <w:gridSpan w:val="2"/>
            <w:shd w:val="clear" w:color="auto" w:fill="D9D9D9" w:themeFill="background1" w:themeFillShade="D9"/>
          </w:tcPr>
          <w:p w14:paraId="5C133C24" w14:textId="77777777" w:rsidR="000E1A85" w:rsidRPr="00234491" w:rsidRDefault="000E1A85" w:rsidP="008D0C2B">
            <w:pPr>
              <w:contextualSpacing/>
              <w:rPr>
                <w:b/>
              </w:rPr>
            </w:pPr>
            <w:r w:rsidRPr="00234491">
              <w:rPr>
                <w:b/>
              </w:rPr>
              <w:t>Year 3</w:t>
            </w:r>
          </w:p>
        </w:tc>
        <w:tc>
          <w:tcPr>
            <w:tcW w:w="1843" w:type="dxa"/>
            <w:shd w:val="clear" w:color="auto" w:fill="D9D9D9" w:themeFill="background1" w:themeFillShade="D9"/>
          </w:tcPr>
          <w:p w14:paraId="68F70598" w14:textId="77777777" w:rsidR="000E1A85" w:rsidRPr="00234491" w:rsidRDefault="000E1A85" w:rsidP="008D0C2B">
            <w:pPr>
              <w:contextualSpacing/>
              <w:rPr>
                <w:b/>
              </w:rPr>
            </w:pPr>
            <w:r>
              <w:rPr>
                <w:b/>
              </w:rPr>
              <w:t>Indicative annual budget</w:t>
            </w:r>
          </w:p>
        </w:tc>
        <w:tc>
          <w:tcPr>
            <w:tcW w:w="2977" w:type="dxa"/>
            <w:shd w:val="clear" w:color="auto" w:fill="D9D9D9" w:themeFill="background1" w:themeFillShade="D9"/>
          </w:tcPr>
          <w:p w14:paraId="49A94026" w14:textId="77777777" w:rsidR="000E1A85" w:rsidRPr="00234491" w:rsidRDefault="000E1A85" w:rsidP="008D0C2B">
            <w:pPr>
              <w:contextualSpacing/>
              <w:rPr>
                <w:b/>
              </w:rPr>
            </w:pPr>
            <w:r w:rsidRPr="00234491">
              <w:rPr>
                <w:b/>
              </w:rPr>
              <w:t>Comments</w:t>
            </w:r>
          </w:p>
        </w:tc>
      </w:tr>
      <w:tr w:rsidR="000E1A85" w:rsidRPr="00234491" w14:paraId="228A1995" w14:textId="77777777" w:rsidTr="000E1A85">
        <w:tc>
          <w:tcPr>
            <w:tcW w:w="2072" w:type="dxa"/>
            <w:vMerge w:val="restart"/>
          </w:tcPr>
          <w:p w14:paraId="3BAD0A5B" w14:textId="77777777" w:rsidR="000E1A85" w:rsidRPr="00234491" w:rsidRDefault="000E1A85" w:rsidP="008D0C2B">
            <w:pPr>
              <w:contextualSpacing/>
            </w:pPr>
            <w:r w:rsidRPr="00234491">
              <w:t>Flow &gt; 20,000 ML/d</w:t>
            </w:r>
          </w:p>
          <w:p w14:paraId="78731634" w14:textId="77777777" w:rsidR="000E1A85" w:rsidRPr="00234491" w:rsidRDefault="000E1A85" w:rsidP="008D0C2B">
            <w:pPr>
              <w:contextualSpacing/>
            </w:pPr>
          </w:p>
          <w:p w14:paraId="7227BE3A" w14:textId="77777777" w:rsidR="000E1A85" w:rsidRPr="00234491" w:rsidRDefault="000E1A85" w:rsidP="008D0C2B">
            <w:pPr>
              <w:contextualSpacing/>
            </w:pPr>
          </w:p>
        </w:tc>
        <w:tc>
          <w:tcPr>
            <w:tcW w:w="6995" w:type="dxa"/>
            <w:gridSpan w:val="4"/>
          </w:tcPr>
          <w:p w14:paraId="79B9A24A" w14:textId="48ADE23A" w:rsidR="000E1A85" w:rsidRDefault="000E1A85" w:rsidP="008D0C2B">
            <w:pPr>
              <w:contextualSpacing/>
            </w:pPr>
            <w:r>
              <w:t>Flow-cued Spawning Fishes (</w:t>
            </w:r>
            <w:r w:rsidRPr="00234491">
              <w:t xml:space="preserve">spawning and </w:t>
            </w:r>
            <w:r>
              <w:t>natal origin of new recruits)</w:t>
            </w:r>
          </w:p>
          <w:p w14:paraId="6193EE63" w14:textId="77777777" w:rsidR="000E1A85" w:rsidRPr="00234491" w:rsidRDefault="000E1A85" w:rsidP="008D0C2B">
            <w:pPr>
              <w:contextualSpacing/>
            </w:pPr>
          </w:p>
        </w:tc>
        <w:tc>
          <w:tcPr>
            <w:tcW w:w="1843" w:type="dxa"/>
          </w:tcPr>
          <w:p w14:paraId="032D2F66" w14:textId="70E64E17" w:rsidR="000E1A85" w:rsidRDefault="000E1A85" w:rsidP="00F06711">
            <w:pPr>
              <w:contextualSpacing/>
            </w:pPr>
            <w:r>
              <w:t>$155k</w:t>
            </w:r>
          </w:p>
        </w:tc>
        <w:tc>
          <w:tcPr>
            <w:tcW w:w="2977" w:type="dxa"/>
          </w:tcPr>
          <w:p w14:paraId="071743A1" w14:textId="77777777" w:rsidR="000E1A85" w:rsidRPr="00234491" w:rsidRDefault="000E1A85" w:rsidP="008D0C2B">
            <w:pPr>
              <w:contextualSpacing/>
            </w:pPr>
          </w:p>
        </w:tc>
      </w:tr>
      <w:tr w:rsidR="000E1A85" w:rsidRPr="00234491" w14:paraId="451C8045" w14:textId="77777777" w:rsidTr="000E1A85">
        <w:tc>
          <w:tcPr>
            <w:tcW w:w="2072" w:type="dxa"/>
            <w:vMerge/>
          </w:tcPr>
          <w:p w14:paraId="27043568" w14:textId="77777777" w:rsidR="000E1A85" w:rsidRPr="00234491" w:rsidRDefault="000E1A85" w:rsidP="008D0C2B">
            <w:pPr>
              <w:contextualSpacing/>
            </w:pPr>
          </w:p>
        </w:tc>
        <w:tc>
          <w:tcPr>
            <w:tcW w:w="6995" w:type="dxa"/>
            <w:gridSpan w:val="4"/>
          </w:tcPr>
          <w:p w14:paraId="6781AD2C" w14:textId="06F0B36B" w:rsidR="000E1A85" w:rsidRDefault="000E1A85" w:rsidP="008D0C2B">
            <w:pPr>
              <w:contextualSpacing/>
            </w:pPr>
            <w:r w:rsidRPr="00234491">
              <w:t>Stream metabolism high flow</w:t>
            </w:r>
          </w:p>
          <w:p w14:paraId="74DD5B61" w14:textId="77777777" w:rsidR="000E1A85" w:rsidRPr="00234491" w:rsidRDefault="000E1A85" w:rsidP="008D0C2B">
            <w:pPr>
              <w:contextualSpacing/>
            </w:pPr>
          </w:p>
        </w:tc>
        <w:tc>
          <w:tcPr>
            <w:tcW w:w="1843" w:type="dxa"/>
          </w:tcPr>
          <w:p w14:paraId="6B0795BE" w14:textId="318CD43E" w:rsidR="000E1A85" w:rsidRDefault="000E1A85" w:rsidP="008D0C2B">
            <w:pPr>
              <w:contextualSpacing/>
            </w:pPr>
            <w:r>
              <w:t>$70k</w:t>
            </w:r>
          </w:p>
        </w:tc>
        <w:tc>
          <w:tcPr>
            <w:tcW w:w="2977" w:type="dxa"/>
          </w:tcPr>
          <w:p w14:paraId="69C1A67A" w14:textId="77777777" w:rsidR="000E1A85" w:rsidRPr="00234491" w:rsidRDefault="000E1A85" w:rsidP="008D0C2B">
            <w:pPr>
              <w:contextualSpacing/>
            </w:pPr>
          </w:p>
        </w:tc>
      </w:tr>
      <w:tr w:rsidR="000E1A85" w:rsidRPr="00234491" w14:paraId="77ACEA1D" w14:textId="77777777" w:rsidTr="000E1A85">
        <w:tc>
          <w:tcPr>
            <w:tcW w:w="2072" w:type="dxa"/>
            <w:vMerge w:val="restart"/>
          </w:tcPr>
          <w:p w14:paraId="7171AAC2" w14:textId="77777777" w:rsidR="000E1A85" w:rsidRPr="00234491" w:rsidRDefault="000E1A85" w:rsidP="008D0C2B">
            <w:pPr>
              <w:contextualSpacing/>
            </w:pPr>
          </w:p>
          <w:p w14:paraId="30B0D08F" w14:textId="77777777" w:rsidR="000E1A85" w:rsidRPr="00234491" w:rsidRDefault="000E1A85" w:rsidP="008D0C2B">
            <w:pPr>
              <w:contextualSpacing/>
            </w:pPr>
            <w:r w:rsidRPr="00234491">
              <w:t>Flow &lt;20,000 ML/d</w:t>
            </w:r>
          </w:p>
          <w:p w14:paraId="0A3DD000" w14:textId="77777777" w:rsidR="000E1A85" w:rsidRPr="00234491" w:rsidRDefault="000E1A85" w:rsidP="008D0C2B">
            <w:pPr>
              <w:contextualSpacing/>
            </w:pPr>
          </w:p>
          <w:p w14:paraId="00613F82" w14:textId="77777777" w:rsidR="000E1A85" w:rsidRPr="00234491" w:rsidRDefault="000E1A85" w:rsidP="008D0C2B">
            <w:pPr>
              <w:contextualSpacing/>
            </w:pPr>
          </w:p>
        </w:tc>
        <w:tc>
          <w:tcPr>
            <w:tcW w:w="2885" w:type="dxa"/>
          </w:tcPr>
          <w:p w14:paraId="2DCE17D9" w14:textId="4868E050" w:rsidR="000E1A85" w:rsidRPr="00234491" w:rsidRDefault="000E1A85" w:rsidP="007347FC">
            <w:pPr>
              <w:contextualSpacing/>
            </w:pPr>
            <w:r w:rsidRPr="00234491">
              <w:t>Microinvertebrate</w:t>
            </w:r>
            <w:r>
              <w:t xml:space="preserve"> egg </w:t>
            </w:r>
            <w:r w:rsidRPr="00234491">
              <w:t>bank sample collec</w:t>
            </w:r>
            <w:r>
              <w:t>tion (via vegetation monitoring</w:t>
            </w:r>
            <w:r w:rsidRPr="00234491">
              <w:t>)</w:t>
            </w:r>
          </w:p>
        </w:tc>
        <w:tc>
          <w:tcPr>
            <w:tcW w:w="4110" w:type="dxa"/>
            <w:gridSpan w:val="3"/>
          </w:tcPr>
          <w:p w14:paraId="5675AD75" w14:textId="7A723D7E" w:rsidR="000E1A85" w:rsidRPr="00234491" w:rsidRDefault="000E1A85" w:rsidP="008D0C2B">
            <w:pPr>
              <w:contextualSpacing/>
            </w:pPr>
            <w:r w:rsidRPr="00234491">
              <w:t>Microinvertebr</w:t>
            </w:r>
            <w:r>
              <w:t xml:space="preserve">ate egg </w:t>
            </w:r>
            <w:r w:rsidRPr="00234491">
              <w:t>bank baseline assessment</w:t>
            </w:r>
          </w:p>
          <w:p w14:paraId="7B8C509F" w14:textId="77777777" w:rsidR="000E1A85" w:rsidRPr="00234491" w:rsidRDefault="000E1A85" w:rsidP="008D0C2B">
            <w:pPr>
              <w:contextualSpacing/>
            </w:pPr>
          </w:p>
        </w:tc>
        <w:tc>
          <w:tcPr>
            <w:tcW w:w="1843" w:type="dxa"/>
          </w:tcPr>
          <w:p w14:paraId="50FDCBE9" w14:textId="424358ED" w:rsidR="000E1A85" w:rsidRDefault="000E1A85" w:rsidP="008D0C2B">
            <w:pPr>
              <w:contextualSpacing/>
            </w:pPr>
            <w:r>
              <w:t>$55k</w:t>
            </w:r>
          </w:p>
        </w:tc>
        <w:tc>
          <w:tcPr>
            <w:tcW w:w="2977" w:type="dxa"/>
          </w:tcPr>
          <w:p w14:paraId="007DDDA6" w14:textId="182A0E81" w:rsidR="000E1A85" w:rsidRPr="00234491" w:rsidRDefault="000E1A85" w:rsidP="00B27321">
            <w:pPr>
              <w:contextualSpacing/>
            </w:pPr>
            <w:r w:rsidRPr="00234491">
              <w:t xml:space="preserve">Help address </w:t>
            </w:r>
            <w:r>
              <w:t xml:space="preserve">question relating to </w:t>
            </w:r>
            <w:r w:rsidRPr="00234491">
              <w:t>long-ter</w:t>
            </w:r>
            <w:r>
              <w:t>m outcomes in future</w:t>
            </w:r>
          </w:p>
        </w:tc>
      </w:tr>
      <w:tr w:rsidR="000E1A85" w:rsidRPr="00234491" w14:paraId="00A5BE02" w14:textId="77777777" w:rsidTr="000E1A85">
        <w:tc>
          <w:tcPr>
            <w:tcW w:w="2072" w:type="dxa"/>
            <w:vMerge/>
          </w:tcPr>
          <w:p w14:paraId="3F9E5F4F" w14:textId="77777777" w:rsidR="000E1A85" w:rsidRPr="00234491" w:rsidRDefault="000E1A85" w:rsidP="008D0C2B">
            <w:pPr>
              <w:contextualSpacing/>
            </w:pPr>
          </w:p>
        </w:tc>
        <w:tc>
          <w:tcPr>
            <w:tcW w:w="2885" w:type="dxa"/>
          </w:tcPr>
          <w:p w14:paraId="39BB39FC" w14:textId="27E0EE8B" w:rsidR="000E1A85" w:rsidRPr="00234491" w:rsidRDefault="000E1A85" w:rsidP="008D0C2B">
            <w:pPr>
              <w:contextualSpacing/>
            </w:pPr>
            <w:r>
              <w:t>V</w:t>
            </w:r>
            <w:r w:rsidRPr="00234491">
              <w:t>egetation seed</w:t>
            </w:r>
            <w:r>
              <w:t xml:space="preserve"> </w:t>
            </w:r>
            <w:r w:rsidRPr="00234491">
              <w:t>bank sample collec</w:t>
            </w:r>
            <w:r>
              <w:t>tion (via vegetation monitoring</w:t>
            </w:r>
            <w:r w:rsidRPr="00234491">
              <w:t>)</w:t>
            </w:r>
          </w:p>
        </w:tc>
        <w:tc>
          <w:tcPr>
            <w:tcW w:w="4110" w:type="dxa"/>
            <w:gridSpan w:val="3"/>
          </w:tcPr>
          <w:p w14:paraId="5EAC3BAE" w14:textId="0BAE0236" w:rsidR="000E1A85" w:rsidRPr="00234491" w:rsidRDefault="000E1A85" w:rsidP="008D0C2B">
            <w:pPr>
              <w:contextualSpacing/>
            </w:pPr>
            <w:r w:rsidRPr="00234491">
              <w:t>Vegetation seed</w:t>
            </w:r>
            <w:r>
              <w:t xml:space="preserve"> </w:t>
            </w:r>
            <w:r w:rsidRPr="00234491">
              <w:t>bank baseline assessment</w:t>
            </w:r>
          </w:p>
          <w:p w14:paraId="107A78D3" w14:textId="77777777" w:rsidR="000E1A85" w:rsidRPr="00234491" w:rsidRDefault="000E1A85" w:rsidP="008D0C2B">
            <w:pPr>
              <w:contextualSpacing/>
            </w:pPr>
          </w:p>
        </w:tc>
        <w:tc>
          <w:tcPr>
            <w:tcW w:w="1843" w:type="dxa"/>
          </w:tcPr>
          <w:p w14:paraId="4579FEBC" w14:textId="30D205ED" w:rsidR="000E1A85" w:rsidRDefault="000E1A85" w:rsidP="008D0C2B">
            <w:pPr>
              <w:contextualSpacing/>
            </w:pPr>
            <w:r>
              <w:t>$50k* or $100k</w:t>
            </w:r>
          </w:p>
        </w:tc>
        <w:tc>
          <w:tcPr>
            <w:tcW w:w="2977" w:type="dxa"/>
          </w:tcPr>
          <w:p w14:paraId="2DAA7DB8" w14:textId="207B21B7" w:rsidR="000E1A85" w:rsidRPr="00234491" w:rsidRDefault="000E1A85" w:rsidP="008D0C2B">
            <w:pPr>
              <w:contextualSpacing/>
            </w:pPr>
            <w:r w:rsidRPr="00234491">
              <w:t xml:space="preserve">Help address </w:t>
            </w:r>
            <w:r>
              <w:t xml:space="preserve">question relating to </w:t>
            </w:r>
            <w:r w:rsidRPr="00234491">
              <w:t>long-ter</w:t>
            </w:r>
            <w:r>
              <w:t>m outcomes in future</w:t>
            </w:r>
          </w:p>
        </w:tc>
      </w:tr>
      <w:tr w:rsidR="000E1A85" w:rsidRPr="00234491" w14:paraId="634A731B" w14:textId="77777777" w:rsidTr="000E1A85">
        <w:tc>
          <w:tcPr>
            <w:tcW w:w="2072" w:type="dxa"/>
            <w:vMerge/>
          </w:tcPr>
          <w:p w14:paraId="7177151C" w14:textId="77777777" w:rsidR="000E1A85" w:rsidRPr="00234491" w:rsidRDefault="000E1A85" w:rsidP="008D0C2B">
            <w:pPr>
              <w:contextualSpacing/>
            </w:pPr>
          </w:p>
        </w:tc>
        <w:tc>
          <w:tcPr>
            <w:tcW w:w="2885" w:type="dxa"/>
          </w:tcPr>
          <w:p w14:paraId="0071D0D5" w14:textId="77777777" w:rsidR="000E1A85" w:rsidRPr="00234491" w:rsidRDefault="000E1A85" w:rsidP="008D0C2B">
            <w:pPr>
              <w:contextualSpacing/>
            </w:pPr>
          </w:p>
        </w:tc>
        <w:tc>
          <w:tcPr>
            <w:tcW w:w="4110" w:type="dxa"/>
            <w:gridSpan w:val="3"/>
          </w:tcPr>
          <w:p w14:paraId="29652B8F" w14:textId="7B2C0D07" w:rsidR="000E1A85" w:rsidRPr="00234491" w:rsidRDefault="000E1A85" w:rsidP="008D0C2B">
            <w:pPr>
              <w:contextualSpacing/>
            </w:pPr>
            <w:r w:rsidRPr="00234491">
              <w:t>Nutrient evaluation review</w:t>
            </w:r>
          </w:p>
          <w:p w14:paraId="2944DEEC" w14:textId="7ED86291" w:rsidR="000E1A85" w:rsidRPr="00234491" w:rsidRDefault="000E1A85" w:rsidP="008D0C2B">
            <w:pPr>
              <w:contextualSpacing/>
            </w:pPr>
            <w:r w:rsidRPr="00234491">
              <w:t xml:space="preserve">(Value add to Matter Transport </w:t>
            </w:r>
            <w:r>
              <w:t>evaluation</w:t>
            </w:r>
            <w:r w:rsidRPr="00234491">
              <w:t>)</w:t>
            </w:r>
          </w:p>
          <w:p w14:paraId="5228DE22" w14:textId="77777777" w:rsidR="000E1A85" w:rsidRPr="00234491" w:rsidRDefault="000E1A85" w:rsidP="008D0C2B">
            <w:pPr>
              <w:contextualSpacing/>
            </w:pPr>
          </w:p>
        </w:tc>
        <w:tc>
          <w:tcPr>
            <w:tcW w:w="1843" w:type="dxa"/>
          </w:tcPr>
          <w:p w14:paraId="04DEB11C" w14:textId="77777777" w:rsidR="000E1A85" w:rsidRDefault="000E1A85" w:rsidP="008D0C2B">
            <w:pPr>
              <w:contextualSpacing/>
            </w:pPr>
            <w:r>
              <w:t>$40k</w:t>
            </w:r>
          </w:p>
        </w:tc>
        <w:tc>
          <w:tcPr>
            <w:tcW w:w="2977" w:type="dxa"/>
          </w:tcPr>
          <w:p w14:paraId="3AF8510F" w14:textId="77777777" w:rsidR="000E1A85" w:rsidRPr="00234491" w:rsidRDefault="000E1A85" w:rsidP="008D0C2B">
            <w:pPr>
              <w:contextualSpacing/>
            </w:pPr>
          </w:p>
        </w:tc>
      </w:tr>
      <w:tr w:rsidR="000E1A85" w:rsidRPr="00234491" w14:paraId="0A0BDCB9" w14:textId="77777777" w:rsidTr="000E1A85">
        <w:tc>
          <w:tcPr>
            <w:tcW w:w="2072" w:type="dxa"/>
            <w:vMerge/>
          </w:tcPr>
          <w:p w14:paraId="3A2EB7AA" w14:textId="77777777" w:rsidR="000E1A85" w:rsidRPr="00234491" w:rsidRDefault="000E1A85" w:rsidP="008D0C2B">
            <w:pPr>
              <w:contextualSpacing/>
            </w:pPr>
          </w:p>
        </w:tc>
        <w:tc>
          <w:tcPr>
            <w:tcW w:w="2885" w:type="dxa"/>
          </w:tcPr>
          <w:p w14:paraId="2D48BAF8" w14:textId="77777777" w:rsidR="000E1A85" w:rsidRPr="00234491" w:rsidRDefault="000E1A85" w:rsidP="008D0C2B">
            <w:pPr>
              <w:contextualSpacing/>
            </w:pPr>
          </w:p>
        </w:tc>
        <w:tc>
          <w:tcPr>
            <w:tcW w:w="4110" w:type="dxa"/>
            <w:gridSpan w:val="3"/>
          </w:tcPr>
          <w:p w14:paraId="5A397723" w14:textId="36126139" w:rsidR="000E1A85" w:rsidRPr="00234491" w:rsidRDefault="000E1A85" w:rsidP="008D0C2B">
            <w:pPr>
              <w:contextualSpacing/>
            </w:pPr>
            <w:r>
              <w:t>Hydrodynamic modelling (</w:t>
            </w:r>
            <w:r w:rsidRPr="00234491">
              <w:t>egg/larval dispersion)</w:t>
            </w:r>
          </w:p>
          <w:p w14:paraId="699C58A6" w14:textId="77777777" w:rsidR="000E1A85" w:rsidRPr="00234491" w:rsidRDefault="000E1A85" w:rsidP="008D0C2B">
            <w:pPr>
              <w:contextualSpacing/>
            </w:pPr>
          </w:p>
        </w:tc>
        <w:tc>
          <w:tcPr>
            <w:tcW w:w="1843" w:type="dxa"/>
          </w:tcPr>
          <w:p w14:paraId="2E01B777" w14:textId="77777777" w:rsidR="000E1A85" w:rsidRDefault="000E1A85" w:rsidP="008D0C2B">
            <w:pPr>
              <w:contextualSpacing/>
            </w:pPr>
          </w:p>
        </w:tc>
        <w:tc>
          <w:tcPr>
            <w:tcW w:w="2977" w:type="dxa"/>
          </w:tcPr>
          <w:p w14:paraId="6DD11B29" w14:textId="77777777" w:rsidR="000E1A85" w:rsidRPr="00234491" w:rsidRDefault="000E1A85" w:rsidP="008D0C2B">
            <w:pPr>
              <w:contextualSpacing/>
            </w:pPr>
          </w:p>
        </w:tc>
      </w:tr>
      <w:tr w:rsidR="000E1A85" w:rsidRPr="00234491" w14:paraId="54D01E52" w14:textId="77777777" w:rsidTr="000E1A85">
        <w:tc>
          <w:tcPr>
            <w:tcW w:w="2072" w:type="dxa"/>
            <w:vMerge/>
          </w:tcPr>
          <w:p w14:paraId="33B3AD8C" w14:textId="77777777" w:rsidR="000E1A85" w:rsidRPr="00234491" w:rsidRDefault="000E1A85" w:rsidP="008D0C2B">
            <w:pPr>
              <w:contextualSpacing/>
            </w:pPr>
          </w:p>
        </w:tc>
        <w:tc>
          <w:tcPr>
            <w:tcW w:w="2885" w:type="dxa"/>
          </w:tcPr>
          <w:p w14:paraId="0F159799" w14:textId="77777777" w:rsidR="000E1A85" w:rsidRPr="00234491" w:rsidRDefault="000E1A85" w:rsidP="008D0C2B">
            <w:pPr>
              <w:contextualSpacing/>
            </w:pPr>
          </w:p>
        </w:tc>
        <w:tc>
          <w:tcPr>
            <w:tcW w:w="1747" w:type="dxa"/>
            <w:gridSpan w:val="2"/>
          </w:tcPr>
          <w:p w14:paraId="42085E91" w14:textId="77777777" w:rsidR="000E1A85" w:rsidRPr="00234491" w:rsidRDefault="000E1A85" w:rsidP="008D0C2B">
            <w:pPr>
              <w:contextualSpacing/>
            </w:pPr>
          </w:p>
        </w:tc>
        <w:tc>
          <w:tcPr>
            <w:tcW w:w="2363" w:type="dxa"/>
          </w:tcPr>
          <w:p w14:paraId="4A6583DA" w14:textId="159C8593" w:rsidR="000E1A85" w:rsidRPr="00234491" w:rsidRDefault="000E1A85" w:rsidP="008D0C2B">
            <w:pPr>
              <w:contextualSpacing/>
            </w:pPr>
            <w:r>
              <w:t>Flow-cued Spawning Fishes (natal origin -  adults)</w:t>
            </w:r>
          </w:p>
        </w:tc>
        <w:tc>
          <w:tcPr>
            <w:tcW w:w="1843" w:type="dxa"/>
          </w:tcPr>
          <w:p w14:paraId="33800FAC" w14:textId="5AFC68CF" w:rsidR="000E1A85" w:rsidRDefault="000E1A85" w:rsidP="00F06711">
            <w:pPr>
              <w:contextualSpacing/>
            </w:pPr>
            <w:r>
              <w:t>$53k</w:t>
            </w:r>
          </w:p>
        </w:tc>
        <w:tc>
          <w:tcPr>
            <w:tcW w:w="2977" w:type="dxa"/>
          </w:tcPr>
          <w:p w14:paraId="5E71F4FB" w14:textId="77777777" w:rsidR="000E1A85" w:rsidRPr="00234491" w:rsidRDefault="000E1A85" w:rsidP="008D0C2B">
            <w:pPr>
              <w:contextualSpacing/>
            </w:pPr>
          </w:p>
        </w:tc>
      </w:tr>
      <w:tr w:rsidR="000E1A85" w:rsidRPr="00234491" w14:paraId="42AC6C85" w14:textId="77777777" w:rsidTr="000E1A85">
        <w:tc>
          <w:tcPr>
            <w:tcW w:w="2072" w:type="dxa"/>
            <w:vMerge/>
          </w:tcPr>
          <w:p w14:paraId="5284045A" w14:textId="77777777" w:rsidR="000E1A85" w:rsidRPr="00234491" w:rsidRDefault="000E1A85" w:rsidP="008D0C2B">
            <w:pPr>
              <w:contextualSpacing/>
            </w:pPr>
          </w:p>
        </w:tc>
        <w:tc>
          <w:tcPr>
            <w:tcW w:w="6995" w:type="dxa"/>
            <w:gridSpan w:val="4"/>
          </w:tcPr>
          <w:p w14:paraId="19250C5E" w14:textId="364F6CCF" w:rsidR="000E1A85" w:rsidRDefault="000E1A85" w:rsidP="001F69C5">
            <w:pPr>
              <w:contextualSpacing/>
              <w:jc w:val="center"/>
            </w:pPr>
            <w:r>
              <w:t>Lamprey  migration</w:t>
            </w:r>
          </w:p>
        </w:tc>
        <w:tc>
          <w:tcPr>
            <w:tcW w:w="1843" w:type="dxa"/>
          </w:tcPr>
          <w:p w14:paraId="3D58391B" w14:textId="13124ED7" w:rsidR="000E1A85" w:rsidRDefault="000E1A85" w:rsidP="00E736C1">
            <w:pPr>
              <w:contextualSpacing/>
            </w:pPr>
            <w:r>
              <w:t>$25k</w:t>
            </w:r>
          </w:p>
        </w:tc>
        <w:tc>
          <w:tcPr>
            <w:tcW w:w="2977" w:type="dxa"/>
          </w:tcPr>
          <w:p w14:paraId="45B4C312" w14:textId="1B6EBCDE" w:rsidR="000E1A85" w:rsidRPr="00234491" w:rsidRDefault="000E1A85" w:rsidP="008D0C2B">
            <w:pPr>
              <w:contextualSpacing/>
            </w:pPr>
            <w:r>
              <w:t>Co-funded by DEW/MDBA</w:t>
            </w:r>
          </w:p>
        </w:tc>
      </w:tr>
      <w:tr w:rsidR="000E1A85" w:rsidRPr="00234491" w14:paraId="5AFBCC6F" w14:textId="77777777" w:rsidTr="000E1A85">
        <w:tc>
          <w:tcPr>
            <w:tcW w:w="2072" w:type="dxa"/>
            <w:vMerge/>
          </w:tcPr>
          <w:p w14:paraId="0D9B93C2" w14:textId="77777777" w:rsidR="000E1A85" w:rsidRPr="00234491" w:rsidRDefault="000E1A85" w:rsidP="00500345">
            <w:pPr>
              <w:contextualSpacing/>
            </w:pPr>
          </w:p>
        </w:tc>
        <w:tc>
          <w:tcPr>
            <w:tcW w:w="2885" w:type="dxa"/>
          </w:tcPr>
          <w:p w14:paraId="25E97D9B" w14:textId="77777777" w:rsidR="000E1A85" w:rsidRDefault="000E1A85" w:rsidP="00500345">
            <w:pPr>
              <w:contextualSpacing/>
              <w:jc w:val="center"/>
            </w:pPr>
          </w:p>
        </w:tc>
        <w:tc>
          <w:tcPr>
            <w:tcW w:w="4110" w:type="dxa"/>
            <w:gridSpan w:val="3"/>
          </w:tcPr>
          <w:p w14:paraId="24802E14" w14:textId="5967CE7F" w:rsidR="000E1A85" w:rsidRDefault="000E1A85" w:rsidP="00500345">
            <w:pPr>
              <w:contextualSpacing/>
              <w:jc w:val="center"/>
            </w:pPr>
            <w:r>
              <w:t>Winter stream metabolism</w:t>
            </w:r>
          </w:p>
        </w:tc>
        <w:tc>
          <w:tcPr>
            <w:tcW w:w="1843" w:type="dxa"/>
          </w:tcPr>
          <w:p w14:paraId="64747C5F" w14:textId="7E69CE9A" w:rsidR="000E1A85" w:rsidRDefault="000E1A85" w:rsidP="00500345">
            <w:pPr>
              <w:contextualSpacing/>
            </w:pPr>
            <w:r>
              <w:t>$25k</w:t>
            </w:r>
          </w:p>
        </w:tc>
        <w:tc>
          <w:tcPr>
            <w:tcW w:w="2977" w:type="dxa"/>
          </w:tcPr>
          <w:p w14:paraId="5E616F68" w14:textId="77777777" w:rsidR="000E1A85" w:rsidRDefault="000E1A85" w:rsidP="00500345">
            <w:pPr>
              <w:contextualSpacing/>
            </w:pPr>
          </w:p>
        </w:tc>
      </w:tr>
      <w:tr w:rsidR="000E1A85" w:rsidRPr="00234491" w14:paraId="094A9E3A" w14:textId="77777777" w:rsidTr="000E1A85">
        <w:tc>
          <w:tcPr>
            <w:tcW w:w="2072" w:type="dxa"/>
            <w:vMerge w:val="restart"/>
          </w:tcPr>
          <w:p w14:paraId="3B33B394" w14:textId="454AA05F" w:rsidR="000150F2" w:rsidRPr="00234491" w:rsidRDefault="000150F2" w:rsidP="000150F2">
            <w:pPr>
              <w:contextualSpacing/>
            </w:pPr>
            <w:r w:rsidRPr="00234491">
              <w:t xml:space="preserve">Flow </w:t>
            </w:r>
            <w:r w:rsidR="009337DC">
              <w:t xml:space="preserve"> </w:t>
            </w:r>
            <w:r>
              <w:t>&lt;</w:t>
            </w:r>
            <w:r w:rsidR="009337DC">
              <w:t xml:space="preserve"> </w:t>
            </w:r>
            <w:r w:rsidRPr="00234491">
              <w:t xml:space="preserve">entitlement </w:t>
            </w:r>
          </w:p>
          <w:p w14:paraId="497D0C5B" w14:textId="77777777" w:rsidR="000150F2" w:rsidRPr="00234491" w:rsidRDefault="000150F2" w:rsidP="000150F2">
            <w:pPr>
              <w:contextualSpacing/>
            </w:pPr>
          </w:p>
          <w:p w14:paraId="24FC32B8" w14:textId="34506249" w:rsidR="000E1A85" w:rsidRPr="00234491" w:rsidRDefault="000150F2" w:rsidP="000150F2">
            <w:pPr>
              <w:contextualSpacing/>
            </w:pPr>
            <w:r w:rsidRPr="00234491">
              <w:t>Or flows &lt; 10,000 ML/d</w:t>
            </w:r>
            <w:r>
              <w:t xml:space="preserve"> w</w:t>
            </w:r>
            <w:r w:rsidRPr="00234491">
              <w:t>hen risks are higher</w:t>
            </w:r>
          </w:p>
        </w:tc>
        <w:tc>
          <w:tcPr>
            <w:tcW w:w="2885" w:type="dxa"/>
          </w:tcPr>
          <w:p w14:paraId="7A327B2E" w14:textId="77777777" w:rsidR="000E1A85" w:rsidRPr="00234491" w:rsidRDefault="000E1A85" w:rsidP="00500345">
            <w:pPr>
              <w:contextualSpacing/>
            </w:pPr>
          </w:p>
        </w:tc>
        <w:tc>
          <w:tcPr>
            <w:tcW w:w="4110" w:type="dxa"/>
            <w:gridSpan w:val="3"/>
          </w:tcPr>
          <w:p w14:paraId="7DAC98B5" w14:textId="339C9217" w:rsidR="000E1A85" w:rsidRPr="00234491" w:rsidRDefault="000E1A85" w:rsidP="00500345">
            <w:pPr>
              <w:contextualSpacing/>
            </w:pPr>
            <w:r w:rsidRPr="00234491">
              <w:t>Cyanobacteria risk</w:t>
            </w:r>
          </w:p>
          <w:p w14:paraId="616B417A" w14:textId="77777777" w:rsidR="000E1A85" w:rsidRPr="00234491" w:rsidRDefault="000E1A85" w:rsidP="00500345">
            <w:pPr>
              <w:contextualSpacing/>
            </w:pPr>
          </w:p>
        </w:tc>
        <w:tc>
          <w:tcPr>
            <w:tcW w:w="1843" w:type="dxa"/>
          </w:tcPr>
          <w:p w14:paraId="6ABBCA8C" w14:textId="77777777" w:rsidR="000E1A85" w:rsidRDefault="000E1A85" w:rsidP="00500345">
            <w:pPr>
              <w:contextualSpacing/>
            </w:pPr>
            <w:r>
              <w:t>$60k</w:t>
            </w:r>
          </w:p>
        </w:tc>
        <w:tc>
          <w:tcPr>
            <w:tcW w:w="2977" w:type="dxa"/>
          </w:tcPr>
          <w:p w14:paraId="25C4C873" w14:textId="77777777" w:rsidR="000E1A85" w:rsidRPr="00234491" w:rsidRDefault="000E1A85" w:rsidP="00500345">
            <w:pPr>
              <w:contextualSpacing/>
            </w:pPr>
          </w:p>
        </w:tc>
      </w:tr>
      <w:tr w:rsidR="000E1A85" w:rsidRPr="00234491" w14:paraId="6FED7695" w14:textId="77777777" w:rsidTr="000E1A85">
        <w:tc>
          <w:tcPr>
            <w:tcW w:w="2072" w:type="dxa"/>
            <w:vMerge/>
          </w:tcPr>
          <w:p w14:paraId="0EA4BE43" w14:textId="77777777" w:rsidR="000E1A85" w:rsidRPr="00234491" w:rsidRDefault="000E1A85" w:rsidP="00500345">
            <w:pPr>
              <w:contextualSpacing/>
            </w:pPr>
          </w:p>
        </w:tc>
        <w:tc>
          <w:tcPr>
            <w:tcW w:w="2885" w:type="dxa"/>
          </w:tcPr>
          <w:p w14:paraId="6123C3BD" w14:textId="77777777" w:rsidR="000E1A85" w:rsidRPr="00234491" w:rsidRDefault="000E1A85" w:rsidP="00500345">
            <w:pPr>
              <w:contextualSpacing/>
            </w:pPr>
          </w:p>
        </w:tc>
        <w:tc>
          <w:tcPr>
            <w:tcW w:w="4110" w:type="dxa"/>
            <w:gridSpan w:val="3"/>
          </w:tcPr>
          <w:p w14:paraId="34191ABA" w14:textId="189D5932" w:rsidR="000E1A85" w:rsidRPr="00234491" w:rsidRDefault="000E1A85" w:rsidP="00500345">
            <w:pPr>
              <w:contextualSpacing/>
            </w:pPr>
            <w:r w:rsidRPr="00234491">
              <w:t>Hypoxia risk</w:t>
            </w:r>
          </w:p>
        </w:tc>
        <w:tc>
          <w:tcPr>
            <w:tcW w:w="1843" w:type="dxa"/>
          </w:tcPr>
          <w:p w14:paraId="42232F15" w14:textId="77777777" w:rsidR="000E1A85" w:rsidRDefault="000E1A85" w:rsidP="00500345">
            <w:pPr>
              <w:contextualSpacing/>
            </w:pPr>
            <w:r>
              <w:t>$40k</w:t>
            </w:r>
          </w:p>
        </w:tc>
        <w:tc>
          <w:tcPr>
            <w:tcW w:w="2977" w:type="dxa"/>
          </w:tcPr>
          <w:p w14:paraId="464F6BF5" w14:textId="77777777" w:rsidR="000E1A85" w:rsidRPr="00234491" w:rsidRDefault="000E1A85" w:rsidP="00500345">
            <w:pPr>
              <w:contextualSpacing/>
            </w:pPr>
          </w:p>
        </w:tc>
      </w:tr>
    </w:tbl>
    <w:p w14:paraId="1B1649B2" w14:textId="3F453E83" w:rsidR="00E96B0C" w:rsidRDefault="00BF671A" w:rsidP="00E96B0C">
      <w:pPr>
        <w:pStyle w:val="ListBullet"/>
        <w:numPr>
          <w:ilvl w:val="0"/>
          <w:numId w:val="0"/>
        </w:numPr>
        <w:sectPr w:rsidR="00E96B0C" w:rsidSect="003F6444">
          <w:pgSz w:w="16840" w:h="11900" w:orient="landscape"/>
          <w:pgMar w:top="1440" w:right="1440" w:bottom="1361" w:left="1440" w:header="709" w:footer="709" w:gutter="0"/>
          <w:cols w:space="708"/>
          <w:docGrid w:linePitch="360"/>
        </w:sectPr>
      </w:pPr>
      <w:r>
        <w:t>*</w:t>
      </w:r>
      <w:r w:rsidRPr="00F60794">
        <w:rPr>
          <w:sz w:val="18"/>
          <w:szCs w:val="18"/>
        </w:rPr>
        <w:t>If engaging a student to conduct the experiment.</w:t>
      </w:r>
      <w:bookmarkStart w:id="177" w:name="_Toc381254824"/>
      <w:bookmarkStart w:id="178" w:name="_Toc381255032"/>
      <w:bookmarkStart w:id="179" w:name="_Toc381255156"/>
      <w:bookmarkStart w:id="180" w:name="_Toc381255670"/>
      <w:bookmarkStart w:id="181" w:name="_Toc381256922"/>
      <w:bookmarkStart w:id="182" w:name="_Toc381258060"/>
      <w:bookmarkStart w:id="183" w:name="_Toc381254825"/>
      <w:bookmarkStart w:id="184" w:name="_Toc381255033"/>
      <w:bookmarkStart w:id="185" w:name="_Toc381255157"/>
      <w:bookmarkStart w:id="186" w:name="_Toc381255671"/>
      <w:bookmarkStart w:id="187" w:name="_Toc381256923"/>
      <w:bookmarkStart w:id="188" w:name="_Toc381258061"/>
      <w:bookmarkStart w:id="189" w:name="_Toc381254826"/>
      <w:bookmarkStart w:id="190" w:name="_Toc381255034"/>
      <w:bookmarkStart w:id="191" w:name="_Toc381255158"/>
      <w:bookmarkStart w:id="192" w:name="_Toc381255672"/>
      <w:bookmarkStart w:id="193" w:name="_Toc381256924"/>
      <w:bookmarkStart w:id="194" w:name="_Toc381258062"/>
      <w:bookmarkStart w:id="195" w:name="_Toc381254830"/>
      <w:bookmarkStart w:id="196" w:name="_Toc381255038"/>
      <w:bookmarkStart w:id="197" w:name="_Toc381255162"/>
      <w:bookmarkStart w:id="198" w:name="_Toc381255676"/>
      <w:bookmarkStart w:id="199" w:name="_Toc381256928"/>
      <w:bookmarkStart w:id="200" w:name="_Toc381258066"/>
      <w:bookmarkStart w:id="201" w:name="RANGE!A74"/>
      <w:bookmarkStart w:id="202" w:name="_Ref10103965"/>
      <w:bookmarkStart w:id="203" w:name="_Ref10107360"/>
      <w:bookmarkStart w:id="204" w:name="_Ref10109960"/>
      <w:bookmarkStart w:id="205" w:name="_Ref10120031"/>
      <w:bookmarkStart w:id="206" w:name="_Ref384982311"/>
      <w:bookmarkStart w:id="207" w:name="_Toc384985541"/>
      <w:bookmarkStart w:id="208" w:name="_Toc384985547"/>
      <w:bookmarkStart w:id="209" w:name="_Ref396120567"/>
      <w:bookmarkEnd w:id="57"/>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3D194FB0" w14:textId="4B47C325" w:rsidR="00B83D38" w:rsidRDefault="00B83D38" w:rsidP="00B83D38">
      <w:pPr>
        <w:pStyle w:val="Heading1"/>
      </w:pPr>
      <w:bookmarkStart w:id="210" w:name="_Ref12000383"/>
      <w:bookmarkStart w:id="211" w:name="_Toc22196717"/>
      <w:r w:rsidRPr="007D3060">
        <w:lastRenderedPageBreak/>
        <w:t>Integrated research</w:t>
      </w:r>
      <w:bookmarkEnd w:id="202"/>
      <w:bookmarkEnd w:id="203"/>
      <w:bookmarkEnd w:id="204"/>
      <w:bookmarkEnd w:id="205"/>
      <w:bookmarkEnd w:id="210"/>
      <w:bookmarkEnd w:id="211"/>
    </w:p>
    <w:p w14:paraId="33499245" w14:textId="59E76877" w:rsidR="00B54C92" w:rsidRPr="0068610D" w:rsidRDefault="00606682" w:rsidP="0068610D">
      <w:r>
        <w:t xml:space="preserve">The following research proposal has been provided for consideration by CEWO as a potential use of research funding </w:t>
      </w:r>
      <w:r w:rsidRPr="00B54C92">
        <w:t>and will be subject to a subsequent work order approval process</w:t>
      </w:r>
      <w:r>
        <w:t xml:space="preserve">. This proposed research </w:t>
      </w:r>
      <w:r w:rsidRPr="00606682">
        <w:t xml:space="preserve">project will integrate monitoring from several indicators </w:t>
      </w:r>
      <w:r w:rsidR="008D18F7">
        <w:t xml:space="preserve">in a cost-effective manner </w:t>
      </w:r>
      <w:r w:rsidRPr="00606682">
        <w:t xml:space="preserve">and provide a holistic view of ecosystem response to flow (including </w:t>
      </w:r>
      <w:r>
        <w:t>Commonwealth environmental water</w:t>
      </w:r>
      <w:r w:rsidRPr="00606682">
        <w:t xml:space="preserve">) and a mechanistic understanding of </w:t>
      </w:r>
      <w:r w:rsidR="0068610D" w:rsidRPr="0068610D">
        <w:t xml:space="preserve">ecological processes that </w:t>
      </w:r>
      <w:r w:rsidR="0068610D">
        <w:t xml:space="preserve">lead to improved </w:t>
      </w:r>
      <w:r w:rsidR="0068610D" w:rsidRPr="0068610D">
        <w:t>recruitment of key fish species (Murray cod).</w:t>
      </w:r>
    </w:p>
    <w:p w14:paraId="6B3D0729" w14:textId="6678AE08" w:rsidR="00F92A26" w:rsidRPr="008E3CFD" w:rsidRDefault="00F92A26" w:rsidP="007D3060">
      <w:pPr>
        <w:pStyle w:val="Heading2"/>
      </w:pPr>
      <w:bookmarkStart w:id="212" w:name="_Toc22196718"/>
      <w:r>
        <w:t xml:space="preserve">From primary productivity to Murray cod </w:t>
      </w:r>
      <w:bookmarkEnd w:id="206"/>
      <w:bookmarkEnd w:id="207"/>
      <w:r>
        <w:t>recruitment</w:t>
      </w:r>
      <w:bookmarkEnd w:id="212"/>
    </w:p>
    <w:p w14:paraId="1F48B079" w14:textId="77777777" w:rsidR="00F92A26" w:rsidRPr="009E19B8" w:rsidRDefault="00F92A26" w:rsidP="007D3060">
      <w:pPr>
        <w:pStyle w:val="Heading3"/>
        <w:rPr>
          <w:lang w:val="en-US"/>
        </w:rPr>
      </w:pPr>
      <w:bookmarkStart w:id="213" w:name="_Toc22196719"/>
      <w:r w:rsidRPr="009E19B8">
        <w:rPr>
          <w:lang w:val="en-US"/>
        </w:rPr>
        <w:t>Background</w:t>
      </w:r>
      <w:bookmarkEnd w:id="213"/>
    </w:p>
    <w:p w14:paraId="713322F1" w14:textId="36B58DCE" w:rsidR="0042188F" w:rsidRDefault="0042188F" w:rsidP="0042188F">
      <w:pPr>
        <w:rPr>
          <w:lang w:val="en-US"/>
        </w:rPr>
      </w:pPr>
      <w:r>
        <w:rPr>
          <w:lang w:val="en-US"/>
        </w:rPr>
        <w:t xml:space="preserve">The early life stages of fishes (eggs, larvae and juveniles) often suffer high levels of mortality, and subsequently, survival through this vulnerable period can influence recruitment, abundance and population resilience (Houde 1997). Survival through early life stages is influenced by types and densities of food, levels of predation and competition, and physico-chemical conditions (e.g. temperature). The </w:t>
      </w:r>
      <w:r w:rsidRPr="00AE5F76">
        <w:rPr>
          <w:lang w:val="en-US"/>
        </w:rPr>
        <w:t>Fundamental Triad</w:t>
      </w:r>
      <w:r>
        <w:rPr>
          <w:lang w:val="en-US"/>
        </w:rPr>
        <w:t xml:space="preserve"> fish recruitment </w:t>
      </w:r>
      <w:r w:rsidRPr="009B4B23">
        <w:rPr>
          <w:lang w:val="en-US"/>
        </w:rPr>
        <w:t>hypothesis (Bakun 1996), and</w:t>
      </w:r>
      <w:r>
        <w:rPr>
          <w:lang w:val="en-US"/>
        </w:rPr>
        <w:t xml:space="preserve"> its recent extension to riverine environments, </w:t>
      </w:r>
      <w:r w:rsidRPr="003D3A99">
        <w:rPr>
          <w:lang w:val="en-US"/>
        </w:rPr>
        <w:t>The</w:t>
      </w:r>
      <w:r>
        <w:rPr>
          <w:i/>
          <w:lang w:val="en-US"/>
        </w:rPr>
        <w:t xml:space="preserve"> </w:t>
      </w:r>
      <w:r w:rsidRPr="00AE5F76">
        <w:rPr>
          <w:lang w:val="en-US"/>
        </w:rPr>
        <w:t>Riverscape Recruitment Synthesis Model</w:t>
      </w:r>
      <w:r>
        <w:rPr>
          <w:i/>
          <w:lang w:val="en-US"/>
        </w:rPr>
        <w:t xml:space="preserve"> </w:t>
      </w:r>
      <w:r>
        <w:rPr>
          <w:lang w:val="en-US"/>
        </w:rPr>
        <w:t xml:space="preserve">(Humphries </w:t>
      </w:r>
      <w:r w:rsidRPr="009B4B23">
        <w:rPr>
          <w:i/>
          <w:lang w:val="en-US"/>
        </w:rPr>
        <w:t>et al.</w:t>
      </w:r>
      <w:r>
        <w:rPr>
          <w:lang w:val="en-US"/>
        </w:rPr>
        <w:t xml:space="preserve"> In Press), propose that </w:t>
      </w:r>
      <w:r w:rsidR="003D3A99">
        <w:rPr>
          <w:lang w:val="en-US"/>
        </w:rPr>
        <w:t xml:space="preserve">processes critical to fish recruitment are </w:t>
      </w:r>
      <w:r>
        <w:rPr>
          <w:lang w:val="en-US"/>
        </w:rPr>
        <w:t>the sources and amount of energy available (productivity), nutrient and prey enrichment and concentration, as well as dispersal to</w:t>
      </w:r>
      <w:r w:rsidR="003D3A99">
        <w:rPr>
          <w:lang w:val="en-US"/>
        </w:rPr>
        <w:t>,</w:t>
      </w:r>
      <w:r>
        <w:rPr>
          <w:lang w:val="en-US"/>
        </w:rPr>
        <w:t xml:space="preserve"> and retention of</w:t>
      </w:r>
      <w:r w:rsidR="003D3A99">
        <w:rPr>
          <w:lang w:val="en-US"/>
        </w:rPr>
        <w:t>,</w:t>
      </w:r>
      <w:r>
        <w:rPr>
          <w:lang w:val="en-US"/>
        </w:rPr>
        <w:t xml:space="preserve"> fish in favourable nursery habitats. Assuming these functions are met or enhanced, individuals will likely exhibit improved growth rates and condition that will </w:t>
      </w:r>
      <w:r w:rsidRPr="004D6553">
        <w:rPr>
          <w:lang w:val="en-US"/>
        </w:rPr>
        <w:t xml:space="preserve">mediate greater survival </w:t>
      </w:r>
      <w:r>
        <w:rPr>
          <w:lang w:val="en-US"/>
        </w:rPr>
        <w:t xml:space="preserve">and thus </w:t>
      </w:r>
      <w:r w:rsidRPr="009B4B23">
        <w:rPr>
          <w:lang w:val="en-US"/>
        </w:rPr>
        <w:t xml:space="preserve">abundance </w:t>
      </w:r>
      <w:r w:rsidR="00F92A26" w:rsidRPr="009B4B23">
        <w:rPr>
          <w:lang w:val="en-US"/>
        </w:rPr>
        <w:t xml:space="preserve">(see </w:t>
      </w:r>
      <w:r w:rsidR="00F92A26">
        <w:rPr>
          <w:lang w:val="en-US"/>
        </w:rPr>
        <w:t xml:space="preserve">Section </w:t>
      </w:r>
      <w:r w:rsidR="00F1101D">
        <w:rPr>
          <w:lang w:val="en-US"/>
        </w:rPr>
        <w:fldChar w:fldCharType="begin"/>
      </w:r>
      <w:r w:rsidR="00F1101D">
        <w:rPr>
          <w:lang w:val="en-US"/>
        </w:rPr>
        <w:instrText xml:space="preserve"> REF _Ref10128814 \r \h </w:instrText>
      </w:r>
      <w:r w:rsidR="00F1101D">
        <w:rPr>
          <w:lang w:val="en-US"/>
        </w:rPr>
      </w:r>
      <w:r w:rsidR="00F1101D">
        <w:rPr>
          <w:lang w:val="en-US"/>
        </w:rPr>
        <w:fldChar w:fldCharType="separate"/>
      </w:r>
      <w:r w:rsidR="00DF49CD">
        <w:rPr>
          <w:lang w:val="en-US"/>
        </w:rPr>
        <w:t>5.2.6</w:t>
      </w:r>
      <w:r w:rsidR="00F1101D">
        <w:rPr>
          <w:lang w:val="en-US"/>
        </w:rPr>
        <w:fldChar w:fldCharType="end"/>
      </w:r>
      <w:r>
        <w:rPr>
          <w:lang w:val="en-US"/>
        </w:rPr>
        <w:t>,</w:t>
      </w:r>
      <w:r w:rsidR="00F92A26">
        <w:rPr>
          <w:lang w:val="en-US"/>
        </w:rPr>
        <w:t xml:space="preserve"> </w:t>
      </w:r>
      <w:r w:rsidR="00F92A26" w:rsidRPr="0042188F">
        <w:rPr>
          <w:i/>
          <w:lang w:val="en-US"/>
        </w:rPr>
        <w:t xml:space="preserve">Murray </w:t>
      </w:r>
      <w:r w:rsidR="00F1101D" w:rsidRPr="0042188F">
        <w:rPr>
          <w:i/>
          <w:lang w:val="en-US"/>
        </w:rPr>
        <w:t>C</w:t>
      </w:r>
      <w:r w:rsidR="00F92A26" w:rsidRPr="0042188F">
        <w:rPr>
          <w:i/>
          <w:lang w:val="en-US"/>
        </w:rPr>
        <w:t xml:space="preserve">od </w:t>
      </w:r>
      <w:r w:rsidR="00F1101D" w:rsidRPr="0042188F">
        <w:rPr>
          <w:i/>
          <w:lang w:val="en-US"/>
        </w:rPr>
        <w:t>R</w:t>
      </w:r>
      <w:r w:rsidR="00F92A26" w:rsidRPr="0042188F">
        <w:rPr>
          <w:i/>
          <w:lang w:val="en-US"/>
        </w:rPr>
        <w:t>ecruitment</w:t>
      </w:r>
      <w:r w:rsidR="00F92A26" w:rsidRPr="009B4B23">
        <w:rPr>
          <w:lang w:val="en-US"/>
        </w:rPr>
        <w:t xml:space="preserve">). </w:t>
      </w:r>
      <w:r w:rsidRPr="009B4B23">
        <w:rPr>
          <w:lang w:val="en-US"/>
        </w:rPr>
        <w:t>In</w:t>
      </w:r>
      <w:r>
        <w:rPr>
          <w:lang w:val="en-US"/>
        </w:rPr>
        <w:t xml:space="preserve"> the context of river flow regimes and environmental water delivery, monitoring ecological patterns associated with fish recruitment (e.g. growth rates, abundance) is needed for evaluating outcomes and informing future delivery via adaptive flow management. A range of indicators, from hydraulic regime, productivity to fish, are monitored in the Lower Murray Selected Area.</w:t>
      </w:r>
      <w:r w:rsidRPr="00377DD3">
        <w:rPr>
          <w:lang w:val="en-US"/>
        </w:rPr>
        <w:t xml:space="preserve"> </w:t>
      </w:r>
      <w:r>
        <w:rPr>
          <w:lang w:val="en-US"/>
        </w:rPr>
        <w:t xml:space="preserve">Nonetheless, holistic understanding of the relationship between flow-induced environmental changes and fish response can only be gained by understanding how key ecosystem processes </w:t>
      </w:r>
      <w:r w:rsidR="004C4837">
        <w:rPr>
          <w:lang w:val="en-US"/>
        </w:rPr>
        <w:t xml:space="preserve">connect to </w:t>
      </w:r>
      <w:r>
        <w:rPr>
          <w:lang w:val="en-US"/>
        </w:rPr>
        <w:t xml:space="preserve">influence these patterns. </w:t>
      </w:r>
    </w:p>
    <w:p w14:paraId="51D058CF" w14:textId="5A132E0B" w:rsidR="0042188F" w:rsidRDefault="0042188F" w:rsidP="0042188F">
      <w:pPr>
        <w:rPr>
          <w:lang w:val="en-US"/>
        </w:rPr>
      </w:pPr>
      <w:r>
        <w:rPr>
          <w:lang w:val="en-US"/>
        </w:rPr>
        <w:t xml:space="preserve">The amount and sources of energy available in riverine ecosystems vary as a function of discharge and hydraulics. During low flow, autochthonous local sources are dominant, but as discharge and inundation increases, so too do carbon loads and longitudinal transport of material, to a point when broad-scale floodplain inundation occurs and these habitats </w:t>
      </w:r>
      <w:r w:rsidR="003A068E">
        <w:rPr>
          <w:lang w:val="en-US"/>
        </w:rPr>
        <w:t>may contribute substantial</w:t>
      </w:r>
      <w:r>
        <w:rPr>
          <w:lang w:val="en-US"/>
        </w:rPr>
        <w:t xml:space="preserve"> energy inputs (Vannote </w:t>
      </w:r>
      <w:r>
        <w:rPr>
          <w:i/>
          <w:lang w:val="en-US"/>
        </w:rPr>
        <w:t xml:space="preserve">et al. </w:t>
      </w:r>
      <w:r>
        <w:rPr>
          <w:lang w:val="en-US"/>
        </w:rPr>
        <w:t xml:space="preserve">1980; Junk </w:t>
      </w:r>
      <w:r>
        <w:rPr>
          <w:i/>
          <w:lang w:val="en-US"/>
        </w:rPr>
        <w:t xml:space="preserve">et al. </w:t>
      </w:r>
      <w:r>
        <w:rPr>
          <w:lang w:val="en-US"/>
        </w:rPr>
        <w:t xml:space="preserve">1989). In the </w:t>
      </w:r>
      <w:r w:rsidR="00C204F9">
        <w:rPr>
          <w:lang w:val="en-US"/>
        </w:rPr>
        <w:t>Lower Murray</w:t>
      </w:r>
      <w:r>
        <w:rPr>
          <w:lang w:val="en-US"/>
        </w:rPr>
        <w:t xml:space="preserve">, lower ranges of flow variability may also be associated with changed energy sources and pathways. For instance, changes in discharge that remain in-channel, and attendant changes in water velocity and turbulence, result in shifts in phytoplankton communities between cyanobacteria and diatom dominance (Aldridge </w:t>
      </w:r>
      <w:r>
        <w:rPr>
          <w:i/>
          <w:lang w:val="en-US"/>
        </w:rPr>
        <w:t xml:space="preserve">et al. </w:t>
      </w:r>
      <w:r>
        <w:rPr>
          <w:lang w:val="en-US"/>
        </w:rPr>
        <w:t xml:space="preserve">2012). Diatoms are better quality food for higher trophic levels than cyanobacteria (Guo </w:t>
      </w:r>
      <w:r>
        <w:rPr>
          <w:i/>
          <w:lang w:val="en-US"/>
        </w:rPr>
        <w:t xml:space="preserve">et al. </w:t>
      </w:r>
      <w:r>
        <w:rPr>
          <w:lang w:val="en-US"/>
        </w:rPr>
        <w:t xml:space="preserve">2017), and thus, this switch in in-channel basal food resources may influence the abundance and nutrition of microinvertebrate communities and trophic upsurge, including supporting fishes like Murray cod. Understanding the mechanisms that drive improved growth rates, condition, survival and ultimately recruitment, is key knowledge required to support </w:t>
      </w:r>
      <w:r w:rsidR="008D18F7">
        <w:rPr>
          <w:lang w:val="en-US"/>
        </w:rPr>
        <w:t>C</w:t>
      </w:r>
      <w:r>
        <w:rPr>
          <w:lang w:val="en-US"/>
        </w:rPr>
        <w:t>ommonwealth environmental water delivery</w:t>
      </w:r>
      <w:r w:rsidRPr="003B34B2">
        <w:rPr>
          <w:lang w:val="en-US"/>
        </w:rPr>
        <w:t xml:space="preserve"> and flow management in the Lower Murray. </w:t>
      </w:r>
    </w:p>
    <w:p w14:paraId="1D44C51B" w14:textId="0209192E" w:rsidR="00F92A26" w:rsidRPr="009E19B8" w:rsidRDefault="00F92A26" w:rsidP="007D3060">
      <w:pPr>
        <w:pStyle w:val="Heading3"/>
        <w:rPr>
          <w:lang w:val="en-US"/>
        </w:rPr>
      </w:pPr>
      <w:bookmarkStart w:id="214" w:name="_Toc22196720"/>
      <w:r w:rsidRPr="009E19B8">
        <w:rPr>
          <w:lang w:val="en-US"/>
        </w:rPr>
        <w:t>Research questions</w:t>
      </w:r>
      <w:bookmarkEnd w:id="214"/>
    </w:p>
    <w:p w14:paraId="68499D69" w14:textId="77777777" w:rsidR="0042188F" w:rsidRDefault="0042188F" w:rsidP="0042188F">
      <w:pPr>
        <w:rPr>
          <w:lang w:val="en-US"/>
        </w:rPr>
      </w:pPr>
      <w:r>
        <w:rPr>
          <w:lang w:val="en-US"/>
        </w:rPr>
        <w:t xml:space="preserve">The overarching question is: </w:t>
      </w:r>
    </w:p>
    <w:p w14:paraId="6B28A739" w14:textId="77777777" w:rsidR="0042188F" w:rsidRDefault="0042188F" w:rsidP="00CB75AF">
      <w:pPr>
        <w:pStyle w:val="ListParagraph"/>
        <w:numPr>
          <w:ilvl w:val="0"/>
          <w:numId w:val="56"/>
        </w:numPr>
        <w:spacing w:line="259" w:lineRule="auto"/>
        <w:rPr>
          <w:lang w:val="en-US"/>
        </w:rPr>
      </w:pPr>
      <w:r w:rsidRPr="009E19B8">
        <w:rPr>
          <w:lang w:val="en-US"/>
        </w:rPr>
        <w:t>How is the recruitment of Murray cod influenced by variability in the amount, quality and pathways of energy transfer</w:t>
      </w:r>
      <w:r>
        <w:rPr>
          <w:lang w:val="en-US"/>
        </w:rPr>
        <w:t>, and how is this mediated by flow (hydrology and hydraulics)</w:t>
      </w:r>
      <w:r w:rsidRPr="009E19B8">
        <w:rPr>
          <w:lang w:val="en-US"/>
        </w:rPr>
        <w:t xml:space="preserve">? </w:t>
      </w:r>
    </w:p>
    <w:p w14:paraId="11A42CFF" w14:textId="77777777" w:rsidR="0042188F" w:rsidRDefault="0042188F" w:rsidP="0042188F">
      <w:pPr>
        <w:rPr>
          <w:lang w:val="en-US"/>
        </w:rPr>
      </w:pPr>
      <w:r>
        <w:rPr>
          <w:lang w:val="en-US"/>
        </w:rPr>
        <w:lastRenderedPageBreak/>
        <w:t>Detailed questions may include:</w:t>
      </w:r>
    </w:p>
    <w:p w14:paraId="625EECB4" w14:textId="57A8CB88" w:rsidR="0042188F" w:rsidRDefault="0042188F" w:rsidP="00CB75AF">
      <w:pPr>
        <w:pStyle w:val="ListParagraph"/>
        <w:numPr>
          <w:ilvl w:val="0"/>
          <w:numId w:val="56"/>
        </w:numPr>
        <w:spacing w:line="259" w:lineRule="auto"/>
        <w:rPr>
          <w:lang w:val="en-US"/>
        </w:rPr>
      </w:pPr>
      <w:r>
        <w:rPr>
          <w:lang w:val="en-US"/>
        </w:rPr>
        <w:t xml:space="preserve">What is the diet of larval Murray cod in the </w:t>
      </w:r>
      <w:r w:rsidR="00C204F9">
        <w:rPr>
          <w:lang w:val="en-US"/>
        </w:rPr>
        <w:t>Lower Murray</w:t>
      </w:r>
      <w:r>
        <w:rPr>
          <w:lang w:val="en-US"/>
        </w:rPr>
        <w:t>, relative to ambient microinvertebrate communities, and how does this vary with flow?</w:t>
      </w:r>
    </w:p>
    <w:p w14:paraId="6EABACD3" w14:textId="6C44E361" w:rsidR="0042188F" w:rsidRDefault="0042188F" w:rsidP="00CB75AF">
      <w:pPr>
        <w:pStyle w:val="ListParagraph"/>
        <w:numPr>
          <w:ilvl w:val="0"/>
          <w:numId w:val="56"/>
        </w:numPr>
        <w:spacing w:line="259" w:lineRule="auto"/>
        <w:rPr>
          <w:lang w:val="en-US"/>
        </w:rPr>
      </w:pPr>
      <w:r>
        <w:rPr>
          <w:lang w:val="en-US"/>
        </w:rPr>
        <w:t>How does the basal food web (autochthonous v allochthonous, pelagic v benthic) change with flow, and is this reflected in the</w:t>
      </w:r>
      <w:r w:rsidR="004C4837">
        <w:rPr>
          <w:lang w:val="en-US"/>
        </w:rPr>
        <w:t xml:space="preserve"> ambient microinvertebrate communities and the</w:t>
      </w:r>
      <w:r>
        <w:rPr>
          <w:lang w:val="en-US"/>
        </w:rPr>
        <w:t xml:space="preserve"> growth and condition of Murray cod?</w:t>
      </w:r>
    </w:p>
    <w:p w14:paraId="08957777" w14:textId="5A988AA7" w:rsidR="00F92A26" w:rsidRPr="0042188F" w:rsidRDefault="0042188F" w:rsidP="00CB75AF">
      <w:pPr>
        <w:pStyle w:val="ListParagraph"/>
        <w:numPr>
          <w:ilvl w:val="0"/>
          <w:numId w:val="56"/>
        </w:numPr>
        <w:spacing w:line="259" w:lineRule="auto"/>
        <w:rPr>
          <w:lang w:val="en-US"/>
        </w:rPr>
      </w:pPr>
      <w:r>
        <w:rPr>
          <w:lang w:val="en-US"/>
        </w:rPr>
        <w:t xml:space="preserve">What is the diet of juvenile Murray cod in the </w:t>
      </w:r>
      <w:r w:rsidR="00EF0A90">
        <w:rPr>
          <w:lang w:val="en-US"/>
        </w:rPr>
        <w:t>Lower Murray</w:t>
      </w:r>
      <w:r>
        <w:rPr>
          <w:lang w:val="en-US"/>
        </w:rPr>
        <w:t>, and does diet and/or nutrition of prey items vary with flow?</w:t>
      </w:r>
    </w:p>
    <w:p w14:paraId="6914D47D" w14:textId="77777777" w:rsidR="00F92A26" w:rsidRDefault="00F92A26" w:rsidP="007D3060">
      <w:pPr>
        <w:pStyle w:val="Heading3"/>
        <w:rPr>
          <w:lang w:val="en-US"/>
        </w:rPr>
      </w:pPr>
      <w:bookmarkStart w:id="215" w:name="_Toc22196721"/>
      <w:r>
        <w:rPr>
          <w:lang w:val="en-US"/>
        </w:rPr>
        <w:t>Methods</w:t>
      </w:r>
      <w:bookmarkEnd w:id="215"/>
    </w:p>
    <w:p w14:paraId="2C66D0C0" w14:textId="544400A7" w:rsidR="0042188F" w:rsidRDefault="0042188F" w:rsidP="0042188F">
      <w:pPr>
        <w:rPr>
          <w:lang w:val="en-US"/>
        </w:rPr>
      </w:pPr>
      <w:r>
        <w:rPr>
          <w:lang w:val="en-US"/>
        </w:rPr>
        <w:t>This research project will integrate and be supported by data collected through seve</w:t>
      </w:r>
      <w:r w:rsidR="00AE5F76">
        <w:rPr>
          <w:lang w:val="en-US"/>
        </w:rPr>
        <w:t xml:space="preserve">ral other indicators including </w:t>
      </w:r>
      <w:r w:rsidR="00AE5F76" w:rsidRPr="00AE5F76">
        <w:rPr>
          <w:i/>
          <w:lang w:val="en-US"/>
        </w:rPr>
        <w:t>Hydraulic Regime</w:t>
      </w:r>
      <w:r w:rsidR="00AE5F76">
        <w:rPr>
          <w:lang w:val="en-US"/>
        </w:rPr>
        <w:t xml:space="preserve">, </w:t>
      </w:r>
      <w:r w:rsidR="00AE5F76" w:rsidRPr="00AE5F76">
        <w:rPr>
          <w:i/>
          <w:lang w:val="en-US"/>
        </w:rPr>
        <w:t>Stream M</w:t>
      </w:r>
      <w:r w:rsidRPr="00AE5F76">
        <w:rPr>
          <w:i/>
          <w:lang w:val="en-US"/>
        </w:rPr>
        <w:t>etabolism</w:t>
      </w:r>
      <w:r w:rsidR="00AE5F76" w:rsidRPr="00AE5F76">
        <w:rPr>
          <w:i/>
          <w:lang w:val="en-US"/>
        </w:rPr>
        <w:t xml:space="preserve"> and Water Quality</w:t>
      </w:r>
      <w:r>
        <w:rPr>
          <w:lang w:val="en-US"/>
        </w:rPr>
        <w:t xml:space="preserve">, </w:t>
      </w:r>
      <w:r w:rsidR="00AE5F76" w:rsidRPr="00AE5F76">
        <w:rPr>
          <w:i/>
          <w:lang w:val="en-US"/>
        </w:rPr>
        <w:t>Microinvertebrate Assemblage</w:t>
      </w:r>
      <w:r w:rsidR="00AE5F76">
        <w:rPr>
          <w:lang w:val="en-US"/>
        </w:rPr>
        <w:t xml:space="preserve"> and f</w:t>
      </w:r>
      <w:r>
        <w:rPr>
          <w:lang w:val="en-US"/>
        </w:rPr>
        <w:t>ish</w:t>
      </w:r>
      <w:r w:rsidR="00AE5F76">
        <w:rPr>
          <w:lang w:val="en-US"/>
        </w:rPr>
        <w:t xml:space="preserve"> indicators</w:t>
      </w:r>
      <w:r>
        <w:rPr>
          <w:lang w:val="en-US"/>
        </w:rPr>
        <w:t xml:space="preserve"> (</w:t>
      </w:r>
      <w:r w:rsidR="009633F2">
        <w:rPr>
          <w:lang w:val="en-US"/>
        </w:rPr>
        <w:t>Category 1 and 3</w:t>
      </w:r>
      <w:r>
        <w:rPr>
          <w:lang w:val="en-US"/>
        </w:rPr>
        <w:t>). Some additional sampling (e.g. phytoplankton) will occur in conjunction with pre-existing sampling trips. This research project will also use multiple lines of evidence. Murray cod (larvae</w:t>
      </w:r>
      <w:r w:rsidR="003A068E">
        <w:rPr>
          <w:lang w:val="en-US"/>
        </w:rPr>
        <w:t xml:space="preserve"> and juveniles</w:t>
      </w:r>
      <w:r>
        <w:rPr>
          <w:lang w:val="en-US"/>
        </w:rPr>
        <w:t xml:space="preserve">) collected as part of the </w:t>
      </w:r>
      <w:r w:rsidRPr="00AE5F76">
        <w:rPr>
          <w:i/>
          <w:lang w:val="en-US"/>
        </w:rPr>
        <w:t xml:space="preserve">Murray </w:t>
      </w:r>
      <w:r w:rsidR="00AE5F76" w:rsidRPr="00AE5F76">
        <w:rPr>
          <w:i/>
          <w:lang w:val="en-US"/>
        </w:rPr>
        <w:t>C</w:t>
      </w:r>
      <w:r w:rsidRPr="00AE5F76">
        <w:rPr>
          <w:i/>
          <w:lang w:val="en-US"/>
        </w:rPr>
        <w:t xml:space="preserve">od </w:t>
      </w:r>
      <w:r w:rsidR="00AE5F76" w:rsidRPr="00AE5F76">
        <w:rPr>
          <w:i/>
          <w:lang w:val="en-US"/>
        </w:rPr>
        <w:t>R</w:t>
      </w:r>
      <w:r w:rsidRPr="00AE5F76">
        <w:rPr>
          <w:i/>
          <w:lang w:val="en-US"/>
        </w:rPr>
        <w:t>ecruitment</w:t>
      </w:r>
      <w:r>
        <w:rPr>
          <w:lang w:val="en-US"/>
        </w:rPr>
        <w:t xml:space="preserve"> indicator for analyses of age, growth and condition, will also provide samples for potential gut content and tissue analyses. Microinvertebrate samples may also provide a means of characterising ambient assemblages for assessing larval diets.</w:t>
      </w:r>
    </w:p>
    <w:p w14:paraId="36467E7F" w14:textId="7C2F4609" w:rsidR="00F92A26" w:rsidRDefault="0042188F" w:rsidP="0042188F">
      <w:pPr>
        <w:rPr>
          <w:lang w:val="en-US"/>
        </w:rPr>
      </w:pPr>
      <w:r>
        <w:rPr>
          <w:lang w:val="en-US"/>
        </w:rPr>
        <w:t>Assessing whether the pathways of energy leading from primary productivity vary with flow will require the use of chemical techniques, potentially including stable isotope, fatty acid and</w:t>
      </w:r>
      <w:r w:rsidR="003D3A99">
        <w:rPr>
          <w:lang w:val="en-US"/>
        </w:rPr>
        <w:t>/or</w:t>
      </w:r>
      <w:r>
        <w:rPr>
          <w:lang w:val="en-US"/>
        </w:rPr>
        <w:t xml:space="preserve"> molecular analyses. Data on energy pathways can then be integrated with data on growth rates and condition of individual fish.</w:t>
      </w:r>
      <w:r w:rsidR="00F92A26">
        <w:rPr>
          <w:lang w:val="en-US"/>
        </w:rPr>
        <w:t xml:space="preserve">     </w:t>
      </w:r>
    </w:p>
    <w:p w14:paraId="496FA38E" w14:textId="77777777" w:rsidR="00F92A26" w:rsidRDefault="00F92A26" w:rsidP="007D3060">
      <w:pPr>
        <w:pStyle w:val="Heading3"/>
        <w:rPr>
          <w:lang w:val="en-US"/>
        </w:rPr>
      </w:pPr>
      <w:bookmarkStart w:id="216" w:name="_Toc22196722"/>
      <w:r>
        <w:rPr>
          <w:lang w:val="en-US"/>
        </w:rPr>
        <w:t>Informing monitoring outcomes and adaptive management</w:t>
      </w:r>
      <w:bookmarkEnd w:id="216"/>
    </w:p>
    <w:p w14:paraId="15D6C2D2" w14:textId="57DF8BCF" w:rsidR="00D513C3" w:rsidRPr="005D2A28" w:rsidRDefault="0042188F" w:rsidP="0042188F">
      <w:pPr>
        <w:rPr>
          <w:rFonts w:eastAsiaTheme="majorEastAsia" w:cstheme="majorBidi"/>
          <w:b/>
          <w:bCs/>
          <w:i/>
          <w:color w:val="auto"/>
          <w:sz w:val="32"/>
          <w:szCs w:val="28"/>
        </w:rPr>
      </w:pPr>
      <w:r>
        <w:rPr>
          <w:lang w:val="en-US"/>
        </w:rPr>
        <w:t xml:space="preserve">This component will integrate monitoring outcomes from several indicators in this Selected Area to present a holistic view on ecosystem response. </w:t>
      </w:r>
      <w:r w:rsidRPr="003B34B2">
        <w:rPr>
          <w:lang w:val="en-US"/>
        </w:rPr>
        <w:t xml:space="preserve">This integrated research could also improve evaluation by understanding </w:t>
      </w:r>
      <w:r>
        <w:rPr>
          <w:lang w:val="en-US"/>
        </w:rPr>
        <w:t>mechanisms driving monitoring outcomes (e.g. Murray cod juvenile growth rates). By elucidating the ecological processes that underlie the patterns observed in monitoring, this project will provide a mechanistic understanding of system function to support Commonwealth environmental water delivery</w:t>
      </w:r>
      <w:r w:rsidRPr="003B34B2">
        <w:rPr>
          <w:lang w:val="en-US"/>
        </w:rPr>
        <w:t xml:space="preserve"> </w:t>
      </w:r>
      <w:r>
        <w:rPr>
          <w:lang w:val="en-US"/>
        </w:rPr>
        <w:t>and flow management.</w:t>
      </w:r>
      <w:r w:rsidR="00F92A26">
        <w:rPr>
          <w:lang w:val="en-US"/>
        </w:rPr>
        <w:t xml:space="preserve"> </w:t>
      </w:r>
      <w:r w:rsidR="003E636B">
        <w:t>See Attachment B for the 2019–2021 Work Order and Project Scope.</w:t>
      </w:r>
      <w:r w:rsidR="00D513C3" w:rsidRPr="005D2A28">
        <w:rPr>
          <w:i/>
        </w:rPr>
        <w:br w:type="page"/>
      </w:r>
    </w:p>
    <w:p w14:paraId="7804B09A" w14:textId="77777777" w:rsidR="003A068E" w:rsidRPr="00C67ED2" w:rsidRDefault="003A068E" w:rsidP="003A068E">
      <w:pPr>
        <w:pStyle w:val="Heading1"/>
      </w:pPr>
      <w:bookmarkStart w:id="217" w:name="_Ref10114573"/>
      <w:bookmarkStart w:id="218" w:name="_Ref10124925"/>
      <w:bookmarkStart w:id="219" w:name="_Ref10125267"/>
      <w:bookmarkStart w:id="220" w:name="_Ref10125967"/>
      <w:bookmarkStart w:id="221" w:name="_Ref10127770"/>
      <w:bookmarkStart w:id="222" w:name="_Toc22196723"/>
      <w:bookmarkStart w:id="223" w:name="_Toc384985548"/>
      <w:bookmarkEnd w:id="208"/>
      <w:bookmarkEnd w:id="209"/>
      <w:r w:rsidRPr="00D513C3">
        <w:lastRenderedPageBreak/>
        <w:t>Summary of monitoring, evaluation and research activities</w:t>
      </w:r>
      <w:bookmarkEnd w:id="217"/>
      <w:bookmarkEnd w:id="218"/>
      <w:bookmarkEnd w:id="219"/>
      <w:bookmarkEnd w:id="220"/>
      <w:bookmarkEnd w:id="221"/>
      <w:bookmarkEnd w:id="222"/>
    </w:p>
    <w:p w14:paraId="66053D1C" w14:textId="77777777" w:rsidR="00C67ED2" w:rsidRPr="00C67ED2" w:rsidRDefault="00C67ED2" w:rsidP="00475425">
      <w:pPr>
        <w:pStyle w:val="Heading2"/>
      </w:pPr>
      <w:bookmarkStart w:id="224" w:name="_Toc22196724"/>
      <w:r w:rsidRPr="00C67ED2">
        <w:t>Overview of monitoring</w:t>
      </w:r>
      <w:bookmarkEnd w:id="223"/>
      <w:bookmarkEnd w:id="224"/>
    </w:p>
    <w:p w14:paraId="7055AF5B" w14:textId="3B0FAD47" w:rsidR="0014597B" w:rsidRDefault="0014597B" w:rsidP="0014597B">
      <w:pPr>
        <w:rPr>
          <w:rFonts w:eastAsiaTheme="majorEastAsia"/>
        </w:rPr>
      </w:pPr>
      <w:bookmarkStart w:id="225" w:name="_Toc384985549"/>
      <w:r w:rsidRPr="00866478">
        <w:t xml:space="preserve">This plan </w:t>
      </w:r>
      <w:r w:rsidRPr="00237B1C">
        <w:t>proposes nine indicators for the Lower Murray Selected Area, including three</w:t>
      </w:r>
      <w:r w:rsidR="009633F2">
        <w:t xml:space="preserve"> Category 1</w:t>
      </w:r>
      <w:r w:rsidRPr="00237B1C">
        <w:t xml:space="preserve"> </w:t>
      </w:r>
      <w:r w:rsidR="009633F2">
        <w:t>(</w:t>
      </w:r>
      <w:r w:rsidRPr="00237B1C">
        <w:t>Basin</w:t>
      </w:r>
      <w:r w:rsidR="009633F2">
        <w:t>)</w:t>
      </w:r>
      <w:r w:rsidRPr="00237B1C">
        <w:t xml:space="preserve"> and six</w:t>
      </w:r>
      <w:r w:rsidR="009633F2">
        <w:t xml:space="preserve"> Category 3</w:t>
      </w:r>
      <w:r w:rsidRPr="00866478">
        <w:t xml:space="preserve"> </w:t>
      </w:r>
      <w:r w:rsidR="009633F2">
        <w:t>(</w:t>
      </w:r>
      <w:r>
        <w:t>Selected Area</w:t>
      </w:r>
      <w:r w:rsidR="009633F2">
        <w:t>)</w:t>
      </w:r>
      <w:r w:rsidRPr="00866478">
        <w:t xml:space="preserve"> indicators. </w:t>
      </w:r>
      <w:r>
        <w:t xml:space="preserve">It is expected that </w:t>
      </w:r>
      <w:r w:rsidRPr="00D2020E">
        <w:rPr>
          <w:rFonts w:eastAsiaTheme="majorEastAsia"/>
        </w:rPr>
        <w:t xml:space="preserve">Commonwealth environmental </w:t>
      </w:r>
      <w:r>
        <w:rPr>
          <w:rFonts w:eastAsiaTheme="majorEastAsia"/>
        </w:rPr>
        <w:t>water delivery</w:t>
      </w:r>
      <w:r w:rsidRPr="00D2020E">
        <w:rPr>
          <w:rFonts w:eastAsiaTheme="majorEastAsia"/>
        </w:rPr>
        <w:t xml:space="preserve"> </w:t>
      </w:r>
      <w:r>
        <w:rPr>
          <w:rFonts w:eastAsiaTheme="majorEastAsia"/>
        </w:rPr>
        <w:t xml:space="preserve">to the </w:t>
      </w:r>
      <w:r w:rsidRPr="000F53E7">
        <w:rPr>
          <w:rFonts w:eastAsiaTheme="majorEastAsia"/>
        </w:rPr>
        <w:t>Lower Murray</w:t>
      </w:r>
      <w:r>
        <w:rPr>
          <w:rFonts w:eastAsiaTheme="majorEastAsia"/>
        </w:rPr>
        <w:t xml:space="preserve"> Selected Area over the next three years</w:t>
      </w:r>
      <w:r w:rsidRPr="00D2020E">
        <w:rPr>
          <w:rFonts w:eastAsiaTheme="majorEastAsia"/>
        </w:rPr>
        <w:t xml:space="preserve"> w</w:t>
      </w:r>
      <w:r>
        <w:rPr>
          <w:rFonts w:eastAsiaTheme="majorEastAsia"/>
        </w:rPr>
        <w:t xml:space="preserve">ill </w:t>
      </w:r>
      <w:r w:rsidRPr="00D2020E">
        <w:rPr>
          <w:rFonts w:eastAsiaTheme="majorEastAsia"/>
        </w:rPr>
        <w:t xml:space="preserve">be limited to events of </w:t>
      </w:r>
      <w:r>
        <w:rPr>
          <w:rFonts w:eastAsiaTheme="majorEastAsia"/>
        </w:rPr>
        <w:t xml:space="preserve">less than </w:t>
      </w:r>
      <w:r w:rsidRPr="00D2020E">
        <w:rPr>
          <w:rFonts w:eastAsiaTheme="majorEastAsia"/>
        </w:rPr>
        <w:t>60,000</w:t>
      </w:r>
      <w:r>
        <w:rPr>
          <w:rFonts w:eastAsiaTheme="majorEastAsia"/>
        </w:rPr>
        <w:t xml:space="preserve"> ML/d, therefore the monitoring activities in this Selected Area will be focused on the in-stream environment for all indicators. Whilst the indicators proposed are complementary, field sampling regimes are aligned, within the constraints of CEWO standard methods/protocols, and sampling activities will be coordinated to maximise efficiencies. Further details of the monitoring schedule and sampling zones and sites are provided below. </w:t>
      </w:r>
    </w:p>
    <w:p w14:paraId="76C45C60" w14:textId="77777777" w:rsidR="00C67ED2" w:rsidRPr="00C67ED2" w:rsidRDefault="00C67ED2" w:rsidP="00475425">
      <w:pPr>
        <w:pStyle w:val="Heading2"/>
      </w:pPr>
      <w:bookmarkStart w:id="226" w:name="_Ref10197301"/>
      <w:bookmarkStart w:id="227" w:name="_Toc22196725"/>
      <w:r w:rsidRPr="00C67ED2">
        <w:t>Monitoring schedule</w:t>
      </w:r>
      <w:bookmarkEnd w:id="225"/>
      <w:bookmarkEnd w:id="226"/>
      <w:bookmarkEnd w:id="227"/>
    </w:p>
    <w:p w14:paraId="7CF66AB4" w14:textId="590D9007" w:rsidR="0014597B" w:rsidRPr="00C67ED2" w:rsidRDefault="0014597B" w:rsidP="00E96B0C">
      <w:r>
        <w:fldChar w:fldCharType="begin"/>
      </w:r>
      <w:r>
        <w:instrText xml:space="preserve"> REF _Ref384731891 \h  \* MERGEFORMAT </w:instrText>
      </w:r>
      <w:r>
        <w:fldChar w:fldCharType="separate"/>
      </w:r>
      <w:r w:rsidR="00DF49CD" w:rsidRPr="00C67ED2">
        <w:t xml:space="preserve">Table </w:t>
      </w:r>
      <w:r w:rsidR="00DF49CD">
        <w:t>7.1</w:t>
      </w:r>
      <w:r>
        <w:fldChar w:fldCharType="end"/>
      </w:r>
      <w:r w:rsidRPr="00C67ED2">
        <w:t xml:space="preserve"> provide</w:t>
      </w:r>
      <w:r>
        <w:t>s</w:t>
      </w:r>
      <w:r w:rsidRPr="00C67ED2">
        <w:t xml:space="preserve"> a detailed monitoring schedule (timing, d</w:t>
      </w:r>
      <w:r>
        <w:t xml:space="preserve">uration and sampling frequency) </w:t>
      </w:r>
      <w:r w:rsidRPr="00C67ED2">
        <w:t xml:space="preserve">for all indicators for the </w:t>
      </w:r>
      <w:r w:rsidRPr="000F53E7">
        <w:t>Lower Murray</w:t>
      </w:r>
      <w:r>
        <w:t xml:space="preserve"> Selected Area</w:t>
      </w:r>
      <w:r w:rsidRPr="00C67ED2">
        <w:t xml:space="preserve"> from July 201</w:t>
      </w:r>
      <w:r>
        <w:t xml:space="preserve">9 </w:t>
      </w:r>
      <w:r w:rsidRPr="00C67ED2">
        <w:t xml:space="preserve">to </w:t>
      </w:r>
      <w:r>
        <w:t>December</w:t>
      </w:r>
      <w:r w:rsidRPr="00C67ED2">
        <w:t xml:space="preserve"> 20</w:t>
      </w:r>
      <w:r>
        <w:t>22</w:t>
      </w:r>
      <w:r w:rsidRPr="00C67ED2">
        <w:t xml:space="preserve">. Sampling sites and zones for each indicator are shown </w:t>
      </w:r>
      <w:r w:rsidR="00E96B0C">
        <w:t xml:space="preserve">in </w:t>
      </w:r>
      <w:r w:rsidR="00E96B0C">
        <w:fldChar w:fldCharType="begin"/>
      </w:r>
      <w:r w:rsidR="00E96B0C">
        <w:instrText xml:space="preserve"> REF _Ref11940504 \h </w:instrText>
      </w:r>
      <w:r w:rsidR="00E96B0C">
        <w:fldChar w:fldCharType="separate"/>
      </w:r>
      <w:r w:rsidR="00DF49CD" w:rsidRPr="000B7358">
        <w:t xml:space="preserve">Table </w:t>
      </w:r>
      <w:r w:rsidR="00DF49CD">
        <w:rPr>
          <w:noProof/>
        </w:rPr>
        <w:t>7</w:t>
      </w:r>
      <w:r w:rsidR="00DF49CD">
        <w:t>.</w:t>
      </w:r>
      <w:r w:rsidR="00DF49CD">
        <w:rPr>
          <w:noProof/>
        </w:rPr>
        <w:t>2</w:t>
      </w:r>
      <w:r w:rsidR="00E96B0C">
        <w:fldChar w:fldCharType="end"/>
      </w:r>
      <w:r w:rsidR="00E96B0C">
        <w:t>.</w:t>
      </w:r>
      <w:r w:rsidRPr="000217B0">
        <w:t xml:space="preserve"> For </w:t>
      </w:r>
      <w:r>
        <w:t>three</w:t>
      </w:r>
      <w:r w:rsidRPr="000217B0">
        <w:t xml:space="preserve"> of the indicators, monitoring</w:t>
      </w:r>
      <w:r w:rsidRPr="00C67ED2">
        <w:t xml:space="preserve"> will not be confined to any specified schedule</w:t>
      </w:r>
      <w:r>
        <w:t>, mostly due to relying on co</w:t>
      </w:r>
      <w:r w:rsidR="00D6538F">
        <w:t>mplementary</w:t>
      </w:r>
      <w:r>
        <w:t xml:space="preserve"> data</w:t>
      </w:r>
      <w:r w:rsidRPr="00C67ED2">
        <w:t>:</w:t>
      </w:r>
      <w:r>
        <w:t xml:space="preserve"> </w:t>
      </w:r>
      <w:r w:rsidRPr="000F68A7">
        <w:rPr>
          <w:i/>
        </w:rPr>
        <w:t>Hydrology (Channel)</w:t>
      </w:r>
      <w:r w:rsidRPr="00C67ED2">
        <w:t xml:space="preserve">, </w:t>
      </w:r>
      <w:r w:rsidR="003667E7">
        <w:rPr>
          <w:i/>
        </w:rPr>
        <w:t>Hydraulic R</w:t>
      </w:r>
      <w:r w:rsidR="003667E7" w:rsidRPr="000F68A7">
        <w:rPr>
          <w:i/>
        </w:rPr>
        <w:t xml:space="preserve">egime </w:t>
      </w:r>
      <w:r w:rsidR="003667E7">
        <w:rPr>
          <w:i/>
        </w:rPr>
        <w:t xml:space="preserve">and </w:t>
      </w:r>
      <w:r w:rsidR="000F68A7" w:rsidRPr="000F68A7">
        <w:rPr>
          <w:i/>
        </w:rPr>
        <w:t>M</w:t>
      </w:r>
      <w:r w:rsidRPr="000F68A7">
        <w:rPr>
          <w:i/>
        </w:rPr>
        <w:t xml:space="preserve">atter </w:t>
      </w:r>
      <w:r w:rsidR="000F68A7">
        <w:rPr>
          <w:i/>
        </w:rPr>
        <w:t>Transport and Coorong Habitat</w:t>
      </w:r>
      <w:r w:rsidRPr="00C67ED2">
        <w:t xml:space="preserve">. </w:t>
      </w:r>
    </w:p>
    <w:p w14:paraId="3A113FFC" w14:textId="77777777" w:rsidR="004C4837" w:rsidRPr="00C67ED2" w:rsidRDefault="004C4837" w:rsidP="004C4837">
      <w:pPr>
        <w:pStyle w:val="Heading3"/>
      </w:pPr>
      <w:bookmarkStart w:id="228" w:name="_Toc22196726"/>
      <w:r>
        <w:t>Stream M</w:t>
      </w:r>
      <w:r w:rsidRPr="00C67ED2">
        <w:t>etabolism</w:t>
      </w:r>
      <w:r>
        <w:t xml:space="preserve"> and Water Quality</w:t>
      </w:r>
      <w:bookmarkEnd w:id="228"/>
    </w:p>
    <w:p w14:paraId="5EAB5C18" w14:textId="455423F6" w:rsidR="00E96B0C" w:rsidRPr="00C67ED2" w:rsidRDefault="0014597B" w:rsidP="00E96B0C">
      <w:r>
        <w:t>St</w:t>
      </w:r>
      <w:r w:rsidRPr="00C67ED2">
        <w:t xml:space="preserve">ream </w:t>
      </w:r>
      <w:r>
        <w:t>m</w:t>
      </w:r>
      <w:r w:rsidRPr="00C67ED2">
        <w:t xml:space="preserve">etabolism </w:t>
      </w:r>
      <w:r>
        <w:t xml:space="preserve">measurements </w:t>
      </w:r>
      <w:r w:rsidRPr="00C67ED2">
        <w:t xml:space="preserve">will be conducted annually between September and February below </w:t>
      </w:r>
      <w:r>
        <w:t>Lock</w:t>
      </w:r>
      <w:r w:rsidRPr="00C67ED2">
        <w:t xml:space="preserve"> 1 in the Gorge </w:t>
      </w:r>
      <w:r>
        <w:t>zone,</w:t>
      </w:r>
      <w:r w:rsidRPr="00C67ED2">
        <w:t xml:space="preserve"> and </w:t>
      </w:r>
      <w:r>
        <w:t xml:space="preserve">below Lock 4 and Lock 6 </w:t>
      </w:r>
      <w:r w:rsidRPr="00C67ED2">
        <w:t xml:space="preserve">in the </w:t>
      </w:r>
      <w:r>
        <w:t>Floodplain</w:t>
      </w:r>
      <w:r w:rsidRPr="00C67ED2">
        <w:t xml:space="preserve"> </w:t>
      </w:r>
      <w:r>
        <w:t>zone</w:t>
      </w:r>
      <w:r w:rsidRPr="00C67ED2">
        <w:t xml:space="preserve"> (</w:t>
      </w:r>
      <w:r>
        <w:fldChar w:fldCharType="begin"/>
      </w:r>
      <w:r>
        <w:instrText xml:space="preserve"> REF _Ref384731891 \h  \* MERGEFORMAT </w:instrText>
      </w:r>
      <w:r>
        <w:fldChar w:fldCharType="separate"/>
      </w:r>
      <w:r w:rsidR="00DF49CD" w:rsidRPr="00C67ED2">
        <w:t xml:space="preserve">Table </w:t>
      </w:r>
      <w:r w:rsidR="00DF49CD">
        <w:t>7.1</w:t>
      </w:r>
      <w:r>
        <w:fldChar w:fldCharType="end"/>
      </w:r>
      <w:r>
        <w:t xml:space="preserve"> </w:t>
      </w:r>
      <w:r w:rsidR="00E96B0C">
        <w:t xml:space="preserve">and </w:t>
      </w:r>
      <w:r w:rsidR="00E96B0C">
        <w:fldChar w:fldCharType="begin"/>
      </w:r>
      <w:r w:rsidR="00E96B0C">
        <w:instrText xml:space="preserve"> REF _Ref11940504 \h </w:instrText>
      </w:r>
      <w:r w:rsidR="00E96B0C">
        <w:fldChar w:fldCharType="separate"/>
      </w:r>
      <w:r w:rsidR="00DF49CD" w:rsidRPr="000B7358">
        <w:t xml:space="preserve">Table </w:t>
      </w:r>
      <w:r w:rsidR="00DF49CD">
        <w:rPr>
          <w:noProof/>
        </w:rPr>
        <w:t>7</w:t>
      </w:r>
      <w:r w:rsidR="00DF49CD">
        <w:t>.</w:t>
      </w:r>
      <w:r w:rsidR="00DF49CD">
        <w:rPr>
          <w:noProof/>
        </w:rPr>
        <w:t>2</w:t>
      </w:r>
      <w:r w:rsidR="00E96B0C">
        <w:fldChar w:fldCharType="end"/>
      </w:r>
      <w:r w:rsidR="00E96B0C">
        <w:t>).</w:t>
      </w:r>
    </w:p>
    <w:p w14:paraId="585B3F7F" w14:textId="72BFBBA3" w:rsidR="0014597B" w:rsidRDefault="0014597B" w:rsidP="0014597B">
      <w:r w:rsidRPr="00C67ED2">
        <w:t xml:space="preserve">The </w:t>
      </w:r>
      <w:r w:rsidRPr="00F80BAC">
        <w:rPr>
          <w:i/>
        </w:rPr>
        <w:t>in-situ</w:t>
      </w:r>
      <w:r w:rsidRPr="00C67ED2">
        <w:t xml:space="preserve"> </w:t>
      </w:r>
      <w:r>
        <w:t>water quality (</w:t>
      </w:r>
      <w:r w:rsidRPr="00C67ED2">
        <w:t>WQ</w:t>
      </w:r>
      <w:r>
        <w:t>)</w:t>
      </w:r>
      <w:r w:rsidRPr="00C67ED2">
        <w:t xml:space="preserve"> </w:t>
      </w:r>
      <w:r>
        <w:t>m</w:t>
      </w:r>
      <w:r w:rsidRPr="00C67ED2">
        <w:t xml:space="preserve">onitoring </w:t>
      </w:r>
      <w:r>
        <w:t>commences</w:t>
      </w:r>
      <w:r w:rsidRPr="00C67ED2">
        <w:t xml:space="preserve"> in September</w:t>
      </w:r>
      <w:r>
        <w:t xml:space="preserve"> and is continued at ca. 4 weeks intervals during field trips to maintain the </w:t>
      </w:r>
      <w:r w:rsidR="00523F62">
        <w:t>dissolved oxygen (</w:t>
      </w:r>
      <w:r>
        <w:t>DO</w:t>
      </w:r>
      <w:r w:rsidR="00523F62">
        <w:t>)</w:t>
      </w:r>
      <w:r>
        <w:t xml:space="preserve"> probes</w:t>
      </w:r>
      <w:r w:rsidRPr="00C67ED2">
        <w:t xml:space="preserve">. </w:t>
      </w:r>
    </w:p>
    <w:p w14:paraId="714B85DC" w14:textId="413CD29C" w:rsidR="0014597B" w:rsidRDefault="0014597B" w:rsidP="0014597B">
      <w:r>
        <w:t>Ten</w:t>
      </w:r>
      <w:r w:rsidRPr="00C67ED2">
        <w:t xml:space="preserve"> field trips are planned for the deployment period so that on average the </w:t>
      </w:r>
      <w:r>
        <w:t>DO</w:t>
      </w:r>
      <w:r w:rsidRPr="00C67ED2">
        <w:t xml:space="preserve"> monitoring stations will be maintained (batteries changed, mountings checked, sensors cleaned and re-calibrated) and data downloaded every </w:t>
      </w:r>
      <w:r>
        <w:t>2</w:t>
      </w:r>
      <w:r w:rsidRPr="00C67ED2">
        <w:t xml:space="preserve"> weeks. Light and barometric pressure loggers will also be downloaded and maintained and water quality samples taken. </w:t>
      </w:r>
      <w:r>
        <w:t>F</w:t>
      </w:r>
      <w:r w:rsidRPr="00C67ED2">
        <w:t xml:space="preserve">ield trips will not be longer than </w:t>
      </w:r>
      <w:r>
        <w:t>3</w:t>
      </w:r>
      <w:r w:rsidRPr="00C67ED2">
        <w:t xml:space="preserve"> weeks apart to ensure the reliability of</w:t>
      </w:r>
      <w:r>
        <w:t xml:space="preserve"> data from the logging systems.</w:t>
      </w:r>
    </w:p>
    <w:p w14:paraId="795B2A07" w14:textId="77777777" w:rsidR="0014597B" w:rsidRPr="00C67ED2" w:rsidRDefault="0014597B" w:rsidP="0014597B">
      <w:r w:rsidRPr="00C67ED2">
        <w:t>Equipment will be retrieved at the end of February unless further environmental flows are forecast</w:t>
      </w:r>
      <w:r>
        <w:t>,</w:t>
      </w:r>
      <w:r w:rsidRPr="00C67ED2">
        <w:t xml:space="preserve"> in which case monitoring will continue as long as resources are available to support the associated field trips. The resources available will depend on the prior sampling effort.</w:t>
      </w:r>
    </w:p>
    <w:p w14:paraId="105ED6C8" w14:textId="7DE70E5B" w:rsidR="00EF1611" w:rsidRPr="00C67ED2" w:rsidRDefault="00EF1611" w:rsidP="00EF1611">
      <w:pPr>
        <w:pStyle w:val="Heading3"/>
      </w:pPr>
      <w:bookmarkStart w:id="229" w:name="_Toc22196727"/>
      <w:bookmarkStart w:id="230" w:name="_Ref385343156"/>
      <w:bookmarkStart w:id="231" w:name="_Ref385343941"/>
      <w:r w:rsidRPr="00C67ED2">
        <w:t xml:space="preserve">Fish </w:t>
      </w:r>
      <w:r w:rsidR="008247E2">
        <w:t>(C</w:t>
      </w:r>
      <w:r>
        <w:t>hannel)</w:t>
      </w:r>
      <w:bookmarkEnd w:id="229"/>
    </w:p>
    <w:p w14:paraId="21626171" w14:textId="367A107C" w:rsidR="00EF1611" w:rsidRPr="00C67ED2" w:rsidRDefault="00EF1611" w:rsidP="00EF1611">
      <w:r w:rsidRPr="00C67ED2">
        <w:t xml:space="preserve">Annual sampling will take place during autumn as described in Hale </w:t>
      </w:r>
      <w:r w:rsidRPr="00C67ED2">
        <w:rPr>
          <w:i/>
          <w:iCs/>
        </w:rPr>
        <w:t>et al.</w:t>
      </w:r>
      <w:r w:rsidRPr="00C67ED2">
        <w:t xml:space="preserve"> (2014) </w:t>
      </w:r>
      <w:r>
        <w:t>and in the SOP (</w:t>
      </w:r>
      <w:r w:rsidRPr="00764C6C">
        <w:t xml:space="preserve">Appendix </w:t>
      </w:r>
      <w:r w:rsidR="000E285D">
        <w:t>B</w:t>
      </w:r>
      <w:r w:rsidRPr="00764C6C">
        <w:t>) (</w:t>
      </w:r>
      <w:r>
        <w:fldChar w:fldCharType="begin"/>
      </w:r>
      <w:r>
        <w:instrText xml:space="preserve"> REF _Ref384731891 \h  \* MERGEFORMAT </w:instrText>
      </w:r>
      <w:r>
        <w:fldChar w:fldCharType="separate"/>
      </w:r>
      <w:r w:rsidR="00DF49CD" w:rsidRPr="00C67ED2">
        <w:t xml:space="preserve">Table </w:t>
      </w:r>
      <w:r w:rsidR="00DF49CD">
        <w:t>7.1</w:t>
      </w:r>
      <w:r>
        <w:fldChar w:fldCharType="end"/>
      </w:r>
      <w:r w:rsidRPr="00C67ED2">
        <w:t xml:space="preserve">). The </w:t>
      </w:r>
      <w:r>
        <w:t>Gorge</w:t>
      </w:r>
      <w:r w:rsidRPr="00C67ED2">
        <w:t xml:space="preserve"> is the chosen zone for this indicator</w:t>
      </w:r>
      <w:r>
        <w:t>,</w:t>
      </w:r>
      <w:r w:rsidRPr="00C67ED2">
        <w:t xml:space="preserve"> and sampling (electrofishing and fyke-netting) will be conducted at 10 sites </w:t>
      </w:r>
      <w:r w:rsidRPr="0026300B">
        <w:rPr>
          <w:color w:val="auto"/>
          <w:szCs w:val="22"/>
        </w:rPr>
        <w:t xml:space="preserve">within an approximately 100 kilometre reach </w:t>
      </w:r>
      <w:r w:rsidRPr="0026300B">
        <w:rPr>
          <w:rStyle w:val="CommentReference"/>
          <w:rFonts w:cs="Calibri"/>
          <w:color w:val="auto"/>
          <w:sz w:val="22"/>
          <w:szCs w:val="22"/>
          <w:lang w:eastAsia="en-AU"/>
        </w:rPr>
        <w:t xml:space="preserve">between Locks </w:t>
      </w:r>
      <w:r>
        <w:rPr>
          <w:rStyle w:val="CommentReference"/>
          <w:rFonts w:cs="Calibri"/>
          <w:color w:val="auto"/>
          <w:sz w:val="22"/>
          <w:szCs w:val="22"/>
          <w:lang w:eastAsia="en-AU"/>
        </w:rPr>
        <w:t>1</w:t>
      </w:r>
      <w:r w:rsidRPr="0026300B">
        <w:rPr>
          <w:rStyle w:val="CommentReference"/>
          <w:rFonts w:cs="Calibri"/>
          <w:color w:val="auto"/>
          <w:sz w:val="22"/>
          <w:szCs w:val="22"/>
          <w:lang w:eastAsia="en-AU"/>
        </w:rPr>
        <w:t xml:space="preserve"> and </w:t>
      </w:r>
      <w:r>
        <w:rPr>
          <w:rStyle w:val="CommentReference"/>
          <w:rFonts w:cs="Calibri"/>
          <w:color w:val="auto"/>
          <w:sz w:val="22"/>
          <w:szCs w:val="22"/>
          <w:lang w:eastAsia="en-AU"/>
        </w:rPr>
        <w:t xml:space="preserve">3 </w:t>
      </w:r>
      <w:r w:rsidR="00E96B0C">
        <w:rPr>
          <w:rStyle w:val="CommentReference"/>
          <w:rFonts w:cs="Calibri"/>
          <w:color w:val="auto"/>
          <w:sz w:val="22"/>
          <w:szCs w:val="22"/>
          <w:lang w:eastAsia="en-AU"/>
        </w:rPr>
        <w:t>(</w:t>
      </w:r>
      <w:r w:rsidR="00E96B0C">
        <w:rPr>
          <w:rStyle w:val="CommentReference"/>
          <w:rFonts w:cs="Calibri"/>
          <w:color w:val="auto"/>
          <w:sz w:val="22"/>
          <w:szCs w:val="22"/>
          <w:lang w:eastAsia="en-AU"/>
        </w:rPr>
        <w:fldChar w:fldCharType="begin"/>
      </w:r>
      <w:r w:rsidR="00E96B0C">
        <w:rPr>
          <w:rStyle w:val="CommentReference"/>
          <w:rFonts w:cs="Calibri"/>
          <w:color w:val="auto"/>
          <w:sz w:val="22"/>
          <w:szCs w:val="22"/>
          <w:lang w:eastAsia="en-AU"/>
        </w:rPr>
        <w:instrText xml:space="preserve"> REF _Ref11940504 \h </w:instrText>
      </w:r>
      <w:r w:rsidR="00E96B0C">
        <w:rPr>
          <w:rStyle w:val="CommentReference"/>
          <w:rFonts w:cs="Calibri"/>
          <w:color w:val="auto"/>
          <w:sz w:val="22"/>
          <w:szCs w:val="22"/>
          <w:lang w:eastAsia="en-AU"/>
        </w:rPr>
      </w:r>
      <w:r w:rsidR="00E96B0C">
        <w:rPr>
          <w:rStyle w:val="CommentReference"/>
          <w:rFonts w:cs="Calibri"/>
          <w:color w:val="auto"/>
          <w:sz w:val="22"/>
          <w:szCs w:val="22"/>
          <w:lang w:eastAsia="en-AU"/>
        </w:rPr>
        <w:fldChar w:fldCharType="separate"/>
      </w:r>
      <w:r w:rsidR="00DF49CD" w:rsidRPr="000B7358">
        <w:t xml:space="preserve">Table </w:t>
      </w:r>
      <w:r w:rsidR="00DF49CD">
        <w:rPr>
          <w:noProof/>
        </w:rPr>
        <w:t>7</w:t>
      </w:r>
      <w:r w:rsidR="00DF49CD">
        <w:t>.</w:t>
      </w:r>
      <w:r w:rsidR="00DF49CD">
        <w:rPr>
          <w:noProof/>
        </w:rPr>
        <w:t>2</w:t>
      </w:r>
      <w:r w:rsidR="00E96B0C">
        <w:rPr>
          <w:rStyle w:val="CommentReference"/>
          <w:rFonts w:cs="Calibri"/>
          <w:color w:val="auto"/>
          <w:sz w:val="22"/>
          <w:szCs w:val="22"/>
          <w:lang w:eastAsia="en-AU"/>
        </w:rPr>
        <w:fldChar w:fldCharType="end"/>
      </w:r>
      <w:r w:rsidR="00E96B0C">
        <w:rPr>
          <w:rStyle w:val="CommentReference"/>
          <w:rFonts w:cs="Calibri"/>
          <w:color w:val="auto"/>
          <w:sz w:val="22"/>
          <w:szCs w:val="22"/>
          <w:lang w:eastAsia="en-AU"/>
        </w:rPr>
        <w:t xml:space="preserve">). </w:t>
      </w:r>
      <w:r w:rsidRPr="00C67ED2">
        <w:t xml:space="preserve">Ageing of target species will be carried out following Hale </w:t>
      </w:r>
      <w:r w:rsidRPr="00C67ED2">
        <w:rPr>
          <w:i/>
          <w:iCs/>
        </w:rPr>
        <w:t>et al</w:t>
      </w:r>
      <w:r w:rsidRPr="00C67ED2">
        <w:t>. (2014)</w:t>
      </w:r>
      <w:r>
        <w:t>, including annual ageing for periodic and eq</w:t>
      </w:r>
      <w:r w:rsidRPr="00F80BAC">
        <w:t xml:space="preserve">uilibrium species in the </w:t>
      </w:r>
      <w:r>
        <w:t>third</w:t>
      </w:r>
      <w:r w:rsidRPr="00F80BAC">
        <w:t xml:space="preserve"> year. </w:t>
      </w:r>
    </w:p>
    <w:p w14:paraId="4960EE51" w14:textId="0626F76E" w:rsidR="00BF32E2" w:rsidRDefault="008247E2" w:rsidP="00BF32E2">
      <w:pPr>
        <w:pStyle w:val="Heading3"/>
      </w:pPr>
      <w:bookmarkStart w:id="232" w:name="_Toc22196728"/>
      <w:bookmarkStart w:id="233" w:name="_Ref381343526"/>
      <w:bookmarkStart w:id="234" w:name="_Toc381380591"/>
      <w:bookmarkEnd w:id="230"/>
      <w:bookmarkEnd w:id="231"/>
      <w:r>
        <w:t>Littoral Vegetation Diversity and P</w:t>
      </w:r>
      <w:r w:rsidR="00BF32E2">
        <w:t>roductivity</w:t>
      </w:r>
      <w:bookmarkEnd w:id="232"/>
    </w:p>
    <w:p w14:paraId="26A36900" w14:textId="3789EEA7" w:rsidR="00BF32E2" w:rsidRDefault="00BF32E2" w:rsidP="00BF32E2">
      <w:r>
        <w:t>Vegetation</w:t>
      </w:r>
      <w:r w:rsidRPr="00903EE4">
        <w:t xml:space="preserve"> sampling </w:t>
      </w:r>
      <w:r>
        <w:t xml:space="preserve">will be conducted using the same methods as </w:t>
      </w:r>
      <w:r w:rsidR="002214B4">
        <w:t>TLM</w:t>
      </w:r>
      <w:r>
        <w:t xml:space="preserve"> vegetation monitoring for the Chowilla Floodplain (and most floodplain and wetland monitoring undertaken in the South Australian River Murray upstream of Wellington) (e.g. Nicol </w:t>
      </w:r>
      <w:r w:rsidRPr="00337098">
        <w:rPr>
          <w:i/>
        </w:rPr>
        <w:t>et al.</w:t>
      </w:r>
      <w:r>
        <w:t xml:space="preserve"> 2018)</w:t>
      </w:r>
      <w:r w:rsidR="00071F7F">
        <w:t>. Sites will be located in tail</w:t>
      </w:r>
      <w:r>
        <w:t>waters in the floodplain and gorge zones on the riverbank or in temporary wetlands if they are present and likely to be inundated by C</w:t>
      </w:r>
      <w:r w:rsidR="00523F62">
        <w:t>ommonwealth environmental water</w:t>
      </w:r>
      <w:r>
        <w:t xml:space="preserve">. Elevations sampled will be determined by </w:t>
      </w:r>
      <w:r>
        <w:lastRenderedPageBreak/>
        <w:t xml:space="preserve">flood inundation modelling or inundation duration (depending on whether </w:t>
      </w:r>
      <w:r w:rsidR="00523F62">
        <w:t>Commonwealth environmental water</w:t>
      </w:r>
      <w:r>
        <w:t xml:space="preserve"> was used to increase the height or duration of inundation).  A fixed area of each quadrat will be harvested to determine above ground biomass of understorey vegetation. Sampling will be undertaken after environmental water has been delivered and water levels at normal pool level.</w:t>
      </w:r>
    </w:p>
    <w:p w14:paraId="572E858B" w14:textId="2B0C4337" w:rsidR="00BF32E2" w:rsidRDefault="008247E2" w:rsidP="00BF32E2">
      <w:pPr>
        <w:pStyle w:val="Heading3"/>
      </w:pPr>
      <w:bookmarkStart w:id="235" w:name="_Toc22196729"/>
      <w:r>
        <w:t>Microinvertebrate A</w:t>
      </w:r>
      <w:r w:rsidR="00BF32E2">
        <w:t>ssemblage</w:t>
      </w:r>
      <w:bookmarkEnd w:id="235"/>
    </w:p>
    <w:p w14:paraId="2EC5FB71" w14:textId="11EF5A6F" w:rsidR="00BF32E2" w:rsidRDefault="00BF32E2" w:rsidP="00BF32E2">
      <w:r w:rsidRPr="00903EE4">
        <w:t xml:space="preserve">Microinvertebrate sampling will be conducted </w:t>
      </w:r>
      <w:r>
        <w:t xml:space="preserve">in conjunction with </w:t>
      </w:r>
      <w:r w:rsidR="00523F62" w:rsidRPr="00523F62">
        <w:rPr>
          <w:i/>
        </w:rPr>
        <w:t>Stream M</w:t>
      </w:r>
      <w:r w:rsidRPr="00523F62">
        <w:rPr>
          <w:i/>
        </w:rPr>
        <w:t>etabolism</w:t>
      </w:r>
      <w:r w:rsidR="00523F62" w:rsidRPr="00523F62">
        <w:rPr>
          <w:i/>
        </w:rPr>
        <w:t xml:space="preserve"> and Water Quality</w:t>
      </w:r>
      <w:r w:rsidRPr="00523F62">
        <w:rPr>
          <w:i/>
        </w:rPr>
        <w:t xml:space="preserve"> </w:t>
      </w:r>
      <w:r>
        <w:t>sampling, at sites approximately 5 km below Lock 1, Lock 4 and Lock 6</w:t>
      </w:r>
      <w:r w:rsidR="00E96B0C">
        <w:t xml:space="preserve"> (</w:t>
      </w:r>
      <w:r w:rsidR="00E96B0C">
        <w:fldChar w:fldCharType="begin"/>
      </w:r>
      <w:r w:rsidR="00E96B0C">
        <w:instrText xml:space="preserve"> REF _Ref11940504 \h </w:instrText>
      </w:r>
      <w:r w:rsidR="00E96B0C">
        <w:fldChar w:fldCharType="separate"/>
      </w:r>
      <w:r w:rsidR="00DF49CD" w:rsidRPr="000B7358">
        <w:t xml:space="preserve">Table </w:t>
      </w:r>
      <w:r w:rsidR="00DF49CD">
        <w:rPr>
          <w:noProof/>
        </w:rPr>
        <w:t>7</w:t>
      </w:r>
      <w:r w:rsidR="00DF49CD">
        <w:t>.</w:t>
      </w:r>
      <w:r w:rsidR="00DF49CD">
        <w:rPr>
          <w:noProof/>
        </w:rPr>
        <w:t>2</w:t>
      </w:r>
      <w:r w:rsidR="00E96B0C">
        <w:fldChar w:fldCharType="end"/>
      </w:r>
      <w:r w:rsidR="00E96B0C">
        <w:t>)</w:t>
      </w:r>
      <w:r w:rsidRPr="00903EE4">
        <w:t xml:space="preserve">. </w:t>
      </w:r>
      <w:r w:rsidRPr="00323D94">
        <w:t>Sampling will occur three times during spring and three times during summer, approximately two weeks apart</w:t>
      </w:r>
      <w:r>
        <w:t xml:space="preserve"> (Section </w:t>
      </w:r>
      <w:r>
        <w:fldChar w:fldCharType="begin"/>
      </w:r>
      <w:r>
        <w:instrText xml:space="preserve"> REF _Ref385343941 \r \h  \* MERGEFORMAT </w:instrText>
      </w:r>
      <w:r>
        <w:fldChar w:fldCharType="separate"/>
      </w:r>
      <w:r w:rsidR="00DF49CD">
        <w:t>7.2.2</w:t>
      </w:r>
      <w:r>
        <w:fldChar w:fldCharType="end"/>
      </w:r>
      <w:r w:rsidRPr="00903EE4">
        <w:t>)</w:t>
      </w:r>
      <w:r>
        <w:t>.</w:t>
      </w:r>
      <w:r w:rsidRPr="00903EE4">
        <w:t xml:space="preserve"> </w:t>
      </w:r>
    </w:p>
    <w:p w14:paraId="5C5D2E3F" w14:textId="79CBE330" w:rsidR="001D4CD7" w:rsidRPr="00C67ED2" w:rsidRDefault="008C1585" w:rsidP="008C1585">
      <w:pPr>
        <w:pStyle w:val="Heading3"/>
      </w:pPr>
      <w:bookmarkStart w:id="236" w:name="_Toc22196730"/>
      <w:r w:rsidRPr="008C1585">
        <w:t>Flow-cued Spawning Fish Recruitment</w:t>
      </w:r>
      <w:bookmarkEnd w:id="236"/>
    </w:p>
    <w:p w14:paraId="564F477D" w14:textId="0198FEC6" w:rsidR="001D4CD7" w:rsidRPr="00C67ED2" w:rsidRDefault="001D4CD7" w:rsidP="001D4CD7">
      <w:r w:rsidRPr="00C67ED2">
        <w:t>Sampling of golden perch</w:t>
      </w:r>
      <w:r>
        <w:t xml:space="preserve"> and silver perch</w:t>
      </w:r>
      <w:r w:rsidRPr="00C67ED2">
        <w:t xml:space="preserve"> </w:t>
      </w:r>
      <w:r>
        <w:t xml:space="preserve">for assessing recruitment to </w:t>
      </w:r>
      <w:r w:rsidRPr="00C67ED2">
        <w:t xml:space="preserve">young of </w:t>
      </w:r>
      <w:r>
        <w:t xml:space="preserve">the </w:t>
      </w:r>
      <w:r w:rsidRPr="00C67ED2">
        <w:t xml:space="preserve">year (YOY) and </w:t>
      </w:r>
      <w:r>
        <w:t xml:space="preserve">population age structure </w:t>
      </w:r>
      <w:r w:rsidRPr="00C67ED2">
        <w:t xml:space="preserve">will be conducted </w:t>
      </w:r>
      <w:r>
        <w:t xml:space="preserve">annually (2019-20 to 2021-22) </w:t>
      </w:r>
      <w:r w:rsidRPr="00C67ED2">
        <w:t>in autumn</w:t>
      </w:r>
      <w:r w:rsidR="00C2325F">
        <w:t xml:space="preserve"> </w:t>
      </w:r>
      <w:r w:rsidR="00CD0525">
        <w:t>through</w:t>
      </w:r>
      <w:r w:rsidR="00C2325F">
        <w:t xml:space="preserve"> </w:t>
      </w:r>
      <w:r w:rsidR="00C2325F" w:rsidRPr="00C2325F">
        <w:rPr>
          <w:i/>
        </w:rPr>
        <w:t>Murray Cod R</w:t>
      </w:r>
      <w:r w:rsidRPr="00C2325F">
        <w:rPr>
          <w:i/>
        </w:rPr>
        <w:t>ecruitment</w:t>
      </w:r>
      <w:r>
        <w:t xml:space="preserve"> and</w:t>
      </w:r>
      <w:r w:rsidRPr="00C67ED2">
        <w:t xml:space="preserve"> </w:t>
      </w:r>
      <w:r w:rsidRPr="00C2325F">
        <w:rPr>
          <w:i/>
        </w:rPr>
        <w:t xml:space="preserve">Fish </w:t>
      </w:r>
      <w:r w:rsidR="00C2325F" w:rsidRPr="00C2325F">
        <w:rPr>
          <w:i/>
        </w:rPr>
        <w:t>(C</w:t>
      </w:r>
      <w:r w:rsidRPr="00C2325F">
        <w:rPr>
          <w:i/>
        </w:rPr>
        <w:t>hannel)</w:t>
      </w:r>
      <w:r w:rsidRPr="00C67ED2">
        <w:t xml:space="preserve"> electrofishing. </w:t>
      </w:r>
    </w:p>
    <w:p w14:paraId="4622C24F" w14:textId="50A60B8A" w:rsidR="00BF32E2" w:rsidRDefault="00BF32E2" w:rsidP="00BF32E2">
      <w:pPr>
        <w:pStyle w:val="Heading3"/>
      </w:pPr>
      <w:bookmarkStart w:id="237" w:name="_Toc22196731"/>
      <w:r>
        <w:t xml:space="preserve">Murray </w:t>
      </w:r>
      <w:r w:rsidR="008247E2">
        <w:t>C</w:t>
      </w:r>
      <w:r>
        <w:t>od</w:t>
      </w:r>
      <w:r w:rsidR="008247E2">
        <w:t xml:space="preserve"> R</w:t>
      </w:r>
      <w:r w:rsidRPr="00C67ED2">
        <w:t>ecruitment</w:t>
      </w:r>
      <w:bookmarkEnd w:id="237"/>
    </w:p>
    <w:p w14:paraId="1619BDAB" w14:textId="56EF4F33" w:rsidR="00BF32E2" w:rsidRPr="0036284C" w:rsidRDefault="00BF32E2" w:rsidP="00BF32E2">
      <w:r w:rsidRPr="00B937B0">
        <w:t>Murray cod will be sampled at several points during early ontogeny from larvae through to YOY</w:t>
      </w:r>
      <w:r>
        <w:t xml:space="preserve"> (&gt;120 days old). Larval sampling will occur once </w:t>
      </w:r>
      <w:r w:rsidRPr="00A700A9">
        <w:t>during the peak period of larval presence</w:t>
      </w:r>
      <w:r>
        <w:t xml:space="preserve"> (November, </w:t>
      </w:r>
      <w:r w:rsidRPr="00A700A9">
        <w:t>SARDI unpublished data</w:t>
      </w:r>
      <w:r>
        <w:t>), whilst early stage juvenile sampling will occur during mid-summer and early autumn. S</w:t>
      </w:r>
      <w:r w:rsidRPr="00C67ED2">
        <w:t>ites</w:t>
      </w:r>
      <w:r>
        <w:t xml:space="preserve"> </w:t>
      </w:r>
      <w:r w:rsidRPr="00C67ED2">
        <w:t xml:space="preserve">will be located </w:t>
      </w:r>
      <w:r w:rsidR="00360A68" w:rsidRPr="00360A68">
        <w:t>in the tailwaters (&lt;15 km downstream) of Lock 4 (Floodplain zone) and another Lock (to be determined)</w:t>
      </w:r>
      <w:r w:rsidR="00E96B0C">
        <w:t xml:space="preserve"> (</w:t>
      </w:r>
      <w:r w:rsidR="00E96B0C">
        <w:fldChar w:fldCharType="begin"/>
      </w:r>
      <w:r w:rsidR="00E96B0C">
        <w:instrText xml:space="preserve"> REF _Ref11940504 \h </w:instrText>
      </w:r>
      <w:r w:rsidR="00E96B0C">
        <w:fldChar w:fldCharType="separate"/>
      </w:r>
      <w:r w:rsidR="00DF49CD" w:rsidRPr="000B7358">
        <w:t xml:space="preserve">Table </w:t>
      </w:r>
      <w:r w:rsidR="00DF49CD">
        <w:rPr>
          <w:noProof/>
        </w:rPr>
        <w:t>7</w:t>
      </w:r>
      <w:r w:rsidR="00DF49CD">
        <w:t>.</w:t>
      </w:r>
      <w:r w:rsidR="00DF49CD">
        <w:rPr>
          <w:noProof/>
        </w:rPr>
        <w:t>2</w:t>
      </w:r>
      <w:r w:rsidR="00E96B0C">
        <w:fldChar w:fldCharType="end"/>
      </w:r>
      <w:r w:rsidR="00E96B0C">
        <w:t xml:space="preserve">). </w:t>
      </w:r>
      <w:r>
        <w:rPr>
          <w:bCs/>
        </w:rPr>
        <w:t>Population and YOY sampling will occur annually at a number of sites in the Gorge and Floodplain zones during autumn. Samples of YOY fish will be complemented with those collected in t</w:t>
      </w:r>
      <w:r w:rsidR="00D81A40">
        <w:rPr>
          <w:bCs/>
        </w:rPr>
        <w:t xml:space="preserve">he Gorge zone as part of </w:t>
      </w:r>
      <w:r w:rsidR="00D81A40" w:rsidRPr="00D81A40">
        <w:rPr>
          <w:bCs/>
          <w:i/>
        </w:rPr>
        <w:t>Fish (C</w:t>
      </w:r>
      <w:r w:rsidRPr="00D81A40">
        <w:rPr>
          <w:bCs/>
          <w:i/>
        </w:rPr>
        <w:t>hannel)</w:t>
      </w:r>
      <w:r>
        <w:rPr>
          <w:bCs/>
        </w:rPr>
        <w:t xml:space="preserve"> sampling. Murray cod growth and condition will be investigated using morphometric and otolith microstructure analyses.</w:t>
      </w:r>
    </w:p>
    <w:p w14:paraId="7984C984" w14:textId="77777777" w:rsidR="00531AE0" w:rsidRPr="00531AE0" w:rsidRDefault="00531AE0" w:rsidP="00F02673">
      <w:pPr>
        <w:sectPr w:rsidR="00531AE0" w:rsidRPr="00531AE0" w:rsidSect="003F6444">
          <w:pgSz w:w="11900" w:h="16840"/>
          <w:pgMar w:top="1440" w:right="1440" w:bottom="1440" w:left="1440" w:header="708" w:footer="708" w:gutter="0"/>
          <w:cols w:space="708"/>
          <w:docGrid w:linePitch="360"/>
        </w:sectPr>
      </w:pPr>
    </w:p>
    <w:p w14:paraId="556DAE62" w14:textId="5E179190" w:rsidR="00421AED" w:rsidRDefault="00C67ED2" w:rsidP="00421AED">
      <w:pPr>
        <w:pStyle w:val="TableCaption"/>
      </w:pPr>
      <w:bookmarkStart w:id="238" w:name="_Ref384731891"/>
      <w:bookmarkStart w:id="239" w:name="_Toc384985605"/>
      <w:bookmarkStart w:id="240" w:name="_Toc12630250"/>
      <w:r w:rsidRPr="00C67ED2">
        <w:lastRenderedPageBreak/>
        <w:t xml:space="preserve">Table </w:t>
      </w:r>
      <w:r w:rsidR="00A8252A">
        <w:rPr>
          <w:noProof/>
        </w:rPr>
        <w:fldChar w:fldCharType="begin"/>
      </w:r>
      <w:r w:rsidR="00A8252A">
        <w:rPr>
          <w:noProof/>
        </w:rPr>
        <w:instrText xml:space="preserve"> STYLEREF 1 \s </w:instrText>
      </w:r>
      <w:r w:rsidR="00A8252A">
        <w:rPr>
          <w:noProof/>
        </w:rPr>
        <w:fldChar w:fldCharType="separate"/>
      </w:r>
      <w:r w:rsidR="00DF49CD">
        <w:rPr>
          <w:noProof/>
        </w:rPr>
        <w:t>7</w:t>
      </w:r>
      <w:r w:rsidR="00A8252A">
        <w:rPr>
          <w:noProof/>
        </w:rPr>
        <w:fldChar w:fldCharType="end"/>
      </w:r>
      <w:r w:rsidR="00F359A2">
        <w:t>.</w:t>
      </w:r>
      <w:r w:rsidR="00A8252A">
        <w:rPr>
          <w:noProof/>
        </w:rPr>
        <w:fldChar w:fldCharType="begin"/>
      </w:r>
      <w:r w:rsidR="00A8252A">
        <w:rPr>
          <w:noProof/>
        </w:rPr>
        <w:instrText xml:space="preserve"> SEQ Table \* ARABIC \s 1 </w:instrText>
      </w:r>
      <w:r w:rsidR="00A8252A">
        <w:rPr>
          <w:noProof/>
        </w:rPr>
        <w:fldChar w:fldCharType="separate"/>
      </w:r>
      <w:r w:rsidR="00DF49CD">
        <w:rPr>
          <w:noProof/>
        </w:rPr>
        <w:t>1</w:t>
      </w:r>
      <w:r w:rsidR="00A8252A">
        <w:rPr>
          <w:noProof/>
        </w:rPr>
        <w:fldChar w:fldCharType="end"/>
      </w:r>
      <w:bookmarkEnd w:id="233"/>
      <w:bookmarkEnd w:id="238"/>
      <w:r w:rsidRPr="00C67ED2">
        <w:t>.</w:t>
      </w:r>
      <w:r w:rsidR="005A4AFD">
        <w:tab/>
      </w:r>
      <w:bookmarkEnd w:id="234"/>
      <w:bookmarkEnd w:id="239"/>
      <w:r w:rsidR="00421AED" w:rsidRPr="0059562E">
        <w:t>MER</w:t>
      </w:r>
      <w:r w:rsidR="00421AED" w:rsidRPr="00C67ED2">
        <w:t xml:space="preserve"> Project monitoring schedule</w:t>
      </w:r>
      <w:r w:rsidR="00421AED">
        <w:t xml:space="preserve"> for </w:t>
      </w:r>
      <w:r w:rsidR="009633F2">
        <w:t>Category 1 (</w:t>
      </w:r>
      <w:r w:rsidR="00421AED">
        <w:t>Basin</w:t>
      </w:r>
      <w:r w:rsidR="009633F2">
        <w:t>)</w:t>
      </w:r>
      <w:r w:rsidR="00421AED">
        <w:t xml:space="preserve"> and</w:t>
      </w:r>
      <w:r w:rsidR="009633F2">
        <w:t xml:space="preserve"> 3</w:t>
      </w:r>
      <w:r w:rsidR="00421AED">
        <w:t xml:space="preserve"> </w:t>
      </w:r>
      <w:r w:rsidR="009633F2">
        <w:t>(</w:t>
      </w:r>
      <w:r w:rsidR="00421AED">
        <w:t>Selected Area</w:t>
      </w:r>
      <w:r w:rsidR="009633F2">
        <w:t>)</w:t>
      </w:r>
      <w:r w:rsidR="00421AED">
        <w:t xml:space="preserve"> </w:t>
      </w:r>
      <w:r w:rsidR="00421AED" w:rsidRPr="00C67ED2">
        <w:t xml:space="preserve">indicators in the </w:t>
      </w:r>
      <w:r w:rsidR="00421AED" w:rsidRPr="000F53E7">
        <w:t>Lower Murray</w:t>
      </w:r>
      <w:r w:rsidR="00421AED">
        <w:t xml:space="preserve"> Selected Area from September 2019 to December 2022</w:t>
      </w:r>
      <w:r w:rsidR="00421AED" w:rsidRPr="00C67ED2">
        <w:t>.</w:t>
      </w:r>
      <w:bookmarkEnd w:id="240"/>
      <w:r w:rsidR="00421AED">
        <w:t xml:space="preserve"> </w:t>
      </w:r>
    </w:p>
    <w:tbl>
      <w:tblPr>
        <w:tblW w:w="5141"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58"/>
        <w:gridCol w:w="4048"/>
        <w:gridCol w:w="350"/>
        <w:gridCol w:w="402"/>
        <w:gridCol w:w="376"/>
        <w:gridCol w:w="422"/>
        <w:gridCol w:w="416"/>
        <w:gridCol w:w="427"/>
        <w:gridCol w:w="350"/>
        <w:gridCol w:w="327"/>
        <w:gridCol w:w="453"/>
        <w:gridCol w:w="399"/>
        <w:gridCol w:w="456"/>
        <w:gridCol w:w="310"/>
        <w:gridCol w:w="327"/>
        <w:gridCol w:w="384"/>
        <w:gridCol w:w="336"/>
        <w:gridCol w:w="448"/>
        <w:gridCol w:w="413"/>
        <w:gridCol w:w="341"/>
      </w:tblGrid>
      <w:tr w:rsidR="00FC1C25" w:rsidRPr="007E47A5" w14:paraId="618E67F5" w14:textId="77777777" w:rsidTr="00D96F00">
        <w:trPr>
          <w:trHeight w:val="32"/>
          <w:jc w:val="center"/>
        </w:trPr>
        <w:tc>
          <w:tcPr>
            <w:tcW w:w="1171" w:type="pct"/>
            <w:tcBorders>
              <w:top w:val="single" w:sz="4" w:space="0" w:color="auto"/>
              <w:left w:val="single" w:sz="4" w:space="0" w:color="auto"/>
            </w:tcBorders>
            <w:shd w:val="clear" w:color="auto" w:fill="BFBFBF" w:themeFill="background1" w:themeFillShade="BF"/>
            <w:noWrap/>
            <w:hideMark/>
          </w:tcPr>
          <w:p w14:paraId="7F8A0958" w14:textId="77777777" w:rsidR="00FC1C25" w:rsidRPr="009B6CE2" w:rsidRDefault="00FC1C25" w:rsidP="00D96F00">
            <w:pPr>
              <w:spacing w:after="0"/>
              <w:jc w:val="left"/>
              <w:rPr>
                <w:rFonts w:ascii="Calibri" w:hAnsi="Calibri" w:cs="Calibri"/>
                <w:sz w:val="20"/>
                <w:lang w:val="en-US"/>
              </w:rPr>
            </w:pPr>
            <w:bookmarkStart w:id="241" w:name="_Ref381343598"/>
            <w:bookmarkStart w:id="242" w:name="_Toc381380592"/>
            <w:bookmarkStart w:id="243" w:name="_Ref384711810"/>
            <w:bookmarkStart w:id="244" w:name="_Toc384985607"/>
            <w:r w:rsidRPr="009B6CE2">
              <w:rPr>
                <w:rFonts w:ascii="Calibri" w:hAnsi="Calibri" w:cs="Calibri"/>
                <w:b/>
                <w:bCs/>
                <w:sz w:val="20"/>
                <w:lang w:val="en-US"/>
              </w:rPr>
              <w:t>Indicator</w:t>
            </w:r>
          </w:p>
        </w:tc>
        <w:tc>
          <w:tcPr>
            <w:tcW w:w="1411" w:type="pct"/>
            <w:tcBorders>
              <w:top w:val="single" w:sz="4" w:space="0" w:color="auto"/>
              <w:right w:val="single" w:sz="4" w:space="0" w:color="auto"/>
            </w:tcBorders>
            <w:shd w:val="clear" w:color="auto" w:fill="BFBFBF" w:themeFill="background1" w:themeFillShade="BF"/>
            <w:noWrap/>
            <w:hideMark/>
          </w:tcPr>
          <w:p w14:paraId="6D957E4F" w14:textId="77777777" w:rsidR="00FC1C25" w:rsidRPr="009B6CE2" w:rsidRDefault="00FC1C25" w:rsidP="00D96F00">
            <w:pPr>
              <w:spacing w:after="0"/>
              <w:jc w:val="left"/>
              <w:rPr>
                <w:rFonts w:ascii="Calibri" w:hAnsi="Calibri" w:cs="Calibri"/>
                <w:sz w:val="20"/>
                <w:lang w:val="en-US"/>
              </w:rPr>
            </w:pPr>
            <w:r w:rsidRPr="009B6CE2">
              <w:rPr>
                <w:rFonts w:ascii="Calibri" w:hAnsi="Calibri" w:cs="Calibri"/>
                <w:b/>
                <w:bCs/>
                <w:sz w:val="20"/>
              </w:rPr>
              <w:t>Activities</w:t>
            </w:r>
          </w:p>
        </w:tc>
        <w:tc>
          <w:tcPr>
            <w:tcW w:w="834" w:type="pct"/>
            <w:gridSpan w:val="6"/>
            <w:tcBorders>
              <w:top w:val="single" w:sz="4" w:space="0" w:color="auto"/>
              <w:left w:val="single" w:sz="4" w:space="0" w:color="auto"/>
              <w:bottom w:val="nil"/>
              <w:right w:val="single" w:sz="4" w:space="0" w:color="auto"/>
            </w:tcBorders>
            <w:shd w:val="clear" w:color="auto" w:fill="BFBFBF" w:themeFill="background1" w:themeFillShade="BF"/>
          </w:tcPr>
          <w:p w14:paraId="1B1B9AF5" w14:textId="77777777" w:rsidR="00FC1C25" w:rsidRPr="009B6CE2" w:rsidRDefault="00FC1C25" w:rsidP="00D96F00">
            <w:pPr>
              <w:spacing w:after="0"/>
              <w:jc w:val="center"/>
              <w:rPr>
                <w:rFonts w:ascii="Calibri" w:hAnsi="Calibri" w:cs="Calibri"/>
                <w:b/>
                <w:bCs/>
                <w:sz w:val="20"/>
                <w:lang w:val="en-US"/>
              </w:rPr>
            </w:pPr>
            <w:r w:rsidRPr="009B6CE2">
              <w:rPr>
                <w:rFonts w:ascii="Calibri" w:hAnsi="Calibri" w:cs="Calibri"/>
                <w:b/>
                <w:bCs/>
                <w:sz w:val="20"/>
              </w:rPr>
              <w:t>201</w:t>
            </w:r>
            <w:r>
              <w:rPr>
                <w:rFonts w:ascii="Calibri" w:hAnsi="Calibri" w:cs="Calibri"/>
                <w:b/>
                <w:bCs/>
                <w:sz w:val="20"/>
              </w:rPr>
              <w:t>9</w:t>
            </w:r>
          </w:p>
        </w:tc>
        <w:tc>
          <w:tcPr>
            <w:tcW w:w="1584" w:type="pct"/>
            <w:gridSpan w:val="12"/>
            <w:tcBorders>
              <w:top w:val="single" w:sz="4" w:space="0" w:color="auto"/>
              <w:left w:val="single" w:sz="4" w:space="0" w:color="auto"/>
              <w:right w:val="single" w:sz="4" w:space="0" w:color="auto"/>
            </w:tcBorders>
            <w:shd w:val="clear" w:color="auto" w:fill="BFBFBF" w:themeFill="background1" w:themeFillShade="BF"/>
            <w:noWrap/>
            <w:vAlign w:val="bottom"/>
            <w:hideMark/>
          </w:tcPr>
          <w:p w14:paraId="0D145F08" w14:textId="77777777" w:rsidR="00FC1C25" w:rsidRPr="009B6CE2" w:rsidRDefault="00FC1C25" w:rsidP="00D96F00">
            <w:pPr>
              <w:spacing w:after="0"/>
              <w:jc w:val="center"/>
              <w:rPr>
                <w:rFonts w:ascii="Calibri" w:hAnsi="Calibri" w:cs="Calibri"/>
                <w:b/>
                <w:bCs/>
                <w:sz w:val="20"/>
                <w:lang w:val="en-US"/>
              </w:rPr>
            </w:pPr>
            <w:r w:rsidRPr="009B6CE2">
              <w:rPr>
                <w:rFonts w:ascii="Calibri" w:hAnsi="Calibri" w:cs="Calibri"/>
                <w:b/>
                <w:bCs/>
                <w:sz w:val="20"/>
              </w:rPr>
              <w:t>20</w:t>
            </w:r>
            <w:r>
              <w:rPr>
                <w:rFonts w:ascii="Calibri" w:hAnsi="Calibri" w:cs="Calibri"/>
                <w:b/>
                <w:bCs/>
                <w:sz w:val="20"/>
              </w:rPr>
              <w:t>20</w:t>
            </w:r>
          </w:p>
        </w:tc>
      </w:tr>
      <w:tr w:rsidR="00FC1C25" w:rsidRPr="007E47A5" w14:paraId="6284CCD9" w14:textId="77777777" w:rsidTr="00D96F00">
        <w:trPr>
          <w:trHeight w:val="20"/>
          <w:jc w:val="center"/>
        </w:trPr>
        <w:tc>
          <w:tcPr>
            <w:tcW w:w="1171" w:type="pct"/>
            <w:tcBorders>
              <w:left w:val="single" w:sz="4" w:space="0" w:color="auto"/>
              <w:bottom w:val="single" w:sz="4" w:space="0" w:color="auto"/>
            </w:tcBorders>
            <w:shd w:val="clear" w:color="auto" w:fill="BFBFBF" w:themeFill="background1" w:themeFillShade="BF"/>
            <w:noWrap/>
            <w:vAlign w:val="bottom"/>
            <w:hideMark/>
          </w:tcPr>
          <w:p w14:paraId="2F3708BB" w14:textId="77777777" w:rsidR="00FC1C25" w:rsidRPr="009B6CE2" w:rsidRDefault="00FC1C25" w:rsidP="00D96F00">
            <w:pPr>
              <w:spacing w:after="0"/>
              <w:rPr>
                <w:rFonts w:ascii="Calibri" w:hAnsi="Calibri" w:cs="Calibri"/>
                <w:b/>
                <w:bCs/>
                <w:sz w:val="20"/>
                <w:lang w:val="en-US"/>
              </w:rPr>
            </w:pPr>
          </w:p>
        </w:tc>
        <w:tc>
          <w:tcPr>
            <w:tcW w:w="1411" w:type="pct"/>
            <w:tcBorders>
              <w:bottom w:val="single" w:sz="4" w:space="0" w:color="auto"/>
              <w:right w:val="single" w:sz="4" w:space="0" w:color="auto"/>
            </w:tcBorders>
            <w:shd w:val="clear" w:color="auto" w:fill="BFBFBF" w:themeFill="background1" w:themeFillShade="BF"/>
            <w:noWrap/>
            <w:vAlign w:val="bottom"/>
            <w:hideMark/>
          </w:tcPr>
          <w:p w14:paraId="6D56C8E5" w14:textId="77777777" w:rsidR="00FC1C25" w:rsidRPr="009B6CE2" w:rsidRDefault="00FC1C25" w:rsidP="00D96F00">
            <w:pPr>
              <w:spacing w:after="0"/>
              <w:rPr>
                <w:rFonts w:ascii="Calibri" w:hAnsi="Calibri" w:cs="Calibri"/>
                <w:b/>
                <w:bCs/>
                <w:sz w:val="20"/>
                <w:lang w:val="en-US"/>
              </w:rPr>
            </w:pPr>
          </w:p>
        </w:tc>
        <w:tc>
          <w:tcPr>
            <w:tcW w:w="122" w:type="pct"/>
            <w:tcBorders>
              <w:top w:val="nil"/>
              <w:left w:val="single" w:sz="4" w:space="0" w:color="auto"/>
              <w:bottom w:val="single" w:sz="4" w:space="0" w:color="auto"/>
              <w:right w:val="nil"/>
            </w:tcBorders>
            <w:shd w:val="clear" w:color="auto" w:fill="BFBFBF" w:themeFill="background1" w:themeFillShade="BF"/>
          </w:tcPr>
          <w:p w14:paraId="3565E6AA" w14:textId="77777777" w:rsidR="00FC1C25" w:rsidRPr="009B6CE2" w:rsidRDefault="00FC1C25" w:rsidP="00D96F00">
            <w:pPr>
              <w:spacing w:after="0"/>
              <w:rPr>
                <w:rFonts w:ascii="Calibri" w:hAnsi="Calibri" w:cs="Calibri"/>
                <w:sz w:val="20"/>
              </w:rPr>
            </w:pPr>
            <w:r>
              <w:rPr>
                <w:rFonts w:ascii="Calibri" w:hAnsi="Calibri" w:cs="Calibri"/>
                <w:sz w:val="20"/>
              </w:rPr>
              <w:t>J</w:t>
            </w:r>
          </w:p>
        </w:tc>
        <w:tc>
          <w:tcPr>
            <w:tcW w:w="140" w:type="pct"/>
            <w:tcBorders>
              <w:top w:val="nil"/>
              <w:left w:val="nil"/>
              <w:bottom w:val="single" w:sz="4" w:space="0" w:color="auto"/>
              <w:right w:val="nil"/>
            </w:tcBorders>
            <w:shd w:val="clear" w:color="auto" w:fill="BFBFBF" w:themeFill="background1" w:themeFillShade="BF"/>
          </w:tcPr>
          <w:p w14:paraId="214EC9C6" w14:textId="77777777" w:rsidR="00FC1C25" w:rsidRPr="009B6CE2" w:rsidRDefault="00FC1C25" w:rsidP="00D96F00">
            <w:pPr>
              <w:spacing w:after="0"/>
              <w:rPr>
                <w:rFonts w:ascii="Calibri" w:hAnsi="Calibri" w:cs="Calibri"/>
                <w:sz w:val="20"/>
              </w:rPr>
            </w:pPr>
            <w:r>
              <w:rPr>
                <w:rFonts w:ascii="Calibri" w:hAnsi="Calibri" w:cs="Calibri"/>
                <w:sz w:val="20"/>
              </w:rPr>
              <w:t>A</w:t>
            </w:r>
          </w:p>
        </w:tc>
        <w:tc>
          <w:tcPr>
            <w:tcW w:w="131" w:type="pct"/>
            <w:tcBorders>
              <w:top w:val="nil"/>
              <w:left w:val="nil"/>
              <w:bottom w:val="single" w:sz="4" w:space="0" w:color="auto"/>
              <w:right w:val="nil"/>
            </w:tcBorders>
            <w:shd w:val="clear" w:color="auto" w:fill="BFBFBF" w:themeFill="background1" w:themeFillShade="BF"/>
            <w:noWrap/>
            <w:vAlign w:val="bottom"/>
            <w:hideMark/>
          </w:tcPr>
          <w:p w14:paraId="669F6561" w14:textId="77777777" w:rsidR="00FC1C25" w:rsidRPr="009B6CE2" w:rsidRDefault="00FC1C25" w:rsidP="00D96F00">
            <w:pPr>
              <w:spacing w:after="0"/>
              <w:rPr>
                <w:rFonts w:ascii="Calibri" w:hAnsi="Calibri" w:cs="Calibri"/>
                <w:sz w:val="20"/>
                <w:lang w:val="en-US"/>
              </w:rPr>
            </w:pPr>
            <w:r w:rsidRPr="009B6CE2">
              <w:rPr>
                <w:rFonts w:ascii="Calibri" w:hAnsi="Calibri" w:cs="Calibri"/>
                <w:sz w:val="20"/>
              </w:rPr>
              <w:t>S</w:t>
            </w:r>
          </w:p>
        </w:tc>
        <w:tc>
          <w:tcPr>
            <w:tcW w:w="147" w:type="pct"/>
            <w:tcBorders>
              <w:top w:val="nil"/>
              <w:left w:val="nil"/>
              <w:bottom w:val="single" w:sz="4" w:space="0" w:color="auto"/>
              <w:right w:val="nil"/>
            </w:tcBorders>
            <w:shd w:val="clear" w:color="auto" w:fill="BFBFBF" w:themeFill="background1" w:themeFillShade="BF"/>
            <w:noWrap/>
            <w:vAlign w:val="bottom"/>
            <w:hideMark/>
          </w:tcPr>
          <w:p w14:paraId="0C0119C6" w14:textId="77777777" w:rsidR="00FC1C25" w:rsidRPr="009B6CE2" w:rsidRDefault="00FC1C25" w:rsidP="00D96F00">
            <w:pPr>
              <w:spacing w:after="0"/>
              <w:rPr>
                <w:rFonts w:ascii="Calibri" w:hAnsi="Calibri" w:cs="Calibri"/>
                <w:sz w:val="20"/>
                <w:lang w:val="en-US"/>
              </w:rPr>
            </w:pPr>
            <w:r w:rsidRPr="009B6CE2">
              <w:rPr>
                <w:rFonts w:ascii="Calibri" w:hAnsi="Calibri" w:cs="Calibri"/>
                <w:sz w:val="20"/>
              </w:rPr>
              <w:t>O</w:t>
            </w:r>
          </w:p>
        </w:tc>
        <w:tc>
          <w:tcPr>
            <w:tcW w:w="145" w:type="pct"/>
            <w:tcBorders>
              <w:top w:val="nil"/>
              <w:left w:val="nil"/>
              <w:bottom w:val="single" w:sz="4" w:space="0" w:color="auto"/>
              <w:right w:val="nil"/>
            </w:tcBorders>
            <w:shd w:val="clear" w:color="auto" w:fill="BFBFBF" w:themeFill="background1" w:themeFillShade="BF"/>
            <w:noWrap/>
            <w:vAlign w:val="bottom"/>
            <w:hideMark/>
          </w:tcPr>
          <w:p w14:paraId="21468B1C" w14:textId="77777777" w:rsidR="00FC1C25" w:rsidRPr="009B6CE2" w:rsidRDefault="00FC1C25" w:rsidP="00D96F00">
            <w:pPr>
              <w:spacing w:after="0"/>
              <w:rPr>
                <w:rFonts w:ascii="Calibri" w:hAnsi="Calibri" w:cs="Calibri"/>
                <w:sz w:val="20"/>
                <w:lang w:val="en-US"/>
              </w:rPr>
            </w:pPr>
            <w:r w:rsidRPr="009B6CE2">
              <w:rPr>
                <w:rFonts w:ascii="Calibri" w:hAnsi="Calibri" w:cs="Calibri"/>
                <w:sz w:val="20"/>
              </w:rPr>
              <w:t>N</w:t>
            </w:r>
          </w:p>
        </w:tc>
        <w:tc>
          <w:tcPr>
            <w:tcW w:w="149" w:type="pct"/>
            <w:tcBorders>
              <w:top w:val="nil"/>
              <w:left w:val="nil"/>
              <w:bottom w:val="single" w:sz="4" w:space="0" w:color="auto"/>
              <w:right w:val="single" w:sz="4" w:space="0" w:color="auto"/>
            </w:tcBorders>
            <w:shd w:val="clear" w:color="auto" w:fill="BFBFBF" w:themeFill="background1" w:themeFillShade="BF"/>
            <w:noWrap/>
            <w:vAlign w:val="bottom"/>
            <w:hideMark/>
          </w:tcPr>
          <w:p w14:paraId="2A538445" w14:textId="77777777" w:rsidR="00FC1C25" w:rsidRPr="009B6CE2" w:rsidRDefault="00FC1C25" w:rsidP="00D96F00">
            <w:pPr>
              <w:spacing w:after="0"/>
              <w:rPr>
                <w:rFonts w:ascii="Calibri" w:hAnsi="Calibri" w:cs="Calibri"/>
                <w:sz w:val="20"/>
                <w:lang w:val="en-US"/>
              </w:rPr>
            </w:pPr>
            <w:r w:rsidRPr="009B6CE2">
              <w:rPr>
                <w:rFonts w:ascii="Calibri" w:hAnsi="Calibri" w:cs="Calibri"/>
                <w:sz w:val="20"/>
              </w:rPr>
              <w:t>D</w:t>
            </w:r>
          </w:p>
        </w:tc>
        <w:tc>
          <w:tcPr>
            <w:tcW w:w="122" w:type="pct"/>
            <w:tcBorders>
              <w:left w:val="single" w:sz="4" w:space="0" w:color="auto"/>
              <w:bottom w:val="single" w:sz="4" w:space="0" w:color="auto"/>
            </w:tcBorders>
            <w:shd w:val="clear" w:color="auto" w:fill="BFBFBF" w:themeFill="background1" w:themeFillShade="BF"/>
            <w:noWrap/>
            <w:vAlign w:val="bottom"/>
            <w:hideMark/>
          </w:tcPr>
          <w:p w14:paraId="61060F66" w14:textId="77777777" w:rsidR="00FC1C25" w:rsidRPr="009B6CE2" w:rsidRDefault="00FC1C25" w:rsidP="00D96F00">
            <w:pPr>
              <w:spacing w:after="0"/>
              <w:rPr>
                <w:rFonts w:ascii="Calibri" w:hAnsi="Calibri" w:cs="Calibri"/>
                <w:sz w:val="20"/>
                <w:lang w:val="en-US"/>
              </w:rPr>
            </w:pPr>
            <w:r w:rsidRPr="009B6CE2">
              <w:rPr>
                <w:rFonts w:ascii="Calibri" w:hAnsi="Calibri" w:cs="Calibri"/>
                <w:sz w:val="20"/>
              </w:rPr>
              <w:t>J</w:t>
            </w:r>
          </w:p>
        </w:tc>
        <w:tc>
          <w:tcPr>
            <w:tcW w:w="114" w:type="pct"/>
            <w:tcBorders>
              <w:bottom w:val="single" w:sz="4" w:space="0" w:color="auto"/>
            </w:tcBorders>
            <w:shd w:val="clear" w:color="auto" w:fill="BFBFBF" w:themeFill="background1" w:themeFillShade="BF"/>
            <w:noWrap/>
            <w:vAlign w:val="bottom"/>
            <w:hideMark/>
          </w:tcPr>
          <w:p w14:paraId="4089AF12" w14:textId="77777777" w:rsidR="00FC1C25" w:rsidRPr="009B6CE2" w:rsidRDefault="00FC1C25" w:rsidP="00D96F00">
            <w:pPr>
              <w:spacing w:after="0"/>
              <w:rPr>
                <w:rFonts w:ascii="Calibri" w:hAnsi="Calibri" w:cs="Calibri"/>
                <w:sz w:val="20"/>
                <w:lang w:val="en-US"/>
              </w:rPr>
            </w:pPr>
            <w:r w:rsidRPr="009B6CE2">
              <w:rPr>
                <w:rFonts w:ascii="Calibri" w:hAnsi="Calibri" w:cs="Calibri"/>
                <w:sz w:val="20"/>
              </w:rPr>
              <w:t>F</w:t>
            </w:r>
          </w:p>
        </w:tc>
        <w:tc>
          <w:tcPr>
            <w:tcW w:w="158" w:type="pct"/>
            <w:tcBorders>
              <w:bottom w:val="single" w:sz="4" w:space="0" w:color="auto"/>
            </w:tcBorders>
            <w:shd w:val="clear" w:color="auto" w:fill="BFBFBF" w:themeFill="background1" w:themeFillShade="BF"/>
            <w:noWrap/>
            <w:vAlign w:val="bottom"/>
            <w:hideMark/>
          </w:tcPr>
          <w:p w14:paraId="7D0E1868" w14:textId="77777777" w:rsidR="00FC1C25" w:rsidRPr="009B6CE2" w:rsidRDefault="00FC1C25" w:rsidP="00D96F00">
            <w:pPr>
              <w:spacing w:after="0"/>
              <w:rPr>
                <w:rFonts w:ascii="Calibri" w:hAnsi="Calibri" w:cs="Calibri"/>
                <w:sz w:val="20"/>
                <w:lang w:val="en-US"/>
              </w:rPr>
            </w:pPr>
            <w:r w:rsidRPr="009B6CE2">
              <w:rPr>
                <w:rFonts w:ascii="Calibri" w:hAnsi="Calibri" w:cs="Calibri"/>
                <w:sz w:val="20"/>
              </w:rPr>
              <w:t>M</w:t>
            </w:r>
          </w:p>
        </w:tc>
        <w:tc>
          <w:tcPr>
            <w:tcW w:w="139" w:type="pct"/>
            <w:tcBorders>
              <w:bottom w:val="single" w:sz="4" w:space="0" w:color="auto"/>
            </w:tcBorders>
            <w:shd w:val="clear" w:color="auto" w:fill="BFBFBF" w:themeFill="background1" w:themeFillShade="BF"/>
            <w:noWrap/>
            <w:vAlign w:val="bottom"/>
            <w:hideMark/>
          </w:tcPr>
          <w:p w14:paraId="20CB49F1" w14:textId="77777777" w:rsidR="00FC1C25" w:rsidRPr="009B6CE2" w:rsidRDefault="00FC1C25" w:rsidP="00D96F00">
            <w:pPr>
              <w:spacing w:after="0"/>
              <w:rPr>
                <w:rFonts w:ascii="Calibri" w:hAnsi="Calibri" w:cs="Calibri"/>
                <w:sz w:val="20"/>
                <w:lang w:val="en-US"/>
              </w:rPr>
            </w:pPr>
            <w:r w:rsidRPr="009B6CE2">
              <w:rPr>
                <w:rFonts w:ascii="Calibri" w:hAnsi="Calibri" w:cs="Calibri"/>
                <w:sz w:val="20"/>
              </w:rPr>
              <w:t>A</w:t>
            </w:r>
          </w:p>
        </w:tc>
        <w:tc>
          <w:tcPr>
            <w:tcW w:w="159" w:type="pct"/>
            <w:tcBorders>
              <w:bottom w:val="single" w:sz="4" w:space="0" w:color="auto"/>
            </w:tcBorders>
            <w:shd w:val="clear" w:color="auto" w:fill="BFBFBF" w:themeFill="background1" w:themeFillShade="BF"/>
            <w:noWrap/>
            <w:vAlign w:val="bottom"/>
            <w:hideMark/>
          </w:tcPr>
          <w:p w14:paraId="31E05547" w14:textId="77777777" w:rsidR="00FC1C25" w:rsidRPr="009B6CE2" w:rsidRDefault="00FC1C25" w:rsidP="00D96F00">
            <w:pPr>
              <w:spacing w:after="0"/>
              <w:rPr>
                <w:rFonts w:ascii="Calibri" w:hAnsi="Calibri" w:cs="Calibri"/>
                <w:sz w:val="20"/>
                <w:lang w:val="en-US"/>
              </w:rPr>
            </w:pPr>
            <w:r w:rsidRPr="009B6CE2">
              <w:rPr>
                <w:rFonts w:ascii="Calibri" w:hAnsi="Calibri" w:cs="Calibri"/>
                <w:sz w:val="20"/>
              </w:rPr>
              <w:t>M</w:t>
            </w:r>
          </w:p>
        </w:tc>
        <w:tc>
          <w:tcPr>
            <w:tcW w:w="108" w:type="pct"/>
            <w:tcBorders>
              <w:bottom w:val="single" w:sz="4" w:space="0" w:color="auto"/>
            </w:tcBorders>
            <w:shd w:val="clear" w:color="auto" w:fill="BFBFBF" w:themeFill="background1" w:themeFillShade="BF"/>
            <w:noWrap/>
            <w:vAlign w:val="bottom"/>
            <w:hideMark/>
          </w:tcPr>
          <w:p w14:paraId="06345D83" w14:textId="77777777" w:rsidR="00FC1C25" w:rsidRPr="009B6CE2" w:rsidRDefault="00FC1C25" w:rsidP="00D96F00">
            <w:pPr>
              <w:spacing w:after="0"/>
              <w:rPr>
                <w:rFonts w:ascii="Calibri" w:hAnsi="Calibri" w:cs="Calibri"/>
                <w:sz w:val="20"/>
                <w:lang w:val="en-US"/>
              </w:rPr>
            </w:pPr>
            <w:r w:rsidRPr="009B6CE2">
              <w:rPr>
                <w:rFonts w:ascii="Calibri" w:hAnsi="Calibri" w:cs="Calibri"/>
                <w:sz w:val="20"/>
              </w:rPr>
              <w:t>J</w:t>
            </w:r>
          </w:p>
        </w:tc>
        <w:tc>
          <w:tcPr>
            <w:tcW w:w="114" w:type="pct"/>
            <w:tcBorders>
              <w:bottom w:val="single" w:sz="4" w:space="0" w:color="auto"/>
            </w:tcBorders>
            <w:shd w:val="clear" w:color="auto" w:fill="BFBFBF" w:themeFill="background1" w:themeFillShade="BF"/>
            <w:noWrap/>
            <w:vAlign w:val="bottom"/>
            <w:hideMark/>
          </w:tcPr>
          <w:p w14:paraId="21F42077" w14:textId="77777777" w:rsidR="00FC1C25" w:rsidRPr="009B6CE2" w:rsidRDefault="00FC1C25" w:rsidP="00D96F00">
            <w:pPr>
              <w:spacing w:after="0"/>
              <w:rPr>
                <w:rFonts w:ascii="Calibri" w:hAnsi="Calibri" w:cs="Calibri"/>
                <w:sz w:val="20"/>
                <w:lang w:val="en-US"/>
              </w:rPr>
            </w:pPr>
            <w:r w:rsidRPr="009B6CE2">
              <w:rPr>
                <w:rFonts w:ascii="Calibri" w:hAnsi="Calibri" w:cs="Calibri"/>
                <w:sz w:val="20"/>
              </w:rPr>
              <w:t>J</w:t>
            </w:r>
          </w:p>
        </w:tc>
        <w:tc>
          <w:tcPr>
            <w:tcW w:w="134" w:type="pct"/>
            <w:tcBorders>
              <w:bottom w:val="single" w:sz="4" w:space="0" w:color="auto"/>
            </w:tcBorders>
            <w:shd w:val="clear" w:color="auto" w:fill="BFBFBF" w:themeFill="background1" w:themeFillShade="BF"/>
            <w:noWrap/>
            <w:vAlign w:val="bottom"/>
            <w:hideMark/>
          </w:tcPr>
          <w:p w14:paraId="2D8E3FB6" w14:textId="77777777" w:rsidR="00FC1C25" w:rsidRPr="009B6CE2" w:rsidRDefault="00FC1C25" w:rsidP="00D96F00">
            <w:pPr>
              <w:spacing w:after="0"/>
              <w:rPr>
                <w:rFonts w:ascii="Calibri" w:hAnsi="Calibri" w:cs="Calibri"/>
                <w:sz w:val="20"/>
                <w:lang w:val="en-US"/>
              </w:rPr>
            </w:pPr>
            <w:r w:rsidRPr="009B6CE2">
              <w:rPr>
                <w:rFonts w:ascii="Calibri" w:hAnsi="Calibri" w:cs="Calibri"/>
                <w:sz w:val="20"/>
              </w:rPr>
              <w:t>A</w:t>
            </w:r>
          </w:p>
        </w:tc>
        <w:tc>
          <w:tcPr>
            <w:tcW w:w="117" w:type="pct"/>
            <w:tcBorders>
              <w:bottom w:val="single" w:sz="4" w:space="0" w:color="auto"/>
            </w:tcBorders>
            <w:shd w:val="clear" w:color="auto" w:fill="BFBFBF" w:themeFill="background1" w:themeFillShade="BF"/>
            <w:noWrap/>
            <w:vAlign w:val="bottom"/>
            <w:hideMark/>
          </w:tcPr>
          <w:p w14:paraId="452EF1B9" w14:textId="77777777" w:rsidR="00FC1C25" w:rsidRPr="009B6CE2" w:rsidRDefault="00FC1C25" w:rsidP="00D96F00">
            <w:pPr>
              <w:spacing w:after="0"/>
              <w:rPr>
                <w:rFonts w:ascii="Calibri" w:hAnsi="Calibri" w:cs="Calibri"/>
                <w:sz w:val="20"/>
                <w:lang w:val="en-US"/>
              </w:rPr>
            </w:pPr>
            <w:r w:rsidRPr="009B6CE2">
              <w:rPr>
                <w:rFonts w:ascii="Calibri" w:hAnsi="Calibri" w:cs="Calibri"/>
                <w:sz w:val="20"/>
              </w:rPr>
              <w:t>S</w:t>
            </w:r>
          </w:p>
        </w:tc>
        <w:tc>
          <w:tcPr>
            <w:tcW w:w="156" w:type="pct"/>
            <w:tcBorders>
              <w:bottom w:val="single" w:sz="4" w:space="0" w:color="auto"/>
            </w:tcBorders>
            <w:shd w:val="clear" w:color="auto" w:fill="BFBFBF" w:themeFill="background1" w:themeFillShade="BF"/>
            <w:noWrap/>
            <w:vAlign w:val="bottom"/>
            <w:hideMark/>
          </w:tcPr>
          <w:p w14:paraId="34FC206C" w14:textId="77777777" w:rsidR="00FC1C25" w:rsidRPr="009B6CE2" w:rsidRDefault="00FC1C25" w:rsidP="00D96F00">
            <w:pPr>
              <w:spacing w:after="0"/>
              <w:rPr>
                <w:rFonts w:ascii="Calibri" w:hAnsi="Calibri" w:cs="Calibri"/>
                <w:sz w:val="20"/>
                <w:lang w:val="en-US"/>
              </w:rPr>
            </w:pPr>
            <w:r w:rsidRPr="009B6CE2">
              <w:rPr>
                <w:rFonts w:ascii="Calibri" w:hAnsi="Calibri" w:cs="Calibri"/>
                <w:sz w:val="20"/>
              </w:rPr>
              <w:t>O</w:t>
            </w:r>
          </w:p>
        </w:tc>
        <w:tc>
          <w:tcPr>
            <w:tcW w:w="144" w:type="pct"/>
            <w:tcBorders>
              <w:bottom w:val="single" w:sz="4" w:space="0" w:color="auto"/>
            </w:tcBorders>
            <w:shd w:val="clear" w:color="auto" w:fill="BFBFBF" w:themeFill="background1" w:themeFillShade="BF"/>
            <w:noWrap/>
            <w:vAlign w:val="bottom"/>
            <w:hideMark/>
          </w:tcPr>
          <w:p w14:paraId="47749D62" w14:textId="77777777" w:rsidR="00FC1C25" w:rsidRPr="009B6CE2" w:rsidRDefault="00FC1C25" w:rsidP="00D96F00">
            <w:pPr>
              <w:spacing w:after="0"/>
              <w:rPr>
                <w:rFonts w:ascii="Calibri" w:hAnsi="Calibri" w:cs="Calibri"/>
                <w:sz w:val="20"/>
                <w:lang w:val="en-US"/>
              </w:rPr>
            </w:pPr>
            <w:r w:rsidRPr="009B6CE2">
              <w:rPr>
                <w:rFonts w:ascii="Calibri" w:hAnsi="Calibri" w:cs="Calibri"/>
                <w:sz w:val="20"/>
              </w:rPr>
              <w:t>N</w:t>
            </w:r>
          </w:p>
        </w:tc>
        <w:tc>
          <w:tcPr>
            <w:tcW w:w="119" w:type="pct"/>
            <w:tcBorders>
              <w:bottom w:val="single" w:sz="4" w:space="0" w:color="auto"/>
              <w:right w:val="single" w:sz="4" w:space="0" w:color="auto"/>
            </w:tcBorders>
            <w:shd w:val="clear" w:color="auto" w:fill="BFBFBF" w:themeFill="background1" w:themeFillShade="BF"/>
            <w:noWrap/>
            <w:vAlign w:val="bottom"/>
            <w:hideMark/>
          </w:tcPr>
          <w:p w14:paraId="5FC6A3BF" w14:textId="77777777" w:rsidR="00FC1C25" w:rsidRPr="009B6CE2" w:rsidRDefault="00FC1C25" w:rsidP="00D96F00">
            <w:pPr>
              <w:spacing w:after="0"/>
              <w:rPr>
                <w:rFonts w:ascii="Calibri" w:hAnsi="Calibri" w:cs="Calibri"/>
                <w:sz w:val="20"/>
                <w:lang w:val="en-US"/>
              </w:rPr>
            </w:pPr>
            <w:r w:rsidRPr="009B6CE2">
              <w:rPr>
                <w:rFonts w:ascii="Calibri" w:hAnsi="Calibri" w:cs="Calibri"/>
                <w:sz w:val="20"/>
              </w:rPr>
              <w:t>D</w:t>
            </w:r>
          </w:p>
        </w:tc>
      </w:tr>
      <w:tr w:rsidR="00FC1C25" w:rsidRPr="007E47A5" w14:paraId="3E742334" w14:textId="77777777" w:rsidTr="00D96F00">
        <w:trPr>
          <w:trHeight w:val="32"/>
          <w:jc w:val="center"/>
        </w:trPr>
        <w:tc>
          <w:tcPr>
            <w:tcW w:w="1171" w:type="pct"/>
            <w:tcBorders>
              <w:top w:val="single" w:sz="4" w:space="0" w:color="auto"/>
              <w:left w:val="single" w:sz="4" w:space="0" w:color="auto"/>
              <w:bottom w:val="single" w:sz="4" w:space="0" w:color="A6A6A6" w:themeColor="background1" w:themeShade="A6"/>
              <w:right w:val="nil"/>
            </w:tcBorders>
            <w:shd w:val="clear" w:color="auto" w:fill="auto"/>
            <w:noWrap/>
            <w:vAlign w:val="bottom"/>
            <w:hideMark/>
          </w:tcPr>
          <w:p w14:paraId="1BB38158" w14:textId="77777777" w:rsidR="00FC1C25" w:rsidRPr="00285390" w:rsidRDefault="00FC1C25" w:rsidP="00D96F00">
            <w:pPr>
              <w:spacing w:after="0"/>
              <w:rPr>
                <w:rFonts w:ascii="Calibri" w:hAnsi="Calibri" w:cs="Calibri"/>
                <w:b/>
                <w:sz w:val="4"/>
                <w:szCs w:val="4"/>
              </w:rPr>
            </w:pPr>
          </w:p>
          <w:p w14:paraId="5075BEA5" w14:textId="77777777" w:rsidR="00FC1C25" w:rsidRPr="009B6CE2" w:rsidRDefault="00FC1C25" w:rsidP="00D96F00">
            <w:pPr>
              <w:spacing w:after="0"/>
              <w:rPr>
                <w:rFonts w:ascii="Calibri" w:hAnsi="Calibri" w:cs="Calibri"/>
                <w:b/>
                <w:sz w:val="20"/>
                <w:lang w:val="en-US"/>
              </w:rPr>
            </w:pPr>
            <w:r>
              <w:rPr>
                <w:rFonts w:ascii="Calibri" w:hAnsi="Calibri" w:cs="Calibri"/>
                <w:b/>
                <w:sz w:val="20"/>
              </w:rPr>
              <w:t>Category 1</w:t>
            </w:r>
          </w:p>
        </w:tc>
        <w:tc>
          <w:tcPr>
            <w:tcW w:w="1411" w:type="pct"/>
            <w:tcBorders>
              <w:top w:val="single" w:sz="4" w:space="0" w:color="auto"/>
              <w:left w:val="nil"/>
              <w:bottom w:val="single" w:sz="4" w:space="0" w:color="A6A6A6" w:themeColor="background1" w:themeShade="A6"/>
              <w:right w:val="single" w:sz="4" w:space="0" w:color="auto"/>
            </w:tcBorders>
            <w:shd w:val="clear" w:color="auto" w:fill="auto"/>
            <w:noWrap/>
            <w:vAlign w:val="bottom"/>
            <w:hideMark/>
          </w:tcPr>
          <w:p w14:paraId="501FAA30" w14:textId="77777777" w:rsidR="00FC1C25" w:rsidRPr="00D96F00" w:rsidRDefault="00FC1C25" w:rsidP="00D96F00">
            <w:pPr>
              <w:spacing w:after="0"/>
              <w:rPr>
                <w:rFonts w:ascii="Calibri" w:hAnsi="Calibri" w:cs="Calibri"/>
                <w:sz w:val="18"/>
                <w:szCs w:val="18"/>
                <w:lang w:val="en-US"/>
              </w:rPr>
            </w:pPr>
            <w:r w:rsidRPr="00D96F00">
              <w:rPr>
                <w:rFonts w:ascii="Calibri" w:hAnsi="Calibri" w:cs="Calibri"/>
                <w:sz w:val="18"/>
                <w:szCs w:val="18"/>
              </w:rPr>
              <w:t> </w:t>
            </w:r>
          </w:p>
        </w:tc>
        <w:tc>
          <w:tcPr>
            <w:tcW w:w="122" w:type="pct"/>
            <w:tcBorders>
              <w:top w:val="single" w:sz="4" w:space="0" w:color="auto"/>
              <w:left w:val="single" w:sz="4" w:space="0" w:color="auto"/>
              <w:bottom w:val="single" w:sz="4" w:space="0" w:color="A6A6A6" w:themeColor="background1" w:themeShade="A6"/>
              <w:right w:val="single" w:sz="4" w:space="0" w:color="A6A6A6" w:themeColor="background1" w:themeShade="A6"/>
            </w:tcBorders>
          </w:tcPr>
          <w:p w14:paraId="69D0E301" w14:textId="77777777" w:rsidR="00FC1C25" w:rsidRPr="007E47A5" w:rsidRDefault="00FC1C25" w:rsidP="00D96F00">
            <w:pPr>
              <w:spacing w:after="0"/>
              <w:rPr>
                <w:rFonts w:ascii="Calibri" w:hAnsi="Calibri" w:cs="Calibri"/>
                <w:sz w:val="18"/>
                <w:szCs w:val="18"/>
                <w:lang w:val="en-US"/>
              </w:rPr>
            </w:pPr>
          </w:p>
        </w:tc>
        <w:tc>
          <w:tcPr>
            <w:tcW w:w="140"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0DA188F7" w14:textId="77777777" w:rsidR="00FC1C25" w:rsidRPr="007E47A5" w:rsidRDefault="00FC1C25" w:rsidP="00D96F00">
            <w:pPr>
              <w:spacing w:after="0"/>
              <w:rPr>
                <w:rFonts w:ascii="Calibri" w:hAnsi="Calibri" w:cs="Calibri"/>
                <w:sz w:val="18"/>
                <w:szCs w:val="18"/>
                <w:lang w:val="en-US"/>
              </w:rPr>
            </w:pPr>
          </w:p>
        </w:tc>
        <w:tc>
          <w:tcPr>
            <w:tcW w:w="131"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91018EA" w14:textId="77777777" w:rsidR="00FC1C25" w:rsidRPr="007E47A5" w:rsidRDefault="00FC1C25" w:rsidP="00D96F00">
            <w:pPr>
              <w:spacing w:after="0"/>
              <w:rPr>
                <w:rFonts w:ascii="Calibri" w:hAnsi="Calibri" w:cs="Calibri"/>
                <w:sz w:val="18"/>
                <w:szCs w:val="18"/>
                <w:lang w:val="en-US"/>
              </w:rPr>
            </w:pPr>
          </w:p>
        </w:tc>
        <w:tc>
          <w:tcPr>
            <w:tcW w:w="147"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99890CA" w14:textId="77777777" w:rsidR="00FC1C25" w:rsidRPr="007E47A5" w:rsidRDefault="00FC1C25" w:rsidP="00D96F00">
            <w:pPr>
              <w:spacing w:after="0"/>
              <w:rPr>
                <w:rFonts w:ascii="Calibri" w:hAnsi="Calibri" w:cs="Calibri"/>
                <w:sz w:val="18"/>
                <w:szCs w:val="18"/>
                <w:lang w:val="en-US"/>
              </w:rPr>
            </w:pPr>
          </w:p>
        </w:tc>
        <w:tc>
          <w:tcPr>
            <w:tcW w:w="145"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CF76FAB" w14:textId="77777777" w:rsidR="00FC1C25" w:rsidRPr="007E47A5" w:rsidRDefault="00FC1C25" w:rsidP="00D96F00">
            <w:pPr>
              <w:spacing w:after="0"/>
              <w:rPr>
                <w:rFonts w:ascii="Calibri" w:hAnsi="Calibri" w:cs="Calibri"/>
                <w:sz w:val="18"/>
                <w:szCs w:val="18"/>
                <w:lang w:val="en-US"/>
              </w:rPr>
            </w:pPr>
          </w:p>
        </w:tc>
        <w:tc>
          <w:tcPr>
            <w:tcW w:w="149" w:type="pct"/>
            <w:tcBorders>
              <w:top w:val="single" w:sz="4" w:space="0" w:color="auto"/>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3B83EE9A" w14:textId="77777777" w:rsidR="00FC1C25" w:rsidRPr="007E47A5" w:rsidRDefault="00FC1C25" w:rsidP="00D96F00">
            <w:pPr>
              <w:spacing w:after="0"/>
              <w:rPr>
                <w:rFonts w:ascii="Calibri" w:hAnsi="Calibri" w:cs="Calibri"/>
                <w:sz w:val="18"/>
                <w:szCs w:val="18"/>
                <w:lang w:val="en-US"/>
              </w:rPr>
            </w:pPr>
          </w:p>
        </w:tc>
        <w:tc>
          <w:tcPr>
            <w:tcW w:w="122" w:type="pct"/>
            <w:tcBorders>
              <w:top w:val="single" w:sz="4" w:space="0" w:color="auto"/>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14:paraId="4F6570F9"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1ABD0EF" w14:textId="77777777" w:rsidR="00FC1C25" w:rsidRPr="007E47A5" w:rsidRDefault="00FC1C25" w:rsidP="00D96F00">
            <w:pPr>
              <w:spacing w:after="0"/>
              <w:rPr>
                <w:rFonts w:ascii="Calibri" w:hAnsi="Calibri" w:cs="Calibri"/>
                <w:sz w:val="18"/>
                <w:szCs w:val="18"/>
                <w:lang w:val="en-US"/>
              </w:rPr>
            </w:pPr>
          </w:p>
        </w:tc>
        <w:tc>
          <w:tcPr>
            <w:tcW w:w="158"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77B1773" w14:textId="77777777" w:rsidR="00FC1C25" w:rsidRPr="007E47A5" w:rsidRDefault="00FC1C25" w:rsidP="00D96F00">
            <w:pPr>
              <w:spacing w:after="0"/>
              <w:rPr>
                <w:rFonts w:ascii="Calibri" w:hAnsi="Calibri" w:cs="Calibri"/>
                <w:sz w:val="18"/>
                <w:szCs w:val="18"/>
                <w:lang w:val="en-US"/>
              </w:rPr>
            </w:pPr>
          </w:p>
        </w:tc>
        <w:tc>
          <w:tcPr>
            <w:tcW w:w="139"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83F5A38" w14:textId="77777777" w:rsidR="00FC1C25" w:rsidRPr="007E47A5" w:rsidRDefault="00FC1C25" w:rsidP="00D96F00">
            <w:pPr>
              <w:spacing w:after="0"/>
              <w:rPr>
                <w:rFonts w:ascii="Calibri" w:hAnsi="Calibri" w:cs="Calibri"/>
                <w:sz w:val="18"/>
                <w:szCs w:val="18"/>
                <w:lang w:val="en-US"/>
              </w:rPr>
            </w:pPr>
          </w:p>
        </w:tc>
        <w:tc>
          <w:tcPr>
            <w:tcW w:w="159"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174CCBF" w14:textId="77777777" w:rsidR="00FC1C25" w:rsidRPr="007E47A5" w:rsidRDefault="00FC1C25" w:rsidP="00D96F00">
            <w:pPr>
              <w:spacing w:after="0"/>
              <w:rPr>
                <w:rFonts w:ascii="Calibri" w:hAnsi="Calibri" w:cs="Calibri"/>
                <w:sz w:val="18"/>
                <w:szCs w:val="18"/>
                <w:lang w:val="en-US"/>
              </w:rPr>
            </w:pPr>
          </w:p>
        </w:tc>
        <w:tc>
          <w:tcPr>
            <w:tcW w:w="108"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8DF69EA"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DEF2E7F" w14:textId="77777777" w:rsidR="00FC1C25" w:rsidRPr="007E47A5" w:rsidRDefault="00FC1C25" w:rsidP="00D96F00">
            <w:pPr>
              <w:spacing w:after="0"/>
              <w:rPr>
                <w:rFonts w:ascii="Calibri" w:hAnsi="Calibri" w:cs="Calibri"/>
                <w:sz w:val="18"/>
                <w:szCs w:val="18"/>
                <w:lang w:val="en-US"/>
              </w:rPr>
            </w:pPr>
          </w:p>
        </w:tc>
        <w:tc>
          <w:tcPr>
            <w:tcW w:w="134"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BD78026" w14:textId="77777777" w:rsidR="00FC1C25" w:rsidRPr="007E47A5" w:rsidRDefault="00FC1C25" w:rsidP="00D96F00">
            <w:pPr>
              <w:spacing w:after="0"/>
              <w:rPr>
                <w:rFonts w:ascii="Calibri" w:hAnsi="Calibri" w:cs="Calibri"/>
                <w:sz w:val="18"/>
                <w:szCs w:val="18"/>
                <w:lang w:val="en-US"/>
              </w:rPr>
            </w:pPr>
          </w:p>
        </w:tc>
        <w:tc>
          <w:tcPr>
            <w:tcW w:w="117"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55C0C9F" w14:textId="77777777" w:rsidR="00FC1C25" w:rsidRPr="007E47A5" w:rsidRDefault="00FC1C25" w:rsidP="00D96F00">
            <w:pPr>
              <w:spacing w:after="0"/>
              <w:rPr>
                <w:rFonts w:ascii="Calibri" w:hAnsi="Calibri" w:cs="Calibri"/>
                <w:sz w:val="18"/>
                <w:szCs w:val="18"/>
                <w:lang w:val="en-US"/>
              </w:rPr>
            </w:pPr>
          </w:p>
        </w:tc>
        <w:tc>
          <w:tcPr>
            <w:tcW w:w="156"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75CE8EE" w14:textId="77777777" w:rsidR="00FC1C25" w:rsidRPr="007E47A5" w:rsidRDefault="00FC1C25" w:rsidP="00D96F00">
            <w:pPr>
              <w:spacing w:after="0"/>
              <w:rPr>
                <w:rFonts w:ascii="Calibri" w:hAnsi="Calibri" w:cs="Calibri"/>
                <w:sz w:val="18"/>
                <w:szCs w:val="18"/>
                <w:lang w:val="en-US"/>
              </w:rPr>
            </w:pPr>
          </w:p>
        </w:tc>
        <w:tc>
          <w:tcPr>
            <w:tcW w:w="144"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260E301"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uto"/>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79F17075" w14:textId="77777777" w:rsidR="00FC1C25" w:rsidRPr="007E47A5" w:rsidRDefault="00FC1C25" w:rsidP="00D96F00">
            <w:pPr>
              <w:spacing w:after="0"/>
              <w:rPr>
                <w:rFonts w:ascii="Calibri" w:hAnsi="Calibri" w:cs="Calibri"/>
                <w:sz w:val="18"/>
                <w:szCs w:val="18"/>
                <w:lang w:val="en-US"/>
              </w:rPr>
            </w:pPr>
          </w:p>
        </w:tc>
      </w:tr>
      <w:tr w:rsidR="001F62CE" w:rsidRPr="007E47A5" w14:paraId="18D9F54E" w14:textId="77777777" w:rsidTr="00A42C68">
        <w:trPr>
          <w:trHeight w:val="32"/>
          <w:jc w:val="center"/>
        </w:trPr>
        <w:tc>
          <w:tcPr>
            <w:tcW w:w="1171" w:type="pct"/>
            <w:vMerge w:val="restart"/>
            <w:tcBorders>
              <w:top w:val="single" w:sz="4" w:space="0" w:color="A6A6A6" w:themeColor="background1" w:themeShade="A6"/>
              <w:left w:val="single" w:sz="4" w:space="0" w:color="auto"/>
              <w:right w:val="single" w:sz="4" w:space="0" w:color="A6A6A6" w:themeColor="background1" w:themeShade="A6"/>
            </w:tcBorders>
            <w:shd w:val="clear" w:color="auto" w:fill="auto"/>
            <w:noWrap/>
            <w:vAlign w:val="center"/>
          </w:tcPr>
          <w:p w14:paraId="08774E8C" w14:textId="77777777" w:rsidR="001F62CE" w:rsidRPr="00285390" w:rsidRDefault="001F62CE" w:rsidP="00A42C68">
            <w:pPr>
              <w:spacing w:after="0"/>
              <w:jc w:val="left"/>
              <w:rPr>
                <w:rFonts w:ascii="Calibri" w:hAnsi="Calibri" w:cs="Calibri"/>
                <w:b/>
                <w:sz w:val="4"/>
                <w:szCs w:val="4"/>
              </w:rPr>
            </w:pPr>
            <w:r w:rsidRPr="009B6CE2">
              <w:rPr>
                <w:rFonts w:ascii="Calibri" w:hAnsi="Calibri" w:cs="Calibri"/>
                <w:sz w:val="20"/>
              </w:rPr>
              <w:t xml:space="preserve">Hydrology </w:t>
            </w:r>
            <w:r>
              <w:rPr>
                <w:rFonts w:ascii="Calibri" w:hAnsi="Calibri" w:cs="Calibri"/>
                <w:sz w:val="20"/>
              </w:rPr>
              <w:t>(Channel)</w:t>
            </w:r>
          </w:p>
        </w:tc>
        <w:tc>
          <w:tcPr>
            <w:tcW w:w="14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640CFD5D" w14:textId="77777777" w:rsidR="001F62CE" w:rsidRPr="00D96F00" w:rsidRDefault="001F62CE" w:rsidP="00D96F00">
            <w:pPr>
              <w:spacing w:after="0"/>
              <w:rPr>
                <w:rFonts w:ascii="Calibri" w:hAnsi="Calibri" w:cs="Calibri"/>
                <w:sz w:val="18"/>
                <w:szCs w:val="18"/>
              </w:rPr>
            </w:pPr>
            <w:r w:rsidRPr="00D96F00">
              <w:rPr>
                <w:rFonts w:ascii="Calibri" w:hAnsi="Calibri" w:cs="Calibri"/>
                <w:sz w:val="18"/>
                <w:szCs w:val="18"/>
              </w:rPr>
              <w:t>Modelling</w:t>
            </w: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D9D9D9" w:themeFill="background1" w:themeFillShade="D9"/>
          </w:tcPr>
          <w:p w14:paraId="6160D4F1" w14:textId="77777777" w:rsidR="001F62CE" w:rsidRPr="007E47A5" w:rsidRDefault="001F62CE" w:rsidP="00D96F00">
            <w:pPr>
              <w:spacing w:after="0"/>
              <w:rPr>
                <w:rFonts w:ascii="Calibri" w:hAnsi="Calibri" w:cs="Calibri"/>
                <w:sz w:val="18"/>
                <w:szCs w:val="18"/>
                <w:lang w:val="en-US"/>
              </w:rPr>
            </w:pPr>
          </w:p>
        </w:tc>
        <w:tc>
          <w:tcPr>
            <w:tcW w:w="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5AD5FA90" w14:textId="77777777" w:rsidR="001F62CE" w:rsidRPr="007E47A5" w:rsidRDefault="001F62CE" w:rsidP="00D96F00">
            <w:pPr>
              <w:spacing w:after="0"/>
              <w:rPr>
                <w:rFonts w:ascii="Calibri" w:hAnsi="Calibri" w:cs="Calibri"/>
                <w:sz w:val="18"/>
                <w:szCs w:val="18"/>
                <w:lang w:val="en-US"/>
              </w:rPr>
            </w:pPr>
          </w:p>
        </w:tc>
        <w:tc>
          <w:tcPr>
            <w:tcW w:w="1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5DFA5E6C" w14:textId="77777777" w:rsidR="001F62CE" w:rsidRPr="007E47A5" w:rsidRDefault="001F62CE" w:rsidP="00D96F00">
            <w:pPr>
              <w:spacing w:after="0"/>
              <w:rPr>
                <w:rFonts w:ascii="Calibri" w:hAnsi="Calibri" w:cs="Calibri"/>
                <w:sz w:val="18"/>
                <w:szCs w:val="18"/>
                <w:lang w:val="en-US"/>
              </w:rPr>
            </w:pPr>
          </w:p>
        </w:tc>
        <w:tc>
          <w:tcPr>
            <w:tcW w:w="1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69053597" w14:textId="77777777" w:rsidR="001F62CE" w:rsidRPr="007E47A5" w:rsidRDefault="001F62CE" w:rsidP="00D96F00">
            <w:pPr>
              <w:spacing w:after="0"/>
              <w:rPr>
                <w:rFonts w:ascii="Calibri" w:hAnsi="Calibri" w:cs="Calibri"/>
                <w:sz w:val="18"/>
                <w:szCs w:val="18"/>
                <w:lang w:val="en-US"/>
              </w:rPr>
            </w:pPr>
          </w:p>
        </w:tc>
        <w:tc>
          <w:tcPr>
            <w:tcW w:w="1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07E5D254" w14:textId="77777777" w:rsidR="001F62CE" w:rsidRPr="007E47A5" w:rsidRDefault="001F62CE" w:rsidP="00D96F00">
            <w:pPr>
              <w:spacing w:after="0"/>
              <w:rPr>
                <w:rFonts w:ascii="Calibri" w:hAnsi="Calibri" w:cs="Calibri"/>
                <w:sz w:val="18"/>
                <w:szCs w:val="18"/>
                <w:lang w:val="en-US"/>
              </w:rPr>
            </w:pPr>
          </w:p>
        </w:tc>
        <w:tc>
          <w:tcPr>
            <w:tcW w:w="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noWrap/>
            <w:vAlign w:val="bottom"/>
          </w:tcPr>
          <w:p w14:paraId="16C28648" w14:textId="77777777" w:rsidR="001F62CE" w:rsidRPr="007E47A5" w:rsidRDefault="001F62CE" w:rsidP="00D96F00">
            <w:pPr>
              <w:spacing w:after="0"/>
              <w:rPr>
                <w:rFonts w:ascii="Calibri" w:hAnsi="Calibri" w:cs="Calibri"/>
                <w:sz w:val="18"/>
                <w:szCs w:val="18"/>
                <w:lang w:val="en-US"/>
              </w:rPr>
            </w:pP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3FA6409D" w14:textId="77777777" w:rsidR="001F62CE" w:rsidRPr="007E47A5" w:rsidRDefault="001F62CE"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6809934F" w14:textId="77777777" w:rsidR="001F62CE" w:rsidRPr="007E47A5" w:rsidRDefault="001F62CE" w:rsidP="00D96F00">
            <w:pPr>
              <w:spacing w:after="0"/>
              <w:rPr>
                <w:rFonts w:ascii="Calibri" w:hAnsi="Calibri" w:cs="Calibri"/>
                <w:sz w:val="18"/>
                <w:szCs w:val="18"/>
                <w:lang w:val="en-US"/>
              </w:rPr>
            </w:pPr>
          </w:p>
        </w:tc>
        <w:tc>
          <w:tcPr>
            <w:tcW w:w="1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52653A74" w14:textId="77777777" w:rsidR="001F62CE" w:rsidRPr="007E47A5" w:rsidRDefault="001F62CE" w:rsidP="00D96F00">
            <w:pPr>
              <w:spacing w:after="0"/>
              <w:rPr>
                <w:rFonts w:ascii="Calibri" w:hAnsi="Calibri" w:cs="Calibri"/>
                <w:sz w:val="18"/>
                <w:szCs w:val="18"/>
                <w:lang w:val="en-US"/>
              </w:rPr>
            </w:pPr>
          </w:p>
        </w:tc>
        <w:tc>
          <w:tcPr>
            <w:tcW w:w="1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0805E8B" w14:textId="77777777" w:rsidR="001F62CE" w:rsidRPr="007E47A5" w:rsidRDefault="001F62CE" w:rsidP="00D96F00">
            <w:pPr>
              <w:spacing w:after="0"/>
              <w:rPr>
                <w:rFonts w:ascii="Calibri" w:hAnsi="Calibri" w:cs="Calibri"/>
                <w:sz w:val="18"/>
                <w:szCs w:val="18"/>
                <w:lang w:val="en-US"/>
              </w:rPr>
            </w:pPr>
          </w:p>
        </w:tc>
        <w:tc>
          <w:tcPr>
            <w:tcW w:w="1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27B7AB47" w14:textId="77777777" w:rsidR="001F62CE" w:rsidRPr="007E47A5" w:rsidRDefault="001F62CE" w:rsidP="00D96F00">
            <w:pPr>
              <w:spacing w:after="0"/>
              <w:rPr>
                <w:rFonts w:ascii="Calibri" w:hAnsi="Calibri" w:cs="Calibri"/>
                <w:sz w:val="18"/>
                <w:szCs w:val="18"/>
                <w:lang w:val="en-US"/>
              </w:rPr>
            </w:pPr>
          </w:p>
        </w:tc>
        <w:tc>
          <w:tcPr>
            <w:tcW w:w="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C327FC9" w14:textId="77777777" w:rsidR="001F62CE" w:rsidRPr="007E47A5" w:rsidRDefault="001F62CE"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85D1650" w14:textId="77777777" w:rsidR="001F62CE" w:rsidRPr="007E47A5" w:rsidRDefault="001F62CE" w:rsidP="00D96F00">
            <w:pPr>
              <w:spacing w:after="0"/>
              <w:rPr>
                <w:rFonts w:ascii="Calibri" w:hAnsi="Calibri" w:cs="Calibri"/>
                <w:sz w:val="18"/>
                <w:szCs w:val="18"/>
                <w:lang w:val="en-US"/>
              </w:rPr>
            </w:pPr>
          </w:p>
        </w:tc>
        <w:tc>
          <w:tcPr>
            <w:tcW w:w="1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362DE22A" w14:textId="77777777" w:rsidR="001F62CE" w:rsidRPr="007E47A5" w:rsidRDefault="001F62CE" w:rsidP="00D96F00">
            <w:pPr>
              <w:spacing w:after="0"/>
              <w:rPr>
                <w:rFonts w:ascii="Calibri" w:hAnsi="Calibri" w:cs="Calibri"/>
                <w:sz w:val="18"/>
                <w:szCs w:val="18"/>
                <w:lang w:val="en-US"/>
              </w:rPr>
            </w:pPr>
          </w:p>
        </w:tc>
        <w:tc>
          <w:tcPr>
            <w:tcW w:w="1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94A3CB4" w14:textId="77777777" w:rsidR="001F62CE" w:rsidRPr="007E47A5" w:rsidRDefault="001F62CE" w:rsidP="00D96F00">
            <w:pPr>
              <w:spacing w:after="0"/>
              <w:rPr>
                <w:rFonts w:ascii="Calibri" w:hAnsi="Calibri" w:cs="Calibri"/>
                <w:sz w:val="18"/>
                <w:szCs w:val="18"/>
                <w:lang w:val="en-US"/>
              </w:rPr>
            </w:pPr>
          </w:p>
        </w:tc>
        <w:tc>
          <w:tcPr>
            <w:tcW w:w="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500777E4" w14:textId="77777777" w:rsidR="001F62CE" w:rsidRPr="007E47A5" w:rsidRDefault="001F62CE" w:rsidP="00D96F00">
            <w:pPr>
              <w:spacing w:after="0"/>
              <w:rPr>
                <w:rFonts w:ascii="Calibri" w:hAnsi="Calibri" w:cs="Calibri"/>
                <w:sz w:val="18"/>
                <w:szCs w:val="18"/>
                <w:lang w:val="en-US"/>
              </w:rPr>
            </w:pPr>
          </w:p>
        </w:tc>
        <w:tc>
          <w:tcPr>
            <w:tcW w:w="1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98F5000" w14:textId="77777777" w:rsidR="001F62CE" w:rsidRPr="007E47A5" w:rsidRDefault="001F62CE"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noWrap/>
            <w:vAlign w:val="bottom"/>
          </w:tcPr>
          <w:p w14:paraId="19FCF89A" w14:textId="77777777" w:rsidR="001F62CE" w:rsidRPr="007E47A5" w:rsidRDefault="001F62CE" w:rsidP="00D96F00">
            <w:pPr>
              <w:spacing w:after="0"/>
              <w:rPr>
                <w:rFonts w:ascii="Calibri" w:hAnsi="Calibri" w:cs="Calibri"/>
                <w:sz w:val="18"/>
                <w:szCs w:val="18"/>
                <w:lang w:val="en-US"/>
              </w:rPr>
            </w:pPr>
          </w:p>
        </w:tc>
      </w:tr>
      <w:tr w:rsidR="001F62CE" w:rsidRPr="007E47A5" w14:paraId="3235B36F" w14:textId="77777777" w:rsidTr="00A42C68">
        <w:trPr>
          <w:trHeight w:val="32"/>
          <w:jc w:val="center"/>
        </w:trPr>
        <w:tc>
          <w:tcPr>
            <w:tcW w:w="1171" w:type="pct"/>
            <w:vMerge/>
            <w:tcBorders>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7CA45E24" w14:textId="77777777" w:rsidR="001F62CE" w:rsidRPr="00285390" w:rsidRDefault="001F62CE" w:rsidP="00A42C68">
            <w:pPr>
              <w:spacing w:after="0"/>
              <w:jc w:val="left"/>
              <w:rPr>
                <w:rFonts w:ascii="Calibri" w:hAnsi="Calibri" w:cs="Calibri"/>
                <w:b/>
                <w:sz w:val="4"/>
                <w:szCs w:val="4"/>
              </w:rPr>
            </w:pPr>
          </w:p>
        </w:tc>
        <w:tc>
          <w:tcPr>
            <w:tcW w:w="14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48BC7CBF" w14:textId="77777777" w:rsidR="001F62CE" w:rsidRPr="00D96F00" w:rsidRDefault="001F62CE" w:rsidP="00D96F00">
            <w:pPr>
              <w:spacing w:after="0"/>
              <w:rPr>
                <w:rFonts w:ascii="Calibri" w:hAnsi="Calibri" w:cs="Calibri"/>
                <w:sz w:val="18"/>
                <w:szCs w:val="18"/>
              </w:rPr>
            </w:pPr>
            <w:r w:rsidRPr="00D96F00">
              <w:rPr>
                <w:rFonts w:ascii="Calibri" w:hAnsi="Calibri" w:cs="Calibri"/>
                <w:sz w:val="18"/>
                <w:szCs w:val="18"/>
              </w:rPr>
              <w:t>Reporting</w:t>
            </w: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020A73FF" w14:textId="77777777" w:rsidR="001F62CE" w:rsidRPr="007E47A5" w:rsidRDefault="001F62CE" w:rsidP="00D96F00">
            <w:pPr>
              <w:spacing w:after="0"/>
              <w:rPr>
                <w:rFonts w:ascii="Calibri" w:hAnsi="Calibri" w:cs="Calibri"/>
                <w:sz w:val="18"/>
                <w:szCs w:val="18"/>
                <w:lang w:val="en-US"/>
              </w:rPr>
            </w:pPr>
          </w:p>
        </w:tc>
        <w:tc>
          <w:tcPr>
            <w:tcW w:w="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10B17C" w14:textId="77777777" w:rsidR="001F62CE" w:rsidRPr="007E47A5" w:rsidRDefault="001F62CE" w:rsidP="00D96F00">
            <w:pPr>
              <w:spacing w:after="0"/>
              <w:rPr>
                <w:rFonts w:ascii="Calibri" w:hAnsi="Calibri" w:cs="Calibri"/>
                <w:sz w:val="18"/>
                <w:szCs w:val="18"/>
                <w:lang w:val="en-US"/>
              </w:rPr>
            </w:pPr>
          </w:p>
        </w:tc>
        <w:tc>
          <w:tcPr>
            <w:tcW w:w="1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975D690" w14:textId="77777777" w:rsidR="001F62CE" w:rsidRPr="007E47A5" w:rsidRDefault="001F62CE" w:rsidP="00D96F00">
            <w:pPr>
              <w:spacing w:after="0"/>
              <w:rPr>
                <w:rFonts w:ascii="Calibri" w:hAnsi="Calibri" w:cs="Calibri"/>
                <w:sz w:val="18"/>
                <w:szCs w:val="18"/>
                <w:lang w:val="en-US"/>
              </w:rPr>
            </w:pPr>
          </w:p>
        </w:tc>
        <w:tc>
          <w:tcPr>
            <w:tcW w:w="1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8B52E1A" w14:textId="77777777" w:rsidR="001F62CE" w:rsidRPr="007E47A5" w:rsidRDefault="001F62CE" w:rsidP="00D96F00">
            <w:pPr>
              <w:spacing w:after="0"/>
              <w:rPr>
                <w:rFonts w:ascii="Calibri" w:hAnsi="Calibri" w:cs="Calibri"/>
                <w:sz w:val="18"/>
                <w:szCs w:val="18"/>
                <w:lang w:val="en-US"/>
              </w:rPr>
            </w:pPr>
          </w:p>
        </w:tc>
        <w:tc>
          <w:tcPr>
            <w:tcW w:w="1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9B6627A" w14:textId="77777777" w:rsidR="001F62CE" w:rsidRPr="007E47A5" w:rsidRDefault="001F62CE" w:rsidP="00D96F00">
            <w:pPr>
              <w:spacing w:after="0"/>
              <w:rPr>
                <w:rFonts w:ascii="Calibri" w:hAnsi="Calibri" w:cs="Calibri"/>
                <w:sz w:val="18"/>
                <w:szCs w:val="18"/>
                <w:lang w:val="en-US"/>
              </w:rPr>
            </w:pPr>
          </w:p>
        </w:tc>
        <w:tc>
          <w:tcPr>
            <w:tcW w:w="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74ECC3A6" w14:textId="77777777" w:rsidR="001F62CE" w:rsidRPr="007E47A5" w:rsidRDefault="001F62CE" w:rsidP="00D96F00">
            <w:pPr>
              <w:spacing w:after="0"/>
              <w:rPr>
                <w:rFonts w:ascii="Calibri" w:hAnsi="Calibri" w:cs="Calibri"/>
                <w:sz w:val="18"/>
                <w:szCs w:val="18"/>
                <w:lang w:val="en-US"/>
              </w:rPr>
            </w:pP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tcPr>
          <w:p w14:paraId="3A1AB5A2" w14:textId="77777777" w:rsidR="001F62CE" w:rsidRPr="007E47A5" w:rsidRDefault="001F62CE"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DB6EB48" w14:textId="77777777" w:rsidR="001F62CE" w:rsidRPr="007E47A5" w:rsidRDefault="001F62CE" w:rsidP="00D96F00">
            <w:pPr>
              <w:spacing w:after="0"/>
              <w:rPr>
                <w:rFonts w:ascii="Calibri" w:hAnsi="Calibri" w:cs="Calibri"/>
                <w:sz w:val="18"/>
                <w:szCs w:val="18"/>
                <w:lang w:val="en-US"/>
              </w:rPr>
            </w:pPr>
          </w:p>
        </w:tc>
        <w:tc>
          <w:tcPr>
            <w:tcW w:w="1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D6D046B" w14:textId="77777777" w:rsidR="001F62CE" w:rsidRPr="007E47A5" w:rsidRDefault="001F62CE" w:rsidP="00D96F00">
            <w:pPr>
              <w:spacing w:after="0"/>
              <w:rPr>
                <w:rFonts w:ascii="Calibri" w:hAnsi="Calibri" w:cs="Calibri"/>
                <w:sz w:val="18"/>
                <w:szCs w:val="18"/>
                <w:lang w:val="en-US"/>
              </w:rPr>
            </w:pPr>
          </w:p>
        </w:tc>
        <w:tc>
          <w:tcPr>
            <w:tcW w:w="1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A4F5FDA" w14:textId="77777777" w:rsidR="001F62CE" w:rsidRPr="007E47A5" w:rsidRDefault="001F62CE" w:rsidP="00D96F00">
            <w:pPr>
              <w:spacing w:after="0"/>
              <w:rPr>
                <w:rFonts w:ascii="Calibri" w:hAnsi="Calibri" w:cs="Calibri"/>
                <w:sz w:val="18"/>
                <w:szCs w:val="18"/>
                <w:lang w:val="en-US"/>
              </w:rPr>
            </w:pPr>
          </w:p>
        </w:tc>
        <w:tc>
          <w:tcPr>
            <w:tcW w:w="1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21D0604" w14:textId="77777777" w:rsidR="001F62CE" w:rsidRPr="007E47A5" w:rsidRDefault="001F62CE" w:rsidP="00D96F00">
            <w:pPr>
              <w:spacing w:after="0"/>
              <w:rPr>
                <w:rFonts w:ascii="Calibri" w:hAnsi="Calibri" w:cs="Calibri"/>
                <w:sz w:val="18"/>
                <w:szCs w:val="18"/>
                <w:lang w:val="en-US"/>
              </w:rPr>
            </w:pPr>
          </w:p>
        </w:tc>
        <w:tc>
          <w:tcPr>
            <w:tcW w:w="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E7C766E" w14:textId="77777777" w:rsidR="001F62CE" w:rsidRPr="007E47A5" w:rsidRDefault="001F62CE"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7D855E5" w14:textId="77777777" w:rsidR="001F62CE" w:rsidRPr="007E47A5" w:rsidRDefault="001F62CE" w:rsidP="00D96F00">
            <w:pPr>
              <w:spacing w:after="0"/>
              <w:rPr>
                <w:rFonts w:ascii="Calibri" w:hAnsi="Calibri" w:cs="Calibri"/>
                <w:sz w:val="18"/>
                <w:szCs w:val="18"/>
                <w:lang w:val="en-US"/>
              </w:rPr>
            </w:pPr>
          </w:p>
        </w:tc>
        <w:tc>
          <w:tcPr>
            <w:tcW w:w="1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163F674" w14:textId="77777777" w:rsidR="001F62CE" w:rsidRPr="007E47A5" w:rsidRDefault="001F62CE" w:rsidP="00D96F00">
            <w:pPr>
              <w:spacing w:after="0"/>
              <w:rPr>
                <w:rFonts w:ascii="Calibri" w:hAnsi="Calibri" w:cs="Calibri"/>
                <w:sz w:val="18"/>
                <w:szCs w:val="18"/>
                <w:lang w:val="en-US"/>
              </w:rPr>
            </w:pPr>
          </w:p>
        </w:tc>
        <w:tc>
          <w:tcPr>
            <w:tcW w:w="1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2F285D3" w14:textId="77777777" w:rsidR="001F62CE" w:rsidRPr="007E47A5" w:rsidRDefault="001F62CE" w:rsidP="00D96F00">
            <w:pPr>
              <w:spacing w:after="0"/>
              <w:rPr>
                <w:rFonts w:ascii="Calibri" w:hAnsi="Calibri" w:cs="Calibri"/>
                <w:sz w:val="18"/>
                <w:szCs w:val="18"/>
                <w:lang w:val="en-US"/>
              </w:rPr>
            </w:pPr>
          </w:p>
        </w:tc>
        <w:tc>
          <w:tcPr>
            <w:tcW w:w="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D04C6A4" w14:textId="77777777" w:rsidR="001F62CE" w:rsidRPr="007E47A5" w:rsidRDefault="001F62CE" w:rsidP="00D96F00">
            <w:pPr>
              <w:spacing w:after="0"/>
              <w:rPr>
                <w:rFonts w:ascii="Calibri" w:hAnsi="Calibri" w:cs="Calibri"/>
                <w:sz w:val="18"/>
                <w:szCs w:val="18"/>
                <w:lang w:val="en-US"/>
              </w:rPr>
            </w:pPr>
          </w:p>
        </w:tc>
        <w:tc>
          <w:tcPr>
            <w:tcW w:w="1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B457D5B" w14:textId="77777777" w:rsidR="001F62CE" w:rsidRPr="007E47A5" w:rsidRDefault="001F62CE"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63E70EF5" w14:textId="77777777" w:rsidR="001F62CE" w:rsidRPr="007E47A5" w:rsidRDefault="001F62CE" w:rsidP="00D96F00">
            <w:pPr>
              <w:spacing w:after="0"/>
              <w:rPr>
                <w:rFonts w:ascii="Calibri" w:hAnsi="Calibri" w:cs="Calibri"/>
                <w:sz w:val="18"/>
                <w:szCs w:val="18"/>
                <w:lang w:val="en-US"/>
              </w:rPr>
            </w:pPr>
          </w:p>
        </w:tc>
      </w:tr>
      <w:tr w:rsidR="001F62CE" w:rsidRPr="007E47A5" w14:paraId="346A2261" w14:textId="77777777" w:rsidTr="00A42C68">
        <w:trPr>
          <w:trHeight w:val="32"/>
          <w:jc w:val="center"/>
        </w:trPr>
        <w:tc>
          <w:tcPr>
            <w:tcW w:w="1171" w:type="pct"/>
            <w:vMerge w:val="restart"/>
            <w:tcBorders>
              <w:top w:val="single" w:sz="4" w:space="0" w:color="A6A6A6" w:themeColor="background1" w:themeShade="A6"/>
              <w:left w:val="single" w:sz="4" w:space="0" w:color="auto"/>
              <w:right w:val="single" w:sz="4" w:space="0" w:color="A6A6A6" w:themeColor="background1" w:themeShade="A6"/>
            </w:tcBorders>
            <w:shd w:val="clear" w:color="auto" w:fill="auto"/>
            <w:noWrap/>
            <w:vAlign w:val="center"/>
            <w:hideMark/>
          </w:tcPr>
          <w:p w14:paraId="5131686A" w14:textId="77777777" w:rsidR="001F62CE" w:rsidRPr="009B6CE2" w:rsidRDefault="001F62CE" w:rsidP="00A42C68">
            <w:pPr>
              <w:spacing w:after="0"/>
              <w:jc w:val="left"/>
              <w:rPr>
                <w:rFonts w:ascii="Calibri" w:hAnsi="Calibri" w:cs="Calibri"/>
                <w:sz w:val="20"/>
                <w:lang w:val="en-US"/>
              </w:rPr>
            </w:pPr>
            <w:r>
              <w:rPr>
                <w:rFonts w:ascii="Calibri" w:hAnsi="Calibri" w:cs="Calibri"/>
                <w:sz w:val="20"/>
              </w:rPr>
              <w:t>Stream M</w:t>
            </w:r>
            <w:r w:rsidRPr="009B6CE2">
              <w:rPr>
                <w:rFonts w:ascii="Calibri" w:hAnsi="Calibri" w:cs="Calibri"/>
                <w:sz w:val="20"/>
              </w:rPr>
              <w:t>etabolism</w:t>
            </w:r>
            <w:r>
              <w:rPr>
                <w:rFonts w:ascii="Calibri" w:hAnsi="Calibri" w:cs="Calibri"/>
                <w:sz w:val="20"/>
              </w:rPr>
              <w:t xml:space="preserve"> and Water Quality</w:t>
            </w:r>
          </w:p>
        </w:tc>
        <w:tc>
          <w:tcPr>
            <w:tcW w:w="14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6F7F8219" w14:textId="77777777" w:rsidR="001F62CE" w:rsidRPr="00D96F00" w:rsidRDefault="001F62CE" w:rsidP="00D96F00">
            <w:pPr>
              <w:spacing w:after="0"/>
              <w:rPr>
                <w:rFonts w:ascii="Calibri" w:hAnsi="Calibri" w:cs="Calibri"/>
                <w:sz w:val="18"/>
                <w:szCs w:val="18"/>
                <w:lang w:val="en-US"/>
              </w:rPr>
            </w:pPr>
            <w:r w:rsidRPr="00D96F00">
              <w:rPr>
                <w:rFonts w:ascii="Calibri" w:hAnsi="Calibri" w:cs="Calibri"/>
                <w:sz w:val="18"/>
                <w:szCs w:val="18"/>
              </w:rPr>
              <w:t>Deploy equipment</w:t>
            </w: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09AEDFE3" w14:textId="77777777" w:rsidR="001F62CE" w:rsidRPr="007E47A5" w:rsidRDefault="001F62CE" w:rsidP="00D96F00">
            <w:pPr>
              <w:spacing w:after="0"/>
              <w:jc w:val="center"/>
              <w:rPr>
                <w:rFonts w:ascii="Calibri" w:hAnsi="Calibri" w:cs="Calibri"/>
                <w:sz w:val="18"/>
                <w:szCs w:val="18"/>
                <w:lang w:val="en-US"/>
              </w:rPr>
            </w:pPr>
          </w:p>
        </w:tc>
        <w:tc>
          <w:tcPr>
            <w:tcW w:w="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CFC309" w14:textId="77777777" w:rsidR="001F62CE" w:rsidRPr="007E47A5" w:rsidRDefault="001F62CE" w:rsidP="00D96F00">
            <w:pPr>
              <w:spacing w:after="0"/>
              <w:jc w:val="center"/>
              <w:rPr>
                <w:rFonts w:ascii="Calibri" w:hAnsi="Calibri" w:cs="Calibri"/>
                <w:sz w:val="18"/>
                <w:szCs w:val="18"/>
                <w:lang w:val="en-US"/>
              </w:rPr>
            </w:pPr>
          </w:p>
        </w:tc>
        <w:tc>
          <w:tcPr>
            <w:tcW w:w="1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0179F342" w14:textId="77777777" w:rsidR="001F62CE" w:rsidRPr="007E47A5" w:rsidRDefault="001F62CE" w:rsidP="00D96F00">
            <w:pPr>
              <w:spacing w:after="0"/>
              <w:jc w:val="center"/>
              <w:rPr>
                <w:rFonts w:ascii="Calibri" w:hAnsi="Calibri" w:cs="Calibri"/>
                <w:sz w:val="18"/>
                <w:szCs w:val="18"/>
                <w:lang w:val="en-US"/>
              </w:rPr>
            </w:pPr>
          </w:p>
        </w:tc>
        <w:tc>
          <w:tcPr>
            <w:tcW w:w="1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E75ED4A" w14:textId="77777777" w:rsidR="001F62CE" w:rsidRPr="007E47A5" w:rsidRDefault="001F62CE" w:rsidP="00D96F00">
            <w:pPr>
              <w:spacing w:after="0"/>
              <w:rPr>
                <w:rFonts w:ascii="Calibri" w:hAnsi="Calibri" w:cs="Calibri"/>
                <w:sz w:val="18"/>
                <w:szCs w:val="18"/>
                <w:lang w:val="en-US"/>
              </w:rPr>
            </w:pPr>
          </w:p>
        </w:tc>
        <w:tc>
          <w:tcPr>
            <w:tcW w:w="1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D1D0035" w14:textId="77777777" w:rsidR="001F62CE" w:rsidRPr="007E47A5" w:rsidRDefault="001F62CE" w:rsidP="00D96F00">
            <w:pPr>
              <w:spacing w:after="0"/>
              <w:rPr>
                <w:rFonts w:ascii="Calibri" w:hAnsi="Calibri" w:cs="Calibri"/>
                <w:sz w:val="18"/>
                <w:szCs w:val="18"/>
                <w:lang w:val="en-US"/>
              </w:rPr>
            </w:pPr>
          </w:p>
        </w:tc>
        <w:tc>
          <w:tcPr>
            <w:tcW w:w="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6C9DCBC4" w14:textId="77777777" w:rsidR="001F62CE" w:rsidRPr="007E47A5" w:rsidRDefault="001F62CE" w:rsidP="00D96F00">
            <w:pPr>
              <w:spacing w:after="0"/>
              <w:rPr>
                <w:rFonts w:ascii="Calibri" w:hAnsi="Calibri" w:cs="Calibri"/>
                <w:sz w:val="18"/>
                <w:szCs w:val="18"/>
                <w:lang w:val="en-US"/>
              </w:rPr>
            </w:pP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14:paraId="7C9F0839" w14:textId="77777777" w:rsidR="001F62CE" w:rsidRPr="007E47A5" w:rsidRDefault="001F62CE"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C0B73CE" w14:textId="77777777" w:rsidR="001F62CE" w:rsidRPr="007E47A5" w:rsidRDefault="001F62CE" w:rsidP="00D96F00">
            <w:pPr>
              <w:spacing w:after="0"/>
              <w:rPr>
                <w:rFonts w:ascii="Calibri" w:hAnsi="Calibri" w:cs="Calibri"/>
                <w:sz w:val="18"/>
                <w:szCs w:val="18"/>
                <w:lang w:val="en-US"/>
              </w:rPr>
            </w:pPr>
          </w:p>
        </w:tc>
        <w:tc>
          <w:tcPr>
            <w:tcW w:w="1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E66A4D6" w14:textId="77777777" w:rsidR="001F62CE" w:rsidRPr="007E47A5" w:rsidRDefault="001F62CE" w:rsidP="00D96F00">
            <w:pPr>
              <w:spacing w:after="0"/>
              <w:rPr>
                <w:rFonts w:ascii="Calibri" w:hAnsi="Calibri" w:cs="Calibri"/>
                <w:sz w:val="18"/>
                <w:szCs w:val="18"/>
                <w:lang w:val="en-US"/>
              </w:rPr>
            </w:pPr>
          </w:p>
        </w:tc>
        <w:tc>
          <w:tcPr>
            <w:tcW w:w="1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2CEA173" w14:textId="77777777" w:rsidR="001F62CE" w:rsidRPr="007E47A5" w:rsidRDefault="001F62CE" w:rsidP="00D96F00">
            <w:pPr>
              <w:spacing w:after="0"/>
              <w:rPr>
                <w:rFonts w:ascii="Calibri" w:hAnsi="Calibri" w:cs="Calibri"/>
                <w:sz w:val="18"/>
                <w:szCs w:val="18"/>
                <w:lang w:val="en-US"/>
              </w:rPr>
            </w:pPr>
          </w:p>
        </w:tc>
        <w:tc>
          <w:tcPr>
            <w:tcW w:w="1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C148E58" w14:textId="77777777" w:rsidR="001F62CE" w:rsidRPr="007E47A5" w:rsidRDefault="001F62CE" w:rsidP="00D96F00">
            <w:pPr>
              <w:spacing w:after="0"/>
              <w:rPr>
                <w:rFonts w:ascii="Calibri" w:hAnsi="Calibri" w:cs="Calibri"/>
                <w:sz w:val="18"/>
                <w:szCs w:val="18"/>
                <w:lang w:val="en-US"/>
              </w:rPr>
            </w:pPr>
          </w:p>
        </w:tc>
        <w:tc>
          <w:tcPr>
            <w:tcW w:w="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BA5B071" w14:textId="77777777" w:rsidR="001F62CE" w:rsidRPr="007E47A5" w:rsidRDefault="001F62CE"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E6EBD3C" w14:textId="77777777" w:rsidR="001F62CE" w:rsidRPr="007E47A5" w:rsidRDefault="001F62CE" w:rsidP="00D96F00">
            <w:pPr>
              <w:spacing w:after="0"/>
              <w:rPr>
                <w:rFonts w:ascii="Calibri" w:hAnsi="Calibri" w:cs="Calibri"/>
                <w:sz w:val="18"/>
                <w:szCs w:val="18"/>
                <w:lang w:val="en-US"/>
              </w:rPr>
            </w:pPr>
          </w:p>
        </w:tc>
        <w:tc>
          <w:tcPr>
            <w:tcW w:w="1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95E8D14" w14:textId="77777777" w:rsidR="001F62CE" w:rsidRPr="007E47A5" w:rsidRDefault="001F62CE" w:rsidP="00D96F00">
            <w:pPr>
              <w:spacing w:after="0"/>
              <w:rPr>
                <w:rFonts w:ascii="Calibri" w:hAnsi="Calibri" w:cs="Calibri"/>
                <w:sz w:val="18"/>
                <w:szCs w:val="18"/>
                <w:lang w:val="en-US"/>
              </w:rPr>
            </w:pPr>
          </w:p>
        </w:tc>
        <w:tc>
          <w:tcPr>
            <w:tcW w:w="1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0B56E96C" w14:textId="77777777" w:rsidR="001F62CE" w:rsidRPr="007E47A5" w:rsidRDefault="001F62CE" w:rsidP="00D96F00">
            <w:pPr>
              <w:spacing w:after="0"/>
              <w:jc w:val="center"/>
              <w:rPr>
                <w:rFonts w:ascii="Calibri" w:hAnsi="Calibri" w:cs="Calibri"/>
                <w:sz w:val="18"/>
                <w:szCs w:val="18"/>
                <w:lang w:val="en-US"/>
              </w:rPr>
            </w:pPr>
          </w:p>
        </w:tc>
        <w:tc>
          <w:tcPr>
            <w:tcW w:w="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0458DB5" w14:textId="77777777" w:rsidR="001F62CE" w:rsidRPr="007E47A5" w:rsidRDefault="001F62CE" w:rsidP="00D96F00">
            <w:pPr>
              <w:spacing w:after="0"/>
              <w:rPr>
                <w:rFonts w:ascii="Calibri" w:hAnsi="Calibri" w:cs="Calibri"/>
                <w:sz w:val="18"/>
                <w:szCs w:val="18"/>
                <w:lang w:val="en-US"/>
              </w:rPr>
            </w:pPr>
          </w:p>
        </w:tc>
        <w:tc>
          <w:tcPr>
            <w:tcW w:w="1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75A1872" w14:textId="77777777" w:rsidR="001F62CE" w:rsidRPr="007E47A5" w:rsidRDefault="001F62CE"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46689006" w14:textId="77777777" w:rsidR="001F62CE" w:rsidRPr="007E47A5" w:rsidRDefault="001F62CE" w:rsidP="00D96F00">
            <w:pPr>
              <w:spacing w:after="0"/>
              <w:rPr>
                <w:rFonts w:ascii="Calibri" w:hAnsi="Calibri" w:cs="Calibri"/>
                <w:sz w:val="18"/>
                <w:szCs w:val="18"/>
                <w:lang w:val="en-US"/>
              </w:rPr>
            </w:pPr>
          </w:p>
        </w:tc>
      </w:tr>
      <w:tr w:rsidR="001F62CE" w:rsidRPr="007E47A5" w14:paraId="7B2E405E" w14:textId="77777777" w:rsidTr="00A42C68">
        <w:trPr>
          <w:trHeight w:val="32"/>
          <w:jc w:val="center"/>
        </w:trPr>
        <w:tc>
          <w:tcPr>
            <w:tcW w:w="1171" w:type="pct"/>
            <w:vMerge/>
            <w:tcBorders>
              <w:left w:val="single" w:sz="4" w:space="0" w:color="auto"/>
              <w:right w:val="single" w:sz="4" w:space="0" w:color="A6A6A6" w:themeColor="background1" w:themeShade="A6"/>
            </w:tcBorders>
            <w:shd w:val="clear" w:color="auto" w:fill="auto"/>
            <w:noWrap/>
            <w:vAlign w:val="center"/>
            <w:hideMark/>
          </w:tcPr>
          <w:p w14:paraId="66B5A1CD" w14:textId="77777777" w:rsidR="001F62CE" w:rsidRPr="00285390" w:rsidRDefault="001F62CE" w:rsidP="00A42C68">
            <w:pPr>
              <w:spacing w:after="0"/>
              <w:jc w:val="left"/>
              <w:rPr>
                <w:rFonts w:ascii="Calibri" w:hAnsi="Calibri" w:cs="Calibri"/>
                <w:sz w:val="19"/>
                <w:szCs w:val="19"/>
                <w:lang w:val="en-US"/>
              </w:rPr>
            </w:pPr>
          </w:p>
        </w:tc>
        <w:tc>
          <w:tcPr>
            <w:tcW w:w="14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610D2903" w14:textId="77777777" w:rsidR="001F62CE" w:rsidRPr="00D96F00" w:rsidRDefault="001F62CE" w:rsidP="00D96F00">
            <w:pPr>
              <w:spacing w:after="0"/>
              <w:rPr>
                <w:rFonts w:ascii="Calibri" w:hAnsi="Calibri" w:cs="Calibri"/>
                <w:sz w:val="18"/>
                <w:szCs w:val="18"/>
                <w:lang w:val="en-US"/>
              </w:rPr>
            </w:pPr>
            <w:r w:rsidRPr="00D96F00">
              <w:rPr>
                <w:rFonts w:ascii="Calibri" w:hAnsi="Calibri" w:cs="Calibri"/>
                <w:sz w:val="18"/>
                <w:szCs w:val="18"/>
              </w:rPr>
              <w:t>Data logging/water quality sampling</w:t>
            </w: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50EB3560" w14:textId="77777777" w:rsidR="001F62CE" w:rsidRPr="007E47A5" w:rsidRDefault="001F62CE" w:rsidP="00D96F00">
            <w:pPr>
              <w:spacing w:after="0"/>
              <w:jc w:val="center"/>
              <w:rPr>
                <w:rFonts w:ascii="Calibri" w:hAnsi="Calibri" w:cs="Calibri"/>
                <w:sz w:val="18"/>
                <w:szCs w:val="18"/>
                <w:lang w:val="en-US"/>
              </w:rPr>
            </w:pPr>
          </w:p>
        </w:tc>
        <w:tc>
          <w:tcPr>
            <w:tcW w:w="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6B832E" w14:textId="77777777" w:rsidR="001F62CE" w:rsidRPr="007E47A5" w:rsidRDefault="001F62CE" w:rsidP="00D96F00">
            <w:pPr>
              <w:spacing w:after="0"/>
              <w:jc w:val="center"/>
              <w:rPr>
                <w:rFonts w:ascii="Calibri" w:hAnsi="Calibri" w:cs="Calibri"/>
                <w:sz w:val="18"/>
                <w:szCs w:val="18"/>
                <w:lang w:val="en-US"/>
              </w:rPr>
            </w:pPr>
          </w:p>
        </w:tc>
        <w:tc>
          <w:tcPr>
            <w:tcW w:w="1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39947DB6" w14:textId="77777777" w:rsidR="001F62CE" w:rsidRPr="007E47A5" w:rsidRDefault="001F62CE" w:rsidP="00D96F00">
            <w:pPr>
              <w:spacing w:after="0"/>
              <w:jc w:val="center"/>
              <w:rPr>
                <w:rFonts w:ascii="Calibri" w:hAnsi="Calibri" w:cs="Calibri"/>
                <w:sz w:val="18"/>
                <w:szCs w:val="18"/>
                <w:lang w:val="en-US"/>
              </w:rPr>
            </w:pPr>
          </w:p>
        </w:tc>
        <w:tc>
          <w:tcPr>
            <w:tcW w:w="1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10A78E94" w14:textId="77777777" w:rsidR="001F62CE" w:rsidRPr="007E47A5" w:rsidRDefault="001F62CE" w:rsidP="00D96F00">
            <w:pPr>
              <w:spacing w:after="0"/>
              <w:jc w:val="center"/>
              <w:rPr>
                <w:rFonts w:ascii="Calibri" w:hAnsi="Calibri" w:cs="Calibri"/>
                <w:sz w:val="18"/>
                <w:szCs w:val="18"/>
                <w:lang w:val="en-US"/>
              </w:rPr>
            </w:pPr>
          </w:p>
        </w:tc>
        <w:tc>
          <w:tcPr>
            <w:tcW w:w="1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071586FB" w14:textId="77777777" w:rsidR="001F62CE" w:rsidRPr="007E47A5" w:rsidRDefault="001F62CE" w:rsidP="00D96F00">
            <w:pPr>
              <w:spacing w:after="0"/>
              <w:jc w:val="center"/>
              <w:rPr>
                <w:rFonts w:ascii="Calibri" w:hAnsi="Calibri" w:cs="Calibri"/>
                <w:sz w:val="18"/>
                <w:szCs w:val="18"/>
                <w:lang w:val="en-US"/>
              </w:rPr>
            </w:pPr>
          </w:p>
        </w:tc>
        <w:tc>
          <w:tcPr>
            <w:tcW w:w="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D9D9D9"/>
            <w:noWrap/>
            <w:vAlign w:val="bottom"/>
            <w:hideMark/>
          </w:tcPr>
          <w:p w14:paraId="5FE7FC09" w14:textId="77777777" w:rsidR="001F62CE" w:rsidRPr="007E47A5" w:rsidRDefault="001F62CE" w:rsidP="00D96F00">
            <w:pPr>
              <w:spacing w:after="0"/>
              <w:jc w:val="center"/>
              <w:rPr>
                <w:rFonts w:ascii="Calibri" w:hAnsi="Calibri" w:cs="Calibri"/>
                <w:sz w:val="18"/>
                <w:szCs w:val="18"/>
                <w:lang w:val="en-US"/>
              </w:rPr>
            </w:pP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D9D9D9"/>
            <w:noWrap/>
            <w:vAlign w:val="bottom"/>
            <w:hideMark/>
          </w:tcPr>
          <w:p w14:paraId="61BCCF97" w14:textId="77777777" w:rsidR="001F62CE" w:rsidRPr="007E47A5" w:rsidRDefault="001F62CE"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2374CA65" w14:textId="77777777" w:rsidR="001F62CE" w:rsidRPr="007E47A5" w:rsidRDefault="001F62CE" w:rsidP="00D96F00">
            <w:pPr>
              <w:spacing w:after="0"/>
              <w:jc w:val="center"/>
              <w:rPr>
                <w:rFonts w:ascii="Calibri" w:hAnsi="Calibri" w:cs="Calibri"/>
                <w:sz w:val="18"/>
                <w:szCs w:val="18"/>
                <w:lang w:val="en-US"/>
              </w:rPr>
            </w:pPr>
          </w:p>
        </w:tc>
        <w:tc>
          <w:tcPr>
            <w:tcW w:w="1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528545CE" w14:textId="77777777" w:rsidR="001F62CE" w:rsidRPr="007E47A5" w:rsidRDefault="001F62CE" w:rsidP="00D96F00">
            <w:pPr>
              <w:spacing w:after="0"/>
              <w:jc w:val="center"/>
              <w:rPr>
                <w:rFonts w:ascii="Calibri" w:hAnsi="Calibri" w:cs="Calibri"/>
                <w:sz w:val="18"/>
                <w:szCs w:val="18"/>
                <w:lang w:val="en-US"/>
              </w:rPr>
            </w:pPr>
          </w:p>
        </w:tc>
        <w:tc>
          <w:tcPr>
            <w:tcW w:w="1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DD3C3C1" w14:textId="77777777" w:rsidR="001F62CE" w:rsidRPr="007E47A5" w:rsidRDefault="001F62CE" w:rsidP="00D96F00">
            <w:pPr>
              <w:spacing w:after="0"/>
              <w:rPr>
                <w:rFonts w:ascii="Calibri" w:hAnsi="Calibri" w:cs="Calibri"/>
                <w:sz w:val="18"/>
                <w:szCs w:val="18"/>
                <w:lang w:val="en-US"/>
              </w:rPr>
            </w:pPr>
          </w:p>
        </w:tc>
        <w:tc>
          <w:tcPr>
            <w:tcW w:w="1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009ADBD" w14:textId="77777777" w:rsidR="001F62CE" w:rsidRPr="007E47A5" w:rsidRDefault="001F62CE" w:rsidP="00D96F00">
            <w:pPr>
              <w:spacing w:after="0"/>
              <w:rPr>
                <w:rFonts w:ascii="Calibri" w:hAnsi="Calibri" w:cs="Calibri"/>
                <w:sz w:val="18"/>
                <w:szCs w:val="18"/>
                <w:lang w:val="en-US"/>
              </w:rPr>
            </w:pPr>
          </w:p>
        </w:tc>
        <w:tc>
          <w:tcPr>
            <w:tcW w:w="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E5AF158" w14:textId="77777777" w:rsidR="001F62CE" w:rsidRPr="007E47A5" w:rsidRDefault="001F62CE"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1E993F5" w14:textId="77777777" w:rsidR="001F62CE" w:rsidRPr="007E47A5" w:rsidRDefault="001F62CE" w:rsidP="00D96F00">
            <w:pPr>
              <w:spacing w:after="0"/>
              <w:rPr>
                <w:rFonts w:ascii="Calibri" w:hAnsi="Calibri" w:cs="Calibri"/>
                <w:sz w:val="18"/>
                <w:szCs w:val="18"/>
                <w:lang w:val="en-US"/>
              </w:rPr>
            </w:pPr>
          </w:p>
        </w:tc>
        <w:tc>
          <w:tcPr>
            <w:tcW w:w="1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8DE19CA" w14:textId="77777777" w:rsidR="001F62CE" w:rsidRPr="007E47A5" w:rsidRDefault="001F62CE" w:rsidP="00D96F00">
            <w:pPr>
              <w:spacing w:after="0"/>
              <w:rPr>
                <w:rFonts w:ascii="Calibri" w:hAnsi="Calibri" w:cs="Calibri"/>
                <w:sz w:val="18"/>
                <w:szCs w:val="18"/>
                <w:lang w:val="en-US"/>
              </w:rPr>
            </w:pPr>
          </w:p>
        </w:tc>
        <w:tc>
          <w:tcPr>
            <w:tcW w:w="1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6B90108E" w14:textId="77777777" w:rsidR="001F62CE" w:rsidRPr="007E47A5" w:rsidRDefault="001F62CE" w:rsidP="00D96F00">
            <w:pPr>
              <w:spacing w:after="0"/>
              <w:jc w:val="center"/>
              <w:rPr>
                <w:rFonts w:ascii="Calibri" w:hAnsi="Calibri" w:cs="Calibri"/>
                <w:sz w:val="18"/>
                <w:szCs w:val="18"/>
                <w:lang w:val="en-US"/>
              </w:rPr>
            </w:pPr>
          </w:p>
        </w:tc>
        <w:tc>
          <w:tcPr>
            <w:tcW w:w="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10D7FDF1" w14:textId="77777777" w:rsidR="001F62CE" w:rsidRPr="007E47A5" w:rsidRDefault="001F62CE" w:rsidP="00D96F00">
            <w:pPr>
              <w:spacing w:after="0"/>
              <w:jc w:val="center"/>
              <w:rPr>
                <w:rFonts w:ascii="Calibri" w:hAnsi="Calibri" w:cs="Calibri"/>
                <w:sz w:val="18"/>
                <w:szCs w:val="18"/>
                <w:lang w:val="en-US"/>
              </w:rPr>
            </w:pPr>
          </w:p>
        </w:tc>
        <w:tc>
          <w:tcPr>
            <w:tcW w:w="1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4935BED2" w14:textId="77777777" w:rsidR="001F62CE" w:rsidRPr="007E47A5" w:rsidRDefault="001F62CE" w:rsidP="00D96F00">
            <w:pPr>
              <w:spacing w:after="0"/>
              <w:jc w:val="center"/>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D9D9D9"/>
            <w:noWrap/>
            <w:vAlign w:val="bottom"/>
            <w:hideMark/>
          </w:tcPr>
          <w:p w14:paraId="2DE667F0" w14:textId="77777777" w:rsidR="001F62CE" w:rsidRPr="007E47A5" w:rsidRDefault="001F62CE" w:rsidP="00D96F00">
            <w:pPr>
              <w:spacing w:after="0"/>
              <w:jc w:val="center"/>
              <w:rPr>
                <w:rFonts w:ascii="Calibri" w:hAnsi="Calibri" w:cs="Calibri"/>
                <w:sz w:val="18"/>
                <w:szCs w:val="18"/>
                <w:lang w:val="en-US"/>
              </w:rPr>
            </w:pPr>
          </w:p>
        </w:tc>
      </w:tr>
      <w:tr w:rsidR="001F62CE" w:rsidRPr="007E47A5" w14:paraId="2A85206F" w14:textId="77777777" w:rsidTr="00A42C68">
        <w:trPr>
          <w:trHeight w:val="32"/>
          <w:jc w:val="center"/>
        </w:trPr>
        <w:tc>
          <w:tcPr>
            <w:tcW w:w="1171" w:type="pct"/>
            <w:vMerge/>
            <w:tcBorders>
              <w:left w:val="single" w:sz="4" w:space="0" w:color="auto"/>
              <w:right w:val="single" w:sz="4" w:space="0" w:color="A6A6A6" w:themeColor="background1" w:themeShade="A6"/>
            </w:tcBorders>
            <w:shd w:val="clear" w:color="auto" w:fill="auto"/>
            <w:noWrap/>
            <w:vAlign w:val="center"/>
            <w:hideMark/>
          </w:tcPr>
          <w:p w14:paraId="386862B7" w14:textId="77777777" w:rsidR="001F62CE" w:rsidRPr="00285390" w:rsidRDefault="001F62CE" w:rsidP="00A42C68">
            <w:pPr>
              <w:spacing w:after="0"/>
              <w:jc w:val="left"/>
              <w:rPr>
                <w:rFonts w:ascii="Calibri" w:hAnsi="Calibri" w:cs="Calibri"/>
                <w:sz w:val="19"/>
                <w:szCs w:val="19"/>
                <w:lang w:val="en-US"/>
              </w:rPr>
            </w:pPr>
          </w:p>
        </w:tc>
        <w:tc>
          <w:tcPr>
            <w:tcW w:w="14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179FD708" w14:textId="77777777" w:rsidR="001F62CE" w:rsidRPr="00D96F00" w:rsidRDefault="001F62CE" w:rsidP="00D96F00">
            <w:pPr>
              <w:spacing w:after="0"/>
              <w:rPr>
                <w:rFonts w:ascii="Calibri" w:hAnsi="Calibri" w:cs="Calibri"/>
                <w:sz w:val="18"/>
                <w:szCs w:val="18"/>
                <w:lang w:val="en-US"/>
              </w:rPr>
            </w:pPr>
            <w:r w:rsidRPr="00D96F00">
              <w:rPr>
                <w:rFonts w:ascii="Calibri" w:hAnsi="Calibri" w:cs="Calibri"/>
                <w:sz w:val="18"/>
                <w:szCs w:val="18"/>
              </w:rPr>
              <w:t>Equipment maintenance &amp; data download</w:t>
            </w: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6A090B7F" w14:textId="77777777" w:rsidR="001F62CE" w:rsidRPr="007E47A5" w:rsidRDefault="001F62CE" w:rsidP="00D96F00">
            <w:pPr>
              <w:spacing w:after="0"/>
              <w:rPr>
                <w:rFonts w:ascii="Calibri" w:hAnsi="Calibri" w:cs="Calibri"/>
                <w:sz w:val="18"/>
                <w:szCs w:val="18"/>
                <w:lang w:val="en-US"/>
              </w:rPr>
            </w:pPr>
          </w:p>
        </w:tc>
        <w:tc>
          <w:tcPr>
            <w:tcW w:w="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0AECD0" w14:textId="77777777" w:rsidR="001F62CE" w:rsidRPr="007E47A5" w:rsidRDefault="001F62CE" w:rsidP="00D96F00">
            <w:pPr>
              <w:spacing w:after="0"/>
              <w:rPr>
                <w:rFonts w:ascii="Calibri" w:hAnsi="Calibri" w:cs="Calibri"/>
                <w:sz w:val="18"/>
                <w:szCs w:val="18"/>
                <w:lang w:val="en-US"/>
              </w:rPr>
            </w:pPr>
          </w:p>
        </w:tc>
        <w:tc>
          <w:tcPr>
            <w:tcW w:w="1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62BD40F" w14:textId="77777777" w:rsidR="001F62CE" w:rsidRPr="007E47A5" w:rsidRDefault="001F62CE" w:rsidP="00D96F00">
            <w:pPr>
              <w:spacing w:after="0"/>
              <w:rPr>
                <w:rFonts w:ascii="Calibri" w:hAnsi="Calibri" w:cs="Calibri"/>
                <w:sz w:val="18"/>
                <w:szCs w:val="18"/>
                <w:lang w:val="en-US"/>
              </w:rPr>
            </w:pPr>
          </w:p>
        </w:tc>
        <w:tc>
          <w:tcPr>
            <w:tcW w:w="1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6A731DE3" w14:textId="77777777" w:rsidR="001F62CE" w:rsidRPr="007E47A5" w:rsidRDefault="001F62CE" w:rsidP="00D96F00">
            <w:pPr>
              <w:spacing w:after="0"/>
              <w:jc w:val="center"/>
              <w:rPr>
                <w:rFonts w:ascii="Calibri" w:hAnsi="Calibri" w:cs="Calibri"/>
                <w:sz w:val="18"/>
                <w:szCs w:val="18"/>
                <w:lang w:val="en-US"/>
              </w:rPr>
            </w:pPr>
          </w:p>
        </w:tc>
        <w:tc>
          <w:tcPr>
            <w:tcW w:w="1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5D4E7085" w14:textId="77777777" w:rsidR="001F62CE" w:rsidRPr="007E47A5" w:rsidRDefault="001F62CE" w:rsidP="00D96F00">
            <w:pPr>
              <w:spacing w:after="0"/>
              <w:jc w:val="center"/>
              <w:rPr>
                <w:rFonts w:ascii="Calibri" w:hAnsi="Calibri" w:cs="Calibri"/>
                <w:sz w:val="18"/>
                <w:szCs w:val="18"/>
                <w:lang w:val="en-US"/>
              </w:rPr>
            </w:pPr>
          </w:p>
        </w:tc>
        <w:tc>
          <w:tcPr>
            <w:tcW w:w="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D9D9D9"/>
            <w:noWrap/>
            <w:vAlign w:val="bottom"/>
            <w:hideMark/>
          </w:tcPr>
          <w:p w14:paraId="253F7D1A" w14:textId="77777777" w:rsidR="001F62CE" w:rsidRPr="007E47A5" w:rsidRDefault="001F62CE" w:rsidP="00D96F00">
            <w:pPr>
              <w:spacing w:after="0"/>
              <w:jc w:val="center"/>
              <w:rPr>
                <w:rFonts w:ascii="Calibri" w:hAnsi="Calibri" w:cs="Calibri"/>
                <w:sz w:val="18"/>
                <w:szCs w:val="18"/>
                <w:lang w:val="en-US"/>
              </w:rPr>
            </w:pP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D9D9D9"/>
            <w:noWrap/>
            <w:vAlign w:val="bottom"/>
            <w:hideMark/>
          </w:tcPr>
          <w:p w14:paraId="0FAF1FAC" w14:textId="77777777" w:rsidR="001F62CE" w:rsidRPr="007E47A5" w:rsidRDefault="001F62CE"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4C5EB910" w14:textId="77777777" w:rsidR="001F62CE" w:rsidRPr="007E47A5" w:rsidRDefault="001F62CE" w:rsidP="00D96F00">
            <w:pPr>
              <w:spacing w:after="0"/>
              <w:jc w:val="center"/>
              <w:rPr>
                <w:rFonts w:ascii="Calibri" w:hAnsi="Calibri" w:cs="Calibri"/>
                <w:sz w:val="18"/>
                <w:szCs w:val="18"/>
                <w:lang w:val="en-US"/>
              </w:rPr>
            </w:pPr>
          </w:p>
        </w:tc>
        <w:tc>
          <w:tcPr>
            <w:tcW w:w="1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8EE81C3" w14:textId="77777777" w:rsidR="001F62CE" w:rsidRPr="007E47A5" w:rsidRDefault="001F62CE" w:rsidP="00D96F00">
            <w:pPr>
              <w:spacing w:after="0"/>
              <w:rPr>
                <w:rFonts w:ascii="Calibri" w:hAnsi="Calibri" w:cs="Calibri"/>
                <w:sz w:val="18"/>
                <w:szCs w:val="18"/>
                <w:lang w:val="en-US"/>
              </w:rPr>
            </w:pPr>
          </w:p>
        </w:tc>
        <w:tc>
          <w:tcPr>
            <w:tcW w:w="1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0F505B6" w14:textId="77777777" w:rsidR="001F62CE" w:rsidRPr="007E47A5" w:rsidRDefault="001F62CE" w:rsidP="00D96F00">
            <w:pPr>
              <w:spacing w:after="0"/>
              <w:rPr>
                <w:rFonts w:ascii="Calibri" w:hAnsi="Calibri" w:cs="Calibri"/>
                <w:sz w:val="18"/>
                <w:szCs w:val="18"/>
                <w:lang w:val="en-US"/>
              </w:rPr>
            </w:pPr>
          </w:p>
        </w:tc>
        <w:tc>
          <w:tcPr>
            <w:tcW w:w="1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2E8D1DC" w14:textId="77777777" w:rsidR="001F62CE" w:rsidRPr="007E47A5" w:rsidRDefault="001F62CE" w:rsidP="00D96F00">
            <w:pPr>
              <w:spacing w:after="0"/>
              <w:rPr>
                <w:rFonts w:ascii="Calibri" w:hAnsi="Calibri" w:cs="Calibri"/>
                <w:sz w:val="18"/>
                <w:szCs w:val="18"/>
                <w:lang w:val="en-US"/>
              </w:rPr>
            </w:pPr>
          </w:p>
        </w:tc>
        <w:tc>
          <w:tcPr>
            <w:tcW w:w="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8C7CE58" w14:textId="77777777" w:rsidR="001F62CE" w:rsidRPr="007E47A5" w:rsidRDefault="001F62CE"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443F5B0" w14:textId="77777777" w:rsidR="001F62CE" w:rsidRPr="007E47A5" w:rsidRDefault="001F62CE" w:rsidP="00D96F00">
            <w:pPr>
              <w:spacing w:after="0"/>
              <w:rPr>
                <w:rFonts w:ascii="Calibri" w:hAnsi="Calibri" w:cs="Calibri"/>
                <w:sz w:val="18"/>
                <w:szCs w:val="18"/>
                <w:lang w:val="en-US"/>
              </w:rPr>
            </w:pPr>
          </w:p>
        </w:tc>
        <w:tc>
          <w:tcPr>
            <w:tcW w:w="1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E35341B" w14:textId="77777777" w:rsidR="001F62CE" w:rsidRPr="007E47A5" w:rsidRDefault="001F62CE" w:rsidP="00D96F00">
            <w:pPr>
              <w:spacing w:after="0"/>
              <w:rPr>
                <w:rFonts w:ascii="Calibri" w:hAnsi="Calibri" w:cs="Calibri"/>
                <w:sz w:val="18"/>
                <w:szCs w:val="18"/>
                <w:lang w:val="en-US"/>
              </w:rPr>
            </w:pPr>
          </w:p>
        </w:tc>
        <w:tc>
          <w:tcPr>
            <w:tcW w:w="1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A1CE179" w14:textId="77777777" w:rsidR="001F62CE" w:rsidRPr="007E47A5" w:rsidRDefault="001F62CE" w:rsidP="00D96F00">
            <w:pPr>
              <w:spacing w:after="0"/>
              <w:rPr>
                <w:rFonts w:ascii="Calibri" w:hAnsi="Calibri" w:cs="Calibri"/>
                <w:sz w:val="18"/>
                <w:szCs w:val="18"/>
                <w:lang w:val="en-US"/>
              </w:rPr>
            </w:pPr>
          </w:p>
        </w:tc>
        <w:tc>
          <w:tcPr>
            <w:tcW w:w="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7102CDD9" w14:textId="77777777" w:rsidR="001F62CE" w:rsidRPr="007E47A5" w:rsidRDefault="001F62CE" w:rsidP="00D96F00">
            <w:pPr>
              <w:spacing w:after="0"/>
              <w:jc w:val="center"/>
              <w:rPr>
                <w:rFonts w:ascii="Calibri" w:hAnsi="Calibri" w:cs="Calibri"/>
                <w:sz w:val="18"/>
                <w:szCs w:val="18"/>
                <w:lang w:val="en-US"/>
              </w:rPr>
            </w:pPr>
          </w:p>
        </w:tc>
        <w:tc>
          <w:tcPr>
            <w:tcW w:w="1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139FF772" w14:textId="77777777" w:rsidR="001F62CE" w:rsidRPr="007E47A5" w:rsidRDefault="001F62CE" w:rsidP="00D96F00">
            <w:pPr>
              <w:spacing w:after="0"/>
              <w:jc w:val="center"/>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D9D9D9"/>
            <w:noWrap/>
            <w:vAlign w:val="bottom"/>
            <w:hideMark/>
          </w:tcPr>
          <w:p w14:paraId="7AE47C65" w14:textId="77777777" w:rsidR="001F62CE" w:rsidRPr="007E47A5" w:rsidRDefault="001F62CE" w:rsidP="00D96F00">
            <w:pPr>
              <w:spacing w:after="0"/>
              <w:jc w:val="center"/>
              <w:rPr>
                <w:rFonts w:ascii="Calibri" w:hAnsi="Calibri" w:cs="Calibri"/>
                <w:sz w:val="18"/>
                <w:szCs w:val="18"/>
                <w:lang w:val="en-US"/>
              </w:rPr>
            </w:pPr>
          </w:p>
        </w:tc>
      </w:tr>
      <w:tr w:rsidR="001F62CE" w:rsidRPr="007E47A5" w14:paraId="24C0CE65" w14:textId="77777777" w:rsidTr="00A42C68">
        <w:trPr>
          <w:trHeight w:val="32"/>
          <w:jc w:val="center"/>
        </w:trPr>
        <w:tc>
          <w:tcPr>
            <w:tcW w:w="1171" w:type="pct"/>
            <w:vMerge/>
            <w:tcBorders>
              <w:left w:val="single" w:sz="4" w:space="0" w:color="auto"/>
              <w:right w:val="single" w:sz="4" w:space="0" w:color="A6A6A6" w:themeColor="background1" w:themeShade="A6"/>
            </w:tcBorders>
            <w:shd w:val="clear" w:color="auto" w:fill="auto"/>
            <w:noWrap/>
            <w:vAlign w:val="center"/>
            <w:hideMark/>
          </w:tcPr>
          <w:p w14:paraId="503A11F9" w14:textId="77777777" w:rsidR="001F62CE" w:rsidRPr="00285390" w:rsidRDefault="001F62CE" w:rsidP="00A42C68">
            <w:pPr>
              <w:spacing w:after="0"/>
              <w:jc w:val="left"/>
              <w:rPr>
                <w:rFonts w:ascii="Calibri" w:hAnsi="Calibri" w:cs="Calibri"/>
                <w:sz w:val="19"/>
                <w:szCs w:val="19"/>
                <w:lang w:val="en-US"/>
              </w:rPr>
            </w:pPr>
          </w:p>
        </w:tc>
        <w:tc>
          <w:tcPr>
            <w:tcW w:w="14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5ED05A84" w14:textId="77777777" w:rsidR="001F62CE" w:rsidRPr="00D96F00" w:rsidRDefault="001F62CE" w:rsidP="00D96F00">
            <w:pPr>
              <w:spacing w:after="0"/>
              <w:rPr>
                <w:rFonts w:ascii="Calibri" w:hAnsi="Calibri" w:cs="Calibri"/>
                <w:sz w:val="18"/>
                <w:szCs w:val="18"/>
                <w:lang w:val="en-US"/>
              </w:rPr>
            </w:pPr>
            <w:r w:rsidRPr="00D96F00">
              <w:rPr>
                <w:rFonts w:ascii="Calibri" w:hAnsi="Calibri" w:cs="Calibri"/>
                <w:sz w:val="18"/>
                <w:szCs w:val="18"/>
              </w:rPr>
              <w:t>Collect equipment</w:t>
            </w: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7A2D6AB8" w14:textId="77777777" w:rsidR="001F62CE" w:rsidRPr="007E47A5" w:rsidRDefault="001F62CE" w:rsidP="00D96F00">
            <w:pPr>
              <w:spacing w:after="0"/>
              <w:rPr>
                <w:rFonts w:ascii="Calibri" w:hAnsi="Calibri" w:cs="Calibri"/>
                <w:sz w:val="18"/>
                <w:szCs w:val="18"/>
                <w:lang w:val="en-US"/>
              </w:rPr>
            </w:pPr>
          </w:p>
        </w:tc>
        <w:tc>
          <w:tcPr>
            <w:tcW w:w="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63FCD8" w14:textId="77777777" w:rsidR="001F62CE" w:rsidRPr="007E47A5" w:rsidRDefault="001F62CE" w:rsidP="00D96F00">
            <w:pPr>
              <w:spacing w:after="0"/>
              <w:rPr>
                <w:rFonts w:ascii="Calibri" w:hAnsi="Calibri" w:cs="Calibri"/>
                <w:sz w:val="18"/>
                <w:szCs w:val="18"/>
                <w:lang w:val="en-US"/>
              </w:rPr>
            </w:pPr>
          </w:p>
        </w:tc>
        <w:tc>
          <w:tcPr>
            <w:tcW w:w="1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5E7C8CF" w14:textId="77777777" w:rsidR="001F62CE" w:rsidRPr="007E47A5" w:rsidRDefault="001F62CE" w:rsidP="00D96F00">
            <w:pPr>
              <w:spacing w:after="0"/>
              <w:rPr>
                <w:rFonts w:ascii="Calibri" w:hAnsi="Calibri" w:cs="Calibri"/>
                <w:sz w:val="18"/>
                <w:szCs w:val="18"/>
                <w:lang w:val="en-US"/>
              </w:rPr>
            </w:pPr>
          </w:p>
        </w:tc>
        <w:tc>
          <w:tcPr>
            <w:tcW w:w="1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80F549D" w14:textId="77777777" w:rsidR="001F62CE" w:rsidRPr="007E47A5" w:rsidRDefault="001F62CE" w:rsidP="00D96F00">
            <w:pPr>
              <w:spacing w:after="0"/>
              <w:rPr>
                <w:rFonts w:ascii="Calibri" w:hAnsi="Calibri" w:cs="Calibri"/>
                <w:sz w:val="18"/>
                <w:szCs w:val="18"/>
                <w:lang w:val="en-US"/>
              </w:rPr>
            </w:pPr>
          </w:p>
        </w:tc>
        <w:tc>
          <w:tcPr>
            <w:tcW w:w="1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F2DD357" w14:textId="77777777" w:rsidR="001F62CE" w:rsidRPr="007E47A5" w:rsidRDefault="001F62CE" w:rsidP="00D96F00">
            <w:pPr>
              <w:spacing w:after="0"/>
              <w:rPr>
                <w:rFonts w:ascii="Calibri" w:hAnsi="Calibri" w:cs="Calibri"/>
                <w:sz w:val="18"/>
                <w:szCs w:val="18"/>
                <w:lang w:val="en-US"/>
              </w:rPr>
            </w:pPr>
          </w:p>
        </w:tc>
        <w:tc>
          <w:tcPr>
            <w:tcW w:w="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4C11954F" w14:textId="77777777" w:rsidR="001F62CE" w:rsidRPr="007E47A5" w:rsidRDefault="001F62CE" w:rsidP="00D96F00">
            <w:pPr>
              <w:spacing w:after="0"/>
              <w:rPr>
                <w:rFonts w:ascii="Calibri" w:hAnsi="Calibri" w:cs="Calibri"/>
                <w:sz w:val="18"/>
                <w:szCs w:val="18"/>
                <w:lang w:val="en-US"/>
              </w:rPr>
            </w:pP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14:paraId="5999D655" w14:textId="77777777" w:rsidR="001F62CE" w:rsidRPr="007E47A5" w:rsidRDefault="001F62CE"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DC06486" w14:textId="77777777" w:rsidR="001F62CE" w:rsidRPr="007E47A5" w:rsidRDefault="001F62CE" w:rsidP="00D96F00">
            <w:pPr>
              <w:spacing w:after="0"/>
              <w:rPr>
                <w:rFonts w:ascii="Calibri" w:hAnsi="Calibri" w:cs="Calibri"/>
                <w:sz w:val="18"/>
                <w:szCs w:val="18"/>
                <w:lang w:val="en-US"/>
              </w:rPr>
            </w:pPr>
          </w:p>
        </w:tc>
        <w:tc>
          <w:tcPr>
            <w:tcW w:w="1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58DD6D3A" w14:textId="77777777" w:rsidR="001F62CE" w:rsidRPr="007E47A5" w:rsidRDefault="001F62CE" w:rsidP="00D96F00">
            <w:pPr>
              <w:spacing w:after="0"/>
              <w:jc w:val="center"/>
              <w:rPr>
                <w:rFonts w:ascii="Calibri" w:hAnsi="Calibri" w:cs="Calibri"/>
                <w:sz w:val="18"/>
                <w:szCs w:val="18"/>
                <w:lang w:val="en-US"/>
              </w:rPr>
            </w:pPr>
          </w:p>
        </w:tc>
        <w:tc>
          <w:tcPr>
            <w:tcW w:w="1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1B43059" w14:textId="77777777" w:rsidR="001F62CE" w:rsidRPr="007E47A5" w:rsidRDefault="001F62CE" w:rsidP="00D96F00">
            <w:pPr>
              <w:spacing w:after="0"/>
              <w:rPr>
                <w:rFonts w:ascii="Calibri" w:hAnsi="Calibri" w:cs="Calibri"/>
                <w:sz w:val="18"/>
                <w:szCs w:val="18"/>
                <w:lang w:val="en-US"/>
              </w:rPr>
            </w:pPr>
          </w:p>
        </w:tc>
        <w:tc>
          <w:tcPr>
            <w:tcW w:w="1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8AF9DD9" w14:textId="77777777" w:rsidR="001F62CE" w:rsidRPr="007E47A5" w:rsidRDefault="001F62CE" w:rsidP="00D96F00">
            <w:pPr>
              <w:spacing w:after="0"/>
              <w:rPr>
                <w:rFonts w:ascii="Calibri" w:hAnsi="Calibri" w:cs="Calibri"/>
                <w:sz w:val="18"/>
                <w:szCs w:val="18"/>
                <w:lang w:val="en-US"/>
              </w:rPr>
            </w:pPr>
          </w:p>
        </w:tc>
        <w:tc>
          <w:tcPr>
            <w:tcW w:w="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4476DAA" w14:textId="77777777" w:rsidR="001F62CE" w:rsidRPr="007E47A5" w:rsidRDefault="001F62CE"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346F8D0" w14:textId="77777777" w:rsidR="001F62CE" w:rsidRPr="007E47A5" w:rsidRDefault="001F62CE" w:rsidP="00D96F00">
            <w:pPr>
              <w:spacing w:after="0"/>
              <w:rPr>
                <w:rFonts w:ascii="Calibri" w:hAnsi="Calibri" w:cs="Calibri"/>
                <w:sz w:val="18"/>
                <w:szCs w:val="18"/>
                <w:lang w:val="en-US"/>
              </w:rPr>
            </w:pPr>
          </w:p>
        </w:tc>
        <w:tc>
          <w:tcPr>
            <w:tcW w:w="1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4C4062C" w14:textId="77777777" w:rsidR="001F62CE" w:rsidRPr="007E47A5" w:rsidRDefault="001F62CE" w:rsidP="00D96F00">
            <w:pPr>
              <w:spacing w:after="0"/>
              <w:rPr>
                <w:rFonts w:ascii="Calibri" w:hAnsi="Calibri" w:cs="Calibri"/>
                <w:sz w:val="18"/>
                <w:szCs w:val="18"/>
                <w:lang w:val="en-US"/>
              </w:rPr>
            </w:pPr>
          </w:p>
        </w:tc>
        <w:tc>
          <w:tcPr>
            <w:tcW w:w="1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F2DB22E" w14:textId="77777777" w:rsidR="001F62CE" w:rsidRPr="007E47A5" w:rsidRDefault="001F62CE" w:rsidP="00D96F00">
            <w:pPr>
              <w:spacing w:after="0"/>
              <w:rPr>
                <w:rFonts w:ascii="Calibri" w:hAnsi="Calibri" w:cs="Calibri"/>
                <w:sz w:val="18"/>
                <w:szCs w:val="18"/>
                <w:lang w:val="en-US"/>
              </w:rPr>
            </w:pPr>
          </w:p>
        </w:tc>
        <w:tc>
          <w:tcPr>
            <w:tcW w:w="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7198AA5" w14:textId="77777777" w:rsidR="001F62CE" w:rsidRPr="007E47A5" w:rsidRDefault="001F62CE" w:rsidP="00D96F00">
            <w:pPr>
              <w:spacing w:after="0"/>
              <w:rPr>
                <w:rFonts w:ascii="Calibri" w:hAnsi="Calibri" w:cs="Calibri"/>
                <w:sz w:val="18"/>
                <w:szCs w:val="18"/>
                <w:lang w:val="en-US"/>
              </w:rPr>
            </w:pPr>
          </w:p>
        </w:tc>
        <w:tc>
          <w:tcPr>
            <w:tcW w:w="1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9E8A033" w14:textId="77777777" w:rsidR="001F62CE" w:rsidRPr="007E47A5" w:rsidRDefault="001F62CE"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7C56B092" w14:textId="77777777" w:rsidR="001F62CE" w:rsidRPr="007E47A5" w:rsidRDefault="001F62CE" w:rsidP="00D96F00">
            <w:pPr>
              <w:spacing w:after="0"/>
              <w:rPr>
                <w:rFonts w:ascii="Calibri" w:hAnsi="Calibri" w:cs="Calibri"/>
                <w:sz w:val="18"/>
                <w:szCs w:val="18"/>
                <w:lang w:val="en-US"/>
              </w:rPr>
            </w:pPr>
          </w:p>
        </w:tc>
      </w:tr>
      <w:tr w:rsidR="001F62CE" w:rsidRPr="007E47A5" w14:paraId="176186C9" w14:textId="77777777" w:rsidTr="00A42C68">
        <w:trPr>
          <w:trHeight w:val="32"/>
          <w:jc w:val="center"/>
        </w:trPr>
        <w:tc>
          <w:tcPr>
            <w:tcW w:w="1171" w:type="pct"/>
            <w:vMerge/>
            <w:tcBorders>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hideMark/>
          </w:tcPr>
          <w:p w14:paraId="13BACE30" w14:textId="77777777" w:rsidR="001F62CE" w:rsidRPr="00285390" w:rsidRDefault="001F62CE" w:rsidP="00A42C68">
            <w:pPr>
              <w:spacing w:after="0"/>
              <w:jc w:val="left"/>
              <w:rPr>
                <w:rFonts w:ascii="Calibri" w:hAnsi="Calibri" w:cs="Calibri"/>
                <w:sz w:val="19"/>
                <w:szCs w:val="19"/>
                <w:lang w:val="en-US"/>
              </w:rPr>
            </w:pPr>
          </w:p>
        </w:tc>
        <w:tc>
          <w:tcPr>
            <w:tcW w:w="14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FFFFFF"/>
            <w:noWrap/>
            <w:vAlign w:val="bottom"/>
            <w:hideMark/>
          </w:tcPr>
          <w:p w14:paraId="0084C495" w14:textId="77777777" w:rsidR="001F62CE" w:rsidRPr="00D96F00" w:rsidRDefault="001F62CE" w:rsidP="00D96F00">
            <w:pPr>
              <w:spacing w:after="0"/>
              <w:rPr>
                <w:rFonts w:ascii="Calibri" w:hAnsi="Calibri" w:cs="Calibri"/>
                <w:sz w:val="18"/>
                <w:szCs w:val="18"/>
                <w:lang w:val="en-US"/>
              </w:rPr>
            </w:pPr>
            <w:r w:rsidRPr="00D96F00">
              <w:rPr>
                <w:rFonts w:ascii="Calibri" w:hAnsi="Calibri" w:cs="Calibri"/>
                <w:sz w:val="18"/>
                <w:szCs w:val="18"/>
              </w:rPr>
              <w:t>Data entry, analysis &amp; reporting</w:t>
            </w: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00764400" w14:textId="77777777" w:rsidR="001F62CE" w:rsidRPr="007E47A5" w:rsidRDefault="001F62CE" w:rsidP="00D96F00">
            <w:pPr>
              <w:spacing w:after="0"/>
              <w:rPr>
                <w:rFonts w:ascii="Calibri" w:hAnsi="Calibri" w:cs="Calibri"/>
                <w:sz w:val="18"/>
                <w:szCs w:val="18"/>
                <w:lang w:val="en-US"/>
              </w:rPr>
            </w:pPr>
          </w:p>
        </w:tc>
        <w:tc>
          <w:tcPr>
            <w:tcW w:w="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1B6C7F" w14:textId="77777777" w:rsidR="001F62CE" w:rsidRPr="007E47A5" w:rsidRDefault="001F62CE" w:rsidP="00D96F00">
            <w:pPr>
              <w:spacing w:after="0"/>
              <w:rPr>
                <w:rFonts w:ascii="Calibri" w:hAnsi="Calibri" w:cs="Calibri"/>
                <w:sz w:val="18"/>
                <w:szCs w:val="18"/>
                <w:lang w:val="en-US"/>
              </w:rPr>
            </w:pPr>
          </w:p>
        </w:tc>
        <w:tc>
          <w:tcPr>
            <w:tcW w:w="1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B1E27D4" w14:textId="77777777" w:rsidR="001F62CE" w:rsidRPr="007E47A5" w:rsidRDefault="001F62CE" w:rsidP="00D96F00">
            <w:pPr>
              <w:spacing w:after="0"/>
              <w:rPr>
                <w:rFonts w:ascii="Calibri" w:hAnsi="Calibri" w:cs="Calibri"/>
                <w:sz w:val="18"/>
                <w:szCs w:val="18"/>
                <w:lang w:val="en-US"/>
              </w:rPr>
            </w:pPr>
          </w:p>
        </w:tc>
        <w:tc>
          <w:tcPr>
            <w:tcW w:w="1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EEAB986" w14:textId="77777777" w:rsidR="001F62CE" w:rsidRPr="007E47A5" w:rsidRDefault="001F62CE" w:rsidP="00D96F00">
            <w:pPr>
              <w:spacing w:after="0"/>
              <w:rPr>
                <w:rFonts w:ascii="Calibri" w:hAnsi="Calibri" w:cs="Calibri"/>
                <w:sz w:val="18"/>
                <w:szCs w:val="18"/>
                <w:lang w:val="en-US"/>
              </w:rPr>
            </w:pPr>
          </w:p>
        </w:tc>
        <w:tc>
          <w:tcPr>
            <w:tcW w:w="1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DDC046C" w14:textId="77777777" w:rsidR="001F62CE" w:rsidRPr="007E47A5" w:rsidRDefault="001F62CE" w:rsidP="00D96F00">
            <w:pPr>
              <w:spacing w:after="0"/>
              <w:jc w:val="center"/>
              <w:rPr>
                <w:rFonts w:ascii="Calibri" w:hAnsi="Calibri" w:cs="Calibri"/>
                <w:sz w:val="18"/>
                <w:szCs w:val="18"/>
                <w:lang w:val="en-US"/>
              </w:rPr>
            </w:pPr>
          </w:p>
        </w:tc>
        <w:tc>
          <w:tcPr>
            <w:tcW w:w="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5CA28CA8" w14:textId="77777777" w:rsidR="001F62CE" w:rsidRPr="007E47A5" w:rsidRDefault="001F62CE" w:rsidP="00D96F00">
            <w:pPr>
              <w:spacing w:after="0"/>
              <w:jc w:val="center"/>
              <w:rPr>
                <w:rFonts w:ascii="Calibri" w:hAnsi="Calibri" w:cs="Calibri"/>
                <w:sz w:val="18"/>
                <w:szCs w:val="18"/>
                <w:lang w:val="en-US"/>
              </w:rPr>
            </w:pP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D9D9D9"/>
            <w:noWrap/>
            <w:vAlign w:val="bottom"/>
            <w:hideMark/>
          </w:tcPr>
          <w:p w14:paraId="62FAF8AC" w14:textId="77777777" w:rsidR="001F62CE" w:rsidRPr="007E47A5" w:rsidRDefault="001F62CE"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5122D10D" w14:textId="77777777" w:rsidR="001F62CE" w:rsidRPr="007E47A5" w:rsidRDefault="001F62CE" w:rsidP="00D96F00">
            <w:pPr>
              <w:spacing w:after="0"/>
              <w:jc w:val="center"/>
              <w:rPr>
                <w:rFonts w:ascii="Calibri" w:hAnsi="Calibri" w:cs="Calibri"/>
                <w:sz w:val="18"/>
                <w:szCs w:val="18"/>
                <w:lang w:val="en-US"/>
              </w:rPr>
            </w:pPr>
          </w:p>
        </w:tc>
        <w:tc>
          <w:tcPr>
            <w:tcW w:w="1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3FBAAF26" w14:textId="77777777" w:rsidR="001F62CE" w:rsidRPr="007E47A5" w:rsidRDefault="001F62CE" w:rsidP="00D96F00">
            <w:pPr>
              <w:spacing w:after="0"/>
              <w:jc w:val="center"/>
              <w:rPr>
                <w:rFonts w:ascii="Calibri" w:hAnsi="Calibri" w:cs="Calibri"/>
                <w:sz w:val="18"/>
                <w:szCs w:val="18"/>
                <w:lang w:val="en-US"/>
              </w:rPr>
            </w:pPr>
          </w:p>
        </w:tc>
        <w:tc>
          <w:tcPr>
            <w:tcW w:w="1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77DE0CF5" w14:textId="77777777" w:rsidR="001F62CE" w:rsidRPr="007E47A5" w:rsidRDefault="001F62CE" w:rsidP="00D96F00">
            <w:pPr>
              <w:spacing w:after="0"/>
              <w:jc w:val="center"/>
              <w:rPr>
                <w:rFonts w:ascii="Calibri" w:hAnsi="Calibri" w:cs="Calibri"/>
                <w:sz w:val="18"/>
                <w:szCs w:val="18"/>
                <w:lang w:val="en-US"/>
              </w:rPr>
            </w:pPr>
          </w:p>
        </w:tc>
        <w:tc>
          <w:tcPr>
            <w:tcW w:w="1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1CA41023" w14:textId="77777777" w:rsidR="001F62CE" w:rsidRPr="007E47A5" w:rsidRDefault="001F62CE" w:rsidP="00D96F00">
            <w:pPr>
              <w:spacing w:after="0"/>
              <w:jc w:val="center"/>
              <w:rPr>
                <w:rFonts w:ascii="Calibri" w:hAnsi="Calibri" w:cs="Calibri"/>
                <w:sz w:val="18"/>
                <w:szCs w:val="18"/>
                <w:lang w:val="en-US"/>
              </w:rPr>
            </w:pPr>
          </w:p>
        </w:tc>
        <w:tc>
          <w:tcPr>
            <w:tcW w:w="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5D0BCF60" w14:textId="77777777" w:rsidR="001F62CE" w:rsidRPr="007E47A5" w:rsidRDefault="001F62CE"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291F8CB7" w14:textId="77777777" w:rsidR="001F62CE" w:rsidRPr="007E47A5" w:rsidRDefault="001F62CE" w:rsidP="00D96F00">
            <w:pPr>
              <w:spacing w:after="0"/>
              <w:jc w:val="center"/>
              <w:rPr>
                <w:rFonts w:ascii="Calibri" w:hAnsi="Calibri" w:cs="Calibri"/>
                <w:sz w:val="18"/>
                <w:szCs w:val="18"/>
                <w:lang w:val="en-US"/>
              </w:rPr>
            </w:pPr>
          </w:p>
        </w:tc>
        <w:tc>
          <w:tcPr>
            <w:tcW w:w="1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3A65FF1B" w14:textId="77777777" w:rsidR="001F62CE" w:rsidRPr="007E47A5" w:rsidRDefault="001F62CE" w:rsidP="00D96F00">
            <w:pPr>
              <w:spacing w:after="0"/>
              <w:rPr>
                <w:rFonts w:ascii="Calibri" w:hAnsi="Calibri" w:cs="Calibri"/>
                <w:sz w:val="18"/>
                <w:szCs w:val="18"/>
                <w:lang w:val="en-US"/>
              </w:rPr>
            </w:pPr>
          </w:p>
        </w:tc>
        <w:tc>
          <w:tcPr>
            <w:tcW w:w="1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75F8723E" w14:textId="77777777" w:rsidR="001F62CE" w:rsidRPr="007E47A5" w:rsidRDefault="001F62CE" w:rsidP="00D96F00">
            <w:pPr>
              <w:spacing w:after="0"/>
              <w:rPr>
                <w:rFonts w:ascii="Calibri" w:hAnsi="Calibri" w:cs="Calibri"/>
                <w:sz w:val="18"/>
                <w:szCs w:val="18"/>
                <w:lang w:val="en-US"/>
              </w:rPr>
            </w:pPr>
          </w:p>
        </w:tc>
        <w:tc>
          <w:tcPr>
            <w:tcW w:w="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5743A0A5" w14:textId="77777777" w:rsidR="001F62CE" w:rsidRPr="007E47A5" w:rsidRDefault="001F62CE" w:rsidP="00D96F00">
            <w:pPr>
              <w:spacing w:after="0"/>
              <w:rPr>
                <w:rFonts w:ascii="Calibri" w:hAnsi="Calibri" w:cs="Calibri"/>
                <w:sz w:val="18"/>
                <w:szCs w:val="18"/>
                <w:lang w:val="en-US"/>
              </w:rPr>
            </w:pPr>
          </w:p>
        </w:tc>
        <w:tc>
          <w:tcPr>
            <w:tcW w:w="1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5876B7FA" w14:textId="77777777" w:rsidR="001F62CE" w:rsidRPr="007E47A5" w:rsidRDefault="001F62CE" w:rsidP="00D96F00">
            <w:pPr>
              <w:spacing w:after="0"/>
              <w:jc w:val="center"/>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D9D9D9"/>
            <w:noWrap/>
            <w:vAlign w:val="bottom"/>
            <w:hideMark/>
          </w:tcPr>
          <w:p w14:paraId="5D7CCA16" w14:textId="77777777" w:rsidR="001F62CE" w:rsidRPr="007E47A5" w:rsidRDefault="001F62CE" w:rsidP="00D96F00">
            <w:pPr>
              <w:spacing w:after="0"/>
              <w:jc w:val="center"/>
              <w:rPr>
                <w:rFonts w:ascii="Calibri" w:hAnsi="Calibri" w:cs="Calibri"/>
                <w:sz w:val="18"/>
                <w:szCs w:val="18"/>
                <w:lang w:val="en-US"/>
              </w:rPr>
            </w:pPr>
          </w:p>
        </w:tc>
      </w:tr>
      <w:tr w:rsidR="001F62CE" w:rsidRPr="007E47A5" w14:paraId="6E836D4B" w14:textId="77777777" w:rsidTr="00A42C68">
        <w:trPr>
          <w:trHeight w:val="32"/>
          <w:jc w:val="center"/>
        </w:trPr>
        <w:tc>
          <w:tcPr>
            <w:tcW w:w="1171" w:type="pct"/>
            <w:vMerge w:val="restart"/>
            <w:tcBorders>
              <w:top w:val="single" w:sz="4" w:space="0" w:color="A6A6A6" w:themeColor="background1" w:themeShade="A6"/>
              <w:left w:val="single" w:sz="4" w:space="0" w:color="auto"/>
              <w:right w:val="single" w:sz="4" w:space="0" w:color="A6A6A6" w:themeColor="background1" w:themeShade="A6"/>
            </w:tcBorders>
            <w:shd w:val="clear" w:color="auto" w:fill="auto"/>
            <w:vAlign w:val="center"/>
            <w:hideMark/>
          </w:tcPr>
          <w:p w14:paraId="137C89DD" w14:textId="77777777" w:rsidR="001F62CE" w:rsidRPr="00285390" w:rsidRDefault="001F62CE" w:rsidP="00A42C68">
            <w:pPr>
              <w:spacing w:after="0"/>
              <w:jc w:val="left"/>
              <w:rPr>
                <w:rFonts w:ascii="Calibri" w:hAnsi="Calibri" w:cs="Calibri"/>
                <w:sz w:val="19"/>
                <w:szCs w:val="19"/>
                <w:lang w:val="en-US"/>
              </w:rPr>
            </w:pPr>
            <w:r w:rsidRPr="009B6CE2">
              <w:rPr>
                <w:rFonts w:ascii="Calibri" w:hAnsi="Calibri" w:cs="Calibri"/>
                <w:sz w:val="20"/>
              </w:rPr>
              <w:t xml:space="preserve">Fish </w:t>
            </w:r>
            <w:r>
              <w:rPr>
                <w:rFonts w:ascii="Calibri" w:hAnsi="Calibri" w:cs="Calibri"/>
                <w:sz w:val="20"/>
              </w:rPr>
              <w:t>(Channel)</w:t>
            </w:r>
          </w:p>
        </w:tc>
        <w:tc>
          <w:tcPr>
            <w:tcW w:w="14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2BC1A9A5" w14:textId="77777777" w:rsidR="001F62CE" w:rsidRPr="00D96F00" w:rsidRDefault="001F62CE" w:rsidP="00D96F00">
            <w:pPr>
              <w:spacing w:after="0"/>
              <w:rPr>
                <w:rFonts w:ascii="Calibri" w:hAnsi="Calibri" w:cs="Calibri"/>
                <w:sz w:val="18"/>
                <w:szCs w:val="18"/>
                <w:lang w:val="en-US"/>
              </w:rPr>
            </w:pPr>
            <w:r w:rsidRPr="00D96F00">
              <w:rPr>
                <w:rFonts w:ascii="Calibri" w:hAnsi="Calibri" w:cs="Calibri"/>
                <w:sz w:val="18"/>
                <w:szCs w:val="18"/>
              </w:rPr>
              <w:t>Field sampling (electrofishing)</w:t>
            </w: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3F95E7EC" w14:textId="77777777" w:rsidR="001F62CE" w:rsidRPr="007E47A5" w:rsidRDefault="001F62CE" w:rsidP="00D96F00">
            <w:pPr>
              <w:spacing w:after="0"/>
              <w:rPr>
                <w:rFonts w:ascii="Calibri" w:hAnsi="Calibri" w:cs="Calibri"/>
                <w:sz w:val="18"/>
                <w:szCs w:val="18"/>
                <w:lang w:val="en-US"/>
              </w:rPr>
            </w:pPr>
          </w:p>
        </w:tc>
        <w:tc>
          <w:tcPr>
            <w:tcW w:w="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EF1F6C" w14:textId="77777777" w:rsidR="001F62CE" w:rsidRPr="007E47A5" w:rsidRDefault="001F62CE" w:rsidP="00D96F00">
            <w:pPr>
              <w:spacing w:after="0"/>
              <w:rPr>
                <w:rFonts w:ascii="Calibri" w:hAnsi="Calibri" w:cs="Calibri"/>
                <w:sz w:val="18"/>
                <w:szCs w:val="18"/>
                <w:lang w:val="en-US"/>
              </w:rPr>
            </w:pPr>
          </w:p>
        </w:tc>
        <w:tc>
          <w:tcPr>
            <w:tcW w:w="1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4957882" w14:textId="77777777" w:rsidR="001F62CE" w:rsidRPr="007E47A5" w:rsidRDefault="001F62CE" w:rsidP="00D96F00">
            <w:pPr>
              <w:spacing w:after="0"/>
              <w:rPr>
                <w:rFonts w:ascii="Calibri" w:hAnsi="Calibri" w:cs="Calibri"/>
                <w:sz w:val="18"/>
                <w:szCs w:val="18"/>
                <w:lang w:val="en-US"/>
              </w:rPr>
            </w:pPr>
          </w:p>
        </w:tc>
        <w:tc>
          <w:tcPr>
            <w:tcW w:w="1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53CD9E2" w14:textId="77777777" w:rsidR="001F62CE" w:rsidRPr="007E47A5" w:rsidRDefault="001F62CE" w:rsidP="00D96F00">
            <w:pPr>
              <w:spacing w:after="0"/>
              <w:rPr>
                <w:rFonts w:ascii="Calibri" w:hAnsi="Calibri" w:cs="Calibri"/>
                <w:sz w:val="18"/>
                <w:szCs w:val="18"/>
                <w:lang w:val="en-US"/>
              </w:rPr>
            </w:pPr>
          </w:p>
        </w:tc>
        <w:tc>
          <w:tcPr>
            <w:tcW w:w="1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A7F97F4" w14:textId="77777777" w:rsidR="001F62CE" w:rsidRPr="007E47A5" w:rsidRDefault="001F62CE" w:rsidP="00D96F00">
            <w:pPr>
              <w:spacing w:after="0"/>
              <w:rPr>
                <w:rFonts w:ascii="Calibri" w:hAnsi="Calibri" w:cs="Calibri"/>
                <w:sz w:val="18"/>
                <w:szCs w:val="18"/>
                <w:lang w:val="en-US"/>
              </w:rPr>
            </w:pPr>
          </w:p>
        </w:tc>
        <w:tc>
          <w:tcPr>
            <w:tcW w:w="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1BF55837" w14:textId="77777777" w:rsidR="001F62CE" w:rsidRPr="007E47A5" w:rsidRDefault="001F62CE" w:rsidP="00D96F00">
            <w:pPr>
              <w:spacing w:after="0"/>
              <w:rPr>
                <w:rFonts w:ascii="Calibri" w:hAnsi="Calibri" w:cs="Calibri"/>
                <w:sz w:val="18"/>
                <w:szCs w:val="18"/>
                <w:lang w:val="en-US"/>
              </w:rPr>
            </w:pP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14:paraId="2E45F106" w14:textId="77777777" w:rsidR="001F62CE" w:rsidRPr="007E47A5" w:rsidRDefault="001F62CE"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C3C521D" w14:textId="77777777" w:rsidR="001F62CE" w:rsidRPr="007E47A5" w:rsidRDefault="001F62CE" w:rsidP="00D96F00">
            <w:pPr>
              <w:spacing w:after="0"/>
              <w:rPr>
                <w:rFonts w:ascii="Calibri" w:hAnsi="Calibri" w:cs="Calibri"/>
                <w:sz w:val="18"/>
                <w:szCs w:val="18"/>
                <w:lang w:val="en-US"/>
              </w:rPr>
            </w:pPr>
          </w:p>
        </w:tc>
        <w:tc>
          <w:tcPr>
            <w:tcW w:w="1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12701B2" w14:textId="77777777" w:rsidR="001F62CE" w:rsidRPr="007E47A5" w:rsidRDefault="001F62CE" w:rsidP="00D96F00">
            <w:pPr>
              <w:spacing w:after="0"/>
              <w:jc w:val="center"/>
              <w:rPr>
                <w:rFonts w:ascii="Calibri" w:hAnsi="Calibri" w:cs="Calibri"/>
                <w:sz w:val="18"/>
                <w:szCs w:val="18"/>
                <w:lang w:val="en-US"/>
              </w:rPr>
            </w:pPr>
          </w:p>
        </w:tc>
        <w:tc>
          <w:tcPr>
            <w:tcW w:w="1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1078D75E" w14:textId="77777777" w:rsidR="001F62CE" w:rsidRPr="007E47A5" w:rsidRDefault="001F62CE" w:rsidP="00D96F00">
            <w:pPr>
              <w:spacing w:after="0"/>
              <w:jc w:val="center"/>
              <w:rPr>
                <w:rFonts w:ascii="Calibri" w:hAnsi="Calibri" w:cs="Calibri"/>
                <w:sz w:val="18"/>
                <w:szCs w:val="18"/>
                <w:lang w:val="en-US"/>
              </w:rPr>
            </w:pPr>
          </w:p>
        </w:tc>
        <w:tc>
          <w:tcPr>
            <w:tcW w:w="1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6EAF27D" w14:textId="77777777" w:rsidR="001F62CE" w:rsidRPr="007E47A5" w:rsidRDefault="001F62CE" w:rsidP="00D96F00">
            <w:pPr>
              <w:spacing w:after="0"/>
              <w:rPr>
                <w:rFonts w:ascii="Calibri" w:hAnsi="Calibri" w:cs="Calibri"/>
                <w:sz w:val="18"/>
                <w:szCs w:val="18"/>
                <w:lang w:val="en-US"/>
              </w:rPr>
            </w:pPr>
          </w:p>
        </w:tc>
        <w:tc>
          <w:tcPr>
            <w:tcW w:w="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E6567DE" w14:textId="77777777" w:rsidR="001F62CE" w:rsidRPr="007E47A5" w:rsidRDefault="001F62CE"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34EB446" w14:textId="77777777" w:rsidR="001F62CE" w:rsidRPr="007E47A5" w:rsidRDefault="001F62CE" w:rsidP="00D96F00">
            <w:pPr>
              <w:spacing w:after="0"/>
              <w:rPr>
                <w:rFonts w:ascii="Calibri" w:hAnsi="Calibri" w:cs="Calibri"/>
                <w:sz w:val="18"/>
                <w:szCs w:val="18"/>
                <w:lang w:val="en-US"/>
              </w:rPr>
            </w:pPr>
          </w:p>
        </w:tc>
        <w:tc>
          <w:tcPr>
            <w:tcW w:w="1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D66A863" w14:textId="77777777" w:rsidR="001F62CE" w:rsidRPr="007E47A5" w:rsidRDefault="001F62CE" w:rsidP="00D96F00">
            <w:pPr>
              <w:spacing w:after="0"/>
              <w:rPr>
                <w:rFonts w:ascii="Calibri" w:hAnsi="Calibri" w:cs="Calibri"/>
                <w:sz w:val="18"/>
                <w:szCs w:val="18"/>
                <w:lang w:val="en-US"/>
              </w:rPr>
            </w:pPr>
          </w:p>
        </w:tc>
        <w:tc>
          <w:tcPr>
            <w:tcW w:w="1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656B853" w14:textId="77777777" w:rsidR="001F62CE" w:rsidRPr="007E47A5" w:rsidRDefault="001F62CE" w:rsidP="00D96F00">
            <w:pPr>
              <w:spacing w:after="0"/>
              <w:rPr>
                <w:rFonts w:ascii="Calibri" w:hAnsi="Calibri" w:cs="Calibri"/>
                <w:sz w:val="18"/>
                <w:szCs w:val="18"/>
                <w:lang w:val="en-US"/>
              </w:rPr>
            </w:pPr>
          </w:p>
        </w:tc>
        <w:tc>
          <w:tcPr>
            <w:tcW w:w="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7EA4A99" w14:textId="77777777" w:rsidR="001F62CE" w:rsidRPr="007E47A5" w:rsidRDefault="001F62CE" w:rsidP="00D96F00">
            <w:pPr>
              <w:spacing w:after="0"/>
              <w:rPr>
                <w:rFonts w:ascii="Calibri" w:hAnsi="Calibri" w:cs="Calibri"/>
                <w:sz w:val="18"/>
                <w:szCs w:val="18"/>
                <w:lang w:val="en-US"/>
              </w:rPr>
            </w:pPr>
          </w:p>
        </w:tc>
        <w:tc>
          <w:tcPr>
            <w:tcW w:w="1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23CD8EC" w14:textId="77777777" w:rsidR="001F62CE" w:rsidRPr="007E47A5" w:rsidRDefault="001F62CE"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235AD3FE" w14:textId="77777777" w:rsidR="001F62CE" w:rsidRPr="007E47A5" w:rsidRDefault="001F62CE" w:rsidP="00D96F00">
            <w:pPr>
              <w:spacing w:after="0"/>
              <w:rPr>
                <w:rFonts w:ascii="Calibri" w:hAnsi="Calibri" w:cs="Calibri"/>
                <w:sz w:val="18"/>
                <w:szCs w:val="18"/>
                <w:lang w:val="en-US"/>
              </w:rPr>
            </w:pPr>
          </w:p>
        </w:tc>
      </w:tr>
      <w:tr w:rsidR="001F62CE" w:rsidRPr="007E47A5" w14:paraId="2C923729" w14:textId="77777777" w:rsidTr="00D96F00">
        <w:trPr>
          <w:trHeight w:val="32"/>
          <w:jc w:val="center"/>
        </w:trPr>
        <w:tc>
          <w:tcPr>
            <w:tcW w:w="1171" w:type="pct"/>
            <w:vMerge/>
            <w:tcBorders>
              <w:left w:val="single" w:sz="4" w:space="0" w:color="auto"/>
              <w:right w:val="single" w:sz="4" w:space="0" w:color="A6A6A6" w:themeColor="background1" w:themeShade="A6"/>
            </w:tcBorders>
            <w:shd w:val="clear" w:color="auto" w:fill="auto"/>
            <w:vAlign w:val="center"/>
            <w:hideMark/>
          </w:tcPr>
          <w:p w14:paraId="4304D506" w14:textId="77777777" w:rsidR="001F62CE" w:rsidRPr="00285390" w:rsidRDefault="001F62CE" w:rsidP="00D96F00">
            <w:pPr>
              <w:spacing w:after="0"/>
              <w:rPr>
                <w:rFonts w:ascii="Calibri" w:hAnsi="Calibri" w:cs="Calibri"/>
                <w:sz w:val="19"/>
                <w:szCs w:val="19"/>
                <w:lang w:val="en-US"/>
              </w:rPr>
            </w:pPr>
          </w:p>
        </w:tc>
        <w:tc>
          <w:tcPr>
            <w:tcW w:w="14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2B6D2DE8" w14:textId="77777777" w:rsidR="001F62CE" w:rsidRPr="00D96F00" w:rsidRDefault="001F62CE" w:rsidP="00D96F00">
            <w:pPr>
              <w:spacing w:after="0"/>
              <w:rPr>
                <w:rFonts w:ascii="Calibri" w:hAnsi="Calibri" w:cs="Calibri"/>
                <w:sz w:val="18"/>
                <w:szCs w:val="18"/>
                <w:lang w:val="en-US"/>
              </w:rPr>
            </w:pPr>
            <w:r w:rsidRPr="00D96F00">
              <w:rPr>
                <w:rFonts w:ascii="Calibri" w:hAnsi="Calibri" w:cs="Calibri"/>
                <w:sz w:val="18"/>
                <w:szCs w:val="18"/>
              </w:rPr>
              <w:t>Field sampling (fyke netting)</w:t>
            </w: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1686F83F" w14:textId="77777777" w:rsidR="001F62CE" w:rsidRPr="007E47A5" w:rsidRDefault="001F62CE" w:rsidP="00D96F00">
            <w:pPr>
              <w:spacing w:after="0"/>
              <w:rPr>
                <w:rFonts w:ascii="Calibri" w:hAnsi="Calibri" w:cs="Calibri"/>
                <w:sz w:val="18"/>
                <w:szCs w:val="18"/>
                <w:lang w:val="en-US"/>
              </w:rPr>
            </w:pPr>
          </w:p>
        </w:tc>
        <w:tc>
          <w:tcPr>
            <w:tcW w:w="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EE4FFE" w14:textId="77777777" w:rsidR="001F62CE" w:rsidRPr="007E47A5" w:rsidRDefault="001F62CE" w:rsidP="00D96F00">
            <w:pPr>
              <w:spacing w:after="0"/>
              <w:rPr>
                <w:rFonts w:ascii="Calibri" w:hAnsi="Calibri" w:cs="Calibri"/>
                <w:sz w:val="18"/>
                <w:szCs w:val="18"/>
                <w:lang w:val="en-US"/>
              </w:rPr>
            </w:pPr>
          </w:p>
        </w:tc>
        <w:tc>
          <w:tcPr>
            <w:tcW w:w="1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B7FAB94" w14:textId="77777777" w:rsidR="001F62CE" w:rsidRPr="007E47A5" w:rsidRDefault="001F62CE" w:rsidP="00D96F00">
            <w:pPr>
              <w:spacing w:after="0"/>
              <w:rPr>
                <w:rFonts w:ascii="Calibri" w:hAnsi="Calibri" w:cs="Calibri"/>
                <w:sz w:val="18"/>
                <w:szCs w:val="18"/>
                <w:lang w:val="en-US"/>
              </w:rPr>
            </w:pPr>
          </w:p>
        </w:tc>
        <w:tc>
          <w:tcPr>
            <w:tcW w:w="1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BE5FA40" w14:textId="77777777" w:rsidR="001F62CE" w:rsidRPr="007E47A5" w:rsidRDefault="001F62CE" w:rsidP="00D96F00">
            <w:pPr>
              <w:spacing w:after="0"/>
              <w:rPr>
                <w:rFonts w:ascii="Calibri" w:hAnsi="Calibri" w:cs="Calibri"/>
                <w:sz w:val="18"/>
                <w:szCs w:val="18"/>
                <w:lang w:val="en-US"/>
              </w:rPr>
            </w:pPr>
          </w:p>
        </w:tc>
        <w:tc>
          <w:tcPr>
            <w:tcW w:w="1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0BE268B" w14:textId="77777777" w:rsidR="001F62CE" w:rsidRPr="007E47A5" w:rsidRDefault="001F62CE" w:rsidP="00D96F00">
            <w:pPr>
              <w:spacing w:after="0"/>
              <w:rPr>
                <w:rFonts w:ascii="Calibri" w:hAnsi="Calibri" w:cs="Calibri"/>
                <w:sz w:val="18"/>
                <w:szCs w:val="18"/>
                <w:lang w:val="en-US"/>
              </w:rPr>
            </w:pPr>
          </w:p>
        </w:tc>
        <w:tc>
          <w:tcPr>
            <w:tcW w:w="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69D96C4C" w14:textId="77777777" w:rsidR="001F62CE" w:rsidRPr="007E47A5" w:rsidRDefault="001F62CE" w:rsidP="00D96F00">
            <w:pPr>
              <w:spacing w:after="0"/>
              <w:rPr>
                <w:rFonts w:ascii="Calibri" w:hAnsi="Calibri" w:cs="Calibri"/>
                <w:sz w:val="18"/>
                <w:szCs w:val="18"/>
                <w:lang w:val="en-US"/>
              </w:rPr>
            </w:pP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14:paraId="551C9C97" w14:textId="77777777" w:rsidR="001F62CE" w:rsidRPr="007E47A5" w:rsidRDefault="001F62CE"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5B025CC" w14:textId="77777777" w:rsidR="001F62CE" w:rsidRPr="007E47A5" w:rsidRDefault="001F62CE" w:rsidP="00D96F00">
            <w:pPr>
              <w:spacing w:after="0"/>
              <w:rPr>
                <w:rFonts w:ascii="Calibri" w:hAnsi="Calibri" w:cs="Calibri"/>
                <w:sz w:val="18"/>
                <w:szCs w:val="18"/>
                <w:lang w:val="en-US"/>
              </w:rPr>
            </w:pPr>
          </w:p>
        </w:tc>
        <w:tc>
          <w:tcPr>
            <w:tcW w:w="1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1A6CDE4" w14:textId="77777777" w:rsidR="001F62CE" w:rsidRPr="007E47A5" w:rsidRDefault="001F62CE" w:rsidP="00D96F00">
            <w:pPr>
              <w:spacing w:after="0"/>
              <w:jc w:val="center"/>
              <w:rPr>
                <w:rFonts w:ascii="Calibri" w:hAnsi="Calibri" w:cs="Calibri"/>
                <w:sz w:val="18"/>
                <w:szCs w:val="18"/>
                <w:lang w:val="en-US"/>
              </w:rPr>
            </w:pPr>
          </w:p>
        </w:tc>
        <w:tc>
          <w:tcPr>
            <w:tcW w:w="1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473561F2" w14:textId="77777777" w:rsidR="001F62CE" w:rsidRPr="007E47A5" w:rsidRDefault="001F62CE" w:rsidP="00D96F00">
            <w:pPr>
              <w:spacing w:after="0"/>
              <w:jc w:val="center"/>
              <w:rPr>
                <w:rFonts w:ascii="Calibri" w:hAnsi="Calibri" w:cs="Calibri"/>
                <w:sz w:val="18"/>
                <w:szCs w:val="18"/>
                <w:lang w:val="en-US"/>
              </w:rPr>
            </w:pPr>
          </w:p>
        </w:tc>
        <w:tc>
          <w:tcPr>
            <w:tcW w:w="1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5FB4AA4" w14:textId="77777777" w:rsidR="001F62CE" w:rsidRPr="007E47A5" w:rsidRDefault="001F62CE" w:rsidP="00D96F00">
            <w:pPr>
              <w:spacing w:after="0"/>
              <w:rPr>
                <w:rFonts w:ascii="Calibri" w:hAnsi="Calibri" w:cs="Calibri"/>
                <w:sz w:val="18"/>
                <w:szCs w:val="18"/>
                <w:lang w:val="en-US"/>
              </w:rPr>
            </w:pPr>
          </w:p>
        </w:tc>
        <w:tc>
          <w:tcPr>
            <w:tcW w:w="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46B6B96" w14:textId="77777777" w:rsidR="001F62CE" w:rsidRPr="007E47A5" w:rsidRDefault="001F62CE"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80B5CEA" w14:textId="77777777" w:rsidR="001F62CE" w:rsidRPr="007E47A5" w:rsidRDefault="001F62CE" w:rsidP="00D96F00">
            <w:pPr>
              <w:spacing w:after="0"/>
              <w:rPr>
                <w:rFonts w:ascii="Calibri" w:hAnsi="Calibri" w:cs="Calibri"/>
                <w:sz w:val="18"/>
                <w:szCs w:val="18"/>
                <w:lang w:val="en-US"/>
              </w:rPr>
            </w:pPr>
          </w:p>
        </w:tc>
        <w:tc>
          <w:tcPr>
            <w:tcW w:w="1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6F86DED" w14:textId="77777777" w:rsidR="001F62CE" w:rsidRPr="007E47A5" w:rsidRDefault="001F62CE" w:rsidP="00D96F00">
            <w:pPr>
              <w:spacing w:after="0"/>
              <w:rPr>
                <w:rFonts w:ascii="Calibri" w:hAnsi="Calibri" w:cs="Calibri"/>
                <w:sz w:val="18"/>
                <w:szCs w:val="18"/>
                <w:lang w:val="en-US"/>
              </w:rPr>
            </w:pPr>
          </w:p>
        </w:tc>
        <w:tc>
          <w:tcPr>
            <w:tcW w:w="1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39DECAC" w14:textId="77777777" w:rsidR="001F62CE" w:rsidRPr="007E47A5" w:rsidRDefault="001F62CE" w:rsidP="00D96F00">
            <w:pPr>
              <w:spacing w:after="0"/>
              <w:rPr>
                <w:rFonts w:ascii="Calibri" w:hAnsi="Calibri" w:cs="Calibri"/>
                <w:sz w:val="18"/>
                <w:szCs w:val="18"/>
                <w:lang w:val="en-US"/>
              </w:rPr>
            </w:pPr>
          </w:p>
        </w:tc>
        <w:tc>
          <w:tcPr>
            <w:tcW w:w="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C8D5894" w14:textId="77777777" w:rsidR="001F62CE" w:rsidRPr="007E47A5" w:rsidRDefault="001F62CE" w:rsidP="00D96F00">
            <w:pPr>
              <w:spacing w:after="0"/>
              <w:rPr>
                <w:rFonts w:ascii="Calibri" w:hAnsi="Calibri" w:cs="Calibri"/>
                <w:sz w:val="18"/>
                <w:szCs w:val="18"/>
                <w:lang w:val="en-US"/>
              </w:rPr>
            </w:pPr>
          </w:p>
        </w:tc>
        <w:tc>
          <w:tcPr>
            <w:tcW w:w="1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58BF44A" w14:textId="77777777" w:rsidR="001F62CE" w:rsidRPr="007E47A5" w:rsidRDefault="001F62CE"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1527A283" w14:textId="77777777" w:rsidR="001F62CE" w:rsidRPr="007E47A5" w:rsidRDefault="001F62CE" w:rsidP="00D96F00">
            <w:pPr>
              <w:spacing w:after="0"/>
              <w:rPr>
                <w:rFonts w:ascii="Calibri" w:hAnsi="Calibri" w:cs="Calibri"/>
                <w:sz w:val="18"/>
                <w:szCs w:val="18"/>
                <w:lang w:val="en-US"/>
              </w:rPr>
            </w:pPr>
          </w:p>
        </w:tc>
      </w:tr>
      <w:tr w:rsidR="001F62CE" w:rsidRPr="007E47A5" w14:paraId="02A5D952" w14:textId="77777777" w:rsidTr="00D96F00">
        <w:trPr>
          <w:trHeight w:val="32"/>
          <w:jc w:val="center"/>
        </w:trPr>
        <w:tc>
          <w:tcPr>
            <w:tcW w:w="1171" w:type="pct"/>
            <w:vMerge/>
            <w:tcBorders>
              <w:left w:val="single" w:sz="4" w:space="0" w:color="auto"/>
              <w:right w:val="single" w:sz="4" w:space="0" w:color="A6A6A6" w:themeColor="background1" w:themeShade="A6"/>
            </w:tcBorders>
            <w:shd w:val="clear" w:color="auto" w:fill="auto"/>
            <w:vAlign w:val="center"/>
            <w:hideMark/>
          </w:tcPr>
          <w:p w14:paraId="005AE2E2" w14:textId="77777777" w:rsidR="001F62CE" w:rsidRPr="00285390" w:rsidRDefault="001F62CE" w:rsidP="00D96F00">
            <w:pPr>
              <w:spacing w:after="0"/>
              <w:rPr>
                <w:rFonts w:ascii="Calibri" w:hAnsi="Calibri" w:cs="Calibri"/>
                <w:sz w:val="19"/>
                <w:szCs w:val="19"/>
                <w:lang w:val="en-US"/>
              </w:rPr>
            </w:pPr>
          </w:p>
        </w:tc>
        <w:tc>
          <w:tcPr>
            <w:tcW w:w="14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39BEBA6A" w14:textId="77777777" w:rsidR="001F62CE" w:rsidRPr="00D96F00" w:rsidRDefault="001F62CE" w:rsidP="00D96F00">
            <w:pPr>
              <w:spacing w:after="0"/>
              <w:rPr>
                <w:rFonts w:ascii="Calibri" w:hAnsi="Calibri" w:cs="Calibri"/>
                <w:sz w:val="18"/>
                <w:szCs w:val="18"/>
                <w:lang w:val="en-US"/>
              </w:rPr>
            </w:pPr>
            <w:r w:rsidRPr="00D96F00">
              <w:rPr>
                <w:rFonts w:ascii="Calibri" w:hAnsi="Calibri" w:cs="Calibri"/>
                <w:sz w:val="18"/>
                <w:szCs w:val="18"/>
              </w:rPr>
              <w:t>Lab fish ageing</w:t>
            </w: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650244D5" w14:textId="77777777" w:rsidR="001F62CE" w:rsidRPr="007E47A5" w:rsidRDefault="001F62CE" w:rsidP="00D96F00">
            <w:pPr>
              <w:spacing w:after="0"/>
              <w:rPr>
                <w:rFonts w:ascii="Calibri" w:hAnsi="Calibri" w:cs="Calibri"/>
                <w:sz w:val="18"/>
                <w:szCs w:val="18"/>
                <w:lang w:val="en-US"/>
              </w:rPr>
            </w:pPr>
          </w:p>
        </w:tc>
        <w:tc>
          <w:tcPr>
            <w:tcW w:w="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177CD1" w14:textId="77777777" w:rsidR="001F62CE" w:rsidRPr="007E47A5" w:rsidRDefault="001F62CE" w:rsidP="00D96F00">
            <w:pPr>
              <w:spacing w:after="0"/>
              <w:rPr>
                <w:rFonts w:ascii="Calibri" w:hAnsi="Calibri" w:cs="Calibri"/>
                <w:sz w:val="18"/>
                <w:szCs w:val="18"/>
                <w:lang w:val="en-US"/>
              </w:rPr>
            </w:pPr>
          </w:p>
        </w:tc>
        <w:tc>
          <w:tcPr>
            <w:tcW w:w="1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71C24CF" w14:textId="77777777" w:rsidR="001F62CE" w:rsidRPr="007E47A5" w:rsidRDefault="001F62CE" w:rsidP="00D96F00">
            <w:pPr>
              <w:spacing w:after="0"/>
              <w:rPr>
                <w:rFonts w:ascii="Calibri" w:hAnsi="Calibri" w:cs="Calibri"/>
                <w:sz w:val="18"/>
                <w:szCs w:val="18"/>
                <w:lang w:val="en-US"/>
              </w:rPr>
            </w:pPr>
          </w:p>
        </w:tc>
        <w:tc>
          <w:tcPr>
            <w:tcW w:w="1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DBCEC98" w14:textId="77777777" w:rsidR="001F62CE" w:rsidRPr="007E47A5" w:rsidRDefault="001F62CE" w:rsidP="00D96F00">
            <w:pPr>
              <w:spacing w:after="0"/>
              <w:rPr>
                <w:rFonts w:ascii="Calibri" w:hAnsi="Calibri" w:cs="Calibri"/>
                <w:sz w:val="18"/>
                <w:szCs w:val="18"/>
                <w:lang w:val="en-US"/>
              </w:rPr>
            </w:pPr>
          </w:p>
        </w:tc>
        <w:tc>
          <w:tcPr>
            <w:tcW w:w="1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3CD636E" w14:textId="77777777" w:rsidR="001F62CE" w:rsidRPr="007E47A5" w:rsidRDefault="001F62CE" w:rsidP="00D96F00">
            <w:pPr>
              <w:spacing w:after="0"/>
              <w:rPr>
                <w:rFonts w:ascii="Calibri" w:hAnsi="Calibri" w:cs="Calibri"/>
                <w:sz w:val="18"/>
                <w:szCs w:val="18"/>
                <w:lang w:val="en-US"/>
              </w:rPr>
            </w:pPr>
          </w:p>
        </w:tc>
        <w:tc>
          <w:tcPr>
            <w:tcW w:w="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796C2F20" w14:textId="77777777" w:rsidR="001F62CE" w:rsidRPr="007E47A5" w:rsidRDefault="001F62CE" w:rsidP="00D96F00">
            <w:pPr>
              <w:spacing w:after="0"/>
              <w:rPr>
                <w:rFonts w:ascii="Calibri" w:hAnsi="Calibri" w:cs="Calibri"/>
                <w:sz w:val="18"/>
                <w:szCs w:val="18"/>
                <w:lang w:val="en-US"/>
              </w:rPr>
            </w:pP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14:paraId="4658D95C" w14:textId="77777777" w:rsidR="001F62CE" w:rsidRPr="007E47A5" w:rsidRDefault="001F62CE"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9976647" w14:textId="77777777" w:rsidR="001F62CE" w:rsidRPr="007E47A5" w:rsidRDefault="001F62CE" w:rsidP="00D96F00">
            <w:pPr>
              <w:spacing w:after="0"/>
              <w:rPr>
                <w:rFonts w:ascii="Calibri" w:hAnsi="Calibri" w:cs="Calibri"/>
                <w:sz w:val="18"/>
                <w:szCs w:val="18"/>
                <w:lang w:val="en-US"/>
              </w:rPr>
            </w:pPr>
          </w:p>
        </w:tc>
        <w:tc>
          <w:tcPr>
            <w:tcW w:w="1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03B930D" w14:textId="77777777" w:rsidR="001F62CE" w:rsidRPr="007E47A5" w:rsidRDefault="001F62CE" w:rsidP="00D96F00">
            <w:pPr>
              <w:spacing w:after="0"/>
              <w:rPr>
                <w:rFonts w:ascii="Calibri" w:hAnsi="Calibri" w:cs="Calibri"/>
                <w:sz w:val="18"/>
                <w:szCs w:val="18"/>
                <w:lang w:val="en-US"/>
              </w:rPr>
            </w:pPr>
          </w:p>
        </w:tc>
        <w:tc>
          <w:tcPr>
            <w:tcW w:w="1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8852AB9" w14:textId="77777777" w:rsidR="001F62CE" w:rsidRPr="007E47A5" w:rsidRDefault="001F62CE" w:rsidP="00D96F00">
            <w:pPr>
              <w:spacing w:after="0"/>
              <w:rPr>
                <w:rFonts w:ascii="Calibri" w:hAnsi="Calibri" w:cs="Calibri"/>
                <w:sz w:val="18"/>
                <w:szCs w:val="18"/>
                <w:lang w:val="en-US"/>
              </w:rPr>
            </w:pPr>
          </w:p>
        </w:tc>
        <w:tc>
          <w:tcPr>
            <w:tcW w:w="1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7C4BC3F" w14:textId="77777777" w:rsidR="001F62CE" w:rsidRPr="007E47A5" w:rsidRDefault="001F62CE" w:rsidP="00D96F00">
            <w:pPr>
              <w:spacing w:after="0"/>
              <w:jc w:val="center"/>
              <w:rPr>
                <w:rFonts w:ascii="Calibri" w:hAnsi="Calibri" w:cs="Calibri"/>
                <w:sz w:val="18"/>
                <w:szCs w:val="18"/>
                <w:lang w:val="en-US"/>
              </w:rPr>
            </w:pPr>
          </w:p>
        </w:tc>
        <w:tc>
          <w:tcPr>
            <w:tcW w:w="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17689D6" w14:textId="77777777" w:rsidR="001F62CE" w:rsidRPr="007E47A5" w:rsidRDefault="001F62CE"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B92C57C" w14:textId="77777777" w:rsidR="001F62CE" w:rsidRPr="007E47A5" w:rsidRDefault="001F62CE" w:rsidP="00D96F00">
            <w:pPr>
              <w:spacing w:after="0"/>
              <w:rPr>
                <w:rFonts w:ascii="Calibri" w:hAnsi="Calibri" w:cs="Calibri"/>
                <w:sz w:val="18"/>
                <w:szCs w:val="18"/>
                <w:lang w:val="en-US"/>
              </w:rPr>
            </w:pPr>
          </w:p>
        </w:tc>
        <w:tc>
          <w:tcPr>
            <w:tcW w:w="1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8AF11DE" w14:textId="77777777" w:rsidR="001F62CE" w:rsidRPr="007E47A5" w:rsidRDefault="001F62CE" w:rsidP="00D96F00">
            <w:pPr>
              <w:spacing w:after="0"/>
              <w:rPr>
                <w:rFonts w:ascii="Calibri" w:hAnsi="Calibri" w:cs="Calibri"/>
                <w:sz w:val="18"/>
                <w:szCs w:val="18"/>
                <w:lang w:val="en-US"/>
              </w:rPr>
            </w:pPr>
          </w:p>
        </w:tc>
        <w:tc>
          <w:tcPr>
            <w:tcW w:w="1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F4D5A2C" w14:textId="77777777" w:rsidR="001F62CE" w:rsidRPr="007E47A5" w:rsidRDefault="001F62CE" w:rsidP="00D96F00">
            <w:pPr>
              <w:spacing w:after="0"/>
              <w:rPr>
                <w:rFonts w:ascii="Calibri" w:hAnsi="Calibri" w:cs="Calibri"/>
                <w:sz w:val="18"/>
                <w:szCs w:val="18"/>
                <w:lang w:val="en-US"/>
              </w:rPr>
            </w:pPr>
          </w:p>
        </w:tc>
        <w:tc>
          <w:tcPr>
            <w:tcW w:w="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58932D0" w14:textId="77777777" w:rsidR="001F62CE" w:rsidRPr="007E47A5" w:rsidRDefault="001F62CE" w:rsidP="00D96F00">
            <w:pPr>
              <w:spacing w:after="0"/>
              <w:rPr>
                <w:rFonts w:ascii="Calibri" w:hAnsi="Calibri" w:cs="Calibri"/>
                <w:sz w:val="18"/>
                <w:szCs w:val="18"/>
                <w:lang w:val="en-US"/>
              </w:rPr>
            </w:pPr>
          </w:p>
        </w:tc>
        <w:tc>
          <w:tcPr>
            <w:tcW w:w="1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B6F0D88" w14:textId="77777777" w:rsidR="001F62CE" w:rsidRPr="007E47A5" w:rsidRDefault="001F62CE"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6E670E8B" w14:textId="77777777" w:rsidR="001F62CE" w:rsidRPr="007E47A5" w:rsidRDefault="001F62CE" w:rsidP="00D96F00">
            <w:pPr>
              <w:spacing w:after="0"/>
              <w:rPr>
                <w:rFonts w:ascii="Calibri" w:hAnsi="Calibri" w:cs="Calibri"/>
                <w:sz w:val="18"/>
                <w:szCs w:val="18"/>
                <w:lang w:val="en-US"/>
              </w:rPr>
            </w:pPr>
          </w:p>
        </w:tc>
      </w:tr>
      <w:tr w:rsidR="001F62CE" w:rsidRPr="007E47A5" w14:paraId="42390A39" w14:textId="77777777" w:rsidTr="00D96F00">
        <w:trPr>
          <w:trHeight w:val="32"/>
          <w:jc w:val="center"/>
        </w:trPr>
        <w:tc>
          <w:tcPr>
            <w:tcW w:w="1171" w:type="pct"/>
            <w:vMerge/>
            <w:tcBorders>
              <w:left w:val="single" w:sz="4" w:space="0" w:color="auto"/>
              <w:bottom w:val="single" w:sz="4" w:space="0" w:color="A6A6A6" w:themeColor="background1" w:themeShade="A6"/>
              <w:right w:val="single" w:sz="4" w:space="0" w:color="A6A6A6" w:themeColor="background1" w:themeShade="A6"/>
            </w:tcBorders>
            <w:shd w:val="clear" w:color="auto" w:fill="auto"/>
            <w:vAlign w:val="center"/>
            <w:hideMark/>
          </w:tcPr>
          <w:p w14:paraId="2F8EC4C7" w14:textId="77777777" w:rsidR="001F62CE" w:rsidRPr="00285390" w:rsidRDefault="001F62CE" w:rsidP="00D96F00">
            <w:pPr>
              <w:spacing w:after="0"/>
              <w:rPr>
                <w:rFonts w:ascii="Calibri" w:hAnsi="Calibri" w:cs="Calibri"/>
                <w:sz w:val="19"/>
                <w:szCs w:val="19"/>
                <w:lang w:val="en-US"/>
              </w:rPr>
            </w:pPr>
          </w:p>
        </w:tc>
        <w:tc>
          <w:tcPr>
            <w:tcW w:w="14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131FE3A9" w14:textId="77777777" w:rsidR="001F62CE" w:rsidRPr="00D96F00" w:rsidRDefault="001F62CE" w:rsidP="00D96F00">
            <w:pPr>
              <w:spacing w:after="0"/>
              <w:rPr>
                <w:rFonts w:ascii="Calibri" w:hAnsi="Calibri" w:cs="Calibri"/>
                <w:sz w:val="18"/>
                <w:szCs w:val="18"/>
                <w:lang w:val="en-US"/>
              </w:rPr>
            </w:pPr>
            <w:r w:rsidRPr="00D96F00">
              <w:rPr>
                <w:rFonts w:ascii="Calibri" w:hAnsi="Calibri" w:cs="Calibri"/>
                <w:sz w:val="18"/>
                <w:szCs w:val="18"/>
              </w:rPr>
              <w:t>Data entry, analysis &amp; reporting</w:t>
            </w: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496D7AF3" w14:textId="77777777" w:rsidR="001F62CE" w:rsidRPr="007E47A5" w:rsidRDefault="001F62CE" w:rsidP="00D96F00">
            <w:pPr>
              <w:spacing w:after="0"/>
              <w:rPr>
                <w:rFonts w:ascii="Calibri" w:hAnsi="Calibri" w:cs="Calibri"/>
                <w:sz w:val="18"/>
                <w:szCs w:val="18"/>
                <w:lang w:val="en-US"/>
              </w:rPr>
            </w:pPr>
          </w:p>
        </w:tc>
        <w:tc>
          <w:tcPr>
            <w:tcW w:w="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128ABB" w14:textId="77777777" w:rsidR="001F62CE" w:rsidRPr="007E47A5" w:rsidRDefault="001F62CE" w:rsidP="00D96F00">
            <w:pPr>
              <w:spacing w:after="0"/>
              <w:rPr>
                <w:rFonts w:ascii="Calibri" w:hAnsi="Calibri" w:cs="Calibri"/>
                <w:sz w:val="18"/>
                <w:szCs w:val="18"/>
                <w:lang w:val="en-US"/>
              </w:rPr>
            </w:pPr>
          </w:p>
        </w:tc>
        <w:tc>
          <w:tcPr>
            <w:tcW w:w="1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A60E23A" w14:textId="77777777" w:rsidR="001F62CE" w:rsidRPr="007E47A5" w:rsidRDefault="001F62CE" w:rsidP="00D96F00">
            <w:pPr>
              <w:spacing w:after="0"/>
              <w:rPr>
                <w:rFonts w:ascii="Calibri" w:hAnsi="Calibri" w:cs="Calibri"/>
                <w:sz w:val="18"/>
                <w:szCs w:val="18"/>
                <w:lang w:val="en-US"/>
              </w:rPr>
            </w:pPr>
          </w:p>
        </w:tc>
        <w:tc>
          <w:tcPr>
            <w:tcW w:w="1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1D3B10D" w14:textId="77777777" w:rsidR="001F62CE" w:rsidRPr="007E47A5" w:rsidRDefault="001F62CE" w:rsidP="00D96F00">
            <w:pPr>
              <w:spacing w:after="0"/>
              <w:rPr>
                <w:rFonts w:ascii="Calibri" w:hAnsi="Calibri" w:cs="Calibri"/>
                <w:sz w:val="18"/>
                <w:szCs w:val="18"/>
                <w:lang w:val="en-US"/>
              </w:rPr>
            </w:pPr>
          </w:p>
        </w:tc>
        <w:tc>
          <w:tcPr>
            <w:tcW w:w="1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13BFB5E" w14:textId="77777777" w:rsidR="001F62CE" w:rsidRPr="007E47A5" w:rsidRDefault="001F62CE" w:rsidP="00D96F00">
            <w:pPr>
              <w:spacing w:after="0"/>
              <w:rPr>
                <w:rFonts w:ascii="Calibri" w:hAnsi="Calibri" w:cs="Calibri"/>
                <w:sz w:val="18"/>
                <w:szCs w:val="18"/>
                <w:lang w:val="en-US"/>
              </w:rPr>
            </w:pPr>
          </w:p>
        </w:tc>
        <w:tc>
          <w:tcPr>
            <w:tcW w:w="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65270F1A" w14:textId="77777777" w:rsidR="001F62CE" w:rsidRPr="007E47A5" w:rsidRDefault="001F62CE" w:rsidP="00D96F00">
            <w:pPr>
              <w:spacing w:after="0"/>
              <w:rPr>
                <w:rFonts w:ascii="Calibri" w:hAnsi="Calibri" w:cs="Calibri"/>
                <w:sz w:val="18"/>
                <w:szCs w:val="18"/>
                <w:lang w:val="en-US"/>
              </w:rPr>
            </w:pP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14:paraId="267B5401" w14:textId="77777777" w:rsidR="001F62CE" w:rsidRPr="007E47A5" w:rsidRDefault="001F62CE"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45271FE" w14:textId="77777777" w:rsidR="001F62CE" w:rsidRPr="007E47A5" w:rsidRDefault="001F62CE" w:rsidP="00D96F00">
            <w:pPr>
              <w:spacing w:after="0"/>
              <w:rPr>
                <w:rFonts w:ascii="Calibri" w:hAnsi="Calibri" w:cs="Calibri"/>
                <w:sz w:val="18"/>
                <w:szCs w:val="18"/>
                <w:lang w:val="en-US"/>
              </w:rPr>
            </w:pPr>
          </w:p>
        </w:tc>
        <w:tc>
          <w:tcPr>
            <w:tcW w:w="1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9EC0FFD" w14:textId="77777777" w:rsidR="001F62CE" w:rsidRPr="007E47A5" w:rsidRDefault="001F62CE" w:rsidP="00D96F00">
            <w:pPr>
              <w:spacing w:after="0"/>
              <w:rPr>
                <w:rFonts w:ascii="Calibri" w:hAnsi="Calibri" w:cs="Calibri"/>
                <w:sz w:val="18"/>
                <w:szCs w:val="18"/>
                <w:lang w:val="en-US"/>
              </w:rPr>
            </w:pPr>
          </w:p>
        </w:tc>
        <w:tc>
          <w:tcPr>
            <w:tcW w:w="1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02E3A46" w14:textId="77777777" w:rsidR="001F62CE" w:rsidRPr="007E47A5" w:rsidRDefault="001F62CE" w:rsidP="00D96F00">
            <w:pPr>
              <w:spacing w:after="0"/>
              <w:jc w:val="center"/>
              <w:rPr>
                <w:rFonts w:ascii="Calibri" w:hAnsi="Calibri" w:cs="Calibri"/>
                <w:sz w:val="18"/>
                <w:szCs w:val="18"/>
                <w:lang w:val="en-US"/>
              </w:rPr>
            </w:pPr>
          </w:p>
        </w:tc>
        <w:tc>
          <w:tcPr>
            <w:tcW w:w="1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087E4F59" w14:textId="77777777" w:rsidR="001F62CE" w:rsidRPr="007E47A5" w:rsidRDefault="001F62CE" w:rsidP="00D96F00">
            <w:pPr>
              <w:spacing w:after="0"/>
              <w:jc w:val="center"/>
              <w:rPr>
                <w:rFonts w:ascii="Calibri" w:hAnsi="Calibri" w:cs="Calibri"/>
                <w:sz w:val="18"/>
                <w:szCs w:val="18"/>
                <w:lang w:val="en-US"/>
              </w:rPr>
            </w:pPr>
          </w:p>
        </w:tc>
        <w:tc>
          <w:tcPr>
            <w:tcW w:w="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70B6BA7C" w14:textId="77777777" w:rsidR="001F62CE" w:rsidRPr="007E47A5" w:rsidRDefault="001F62CE"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2D1D1542" w14:textId="77777777" w:rsidR="001F62CE" w:rsidRPr="007E47A5" w:rsidRDefault="001F62CE" w:rsidP="00D96F00">
            <w:pPr>
              <w:spacing w:after="0"/>
              <w:jc w:val="center"/>
              <w:rPr>
                <w:rFonts w:ascii="Calibri" w:hAnsi="Calibri" w:cs="Calibri"/>
                <w:sz w:val="18"/>
                <w:szCs w:val="18"/>
                <w:lang w:val="en-US"/>
              </w:rPr>
            </w:pPr>
          </w:p>
        </w:tc>
        <w:tc>
          <w:tcPr>
            <w:tcW w:w="1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4FC55706" w14:textId="77777777" w:rsidR="001F62CE" w:rsidRPr="007E47A5" w:rsidRDefault="001F62CE" w:rsidP="00D96F00">
            <w:pPr>
              <w:spacing w:after="0"/>
              <w:rPr>
                <w:rFonts w:ascii="Calibri" w:hAnsi="Calibri" w:cs="Calibri"/>
                <w:sz w:val="18"/>
                <w:szCs w:val="18"/>
                <w:lang w:val="en-US"/>
              </w:rPr>
            </w:pPr>
          </w:p>
        </w:tc>
        <w:tc>
          <w:tcPr>
            <w:tcW w:w="1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60A8570C" w14:textId="77777777" w:rsidR="001F62CE" w:rsidRPr="007E47A5" w:rsidRDefault="001F62CE" w:rsidP="00D96F00">
            <w:pPr>
              <w:spacing w:after="0"/>
              <w:rPr>
                <w:rFonts w:ascii="Calibri" w:hAnsi="Calibri" w:cs="Calibri"/>
                <w:sz w:val="18"/>
                <w:szCs w:val="18"/>
                <w:lang w:val="en-US"/>
              </w:rPr>
            </w:pPr>
          </w:p>
        </w:tc>
        <w:tc>
          <w:tcPr>
            <w:tcW w:w="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35204758" w14:textId="77777777" w:rsidR="001F62CE" w:rsidRPr="007E47A5" w:rsidRDefault="001F62CE" w:rsidP="00D96F00">
            <w:pPr>
              <w:spacing w:after="0"/>
              <w:rPr>
                <w:rFonts w:ascii="Calibri" w:hAnsi="Calibri" w:cs="Calibri"/>
                <w:sz w:val="18"/>
                <w:szCs w:val="18"/>
                <w:lang w:val="en-US"/>
              </w:rPr>
            </w:pPr>
          </w:p>
        </w:tc>
        <w:tc>
          <w:tcPr>
            <w:tcW w:w="1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325DC898" w14:textId="77777777" w:rsidR="001F62CE" w:rsidRPr="007E47A5" w:rsidRDefault="001F62CE"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noWrap/>
            <w:vAlign w:val="bottom"/>
            <w:hideMark/>
          </w:tcPr>
          <w:p w14:paraId="52E54FF3" w14:textId="77777777" w:rsidR="001F62CE" w:rsidRPr="007E47A5" w:rsidRDefault="001F62CE" w:rsidP="00D96F00">
            <w:pPr>
              <w:spacing w:after="0"/>
              <w:rPr>
                <w:rFonts w:ascii="Calibri" w:hAnsi="Calibri" w:cs="Calibri"/>
                <w:sz w:val="18"/>
                <w:szCs w:val="18"/>
                <w:lang w:val="en-US"/>
              </w:rPr>
            </w:pPr>
          </w:p>
        </w:tc>
      </w:tr>
      <w:tr w:rsidR="00FC1C25" w:rsidRPr="007E47A5" w14:paraId="181C35B6" w14:textId="77777777" w:rsidTr="00D96F00">
        <w:trPr>
          <w:trHeight w:val="32"/>
          <w:jc w:val="center"/>
        </w:trPr>
        <w:tc>
          <w:tcPr>
            <w:tcW w:w="1171"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14:paraId="214A0A98" w14:textId="77777777" w:rsidR="00FC1C25" w:rsidRPr="00285390" w:rsidRDefault="00FC1C25" w:rsidP="00D96F00">
            <w:pPr>
              <w:spacing w:after="0"/>
              <w:rPr>
                <w:rFonts w:ascii="Calibri" w:hAnsi="Calibri" w:cs="Calibri"/>
                <w:b/>
                <w:sz w:val="4"/>
                <w:szCs w:val="4"/>
              </w:rPr>
            </w:pPr>
          </w:p>
          <w:p w14:paraId="3085338D" w14:textId="77777777" w:rsidR="00FC1C25" w:rsidRPr="009B6CE2" w:rsidRDefault="00FC1C25" w:rsidP="00D96F00">
            <w:pPr>
              <w:spacing w:after="0"/>
              <w:rPr>
                <w:rFonts w:ascii="Calibri" w:hAnsi="Calibri" w:cs="Calibri"/>
                <w:b/>
                <w:sz w:val="20"/>
                <w:lang w:val="en-US"/>
              </w:rPr>
            </w:pPr>
            <w:r>
              <w:rPr>
                <w:rFonts w:ascii="Calibri" w:hAnsi="Calibri" w:cs="Calibri"/>
                <w:b/>
                <w:sz w:val="20"/>
              </w:rPr>
              <w:t>Category 3</w:t>
            </w:r>
          </w:p>
        </w:tc>
        <w:tc>
          <w:tcPr>
            <w:tcW w:w="14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011762E5" w14:textId="77777777" w:rsidR="00FC1C25" w:rsidRPr="00D96F00" w:rsidRDefault="00FC1C25" w:rsidP="00D96F00">
            <w:pPr>
              <w:spacing w:after="0"/>
              <w:rPr>
                <w:rFonts w:ascii="Calibri" w:hAnsi="Calibri" w:cs="Calibri"/>
                <w:sz w:val="18"/>
                <w:szCs w:val="18"/>
                <w:lang w:val="en-US"/>
              </w:rPr>
            </w:pPr>
            <w:r w:rsidRPr="00D96F00">
              <w:rPr>
                <w:rFonts w:ascii="Calibri" w:hAnsi="Calibri" w:cs="Calibri"/>
                <w:sz w:val="18"/>
                <w:szCs w:val="18"/>
              </w:rPr>
              <w:t> </w:t>
            </w: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7939A748" w14:textId="77777777" w:rsidR="00FC1C25" w:rsidRPr="007E47A5" w:rsidRDefault="00FC1C25" w:rsidP="00D96F00">
            <w:pPr>
              <w:spacing w:after="0"/>
              <w:jc w:val="center"/>
              <w:rPr>
                <w:rFonts w:ascii="Calibri" w:hAnsi="Calibri" w:cs="Calibri"/>
                <w:sz w:val="18"/>
                <w:szCs w:val="18"/>
                <w:lang w:val="en-US"/>
              </w:rPr>
            </w:pPr>
          </w:p>
        </w:tc>
        <w:tc>
          <w:tcPr>
            <w:tcW w:w="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D368EC" w14:textId="77777777" w:rsidR="00FC1C25" w:rsidRPr="007E47A5" w:rsidRDefault="00FC1C25" w:rsidP="00D96F00">
            <w:pPr>
              <w:spacing w:after="0"/>
              <w:jc w:val="center"/>
              <w:rPr>
                <w:rFonts w:ascii="Calibri" w:hAnsi="Calibri" w:cs="Calibri"/>
                <w:sz w:val="18"/>
                <w:szCs w:val="18"/>
                <w:lang w:val="en-US"/>
              </w:rPr>
            </w:pPr>
          </w:p>
        </w:tc>
        <w:tc>
          <w:tcPr>
            <w:tcW w:w="1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06CFD2D" w14:textId="77777777" w:rsidR="00FC1C25" w:rsidRPr="007E47A5" w:rsidRDefault="00FC1C25" w:rsidP="00D96F00">
            <w:pPr>
              <w:spacing w:after="0"/>
              <w:jc w:val="center"/>
              <w:rPr>
                <w:rFonts w:ascii="Calibri" w:hAnsi="Calibri" w:cs="Calibri"/>
                <w:sz w:val="18"/>
                <w:szCs w:val="18"/>
                <w:lang w:val="en-US"/>
              </w:rPr>
            </w:pPr>
          </w:p>
        </w:tc>
        <w:tc>
          <w:tcPr>
            <w:tcW w:w="1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0398038" w14:textId="77777777" w:rsidR="00FC1C25" w:rsidRPr="007E47A5" w:rsidRDefault="00FC1C25" w:rsidP="00D96F00">
            <w:pPr>
              <w:spacing w:after="0"/>
              <w:jc w:val="center"/>
              <w:rPr>
                <w:rFonts w:ascii="Calibri" w:hAnsi="Calibri" w:cs="Calibri"/>
                <w:sz w:val="18"/>
                <w:szCs w:val="18"/>
                <w:lang w:val="en-US"/>
              </w:rPr>
            </w:pPr>
          </w:p>
        </w:tc>
        <w:tc>
          <w:tcPr>
            <w:tcW w:w="1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8F881CB" w14:textId="77777777" w:rsidR="00FC1C25" w:rsidRPr="007E47A5" w:rsidRDefault="00FC1C25" w:rsidP="00D96F00">
            <w:pPr>
              <w:spacing w:after="0"/>
              <w:jc w:val="center"/>
              <w:rPr>
                <w:rFonts w:ascii="Calibri" w:hAnsi="Calibri" w:cs="Calibri"/>
                <w:sz w:val="18"/>
                <w:szCs w:val="18"/>
                <w:lang w:val="en-US"/>
              </w:rPr>
            </w:pPr>
          </w:p>
        </w:tc>
        <w:tc>
          <w:tcPr>
            <w:tcW w:w="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30980AFC" w14:textId="77777777" w:rsidR="00FC1C25" w:rsidRPr="007E47A5" w:rsidRDefault="00FC1C25" w:rsidP="00D96F00">
            <w:pPr>
              <w:spacing w:after="0"/>
              <w:jc w:val="center"/>
              <w:rPr>
                <w:rFonts w:ascii="Calibri" w:hAnsi="Calibri" w:cs="Calibri"/>
                <w:sz w:val="18"/>
                <w:szCs w:val="18"/>
                <w:lang w:val="en-US"/>
              </w:rPr>
            </w:pP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14:paraId="53EA3D49"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C3E0E42" w14:textId="77777777" w:rsidR="00FC1C25" w:rsidRPr="007E47A5" w:rsidRDefault="00FC1C25" w:rsidP="00D96F00">
            <w:pPr>
              <w:spacing w:after="0"/>
              <w:jc w:val="center"/>
              <w:rPr>
                <w:rFonts w:ascii="Calibri" w:hAnsi="Calibri" w:cs="Calibri"/>
                <w:sz w:val="18"/>
                <w:szCs w:val="18"/>
                <w:lang w:val="en-US"/>
              </w:rPr>
            </w:pPr>
          </w:p>
        </w:tc>
        <w:tc>
          <w:tcPr>
            <w:tcW w:w="1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3B5D3AA" w14:textId="77777777" w:rsidR="00FC1C25" w:rsidRPr="007E47A5" w:rsidRDefault="00FC1C25" w:rsidP="00D96F00">
            <w:pPr>
              <w:spacing w:after="0"/>
              <w:jc w:val="center"/>
              <w:rPr>
                <w:rFonts w:ascii="Calibri" w:hAnsi="Calibri" w:cs="Calibri"/>
                <w:sz w:val="18"/>
                <w:szCs w:val="18"/>
                <w:lang w:val="en-US"/>
              </w:rPr>
            </w:pPr>
          </w:p>
        </w:tc>
        <w:tc>
          <w:tcPr>
            <w:tcW w:w="1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1860ADC" w14:textId="77777777" w:rsidR="00FC1C25" w:rsidRPr="007E47A5" w:rsidRDefault="00FC1C25" w:rsidP="00D96F00">
            <w:pPr>
              <w:spacing w:after="0"/>
              <w:jc w:val="center"/>
              <w:rPr>
                <w:rFonts w:ascii="Calibri" w:hAnsi="Calibri" w:cs="Calibri"/>
                <w:sz w:val="18"/>
                <w:szCs w:val="18"/>
                <w:lang w:val="en-US"/>
              </w:rPr>
            </w:pPr>
          </w:p>
        </w:tc>
        <w:tc>
          <w:tcPr>
            <w:tcW w:w="1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E5B5532" w14:textId="77777777" w:rsidR="00FC1C25" w:rsidRPr="007E47A5" w:rsidRDefault="00FC1C25" w:rsidP="00D96F00">
            <w:pPr>
              <w:spacing w:after="0"/>
              <w:jc w:val="center"/>
              <w:rPr>
                <w:rFonts w:ascii="Calibri" w:hAnsi="Calibri" w:cs="Calibri"/>
                <w:sz w:val="18"/>
                <w:szCs w:val="18"/>
                <w:lang w:val="en-US"/>
              </w:rPr>
            </w:pPr>
          </w:p>
        </w:tc>
        <w:tc>
          <w:tcPr>
            <w:tcW w:w="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0E00647"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D5DB018" w14:textId="77777777" w:rsidR="00FC1C25" w:rsidRPr="007E47A5" w:rsidRDefault="00FC1C25" w:rsidP="00D96F00">
            <w:pPr>
              <w:spacing w:after="0"/>
              <w:jc w:val="center"/>
              <w:rPr>
                <w:rFonts w:ascii="Calibri" w:hAnsi="Calibri" w:cs="Calibri"/>
                <w:sz w:val="18"/>
                <w:szCs w:val="18"/>
                <w:lang w:val="en-US"/>
              </w:rPr>
            </w:pPr>
          </w:p>
        </w:tc>
        <w:tc>
          <w:tcPr>
            <w:tcW w:w="1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E393FDD" w14:textId="77777777" w:rsidR="00FC1C25" w:rsidRPr="007E47A5" w:rsidRDefault="00FC1C25" w:rsidP="00D96F00">
            <w:pPr>
              <w:spacing w:after="0"/>
              <w:jc w:val="center"/>
              <w:rPr>
                <w:rFonts w:ascii="Calibri" w:hAnsi="Calibri" w:cs="Calibri"/>
                <w:sz w:val="18"/>
                <w:szCs w:val="18"/>
                <w:lang w:val="en-US"/>
              </w:rPr>
            </w:pPr>
          </w:p>
        </w:tc>
        <w:tc>
          <w:tcPr>
            <w:tcW w:w="1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553F57F" w14:textId="77777777" w:rsidR="00FC1C25" w:rsidRPr="007E47A5" w:rsidRDefault="00FC1C25" w:rsidP="00D96F00">
            <w:pPr>
              <w:spacing w:after="0"/>
              <w:jc w:val="center"/>
              <w:rPr>
                <w:rFonts w:ascii="Calibri" w:hAnsi="Calibri" w:cs="Calibri"/>
                <w:sz w:val="18"/>
                <w:szCs w:val="18"/>
                <w:lang w:val="en-US"/>
              </w:rPr>
            </w:pPr>
          </w:p>
        </w:tc>
        <w:tc>
          <w:tcPr>
            <w:tcW w:w="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0FDFEC7" w14:textId="77777777" w:rsidR="00FC1C25" w:rsidRPr="007E47A5" w:rsidRDefault="00FC1C25" w:rsidP="00D96F00">
            <w:pPr>
              <w:spacing w:after="0"/>
              <w:jc w:val="center"/>
              <w:rPr>
                <w:rFonts w:ascii="Calibri" w:hAnsi="Calibri" w:cs="Calibri"/>
                <w:sz w:val="18"/>
                <w:szCs w:val="18"/>
                <w:lang w:val="en-US"/>
              </w:rPr>
            </w:pPr>
          </w:p>
        </w:tc>
        <w:tc>
          <w:tcPr>
            <w:tcW w:w="1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B23D282" w14:textId="77777777" w:rsidR="00FC1C25" w:rsidRPr="007E47A5" w:rsidRDefault="00FC1C25" w:rsidP="00D96F00">
            <w:pPr>
              <w:spacing w:after="0"/>
              <w:jc w:val="center"/>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284FCA9A" w14:textId="77777777" w:rsidR="00FC1C25" w:rsidRPr="007E47A5" w:rsidRDefault="00FC1C25" w:rsidP="00D96F00">
            <w:pPr>
              <w:spacing w:after="0"/>
              <w:jc w:val="center"/>
              <w:rPr>
                <w:rFonts w:ascii="Calibri" w:hAnsi="Calibri" w:cs="Calibri"/>
                <w:sz w:val="18"/>
                <w:szCs w:val="18"/>
                <w:lang w:val="en-US"/>
              </w:rPr>
            </w:pPr>
          </w:p>
        </w:tc>
      </w:tr>
      <w:tr w:rsidR="00A42C68" w:rsidRPr="007E47A5" w14:paraId="0B157962" w14:textId="77777777" w:rsidTr="00A42C68">
        <w:trPr>
          <w:trHeight w:val="32"/>
          <w:jc w:val="center"/>
        </w:trPr>
        <w:tc>
          <w:tcPr>
            <w:tcW w:w="1171" w:type="pct"/>
            <w:vMerge w:val="restart"/>
            <w:tcBorders>
              <w:top w:val="single" w:sz="4" w:space="0" w:color="A6A6A6" w:themeColor="background1" w:themeShade="A6"/>
              <w:left w:val="single" w:sz="4" w:space="0" w:color="auto"/>
              <w:right w:val="single" w:sz="4" w:space="0" w:color="A6A6A6" w:themeColor="background1" w:themeShade="A6"/>
            </w:tcBorders>
            <w:shd w:val="clear" w:color="auto" w:fill="auto"/>
            <w:vAlign w:val="center"/>
            <w:hideMark/>
          </w:tcPr>
          <w:p w14:paraId="0D4550B3" w14:textId="77777777" w:rsidR="00A42C68" w:rsidRPr="00285390" w:rsidRDefault="00A42C68" w:rsidP="00A42C68">
            <w:pPr>
              <w:spacing w:after="0"/>
              <w:jc w:val="left"/>
              <w:rPr>
                <w:rFonts w:ascii="Calibri" w:hAnsi="Calibri" w:cs="Calibri"/>
                <w:sz w:val="19"/>
                <w:szCs w:val="19"/>
                <w:lang w:val="en-US"/>
              </w:rPr>
            </w:pPr>
            <w:r w:rsidRPr="009B6CE2">
              <w:rPr>
                <w:rFonts w:ascii="Calibri" w:hAnsi="Calibri" w:cs="Calibri"/>
                <w:sz w:val="20"/>
              </w:rPr>
              <w:t>Hydr</w:t>
            </w:r>
            <w:r>
              <w:rPr>
                <w:rFonts w:ascii="Calibri" w:hAnsi="Calibri" w:cs="Calibri"/>
                <w:sz w:val="20"/>
              </w:rPr>
              <w:t>aulic R</w:t>
            </w:r>
            <w:r w:rsidRPr="009B6CE2">
              <w:rPr>
                <w:rFonts w:ascii="Calibri" w:hAnsi="Calibri" w:cs="Calibri"/>
                <w:sz w:val="20"/>
              </w:rPr>
              <w:t>egime</w:t>
            </w:r>
          </w:p>
        </w:tc>
        <w:tc>
          <w:tcPr>
            <w:tcW w:w="14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3735A4BE" w14:textId="77777777" w:rsidR="00A42C68" w:rsidRPr="00D96F00" w:rsidRDefault="00A42C68" w:rsidP="00D96F00">
            <w:pPr>
              <w:spacing w:after="0"/>
              <w:rPr>
                <w:rFonts w:ascii="Calibri" w:hAnsi="Calibri" w:cs="Calibri"/>
                <w:sz w:val="18"/>
                <w:szCs w:val="18"/>
                <w:lang w:val="en-US"/>
              </w:rPr>
            </w:pPr>
            <w:r w:rsidRPr="00D96F00">
              <w:rPr>
                <w:rFonts w:ascii="Calibri" w:hAnsi="Calibri" w:cs="Calibri"/>
                <w:sz w:val="18"/>
                <w:szCs w:val="18"/>
              </w:rPr>
              <w:t>Modelling</w:t>
            </w: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D9D9D9" w:themeFill="background1" w:themeFillShade="D9"/>
          </w:tcPr>
          <w:p w14:paraId="1FFDCBF7" w14:textId="77777777" w:rsidR="00A42C68" w:rsidRPr="007E47A5" w:rsidRDefault="00A42C68" w:rsidP="00D96F00">
            <w:pPr>
              <w:spacing w:after="0"/>
              <w:jc w:val="center"/>
              <w:rPr>
                <w:rFonts w:ascii="Calibri" w:hAnsi="Calibri" w:cs="Calibri"/>
                <w:sz w:val="18"/>
                <w:szCs w:val="18"/>
                <w:lang w:val="en-US"/>
              </w:rPr>
            </w:pPr>
          </w:p>
        </w:tc>
        <w:tc>
          <w:tcPr>
            <w:tcW w:w="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66868C62" w14:textId="77777777" w:rsidR="00A42C68" w:rsidRPr="007E47A5" w:rsidRDefault="00A42C68" w:rsidP="00D96F00">
            <w:pPr>
              <w:spacing w:after="0"/>
              <w:jc w:val="center"/>
              <w:rPr>
                <w:rFonts w:ascii="Calibri" w:hAnsi="Calibri" w:cs="Calibri"/>
                <w:sz w:val="18"/>
                <w:szCs w:val="18"/>
                <w:lang w:val="en-US"/>
              </w:rPr>
            </w:pPr>
          </w:p>
        </w:tc>
        <w:tc>
          <w:tcPr>
            <w:tcW w:w="1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52C47AA5" w14:textId="77777777" w:rsidR="00A42C68" w:rsidRPr="007E47A5" w:rsidRDefault="00A42C68" w:rsidP="00D96F00">
            <w:pPr>
              <w:spacing w:after="0"/>
              <w:jc w:val="center"/>
              <w:rPr>
                <w:rFonts w:ascii="Calibri" w:hAnsi="Calibri" w:cs="Calibri"/>
                <w:sz w:val="18"/>
                <w:szCs w:val="18"/>
                <w:lang w:val="en-US"/>
              </w:rPr>
            </w:pPr>
          </w:p>
        </w:tc>
        <w:tc>
          <w:tcPr>
            <w:tcW w:w="1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56A1ED1F" w14:textId="77777777" w:rsidR="00A42C68" w:rsidRPr="007E47A5" w:rsidRDefault="00A42C68" w:rsidP="00D96F00">
            <w:pPr>
              <w:spacing w:after="0"/>
              <w:jc w:val="center"/>
              <w:rPr>
                <w:rFonts w:ascii="Calibri" w:hAnsi="Calibri" w:cs="Calibri"/>
                <w:sz w:val="18"/>
                <w:szCs w:val="18"/>
                <w:lang w:val="en-US"/>
              </w:rPr>
            </w:pPr>
          </w:p>
        </w:tc>
        <w:tc>
          <w:tcPr>
            <w:tcW w:w="1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1D12AEA8" w14:textId="77777777" w:rsidR="00A42C68" w:rsidRPr="007E47A5" w:rsidRDefault="00A42C68" w:rsidP="00D96F00">
            <w:pPr>
              <w:spacing w:after="0"/>
              <w:jc w:val="center"/>
              <w:rPr>
                <w:rFonts w:ascii="Calibri" w:hAnsi="Calibri" w:cs="Calibri"/>
                <w:sz w:val="18"/>
                <w:szCs w:val="18"/>
                <w:lang w:val="en-US"/>
              </w:rPr>
            </w:pPr>
          </w:p>
        </w:tc>
        <w:tc>
          <w:tcPr>
            <w:tcW w:w="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D9D9D9"/>
            <w:noWrap/>
            <w:vAlign w:val="bottom"/>
            <w:hideMark/>
          </w:tcPr>
          <w:p w14:paraId="70C32830" w14:textId="77777777" w:rsidR="00A42C68" w:rsidRPr="007E47A5" w:rsidRDefault="00A42C68" w:rsidP="00D96F00">
            <w:pPr>
              <w:spacing w:after="0"/>
              <w:jc w:val="center"/>
              <w:rPr>
                <w:rFonts w:ascii="Calibri" w:hAnsi="Calibri" w:cs="Calibri"/>
                <w:sz w:val="18"/>
                <w:szCs w:val="18"/>
                <w:lang w:val="en-US"/>
              </w:rPr>
            </w:pP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D9D9D9"/>
            <w:noWrap/>
            <w:vAlign w:val="bottom"/>
            <w:hideMark/>
          </w:tcPr>
          <w:p w14:paraId="09E9AC62" w14:textId="77777777" w:rsidR="00A42C68" w:rsidRPr="007E47A5" w:rsidRDefault="00A42C68"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6486D14A" w14:textId="77777777" w:rsidR="00A42C68" w:rsidRPr="007E47A5" w:rsidRDefault="00A42C68" w:rsidP="00D96F00">
            <w:pPr>
              <w:spacing w:after="0"/>
              <w:jc w:val="center"/>
              <w:rPr>
                <w:rFonts w:ascii="Calibri" w:hAnsi="Calibri" w:cs="Calibri"/>
                <w:sz w:val="18"/>
                <w:szCs w:val="18"/>
                <w:lang w:val="en-US"/>
              </w:rPr>
            </w:pPr>
          </w:p>
        </w:tc>
        <w:tc>
          <w:tcPr>
            <w:tcW w:w="1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2317EBBC" w14:textId="77777777" w:rsidR="00A42C68" w:rsidRPr="007E47A5" w:rsidRDefault="00A42C68" w:rsidP="00D96F00">
            <w:pPr>
              <w:spacing w:after="0"/>
              <w:jc w:val="center"/>
              <w:rPr>
                <w:rFonts w:ascii="Calibri" w:hAnsi="Calibri" w:cs="Calibri"/>
                <w:sz w:val="18"/>
                <w:szCs w:val="18"/>
                <w:lang w:val="en-US"/>
              </w:rPr>
            </w:pPr>
          </w:p>
        </w:tc>
        <w:tc>
          <w:tcPr>
            <w:tcW w:w="1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67BB5BB1" w14:textId="77777777" w:rsidR="00A42C68" w:rsidRPr="007E47A5" w:rsidRDefault="00A42C68" w:rsidP="00D96F00">
            <w:pPr>
              <w:spacing w:after="0"/>
              <w:jc w:val="center"/>
              <w:rPr>
                <w:rFonts w:ascii="Calibri" w:hAnsi="Calibri" w:cs="Calibri"/>
                <w:sz w:val="18"/>
                <w:szCs w:val="18"/>
                <w:lang w:val="en-US"/>
              </w:rPr>
            </w:pPr>
          </w:p>
        </w:tc>
        <w:tc>
          <w:tcPr>
            <w:tcW w:w="1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19B991AF" w14:textId="77777777" w:rsidR="00A42C68" w:rsidRPr="007E47A5" w:rsidRDefault="00A42C68" w:rsidP="00D96F00">
            <w:pPr>
              <w:spacing w:after="0"/>
              <w:jc w:val="center"/>
              <w:rPr>
                <w:rFonts w:ascii="Calibri" w:hAnsi="Calibri" w:cs="Calibri"/>
                <w:sz w:val="18"/>
                <w:szCs w:val="18"/>
                <w:lang w:val="en-US"/>
              </w:rPr>
            </w:pPr>
          </w:p>
        </w:tc>
        <w:tc>
          <w:tcPr>
            <w:tcW w:w="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7F16AE21" w14:textId="77777777" w:rsidR="00A42C68" w:rsidRPr="007E47A5" w:rsidRDefault="00A42C68"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242313BD" w14:textId="77777777" w:rsidR="00A42C68" w:rsidRPr="007E47A5" w:rsidRDefault="00A42C68" w:rsidP="00D96F00">
            <w:pPr>
              <w:spacing w:after="0"/>
              <w:jc w:val="center"/>
              <w:rPr>
                <w:rFonts w:ascii="Calibri" w:hAnsi="Calibri" w:cs="Calibri"/>
                <w:sz w:val="18"/>
                <w:szCs w:val="18"/>
                <w:lang w:val="en-US"/>
              </w:rPr>
            </w:pPr>
          </w:p>
        </w:tc>
        <w:tc>
          <w:tcPr>
            <w:tcW w:w="1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70B8F4ED" w14:textId="77777777" w:rsidR="00A42C68" w:rsidRPr="007E47A5" w:rsidRDefault="00A42C68" w:rsidP="00D96F00">
            <w:pPr>
              <w:spacing w:after="0"/>
              <w:jc w:val="center"/>
              <w:rPr>
                <w:rFonts w:ascii="Calibri" w:hAnsi="Calibri" w:cs="Calibri"/>
                <w:sz w:val="18"/>
                <w:szCs w:val="18"/>
                <w:lang w:val="en-US"/>
              </w:rPr>
            </w:pPr>
          </w:p>
        </w:tc>
        <w:tc>
          <w:tcPr>
            <w:tcW w:w="1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02991BF1" w14:textId="77777777" w:rsidR="00A42C68" w:rsidRPr="007E47A5" w:rsidRDefault="00A42C68" w:rsidP="00D96F00">
            <w:pPr>
              <w:spacing w:after="0"/>
              <w:jc w:val="center"/>
              <w:rPr>
                <w:rFonts w:ascii="Calibri" w:hAnsi="Calibri" w:cs="Calibri"/>
                <w:sz w:val="18"/>
                <w:szCs w:val="18"/>
                <w:lang w:val="en-US"/>
              </w:rPr>
            </w:pPr>
          </w:p>
        </w:tc>
        <w:tc>
          <w:tcPr>
            <w:tcW w:w="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46D19922" w14:textId="77777777" w:rsidR="00A42C68" w:rsidRPr="007E47A5" w:rsidRDefault="00A42C68" w:rsidP="00D96F00">
            <w:pPr>
              <w:spacing w:after="0"/>
              <w:jc w:val="center"/>
              <w:rPr>
                <w:rFonts w:ascii="Calibri" w:hAnsi="Calibri" w:cs="Calibri"/>
                <w:sz w:val="18"/>
                <w:szCs w:val="18"/>
                <w:lang w:val="en-US"/>
              </w:rPr>
            </w:pPr>
          </w:p>
        </w:tc>
        <w:tc>
          <w:tcPr>
            <w:tcW w:w="1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71EC8A1D" w14:textId="77777777" w:rsidR="00A42C68" w:rsidRPr="007E47A5" w:rsidRDefault="00A42C68" w:rsidP="00D96F00">
            <w:pPr>
              <w:spacing w:after="0"/>
              <w:jc w:val="center"/>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D9D9D9"/>
            <w:noWrap/>
            <w:vAlign w:val="bottom"/>
            <w:hideMark/>
          </w:tcPr>
          <w:p w14:paraId="1A7B666F" w14:textId="77777777" w:rsidR="00A42C68" w:rsidRPr="007E47A5" w:rsidRDefault="00A42C68" w:rsidP="00D96F00">
            <w:pPr>
              <w:spacing w:after="0"/>
              <w:jc w:val="center"/>
              <w:rPr>
                <w:rFonts w:ascii="Calibri" w:hAnsi="Calibri" w:cs="Calibri"/>
                <w:sz w:val="18"/>
                <w:szCs w:val="18"/>
                <w:lang w:val="en-US"/>
              </w:rPr>
            </w:pPr>
          </w:p>
        </w:tc>
      </w:tr>
      <w:tr w:rsidR="00A42C68" w:rsidRPr="007E47A5" w14:paraId="2C03416B" w14:textId="77777777" w:rsidTr="00A42C68">
        <w:trPr>
          <w:trHeight w:val="32"/>
          <w:jc w:val="center"/>
        </w:trPr>
        <w:tc>
          <w:tcPr>
            <w:tcW w:w="1171" w:type="pct"/>
            <w:vMerge/>
            <w:tcBorders>
              <w:left w:val="single" w:sz="4" w:space="0" w:color="auto"/>
              <w:bottom w:val="single" w:sz="4" w:space="0" w:color="A6A6A6" w:themeColor="background1" w:themeShade="A6"/>
              <w:right w:val="single" w:sz="4" w:space="0" w:color="A6A6A6" w:themeColor="background1" w:themeShade="A6"/>
            </w:tcBorders>
            <w:shd w:val="clear" w:color="auto" w:fill="auto"/>
            <w:vAlign w:val="center"/>
            <w:hideMark/>
          </w:tcPr>
          <w:p w14:paraId="51DE5BE6" w14:textId="77777777" w:rsidR="00A42C68" w:rsidRPr="00285390" w:rsidRDefault="00A42C68" w:rsidP="00A42C68">
            <w:pPr>
              <w:spacing w:after="0"/>
              <w:jc w:val="left"/>
              <w:rPr>
                <w:rFonts w:ascii="Calibri" w:hAnsi="Calibri" w:cs="Calibri"/>
                <w:sz w:val="19"/>
                <w:szCs w:val="19"/>
                <w:lang w:val="en-US"/>
              </w:rPr>
            </w:pPr>
          </w:p>
        </w:tc>
        <w:tc>
          <w:tcPr>
            <w:tcW w:w="14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5A786257" w14:textId="77777777" w:rsidR="00A42C68" w:rsidRPr="00D96F00" w:rsidRDefault="00A42C68" w:rsidP="00D96F00">
            <w:pPr>
              <w:spacing w:after="0"/>
              <w:rPr>
                <w:rFonts w:ascii="Calibri" w:hAnsi="Calibri" w:cs="Calibri"/>
                <w:sz w:val="18"/>
                <w:szCs w:val="18"/>
                <w:lang w:val="en-US"/>
              </w:rPr>
            </w:pPr>
            <w:r w:rsidRPr="00D96F00">
              <w:rPr>
                <w:rFonts w:ascii="Calibri" w:hAnsi="Calibri" w:cs="Calibri"/>
                <w:sz w:val="18"/>
                <w:szCs w:val="18"/>
              </w:rPr>
              <w:t>Reporting</w:t>
            </w: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57619100" w14:textId="77777777" w:rsidR="00A42C68" w:rsidRPr="007E47A5" w:rsidRDefault="00A42C68" w:rsidP="00D96F00">
            <w:pPr>
              <w:spacing w:after="0"/>
              <w:rPr>
                <w:rFonts w:ascii="Calibri" w:hAnsi="Calibri" w:cs="Calibri"/>
                <w:sz w:val="18"/>
                <w:szCs w:val="18"/>
                <w:lang w:val="en-US"/>
              </w:rPr>
            </w:pPr>
          </w:p>
        </w:tc>
        <w:tc>
          <w:tcPr>
            <w:tcW w:w="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048E55" w14:textId="77777777" w:rsidR="00A42C68" w:rsidRPr="007E47A5" w:rsidRDefault="00A42C68" w:rsidP="00D96F00">
            <w:pPr>
              <w:spacing w:after="0"/>
              <w:rPr>
                <w:rFonts w:ascii="Calibri" w:hAnsi="Calibri" w:cs="Calibri"/>
                <w:sz w:val="18"/>
                <w:szCs w:val="18"/>
                <w:lang w:val="en-US"/>
              </w:rPr>
            </w:pPr>
          </w:p>
        </w:tc>
        <w:tc>
          <w:tcPr>
            <w:tcW w:w="1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AD52AD9" w14:textId="77777777" w:rsidR="00A42C68" w:rsidRPr="007E47A5" w:rsidRDefault="00A42C68" w:rsidP="00D96F00">
            <w:pPr>
              <w:spacing w:after="0"/>
              <w:rPr>
                <w:rFonts w:ascii="Calibri" w:hAnsi="Calibri" w:cs="Calibri"/>
                <w:sz w:val="18"/>
                <w:szCs w:val="18"/>
                <w:lang w:val="en-US"/>
              </w:rPr>
            </w:pPr>
          </w:p>
        </w:tc>
        <w:tc>
          <w:tcPr>
            <w:tcW w:w="1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ED983C0" w14:textId="77777777" w:rsidR="00A42C68" w:rsidRPr="007E47A5" w:rsidRDefault="00A42C68" w:rsidP="00D96F00">
            <w:pPr>
              <w:spacing w:after="0"/>
              <w:rPr>
                <w:rFonts w:ascii="Calibri" w:hAnsi="Calibri" w:cs="Calibri"/>
                <w:sz w:val="18"/>
                <w:szCs w:val="18"/>
                <w:lang w:val="en-US"/>
              </w:rPr>
            </w:pPr>
          </w:p>
        </w:tc>
        <w:tc>
          <w:tcPr>
            <w:tcW w:w="1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9A02A14" w14:textId="77777777" w:rsidR="00A42C68" w:rsidRPr="007E47A5" w:rsidRDefault="00A42C68" w:rsidP="00D96F00">
            <w:pPr>
              <w:spacing w:after="0"/>
              <w:rPr>
                <w:rFonts w:ascii="Calibri" w:hAnsi="Calibri" w:cs="Calibri"/>
                <w:sz w:val="18"/>
                <w:szCs w:val="18"/>
                <w:lang w:val="en-US"/>
              </w:rPr>
            </w:pPr>
          </w:p>
        </w:tc>
        <w:tc>
          <w:tcPr>
            <w:tcW w:w="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607B0620" w14:textId="77777777" w:rsidR="00A42C68" w:rsidRPr="007E47A5" w:rsidRDefault="00A42C68" w:rsidP="00D96F00">
            <w:pPr>
              <w:spacing w:after="0"/>
              <w:rPr>
                <w:rFonts w:ascii="Calibri" w:hAnsi="Calibri" w:cs="Calibri"/>
                <w:sz w:val="18"/>
                <w:szCs w:val="18"/>
                <w:lang w:val="en-US"/>
              </w:rPr>
            </w:pP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14:paraId="6AA6D0B0" w14:textId="77777777" w:rsidR="00A42C68" w:rsidRPr="007E47A5" w:rsidRDefault="00A42C68"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CA0F2B1" w14:textId="77777777" w:rsidR="00A42C68" w:rsidRPr="007E47A5" w:rsidRDefault="00A42C68" w:rsidP="00D96F00">
            <w:pPr>
              <w:spacing w:after="0"/>
              <w:rPr>
                <w:rFonts w:ascii="Calibri" w:hAnsi="Calibri" w:cs="Calibri"/>
                <w:sz w:val="18"/>
                <w:szCs w:val="18"/>
                <w:lang w:val="en-US"/>
              </w:rPr>
            </w:pPr>
          </w:p>
        </w:tc>
        <w:tc>
          <w:tcPr>
            <w:tcW w:w="1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58B225A" w14:textId="77777777" w:rsidR="00A42C68" w:rsidRPr="007E47A5" w:rsidRDefault="00A42C68" w:rsidP="00D96F00">
            <w:pPr>
              <w:spacing w:after="0"/>
              <w:rPr>
                <w:rFonts w:ascii="Calibri" w:hAnsi="Calibri" w:cs="Calibri"/>
                <w:sz w:val="18"/>
                <w:szCs w:val="18"/>
                <w:lang w:val="en-US"/>
              </w:rPr>
            </w:pPr>
          </w:p>
        </w:tc>
        <w:tc>
          <w:tcPr>
            <w:tcW w:w="1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5B1BD6D" w14:textId="77777777" w:rsidR="00A42C68" w:rsidRPr="007E47A5" w:rsidRDefault="00A42C68" w:rsidP="00D96F00">
            <w:pPr>
              <w:spacing w:after="0"/>
              <w:jc w:val="center"/>
              <w:rPr>
                <w:rFonts w:ascii="Calibri" w:hAnsi="Calibri" w:cs="Calibri"/>
                <w:sz w:val="18"/>
                <w:szCs w:val="18"/>
                <w:lang w:val="en-US"/>
              </w:rPr>
            </w:pPr>
          </w:p>
        </w:tc>
        <w:tc>
          <w:tcPr>
            <w:tcW w:w="1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EBCB333" w14:textId="77777777" w:rsidR="00A42C68" w:rsidRPr="007E47A5" w:rsidRDefault="00A42C68" w:rsidP="00D96F00">
            <w:pPr>
              <w:spacing w:after="0"/>
              <w:jc w:val="center"/>
              <w:rPr>
                <w:rFonts w:ascii="Calibri" w:hAnsi="Calibri" w:cs="Calibri"/>
                <w:sz w:val="18"/>
                <w:szCs w:val="18"/>
                <w:lang w:val="en-US"/>
              </w:rPr>
            </w:pPr>
          </w:p>
        </w:tc>
        <w:tc>
          <w:tcPr>
            <w:tcW w:w="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83372A3" w14:textId="77777777" w:rsidR="00A42C68" w:rsidRPr="007E47A5" w:rsidRDefault="00A42C68"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8C19928" w14:textId="77777777" w:rsidR="00A42C68" w:rsidRPr="007E47A5" w:rsidRDefault="00A42C68" w:rsidP="00D96F00">
            <w:pPr>
              <w:spacing w:after="0"/>
              <w:jc w:val="center"/>
              <w:rPr>
                <w:rFonts w:ascii="Calibri" w:hAnsi="Calibri" w:cs="Calibri"/>
                <w:sz w:val="18"/>
                <w:szCs w:val="18"/>
                <w:lang w:val="en-US"/>
              </w:rPr>
            </w:pPr>
          </w:p>
        </w:tc>
        <w:tc>
          <w:tcPr>
            <w:tcW w:w="1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61D4104" w14:textId="77777777" w:rsidR="00A42C68" w:rsidRPr="007E47A5" w:rsidRDefault="00A42C68" w:rsidP="00D96F00">
            <w:pPr>
              <w:spacing w:after="0"/>
              <w:rPr>
                <w:rFonts w:ascii="Calibri" w:hAnsi="Calibri" w:cs="Calibri"/>
                <w:sz w:val="18"/>
                <w:szCs w:val="18"/>
                <w:lang w:val="en-US"/>
              </w:rPr>
            </w:pPr>
          </w:p>
        </w:tc>
        <w:tc>
          <w:tcPr>
            <w:tcW w:w="1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2B53F3BF" w14:textId="77777777" w:rsidR="00A42C68" w:rsidRPr="007E47A5" w:rsidRDefault="00A42C68" w:rsidP="00D96F00">
            <w:pPr>
              <w:spacing w:after="0"/>
              <w:rPr>
                <w:rFonts w:ascii="Calibri" w:hAnsi="Calibri" w:cs="Calibri"/>
                <w:sz w:val="18"/>
                <w:szCs w:val="18"/>
                <w:lang w:val="en-US"/>
              </w:rPr>
            </w:pPr>
          </w:p>
        </w:tc>
        <w:tc>
          <w:tcPr>
            <w:tcW w:w="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4EBAB031" w14:textId="77777777" w:rsidR="00A42C68" w:rsidRPr="007E47A5" w:rsidRDefault="00A42C68" w:rsidP="00D96F00">
            <w:pPr>
              <w:spacing w:after="0"/>
              <w:rPr>
                <w:rFonts w:ascii="Calibri" w:hAnsi="Calibri" w:cs="Calibri"/>
                <w:sz w:val="18"/>
                <w:szCs w:val="18"/>
                <w:lang w:val="en-US"/>
              </w:rPr>
            </w:pPr>
          </w:p>
        </w:tc>
        <w:tc>
          <w:tcPr>
            <w:tcW w:w="1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6B061E6A" w14:textId="77777777" w:rsidR="00A42C68" w:rsidRPr="007E47A5" w:rsidRDefault="00A42C68"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noWrap/>
            <w:vAlign w:val="bottom"/>
            <w:hideMark/>
          </w:tcPr>
          <w:p w14:paraId="64C9C7CF" w14:textId="77777777" w:rsidR="00A42C68" w:rsidRPr="007E47A5" w:rsidRDefault="00A42C68" w:rsidP="00D96F00">
            <w:pPr>
              <w:spacing w:after="0"/>
              <w:rPr>
                <w:rFonts w:ascii="Calibri" w:hAnsi="Calibri" w:cs="Calibri"/>
                <w:sz w:val="18"/>
                <w:szCs w:val="18"/>
                <w:lang w:val="en-US"/>
              </w:rPr>
            </w:pPr>
          </w:p>
        </w:tc>
      </w:tr>
      <w:tr w:rsidR="00A42C68" w:rsidRPr="007E47A5" w14:paraId="0A57C5E1" w14:textId="77777777" w:rsidTr="00A42C68">
        <w:trPr>
          <w:trHeight w:val="32"/>
          <w:jc w:val="center"/>
        </w:trPr>
        <w:tc>
          <w:tcPr>
            <w:tcW w:w="1171" w:type="pct"/>
            <w:vMerge w:val="restart"/>
            <w:tcBorders>
              <w:top w:val="single" w:sz="4" w:space="0" w:color="A6A6A6" w:themeColor="background1" w:themeShade="A6"/>
              <w:left w:val="single" w:sz="4" w:space="0" w:color="auto"/>
              <w:right w:val="single" w:sz="4" w:space="0" w:color="A6A6A6" w:themeColor="background1" w:themeShade="A6"/>
            </w:tcBorders>
            <w:shd w:val="clear" w:color="auto" w:fill="auto"/>
            <w:vAlign w:val="center"/>
          </w:tcPr>
          <w:p w14:paraId="13F16AF5" w14:textId="77777777" w:rsidR="00A42C68" w:rsidRPr="00285390" w:rsidRDefault="00A42C68" w:rsidP="00A42C68">
            <w:pPr>
              <w:spacing w:after="0"/>
              <w:jc w:val="left"/>
              <w:rPr>
                <w:rFonts w:ascii="Calibri" w:hAnsi="Calibri" w:cs="Calibri"/>
                <w:sz w:val="19"/>
                <w:szCs w:val="19"/>
                <w:lang w:val="en-US"/>
              </w:rPr>
            </w:pPr>
            <w:r>
              <w:rPr>
                <w:rFonts w:ascii="Calibri" w:hAnsi="Calibri" w:cs="Calibri"/>
                <w:sz w:val="20"/>
              </w:rPr>
              <w:t>Matter T</w:t>
            </w:r>
            <w:r w:rsidRPr="009B6CE2">
              <w:rPr>
                <w:rFonts w:ascii="Calibri" w:hAnsi="Calibri" w:cs="Calibri"/>
                <w:sz w:val="20"/>
              </w:rPr>
              <w:t>ransport</w:t>
            </w:r>
            <w:r>
              <w:rPr>
                <w:rFonts w:ascii="Calibri" w:hAnsi="Calibri" w:cs="Calibri"/>
                <w:sz w:val="20"/>
              </w:rPr>
              <w:t xml:space="preserve"> and Coorong Habitat</w:t>
            </w:r>
          </w:p>
        </w:tc>
        <w:tc>
          <w:tcPr>
            <w:tcW w:w="14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2FA0FE9D" w14:textId="77777777" w:rsidR="00A42C68" w:rsidRPr="00D96F00" w:rsidRDefault="00A42C68" w:rsidP="00D96F00">
            <w:pPr>
              <w:spacing w:after="0"/>
              <w:rPr>
                <w:rFonts w:ascii="Calibri" w:hAnsi="Calibri" w:cs="Calibri"/>
                <w:sz w:val="18"/>
                <w:szCs w:val="18"/>
              </w:rPr>
            </w:pPr>
            <w:r w:rsidRPr="00D96F00">
              <w:rPr>
                <w:rFonts w:ascii="Calibri" w:hAnsi="Calibri" w:cs="Calibri"/>
                <w:sz w:val="18"/>
                <w:szCs w:val="18"/>
              </w:rPr>
              <w:t>Physical</w:t>
            </w:r>
            <w:r w:rsidRPr="00D96F00">
              <w:rPr>
                <w:rFonts w:eastAsiaTheme="majorEastAsia"/>
                <w:sz w:val="18"/>
                <w:szCs w:val="18"/>
              </w:rPr>
              <w:t>–</w:t>
            </w:r>
            <w:r w:rsidRPr="00D96F00">
              <w:rPr>
                <w:rFonts w:ascii="Calibri" w:hAnsi="Calibri" w:cs="Calibri"/>
                <w:sz w:val="18"/>
                <w:szCs w:val="18"/>
              </w:rPr>
              <w:t>chemical data collection</w:t>
            </w: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D9D9D9" w:themeFill="background1" w:themeFillShade="D9"/>
          </w:tcPr>
          <w:p w14:paraId="4E549D0F" w14:textId="77777777" w:rsidR="00A42C68" w:rsidRPr="007E47A5" w:rsidRDefault="00A42C68" w:rsidP="00D96F00">
            <w:pPr>
              <w:spacing w:after="0"/>
              <w:rPr>
                <w:rFonts w:ascii="Calibri" w:hAnsi="Calibri" w:cs="Calibri"/>
                <w:sz w:val="18"/>
                <w:szCs w:val="18"/>
                <w:lang w:val="en-US"/>
              </w:rPr>
            </w:pPr>
          </w:p>
        </w:tc>
        <w:tc>
          <w:tcPr>
            <w:tcW w:w="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1F1A21FE" w14:textId="77777777" w:rsidR="00A42C68" w:rsidRPr="007E47A5" w:rsidRDefault="00A42C68" w:rsidP="00D96F00">
            <w:pPr>
              <w:spacing w:after="0"/>
              <w:rPr>
                <w:rFonts w:ascii="Calibri" w:hAnsi="Calibri" w:cs="Calibri"/>
                <w:sz w:val="18"/>
                <w:szCs w:val="18"/>
                <w:lang w:val="en-US"/>
              </w:rPr>
            </w:pPr>
          </w:p>
        </w:tc>
        <w:tc>
          <w:tcPr>
            <w:tcW w:w="1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896C312" w14:textId="77777777" w:rsidR="00A42C68" w:rsidRPr="007E47A5" w:rsidRDefault="00A42C68" w:rsidP="00D96F00">
            <w:pPr>
              <w:spacing w:after="0"/>
              <w:rPr>
                <w:rFonts w:ascii="Calibri" w:hAnsi="Calibri" w:cs="Calibri"/>
                <w:sz w:val="18"/>
                <w:szCs w:val="18"/>
                <w:lang w:val="en-US"/>
              </w:rPr>
            </w:pPr>
          </w:p>
        </w:tc>
        <w:tc>
          <w:tcPr>
            <w:tcW w:w="1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5AC67369" w14:textId="77777777" w:rsidR="00A42C68" w:rsidRPr="007E47A5" w:rsidRDefault="00A42C68" w:rsidP="00D96F00">
            <w:pPr>
              <w:spacing w:after="0"/>
              <w:rPr>
                <w:rFonts w:ascii="Calibri" w:hAnsi="Calibri" w:cs="Calibri"/>
                <w:sz w:val="18"/>
                <w:szCs w:val="18"/>
                <w:lang w:val="en-US"/>
              </w:rPr>
            </w:pPr>
          </w:p>
        </w:tc>
        <w:tc>
          <w:tcPr>
            <w:tcW w:w="1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0A46763D" w14:textId="77777777" w:rsidR="00A42C68" w:rsidRPr="007E47A5" w:rsidRDefault="00A42C68" w:rsidP="00D96F00">
            <w:pPr>
              <w:spacing w:after="0"/>
              <w:rPr>
                <w:rFonts w:ascii="Calibri" w:hAnsi="Calibri" w:cs="Calibri"/>
                <w:sz w:val="18"/>
                <w:szCs w:val="18"/>
                <w:lang w:val="en-US"/>
              </w:rPr>
            </w:pPr>
          </w:p>
        </w:tc>
        <w:tc>
          <w:tcPr>
            <w:tcW w:w="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noWrap/>
            <w:vAlign w:val="bottom"/>
          </w:tcPr>
          <w:p w14:paraId="4C32B5A3" w14:textId="77777777" w:rsidR="00A42C68" w:rsidRPr="007E47A5" w:rsidRDefault="00A42C68" w:rsidP="00D96F00">
            <w:pPr>
              <w:spacing w:after="0"/>
              <w:rPr>
                <w:rFonts w:ascii="Calibri" w:hAnsi="Calibri" w:cs="Calibri"/>
                <w:sz w:val="18"/>
                <w:szCs w:val="18"/>
                <w:lang w:val="en-US"/>
              </w:rPr>
            </w:pP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506EFFE3" w14:textId="77777777" w:rsidR="00A42C68" w:rsidRPr="007E47A5" w:rsidRDefault="00A42C68"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D5B80DB" w14:textId="77777777" w:rsidR="00A42C68" w:rsidRPr="007E47A5" w:rsidRDefault="00A42C68" w:rsidP="00D96F00">
            <w:pPr>
              <w:spacing w:after="0"/>
              <w:rPr>
                <w:rFonts w:ascii="Calibri" w:hAnsi="Calibri" w:cs="Calibri"/>
                <w:sz w:val="18"/>
                <w:szCs w:val="18"/>
                <w:lang w:val="en-US"/>
              </w:rPr>
            </w:pPr>
          </w:p>
        </w:tc>
        <w:tc>
          <w:tcPr>
            <w:tcW w:w="1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A6B1FC9" w14:textId="77777777" w:rsidR="00A42C68" w:rsidRPr="007E47A5" w:rsidRDefault="00A42C68" w:rsidP="00D96F00">
            <w:pPr>
              <w:spacing w:after="0"/>
              <w:rPr>
                <w:rFonts w:ascii="Calibri" w:hAnsi="Calibri" w:cs="Calibri"/>
                <w:sz w:val="18"/>
                <w:szCs w:val="18"/>
                <w:lang w:val="en-US"/>
              </w:rPr>
            </w:pPr>
          </w:p>
        </w:tc>
        <w:tc>
          <w:tcPr>
            <w:tcW w:w="1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0AAF2DC7" w14:textId="77777777" w:rsidR="00A42C68" w:rsidRPr="007E47A5" w:rsidRDefault="00A42C68" w:rsidP="00D96F00">
            <w:pPr>
              <w:spacing w:after="0"/>
              <w:jc w:val="center"/>
              <w:rPr>
                <w:rFonts w:ascii="Calibri" w:hAnsi="Calibri" w:cs="Calibri"/>
                <w:sz w:val="18"/>
                <w:szCs w:val="18"/>
                <w:lang w:val="en-US"/>
              </w:rPr>
            </w:pPr>
          </w:p>
        </w:tc>
        <w:tc>
          <w:tcPr>
            <w:tcW w:w="1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7D7BD0E7" w14:textId="77777777" w:rsidR="00A42C68" w:rsidRPr="007E47A5" w:rsidRDefault="00A42C68" w:rsidP="00D96F00">
            <w:pPr>
              <w:spacing w:after="0"/>
              <w:jc w:val="center"/>
              <w:rPr>
                <w:rFonts w:ascii="Calibri" w:hAnsi="Calibri" w:cs="Calibri"/>
                <w:sz w:val="18"/>
                <w:szCs w:val="18"/>
                <w:lang w:val="en-US"/>
              </w:rPr>
            </w:pPr>
          </w:p>
        </w:tc>
        <w:tc>
          <w:tcPr>
            <w:tcW w:w="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20A352B" w14:textId="77777777" w:rsidR="00A42C68" w:rsidRPr="007E47A5" w:rsidRDefault="00A42C68"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2CA660DA" w14:textId="77777777" w:rsidR="00A42C68" w:rsidRPr="007E47A5" w:rsidRDefault="00A42C68" w:rsidP="00D96F00">
            <w:pPr>
              <w:spacing w:after="0"/>
              <w:jc w:val="center"/>
              <w:rPr>
                <w:rFonts w:ascii="Calibri" w:hAnsi="Calibri" w:cs="Calibri"/>
                <w:sz w:val="18"/>
                <w:szCs w:val="18"/>
                <w:lang w:val="en-US"/>
              </w:rPr>
            </w:pPr>
          </w:p>
        </w:tc>
        <w:tc>
          <w:tcPr>
            <w:tcW w:w="1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05DE67D0" w14:textId="77777777" w:rsidR="00A42C68" w:rsidRPr="007E47A5" w:rsidRDefault="00A42C68" w:rsidP="00D96F00">
            <w:pPr>
              <w:spacing w:after="0"/>
              <w:rPr>
                <w:rFonts w:ascii="Calibri" w:hAnsi="Calibri" w:cs="Calibri"/>
                <w:sz w:val="18"/>
                <w:szCs w:val="18"/>
                <w:lang w:val="en-US"/>
              </w:rPr>
            </w:pPr>
          </w:p>
        </w:tc>
        <w:tc>
          <w:tcPr>
            <w:tcW w:w="1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0413728" w14:textId="77777777" w:rsidR="00A42C68" w:rsidRPr="007E47A5" w:rsidRDefault="00A42C68" w:rsidP="00D96F00">
            <w:pPr>
              <w:spacing w:after="0"/>
              <w:rPr>
                <w:rFonts w:ascii="Calibri" w:hAnsi="Calibri" w:cs="Calibri"/>
                <w:sz w:val="18"/>
                <w:szCs w:val="18"/>
                <w:lang w:val="en-US"/>
              </w:rPr>
            </w:pPr>
          </w:p>
        </w:tc>
        <w:tc>
          <w:tcPr>
            <w:tcW w:w="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20EDD3E6" w14:textId="77777777" w:rsidR="00A42C68" w:rsidRPr="007E47A5" w:rsidRDefault="00A42C68" w:rsidP="00D96F00">
            <w:pPr>
              <w:spacing w:after="0"/>
              <w:rPr>
                <w:rFonts w:ascii="Calibri" w:hAnsi="Calibri" w:cs="Calibri"/>
                <w:sz w:val="18"/>
                <w:szCs w:val="18"/>
                <w:lang w:val="en-US"/>
              </w:rPr>
            </w:pPr>
          </w:p>
        </w:tc>
        <w:tc>
          <w:tcPr>
            <w:tcW w:w="1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5EE6D447" w14:textId="77777777" w:rsidR="00A42C68" w:rsidRPr="007E47A5" w:rsidRDefault="00A42C68"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noWrap/>
            <w:vAlign w:val="bottom"/>
          </w:tcPr>
          <w:p w14:paraId="586A8AB2" w14:textId="77777777" w:rsidR="00A42C68" w:rsidRPr="007E47A5" w:rsidRDefault="00A42C68" w:rsidP="00D96F00">
            <w:pPr>
              <w:spacing w:after="0"/>
              <w:rPr>
                <w:rFonts w:ascii="Calibri" w:hAnsi="Calibri" w:cs="Calibri"/>
                <w:sz w:val="18"/>
                <w:szCs w:val="18"/>
                <w:lang w:val="en-US"/>
              </w:rPr>
            </w:pPr>
          </w:p>
        </w:tc>
      </w:tr>
      <w:tr w:rsidR="00A42C68" w:rsidRPr="007E47A5" w14:paraId="1778B2F8" w14:textId="77777777" w:rsidTr="00A42C68">
        <w:trPr>
          <w:trHeight w:val="32"/>
          <w:jc w:val="center"/>
        </w:trPr>
        <w:tc>
          <w:tcPr>
            <w:tcW w:w="1171" w:type="pct"/>
            <w:vMerge/>
            <w:tcBorders>
              <w:left w:val="single" w:sz="4" w:space="0" w:color="auto"/>
              <w:right w:val="single" w:sz="4" w:space="0" w:color="A6A6A6" w:themeColor="background1" w:themeShade="A6"/>
            </w:tcBorders>
            <w:shd w:val="clear" w:color="auto" w:fill="auto"/>
            <w:vAlign w:val="center"/>
          </w:tcPr>
          <w:p w14:paraId="644EFBD6" w14:textId="77777777" w:rsidR="00A42C68" w:rsidRPr="00285390" w:rsidRDefault="00A42C68" w:rsidP="00A42C68">
            <w:pPr>
              <w:spacing w:after="0"/>
              <w:jc w:val="left"/>
              <w:rPr>
                <w:rFonts w:ascii="Calibri" w:hAnsi="Calibri" w:cs="Calibri"/>
                <w:sz w:val="19"/>
                <w:szCs w:val="19"/>
                <w:lang w:val="en-US"/>
              </w:rPr>
            </w:pPr>
          </w:p>
        </w:tc>
        <w:tc>
          <w:tcPr>
            <w:tcW w:w="14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45203C4D" w14:textId="77777777" w:rsidR="00A42C68" w:rsidRPr="00D96F00" w:rsidRDefault="00A42C68" w:rsidP="00D96F00">
            <w:pPr>
              <w:spacing w:after="0"/>
              <w:rPr>
                <w:rFonts w:ascii="Calibri" w:hAnsi="Calibri" w:cs="Calibri"/>
                <w:sz w:val="18"/>
                <w:szCs w:val="18"/>
              </w:rPr>
            </w:pPr>
            <w:r w:rsidRPr="00D96F00">
              <w:rPr>
                <w:rFonts w:ascii="Calibri" w:hAnsi="Calibri" w:cs="Calibri"/>
                <w:sz w:val="18"/>
                <w:szCs w:val="18"/>
              </w:rPr>
              <w:t>Modelling and scenario runs</w:t>
            </w: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00B61D9C" w14:textId="77777777" w:rsidR="00A42C68" w:rsidRPr="007E47A5" w:rsidRDefault="00A42C68" w:rsidP="00D96F00">
            <w:pPr>
              <w:spacing w:after="0"/>
              <w:rPr>
                <w:rFonts w:ascii="Calibri" w:hAnsi="Calibri" w:cs="Calibri"/>
                <w:sz w:val="18"/>
                <w:szCs w:val="18"/>
                <w:lang w:val="en-US"/>
              </w:rPr>
            </w:pPr>
          </w:p>
        </w:tc>
        <w:tc>
          <w:tcPr>
            <w:tcW w:w="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9A8FA9" w14:textId="77777777" w:rsidR="00A42C68" w:rsidRPr="007E47A5" w:rsidRDefault="00A42C68" w:rsidP="00D96F00">
            <w:pPr>
              <w:spacing w:after="0"/>
              <w:rPr>
                <w:rFonts w:ascii="Calibri" w:hAnsi="Calibri" w:cs="Calibri"/>
                <w:sz w:val="18"/>
                <w:szCs w:val="18"/>
                <w:lang w:val="en-US"/>
              </w:rPr>
            </w:pPr>
          </w:p>
        </w:tc>
        <w:tc>
          <w:tcPr>
            <w:tcW w:w="1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58623C1" w14:textId="77777777" w:rsidR="00A42C68" w:rsidRPr="007E47A5" w:rsidRDefault="00A42C68" w:rsidP="00D96F00">
            <w:pPr>
              <w:spacing w:after="0"/>
              <w:rPr>
                <w:rFonts w:ascii="Calibri" w:hAnsi="Calibri" w:cs="Calibri"/>
                <w:sz w:val="18"/>
                <w:szCs w:val="18"/>
                <w:lang w:val="en-US"/>
              </w:rPr>
            </w:pPr>
          </w:p>
        </w:tc>
        <w:tc>
          <w:tcPr>
            <w:tcW w:w="1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61694DB" w14:textId="77777777" w:rsidR="00A42C68" w:rsidRPr="007E47A5" w:rsidRDefault="00A42C68" w:rsidP="00D96F00">
            <w:pPr>
              <w:spacing w:after="0"/>
              <w:rPr>
                <w:rFonts w:ascii="Calibri" w:hAnsi="Calibri" w:cs="Calibri"/>
                <w:sz w:val="18"/>
                <w:szCs w:val="18"/>
                <w:lang w:val="en-US"/>
              </w:rPr>
            </w:pPr>
          </w:p>
        </w:tc>
        <w:tc>
          <w:tcPr>
            <w:tcW w:w="1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B596536" w14:textId="77777777" w:rsidR="00A42C68" w:rsidRPr="007E47A5" w:rsidRDefault="00A42C68" w:rsidP="00D96F00">
            <w:pPr>
              <w:spacing w:after="0"/>
              <w:rPr>
                <w:rFonts w:ascii="Calibri" w:hAnsi="Calibri" w:cs="Calibri"/>
                <w:sz w:val="18"/>
                <w:szCs w:val="18"/>
                <w:lang w:val="en-US"/>
              </w:rPr>
            </w:pPr>
          </w:p>
        </w:tc>
        <w:tc>
          <w:tcPr>
            <w:tcW w:w="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4F8C7F50" w14:textId="77777777" w:rsidR="00A42C68" w:rsidRPr="007E47A5" w:rsidRDefault="00A42C68" w:rsidP="00D96F00">
            <w:pPr>
              <w:spacing w:after="0"/>
              <w:rPr>
                <w:rFonts w:ascii="Calibri" w:hAnsi="Calibri" w:cs="Calibri"/>
                <w:sz w:val="18"/>
                <w:szCs w:val="18"/>
                <w:lang w:val="en-US"/>
              </w:rPr>
            </w:pP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tcPr>
          <w:p w14:paraId="5BFD10D4" w14:textId="77777777" w:rsidR="00A42C68" w:rsidRPr="007E47A5" w:rsidRDefault="00A42C68"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67B7D05" w14:textId="77777777" w:rsidR="00A42C68" w:rsidRPr="007E47A5" w:rsidRDefault="00A42C68" w:rsidP="00D96F00">
            <w:pPr>
              <w:spacing w:after="0"/>
              <w:rPr>
                <w:rFonts w:ascii="Calibri" w:hAnsi="Calibri" w:cs="Calibri"/>
                <w:sz w:val="18"/>
                <w:szCs w:val="18"/>
                <w:lang w:val="en-US"/>
              </w:rPr>
            </w:pPr>
          </w:p>
        </w:tc>
        <w:tc>
          <w:tcPr>
            <w:tcW w:w="1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A77E0CA" w14:textId="77777777" w:rsidR="00A42C68" w:rsidRPr="007E47A5" w:rsidRDefault="00A42C68" w:rsidP="00D96F00">
            <w:pPr>
              <w:spacing w:after="0"/>
              <w:rPr>
                <w:rFonts w:ascii="Calibri" w:hAnsi="Calibri" w:cs="Calibri"/>
                <w:sz w:val="18"/>
                <w:szCs w:val="18"/>
                <w:lang w:val="en-US"/>
              </w:rPr>
            </w:pPr>
          </w:p>
        </w:tc>
        <w:tc>
          <w:tcPr>
            <w:tcW w:w="1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3F7732A" w14:textId="77777777" w:rsidR="00A42C68" w:rsidRPr="007E47A5" w:rsidRDefault="00A42C68" w:rsidP="00D96F00">
            <w:pPr>
              <w:spacing w:after="0"/>
              <w:jc w:val="center"/>
              <w:rPr>
                <w:rFonts w:ascii="Calibri" w:hAnsi="Calibri" w:cs="Calibri"/>
                <w:sz w:val="18"/>
                <w:szCs w:val="18"/>
                <w:lang w:val="en-US"/>
              </w:rPr>
            </w:pPr>
          </w:p>
        </w:tc>
        <w:tc>
          <w:tcPr>
            <w:tcW w:w="1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709B433" w14:textId="77777777" w:rsidR="00A42C68" w:rsidRPr="007E47A5" w:rsidRDefault="00A42C68" w:rsidP="00D96F00">
            <w:pPr>
              <w:spacing w:after="0"/>
              <w:jc w:val="center"/>
              <w:rPr>
                <w:rFonts w:ascii="Calibri" w:hAnsi="Calibri" w:cs="Calibri"/>
                <w:sz w:val="18"/>
                <w:szCs w:val="18"/>
                <w:lang w:val="en-US"/>
              </w:rPr>
            </w:pPr>
          </w:p>
        </w:tc>
        <w:tc>
          <w:tcPr>
            <w:tcW w:w="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A52ED3B" w14:textId="77777777" w:rsidR="00A42C68" w:rsidRPr="007E47A5" w:rsidRDefault="00A42C68"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3A63CF12" w14:textId="77777777" w:rsidR="00A42C68" w:rsidRPr="007E47A5" w:rsidRDefault="00A42C68" w:rsidP="00D96F00">
            <w:pPr>
              <w:spacing w:after="0"/>
              <w:jc w:val="center"/>
              <w:rPr>
                <w:rFonts w:ascii="Calibri" w:hAnsi="Calibri" w:cs="Calibri"/>
                <w:sz w:val="18"/>
                <w:szCs w:val="18"/>
                <w:lang w:val="en-US"/>
              </w:rPr>
            </w:pPr>
          </w:p>
        </w:tc>
        <w:tc>
          <w:tcPr>
            <w:tcW w:w="1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220BA8D4" w14:textId="77777777" w:rsidR="00A42C68" w:rsidRPr="007E47A5" w:rsidRDefault="00A42C68" w:rsidP="00D96F00">
            <w:pPr>
              <w:spacing w:after="0"/>
              <w:rPr>
                <w:rFonts w:ascii="Calibri" w:hAnsi="Calibri" w:cs="Calibri"/>
                <w:sz w:val="18"/>
                <w:szCs w:val="18"/>
                <w:lang w:val="en-US"/>
              </w:rPr>
            </w:pPr>
          </w:p>
        </w:tc>
        <w:tc>
          <w:tcPr>
            <w:tcW w:w="1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345884D7" w14:textId="77777777" w:rsidR="00A42C68" w:rsidRPr="007E47A5" w:rsidRDefault="00A42C68" w:rsidP="00D96F00">
            <w:pPr>
              <w:spacing w:after="0"/>
              <w:rPr>
                <w:rFonts w:ascii="Calibri" w:hAnsi="Calibri" w:cs="Calibri"/>
                <w:sz w:val="18"/>
                <w:szCs w:val="18"/>
                <w:lang w:val="en-US"/>
              </w:rPr>
            </w:pPr>
          </w:p>
        </w:tc>
        <w:tc>
          <w:tcPr>
            <w:tcW w:w="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2ECEBF2" w14:textId="77777777" w:rsidR="00A42C68" w:rsidRPr="007E47A5" w:rsidRDefault="00A42C68" w:rsidP="00D96F00">
            <w:pPr>
              <w:spacing w:after="0"/>
              <w:rPr>
                <w:rFonts w:ascii="Calibri" w:hAnsi="Calibri" w:cs="Calibri"/>
                <w:sz w:val="18"/>
                <w:szCs w:val="18"/>
                <w:lang w:val="en-US"/>
              </w:rPr>
            </w:pPr>
          </w:p>
        </w:tc>
        <w:tc>
          <w:tcPr>
            <w:tcW w:w="1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6247377" w14:textId="77777777" w:rsidR="00A42C68" w:rsidRPr="007E47A5" w:rsidRDefault="00A42C68"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0F6E59D3" w14:textId="77777777" w:rsidR="00A42C68" w:rsidRPr="007E47A5" w:rsidRDefault="00A42C68" w:rsidP="00D96F00">
            <w:pPr>
              <w:spacing w:after="0"/>
              <w:rPr>
                <w:rFonts w:ascii="Calibri" w:hAnsi="Calibri" w:cs="Calibri"/>
                <w:sz w:val="18"/>
                <w:szCs w:val="18"/>
                <w:lang w:val="en-US"/>
              </w:rPr>
            </w:pPr>
          </w:p>
        </w:tc>
      </w:tr>
      <w:tr w:rsidR="00A42C68" w:rsidRPr="007E47A5" w14:paraId="14759AE9" w14:textId="77777777" w:rsidTr="00A42C68">
        <w:trPr>
          <w:trHeight w:val="32"/>
          <w:jc w:val="center"/>
        </w:trPr>
        <w:tc>
          <w:tcPr>
            <w:tcW w:w="1171" w:type="pct"/>
            <w:vMerge/>
            <w:tcBorders>
              <w:left w:val="single" w:sz="4" w:space="0" w:color="auto"/>
              <w:bottom w:val="single" w:sz="4" w:space="0" w:color="A6A6A6" w:themeColor="background1" w:themeShade="A6"/>
              <w:right w:val="single" w:sz="4" w:space="0" w:color="A6A6A6" w:themeColor="background1" w:themeShade="A6"/>
            </w:tcBorders>
            <w:shd w:val="clear" w:color="auto" w:fill="auto"/>
            <w:vAlign w:val="center"/>
          </w:tcPr>
          <w:p w14:paraId="0C769A3B" w14:textId="77777777" w:rsidR="00A42C68" w:rsidRPr="00285390" w:rsidRDefault="00A42C68" w:rsidP="00A42C68">
            <w:pPr>
              <w:spacing w:after="0"/>
              <w:jc w:val="left"/>
              <w:rPr>
                <w:rFonts w:ascii="Calibri" w:hAnsi="Calibri" w:cs="Calibri"/>
                <w:sz w:val="19"/>
                <w:szCs w:val="19"/>
                <w:lang w:val="en-US"/>
              </w:rPr>
            </w:pPr>
          </w:p>
        </w:tc>
        <w:tc>
          <w:tcPr>
            <w:tcW w:w="14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3D077D82" w14:textId="77777777" w:rsidR="00A42C68" w:rsidRPr="00D96F00" w:rsidRDefault="00A42C68" w:rsidP="00D96F00">
            <w:pPr>
              <w:spacing w:after="0"/>
              <w:rPr>
                <w:rFonts w:ascii="Calibri" w:hAnsi="Calibri" w:cs="Calibri"/>
                <w:sz w:val="18"/>
                <w:szCs w:val="18"/>
              </w:rPr>
            </w:pPr>
            <w:r w:rsidRPr="00D96F00">
              <w:rPr>
                <w:rFonts w:ascii="Calibri" w:hAnsi="Calibri" w:cs="Calibri"/>
                <w:sz w:val="18"/>
                <w:szCs w:val="18"/>
              </w:rPr>
              <w:t>Reporting</w:t>
            </w: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6366C748" w14:textId="77777777" w:rsidR="00A42C68" w:rsidRPr="007E47A5" w:rsidRDefault="00A42C68" w:rsidP="00D96F00">
            <w:pPr>
              <w:spacing w:after="0"/>
              <w:rPr>
                <w:rFonts w:ascii="Calibri" w:hAnsi="Calibri" w:cs="Calibri"/>
                <w:sz w:val="18"/>
                <w:szCs w:val="18"/>
                <w:lang w:val="en-US"/>
              </w:rPr>
            </w:pPr>
          </w:p>
        </w:tc>
        <w:tc>
          <w:tcPr>
            <w:tcW w:w="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F7F3F0" w14:textId="77777777" w:rsidR="00A42C68" w:rsidRPr="007E47A5" w:rsidRDefault="00A42C68" w:rsidP="00D96F00">
            <w:pPr>
              <w:spacing w:after="0"/>
              <w:rPr>
                <w:rFonts w:ascii="Calibri" w:hAnsi="Calibri" w:cs="Calibri"/>
                <w:sz w:val="18"/>
                <w:szCs w:val="18"/>
                <w:lang w:val="en-US"/>
              </w:rPr>
            </w:pPr>
          </w:p>
        </w:tc>
        <w:tc>
          <w:tcPr>
            <w:tcW w:w="1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B5635C6" w14:textId="77777777" w:rsidR="00A42C68" w:rsidRPr="007E47A5" w:rsidRDefault="00A42C68" w:rsidP="00D96F00">
            <w:pPr>
              <w:spacing w:after="0"/>
              <w:rPr>
                <w:rFonts w:ascii="Calibri" w:hAnsi="Calibri" w:cs="Calibri"/>
                <w:sz w:val="18"/>
                <w:szCs w:val="18"/>
                <w:lang w:val="en-US"/>
              </w:rPr>
            </w:pPr>
          </w:p>
        </w:tc>
        <w:tc>
          <w:tcPr>
            <w:tcW w:w="1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559C2E0" w14:textId="77777777" w:rsidR="00A42C68" w:rsidRPr="007E47A5" w:rsidRDefault="00A42C68" w:rsidP="00D96F00">
            <w:pPr>
              <w:spacing w:after="0"/>
              <w:rPr>
                <w:rFonts w:ascii="Calibri" w:hAnsi="Calibri" w:cs="Calibri"/>
                <w:sz w:val="18"/>
                <w:szCs w:val="18"/>
                <w:lang w:val="en-US"/>
              </w:rPr>
            </w:pPr>
          </w:p>
        </w:tc>
        <w:tc>
          <w:tcPr>
            <w:tcW w:w="1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F95CBF7" w14:textId="77777777" w:rsidR="00A42C68" w:rsidRPr="007E47A5" w:rsidRDefault="00A42C68" w:rsidP="00D96F00">
            <w:pPr>
              <w:spacing w:after="0"/>
              <w:rPr>
                <w:rFonts w:ascii="Calibri" w:hAnsi="Calibri" w:cs="Calibri"/>
                <w:sz w:val="18"/>
                <w:szCs w:val="18"/>
                <w:lang w:val="en-US"/>
              </w:rPr>
            </w:pPr>
          </w:p>
        </w:tc>
        <w:tc>
          <w:tcPr>
            <w:tcW w:w="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20BE8C3D" w14:textId="77777777" w:rsidR="00A42C68" w:rsidRPr="007E47A5" w:rsidRDefault="00A42C68" w:rsidP="00D96F00">
            <w:pPr>
              <w:spacing w:after="0"/>
              <w:rPr>
                <w:rFonts w:ascii="Calibri" w:hAnsi="Calibri" w:cs="Calibri"/>
                <w:sz w:val="18"/>
                <w:szCs w:val="18"/>
                <w:lang w:val="en-US"/>
              </w:rPr>
            </w:pP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tcPr>
          <w:p w14:paraId="4916BAE7" w14:textId="77777777" w:rsidR="00A42C68" w:rsidRPr="007E47A5" w:rsidRDefault="00A42C68"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80D1959" w14:textId="77777777" w:rsidR="00A42C68" w:rsidRPr="007E47A5" w:rsidRDefault="00A42C68" w:rsidP="00D96F00">
            <w:pPr>
              <w:spacing w:after="0"/>
              <w:rPr>
                <w:rFonts w:ascii="Calibri" w:hAnsi="Calibri" w:cs="Calibri"/>
                <w:sz w:val="18"/>
                <w:szCs w:val="18"/>
                <w:lang w:val="en-US"/>
              </w:rPr>
            </w:pPr>
          </w:p>
        </w:tc>
        <w:tc>
          <w:tcPr>
            <w:tcW w:w="1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9920E3F" w14:textId="77777777" w:rsidR="00A42C68" w:rsidRPr="007E47A5" w:rsidRDefault="00A42C68" w:rsidP="00D96F00">
            <w:pPr>
              <w:spacing w:after="0"/>
              <w:rPr>
                <w:rFonts w:ascii="Calibri" w:hAnsi="Calibri" w:cs="Calibri"/>
                <w:sz w:val="18"/>
                <w:szCs w:val="18"/>
                <w:lang w:val="en-US"/>
              </w:rPr>
            </w:pPr>
          </w:p>
        </w:tc>
        <w:tc>
          <w:tcPr>
            <w:tcW w:w="1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3397973" w14:textId="77777777" w:rsidR="00A42C68" w:rsidRPr="007E47A5" w:rsidRDefault="00A42C68" w:rsidP="00D96F00">
            <w:pPr>
              <w:spacing w:after="0"/>
              <w:jc w:val="center"/>
              <w:rPr>
                <w:rFonts w:ascii="Calibri" w:hAnsi="Calibri" w:cs="Calibri"/>
                <w:sz w:val="18"/>
                <w:szCs w:val="18"/>
                <w:lang w:val="en-US"/>
              </w:rPr>
            </w:pPr>
          </w:p>
        </w:tc>
        <w:tc>
          <w:tcPr>
            <w:tcW w:w="1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EF526A3" w14:textId="77777777" w:rsidR="00A42C68" w:rsidRPr="007E47A5" w:rsidRDefault="00A42C68" w:rsidP="00D96F00">
            <w:pPr>
              <w:spacing w:after="0"/>
              <w:jc w:val="center"/>
              <w:rPr>
                <w:rFonts w:ascii="Calibri" w:hAnsi="Calibri" w:cs="Calibri"/>
                <w:sz w:val="18"/>
                <w:szCs w:val="18"/>
                <w:lang w:val="en-US"/>
              </w:rPr>
            </w:pPr>
          </w:p>
        </w:tc>
        <w:tc>
          <w:tcPr>
            <w:tcW w:w="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DD830C8" w14:textId="77777777" w:rsidR="00A42C68" w:rsidRPr="007E47A5" w:rsidRDefault="00A42C68"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9D41BFC" w14:textId="77777777" w:rsidR="00A42C68" w:rsidRPr="007E47A5" w:rsidRDefault="00A42C68" w:rsidP="00D96F00">
            <w:pPr>
              <w:spacing w:after="0"/>
              <w:jc w:val="center"/>
              <w:rPr>
                <w:rFonts w:ascii="Calibri" w:hAnsi="Calibri" w:cs="Calibri"/>
                <w:sz w:val="18"/>
                <w:szCs w:val="18"/>
                <w:lang w:val="en-US"/>
              </w:rPr>
            </w:pPr>
          </w:p>
        </w:tc>
        <w:tc>
          <w:tcPr>
            <w:tcW w:w="1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9425649" w14:textId="77777777" w:rsidR="00A42C68" w:rsidRPr="007E47A5" w:rsidRDefault="00A42C68" w:rsidP="00D96F00">
            <w:pPr>
              <w:spacing w:after="0"/>
              <w:rPr>
                <w:rFonts w:ascii="Calibri" w:hAnsi="Calibri" w:cs="Calibri"/>
                <w:sz w:val="18"/>
                <w:szCs w:val="18"/>
                <w:lang w:val="en-US"/>
              </w:rPr>
            </w:pPr>
          </w:p>
        </w:tc>
        <w:tc>
          <w:tcPr>
            <w:tcW w:w="1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0F4E9C9" w14:textId="77777777" w:rsidR="00A42C68" w:rsidRPr="007E47A5" w:rsidRDefault="00A42C68" w:rsidP="00D96F00">
            <w:pPr>
              <w:spacing w:after="0"/>
              <w:rPr>
                <w:rFonts w:ascii="Calibri" w:hAnsi="Calibri" w:cs="Calibri"/>
                <w:sz w:val="18"/>
                <w:szCs w:val="18"/>
                <w:lang w:val="en-US"/>
              </w:rPr>
            </w:pPr>
          </w:p>
        </w:tc>
        <w:tc>
          <w:tcPr>
            <w:tcW w:w="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7EB9B7DB" w14:textId="77777777" w:rsidR="00A42C68" w:rsidRPr="007E47A5" w:rsidRDefault="00A42C68" w:rsidP="00D96F00">
            <w:pPr>
              <w:spacing w:after="0"/>
              <w:rPr>
                <w:rFonts w:ascii="Calibri" w:hAnsi="Calibri" w:cs="Calibri"/>
                <w:sz w:val="18"/>
                <w:szCs w:val="18"/>
                <w:lang w:val="en-US"/>
              </w:rPr>
            </w:pPr>
          </w:p>
        </w:tc>
        <w:tc>
          <w:tcPr>
            <w:tcW w:w="1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35CF45DE" w14:textId="77777777" w:rsidR="00A42C68" w:rsidRPr="007E47A5" w:rsidRDefault="00A42C68"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noWrap/>
            <w:vAlign w:val="bottom"/>
          </w:tcPr>
          <w:p w14:paraId="6BB8327B" w14:textId="77777777" w:rsidR="00A42C68" w:rsidRPr="007E47A5" w:rsidRDefault="00A42C68" w:rsidP="00D96F00">
            <w:pPr>
              <w:spacing w:after="0"/>
              <w:rPr>
                <w:rFonts w:ascii="Calibri" w:hAnsi="Calibri" w:cs="Calibri"/>
                <w:sz w:val="18"/>
                <w:szCs w:val="18"/>
                <w:lang w:val="en-US"/>
              </w:rPr>
            </w:pPr>
          </w:p>
        </w:tc>
      </w:tr>
      <w:tr w:rsidR="00A42C68" w:rsidRPr="007E47A5" w14:paraId="14C7351F" w14:textId="77777777" w:rsidTr="00A42C68">
        <w:trPr>
          <w:trHeight w:val="32"/>
          <w:jc w:val="center"/>
        </w:trPr>
        <w:tc>
          <w:tcPr>
            <w:tcW w:w="1171" w:type="pct"/>
            <w:vMerge w:val="restart"/>
            <w:tcBorders>
              <w:top w:val="single" w:sz="4" w:space="0" w:color="A6A6A6" w:themeColor="background1" w:themeShade="A6"/>
              <w:left w:val="single" w:sz="4" w:space="0" w:color="auto"/>
              <w:right w:val="single" w:sz="4" w:space="0" w:color="A6A6A6" w:themeColor="background1" w:themeShade="A6"/>
            </w:tcBorders>
            <w:shd w:val="clear" w:color="auto" w:fill="auto"/>
            <w:vAlign w:val="center"/>
          </w:tcPr>
          <w:p w14:paraId="7EC4AACB" w14:textId="77777777" w:rsidR="00A42C68" w:rsidRPr="00404A41" w:rsidRDefault="00A42C68" w:rsidP="00A42C68">
            <w:pPr>
              <w:spacing w:after="0"/>
              <w:jc w:val="left"/>
              <w:rPr>
                <w:rFonts w:ascii="Calibri" w:hAnsi="Calibri" w:cs="Calibri"/>
                <w:sz w:val="20"/>
                <w:lang w:val="en-US"/>
              </w:rPr>
            </w:pPr>
            <w:r>
              <w:rPr>
                <w:rFonts w:ascii="Calibri" w:hAnsi="Calibri" w:cs="Calibri"/>
                <w:sz w:val="20"/>
                <w:lang w:val="en-US"/>
              </w:rPr>
              <w:t>Littoral Vegetation D</w:t>
            </w:r>
            <w:r w:rsidRPr="00404A41">
              <w:rPr>
                <w:rFonts w:ascii="Calibri" w:hAnsi="Calibri" w:cs="Calibri"/>
                <w:sz w:val="20"/>
                <w:lang w:val="en-US"/>
              </w:rPr>
              <w:t xml:space="preserve">iversity </w:t>
            </w:r>
          </w:p>
          <w:p w14:paraId="59D918E4" w14:textId="77777777" w:rsidR="00A42C68" w:rsidRPr="00285390" w:rsidRDefault="00A42C68" w:rsidP="00A42C68">
            <w:pPr>
              <w:spacing w:after="0"/>
              <w:jc w:val="left"/>
              <w:rPr>
                <w:rFonts w:ascii="Calibri" w:hAnsi="Calibri" w:cs="Calibri"/>
                <w:sz w:val="19"/>
                <w:szCs w:val="19"/>
                <w:lang w:val="en-US"/>
              </w:rPr>
            </w:pPr>
            <w:r>
              <w:rPr>
                <w:rFonts w:ascii="Calibri" w:hAnsi="Calibri" w:cs="Calibri"/>
                <w:sz w:val="20"/>
                <w:lang w:val="en-US"/>
              </w:rPr>
              <w:t>and P</w:t>
            </w:r>
            <w:r w:rsidRPr="00404A41">
              <w:rPr>
                <w:rFonts w:ascii="Calibri" w:hAnsi="Calibri" w:cs="Calibri"/>
                <w:sz w:val="20"/>
                <w:lang w:val="en-US"/>
              </w:rPr>
              <w:t>roductivity</w:t>
            </w:r>
          </w:p>
        </w:tc>
        <w:tc>
          <w:tcPr>
            <w:tcW w:w="14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tcPr>
          <w:p w14:paraId="789CD970" w14:textId="77777777" w:rsidR="00A42C68" w:rsidRPr="00D96F00" w:rsidRDefault="00A42C68" w:rsidP="00D96F00">
            <w:pPr>
              <w:spacing w:after="0"/>
              <w:rPr>
                <w:rFonts w:ascii="Calibri" w:hAnsi="Calibri" w:cs="Calibri"/>
                <w:sz w:val="18"/>
                <w:szCs w:val="18"/>
              </w:rPr>
            </w:pPr>
            <w:r w:rsidRPr="00D96F00">
              <w:rPr>
                <w:sz w:val="18"/>
                <w:szCs w:val="18"/>
              </w:rPr>
              <w:t>Field sampling</w:t>
            </w: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344E8C22" w14:textId="77777777" w:rsidR="00A42C68" w:rsidRPr="007E47A5" w:rsidRDefault="00A42C68" w:rsidP="00D96F00">
            <w:pPr>
              <w:spacing w:after="0"/>
              <w:rPr>
                <w:rFonts w:ascii="Calibri" w:hAnsi="Calibri" w:cs="Calibri"/>
                <w:sz w:val="18"/>
                <w:szCs w:val="18"/>
                <w:lang w:val="en-US"/>
              </w:rPr>
            </w:pPr>
          </w:p>
        </w:tc>
        <w:tc>
          <w:tcPr>
            <w:tcW w:w="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62C44D" w14:textId="77777777" w:rsidR="00A42C68" w:rsidRPr="007E47A5" w:rsidRDefault="00A42C68" w:rsidP="00D96F00">
            <w:pPr>
              <w:spacing w:after="0"/>
              <w:rPr>
                <w:rFonts w:ascii="Calibri" w:hAnsi="Calibri" w:cs="Calibri"/>
                <w:sz w:val="18"/>
                <w:szCs w:val="18"/>
                <w:lang w:val="en-US"/>
              </w:rPr>
            </w:pPr>
          </w:p>
        </w:tc>
        <w:tc>
          <w:tcPr>
            <w:tcW w:w="1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C11908C" w14:textId="77777777" w:rsidR="00A42C68" w:rsidRPr="007E47A5" w:rsidRDefault="00A42C68" w:rsidP="00D96F00">
            <w:pPr>
              <w:spacing w:after="0"/>
              <w:rPr>
                <w:rFonts w:ascii="Calibri" w:hAnsi="Calibri" w:cs="Calibri"/>
                <w:sz w:val="18"/>
                <w:szCs w:val="18"/>
                <w:lang w:val="en-US"/>
              </w:rPr>
            </w:pPr>
          </w:p>
        </w:tc>
        <w:tc>
          <w:tcPr>
            <w:tcW w:w="1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68E304C7" w14:textId="77777777" w:rsidR="00A42C68" w:rsidRPr="007E47A5" w:rsidRDefault="00A42C68" w:rsidP="00D96F00">
            <w:pPr>
              <w:spacing w:after="0"/>
              <w:rPr>
                <w:rFonts w:ascii="Calibri" w:hAnsi="Calibri" w:cs="Calibri"/>
                <w:sz w:val="18"/>
                <w:szCs w:val="18"/>
                <w:lang w:val="en-US"/>
              </w:rPr>
            </w:pPr>
          </w:p>
        </w:tc>
        <w:tc>
          <w:tcPr>
            <w:tcW w:w="1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683B2FCA" w14:textId="77777777" w:rsidR="00A42C68" w:rsidRPr="007E47A5" w:rsidRDefault="00A42C68" w:rsidP="00D96F00">
            <w:pPr>
              <w:spacing w:after="0"/>
              <w:rPr>
                <w:rFonts w:ascii="Calibri" w:hAnsi="Calibri" w:cs="Calibri"/>
                <w:sz w:val="18"/>
                <w:szCs w:val="18"/>
                <w:lang w:val="en-US"/>
              </w:rPr>
            </w:pPr>
          </w:p>
        </w:tc>
        <w:tc>
          <w:tcPr>
            <w:tcW w:w="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noWrap/>
            <w:vAlign w:val="bottom"/>
          </w:tcPr>
          <w:p w14:paraId="41A54EFF" w14:textId="77777777" w:rsidR="00A42C68" w:rsidRPr="007E47A5" w:rsidRDefault="00A42C68" w:rsidP="00D96F00">
            <w:pPr>
              <w:spacing w:after="0"/>
              <w:rPr>
                <w:rFonts w:ascii="Calibri" w:hAnsi="Calibri" w:cs="Calibri"/>
                <w:sz w:val="18"/>
                <w:szCs w:val="18"/>
                <w:lang w:val="en-US"/>
              </w:rPr>
            </w:pP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7DD454B7" w14:textId="77777777" w:rsidR="00A42C68" w:rsidRPr="007E47A5" w:rsidRDefault="00A42C68"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55C2E6A4" w14:textId="77777777" w:rsidR="00A42C68" w:rsidRPr="007E47A5" w:rsidRDefault="00A42C68" w:rsidP="00D96F00">
            <w:pPr>
              <w:spacing w:after="0"/>
              <w:rPr>
                <w:rFonts w:ascii="Calibri" w:hAnsi="Calibri" w:cs="Calibri"/>
                <w:sz w:val="18"/>
                <w:szCs w:val="18"/>
                <w:lang w:val="en-US"/>
              </w:rPr>
            </w:pPr>
          </w:p>
        </w:tc>
        <w:tc>
          <w:tcPr>
            <w:tcW w:w="1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1170CA7" w14:textId="77777777" w:rsidR="00A42C68" w:rsidRPr="007E47A5" w:rsidRDefault="00A42C68" w:rsidP="00D96F00">
            <w:pPr>
              <w:spacing w:after="0"/>
              <w:rPr>
                <w:rFonts w:ascii="Calibri" w:hAnsi="Calibri" w:cs="Calibri"/>
                <w:sz w:val="18"/>
                <w:szCs w:val="18"/>
                <w:lang w:val="en-US"/>
              </w:rPr>
            </w:pPr>
          </w:p>
        </w:tc>
        <w:tc>
          <w:tcPr>
            <w:tcW w:w="1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C4D2BCC" w14:textId="77777777" w:rsidR="00A42C68" w:rsidRPr="007E47A5" w:rsidRDefault="00A42C68" w:rsidP="00D96F00">
            <w:pPr>
              <w:spacing w:after="0"/>
              <w:jc w:val="center"/>
              <w:rPr>
                <w:rFonts w:ascii="Calibri" w:hAnsi="Calibri" w:cs="Calibri"/>
                <w:sz w:val="18"/>
                <w:szCs w:val="18"/>
                <w:lang w:val="en-US"/>
              </w:rPr>
            </w:pPr>
          </w:p>
        </w:tc>
        <w:tc>
          <w:tcPr>
            <w:tcW w:w="1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79615BE" w14:textId="77777777" w:rsidR="00A42C68" w:rsidRPr="007E47A5" w:rsidRDefault="00A42C68" w:rsidP="00D96F00">
            <w:pPr>
              <w:spacing w:after="0"/>
              <w:jc w:val="center"/>
              <w:rPr>
                <w:rFonts w:ascii="Calibri" w:hAnsi="Calibri" w:cs="Calibri"/>
                <w:sz w:val="18"/>
                <w:szCs w:val="18"/>
                <w:lang w:val="en-US"/>
              </w:rPr>
            </w:pPr>
          </w:p>
        </w:tc>
        <w:tc>
          <w:tcPr>
            <w:tcW w:w="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3CCCB53" w14:textId="77777777" w:rsidR="00A42C68" w:rsidRPr="007E47A5" w:rsidRDefault="00A42C68"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2A11CED" w14:textId="77777777" w:rsidR="00A42C68" w:rsidRPr="007E47A5" w:rsidRDefault="00A42C68" w:rsidP="00D96F00">
            <w:pPr>
              <w:spacing w:after="0"/>
              <w:jc w:val="center"/>
              <w:rPr>
                <w:rFonts w:ascii="Calibri" w:hAnsi="Calibri" w:cs="Calibri"/>
                <w:sz w:val="18"/>
                <w:szCs w:val="18"/>
                <w:lang w:val="en-US"/>
              </w:rPr>
            </w:pPr>
          </w:p>
        </w:tc>
        <w:tc>
          <w:tcPr>
            <w:tcW w:w="1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9DF679F" w14:textId="77777777" w:rsidR="00A42C68" w:rsidRPr="007E47A5" w:rsidRDefault="00A42C68" w:rsidP="00D96F00">
            <w:pPr>
              <w:spacing w:after="0"/>
              <w:rPr>
                <w:rFonts w:ascii="Calibri" w:hAnsi="Calibri" w:cs="Calibri"/>
                <w:sz w:val="18"/>
                <w:szCs w:val="18"/>
                <w:lang w:val="en-US"/>
              </w:rPr>
            </w:pPr>
          </w:p>
        </w:tc>
        <w:tc>
          <w:tcPr>
            <w:tcW w:w="1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A970918" w14:textId="77777777" w:rsidR="00A42C68" w:rsidRPr="007E47A5" w:rsidRDefault="00A42C68" w:rsidP="00D96F00">
            <w:pPr>
              <w:spacing w:after="0"/>
              <w:rPr>
                <w:rFonts w:ascii="Calibri" w:hAnsi="Calibri" w:cs="Calibri"/>
                <w:sz w:val="18"/>
                <w:szCs w:val="18"/>
                <w:lang w:val="en-US"/>
              </w:rPr>
            </w:pPr>
          </w:p>
        </w:tc>
        <w:tc>
          <w:tcPr>
            <w:tcW w:w="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2F449864" w14:textId="77777777" w:rsidR="00A42C68" w:rsidRPr="007E47A5" w:rsidRDefault="00A42C68" w:rsidP="00D96F00">
            <w:pPr>
              <w:spacing w:after="0"/>
              <w:rPr>
                <w:rFonts w:ascii="Calibri" w:hAnsi="Calibri" w:cs="Calibri"/>
                <w:sz w:val="18"/>
                <w:szCs w:val="18"/>
                <w:lang w:val="en-US"/>
              </w:rPr>
            </w:pPr>
          </w:p>
        </w:tc>
        <w:tc>
          <w:tcPr>
            <w:tcW w:w="1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7596F06B" w14:textId="77777777" w:rsidR="00A42C68" w:rsidRPr="007E47A5" w:rsidRDefault="00A42C68"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noWrap/>
            <w:vAlign w:val="bottom"/>
          </w:tcPr>
          <w:p w14:paraId="3A922CA3" w14:textId="77777777" w:rsidR="00A42C68" w:rsidRPr="007E47A5" w:rsidRDefault="00A42C68" w:rsidP="00D96F00">
            <w:pPr>
              <w:spacing w:after="0"/>
              <w:rPr>
                <w:rFonts w:ascii="Calibri" w:hAnsi="Calibri" w:cs="Calibri"/>
                <w:sz w:val="18"/>
                <w:szCs w:val="18"/>
                <w:lang w:val="en-US"/>
              </w:rPr>
            </w:pPr>
          </w:p>
        </w:tc>
      </w:tr>
      <w:tr w:rsidR="00A42C68" w:rsidRPr="007E47A5" w14:paraId="4CB213D4" w14:textId="77777777" w:rsidTr="00A42C68">
        <w:trPr>
          <w:trHeight w:val="32"/>
          <w:jc w:val="center"/>
        </w:trPr>
        <w:tc>
          <w:tcPr>
            <w:tcW w:w="1171" w:type="pct"/>
            <w:vMerge/>
            <w:tcBorders>
              <w:left w:val="single" w:sz="4" w:space="0" w:color="auto"/>
              <w:right w:val="single" w:sz="4" w:space="0" w:color="A6A6A6" w:themeColor="background1" w:themeShade="A6"/>
            </w:tcBorders>
            <w:shd w:val="clear" w:color="auto" w:fill="auto"/>
            <w:vAlign w:val="center"/>
          </w:tcPr>
          <w:p w14:paraId="394D99D0" w14:textId="77777777" w:rsidR="00A42C68" w:rsidRPr="00285390" w:rsidRDefault="00A42C68" w:rsidP="00A42C68">
            <w:pPr>
              <w:spacing w:after="0"/>
              <w:jc w:val="left"/>
              <w:rPr>
                <w:rFonts w:ascii="Calibri" w:hAnsi="Calibri" w:cs="Calibri"/>
                <w:sz w:val="19"/>
                <w:szCs w:val="19"/>
                <w:lang w:val="en-US"/>
              </w:rPr>
            </w:pPr>
          </w:p>
        </w:tc>
        <w:tc>
          <w:tcPr>
            <w:tcW w:w="14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tcPr>
          <w:p w14:paraId="71129933" w14:textId="77777777" w:rsidR="00A42C68" w:rsidRPr="00D96F00" w:rsidRDefault="00A42C68" w:rsidP="00D96F00">
            <w:pPr>
              <w:spacing w:after="0"/>
              <w:rPr>
                <w:rFonts w:ascii="Calibri" w:hAnsi="Calibri" w:cs="Calibri"/>
                <w:sz w:val="18"/>
                <w:szCs w:val="18"/>
              </w:rPr>
            </w:pPr>
            <w:r w:rsidRPr="00D96F00">
              <w:rPr>
                <w:sz w:val="18"/>
                <w:szCs w:val="18"/>
              </w:rPr>
              <w:t>Lab sample processing</w:t>
            </w: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718C3528" w14:textId="77777777" w:rsidR="00A42C68" w:rsidRPr="007E47A5" w:rsidRDefault="00A42C68" w:rsidP="00D96F00">
            <w:pPr>
              <w:spacing w:after="0"/>
              <w:rPr>
                <w:rFonts w:ascii="Calibri" w:hAnsi="Calibri" w:cs="Calibri"/>
                <w:sz w:val="18"/>
                <w:szCs w:val="18"/>
                <w:lang w:val="en-US"/>
              </w:rPr>
            </w:pPr>
          </w:p>
        </w:tc>
        <w:tc>
          <w:tcPr>
            <w:tcW w:w="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E034A5" w14:textId="77777777" w:rsidR="00A42C68" w:rsidRPr="007E47A5" w:rsidRDefault="00A42C68" w:rsidP="00D96F00">
            <w:pPr>
              <w:spacing w:after="0"/>
              <w:rPr>
                <w:rFonts w:ascii="Calibri" w:hAnsi="Calibri" w:cs="Calibri"/>
                <w:sz w:val="18"/>
                <w:szCs w:val="18"/>
                <w:lang w:val="en-US"/>
              </w:rPr>
            </w:pPr>
          </w:p>
        </w:tc>
        <w:tc>
          <w:tcPr>
            <w:tcW w:w="1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650742E" w14:textId="77777777" w:rsidR="00A42C68" w:rsidRPr="007E47A5" w:rsidRDefault="00A42C68" w:rsidP="00D96F00">
            <w:pPr>
              <w:spacing w:after="0"/>
              <w:rPr>
                <w:rFonts w:ascii="Calibri" w:hAnsi="Calibri" w:cs="Calibri"/>
                <w:sz w:val="18"/>
                <w:szCs w:val="18"/>
                <w:lang w:val="en-US"/>
              </w:rPr>
            </w:pPr>
          </w:p>
        </w:tc>
        <w:tc>
          <w:tcPr>
            <w:tcW w:w="1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7860B8A" w14:textId="77777777" w:rsidR="00A42C68" w:rsidRPr="007E47A5" w:rsidRDefault="00A42C68" w:rsidP="00D96F00">
            <w:pPr>
              <w:spacing w:after="0"/>
              <w:rPr>
                <w:rFonts w:ascii="Calibri" w:hAnsi="Calibri" w:cs="Calibri"/>
                <w:sz w:val="18"/>
                <w:szCs w:val="18"/>
                <w:lang w:val="en-US"/>
              </w:rPr>
            </w:pPr>
          </w:p>
        </w:tc>
        <w:tc>
          <w:tcPr>
            <w:tcW w:w="1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C75664E" w14:textId="77777777" w:rsidR="00A42C68" w:rsidRPr="007E47A5" w:rsidRDefault="00A42C68" w:rsidP="00D96F00">
            <w:pPr>
              <w:spacing w:after="0"/>
              <w:rPr>
                <w:rFonts w:ascii="Calibri" w:hAnsi="Calibri" w:cs="Calibri"/>
                <w:sz w:val="18"/>
                <w:szCs w:val="18"/>
                <w:lang w:val="en-US"/>
              </w:rPr>
            </w:pPr>
          </w:p>
        </w:tc>
        <w:tc>
          <w:tcPr>
            <w:tcW w:w="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noWrap/>
            <w:vAlign w:val="bottom"/>
          </w:tcPr>
          <w:p w14:paraId="7EE28883" w14:textId="77777777" w:rsidR="00A42C68" w:rsidRPr="007E47A5" w:rsidRDefault="00A42C68" w:rsidP="00D96F00">
            <w:pPr>
              <w:spacing w:after="0"/>
              <w:rPr>
                <w:rFonts w:ascii="Calibri" w:hAnsi="Calibri" w:cs="Calibri"/>
                <w:sz w:val="18"/>
                <w:szCs w:val="18"/>
                <w:lang w:val="en-US"/>
              </w:rPr>
            </w:pP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539C030C" w14:textId="77777777" w:rsidR="00A42C68" w:rsidRPr="007E47A5" w:rsidRDefault="00A42C68"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232DCE22" w14:textId="77777777" w:rsidR="00A42C68" w:rsidRPr="007E47A5" w:rsidRDefault="00A42C68" w:rsidP="00D96F00">
            <w:pPr>
              <w:spacing w:after="0"/>
              <w:rPr>
                <w:rFonts w:ascii="Calibri" w:hAnsi="Calibri" w:cs="Calibri"/>
                <w:sz w:val="18"/>
                <w:szCs w:val="18"/>
                <w:lang w:val="en-US"/>
              </w:rPr>
            </w:pPr>
          </w:p>
        </w:tc>
        <w:tc>
          <w:tcPr>
            <w:tcW w:w="1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2F49C1F9" w14:textId="77777777" w:rsidR="00A42C68" w:rsidRPr="007E47A5" w:rsidRDefault="00A42C68" w:rsidP="00D96F00">
            <w:pPr>
              <w:spacing w:after="0"/>
              <w:rPr>
                <w:rFonts w:ascii="Calibri" w:hAnsi="Calibri" w:cs="Calibri"/>
                <w:sz w:val="18"/>
                <w:szCs w:val="18"/>
                <w:lang w:val="en-US"/>
              </w:rPr>
            </w:pPr>
          </w:p>
        </w:tc>
        <w:tc>
          <w:tcPr>
            <w:tcW w:w="1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BA33C35" w14:textId="77777777" w:rsidR="00A42C68" w:rsidRPr="007E47A5" w:rsidRDefault="00A42C68" w:rsidP="00D96F00">
            <w:pPr>
              <w:spacing w:after="0"/>
              <w:jc w:val="center"/>
              <w:rPr>
                <w:rFonts w:ascii="Calibri" w:hAnsi="Calibri" w:cs="Calibri"/>
                <w:sz w:val="18"/>
                <w:szCs w:val="18"/>
                <w:lang w:val="en-US"/>
              </w:rPr>
            </w:pPr>
          </w:p>
        </w:tc>
        <w:tc>
          <w:tcPr>
            <w:tcW w:w="1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049936D" w14:textId="77777777" w:rsidR="00A42C68" w:rsidRPr="007E47A5" w:rsidRDefault="00A42C68" w:rsidP="00D96F00">
            <w:pPr>
              <w:spacing w:after="0"/>
              <w:jc w:val="center"/>
              <w:rPr>
                <w:rFonts w:ascii="Calibri" w:hAnsi="Calibri" w:cs="Calibri"/>
                <w:sz w:val="18"/>
                <w:szCs w:val="18"/>
                <w:lang w:val="en-US"/>
              </w:rPr>
            </w:pPr>
          </w:p>
        </w:tc>
        <w:tc>
          <w:tcPr>
            <w:tcW w:w="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1A96BBB" w14:textId="77777777" w:rsidR="00A42C68" w:rsidRPr="007E47A5" w:rsidRDefault="00A42C68"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B96A213" w14:textId="77777777" w:rsidR="00A42C68" w:rsidRPr="007E47A5" w:rsidRDefault="00A42C68" w:rsidP="00D96F00">
            <w:pPr>
              <w:spacing w:after="0"/>
              <w:jc w:val="center"/>
              <w:rPr>
                <w:rFonts w:ascii="Calibri" w:hAnsi="Calibri" w:cs="Calibri"/>
                <w:sz w:val="18"/>
                <w:szCs w:val="18"/>
                <w:lang w:val="en-US"/>
              </w:rPr>
            </w:pPr>
          </w:p>
        </w:tc>
        <w:tc>
          <w:tcPr>
            <w:tcW w:w="1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CD4A385" w14:textId="77777777" w:rsidR="00A42C68" w:rsidRPr="007E47A5" w:rsidRDefault="00A42C68" w:rsidP="00D96F00">
            <w:pPr>
              <w:spacing w:after="0"/>
              <w:rPr>
                <w:rFonts w:ascii="Calibri" w:hAnsi="Calibri" w:cs="Calibri"/>
                <w:sz w:val="18"/>
                <w:szCs w:val="18"/>
                <w:lang w:val="en-US"/>
              </w:rPr>
            </w:pPr>
          </w:p>
        </w:tc>
        <w:tc>
          <w:tcPr>
            <w:tcW w:w="1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491FF74" w14:textId="77777777" w:rsidR="00A42C68" w:rsidRPr="007E47A5" w:rsidRDefault="00A42C68" w:rsidP="00D96F00">
            <w:pPr>
              <w:spacing w:after="0"/>
              <w:rPr>
                <w:rFonts w:ascii="Calibri" w:hAnsi="Calibri" w:cs="Calibri"/>
                <w:sz w:val="18"/>
                <w:szCs w:val="18"/>
                <w:lang w:val="en-US"/>
              </w:rPr>
            </w:pPr>
          </w:p>
        </w:tc>
        <w:tc>
          <w:tcPr>
            <w:tcW w:w="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001F2AF" w14:textId="77777777" w:rsidR="00A42C68" w:rsidRPr="007E47A5" w:rsidRDefault="00A42C68" w:rsidP="00D96F00">
            <w:pPr>
              <w:spacing w:after="0"/>
              <w:rPr>
                <w:rFonts w:ascii="Calibri" w:hAnsi="Calibri" w:cs="Calibri"/>
                <w:sz w:val="18"/>
                <w:szCs w:val="18"/>
                <w:lang w:val="en-US"/>
              </w:rPr>
            </w:pPr>
          </w:p>
        </w:tc>
        <w:tc>
          <w:tcPr>
            <w:tcW w:w="1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5C812D7" w14:textId="77777777" w:rsidR="00A42C68" w:rsidRPr="007E47A5" w:rsidRDefault="00A42C68"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noWrap/>
            <w:vAlign w:val="bottom"/>
          </w:tcPr>
          <w:p w14:paraId="1787B832" w14:textId="77777777" w:rsidR="00A42C68" w:rsidRPr="007E47A5" w:rsidRDefault="00A42C68" w:rsidP="00D96F00">
            <w:pPr>
              <w:spacing w:after="0"/>
              <w:rPr>
                <w:rFonts w:ascii="Calibri" w:hAnsi="Calibri" w:cs="Calibri"/>
                <w:sz w:val="18"/>
                <w:szCs w:val="18"/>
                <w:lang w:val="en-US"/>
              </w:rPr>
            </w:pPr>
          </w:p>
        </w:tc>
      </w:tr>
      <w:tr w:rsidR="00A42C68" w:rsidRPr="007E47A5" w14:paraId="5871D80B" w14:textId="77777777" w:rsidTr="00A42C68">
        <w:trPr>
          <w:trHeight w:val="32"/>
          <w:jc w:val="center"/>
        </w:trPr>
        <w:tc>
          <w:tcPr>
            <w:tcW w:w="1171" w:type="pct"/>
            <w:vMerge/>
            <w:tcBorders>
              <w:left w:val="single" w:sz="4" w:space="0" w:color="auto"/>
              <w:bottom w:val="single" w:sz="4" w:space="0" w:color="A6A6A6" w:themeColor="background1" w:themeShade="A6"/>
              <w:right w:val="single" w:sz="4" w:space="0" w:color="A6A6A6" w:themeColor="background1" w:themeShade="A6"/>
            </w:tcBorders>
            <w:shd w:val="clear" w:color="auto" w:fill="auto"/>
            <w:vAlign w:val="center"/>
          </w:tcPr>
          <w:p w14:paraId="66AF98A9" w14:textId="77777777" w:rsidR="00A42C68" w:rsidRPr="00285390" w:rsidRDefault="00A42C68" w:rsidP="00A42C68">
            <w:pPr>
              <w:spacing w:after="0"/>
              <w:jc w:val="left"/>
              <w:rPr>
                <w:rFonts w:ascii="Calibri" w:hAnsi="Calibri" w:cs="Calibri"/>
                <w:sz w:val="19"/>
                <w:szCs w:val="19"/>
                <w:lang w:val="en-US"/>
              </w:rPr>
            </w:pPr>
          </w:p>
        </w:tc>
        <w:tc>
          <w:tcPr>
            <w:tcW w:w="14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tcPr>
          <w:p w14:paraId="798073C4" w14:textId="77777777" w:rsidR="00A42C68" w:rsidRPr="00D96F00" w:rsidRDefault="00A42C68" w:rsidP="00D96F00">
            <w:pPr>
              <w:spacing w:after="0"/>
              <w:rPr>
                <w:rFonts w:ascii="Calibri" w:hAnsi="Calibri" w:cs="Calibri"/>
                <w:sz w:val="18"/>
                <w:szCs w:val="18"/>
              </w:rPr>
            </w:pPr>
            <w:r w:rsidRPr="00D96F00">
              <w:rPr>
                <w:sz w:val="18"/>
                <w:szCs w:val="18"/>
              </w:rPr>
              <w:t>Data entry, analysis &amp; reporting</w:t>
            </w: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4FE62761" w14:textId="77777777" w:rsidR="00A42C68" w:rsidRPr="007E47A5" w:rsidRDefault="00A42C68" w:rsidP="00D96F00">
            <w:pPr>
              <w:spacing w:after="0"/>
              <w:rPr>
                <w:rFonts w:ascii="Calibri" w:hAnsi="Calibri" w:cs="Calibri"/>
                <w:sz w:val="18"/>
                <w:szCs w:val="18"/>
                <w:lang w:val="en-US"/>
              </w:rPr>
            </w:pPr>
          </w:p>
        </w:tc>
        <w:tc>
          <w:tcPr>
            <w:tcW w:w="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8193C5" w14:textId="77777777" w:rsidR="00A42C68" w:rsidRPr="007E47A5" w:rsidRDefault="00A42C68" w:rsidP="00D96F00">
            <w:pPr>
              <w:spacing w:after="0"/>
              <w:rPr>
                <w:rFonts w:ascii="Calibri" w:hAnsi="Calibri" w:cs="Calibri"/>
                <w:sz w:val="18"/>
                <w:szCs w:val="18"/>
                <w:lang w:val="en-US"/>
              </w:rPr>
            </w:pPr>
          </w:p>
        </w:tc>
        <w:tc>
          <w:tcPr>
            <w:tcW w:w="1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50EDD1C" w14:textId="77777777" w:rsidR="00A42C68" w:rsidRPr="007E47A5" w:rsidRDefault="00A42C68" w:rsidP="00D96F00">
            <w:pPr>
              <w:spacing w:after="0"/>
              <w:rPr>
                <w:rFonts w:ascii="Calibri" w:hAnsi="Calibri" w:cs="Calibri"/>
                <w:sz w:val="18"/>
                <w:szCs w:val="18"/>
                <w:lang w:val="en-US"/>
              </w:rPr>
            </w:pPr>
          </w:p>
        </w:tc>
        <w:tc>
          <w:tcPr>
            <w:tcW w:w="1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6454E44" w14:textId="77777777" w:rsidR="00A42C68" w:rsidRPr="007E47A5" w:rsidRDefault="00A42C68" w:rsidP="00D96F00">
            <w:pPr>
              <w:spacing w:after="0"/>
              <w:rPr>
                <w:rFonts w:ascii="Calibri" w:hAnsi="Calibri" w:cs="Calibri"/>
                <w:sz w:val="18"/>
                <w:szCs w:val="18"/>
                <w:lang w:val="en-US"/>
              </w:rPr>
            </w:pPr>
          </w:p>
        </w:tc>
        <w:tc>
          <w:tcPr>
            <w:tcW w:w="1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BD87168" w14:textId="77777777" w:rsidR="00A42C68" w:rsidRPr="007E47A5" w:rsidRDefault="00A42C68" w:rsidP="00D96F00">
            <w:pPr>
              <w:spacing w:after="0"/>
              <w:rPr>
                <w:rFonts w:ascii="Calibri" w:hAnsi="Calibri" w:cs="Calibri"/>
                <w:sz w:val="18"/>
                <w:szCs w:val="18"/>
                <w:lang w:val="en-US"/>
              </w:rPr>
            </w:pPr>
          </w:p>
        </w:tc>
        <w:tc>
          <w:tcPr>
            <w:tcW w:w="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09834913" w14:textId="77777777" w:rsidR="00A42C68" w:rsidRPr="007E47A5" w:rsidRDefault="00A42C68" w:rsidP="00D96F00">
            <w:pPr>
              <w:spacing w:after="0"/>
              <w:rPr>
                <w:rFonts w:ascii="Calibri" w:hAnsi="Calibri" w:cs="Calibri"/>
                <w:sz w:val="18"/>
                <w:szCs w:val="18"/>
                <w:lang w:val="en-US"/>
              </w:rPr>
            </w:pP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tcPr>
          <w:p w14:paraId="0C970A6A" w14:textId="77777777" w:rsidR="00A42C68" w:rsidRPr="007E47A5" w:rsidRDefault="00A42C68"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97733F1" w14:textId="77777777" w:rsidR="00A42C68" w:rsidRPr="007E47A5" w:rsidRDefault="00A42C68" w:rsidP="00D96F00">
            <w:pPr>
              <w:spacing w:after="0"/>
              <w:rPr>
                <w:rFonts w:ascii="Calibri" w:hAnsi="Calibri" w:cs="Calibri"/>
                <w:sz w:val="18"/>
                <w:szCs w:val="18"/>
                <w:lang w:val="en-US"/>
              </w:rPr>
            </w:pPr>
          </w:p>
        </w:tc>
        <w:tc>
          <w:tcPr>
            <w:tcW w:w="1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0D105735" w14:textId="77777777" w:rsidR="00A42C68" w:rsidRPr="007E47A5" w:rsidRDefault="00A42C68" w:rsidP="00D96F00">
            <w:pPr>
              <w:spacing w:after="0"/>
              <w:rPr>
                <w:rFonts w:ascii="Calibri" w:hAnsi="Calibri" w:cs="Calibri"/>
                <w:sz w:val="18"/>
                <w:szCs w:val="18"/>
                <w:lang w:val="en-US"/>
              </w:rPr>
            </w:pPr>
          </w:p>
        </w:tc>
        <w:tc>
          <w:tcPr>
            <w:tcW w:w="1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6EE37A3" w14:textId="77777777" w:rsidR="00A42C68" w:rsidRPr="007E47A5" w:rsidRDefault="00A42C68" w:rsidP="00D96F00">
            <w:pPr>
              <w:spacing w:after="0"/>
              <w:jc w:val="center"/>
              <w:rPr>
                <w:rFonts w:ascii="Calibri" w:hAnsi="Calibri" w:cs="Calibri"/>
                <w:sz w:val="18"/>
                <w:szCs w:val="18"/>
                <w:lang w:val="en-US"/>
              </w:rPr>
            </w:pPr>
          </w:p>
        </w:tc>
        <w:tc>
          <w:tcPr>
            <w:tcW w:w="1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3BD94893" w14:textId="77777777" w:rsidR="00A42C68" w:rsidRPr="007E47A5" w:rsidRDefault="00A42C68" w:rsidP="00D96F00">
            <w:pPr>
              <w:spacing w:after="0"/>
              <w:jc w:val="center"/>
              <w:rPr>
                <w:rFonts w:ascii="Calibri" w:hAnsi="Calibri" w:cs="Calibri"/>
                <w:sz w:val="18"/>
                <w:szCs w:val="18"/>
                <w:lang w:val="en-US"/>
              </w:rPr>
            </w:pPr>
          </w:p>
        </w:tc>
        <w:tc>
          <w:tcPr>
            <w:tcW w:w="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9C1F982" w14:textId="77777777" w:rsidR="00A42C68" w:rsidRPr="007E47A5" w:rsidRDefault="00A42C68"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18DBC5B" w14:textId="77777777" w:rsidR="00A42C68" w:rsidRPr="007E47A5" w:rsidRDefault="00A42C68" w:rsidP="00D96F00">
            <w:pPr>
              <w:spacing w:after="0"/>
              <w:jc w:val="center"/>
              <w:rPr>
                <w:rFonts w:ascii="Calibri" w:hAnsi="Calibri" w:cs="Calibri"/>
                <w:sz w:val="18"/>
                <w:szCs w:val="18"/>
                <w:lang w:val="en-US"/>
              </w:rPr>
            </w:pPr>
          </w:p>
        </w:tc>
        <w:tc>
          <w:tcPr>
            <w:tcW w:w="1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57FB783" w14:textId="77777777" w:rsidR="00A42C68" w:rsidRPr="007E47A5" w:rsidRDefault="00A42C68" w:rsidP="00D96F00">
            <w:pPr>
              <w:spacing w:after="0"/>
              <w:rPr>
                <w:rFonts w:ascii="Calibri" w:hAnsi="Calibri" w:cs="Calibri"/>
                <w:sz w:val="18"/>
                <w:szCs w:val="18"/>
                <w:lang w:val="en-US"/>
              </w:rPr>
            </w:pPr>
          </w:p>
        </w:tc>
        <w:tc>
          <w:tcPr>
            <w:tcW w:w="1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FB00F3B" w14:textId="77777777" w:rsidR="00A42C68" w:rsidRPr="007E47A5" w:rsidRDefault="00A42C68" w:rsidP="00D96F00">
            <w:pPr>
              <w:spacing w:after="0"/>
              <w:rPr>
                <w:rFonts w:ascii="Calibri" w:hAnsi="Calibri" w:cs="Calibri"/>
                <w:sz w:val="18"/>
                <w:szCs w:val="18"/>
                <w:lang w:val="en-US"/>
              </w:rPr>
            </w:pPr>
          </w:p>
        </w:tc>
        <w:tc>
          <w:tcPr>
            <w:tcW w:w="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04520F9" w14:textId="77777777" w:rsidR="00A42C68" w:rsidRPr="007E47A5" w:rsidRDefault="00A42C68" w:rsidP="00D96F00">
            <w:pPr>
              <w:spacing w:after="0"/>
              <w:rPr>
                <w:rFonts w:ascii="Calibri" w:hAnsi="Calibri" w:cs="Calibri"/>
                <w:sz w:val="18"/>
                <w:szCs w:val="18"/>
                <w:lang w:val="en-US"/>
              </w:rPr>
            </w:pPr>
          </w:p>
        </w:tc>
        <w:tc>
          <w:tcPr>
            <w:tcW w:w="1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70EE8CA" w14:textId="77777777" w:rsidR="00A42C68" w:rsidRPr="007E47A5" w:rsidRDefault="00A42C68"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720582A5" w14:textId="77777777" w:rsidR="00A42C68" w:rsidRPr="007E47A5" w:rsidRDefault="00A42C68" w:rsidP="00D96F00">
            <w:pPr>
              <w:spacing w:after="0"/>
              <w:rPr>
                <w:rFonts w:ascii="Calibri" w:hAnsi="Calibri" w:cs="Calibri"/>
                <w:sz w:val="18"/>
                <w:szCs w:val="18"/>
                <w:lang w:val="en-US"/>
              </w:rPr>
            </w:pPr>
          </w:p>
        </w:tc>
      </w:tr>
      <w:tr w:rsidR="00A42C68" w:rsidRPr="007E47A5" w14:paraId="539EEBE5" w14:textId="77777777" w:rsidTr="00A42C68">
        <w:trPr>
          <w:trHeight w:val="32"/>
          <w:jc w:val="center"/>
        </w:trPr>
        <w:tc>
          <w:tcPr>
            <w:tcW w:w="1171" w:type="pct"/>
            <w:vMerge w:val="restart"/>
            <w:tcBorders>
              <w:top w:val="single" w:sz="4" w:space="0" w:color="A6A6A6" w:themeColor="background1" w:themeShade="A6"/>
              <w:left w:val="single" w:sz="4" w:space="0" w:color="auto"/>
              <w:right w:val="single" w:sz="4" w:space="0" w:color="A6A6A6" w:themeColor="background1" w:themeShade="A6"/>
            </w:tcBorders>
            <w:shd w:val="clear" w:color="auto" w:fill="auto"/>
            <w:vAlign w:val="center"/>
            <w:hideMark/>
          </w:tcPr>
          <w:p w14:paraId="227A119D" w14:textId="77777777" w:rsidR="00A42C68" w:rsidRPr="007E47A5" w:rsidRDefault="00A42C68" w:rsidP="00A42C68">
            <w:pPr>
              <w:spacing w:after="0"/>
              <w:jc w:val="left"/>
              <w:rPr>
                <w:rFonts w:ascii="Calibri" w:hAnsi="Calibri" w:cs="Calibri"/>
                <w:sz w:val="18"/>
                <w:szCs w:val="18"/>
                <w:lang w:val="en-US"/>
              </w:rPr>
            </w:pPr>
            <w:r>
              <w:rPr>
                <w:rFonts w:ascii="Calibri" w:hAnsi="Calibri" w:cs="Calibri"/>
                <w:sz w:val="20"/>
              </w:rPr>
              <w:t>Micro</w:t>
            </w:r>
            <w:r w:rsidRPr="009B6CE2">
              <w:rPr>
                <w:rFonts w:ascii="Calibri" w:hAnsi="Calibri" w:cs="Calibri"/>
                <w:sz w:val="20"/>
              </w:rPr>
              <w:t xml:space="preserve">invertebrate </w:t>
            </w:r>
            <w:r>
              <w:rPr>
                <w:rFonts w:ascii="Calibri" w:hAnsi="Calibri" w:cs="Calibri"/>
                <w:sz w:val="20"/>
              </w:rPr>
              <w:t>Assemblage</w:t>
            </w:r>
          </w:p>
        </w:tc>
        <w:tc>
          <w:tcPr>
            <w:tcW w:w="14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400271ED" w14:textId="77777777" w:rsidR="00A42C68" w:rsidRPr="00D96F00" w:rsidRDefault="00A42C68" w:rsidP="00D96F00">
            <w:pPr>
              <w:spacing w:after="0"/>
              <w:rPr>
                <w:rFonts w:ascii="Calibri" w:hAnsi="Calibri" w:cs="Calibri"/>
                <w:sz w:val="18"/>
                <w:szCs w:val="18"/>
                <w:lang w:val="en-US"/>
              </w:rPr>
            </w:pPr>
            <w:r w:rsidRPr="00D96F00">
              <w:rPr>
                <w:rFonts w:ascii="Calibri" w:hAnsi="Calibri" w:cs="Calibri"/>
                <w:sz w:val="18"/>
                <w:szCs w:val="18"/>
              </w:rPr>
              <w:t>Field sampling</w:t>
            </w: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38D96C49" w14:textId="77777777" w:rsidR="00A42C68" w:rsidRPr="007E47A5" w:rsidRDefault="00A42C68" w:rsidP="00D96F00">
            <w:pPr>
              <w:spacing w:after="0"/>
              <w:rPr>
                <w:rFonts w:ascii="Calibri" w:hAnsi="Calibri" w:cs="Calibri"/>
                <w:sz w:val="18"/>
                <w:szCs w:val="18"/>
                <w:lang w:val="en-US"/>
              </w:rPr>
            </w:pPr>
          </w:p>
        </w:tc>
        <w:tc>
          <w:tcPr>
            <w:tcW w:w="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1C0889" w14:textId="77777777" w:rsidR="00A42C68" w:rsidRPr="007E47A5" w:rsidRDefault="00A42C68" w:rsidP="00D96F00">
            <w:pPr>
              <w:spacing w:after="0"/>
              <w:rPr>
                <w:rFonts w:ascii="Calibri" w:hAnsi="Calibri" w:cs="Calibri"/>
                <w:sz w:val="18"/>
                <w:szCs w:val="18"/>
                <w:lang w:val="en-US"/>
              </w:rPr>
            </w:pPr>
          </w:p>
        </w:tc>
        <w:tc>
          <w:tcPr>
            <w:tcW w:w="1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6802558" w14:textId="77777777" w:rsidR="00A42C68" w:rsidRPr="007E47A5" w:rsidRDefault="00A42C68" w:rsidP="00D96F00">
            <w:pPr>
              <w:spacing w:after="0"/>
              <w:rPr>
                <w:rFonts w:ascii="Calibri" w:hAnsi="Calibri" w:cs="Calibri"/>
                <w:sz w:val="18"/>
                <w:szCs w:val="18"/>
                <w:lang w:val="en-US"/>
              </w:rPr>
            </w:pPr>
          </w:p>
        </w:tc>
        <w:tc>
          <w:tcPr>
            <w:tcW w:w="1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6D2575EF" w14:textId="77777777" w:rsidR="00A42C68" w:rsidRPr="007E47A5" w:rsidRDefault="00A42C68" w:rsidP="00D96F00">
            <w:pPr>
              <w:spacing w:after="0"/>
              <w:jc w:val="center"/>
              <w:rPr>
                <w:rFonts w:ascii="Calibri" w:hAnsi="Calibri" w:cs="Calibri"/>
                <w:sz w:val="18"/>
                <w:szCs w:val="18"/>
                <w:lang w:val="en-US"/>
              </w:rPr>
            </w:pPr>
          </w:p>
        </w:tc>
        <w:tc>
          <w:tcPr>
            <w:tcW w:w="1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512A5147" w14:textId="77777777" w:rsidR="00A42C68" w:rsidRPr="007E47A5" w:rsidRDefault="00A42C68" w:rsidP="00D96F00">
            <w:pPr>
              <w:spacing w:after="0"/>
              <w:jc w:val="center"/>
              <w:rPr>
                <w:rFonts w:ascii="Calibri" w:hAnsi="Calibri" w:cs="Calibri"/>
                <w:sz w:val="18"/>
                <w:szCs w:val="18"/>
                <w:lang w:val="en-US"/>
              </w:rPr>
            </w:pPr>
          </w:p>
        </w:tc>
        <w:tc>
          <w:tcPr>
            <w:tcW w:w="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D9D9D9"/>
            <w:noWrap/>
            <w:vAlign w:val="bottom"/>
            <w:hideMark/>
          </w:tcPr>
          <w:p w14:paraId="5F7CE995" w14:textId="77777777" w:rsidR="00A42C68" w:rsidRPr="007E47A5" w:rsidRDefault="00A42C68" w:rsidP="00D96F00">
            <w:pPr>
              <w:spacing w:after="0"/>
              <w:jc w:val="center"/>
              <w:rPr>
                <w:rFonts w:ascii="Calibri" w:hAnsi="Calibri" w:cs="Calibri"/>
                <w:sz w:val="18"/>
                <w:szCs w:val="18"/>
                <w:lang w:val="en-US"/>
              </w:rPr>
            </w:pP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D9D9D9"/>
            <w:noWrap/>
            <w:vAlign w:val="bottom"/>
            <w:hideMark/>
          </w:tcPr>
          <w:p w14:paraId="5619DC55" w14:textId="77777777" w:rsidR="00A42C68" w:rsidRPr="007E47A5" w:rsidRDefault="00A42C68"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926959A" w14:textId="77777777" w:rsidR="00A42C68" w:rsidRPr="007E47A5" w:rsidRDefault="00A42C68" w:rsidP="00D96F00">
            <w:pPr>
              <w:spacing w:after="0"/>
              <w:rPr>
                <w:rFonts w:ascii="Calibri" w:hAnsi="Calibri" w:cs="Calibri"/>
                <w:sz w:val="18"/>
                <w:szCs w:val="18"/>
                <w:lang w:val="en-US"/>
              </w:rPr>
            </w:pPr>
          </w:p>
        </w:tc>
        <w:tc>
          <w:tcPr>
            <w:tcW w:w="1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845FDEE" w14:textId="77777777" w:rsidR="00A42C68" w:rsidRPr="007E47A5" w:rsidRDefault="00A42C68" w:rsidP="00D96F00">
            <w:pPr>
              <w:spacing w:after="0"/>
              <w:rPr>
                <w:rFonts w:ascii="Calibri" w:hAnsi="Calibri" w:cs="Calibri"/>
                <w:sz w:val="18"/>
                <w:szCs w:val="18"/>
                <w:lang w:val="en-US"/>
              </w:rPr>
            </w:pPr>
          </w:p>
        </w:tc>
        <w:tc>
          <w:tcPr>
            <w:tcW w:w="1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02B43CA" w14:textId="77777777" w:rsidR="00A42C68" w:rsidRPr="007E47A5" w:rsidRDefault="00A42C68" w:rsidP="00D96F00">
            <w:pPr>
              <w:spacing w:after="0"/>
              <w:rPr>
                <w:rFonts w:ascii="Calibri" w:hAnsi="Calibri" w:cs="Calibri"/>
                <w:sz w:val="18"/>
                <w:szCs w:val="18"/>
                <w:lang w:val="en-US"/>
              </w:rPr>
            </w:pPr>
          </w:p>
        </w:tc>
        <w:tc>
          <w:tcPr>
            <w:tcW w:w="1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6D47C4B" w14:textId="77777777" w:rsidR="00A42C68" w:rsidRPr="007E47A5" w:rsidRDefault="00A42C68" w:rsidP="00D96F00">
            <w:pPr>
              <w:spacing w:after="0"/>
              <w:rPr>
                <w:rFonts w:ascii="Calibri" w:hAnsi="Calibri" w:cs="Calibri"/>
                <w:sz w:val="18"/>
                <w:szCs w:val="18"/>
                <w:lang w:val="en-US"/>
              </w:rPr>
            </w:pPr>
          </w:p>
        </w:tc>
        <w:tc>
          <w:tcPr>
            <w:tcW w:w="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0B10FE7" w14:textId="77777777" w:rsidR="00A42C68" w:rsidRPr="007E47A5" w:rsidRDefault="00A42C68"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3BBF5C5" w14:textId="77777777" w:rsidR="00A42C68" w:rsidRPr="007E47A5" w:rsidRDefault="00A42C68" w:rsidP="00D96F00">
            <w:pPr>
              <w:spacing w:after="0"/>
              <w:rPr>
                <w:rFonts w:ascii="Calibri" w:hAnsi="Calibri" w:cs="Calibri"/>
                <w:sz w:val="18"/>
                <w:szCs w:val="18"/>
                <w:lang w:val="en-US"/>
              </w:rPr>
            </w:pPr>
          </w:p>
        </w:tc>
        <w:tc>
          <w:tcPr>
            <w:tcW w:w="1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CD07323" w14:textId="77777777" w:rsidR="00A42C68" w:rsidRPr="007E47A5" w:rsidRDefault="00A42C68" w:rsidP="00D96F00">
            <w:pPr>
              <w:spacing w:after="0"/>
              <w:rPr>
                <w:rFonts w:ascii="Calibri" w:hAnsi="Calibri" w:cs="Calibri"/>
                <w:sz w:val="18"/>
                <w:szCs w:val="18"/>
                <w:lang w:val="en-US"/>
              </w:rPr>
            </w:pPr>
          </w:p>
        </w:tc>
        <w:tc>
          <w:tcPr>
            <w:tcW w:w="1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3DDE720" w14:textId="77777777" w:rsidR="00A42C68" w:rsidRPr="007E47A5" w:rsidRDefault="00A42C68" w:rsidP="00D96F00">
            <w:pPr>
              <w:spacing w:after="0"/>
              <w:rPr>
                <w:rFonts w:ascii="Calibri" w:hAnsi="Calibri" w:cs="Calibri"/>
                <w:sz w:val="18"/>
                <w:szCs w:val="18"/>
                <w:lang w:val="en-US"/>
              </w:rPr>
            </w:pPr>
          </w:p>
        </w:tc>
        <w:tc>
          <w:tcPr>
            <w:tcW w:w="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12F86F33" w14:textId="77777777" w:rsidR="00A42C68" w:rsidRPr="007E47A5" w:rsidRDefault="00A42C68" w:rsidP="00D96F00">
            <w:pPr>
              <w:spacing w:after="0"/>
              <w:jc w:val="center"/>
              <w:rPr>
                <w:rFonts w:ascii="Calibri" w:hAnsi="Calibri" w:cs="Calibri"/>
                <w:sz w:val="18"/>
                <w:szCs w:val="18"/>
                <w:lang w:val="en-US"/>
              </w:rPr>
            </w:pPr>
          </w:p>
        </w:tc>
        <w:tc>
          <w:tcPr>
            <w:tcW w:w="1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5FCEB052" w14:textId="77777777" w:rsidR="00A42C68" w:rsidRPr="007E47A5" w:rsidRDefault="00A42C68" w:rsidP="00D96F00">
            <w:pPr>
              <w:spacing w:after="0"/>
              <w:jc w:val="center"/>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D9D9D9"/>
            <w:noWrap/>
            <w:vAlign w:val="bottom"/>
            <w:hideMark/>
          </w:tcPr>
          <w:p w14:paraId="174F2DDB" w14:textId="77777777" w:rsidR="00A42C68" w:rsidRPr="007E47A5" w:rsidRDefault="00A42C68" w:rsidP="00D96F00">
            <w:pPr>
              <w:spacing w:after="0"/>
              <w:jc w:val="center"/>
              <w:rPr>
                <w:rFonts w:ascii="Calibri" w:hAnsi="Calibri" w:cs="Calibri"/>
                <w:sz w:val="18"/>
                <w:szCs w:val="18"/>
                <w:lang w:val="en-US"/>
              </w:rPr>
            </w:pPr>
          </w:p>
        </w:tc>
      </w:tr>
      <w:tr w:rsidR="00A42C68" w:rsidRPr="007E47A5" w14:paraId="204C6829" w14:textId="77777777" w:rsidTr="00A42C68">
        <w:trPr>
          <w:trHeight w:val="32"/>
          <w:jc w:val="center"/>
        </w:trPr>
        <w:tc>
          <w:tcPr>
            <w:tcW w:w="1171" w:type="pct"/>
            <w:vMerge/>
            <w:tcBorders>
              <w:left w:val="single" w:sz="4" w:space="0" w:color="auto"/>
              <w:right w:val="single" w:sz="4" w:space="0" w:color="A6A6A6" w:themeColor="background1" w:themeShade="A6"/>
            </w:tcBorders>
            <w:shd w:val="clear" w:color="auto" w:fill="auto"/>
            <w:vAlign w:val="center"/>
            <w:hideMark/>
          </w:tcPr>
          <w:p w14:paraId="12CC9905" w14:textId="77777777" w:rsidR="00A42C68" w:rsidRPr="007E47A5" w:rsidRDefault="00A42C68" w:rsidP="00A42C68">
            <w:pPr>
              <w:spacing w:after="0"/>
              <w:jc w:val="left"/>
              <w:rPr>
                <w:rFonts w:ascii="Calibri" w:hAnsi="Calibri" w:cs="Calibri"/>
                <w:sz w:val="18"/>
                <w:szCs w:val="18"/>
                <w:lang w:val="en-US"/>
              </w:rPr>
            </w:pPr>
          </w:p>
        </w:tc>
        <w:tc>
          <w:tcPr>
            <w:tcW w:w="14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4E170CB6" w14:textId="77777777" w:rsidR="00A42C68" w:rsidRPr="00D96F00" w:rsidRDefault="00A42C68" w:rsidP="00D96F00">
            <w:pPr>
              <w:spacing w:after="0"/>
              <w:rPr>
                <w:rFonts w:ascii="Calibri" w:hAnsi="Calibri" w:cs="Calibri"/>
                <w:sz w:val="18"/>
                <w:szCs w:val="18"/>
                <w:lang w:val="en-US"/>
              </w:rPr>
            </w:pPr>
            <w:r w:rsidRPr="00D96F00">
              <w:rPr>
                <w:rFonts w:ascii="Calibri" w:hAnsi="Calibri" w:cs="Calibri"/>
                <w:sz w:val="18"/>
                <w:szCs w:val="18"/>
              </w:rPr>
              <w:t>Lab sample sorting and id</w:t>
            </w: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654F8F49" w14:textId="77777777" w:rsidR="00A42C68" w:rsidRPr="007E47A5" w:rsidRDefault="00A42C68" w:rsidP="00D96F00">
            <w:pPr>
              <w:spacing w:after="0"/>
              <w:rPr>
                <w:rFonts w:ascii="Calibri" w:hAnsi="Calibri" w:cs="Calibri"/>
                <w:sz w:val="18"/>
                <w:szCs w:val="18"/>
                <w:lang w:val="en-US"/>
              </w:rPr>
            </w:pPr>
          </w:p>
        </w:tc>
        <w:tc>
          <w:tcPr>
            <w:tcW w:w="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38D64F" w14:textId="77777777" w:rsidR="00A42C68" w:rsidRPr="007E47A5" w:rsidRDefault="00A42C68" w:rsidP="00D96F00">
            <w:pPr>
              <w:spacing w:after="0"/>
              <w:rPr>
                <w:rFonts w:ascii="Calibri" w:hAnsi="Calibri" w:cs="Calibri"/>
                <w:sz w:val="18"/>
                <w:szCs w:val="18"/>
                <w:lang w:val="en-US"/>
              </w:rPr>
            </w:pPr>
          </w:p>
        </w:tc>
        <w:tc>
          <w:tcPr>
            <w:tcW w:w="1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7827906" w14:textId="77777777" w:rsidR="00A42C68" w:rsidRPr="007E47A5" w:rsidRDefault="00A42C68" w:rsidP="00D96F00">
            <w:pPr>
              <w:spacing w:after="0"/>
              <w:rPr>
                <w:rFonts w:ascii="Calibri" w:hAnsi="Calibri" w:cs="Calibri"/>
                <w:sz w:val="18"/>
                <w:szCs w:val="18"/>
                <w:lang w:val="en-US"/>
              </w:rPr>
            </w:pPr>
          </w:p>
        </w:tc>
        <w:tc>
          <w:tcPr>
            <w:tcW w:w="1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369E3B2" w14:textId="77777777" w:rsidR="00A42C68" w:rsidRPr="007E47A5" w:rsidRDefault="00A42C68" w:rsidP="00D96F00">
            <w:pPr>
              <w:spacing w:after="0"/>
              <w:rPr>
                <w:rFonts w:ascii="Calibri" w:hAnsi="Calibri" w:cs="Calibri"/>
                <w:sz w:val="18"/>
                <w:szCs w:val="18"/>
                <w:lang w:val="en-US"/>
              </w:rPr>
            </w:pPr>
          </w:p>
        </w:tc>
        <w:tc>
          <w:tcPr>
            <w:tcW w:w="1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0512211" w14:textId="77777777" w:rsidR="00A42C68" w:rsidRPr="007E47A5" w:rsidRDefault="00A42C68" w:rsidP="00D96F00">
            <w:pPr>
              <w:spacing w:after="0"/>
              <w:rPr>
                <w:rFonts w:ascii="Calibri" w:hAnsi="Calibri" w:cs="Calibri"/>
                <w:sz w:val="18"/>
                <w:szCs w:val="18"/>
                <w:lang w:val="en-US"/>
              </w:rPr>
            </w:pPr>
          </w:p>
        </w:tc>
        <w:tc>
          <w:tcPr>
            <w:tcW w:w="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7394D06C" w14:textId="77777777" w:rsidR="00A42C68" w:rsidRPr="007E47A5" w:rsidRDefault="00A42C68" w:rsidP="00D96F00">
            <w:pPr>
              <w:spacing w:after="0"/>
              <w:rPr>
                <w:rFonts w:ascii="Calibri" w:hAnsi="Calibri" w:cs="Calibri"/>
                <w:sz w:val="18"/>
                <w:szCs w:val="18"/>
                <w:lang w:val="en-US"/>
              </w:rPr>
            </w:pP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14:paraId="2F0CAEF4" w14:textId="77777777" w:rsidR="00A42C68" w:rsidRPr="007E47A5" w:rsidRDefault="00A42C68"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14A099E4" w14:textId="77777777" w:rsidR="00A42C68" w:rsidRPr="007E47A5" w:rsidRDefault="00A42C68" w:rsidP="00D96F00">
            <w:pPr>
              <w:spacing w:after="0"/>
              <w:jc w:val="center"/>
              <w:rPr>
                <w:rFonts w:ascii="Calibri" w:hAnsi="Calibri" w:cs="Calibri"/>
                <w:sz w:val="18"/>
                <w:szCs w:val="18"/>
                <w:lang w:val="en-US"/>
              </w:rPr>
            </w:pPr>
          </w:p>
        </w:tc>
        <w:tc>
          <w:tcPr>
            <w:tcW w:w="1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703C6BBC" w14:textId="77777777" w:rsidR="00A42C68" w:rsidRPr="007E47A5" w:rsidRDefault="00A42C68" w:rsidP="00D96F00">
            <w:pPr>
              <w:spacing w:after="0"/>
              <w:jc w:val="center"/>
              <w:rPr>
                <w:rFonts w:ascii="Calibri" w:hAnsi="Calibri" w:cs="Calibri"/>
                <w:sz w:val="18"/>
                <w:szCs w:val="18"/>
                <w:lang w:val="en-US"/>
              </w:rPr>
            </w:pPr>
          </w:p>
        </w:tc>
        <w:tc>
          <w:tcPr>
            <w:tcW w:w="1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58FDF612" w14:textId="77777777" w:rsidR="00A42C68" w:rsidRPr="007E47A5" w:rsidRDefault="00A42C68" w:rsidP="00D96F00">
            <w:pPr>
              <w:spacing w:after="0"/>
              <w:jc w:val="center"/>
              <w:rPr>
                <w:rFonts w:ascii="Calibri" w:hAnsi="Calibri" w:cs="Calibri"/>
                <w:sz w:val="18"/>
                <w:szCs w:val="18"/>
                <w:lang w:val="en-US"/>
              </w:rPr>
            </w:pPr>
          </w:p>
        </w:tc>
        <w:tc>
          <w:tcPr>
            <w:tcW w:w="1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21D5E43C" w14:textId="77777777" w:rsidR="00A42C68" w:rsidRPr="007E47A5" w:rsidRDefault="00A42C68" w:rsidP="00D96F00">
            <w:pPr>
              <w:spacing w:after="0"/>
              <w:jc w:val="center"/>
              <w:rPr>
                <w:rFonts w:ascii="Calibri" w:hAnsi="Calibri" w:cs="Calibri"/>
                <w:sz w:val="18"/>
                <w:szCs w:val="18"/>
                <w:lang w:val="en-US"/>
              </w:rPr>
            </w:pPr>
          </w:p>
        </w:tc>
        <w:tc>
          <w:tcPr>
            <w:tcW w:w="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25A1A784" w14:textId="77777777" w:rsidR="00A42C68" w:rsidRPr="007E47A5" w:rsidRDefault="00A42C68"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45A44500" w14:textId="77777777" w:rsidR="00A42C68" w:rsidRPr="007E47A5" w:rsidRDefault="00A42C68" w:rsidP="00D96F00">
            <w:pPr>
              <w:spacing w:after="0"/>
              <w:rPr>
                <w:rFonts w:ascii="Calibri" w:hAnsi="Calibri" w:cs="Calibri"/>
                <w:sz w:val="18"/>
                <w:szCs w:val="18"/>
                <w:lang w:val="en-US"/>
              </w:rPr>
            </w:pPr>
          </w:p>
        </w:tc>
        <w:tc>
          <w:tcPr>
            <w:tcW w:w="1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49F7E6DE" w14:textId="77777777" w:rsidR="00A42C68" w:rsidRPr="007E47A5" w:rsidRDefault="00A42C68" w:rsidP="00D96F00">
            <w:pPr>
              <w:spacing w:after="0"/>
              <w:rPr>
                <w:rFonts w:ascii="Calibri" w:hAnsi="Calibri" w:cs="Calibri"/>
                <w:sz w:val="18"/>
                <w:szCs w:val="18"/>
                <w:lang w:val="en-US"/>
              </w:rPr>
            </w:pPr>
          </w:p>
        </w:tc>
        <w:tc>
          <w:tcPr>
            <w:tcW w:w="1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4660B2A2" w14:textId="77777777" w:rsidR="00A42C68" w:rsidRPr="007E47A5" w:rsidRDefault="00A42C68" w:rsidP="00D96F00">
            <w:pPr>
              <w:spacing w:after="0"/>
              <w:rPr>
                <w:rFonts w:ascii="Calibri" w:hAnsi="Calibri" w:cs="Calibri"/>
                <w:sz w:val="18"/>
                <w:szCs w:val="18"/>
                <w:lang w:val="en-US"/>
              </w:rPr>
            </w:pPr>
          </w:p>
        </w:tc>
        <w:tc>
          <w:tcPr>
            <w:tcW w:w="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6B1BE7B" w14:textId="77777777" w:rsidR="00A42C68" w:rsidRPr="007E47A5" w:rsidRDefault="00A42C68" w:rsidP="00D96F00">
            <w:pPr>
              <w:spacing w:after="0"/>
              <w:rPr>
                <w:rFonts w:ascii="Calibri" w:hAnsi="Calibri" w:cs="Calibri"/>
                <w:sz w:val="18"/>
                <w:szCs w:val="18"/>
                <w:lang w:val="en-US"/>
              </w:rPr>
            </w:pPr>
          </w:p>
        </w:tc>
        <w:tc>
          <w:tcPr>
            <w:tcW w:w="1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BE52F0D" w14:textId="77777777" w:rsidR="00A42C68" w:rsidRPr="007E47A5" w:rsidRDefault="00A42C68"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524AF2AB" w14:textId="77777777" w:rsidR="00A42C68" w:rsidRPr="007E47A5" w:rsidRDefault="00A42C68" w:rsidP="00D96F00">
            <w:pPr>
              <w:spacing w:after="0"/>
              <w:rPr>
                <w:rFonts w:ascii="Calibri" w:hAnsi="Calibri" w:cs="Calibri"/>
                <w:sz w:val="18"/>
                <w:szCs w:val="18"/>
                <w:lang w:val="en-US"/>
              </w:rPr>
            </w:pPr>
          </w:p>
        </w:tc>
      </w:tr>
      <w:tr w:rsidR="00A42C68" w:rsidRPr="007E47A5" w14:paraId="59C70D80" w14:textId="77777777" w:rsidTr="00A42C68">
        <w:trPr>
          <w:trHeight w:val="70"/>
          <w:jc w:val="center"/>
        </w:trPr>
        <w:tc>
          <w:tcPr>
            <w:tcW w:w="1171" w:type="pct"/>
            <w:vMerge/>
            <w:tcBorders>
              <w:left w:val="single" w:sz="4" w:space="0" w:color="auto"/>
              <w:bottom w:val="single" w:sz="4" w:space="0" w:color="A6A6A6" w:themeColor="background1" w:themeShade="A6"/>
              <w:right w:val="single" w:sz="4" w:space="0" w:color="A6A6A6" w:themeColor="background1" w:themeShade="A6"/>
            </w:tcBorders>
            <w:shd w:val="clear" w:color="auto" w:fill="auto"/>
            <w:vAlign w:val="center"/>
            <w:hideMark/>
          </w:tcPr>
          <w:p w14:paraId="2E449ECC" w14:textId="77777777" w:rsidR="00A42C68" w:rsidRPr="007E47A5" w:rsidRDefault="00A42C68" w:rsidP="00A42C68">
            <w:pPr>
              <w:spacing w:after="0"/>
              <w:jc w:val="left"/>
              <w:rPr>
                <w:rFonts w:ascii="Calibri" w:hAnsi="Calibri" w:cs="Calibri"/>
                <w:sz w:val="18"/>
                <w:szCs w:val="18"/>
                <w:lang w:val="en-US"/>
              </w:rPr>
            </w:pPr>
          </w:p>
        </w:tc>
        <w:tc>
          <w:tcPr>
            <w:tcW w:w="14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198CD0E7" w14:textId="77777777" w:rsidR="00A42C68" w:rsidRPr="00D96F00" w:rsidRDefault="00A42C68" w:rsidP="00D96F00">
            <w:pPr>
              <w:spacing w:after="0"/>
              <w:rPr>
                <w:rFonts w:ascii="Calibri" w:hAnsi="Calibri" w:cs="Calibri"/>
                <w:sz w:val="18"/>
                <w:szCs w:val="18"/>
                <w:lang w:val="en-US"/>
              </w:rPr>
            </w:pPr>
            <w:r w:rsidRPr="00D96F00">
              <w:rPr>
                <w:rFonts w:ascii="Calibri" w:hAnsi="Calibri" w:cs="Calibri"/>
                <w:sz w:val="18"/>
                <w:szCs w:val="18"/>
              </w:rPr>
              <w:t>Data entry, analysis &amp; reporting</w:t>
            </w: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4A36EAC2" w14:textId="77777777" w:rsidR="00A42C68" w:rsidRPr="007E47A5" w:rsidRDefault="00A42C68" w:rsidP="00D96F00">
            <w:pPr>
              <w:spacing w:after="0"/>
              <w:rPr>
                <w:rFonts w:ascii="Calibri" w:hAnsi="Calibri" w:cs="Calibri"/>
                <w:sz w:val="18"/>
                <w:szCs w:val="18"/>
                <w:lang w:val="en-US"/>
              </w:rPr>
            </w:pPr>
          </w:p>
        </w:tc>
        <w:tc>
          <w:tcPr>
            <w:tcW w:w="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D90133" w14:textId="77777777" w:rsidR="00A42C68" w:rsidRPr="007E47A5" w:rsidRDefault="00A42C68" w:rsidP="00D96F00">
            <w:pPr>
              <w:spacing w:after="0"/>
              <w:rPr>
                <w:rFonts w:ascii="Calibri" w:hAnsi="Calibri" w:cs="Calibri"/>
                <w:sz w:val="18"/>
                <w:szCs w:val="18"/>
                <w:lang w:val="en-US"/>
              </w:rPr>
            </w:pPr>
          </w:p>
        </w:tc>
        <w:tc>
          <w:tcPr>
            <w:tcW w:w="1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B0FCA83" w14:textId="77777777" w:rsidR="00A42C68" w:rsidRPr="007E47A5" w:rsidRDefault="00A42C68" w:rsidP="00D96F00">
            <w:pPr>
              <w:spacing w:after="0"/>
              <w:rPr>
                <w:rFonts w:ascii="Calibri" w:hAnsi="Calibri" w:cs="Calibri"/>
                <w:sz w:val="18"/>
                <w:szCs w:val="18"/>
                <w:lang w:val="en-US"/>
              </w:rPr>
            </w:pPr>
          </w:p>
        </w:tc>
        <w:tc>
          <w:tcPr>
            <w:tcW w:w="1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7D8B3EB" w14:textId="77777777" w:rsidR="00A42C68" w:rsidRPr="007E47A5" w:rsidRDefault="00A42C68" w:rsidP="00D96F00">
            <w:pPr>
              <w:spacing w:after="0"/>
              <w:rPr>
                <w:rFonts w:ascii="Calibri" w:hAnsi="Calibri" w:cs="Calibri"/>
                <w:sz w:val="18"/>
                <w:szCs w:val="18"/>
                <w:lang w:val="en-US"/>
              </w:rPr>
            </w:pPr>
          </w:p>
        </w:tc>
        <w:tc>
          <w:tcPr>
            <w:tcW w:w="1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F7B1E47" w14:textId="77777777" w:rsidR="00A42C68" w:rsidRPr="007E47A5" w:rsidRDefault="00A42C68" w:rsidP="00D96F00">
            <w:pPr>
              <w:spacing w:after="0"/>
              <w:rPr>
                <w:rFonts w:ascii="Calibri" w:hAnsi="Calibri" w:cs="Calibri"/>
                <w:sz w:val="18"/>
                <w:szCs w:val="18"/>
                <w:lang w:val="en-US"/>
              </w:rPr>
            </w:pPr>
          </w:p>
        </w:tc>
        <w:tc>
          <w:tcPr>
            <w:tcW w:w="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114576D1" w14:textId="77777777" w:rsidR="00A42C68" w:rsidRPr="007E47A5" w:rsidRDefault="00A42C68" w:rsidP="00D96F00">
            <w:pPr>
              <w:spacing w:after="0"/>
              <w:rPr>
                <w:rFonts w:ascii="Calibri" w:hAnsi="Calibri" w:cs="Calibri"/>
                <w:sz w:val="18"/>
                <w:szCs w:val="18"/>
                <w:lang w:val="en-US"/>
              </w:rPr>
            </w:pP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14:paraId="30EBEE6B" w14:textId="77777777" w:rsidR="00A42C68" w:rsidRPr="007E47A5" w:rsidRDefault="00A42C68"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6264514" w14:textId="77777777" w:rsidR="00A42C68" w:rsidRPr="007E47A5" w:rsidRDefault="00A42C68" w:rsidP="00D96F00">
            <w:pPr>
              <w:spacing w:after="0"/>
              <w:rPr>
                <w:rFonts w:ascii="Calibri" w:hAnsi="Calibri" w:cs="Calibri"/>
                <w:sz w:val="18"/>
                <w:szCs w:val="18"/>
                <w:lang w:val="en-US"/>
              </w:rPr>
            </w:pPr>
          </w:p>
        </w:tc>
        <w:tc>
          <w:tcPr>
            <w:tcW w:w="1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534F1AC" w14:textId="77777777" w:rsidR="00A42C68" w:rsidRPr="007E47A5" w:rsidRDefault="00A42C68" w:rsidP="00D96F00">
            <w:pPr>
              <w:spacing w:after="0"/>
              <w:jc w:val="center"/>
              <w:rPr>
                <w:rFonts w:ascii="Calibri" w:hAnsi="Calibri" w:cs="Calibri"/>
                <w:sz w:val="18"/>
                <w:szCs w:val="18"/>
                <w:lang w:val="en-US"/>
              </w:rPr>
            </w:pPr>
          </w:p>
        </w:tc>
        <w:tc>
          <w:tcPr>
            <w:tcW w:w="1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B28326B" w14:textId="77777777" w:rsidR="00A42C68" w:rsidRPr="007E47A5" w:rsidRDefault="00A42C68" w:rsidP="00D96F00">
            <w:pPr>
              <w:spacing w:after="0"/>
              <w:jc w:val="center"/>
              <w:rPr>
                <w:rFonts w:ascii="Calibri" w:hAnsi="Calibri" w:cs="Calibri"/>
                <w:sz w:val="18"/>
                <w:szCs w:val="18"/>
                <w:lang w:val="en-US"/>
              </w:rPr>
            </w:pPr>
          </w:p>
        </w:tc>
        <w:tc>
          <w:tcPr>
            <w:tcW w:w="1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0231209" w14:textId="77777777" w:rsidR="00A42C68" w:rsidRPr="007E47A5" w:rsidRDefault="00A42C68" w:rsidP="00D96F00">
            <w:pPr>
              <w:spacing w:after="0"/>
              <w:jc w:val="center"/>
              <w:rPr>
                <w:rFonts w:ascii="Calibri" w:hAnsi="Calibri" w:cs="Calibri"/>
                <w:sz w:val="18"/>
                <w:szCs w:val="18"/>
                <w:lang w:val="en-US"/>
              </w:rPr>
            </w:pPr>
          </w:p>
        </w:tc>
        <w:tc>
          <w:tcPr>
            <w:tcW w:w="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C778A9C" w14:textId="77777777" w:rsidR="00A42C68" w:rsidRPr="007E47A5" w:rsidRDefault="00A42C68"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010D4403" w14:textId="77777777" w:rsidR="00A42C68" w:rsidRPr="007E47A5" w:rsidRDefault="00A42C68" w:rsidP="00D96F00">
            <w:pPr>
              <w:spacing w:after="0"/>
              <w:jc w:val="center"/>
              <w:rPr>
                <w:rFonts w:ascii="Calibri" w:hAnsi="Calibri" w:cs="Calibri"/>
                <w:sz w:val="18"/>
                <w:szCs w:val="18"/>
                <w:lang w:val="en-US"/>
              </w:rPr>
            </w:pPr>
          </w:p>
        </w:tc>
        <w:tc>
          <w:tcPr>
            <w:tcW w:w="1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74F6E98C" w14:textId="77777777" w:rsidR="00A42C68" w:rsidRPr="007E47A5" w:rsidRDefault="00A42C68" w:rsidP="00D96F00">
            <w:pPr>
              <w:spacing w:after="0"/>
              <w:rPr>
                <w:rFonts w:ascii="Calibri" w:hAnsi="Calibri" w:cs="Calibri"/>
                <w:sz w:val="18"/>
                <w:szCs w:val="18"/>
                <w:lang w:val="en-US"/>
              </w:rPr>
            </w:pPr>
          </w:p>
        </w:tc>
        <w:tc>
          <w:tcPr>
            <w:tcW w:w="1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3F6AA47C" w14:textId="77777777" w:rsidR="00A42C68" w:rsidRPr="007E47A5" w:rsidRDefault="00A42C68" w:rsidP="00D96F00">
            <w:pPr>
              <w:spacing w:after="0"/>
              <w:rPr>
                <w:rFonts w:ascii="Calibri" w:hAnsi="Calibri" w:cs="Calibri"/>
                <w:sz w:val="18"/>
                <w:szCs w:val="18"/>
                <w:lang w:val="en-US"/>
              </w:rPr>
            </w:pPr>
          </w:p>
        </w:tc>
        <w:tc>
          <w:tcPr>
            <w:tcW w:w="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7934FB64" w14:textId="77777777" w:rsidR="00A42C68" w:rsidRPr="007E47A5" w:rsidRDefault="00A42C68" w:rsidP="00D96F00">
            <w:pPr>
              <w:spacing w:after="0"/>
              <w:rPr>
                <w:rFonts w:ascii="Calibri" w:hAnsi="Calibri" w:cs="Calibri"/>
                <w:sz w:val="18"/>
                <w:szCs w:val="18"/>
                <w:lang w:val="en-US"/>
              </w:rPr>
            </w:pPr>
          </w:p>
        </w:tc>
        <w:tc>
          <w:tcPr>
            <w:tcW w:w="1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009D1D13" w14:textId="77777777" w:rsidR="00A42C68" w:rsidRPr="007E47A5" w:rsidRDefault="00A42C68"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noWrap/>
            <w:vAlign w:val="bottom"/>
            <w:hideMark/>
          </w:tcPr>
          <w:p w14:paraId="26710B31" w14:textId="77777777" w:rsidR="00A42C68" w:rsidRPr="007E47A5" w:rsidRDefault="00A42C68" w:rsidP="00D96F00">
            <w:pPr>
              <w:spacing w:after="0"/>
              <w:rPr>
                <w:rFonts w:ascii="Calibri" w:hAnsi="Calibri" w:cs="Calibri"/>
                <w:sz w:val="18"/>
                <w:szCs w:val="18"/>
                <w:lang w:val="en-US"/>
              </w:rPr>
            </w:pPr>
          </w:p>
        </w:tc>
      </w:tr>
      <w:tr w:rsidR="00A42C68" w:rsidRPr="007E47A5" w14:paraId="446F69B8" w14:textId="77777777" w:rsidTr="00A42C68">
        <w:trPr>
          <w:trHeight w:val="70"/>
          <w:jc w:val="center"/>
        </w:trPr>
        <w:tc>
          <w:tcPr>
            <w:tcW w:w="1171" w:type="pct"/>
            <w:vMerge w:val="restart"/>
            <w:tcBorders>
              <w:top w:val="single" w:sz="4" w:space="0" w:color="A6A6A6" w:themeColor="background1" w:themeShade="A6"/>
              <w:left w:val="single" w:sz="4" w:space="0" w:color="auto"/>
              <w:right w:val="single" w:sz="4" w:space="0" w:color="A6A6A6" w:themeColor="background1" w:themeShade="A6"/>
            </w:tcBorders>
            <w:shd w:val="clear" w:color="auto" w:fill="auto"/>
            <w:vAlign w:val="center"/>
          </w:tcPr>
          <w:p w14:paraId="445DBD68" w14:textId="77777777" w:rsidR="00A42C68" w:rsidRPr="007E47A5" w:rsidRDefault="00A42C68" w:rsidP="00A42C68">
            <w:pPr>
              <w:spacing w:after="0"/>
              <w:jc w:val="left"/>
              <w:rPr>
                <w:rFonts w:ascii="Calibri" w:hAnsi="Calibri" w:cs="Calibri"/>
                <w:sz w:val="18"/>
                <w:szCs w:val="18"/>
                <w:lang w:val="en-US"/>
              </w:rPr>
            </w:pPr>
            <w:r w:rsidRPr="00167C20">
              <w:rPr>
                <w:rFonts w:ascii="Calibri" w:hAnsi="Calibri" w:cs="Calibri"/>
                <w:sz w:val="20"/>
                <w:szCs w:val="18"/>
                <w:lang w:val="en-US"/>
              </w:rPr>
              <w:t>Flow-cued Spawning Fish Recruitment</w:t>
            </w:r>
          </w:p>
        </w:tc>
        <w:tc>
          <w:tcPr>
            <w:tcW w:w="14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5B380F1A" w14:textId="77777777" w:rsidR="00A42C68" w:rsidRPr="00D96F00" w:rsidRDefault="00A42C68" w:rsidP="00D96F00">
            <w:pPr>
              <w:spacing w:after="0"/>
              <w:rPr>
                <w:rFonts w:ascii="Calibri" w:hAnsi="Calibri" w:cs="Calibri"/>
                <w:sz w:val="18"/>
                <w:szCs w:val="18"/>
              </w:rPr>
            </w:pPr>
            <w:r w:rsidRPr="00D96F00">
              <w:rPr>
                <w:rFonts w:ascii="Calibri" w:hAnsi="Calibri" w:cs="Calibri"/>
                <w:sz w:val="18"/>
                <w:szCs w:val="18"/>
              </w:rPr>
              <w:t>Lab ageing</w:t>
            </w: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10A84DDC" w14:textId="77777777" w:rsidR="00A42C68" w:rsidRPr="007E47A5" w:rsidRDefault="00A42C68" w:rsidP="00D96F00">
            <w:pPr>
              <w:spacing w:after="0"/>
              <w:rPr>
                <w:rFonts w:ascii="Calibri" w:hAnsi="Calibri" w:cs="Calibri"/>
                <w:sz w:val="18"/>
                <w:szCs w:val="18"/>
                <w:lang w:val="en-US"/>
              </w:rPr>
            </w:pPr>
          </w:p>
        </w:tc>
        <w:tc>
          <w:tcPr>
            <w:tcW w:w="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BFBC9A" w14:textId="77777777" w:rsidR="00A42C68" w:rsidRPr="007E47A5" w:rsidRDefault="00A42C68" w:rsidP="00D96F00">
            <w:pPr>
              <w:spacing w:after="0"/>
              <w:rPr>
                <w:rFonts w:ascii="Calibri" w:hAnsi="Calibri" w:cs="Calibri"/>
                <w:sz w:val="18"/>
                <w:szCs w:val="18"/>
                <w:lang w:val="en-US"/>
              </w:rPr>
            </w:pPr>
          </w:p>
        </w:tc>
        <w:tc>
          <w:tcPr>
            <w:tcW w:w="1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DB324F5" w14:textId="77777777" w:rsidR="00A42C68" w:rsidRPr="007E47A5" w:rsidRDefault="00A42C68" w:rsidP="00D96F00">
            <w:pPr>
              <w:spacing w:after="0"/>
              <w:rPr>
                <w:rFonts w:ascii="Calibri" w:hAnsi="Calibri" w:cs="Calibri"/>
                <w:sz w:val="18"/>
                <w:szCs w:val="18"/>
                <w:lang w:val="en-US"/>
              </w:rPr>
            </w:pPr>
          </w:p>
        </w:tc>
        <w:tc>
          <w:tcPr>
            <w:tcW w:w="1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C9D89A5" w14:textId="77777777" w:rsidR="00A42C68" w:rsidRPr="007E47A5" w:rsidRDefault="00A42C68" w:rsidP="00D96F00">
            <w:pPr>
              <w:spacing w:after="0"/>
              <w:rPr>
                <w:rFonts w:ascii="Calibri" w:hAnsi="Calibri" w:cs="Calibri"/>
                <w:sz w:val="18"/>
                <w:szCs w:val="18"/>
                <w:lang w:val="en-US"/>
              </w:rPr>
            </w:pPr>
          </w:p>
        </w:tc>
        <w:tc>
          <w:tcPr>
            <w:tcW w:w="1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2B65316" w14:textId="77777777" w:rsidR="00A42C68" w:rsidRPr="007E47A5" w:rsidRDefault="00A42C68" w:rsidP="00D96F00">
            <w:pPr>
              <w:spacing w:after="0"/>
              <w:rPr>
                <w:rFonts w:ascii="Calibri" w:hAnsi="Calibri" w:cs="Calibri"/>
                <w:sz w:val="18"/>
                <w:szCs w:val="18"/>
                <w:lang w:val="en-US"/>
              </w:rPr>
            </w:pPr>
          </w:p>
        </w:tc>
        <w:tc>
          <w:tcPr>
            <w:tcW w:w="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179E4C29" w14:textId="77777777" w:rsidR="00A42C68" w:rsidRPr="007E47A5" w:rsidRDefault="00A42C68" w:rsidP="00D96F00">
            <w:pPr>
              <w:spacing w:after="0"/>
              <w:rPr>
                <w:rFonts w:ascii="Calibri" w:hAnsi="Calibri" w:cs="Calibri"/>
                <w:sz w:val="18"/>
                <w:szCs w:val="18"/>
                <w:lang w:val="en-US"/>
              </w:rPr>
            </w:pP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tcPr>
          <w:p w14:paraId="2EDC7A37" w14:textId="77777777" w:rsidR="00A42C68" w:rsidRPr="007E47A5" w:rsidRDefault="00A42C68"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B496818" w14:textId="77777777" w:rsidR="00A42C68" w:rsidRPr="007E47A5" w:rsidRDefault="00A42C68" w:rsidP="00D96F00">
            <w:pPr>
              <w:spacing w:after="0"/>
              <w:rPr>
                <w:rFonts w:ascii="Calibri" w:hAnsi="Calibri" w:cs="Calibri"/>
                <w:sz w:val="18"/>
                <w:szCs w:val="18"/>
                <w:lang w:val="en-US"/>
              </w:rPr>
            </w:pPr>
          </w:p>
        </w:tc>
        <w:tc>
          <w:tcPr>
            <w:tcW w:w="1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A2B51F0" w14:textId="77777777" w:rsidR="00A42C68" w:rsidRPr="007E47A5" w:rsidRDefault="00A42C68" w:rsidP="00D96F00">
            <w:pPr>
              <w:spacing w:after="0"/>
              <w:jc w:val="center"/>
              <w:rPr>
                <w:rFonts w:ascii="Calibri" w:hAnsi="Calibri" w:cs="Calibri"/>
                <w:sz w:val="18"/>
                <w:szCs w:val="18"/>
                <w:lang w:val="en-US"/>
              </w:rPr>
            </w:pPr>
          </w:p>
        </w:tc>
        <w:tc>
          <w:tcPr>
            <w:tcW w:w="1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AF32945" w14:textId="77777777" w:rsidR="00A42C68" w:rsidRPr="007E47A5" w:rsidRDefault="00A42C68" w:rsidP="00D96F00">
            <w:pPr>
              <w:spacing w:after="0"/>
              <w:jc w:val="center"/>
              <w:rPr>
                <w:rFonts w:ascii="Calibri" w:hAnsi="Calibri" w:cs="Calibri"/>
                <w:sz w:val="18"/>
                <w:szCs w:val="18"/>
                <w:lang w:val="en-US"/>
              </w:rPr>
            </w:pPr>
          </w:p>
        </w:tc>
        <w:tc>
          <w:tcPr>
            <w:tcW w:w="1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3D83280A" w14:textId="77777777" w:rsidR="00A42C68" w:rsidRPr="007E47A5" w:rsidRDefault="00A42C68" w:rsidP="00D96F00">
            <w:pPr>
              <w:spacing w:after="0"/>
              <w:jc w:val="center"/>
              <w:rPr>
                <w:rFonts w:ascii="Calibri" w:hAnsi="Calibri" w:cs="Calibri"/>
                <w:sz w:val="18"/>
                <w:szCs w:val="18"/>
                <w:lang w:val="en-US"/>
              </w:rPr>
            </w:pPr>
          </w:p>
        </w:tc>
        <w:tc>
          <w:tcPr>
            <w:tcW w:w="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6BA3D7A7" w14:textId="77777777" w:rsidR="00A42C68" w:rsidRPr="007E47A5" w:rsidRDefault="00A42C68"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7952193" w14:textId="77777777" w:rsidR="00A42C68" w:rsidRPr="007E47A5" w:rsidRDefault="00A42C68" w:rsidP="00D96F00">
            <w:pPr>
              <w:spacing w:after="0"/>
              <w:jc w:val="center"/>
              <w:rPr>
                <w:rFonts w:ascii="Calibri" w:hAnsi="Calibri" w:cs="Calibri"/>
                <w:sz w:val="18"/>
                <w:szCs w:val="18"/>
                <w:lang w:val="en-US"/>
              </w:rPr>
            </w:pPr>
          </w:p>
        </w:tc>
        <w:tc>
          <w:tcPr>
            <w:tcW w:w="1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F35BA46" w14:textId="77777777" w:rsidR="00A42C68" w:rsidRPr="007E47A5" w:rsidRDefault="00A42C68" w:rsidP="00D96F00">
            <w:pPr>
              <w:spacing w:after="0"/>
              <w:rPr>
                <w:rFonts w:ascii="Calibri" w:hAnsi="Calibri" w:cs="Calibri"/>
                <w:sz w:val="18"/>
                <w:szCs w:val="18"/>
                <w:lang w:val="en-US"/>
              </w:rPr>
            </w:pPr>
          </w:p>
        </w:tc>
        <w:tc>
          <w:tcPr>
            <w:tcW w:w="1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B380045" w14:textId="77777777" w:rsidR="00A42C68" w:rsidRPr="007E47A5" w:rsidRDefault="00A42C68" w:rsidP="00D96F00">
            <w:pPr>
              <w:spacing w:after="0"/>
              <w:rPr>
                <w:rFonts w:ascii="Calibri" w:hAnsi="Calibri" w:cs="Calibri"/>
                <w:sz w:val="18"/>
                <w:szCs w:val="18"/>
                <w:lang w:val="en-US"/>
              </w:rPr>
            </w:pPr>
          </w:p>
        </w:tc>
        <w:tc>
          <w:tcPr>
            <w:tcW w:w="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E6F462F" w14:textId="77777777" w:rsidR="00A42C68" w:rsidRPr="007E47A5" w:rsidRDefault="00A42C68" w:rsidP="00D96F00">
            <w:pPr>
              <w:spacing w:after="0"/>
              <w:rPr>
                <w:rFonts w:ascii="Calibri" w:hAnsi="Calibri" w:cs="Calibri"/>
                <w:sz w:val="18"/>
                <w:szCs w:val="18"/>
                <w:lang w:val="en-US"/>
              </w:rPr>
            </w:pPr>
          </w:p>
        </w:tc>
        <w:tc>
          <w:tcPr>
            <w:tcW w:w="1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DE46139" w14:textId="77777777" w:rsidR="00A42C68" w:rsidRPr="007E47A5" w:rsidRDefault="00A42C68"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4D72B3FA" w14:textId="77777777" w:rsidR="00A42C68" w:rsidRPr="007E47A5" w:rsidRDefault="00A42C68" w:rsidP="00D96F00">
            <w:pPr>
              <w:spacing w:after="0"/>
              <w:rPr>
                <w:rFonts w:ascii="Calibri" w:hAnsi="Calibri" w:cs="Calibri"/>
                <w:sz w:val="18"/>
                <w:szCs w:val="18"/>
                <w:lang w:val="en-US"/>
              </w:rPr>
            </w:pPr>
          </w:p>
        </w:tc>
      </w:tr>
      <w:tr w:rsidR="00A42C68" w:rsidRPr="007E47A5" w14:paraId="7D81FF83" w14:textId="77777777" w:rsidTr="00A42C68">
        <w:trPr>
          <w:trHeight w:val="70"/>
          <w:jc w:val="center"/>
        </w:trPr>
        <w:tc>
          <w:tcPr>
            <w:tcW w:w="1171" w:type="pct"/>
            <w:vMerge/>
            <w:tcBorders>
              <w:left w:val="single" w:sz="4" w:space="0" w:color="auto"/>
              <w:bottom w:val="single" w:sz="4" w:space="0" w:color="A6A6A6" w:themeColor="background1" w:themeShade="A6"/>
              <w:right w:val="single" w:sz="4" w:space="0" w:color="A6A6A6" w:themeColor="background1" w:themeShade="A6"/>
            </w:tcBorders>
            <w:shd w:val="clear" w:color="auto" w:fill="auto"/>
            <w:vAlign w:val="center"/>
          </w:tcPr>
          <w:p w14:paraId="013780E7" w14:textId="77777777" w:rsidR="00A42C68" w:rsidRPr="007E47A5" w:rsidRDefault="00A42C68" w:rsidP="00A42C68">
            <w:pPr>
              <w:spacing w:after="0"/>
              <w:jc w:val="left"/>
              <w:rPr>
                <w:rFonts w:ascii="Calibri" w:hAnsi="Calibri" w:cs="Calibri"/>
                <w:sz w:val="18"/>
                <w:szCs w:val="18"/>
                <w:lang w:val="en-US"/>
              </w:rPr>
            </w:pPr>
          </w:p>
        </w:tc>
        <w:tc>
          <w:tcPr>
            <w:tcW w:w="14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4958D537" w14:textId="77777777" w:rsidR="00A42C68" w:rsidRPr="00D96F00" w:rsidRDefault="00A42C68" w:rsidP="00D96F00">
            <w:pPr>
              <w:spacing w:after="0"/>
              <w:rPr>
                <w:rFonts w:ascii="Calibri" w:hAnsi="Calibri" w:cs="Calibri"/>
                <w:sz w:val="18"/>
                <w:szCs w:val="18"/>
              </w:rPr>
            </w:pPr>
            <w:r w:rsidRPr="00D96F00">
              <w:rPr>
                <w:rFonts w:ascii="Calibri" w:hAnsi="Calibri" w:cs="Calibri"/>
                <w:sz w:val="18"/>
                <w:szCs w:val="18"/>
              </w:rPr>
              <w:t>Data entry, analysis &amp; reporting</w:t>
            </w: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6FF87AC4" w14:textId="77777777" w:rsidR="00A42C68" w:rsidRPr="007E47A5" w:rsidRDefault="00A42C68" w:rsidP="00D96F00">
            <w:pPr>
              <w:spacing w:after="0"/>
              <w:rPr>
                <w:rFonts w:ascii="Calibri" w:hAnsi="Calibri" w:cs="Calibri"/>
                <w:sz w:val="18"/>
                <w:szCs w:val="18"/>
                <w:lang w:val="en-US"/>
              </w:rPr>
            </w:pPr>
          </w:p>
        </w:tc>
        <w:tc>
          <w:tcPr>
            <w:tcW w:w="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8AAA10" w14:textId="77777777" w:rsidR="00A42C68" w:rsidRPr="007E47A5" w:rsidRDefault="00A42C68" w:rsidP="00D96F00">
            <w:pPr>
              <w:spacing w:after="0"/>
              <w:rPr>
                <w:rFonts w:ascii="Calibri" w:hAnsi="Calibri" w:cs="Calibri"/>
                <w:sz w:val="18"/>
                <w:szCs w:val="18"/>
                <w:lang w:val="en-US"/>
              </w:rPr>
            </w:pPr>
          </w:p>
        </w:tc>
        <w:tc>
          <w:tcPr>
            <w:tcW w:w="1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4AB0134" w14:textId="77777777" w:rsidR="00A42C68" w:rsidRPr="007E47A5" w:rsidRDefault="00A42C68" w:rsidP="00D96F00">
            <w:pPr>
              <w:spacing w:after="0"/>
              <w:rPr>
                <w:rFonts w:ascii="Calibri" w:hAnsi="Calibri" w:cs="Calibri"/>
                <w:sz w:val="18"/>
                <w:szCs w:val="18"/>
                <w:lang w:val="en-US"/>
              </w:rPr>
            </w:pPr>
          </w:p>
        </w:tc>
        <w:tc>
          <w:tcPr>
            <w:tcW w:w="1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F59F61D" w14:textId="77777777" w:rsidR="00A42C68" w:rsidRPr="007E47A5" w:rsidRDefault="00A42C68" w:rsidP="00D96F00">
            <w:pPr>
              <w:spacing w:after="0"/>
              <w:rPr>
                <w:rFonts w:ascii="Calibri" w:hAnsi="Calibri" w:cs="Calibri"/>
                <w:sz w:val="18"/>
                <w:szCs w:val="18"/>
                <w:lang w:val="en-US"/>
              </w:rPr>
            </w:pPr>
          </w:p>
        </w:tc>
        <w:tc>
          <w:tcPr>
            <w:tcW w:w="1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943A8A7" w14:textId="77777777" w:rsidR="00A42C68" w:rsidRPr="007E47A5" w:rsidRDefault="00A42C68" w:rsidP="00D96F00">
            <w:pPr>
              <w:spacing w:after="0"/>
              <w:rPr>
                <w:rFonts w:ascii="Calibri" w:hAnsi="Calibri" w:cs="Calibri"/>
                <w:sz w:val="18"/>
                <w:szCs w:val="18"/>
                <w:lang w:val="en-US"/>
              </w:rPr>
            </w:pPr>
          </w:p>
        </w:tc>
        <w:tc>
          <w:tcPr>
            <w:tcW w:w="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43A9DAA5" w14:textId="77777777" w:rsidR="00A42C68" w:rsidRPr="007E47A5" w:rsidRDefault="00A42C68" w:rsidP="00D96F00">
            <w:pPr>
              <w:spacing w:after="0"/>
              <w:rPr>
                <w:rFonts w:ascii="Calibri" w:hAnsi="Calibri" w:cs="Calibri"/>
                <w:sz w:val="18"/>
                <w:szCs w:val="18"/>
                <w:lang w:val="en-US"/>
              </w:rPr>
            </w:pP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tcPr>
          <w:p w14:paraId="6635CCD2" w14:textId="77777777" w:rsidR="00A42C68" w:rsidRPr="007E47A5" w:rsidRDefault="00A42C68"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8FF8F2C" w14:textId="77777777" w:rsidR="00A42C68" w:rsidRPr="007E47A5" w:rsidRDefault="00A42C68" w:rsidP="00D96F00">
            <w:pPr>
              <w:spacing w:after="0"/>
              <w:rPr>
                <w:rFonts w:ascii="Calibri" w:hAnsi="Calibri" w:cs="Calibri"/>
                <w:sz w:val="18"/>
                <w:szCs w:val="18"/>
                <w:lang w:val="en-US"/>
              </w:rPr>
            </w:pPr>
          </w:p>
        </w:tc>
        <w:tc>
          <w:tcPr>
            <w:tcW w:w="1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F2460A1" w14:textId="77777777" w:rsidR="00A42C68" w:rsidRPr="007E47A5" w:rsidRDefault="00A42C68" w:rsidP="00D96F00">
            <w:pPr>
              <w:spacing w:after="0"/>
              <w:jc w:val="center"/>
              <w:rPr>
                <w:rFonts w:ascii="Calibri" w:hAnsi="Calibri" w:cs="Calibri"/>
                <w:sz w:val="18"/>
                <w:szCs w:val="18"/>
                <w:lang w:val="en-US"/>
              </w:rPr>
            </w:pPr>
          </w:p>
        </w:tc>
        <w:tc>
          <w:tcPr>
            <w:tcW w:w="1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19BCB90" w14:textId="77777777" w:rsidR="00A42C68" w:rsidRPr="007E47A5" w:rsidRDefault="00A42C68" w:rsidP="00D96F00">
            <w:pPr>
              <w:spacing w:after="0"/>
              <w:jc w:val="center"/>
              <w:rPr>
                <w:rFonts w:ascii="Calibri" w:hAnsi="Calibri" w:cs="Calibri"/>
                <w:sz w:val="18"/>
                <w:szCs w:val="18"/>
                <w:lang w:val="en-US"/>
              </w:rPr>
            </w:pPr>
          </w:p>
        </w:tc>
        <w:tc>
          <w:tcPr>
            <w:tcW w:w="1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0DD53AB" w14:textId="77777777" w:rsidR="00A42C68" w:rsidRPr="007E47A5" w:rsidRDefault="00A42C68" w:rsidP="00D96F00">
            <w:pPr>
              <w:spacing w:after="0"/>
              <w:jc w:val="center"/>
              <w:rPr>
                <w:rFonts w:ascii="Calibri" w:hAnsi="Calibri" w:cs="Calibri"/>
                <w:sz w:val="18"/>
                <w:szCs w:val="18"/>
                <w:lang w:val="en-US"/>
              </w:rPr>
            </w:pPr>
          </w:p>
        </w:tc>
        <w:tc>
          <w:tcPr>
            <w:tcW w:w="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5DF8071" w14:textId="77777777" w:rsidR="00A42C68" w:rsidRPr="007E47A5" w:rsidRDefault="00A42C68"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2A4F472B" w14:textId="77777777" w:rsidR="00A42C68" w:rsidRPr="007E47A5" w:rsidRDefault="00A42C68" w:rsidP="00D96F00">
            <w:pPr>
              <w:spacing w:after="0"/>
              <w:jc w:val="center"/>
              <w:rPr>
                <w:rFonts w:ascii="Calibri" w:hAnsi="Calibri" w:cs="Calibri"/>
                <w:sz w:val="18"/>
                <w:szCs w:val="18"/>
                <w:lang w:val="en-US"/>
              </w:rPr>
            </w:pPr>
          </w:p>
        </w:tc>
        <w:tc>
          <w:tcPr>
            <w:tcW w:w="1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3E6A12F0" w14:textId="77777777" w:rsidR="00A42C68" w:rsidRPr="007E47A5" w:rsidRDefault="00A42C68" w:rsidP="00D96F00">
            <w:pPr>
              <w:spacing w:after="0"/>
              <w:rPr>
                <w:rFonts w:ascii="Calibri" w:hAnsi="Calibri" w:cs="Calibri"/>
                <w:sz w:val="18"/>
                <w:szCs w:val="18"/>
                <w:lang w:val="en-US"/>
              </w:rPr>
            </w:pPr>
          </w:p>
        </w:tc>
        <w:tc>
          <w:tcPr>
            <w:tcW w:w="1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665649F" w14:textId="77777777" w:rsidR="00A42C68" w:rsidRPr="007E47A5" w:rsidRDefault="00A42C68" w:rsidP="00D96F00">
            <w:pPr>
              <w:spacing w:after="0"/>
              <w:rPr>
                <w:rFonts w:ascii="Calibri" w:hAnsi="Calibri" w:cs="Calibri"/>
                <w:sz w:val="18"/>
                <w:szCs w:val="18"/>
                <w:lang w:val="en-US"/>
              </w:rPr>
            </w:pPr>
          </w:p>
        </w:tc>
        <w:tc>
          <w:tcPr>
            <w:tcW w:w="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AD1DCA8" w14:textId="77777777" w:rsidR="00A42C68" w:rsidRPr="007E47A5" w:rsidRDefault="00A42C68" w:rsidP="00D96F00">
            <w:pPr>
              <w:spacing w:after="0"/>
              <w:rPr>
                <w:rFonts w:ascii="Calibri" w:hAnsi="Calibri" w:cs="Calibri"/>
                <w:sz w:val="18"/>
                <w:szCs w:val="18"/>
                <w:lang w:val="en-US"/>
              </w:rPr>
            </w:pPr>
          </w:p>
        </w:tc>
        <w:tc>
          <w:tcPr>
            <w:tcW w:w="1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00B2260" w14:textId="77777777" w:rsidR="00A42C68" w:rsidRPr="007E47A5" w:rsidRDefault="00A42C68"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263294C5" w14:textId="77777777" w:rsidR="00A42C68" w:rsidRPr="007E47A5" w:rsidRDefault="00A42C68" w:rsidP="00D96F00">
            <w:pPr>
              <w:spacing w:after="0"/>
              <w:rPr>
                <w:rFonts w:ascii="Calibri" w:hAnsi="Calibri" w:cs="Calibri"/>
                <w:sz w:val="18"/>
                <w:szCs w:val="18"/>
                <w:lang w:val="en-US"/>
              </w:rPr>
            </w:pPr>
          </w:p>
        </w:tc>
      </w:tr>
      <w:tr w:rsidR="00A42C68" w:rsidRPr="007E47A5" w14:paraId="1FAC38DD" w14:textId="77777777" w:rsidTr="00A42C68">
        <w:trPr>
          <w:trHeight w:val="70"/>
          <w:jc w:val="center"/>
        </w:trPr>
        <w:tc>
          <w:tcPr>
            <w:tcW w:w="1171" w:type="pct"/>
            <w:vMerge w:val="restart"/>
            <w:tcBorders>
              <w:top w:val="single" w:sz="4" w:space="0" w:color="A6A6A6" w:themeColor="background1" w:themeShade="A6"/>
              <w:left w:val="single" w:sz="4" w:space="0" w:color="auto"/>
              <w:right w:val="single" w:sz="4" w:space="0" w:color="A6A6A6" w:themeColor="background1" w:themeShade="A6"/>
            </w:tcBorders>
            <w:shd w:val="clear" w:color="auto" w:fill="auto"/>
            <w:vAlign w:val="center"/>
          </w:tcPr>
          <w:p w14:paraId="7F343C66" w14:textId="77777777" w:rsidR="00A42C68" w:rsidRPr="00D96F00" w:rsidRDefault="00A42C68" w:rsidP="00A42C68">
            <w:pPr>
              <w:spacing w:after="0"/>
              <w:jc w:val="left"/>
              <w:rPr>
                <w:rFonts w:ascii="Calibri" w:hAnsi="Calibri" w:cs="Calibri"/>
                <w:sz w:val="20"/>
                <w:lang w:val="en-US"/>
              </w:rPr>
            </w:pPr>
            <w:r w:rsidRPr="00D96F00">
              <w:rPr>
                <w:rFonts w:ascii="Calibri" w:hAnsi="Calibri" w:cs="Calibri"/>
                <w:sz w:val="20"/>
                <w:lang w:val="en-US"/>
              </w:rPr>
              <w:t>Murray Cod Recruitment</w:t>
            </w:r>
          </w:p>
        </w:tc>
        <w:tc>
          <w:tcPr>
            <w:tcW w:w="14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11FDFFFB" w14:textId="77777777" w:rsidR="00A42C68" w:rsidRPr="00D96F00" w:rsidRDefault="00A42C68" w:rsidP="00D96F00">
            <w:pPr>
              <w:spacing w:after="0"/>
              <w:rPr>
                <w:rFonts w:ascii="Calibri" w:hAnsi="Calibri" w:cs="Calibri"/>
                <w:sz w:val="18"/>
                <w:szCs w:val="18"/>
              </w:rPr>
            </w:pPr>
            <w:r w:rsidRPr="00D96F00">
              <w:rPr>
                <w:rFonts w:ascii="Calibri" w:hAnsi="Calibri" w:cs="Calibri"/>
                <w:sz w:val="18"/>
                <w:szCs w:val="18"/>
              </w:rPr>
              <w:t>Field sampling</w:t>
            </w: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5851FB73" w14:textId="77777777" w:rsidR="00A42C68" w:rsidRPr="007E47A5" w:rsidRDefault="00A42C68" w:rsidP="00D96F00">
            <w:pPr>
              <w:spacing w:after="0"/>
              <w:rPr>
                <w:rFonts w:ascii="Calibri" w:hAnsi="Calibri" w:cs="Calibri"/>
                <w:sz w:val="18"/>
                <w:szCs w:val="18"/>
                <w:lang w:val="en-US"/>
              </w:rPr>
            </w:pPr>
          </w:p>
        </w:tc>
        <w:tc>
          <w:tcPr>
            <w:tcW w:w="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285E9D" w14:textId="77777777" w:rsidR="00A42C68" w:rsidRPr="007E47A5" w:rsidRDefault="00A42C68" w:rsidP="00D96F00">
            <w:pPr>
              <w:spacing w:after="0"/>
              <w:rPr>
                <w:rFonts w:ascii="Calibri" w:hAnsi="Calibri" w:cs="Calibri"/>
                <w:sz w:val="18"/>
                <w:szCs w:val="18"/>
                <w:lang w:val="en-US"/>
              </w:rPr>
            </w:pPr>
          </w:p>
        </w:tc>
        <w:tc>
          <w:tcPr>
            <w:tcW w:w="1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3C2A632" w14:textId="77777777" w:rsidR="00A42C68" w:rsidRPr="007E47A5" w:rsidRDefault="00A42C68" w:rsidP="00D96F00">
            <w:pPr>
              <w:spacing w:after="0"/>
              <w:rPr>
                <w:rFonts w:ascii="Calibri" w:hAnsi="Calibri" w:cs="Calibri"/>
                <w:sz w:val="18"/>
                <w:szCs w:val="18"/>
                <w:lang w:val="en-US"/>
              </w:rPr>
            </w:pPr>
          </w:p>
        </w:tc>
        <w:tc>
          <w:tcPr>
            <w:tcW w:w="1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D6E9AFD" w14:textId="77777777" w:rsidR="00A42C68" w:rsidRPr="007E47A5" w:rsidRDefault="00A42C68" w:rsidP="00D96F00">
            <w:pPr>
              <w:spacing w:after="0"/>
              <w:rPr>
                <w:rFonts w:ascii="Calibri" w:hAnsi="Calibri" w:cs="Calibri"/>
                <w:sz w:val="18"/>
                <w:szCs w:val="18"/>
                <w:lang w:val="en-US"/>
              </w:rPr>
            </w:pPr>
          </w:p>
        </w:tc>
        <w:tc>
          <w:tcPr>
            <w:tcW w:w="1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073CB90D" w14:textId="77777777" w:rsidR="00A42C68" w:rsidRPr="007E47A5" w:rsidRDefault="00A42C68" w:rsidP="00D96F00">
            <w:pPr>
              <w:spacing w:after="0"/>
              <w:rPr>
                <w:rFonts w:ascii="Calibri" w:hAnsi="Calibri" w:cs="Calibri"/>
                <w:sz w:val="18"/>
                <w:szCs w:val="18"/>
                <w:lang w:val="en-US"/>
              </w:rPr>
            </w:pPr>
          </w:p>
        </w:tc>
        <w:tc>
          <w:tcPr>
            <w:tcW w:w="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3F93D2BB" w14:textId="77777777" w:rsidR="00A42C68" w:rsidRPr="007E47A5" w:rsidRDefault="00A42C68" w:rsidP="00D96F00">
            <w:pPr>
              <w:spacing w:after="0"/>
              <w:rPr>
                <w:rFonts w:ascii="Calibri" w:hAnsi="Calibri" w:cs="Calibri"/>
                <w:sz w:val="18"/>
                <w:szCs w:val="18"/>
                <w:lang w:val="en-US"/>
              </w:rPr>
            </w:pP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250833D1" w14:textId="77777777" w:rsidR="00A42C68" w:rsidRPr="007E47A5" w:rsidRDefault="00A42C68"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6B89146" w14:textId="77777777" w:rsidR="00A42C68" w:rsidRPr="007E47A5" w:rsidRDefault="00A42C68" w:rsidP="00D96F00">
            <w:pPr>
              <w:spacing w:after="0"/>
              <w:rPr>
                <w:rFonts w:ascii="Calibri" w:hAnsi="Calibri" w:cs="Calibri"/>
                <w:sz w:val="18"/>
                <w:szCs w:val="18"/>
                <w:lang w:val="en-US"/>
              </w:rPr>
            </w:pPr>
          </w:p>
        </w:tc>
        <w:tc>
          <w:tcPr>
            <w:tcW w:w="1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31A9F4AF" w14:textId="77777777" w:rsidR="00A42C68" w:rsidRPr="007E47A5" w:rsidRDefault="00A42C68" w:rsidP="00D96F00">
            <w:pPr>
              <w:spacing w:after="0"/>
              <w:jc w:val="center"/>
              <w:rPr>
                <w:rFonts w:ascii="Calibri" w:hAnsi="Calibri" w:cs="Calibri"/>
                <w:sz w:val="18"/>
                <w:szCs w:val="18"/>
                <w:lang w:val="en-US"/>
              </w:rPr>
            </w:pPr>
          </w:p>
        </w:tc>
        <w:tc>
          <w:tcPr>
            <w:tcW w:w="1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01CB7A3" w14:textId="77777777" w:rsidR="00A42C68" w:rsidRPr="007E47A5" w:rsidRDefault="00A42C68" w:rsidP="00D96F00">
            <w:pPr>
              <w:spacing w:after="0"/>
              <w:jc w:val="center"/>
              <w:rPr>
                <w:rFonts w:ascii="Calibri" w:hAnsi="Calibri" w:cs="Calibri"/>
                <w:sz w:val="18"/>
                <w:szCs w:val="18"/>
                <w:lang w:val="en-US"/>
              </w:rPr>
            </w:pPr>
          </w:p>
        </w:tc>
        <w:tc>
          <w:tcPr>
            <w:tcW w:w="1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8BDCECB" w14:textId="77777777" w:rsidR="00A42C68" w:rsidRPr="007E47A5" w:rsidRDefault="00A42C68" w:rsidP="00D96F00">
            <w:pPr>
              <w:spacing w:after="0"/>
              <w:jc w:val="center"/>
              <w:rPr>
                <w:rFonts w:ascii="Calibri" w:hAnsi="Calibri" w:cs="Calibri"/>
                <w:sz w:val="18"/>
                <w:szCs w:val="18"/>
                <w:lang w:val="en-US"/>
              </w:rPr>
            </w:pPr>
          </w:p>
        </w:tc>
        <w:tc>
          <w:tcPr>
            <w:tcW w:w="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4B30EC6" w14:textId="77777777" w:rsidR="00A42C68" w:rsidRPr="007E47A5" w:rsidRDefault="00A42C68"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44A9147" w14:textId="77777777" w:rsidR="00A42C68" w:rsidRPr="007E47A5" w:rsidRDefault="00A42C68" w:rsidP="00D96F00">
            <w:pPr>
              <w:spacing w:after="0"/>
              <w:jc w:val="center"/>
              <w:rPr>
                <w:rFonts w:ascii="Calibri" w:hAnsi="Calibri" w:cs="Calibri"/>
                <w:sz w:val="18"/>
                <w:szCs w:val="18"/>
                <w:lang w:val="en-US"/>
              </w:rPr>
            </w:pPr>
          </w:p>
        </w:tc>
        <w:tc>
          <w:tcPr>
            <w:tcW w:w="1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BB43858" w14:textId="77777777" w:rsidR="00A42C68" w:rsidRPr="007E47A5" w:rsidRDefault="00A42C68" w:rsidP="00D96F00">
            <w:pPr>
              <w:spacing w:after="0"/>
              <w:rPr>
                <w:rFonts w:ascii="Calibri" w:hAnsi="Calibri" w:cs="Calibri"/>
                <w:sz w:val="18"/>
                <w:szCs w:val="18"/>
                <w:lang w:val="en-US"/>
              </w:rPr>
            </w:pPr>
          </w:p>
        </w:tc>
        <w:tc>
          <w:tcPr>
            <w:tcW w:w="1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BE262DB" w14:textId="77777777" w:rsidR="00A42C68" w:rsidRPr="007E47A5" w:rsidRDefault="00A42C68" w:rsidP="00D96F00">
            <w:pPr>
              <w:spacing w:after="0"/>
              <w:rPr>
                <w:rFonts w:ascii="Calibri" w:hAnsi="Calibri" w:cs="Calibri"/>
                <w:sz w:val="18"/>
                <w:szCs w:val="18"/>
                <w:lang w:val="en-US"/>
              </w:rPr>
            </w:pPr>
          </w:p>
        </w:tc>
        <w:tc>
          <w:tcPr>
            <w:tcW w:w="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6F75210" w14:textId="77777777" w:rsidR="00A42C68" w:rsidRPr="007E47A5" w:rsidRDefault="00A42C68" w:rsidP="00D96F00">
            <w:pPr>
              <w:spacing w:after="0"/>
              <w:rPr>
                <w:rFonts w:ascii="Calibri" w:hAnsi="Calibri" w:cs="Calibri"/>
                <w:sz w:val="18"/>
                <w:szCs w:val="18"/>
                <w:lang w:val="en-US"/>
              </w:rPr>
            </w:pPr>
          </w:p>
        </w:tc>
        <w:tc>
          <w:tcPr>
            <w:tcW w:w="1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2913F5DF" w14:textId="77777777" w:rsidR="00A42C68" w:rsidRPr="007E47A5" w:rsidRDefault="00A42C68"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7DCC3F7A" w14:textId="77777777" w:rsidR="00A42C68" w:rsidRPr="007E47A5" w:rsidRDefault="00A42C68" w:rsidP="00D96F00">
            <w:pPr>
              <w:spacing w:after="0"/>
              <w:rPr>
                <w:rFonts w:ascii="Calibri" w:hAnsi="Calibri" w:cs="Calibri"/>
                <w:sz w:val="18"/>
                <w:szCs w:val="18"/>
                <w:lang w:val="en-US"/>
              </w:rPr>
            </w:pPr>
          </w:p>
        </w:tc>
      </w:tr>
      <w:tr w:rsidR="00A42C68" w:rsidRPr="007E47A5" w14:paraId="060F5280" w14:textId="77777777" w:rsidTr="00D96F00">
        <w:trPr>
          <w:trHeight w:val="70"/>
          <w:jc w:val="center"/>
        </w:trPr>
        <w:tc>
          <w:tcPr>
            <w:tcW w:w="1171" w:type="pct"/>
            <w:vMerge/>
            <w:tcBorders>
              <w:left w:val="single" w:sz="4" w:space="0" w:color="auto"/>
              <w:right w:val="single" w:sz="4" w:space="0" w:color="A6A6A6" w:themeColor="background1" w:themeShade="A6"/>
            </w:tcBorders>
            <w:shd w:val="clear" w:color="auto" w:fill="auto"/>
            <w:vAlign w:val="center"/>
          </w:tcPr>
          <w:p w14:paraId="2D0E2E68" w14:textId="77777777" w:rsidR="00A42C68" w:rsidRDefault="00A42C68" w:rsidP="00D96F00">
            <w:pPr>
              <w:spacing w:after="0"/>
              <w:rPr>
                <w:rFonts w:ascii="Calibri" w:hAnsi="Calibri" w:cs="Calibri"/>
                <w:sz w:val="19"/>
                <w:szCs w:val="19"/>
                <w:lang w:val="en-US"/>
              </w:rPr>
            </w:pPr>
          </w:p>
        </w:tc>
        <w:tc>
          <w:tcPr>
            <w:tcW w:w="14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1417277F" w14:textId="77777777" w:rsidR="00A42C68" w:rsidRPr="00D96F00" w:rsidRDefault="00A42C68" w:rsidP="00D96F00">
            <w:pPr>
              <w:spacing w:after="0"/>
              <w:rPr>
                <w:rFonts w:ascii="Calibri" w:hAnsi="Calibri" w:cs="Calibri"/>
                <w:sz w:val="18"/>
                <w:szCs w:val="18"/>
              </w:rPr>
            </w:pPr>
            <w:r w:rsidRPr="00D96F00">
              <w:rPr>
                <w:rFonts w:ascii="Calibri" w:hAnsi="Calibri" w:cs="Calibri"/>
                <w:sz w:val="18"/>
                <w:szCs w:val="18"/>
              </w:rPr>
              <w:t>Lab larval sorting/fish processing</w:t>
            </w: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5752F333" w14:textId="77777777" w:rsidR="00A42C68" w:rsidRPr="007E47A5" w:rsidRDefault="00A42C68" w:rsidP="00D96F00">
            <w:pPr>
              <w:spacing w:after="0"/>
              <w:rPr>
                <w:rFonts w:ascii="Calibri" w:hAnsi="Calibri" w:cs="Calibri"/>
                <w:sz w:val="18"/>
                <w:szCs w:val="18"/>
                <w:lang w:val="en-US"/>
              </w:rPr>
            </w:pPr>
          </w:p>
        </w:tc>
        <w:tc>
          <w:tcPr>
            <w:tcW w:w="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48D0FB" w14:textId="77777777" w:rsidR="00A42C68" w:rsidRPr="007E47A5" w:rsidRDefault="00A42C68" w:rsidP="00D96F00">
            <w:pPr>
              <w:spacing w:after="0"/>
              <w:rPr>
                <w:rFonts w:ascii="Calibri" w:hAnsi="Calibri" w:cs="Calibri"/>
                <w:sz w:val="18"/>
                <w:szCs w:val="18"/>
                <w:lang w:val="en-US"/>
              </w:rPr>
            </w:pPr>
          </w:p>
        </w:tc>
        <w:tc>
          <w:tcPr>
            <w:tcW w:w="1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88604C7" w14:textId="77777777" w:rsidR="00A42C68" w:rsidRPr="007E47A5" w:rsidRDefault="00A42C68" w:rsidP="00D96F00">
            <w:pPr>
              <w:spacing w:after="0"/>
              <w:rPr>
                <w:rFonts w:ascii="Calibri" w:hAnsi="Calibri" w:cs="Calibri"/>
                <w:sz w:val="18"/>
                <w:szCs w:val="18"/>
                <w:lang w:val="en-US"/>
              </w:rPr>
            </w:pPr>
          </w:p>
        </w:tc>
        <w:tc>
          <w:tcPr>
            <w:tcW w:w="1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87206BB" w14:textId="77777777" w:rsidR="00A42C68" w:rsidRPr="007E47A5" w:rsidRDefault="00A42C68" w:rsidP="00D96F00">
            <w:pPr>
              <w:spacing w:after="0"/>
              <w:rPr>
                <w:rFonts w:ascii="Calibri" w:hAnsi="Calibri" w:cs="Calibri"/>
                <w:sz w:val="18"/>
                <w:szCs w:val="18"/>
                <w:lang w:val="en-US"/>
              </w:rPr>
            </w:pPr>
          </w:p>
        </w:tc>
        <w:tc>
          <w:tcPr>
            <w:tcW w:w="1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797915DD" w14:textId="77777777" w:rsidR="00A42C68" w:rsidRPr="007E47A5" w:rsidRDefault="00A42C68" w:rsidP="00D96F00">
            <w:pPr>
              <w:spacing w:after="0"/>
              <w:rPr>
                <w:rFonts w:ascii="Calibri" w:hAnsi="Calibri" w:cs="Calibri"/>
                <w:sz w:val="18"/>
                <w:szCs w:val="18"/>
                <w:lang w:val="en-US"/>
              </w:rPr>
            </w:pPr>
          </w:p>
        </w:tc>
        <w:tc>
          <w:tcPr>
            <w:tcW w:w="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noWrap/>
            <w:vAlign w:val="bottom"/>
          </w:tcPr>
          <w:p w14:paraId="3548A8A3" w14:textId="77777777" w:rsidR="00A42C68" w:rsidRPr="007E47A5" w:rsidRDefault="00A42C68" w:rsidP="00D96F00">
            <w:pPr>
              <w:spacing w:after="0"/>
              <w:rPr>
                <w:rFonts w:ascii="Calibri" w:hAnsi="Calibri" w:cs="Calibri"/>
                <w:sz w:val="18"/>
                <w:szCs w:val="18"/>
                <w:lang w:val="en-US"/>
              </w:rPr>
            </w:pP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3F7A37AD" w14:textId="77777777" w:rsidR="00A42C68" w:rsidRPr="007E47A5" w:rsidRDefault="00A42C68"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EB6C61B" w14:textId="77777777" w:rsidR="00A42C68" w:rsidRPr="007E47A5" w:rsidRDefault="00A42C68" w:rsidP="00D96F00">
            <w:pPr>
              <w:spacing w:after="0"/>
              <w:rPr>
                <w:rFonts w:ascii="Calibri" w:hAnsi="Calibri" w:cs="Calibri"/>
                <w:sz w:val="18"/>
                <w:szCs w:val="18"/>
                <w:lang w:val="en-US"/>
              </w:rPr>
            </w:pPr>
          </w:p>
        </w:tc>
        <w:tc>
          <w:tcPr>
            <w:tcW w:w="1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54DAE6FA" w14:textId="77777777" w:rsidR="00A42C68" w:rsidRPr="007E47A5" w:rsidRDefault="00A42C68" w:rsidP="00D96F00">
            <w:pPr>
              <w:spacing w:after="0"/>
              <w:jc w:val="center"/>
              <w:rPr>
                <w:rFonts w:ascii="Calibri" w:hAnsi="Calibri" w:cs="Calibri"/>
                <w:sz w:val="18"/>
                <w:szCs w:val="18"/>
                <w:lang w:val="en-US"/>
              </w:rPr>
            </w:pPr>
          </w:p>
        </w:tc>
        <w:tc>
          <w:tcPr>
            <w:tcW w:w="1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6CDBF79C" w14:textId="77777777" w:rsidR="00A42C68" w:rsidRPr="007E47A5" w:rsidRDefault="00A42C68" w:rsidP="00D96F00">
            <w:pPr>
              <w:spacing w:after="0"/>
              <w:jc w:val="center"/>
              <w:rPr>
                <w:rFonts w:ascii="Calibri" w:hAnsi="Calibri" w:cs="Calibri"/>
                <w:sz w:val="18"/>
                <w:szCs w:val="18"/>
                <w:lang w:val="en-US"/>
              </w:rPr>
            </w:pPr>
          </w:p>
        </w:tc>
        <w:tc>
          <w:tcPr>
            <w:tcW w:w="1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DB70000" w14:textId="77777777" w:rsidR="00A42C68" w:rsidRPr="007E47A5" w:rsidRDefault="00A42C68" w:rsidP="00D96F00">
            <w:pPr>
              <w:spacing w:after="0"/>
              <w:jc w:val="center"/>
              <w:rPr>
                <w:rFonts w:ascii="Calibri" w:hAnsi="Calibri" w:cs="Calibri"/>
                <w:sz w:val="18"/>
                <w:szCs w:val="18"/>
                <w:lang w:val="en-US"/>
              </w:rPr>
            </w:pPr>
          </w:p>
        </w:tc>
        <w:tc>
          <w:tcPr>
            <w:tcW w:w="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087E23C" w14:textId="77777777" w:rsidR="00A42C68" w:rsidRPr="007E47A5" w:rsidRDefault="00A42C68"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7FED04A" w14:textId="77777777" w:rsidR="00A42C68" w:rsidRPr="007E47A5" w:rsidRDefault="00A42C68" w:rsidP="00D96F00">
            <w:pPr>
              <w:spacing w:after="0"/>
              <w:jc w:val="center"/>
              <w:rPr>
                <w:rFonts w:ascii="Calibri" w:hAnsi="Calibri" w:cs="Calibri"/>
                <w:sz w:val="18"/>
                <w:szCs w:val="18"/>
                <w:lang w:val="en-US"/>
              </w:rPr>
            </w:pPr>
          </w:p>
        </w:tc>
        <w:tc>
          <w:tcPr>
            <w:tcW w:w="1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589A571" w14:textId="77777777" w:rsidR="00A42C68" w:rsidRPr="007E47A5" w:rsidRDefault="00A42C68" w:rsidP="00D96F00">
            <w:pPr>
              <w:spacing w:after="0"/>
              <w:rPr>
                <w:rFonts w:ascii="Calibri" w:hAnsi="Calibri" w:cs="Calibri"/>
                <w:sz w:val="18"/>
                <w:szCs w:val="18"/>
                <w:lang w:val="en-US"/>
              </w:rPr>
            </w:pPr>
          </w:p>
        </w:tc>
        <w:tc>
          <w:tcPr>
            <w:tcW w:w="1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C9C9720" w14:textId="77777777" w:rsidR="00A42C68" w:rsidRPr="007E47A5" w:rsidRDefault="00A42C68" w:rsidP="00D96F00">
            <w:pPr>
              <w:spacing w:after="0"/>
              <w:rPr>
                <w:rFonts w:ascii="Calibri" w:hAnsi="Calibri" w:cs="Calibri"/>
                <w:sz w:val="18"/>
                <w:szCs w:val="18"/>
                <w:lang w:val="en-US"/>
              </w:rPr>
            </w:pPr>
          </w:p>
        </w:tc>
        <w:tc>
          <w:tcPr>
            <w:tcW w:w="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E5E6D81" w14:textId="77777777" w:rsidR="00A42C68" w:rsidRPr="007E47A5" w:rsidRDefault="00A42C68" w:rsidP="00D96F00">
            <w:pPr>
              <w:spacing w:after="0"/>
              <w:rPr>
                <w:rFonts w:ascii="Calibri" w:hAnsi="Calibri" w:cs="Calibri"/>
                <w:sz w:val="18"/>
                <w:szCs w:val="18"/>
                <w:lang w:val="en-US"/>
              </w:rPr>
            </w:pPr>
          </w:p>
        </w:tc>
        <w:tc>
          <w:tcPr>
            <w:tcW w:w="1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379BE79F" w14:textId="77777777" w:rsidR="00A42C68" w:rsidRPr="007E47A5" w:rsidRDefault="00A42C68"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noWrap/>
            <w:vAlign w:val="bottom"/>
          </w:tcPr>
          <w:p w14:paraId="73119F0B" w14:textId="77777777" w:rsidR="00A42C68" w:rsidRPr="007E47A5" w:rsidRDefault="00A42C68" w:rsidP="00D96F00">
            <w:pPr>
              <w:spacing w:after="0"/>
              <w:rPr>
                <w:rFonts w:ascii="Calibri" w:hAnsi="Calibri" w:cs="Calibri"/>
                <w:sz w:val="18"/>
                <w:szCs w:val="18"/>
                <w:lang w:val="en-US"/>
              </w:rPr>
            </w:pPr>
          </w:p>
        </w:tc>
      </w:tr>
      <w:tr w:rsidR="00A42C68" w:rsidRPr="007E47A5" w14:paraId="167FB67B" w14:textId="77777777" w:rsidTr="00D96F00">
        <w:trPr>
          <w:trHeight w:val="70"/>
          <w:jc w:val="center"/>
        </w:trPr>
        <w:tc>
          <w:tcPr>
            <w:tcW w:w="1171" w:type="pct"/>
            <w:vMerge/>
            <w:tcBorders>
              <w:left w:val="single" w:sz="4" w:space="0" w:color="auto"/>
              <w:right w:val="single" w:sz="4" w:space="0" w:color="A6A6A6" w:themeColor="background1" w:themeShade="A6"/>
            </w:tcBorders>
            <w:shd w:val="clear" w:color="auto" w:fill="auto"/>
            <w:vAlign w:val="center"/>
          </w:tcPr>
          <w:p w14:paraId="14DCA263" w14:textId="77777777" w:rsidR="00A42C68" w:rsidRDefault="00A42C68" w:rsidP="00D96F00">
            <w:pPr>
              <w:spacing w:after="0"/>
              <w:rPr>
                <w:rFonts w:ascii="Calibri" w:hAnsi="Calibri" w:cs="Calibri"/>
                <w:sz w:val="19"/>
                <w:szCs w:val="19"/>
                <w:lang w:val="en-US"/>
              </w:rPr>
            </w:pPr>
          </w:p>
        </w:tc>
        <w:tc>
          <w:tcPr>
            <w:tcW w:w="14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6F4E780B" w14:textId="77777777" w:rsidR="00A42C68" w:rsidRPr="00D96F00" w:rsidRDefault="00A42C68" w:rsidP="00D96F00">
            <w:pPr>
              <w:spacing w:after="0"/>
              <w:rPr>
                <w:rFonts w:ascii="Calibri" w:hAnsi="Calibri" w:cs="Calibri"/>
                <w:sz w:val="18"/>
                <w:szCs w:val="18"/>
              </w:rPr>
            </w:pPr>
            <w:r w:rsidRPr="00D96F00">
              <w:rPr>
                <w:rFonts w:ascii="Calibri" w:hAnsi="Calibri" w:cs="Calibri"/>
                <w:sz w:val="18"/>
                <w:szCs w:val="18"/>
              </w:rPr>
              <w:t>Lab ageing/otolith measurements</w:t>
            </w: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30603429" w14:textId="77777777" w:rsidR="00A42C68" w:rsidRPr="007E47A5" w:rsidRDefault="00A42C68" w:rsidP="00D96F00">
            <w:pPr>
              <w:spacing w:after="0"/>
              <w:rPr>
                <w:rFonts w:ascii="Calibri" w:hAnsi="Calibri" w:cs="Calibri"/>
                <w:sz w:val="18"/>
                <w:szCs w:val="18"/>
                <w:lang w:val="en-US"/>
              </w:rPr>
            </w:pPr>
          </w:p>
        </w:tc>
        <w:tc>
          <w:tcPr>
            <w:tcW w:w="1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BDCD9A" w14:textId="77777777" w:rsidR="00A42C68" w:rsidRPr="007E47A5" w:rsidRDefault="00A42C68" w:rsidP="00D96F00">
            <w:pPr>
              <w:spacing w:after="0"/>
              <w:rPr>
                <w:rFonts w:ascii="Calibri" w:hAnsi="Calibri" w:cs="Calibri"/>
                <w:sz w:val="18"/>
                <w:szCs w:val="18"/>
                <w:lang w:val="en-US"/>
              </w:rPr>
            </w:pPr>
          </w:p>
        </w:tc>
        <w:tc>
          <w:tcPr>
            <w:tcW w:w="1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D857C71" w14:textId="77777777" w:rsidR="00A42C68" w:rsidRPr="007E47A5" w:rsidRDefault="00A42C68" w:rsidP="00D96F00">
            <w:pPr>
              <w:spacing w:after="0"/>
              <w:rPr>
                <w:rFonts w:ascii="Calibri" w:hAnsi="Calibri" w:cs="Calibri"/>
                <w:sz w:val="18"/>
                <w:szCs w:val="18"/>
                <w:lang w:val="en-US"/>
              </w:rPr>
            </w:pPr>
          </w:p>
        </w:tc>
        <w:tc>
          <w:tcPr>
            <w:tcW w:w="1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503B951" w14:textId="77777777" w:rsidR="00A42C68" w:rsidRPr="007E47A5" w:rsidRDefault="00A42C68" w:rsidP="00D96F00">
            <w:pPr>
              <w:spacing w:after="0"/>
              <w:rPr>
                <w:rFonts w:ascii="Calibri" w:hAnsi="Calibri" w:cs="Calibri"/>
                <w:sz w:val="18"/>
                <w:szCs w:val="18"/>
                <w:lang w:val="en-US"/>
              </w:rPr>
            </w:pPr>
          </w:p>
        </w:tc>
        <w:tc>
          <w:tcPr>
            <w:tcW w:w="1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AE93018" w14:textId="77777777" w:rsidR="00A42C68" w:rsidRPr="007E47A5" w:rsidRDefault="00A42C68" w:rsidP="00D96F00">
            <w:pPr>
              <w:spacing w:after="0"/>
              <w:rPr>
                <w:rFonts w:ascii="Calibri" w:hAnsi="Calibri" w:cs="Calibri"/>
                <w:sz w:val="18"/>
                <w:szCs w:val="18"/>
                <w:lang w:val="en-US"/>
              </w:rPr>
            </w:pPr>
          </w:p>
        </w:tc>
        <w:tc>
          <w:tcPr>
            <w:tcW w:w="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2EE6D020" w14:textId="77777777" w:rsidR="00A42C68" w:rsidRPr="007E47A5" w:rsidRDefault="00A42C68" w:rsidP="00D96F00">
            <w:pPr>
              <w:spacing w:after="0"/>
              <w:rPr>
                <w:rFonts w:ascii="Calibri" w:hAnsi="Calibri" w:cs="Calibri"/>
                <w:sz w:val="18"/>
                <w:szCs w:val="18"/>
                <w:lang w:val="en-US"/>
              </w:rPr>
            </w:pPr>
          </w:p>
        </w:tc>
        <w:tc>
          <w:tcPr>
            <w:tcW w:w="122"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tcPr>
          <w:p w14:paraId="67CB396F" w14:textId="77777777" w:rsidR="00A42C68" w:rsidRPr="007E47A5" w:rsidRDefault="00A42C68"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A67410B" w14:textId="77777777" w:rsidR="00A42C68" w:rsidRPr="007E47A5" w:rsidRDefault="00A42C68" w:rsidP="00D96F00">
            <w:pPr>
              <w:spacing w:after="0"/>
              <w:rPr>
                <w:rFonts w:ascii="Calibri" w:hAnsi="Calibri" w:cs="Calibri"/>
                <w:sz w:val="18"/>
                <w:szCs w:val="18"/>
                <w:lang w:val="en-US"/>
              </w:rPr>
            </w:pPr>
          </w:p>
        </w:tc>
        <w:tc>
          <w:tcPr>
            <w:tcW w:w="1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6374E83" w14:textId="77777777" w:rsidR="00A42C68" w:rsidRPr="007E47A5" w:rsidRDefault="00A42C68" w:rsidP="00D96F00">
            <w:pPr>
              <w:spacing w:after="0"/>
              <w:jc w:val="center"/>
              <w:rPr>
                <w:rFonts w:ascii="Calibri" w:hAnsi="Calibri" w:cs="Calibri"/>
                <w:sz w:val="18"/>
                <w:szCs w:val="18"/>
                <w:lang w:val="en-US"/>
              </w:rPr>
            </w:pPr>
          </w:p>
        </w:tc>
        <w:tc>
          <w:tcPr>
            <w:tcW w:w="1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2CBD9D1" w14:textId="77777777" w:rsidR="00A42C68" w:rsidRPr="007E47A5" w:rsidRDefault="00A42C68" w:rsidP="00D96F00">
            <w:pPr>
              <w:spacing w:after="0"/>
              <w:jc w:val="center"/>
              <w:rPr>
                <w:rFonts w:ascii="Calibri" w:hAnsi="Calibri" w:cs="Calibri"/>
                <w:sz w:val="18"/>
                <w:szCs w:val="18"/>
                <w:lang w:val="en-US"/>
              </w:rPr>
            </w:pPr>
          </w:p>
        </w:tc>
        <w:tc>
          <w:tcPr>
            <w:tcW w:w="1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1702C27" w14:textId="77777777" w:rsidR="00A42C68" w:rsidRPr="007E47A5" w:rsidRDefault="00A42C68" w:rsidP="00D96F00">
            <w:pPr>
              <w:spacing w:after="0"/>
              <w:jc w:val="center"/>
              <w:rPr>
                <w:rFonts w:ascii="Calibri" w:hAnsi="Calibri" w:cs="Calibri"/>
                <w:sz w:val="18"/>
                <w:szCs w:val="18"/>
                <w:lang w:val="en-US"/>
              </w:rPr>
            </w:pPr>
          </w:p>
        </w:tc>
        <w:tc>
          <w:tcPr>
            <w:tcW w:w="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75A8626" w14:textId="77777777" w:rsidR="00A42C68" w:rsidRPr="007E47A5" w:rsidRDefault="00A42C68"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06D91934" w14:textId="77777777" w:rsidR="00A42C68" w:rsidRPr="007E47A5" w:rsidRDefault="00A42C68" w:rsidP="00D96F00">
            <w:pPr>
              <w:spacing w:after="0"/>
              <w:jc w:val="center"/>
              <w:rPr>
                <w:rFonts w:ascii="Calibri" w:hAnsi="Calibri" w:cs="Calibri"/>
                <w:sz w:val="18"/>
                <w:szCs w:val="18"/>
                <w:lang w:val="en-US"/>
              </w:rPr>
            </w:pPr>
          </w:p>
        </w:tc>
        <w:tc>
          <w:tcPr>
            <w:tcW w:w="1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1A8989C" w14:textId="77777777" w:rsidR="00A42C68" w:rsidRPr="007E47A5" w:rsidRDefault="00A42C68" w:rsidP="00D96F00">
            <w:pPr>
              <w:spacing w:after="0"/>
              <w:rPr>
                <w:rFonts w:ascii="Calibri" w:hAnsi="Calibri" w:cs="Calibri"/>
                <w:sz w:val="18"/>
                <w:szCs w:val="18"/>
                <w:lang w:val="en-US"/>
              </w:rPr>
            </w:pPr>
          </w:p>
        </w:tc>
        <w:tc>
          <w:tcPr>
            <w:tcW w:w="1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BF385C4" w14:textId="77777777" w:rsidR="00A42C68" w:rsidRPr="007E47A5" w:rsidRDefault="00A42C68" w:rsidP="00D96F00">
            <w:pPr>
              <w:spacing w:after="0"/>
              <w:rPr>
                <w:rFonts w:ascii="Calibri" w:hAnsi="Calibri" w:cs="Calibri"/>
                <w:sz w:val="18"/>
                <w:szCs w:val="18"/>
                <w:lang w:val="en-US"/>
              </w:rPr>
            </w:pPr>
          </w:p>
        </w:tc>
        <w:tc>
          <w:tcPr>
            <w:tcW w:w="1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85F9C06" w14:textId="77777777" w:rsidR="00A42C68" w:rsidRPr="007E47A5" w:rsidRDefault="00A42C68" w:rsidP="00D96F00">
            <w:pPr>
              <w:spacing w:after="0"/>
              <w:rPr>
                <w:rFonts w:ascii="Calibri" w:hAnsi="Calibri" w:cs="Calibri"/>
                <w:sz w:val="18"/>
                <w:szCs w:val="18"/>
                <w:lang w:val="en-US"/>
              </w:rPr>
            </w:pPr>
          </w:p>
        </w:tc>
        <w:tc>
          <w:tcPr>
            <w:tcW w:w="1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6F17AA1" w14:textId="77777777" w:rsidR="00A42C68" w:rsidRPr="007E47A5" w:rsidRDefault="00A42C68"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58FA5445" w14:textId="77777777" w:rsidR="00A42C68" w:rsidRPr="007E47A5" w:rsidRDefault="00A42C68" w:rsidP="00D96F00">
            <w:pPr>
              <w:spacing w:after="0"/>
              <w:rPr>
                <w:rFonts w:ascii="Calibri" w:hAnsi="Calibri" w:cs="Calibri"/>
                <w:sz w:val="18"/>
                <w:szCs w:val="18"/>
                <w:lang w:val="en-US"/>
              </w:rPr>
            </w:pPr>
          </w:p>
        </w:tc>
      </w:tr>
      <w:tr w:rsidR="00A42C68" w:rsidRPr="007E47A5" w14:paraId="7C0E7007" w14:textId="77777777" w:rsidTr="00D96F00">
        <w:trPr>
          <w:trHeight w:val="32"/>
          <w:jc w:val="center"/>
        </w:trPr>
        <w:tc>
          <w:tcPr>
            <w:tcW w:w="1171" w:type="pct"/>
            <w:vMerge/>
            <w:tcBorders>
              <w:left w:val="single" w:sz="4" w:space="0" w:color="auto"/>
              <w:bottom w:val="single" w:sz="4" w:space="0" w:color="auto"/>
              <w:right w:val="single" w:sz="4" w:space="0" w:color="A6A6A6" w:themeColor="background1" w:themeShade="A6"/>
            </w:tcBorders>
            <w:shd w:val="clear" w:color="auto" w:fill="auto"/>
            <w:vAlign w:val="center"/>
          </w:tcPr>
          <w:p w14:paraId="3C88573D" w14:textId="77777777" w:rsidR="00A42C68" w:rsidRPr="007E47A5" w:rsidRDefault="00A42C68" w:rsidP="00D96F00">
            <w:pPr>
              <w:spacing w:after="0"/>
              <w:rPr>
                <w:rFonts w:ascii="Calibri" w:hAnsi="Calibri" w:cs="Calibri"/>
                <w:sz w:val="18"/>
                <w:szCs w:val="18"/>
                <w:lang w:val="en-US"/>
              </w:rPr>
            </w:pPr>
          </w:p>
        </w:tc>
        <w:tc>
          <w:tcPr>
            <w:tcW w:w="1411" w:type="pct"/>
            <w:tcBorders>
              <w:top w:val="single" w:sz="4" w:space="0" w:color="A6A6A6" w:themeColor="background1" w:themeShade="A6"/>
              <w:left w:val="single" w:sz="4" w:space="0" w:color="A6A6A6" w:themeColor="background1" w:themeShade="A6"/>
              <w:bottom w:val="single" w:sz="4" w:space="0" w:color="auto"/>
              <w:right w:val="single" w:sz="4" w:space="0" w:color="auto"/>
            </w:tcBorders>
            <w:shd w:val="clear" w:color="auto" w:fill="auto"/>
            <w:noWrap/>
            <w:vAlign w:val="bottom"/>
          </w:tcPr>
          <w:p w14:paraId="55878EBC" w14:textId="77777777" w:rsidR="00A42C68" w:rsidRPr="00D96F00" w:rsidRDefault="00A42C68" w:rsidP="00D96F00">
            <w:pPr>
              <w:spacing w:after="0"/>
              <w:rPr>
                <w:rFonts w:ascii="Calibri" w:hAnsi="Calibri" w:cs="Calibri"/>
                <w:sz w:val="18"/>
                <w:szCs w:val="18"/>
              </w:rPr>
            </w:pPr>
            <w:r w:rsidRPr="00D96F00">
              <w:rPr>
                <w:rFonts w:ascii="Calibri" w:hAnsi="Calibri" w:cs="Calibri"/>
                <w:sz w:val="18"/>
                <w:szCs w:val="18"/>
              </w:rPr>
              <w:t>Data entry, analysis &amp; reporting</w:t>
            </w:r>
          </w:p>
        </w:tc>
        <w:tc>
          <w:tcPr>
            <w:tcW w:w="122" w:type="pct"/>
            <w:tcBorders>
              <w:top w:val="single" w:sz="4" w:space="0" w:color="A6A6A6" w:themeColor="background1" w:themeShade="A6"/>
              <w:left w:val="single" w:sz="4" w:space="0" w:color="auto"/>
              <w:bottom w:val="single" w:sz="4" w:space="0" w:color="auto"/>
              <w:right w:val="single" w:sz="4" w:space="0" w:color="A6A6A6" w:themeColor="background1" w:themeShade="A6"/>
            </w:tcBorders>
          </w:tcPr>
          <w:p w14:paraId="4C7B9864" w14:textId="77777777" w:rsidR="00A42C68" w:rsidRPr="007E47A5" w:rsidRDefault="00A42C68" w:rsidP="00D96F00">
            <w:pPr>
              <w:spacing w:after="0"/>
              <w:rPr>
                <w:rFonts w:ascii="Calibri" w:hAnsi="Calibri" w:cs="Calibri"/>
                <w:sz w:val="18"/>
                <w:szCs w:val="18"/>
                <w:lang w:val="en-US"/>
              </w:rPr>
            </w:pPr>
          </w:p>
        </w:tc>
        <w:tc>
          <w:tcPr>
            <w:tcW w:w="140"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3C9202DA" w14:textId="77777777" w:rsidR="00A42C68" w:rsidRPr="007E47A5" w:rsidRDefault="00A42C68" w:rsidP="00D96F00">
            <w:pPr>
              <w:spacing w:after="0"/>
              <w:rPr>
                <w:rFonts w:ascii="Calibri" w:hAnsi="Calibri" w:cs="Calibri"/>
                <w:sz w:val="18"/>
                <w:szCs w:val="18"/>
                <w:lang w:val="en-US"/>
              </w:rPr>
            </w:pPr>
          </w:p>
        </w:tc>
        <w:tc>
          <w:tcPr>
            <w:tcW w:w="131"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14:paraId="48844CD2" w14:textId="77777777" w:rsidR="00A42C68" w:rsidRPr="007E47A5" w:rsidRDefault="00A42C68" w:rsidP="00D96F00">
            <w:pPr>
              <w:spacing w:after="0"/>
              <w:rPr>
                <w:rFonts w:ascii="Calibri" w:hAnsi="Calibri" w:cs="Calibri"/>
                <w:sz w:val="18"/>
                <w:szCs w:val="18"/>
                <w:lang w:val="en-US"/>
              </w:rPr>
            </w:pPr>
          </w:p>
        </w:tc>
        <w:tc>
          <w:tcPr>
            <w:tcW w:w="147"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14:paraId="1683F626" w14:textId="77777777" w:rsidR="00A42C68" w:rsidRPr="007E47A5" w:rsidRDefault="00A42C68" w:rsidP="00D96F00">
            <w:pPr>
              <w:spacing w:after="0"/>
              <w:rPr>
                <w:rFonts w:ascii="Calibri" w:hAnsi="Calibri" w:cs="Calibri"/>
                <w:sz w:val="18"/>
                <w:szCs w:val="18"/>
                <w:lang w:val="en-US"/>
              </w:rPr>
            </w:pPr>
          </w:p>
        </w:tc>
        <w:tc>
          <w:tcPr>
            <w:tcW w:w="145"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14:paraId="5F86CBD2" w14:textId="77777777" w:rsidR="00A42C68" w:rsidRPr="007E47A5" w:rsidRDefault="00A42C68" w:rsidP="00D96F00">
            <w:pPr>
              <w:spacing w:after="0"/>
              <w:rPr>
                <w:rFonts w:ascii="Calibri" w:hAnsi="Calibri" w:cs="Calibri"/>
                <w:sz w:val="18"/>
                <w:szCs w:val="18"/>
                <w:lang w:val="en-US"/>
              </w:rPr>
            </w:pPr>
          </w:p>
        </w:tc>
        <w:tc>
          <w:tcPr>
            <w:tcW w:w="149" w:type="pct"/>
            <w:tcBorders>
              <w:top w:val="single" w:sz="4" w:space="0" w:color="A6A6A6" w:themeColor="background1" w:themeShade="A6"/>
              <w:left w:val="single" w:sz="4" w:space="0" w:color="A6A6A6" w:themeColor="background1" w:themeShade="A6"/>
              <w:bottom w:val="single" w:sz="4" w:space="0" w:color="auto"/>
              <w:right w:val="single" w:sz="4" w:space="0" w:color="auto"/>
            </w:tcBorders>
            <w:shd w:val="clear" w:color="auto" w:fill="auto"/>
            <w:noWrap/>
            <w:vAlign w:val="bottom"/>
          </w:tcPr>
          <w:p w14:paraId="51462416" w14:textId="77777777" w:rsidR="00A42C68" w:rsidRPr="007E47A5" w:rsidRDefault="00A42C68" w:rsidP="00D96F00">
            <w:pPr>
              <w:spacing w:after="0"/>
              <w:rPr>
                <w:rFonts w:ascii="Calibri" w:hAnsi="Calibri" w:cs="Calibri"/>
                <w:sz w:val="18"/>
                <w:szCs w:val="18"/>
                <w:lang w:val="en-US"/>
              </w:rPr>
            </w:pPr>
          </w:p>
        </w:tc>
        <w:tc>
          <w:tcPr>
            <w:tcW w:w="122" w:type="pct"/>
            <w:tcBorders>
              <w:top w:val="single" w:sz="4" w:space="0" w:color="A6A6A6" w:themeColor="background1" w:themeShade="A6"/>
              <w:left w:val="single" w:sz="4" w:space="0" w:color="auto"/>
              <w:bottom w:val="single" w:sz="4" w:space="0" w:color="auto"/>
              <w:right w:val="single" w:sz="4" w:space="0" w:color="A6A6A6" w:themeColor="background1" w:themeShade="A6"/>
            </w:tcBorders>
            <w:shd w:val="clear" w:color="auto" w:fill="auto"/>
            <w:noWrap/>
            <w:vAlign w:val="bottom"/>
          </w:tcPr>
          <w:p w14:paraId="0AE32FF2" w14:textId="77777777" w:rsidR="00A42C68" w:rsidRPr="007E47A5" w:rsidRDefault="00A42C68"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14:paraId="48B3031F" w14:textId="77777777" w:rsidR="00A42C68" w:rsidRPr="007E47A5" w:rsidRDefault="00A42C68" w:rsidP="00D96F00">
            <w:pPr>
              <w:spacing w:after="0"/>
              <w:rPr>
                <w:rFonts w:ascii="Calibri" w:hAnsi="Calibri" w:cs="Calibri"/>
                <w:sz w:val="18"/>
                <w:szCs w:val="18"/>
                <w:lang w:val="en-US"/>
              </w:rPr>
            </w:pPr>
          </w:p>
        </w:tc>
        <w:tc>
          <w:tcPr>
            <w:tcW w:w="158"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14:paraId="168B9C8C" w14:textId="77777777" w:rsidR="00A42C68" w:rsidRPr="007E47A5" w:rsidRDefault="00A42C68" w:rsidP="00D96F00">
            <w:pPr>
              <w:spacing w:after="0"/>
              <w:jc w:val="center"/>
              <w:rPr>
                <w:rFonts w:ascii="Calibri" w:hAnsi="Calibri" w:cs="Calibri"/>
                <w:sz w:val="18"/>
                <w:szCs w:val="18"/>
                <w:lang w:val="en-US"/>
              </w:rPr>
            </w:pPr>
          </w:p>
        </w:tc>
        <w:tc>
          <w:tcPr>
            <w:tcW w:w="139"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14:paraId="05016A00" w14:textId="77777777" w:rsidR="00A42C68" w:rsidRPr="007E47A5" w:rsidRDefault="00A42C68" w:rsidP="00D96F00">
            <w:pPr>
              <w:spacing w:after="0"/>
              <w:jc w:val="center"/>
              <w:rPr>
                <w:rFonts w:ascii="Calibri" w:hAnsi="Calibri" w:cs="Calibri"/>
                <w:sz w:val="18"/>
                <w:szCs w:val="18"/>
                <w:lang w:val="en-US"/>
              </w:rPr>
            </w:pPr>
          </w:p>
        </w:tc>
        <w:tc>
          <w:tcPr>
            <w:tcW w:w="159"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14:paraId="224C2BE3" w14:textId="77777777" w:rsidR="00A42C68" w:rsidRPr="007E47A5" w:rsidRDefault="00A42C68" w:rsidP="00D96F00">
            <w:pPr>
              <w:spacing w:after="0"/>
              <w:jc w:val="center"/>
              <w:rPr>
                <w:rFonts w:ascii="Calibri" w:hAnsi="Calibri" w:cs="Calibri"/>
                <w:sz w:val="18"/>
                <w:szCs w:val="18"/>
                <w:lang w:val="en-US"/>
              </w:rPr>
            </w:pPr>
          </w:p>
        </w:tc>
        <w:tc>
          <w:tcPr>
            <w:tcW w:w="108"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14:paraId="5F3C6B8B" w14:textId="77777777" w:rsidR="00A42C68" w:rsidRPr="007E47A5" w:rsidRDefault="00A42C68"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14:paraId="2BF6A9A9" w14:textId="77777777" w:rsidR="00A42C68" w:rsidRPr="007E47A5" w:rsidRDefault="00A42C68" w:rsidP="00D96F00">
            <w:pPr>
              <w:spacing w:after="0"/>
              <w:jc w:val="center"/>
              <w:rPr>
                <w:rFonts w:ascii="Calibri" w:hAnsi="Calibri" w:cs="Calibri"/>
                <w:sz w:val="18"/>
                <w:szCs w:val="18"/>
                <w:lang w:val="en-US"/>
              </w:rPr>
            </w:pPr>
          </w:p>
        </w:tc>
        <w:tc>
          <w:tcPr>
            <w:tcW w:w="134"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noWrap/>
            <w:vAlign w:val="bottom"/>
          </w:tcPr>
          <w:p w14:paraId="30D77D08" w14:textId="77777777" w:rsidR="00A42C68" w:rsidRPr="007E47A5" w:rsidRDefault="00A42C68" w:rsidP="00D96F00">
            <w:pPr>
              <w:spacing w:after="0"/>
              <w:rPr>
                <w:rFonts w:ascii="Calibri" w:hAnsi="Calibri" w:cs="Calibri"/>
                <w:sz w:val="18"/>
                <w:szCs w:val="18"/>
                <w:lang w:val="en-US"/>
              </w:rPr>
            </w:pPr>
          </w:p>
        </w:tc>
        <w:tc>
          <w:tcPr>
            <w:tcW w:w="117"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noWrap/>
            <w:vAlign w:val="bottom"/>
          </w:tcPr>
          <w:p w14:paraId="55E45E11" w14:textId="77777777" w:rsidR="00A42C68" w:rsidRPr="007E47A5" w:rsidRDefault="00A42C68" w:rsidP="00D96F00">
            <w:pPr>
              <w:spacing w:after="0"/>
              <w:rPr>
                <w:rFonts w:ascii="Calibri" w:hAnsi="Calibri" w:cs="Calibri"/>
                <w:sz w:val="18"/>
                <w:szCs w:val="18"/>
                <w:lang w:val="en-US"/>
              </w:rPr>
            </w:pPr>
          </w:p>
        </w:tc>
        <w:tc>
          <w:tcPr>
            <w:tcW w:w="156"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noWrap/>
            <w:vAlign w:val="bottom"/>
          </w:tcPr>
          <w:p w14:paraId="34F99AED" w14:textId="77777777" w:rsidR="00A42C68" w:rsidRPr="007E47A5" w:rsidRDefault="00A42C68" w:rsidP="00D96F00">
            <w:pPr>
              <w:spacing w:after="0"/>
              <w:rPr>
                <w:rFonts w:ascii="Calibri" w:hAnsi="Calibri" w:cs="Calibri"/>
                <w:sz w:val="18"/>
                <w:szCs w:val="18"/>
                <w:lang w:val="en-US"/>
              </w:rPr>
            </w:pPr>
          </w:p>
        </w:tc>
        <w:tc>
          <w:tcPr>
            <w:tcW w:w="144"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noWrap/>
            <w:vAlign w:val="bottom"/>
          </w:tcPr>
          <w:p w14:paraId="66B94D63" w14:textId="77777777" w:rsidR="00A42C68" w:rsidRPr="007E47A5" w:rsidRDefault="00A42C68"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uto"/>
              <w:right w:val="single" w:sz="4" w:space="0" w:color="auto"/>
            </w:tcBorders>
            <w:shd w:val="clear" w:color="auto" w:fill="D9D9D9" w:themeFill="background1" w:themeFillShade="D9"/>
            <w:noWrap/>
            <w:vAlign w:val="bottom"/>
          </w:tcPr>
          <w:p w14:paraId="6DDAC041" w14:textId="77777777" w:rsidR="00A42C68" w:rsidRPr="007E47A5" w:rsidRDefault="00A42C68" w:rsidP="00D96F00">
            <w:pPr>
              <w:spacing w:after="0"/>
              <w:rPr>
                <w:rFonts w:ascii="Calibri" w:hAnsi="Calibri" w:cs="Calibri"/>
                <w:sz w:val="18"/>
                <w:szCs w:val="18"/>
                <w:lang w:val="en-US"/>
              </w:rPr>
            </w:pPr>
          </w:p>
        </w:tc>
      </w:tr>
    </w:tbl>
    <w:p w14:paraId="1C9FC975" w14:textId="77777777" w:rsidR="00A42C68" w:rsidRDefault="00A42C68">
      <w:pPr>
        <w:spacing w:after="200" w:line="276" w:lineRule="auto"/>
        <w:jc w:val="left"/>
        <w:rPr>
          <w:b/>
          <w:sz w:val="20"/>
        </w:rPr>
      </w:pPr>
      <w:r>
        <w:br w:type="page"/>
      </w:r>
    </w:p>
    <w:p w14:paraId="526E7083" w14:textId="77777777" w:rsidR="00E57FE6" w:rsidRDefault="00E57FE6" w:rsidP="00421AED">
      <w:pPr>
        <w:pStyle w:val="TableCaption"/>
      </w:pPr>
    </w:p>
    <w:tbl>
      <w:tblPr>
        <w:tblW w:w="5211"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36"/>
        <w:gridCol w:w="3317"/>
        <w:gridCol w:w="280"/>
        <w:gridCol w:w="308"/>
        <w:gridCol w:w="387"/>
        <w:gridCol w:w="332"/>
        <w:gridCol w:w="387"/>
        <w:gridCol w:w="280"/>
        <w:gridCol w:w="280"/>
        <w:gridCol w:w="332"/>
        <w:gridCol w:w="308"/>
        <w:gridCol w:w="349"/>
        <w:gridCol w:w="346"/>
        <w:gridCol w:w="343"/>
        <w:gridCol w:w="280"/>
        <w:gridCol w:w="308"/>
        <w:gridCol w:w="387"/>
        <w:gridCol w:w="332"/>
        <w:gridCol w:w="387"/>
        <w:gridCol w:w="280"/>
        <w:gridCol w:w="280"/>
        <w:gridCol w:w="332"/>
        <w:gridCol w:w="308"/>
        <w:gridCol w:w="349"/>
        <w:gridCol w:w="346"/>
        <w:gridCol w:w="365"/>
      </w:tblGrid>
      <w:tr w:rsidR="00FC1C25" w:rsidRPr="007E47A5" w14:paraId="2879B5F9" w14:textId="77777777" w:rsidTr="00D96F00">
        <w:trPr>
          <w:trHeight w:val="20"/>
          <w:jc w:val="center"/>
        </w:trPr>
        <w:tc>
          <w:tcPr>
            <w:tcW w:w="1148" w:type="pct"/>
            <w:vMerge w:val="restart"/>
            <w:tcBorders>
              <w:top w:val="single" w:sz="4" w:space="0" w:color="auto"/>
              <w:left w:val="single" w:sz="4" w:space="0" w:color="auto"/>
            </w:tcBorders>
            <w:shd w:val="clear" w:color="auto" w:fill="BFBFBF" w:themeFill="background1" w:themeFillShade="BF"/>
            <w:noWrap/>
            <w:hideMark/>
          </w:tcPr>
          <w:p w14:paraId="55A3616C" w14:textId="77777777" w:rsidR="00FC1C25" w:rsidRPr="007E47A5" w:rsidRDefault="00FC1C25" w:rsidP="00D96F00">
            <w:pPr>
              <w:spacing w:after="0"/>
              <w:jc w:val="left"/>
              <w:rPr>
                <w:rFonts w:ascii="Calibri" w:hAnsi="Calibri" w:cs="Calibri"/>
                <w:sz w:val="20"/>
                <w:lang w:val="en-US"/>
              </w:rPr>
            </w:pPr>
            <w:r w:rsidRPr="007E47A5">
              <w:rPr>
                <w:rFonts w:ascii="Calibri" w:hAnsi="Calibri" w:cs="Calibri"/>
                <w:sz w:val="20"/>
                <w:lang w:val="en-US"/>
              </w:rPr>
              <w:t> </w:t>
            </w:r>
            <w:r w:rsidRPr="007E47A5">
              <w:rPr>
                <w:rFonts w:ascii="Calibri" w:hAnsi="Calibri" w:cs="Calibri"/>
                <w:b/>
                <w:bCs/>
                <w:sz w:val="20"/>
                <w:lang w:val="en-US"/>
              </w:rPr>
              <w:t>Indicator</w:t>
            </w:r>
          </w:p>
        </w:tc>
        <w:tc>
          <w:tcPr>
            <w:tcW w:w="1141" w:type="pct"/>
            <w:vMerge w:val="restart"/>
            <w:tcBorders>
              <w:top w:val="single" w:sz="4" w:space="0" w:color="auto"/>
              <w:right w:val="single" w:sz="4" w:space="0" w:color="auto"/>
            </w:tcBorders>
            <w:shd w:val="clear" w:color="auto" w:fill="BFBFBF" w:themeFill="background1" w:themeFillShade="BF"/>
            <w:noWrap/>
            <w:hideMark/>
          </w:tcPr>
          <w:p w14:paraId="77DD5A6A" w14:textId="77777777" w:rsidR="00FC1C25" w:rsidRPr="007E47A5" w:rsidRDefault="00FC1C25" w:rsidP="00D96F00">
            <w:pPr>
              <w:spacing w:after="0"/>
              <w:jc w:val="left"/>
              <w:rPr>
                <w:rFonts w:ascii="Calibri" w:hAnsi="Calibri" w:cs="Calibri"/>
                <w:sz w:val="20"/>
                <w:lang w:val="en-US"/>
              </w:rPr>
            </w:pPr>
            <w:r w:rsidRPr="007E47A5">
              <w:rPr>
                <w:rFonts w:ascii="Calibri" w:hAnsi="Calibri" w:cs="Calibri"/>
                <w:sz w:val="20"/>
              </w:rPr>
              <w:t> </w:t>
            </w:r>
            <w:r w:rsidRPr="007E47A5">
              <w:rPr>
                <w:rFonts w:ascii="Calibri" w:hAnsi="Calibri" w:cs="Calibri"/>
                <w:b/>
                <w:bCs/>
                <w:sz w:val="20"/>
              </w:rPr>
              <w:t>Activities</w:t>
            </w:r>
          </w:p>
        </w:tc>
        <w:tc>
          <w:tcPr>
            <w:tcW w:w="1352" w:type="pct"/>
            <w:gridSpan w:val="12"/>
            <w:tcBorders>
              <w:top w:val="single" w:sz="4" w:space="0" w:color="auto"/>
              <w:left w:val="single" w:sz="4" w:space="0" w:color="auto"/>
              <w:right w:val="single" w:sz="4" w:space="0" w:color="auto"/>
            </w:tcBorders>
            <w:shd w:val="clear" w:color="auto" w:fill="BFBFBF" w:themeFill="background1" w:themeFillShade="BF"/>
            <w:noWrap/>
            <w:vAlign w:val="bottom"/>
            <w:hideMark/>
          </w:tcPr>
          <w:p w14:paraId="01E28581" w14:textId="77777777" w:rsidR="00FC1C25" w:rsidRPr="007E47A5" w:rsidRDefault="00FC1C25" w:rsidP="00D96F00">
            <w:pPr>
              <w:spacing w:after="0"/>
              <w:jc w:val="center"/>
              <w:rPr>
                <w:rFonts w:ascii="Calibri" w:hAnsi="Calibri" w:cs="Calibri"/>
                <w:b/>
                <w:bCs/>
                <w:sz w:val="20"/>
                <w:lang w:val="en-US"/>
              </w:rPr>
            </w:pPr>
            <w:r w:rsidRPr="007E47A5">
              <w:rPr>
                <w:rFonts w:ascii="Calibri" w:hAnsi="Calibri" w:cs="Calibri"/>
                <w:b/>
                <w:bCs/>
                <w:sz w:val="20"/>
              </w:rPr>
              <w:t>20</w:t>
            </w:r>
            <w:r>
              <w:rPr>
                <w:rFonts w:ascii="Calibri" w:hAnsi="Calibri" w:cs="Calibri"/>
                <w:b/>
                <w:bCs/>
                <w:sz w:val="20"/>
              </w:rPr>
              <w:t>21</w:t>
            </w:r>
          </w:p>
        </w:tc>
        <w:tc>
          <w:tcPr>
            <w:tcW w:w="1359" w:type="pct"/>
            <w:gridSpan w:val="12"/>
            <w:tcBorders>
              <w:top w:val="single" w:sz="4" w:space="0" w:color="auto"/>
              <w:left w:val="single" w:sz="4" w:space="0" w:color="auto"/>
              <w:right w:val="single" w:sz="4" w:space="0" w:color="auto"/>
            </w:tcBorders>
            <w:shd w:val="clear" w:color="auto" w:fill="BFBFBF" w:themeFill="background1" w:themeFillShade="BF"/>
            <w:noWrap/>
            <w:vAlign w:val="bottom"/>
            <w:hideMark/>
          </w:tcPr>
          <w:p w14:paraId="6A28560A" w14:textId="77777777" w:rsidR="00FC1C25" w:rsidRPr="007E47A5" w:rsidRDefault="00FC1C25" w:rsidP="00D96F00">
            <w:pPr>
              <w:spacing w:after="0"/>
              <w:jc w:val="center"/>
              <w:rPr>
                <w:rFonts w:ascii="Calibri" w:hAnsi="Calibri" w:cs="Calibri"/>
                <w:b/>
                <w:bCs/>
                <w:sz w:val="20"/>
                <w:lang w:val="en-US"/>
              </w:rPr>
            </w:pPr>
            <w:r w:rsidRPr="007E47A5">
              <w:rPr>
                <w:rFonts w:ascii="Calibri" w:hAnsi="Calibri" w:cs="Calibri"/>
                <w:b/>
                <w:bCs/>
                <w:sz w:val="20"/>
              </w:rPr>
              <w:t>20</w:t>
            </w:r>
            <w:r>
              <w:rPr>
                <w:rFonts w:ascii="Calibri" w:hAnsi="Calibri" w:cs="Calibri"/>
                <w:b/>
                <w:bCs/>
                <w:sz w:val="20"/>
              </w:rPr>
              <w:t>22</w:t>
            </w:r>
          </w:p>
        </w:tc>
      </w:tr>
      <w:tr w:rsidR="00FC1C25" w:rsidRPr="007E47A5" w14:paraId="0B4FAAB1" w14:textId="77777777" w:rsidTr="00D96F00">
        <w:trPr>
          <w:trHeight w:val="20"/>
          <w:jc w:val="center"/>
        </w:trPr>
        <w:tc>
          <w:tcPr>
            <w:tcW w:w="1148" w:type="pct"/>
            <w:vMerge/>
            <w:tcBorders>
              <w:left w:val="single" w:sz="4" w:space="0" w:color="auto"/>
              <w:bottom w:val="single" w:sz="4" w:space="0" w:color="auto"/>
            </w:tcBorders>
            <w:shd w:val="clear" w:color="auto" w:fill="BFBFBF" w:themeFill="background1" w:themeFillShade="BF"/>
            <w:noWrap/>
            <w:vAlign w:val="bottom"/>
            <w:hideMark/>
          </w:tcPr>
          <w:p w14:paraId="6046D0FF" w14:textId="77777777" w:rsidR="00FC1C25" w:rsidRPr="007E47A5" w:rsidRDefault="00FC1C25" w:rsidP="00D96F00">
            <w:pPr>
              <w:spacing w:after="0"/>
              <w:rPr>
                <w:rFonts w:ascii="Calibri" w:hAnsi="Calibri" w:cs="Calibri"/>
                <w:b/>
                <w:bCs/>
                <w:sz w:val="20"/>
                <w:lang w:val="en-US"/>
              </w:rPr>
            </w:pPr>
          </w:p>
        </w:tc>
        <w:tc>
          <w:tcPr>
            <w:tcW w:w="1141" w:type="pct"/>
            <w:vMerge/>
            <w:tcBorders>
              <w:bottom w:val="single" w:sz="4" w:space="0" w:color="auto"/>
              <w:right w:val="single" w:sz="4" w:space="0" w:color="auto"/>
            </w:tcBorders>
            <w:shd w:val="clear" w:color="auto" w:fill="BFBFBF" w:themeFill="background1" w:themeFillShade="BF"/>
            <w:noWrap/>
            <w:vAlign w:val="bottom"/>
            <w:hideMark/>
          </w:tcPr>
          <w:p w14:paraId="17CCA1AD" w14:textId="77777777" w:rsidR="00FC1C25" w:rsidRPr="007E47A5" w:rsidRDefault="00FC1C25" w:rsidP="00D96F00">
            <w:pPr>
              <w:spacing w:after="0"/>
              <w:rPr>
                <w:rFonts w:ascii="Calibri" w:hAnsi="Calibri" w:cs="Calibri"/>
                <w:b/>
                <w:bCs/>
                <w:sz w:val="20"/>
                <w:lang w:val="en-US"/>
              </w:rPr>
            </w:pPr>
          </w:p>
        </w:tc>
        <w:tc>
          <w:tcPr>
            <w:tcW w:w="96" w:type="pct"/>
            <w:tcBorders>
              <w:left w:val="single" w:sz="4" w:space="0" w:color="auto"/>
              <w:bottom w:val="single" w:sz="4" w:space="0" w:color="auto"/>
            </w:tcBorders>
            <w:shd w:val="clear" w:color="auto" w:fill="BFBFBF" w:themeFill="background1" w:themeFillShade="BF"/>
            <w:noWrap/>
            <w:vAlign w:val="bottom"/>
            <w:hideMark/>
          </w:tcPr>
          <w:p w14:paraId="206337ED" w14:textId="77777777" w:rsidR="00FC1C25" w:rsidRPr="007E47A5" w:rsidRDefault="00FC1C25" w:rsidP="00D96F00">
            <w:pPr>
              <w:spacing w:after="0"/>
              <w:rPr>
                <w:rFonts w:ascii="Calibri" w:hAnsi="Calibri" w:cs="Calibri"/>
                <w:sz w:val="20"/>
                <w:lang w:val="en-US"/>
              </w:rPr>
            </w:pPr>
            <w:r w:rsidRPr="007E47A5">
              <w:rPr>
                <w:rFonts w:ascii="Calibri" w:hAnsi="Calibri" w:cs="Calibri"/>
                <w:sz w:val="20"/>
              </w:rPr>
              <w:t>J</w:t>
            </w:r>
          </w:p>
        </w:tc>
        <w:tc>
          <w:tcPr>
            <w:tcW w:w="106" w:type="pct"/>
            <w:tcBorders>
              <w:bottom w:val="single" w:sz="4" w:space="0" w:color="auto"/>
            </w:tcBorders>
            <w:shd w:val="clear" w:color="auto" w:fill="BFBFBF" w:themeFill="background1" w:themeFillShade="BF"/>
            <w:noWrap/>
            <w:vAlign w:val="bottom"/>
            <w:hideMark/>
          </w:tcPr>
          <w:p w14:paraId="19653CEB" w14:textId="77777777" w:rsidR="00FC1C25" w:rsidRPr="007E47A5" w:rsidRDefault="00FC1C25" w:rsidP="00D96F00">
            <w:pPr>
              <w:spacing w:after="0"/>
              <w:rPr>
                <w:rFonts w:ascii="Calibri" w:hAnsi="Calibri" w:cs="Calibri"/>
                <w:sz w:val="20"/>
                <w:lang w:val="en-US"/>
              </w:rPr>
            </w:pPr>
            <w:r w:rsidRPr="007E47A5">
              <w:rPr>
                <w:rFonts w:ascii="Calibri" w:hAnsi="Calibri" w:cs="Calibri"/>
                <w:sz w:val="20"/>
              </w:rPr>
              <w:t>F</w:t>
            </w:r>
          </w:p>
        </w:tc>
        <w:tc>
          <w:tcPr>
            <w:tcW w:w="133" w:type="pct"/>
            <w:tcBorders>
              <w:bottom w:val="single" w:sz="4" w:space="0" w:color="auto"/>
            </w:tcBorders>
            <w:shd w:val="clear" w:color="auto" w:fill="BFBFBF" w:themeFill="background1" w:themeFillShade="BF"/>
            <w:noWrap/>
            <w:vAlign w:val="bottom"/>
            <w:hideMark/>
          </w:tcPr>
          <w:p w14:paraId="5BDEB13A" w14:textId="77777777" w:rsidR="00FC1C25" w:rsidRPr="007E47A5" w:rsidRDefault="00FC1C25" w:rsidP="00D96F00">
            <w:pPr>
              <w:spacing w:after="0"/>
              <w:rPr>
                <w:rFonts w:ascii="Calibri" w:hAnsi="Calibri" w:cs="Calibri"/>
                <w:sz w:val="20"/>
                <w:lang w:val="en-US"/>
              </w:rPr>
            </w:pPr>
            <w:r w:rsidRPr="007E47A5">
              <w:rPr>
                <w:rFonts w:ascii="Calibri" w:hAnsi="Calibri" w:cs="Calibri"/>
                <w:sz w:val="20"/>
              </w:rPr>
              <w:t>M</w:t>
            </w:r>
          </w:p>
        </w:tc>
        <w:tc>
          <w:tcPr>
            <w:tcW w:w="114" w:type="pct"/>
            <w:tcBorders>
              <w:bottom w:val="single" w:sz="4" w:space="0" w:color="auto"/>
            </w:tcBorders>
            <w:shd w:val="clear" w:color="auto" w:fill="BFBFBF" w:themeFill="background1" w:themeFillShade="BF"/>
            <w:noWrap/>
            <w:vAlign w:val="bottom"/>
            <w:hideMark/>
          </w:tcPr>
          <w:p w14:paraId="0941DE35" w14:textId="77777777" w:rsidR="00FC1C25" w:rsidRPr="007E47A5" w:rsidRDefault="00FC1C25" w:rsidP="00D96F00">
            <w:pPr>
              <w:spacing w:after="0"/>
              <w:rPr>
                <w:rFonts w:ascii="Calibri" w:hAnsi="Calibri" w:cs="Calibri"/>
                <w:sz w:val="20"/>
                <w:lang w:val="en-US"/>
              </w:rPr>
            </w:pPr>
            <w:r w:rsidRPr="007E47A5">
              <w:rPr>
                <w:rFonts w:ascii="Calibri" w:hAnsi="Calibri" w:cs="Calibri"/>
                <w:sz w:val="20"/>
              </w:rPr>
              <w:t>A</w:t>
            </w:r>
          </w:p>
        </w:tc>
        <w:tc>
          <w:tcPr>
            <w:tcW w:w="133" w:type="pct"/>
            <w:tcBorders>
              <w:bottom w:val="single" w:sz="4" w:space="0" w:color="auto"/>
            </w:tcBorders>
            <w:shd w:val="clear" w:color="auto" w:fill="BFBFBF" w:themeFill="background1" w:themeFillShade="BF"/>
            <w:noWrap/>
            <w:vAlign w:val="bottom"/>
            <w:hideMark/>
          </w:tcPr>
          <w:p w14:paraId="3EF64C74" w14:textId="77777777" w:rsidR="00FC1C25" w:rsidRPr="007E47A5" w:rsidRDefault="00FC1C25" w:rsidP="00D96F00">
            <w:pPr>
              <w:spacing w:after="0"/>
              <w:rPr>
                <w:rFonts w:ascii="Calibri" w:hAnsi="Calibri" w:cs="Calibri"/>
                <w:sz w:val="20"/>
                <w:lang w:val="en-US"/>
              </w:rPr>
            </w:pPr>
            <w:r w:rsidRPr="007E47A5">
              <w:rPr>
                <w:rFonts w:ascii="Calibri" w:hAnsi="Calibri" w:cs="Calibri"/>
                <w:sz w:val="20"/>
              </w:rPr>
              <w:t>M</w:t>
            </w:r>
          </w:p>
        </w:tc>
        <w:tc>
          <w:tcPr>
            <w:tcW w:w="96" w:type="pct"/>
            <w:tcBorders>
              <w:bottom w:val="single" w:sz="4" w:space="0" w:color="auto"/>
            </w:tcBorders>
            <w:shd w:val="clear" w:color="auto" w:fill="BFBFBF" w:themeFill="background1" w:themeFillShade="BF"/>
            <w:noWrap/>
            <w:vAlign w:val="bottom"/>
            <w:hideMark/>
          </w:tcPr>
          <w:p w14:paraId="09DFD6A2" w14:textId="77777777" w:rsidR="00FC1C25" w:rsidRPr="007E47A5" w:rsidRDefault="00FC1C25" w:rsidP="00D96F00">
            <w:pPr>
              <w:spacing w:after="0"/>
              <w:rPr>
                <w:rFonts w:ascii="Calibri" w:hAnsi="Calibri" w:cs="Calibri"/>
                <w:sz w:val="20"/>
                <w:lang w:val="en-US"/>
              </w:rPr>
            </w:pPr>
            <w:r w:rsidRPr="007E47A5">
              <w:rPr>
                <w:rFonts w:ascii="Calibri" w:hAnsi="Calibri" w:cs="Calibri"/>
                <w:sz w:val="20"/>
              </w:rPr>
              <w:t>J</w:t>
            </w:r>
          </w:p>
        </w:tc>
        <w:tc>
          <w:tcPr>
            <w:tcW w:w="96" w:type="pct"/>
            <w:tcBorders>
              <w:bottom w:val="single" w:sz="4" w:space="0" w:color="auto"/>
            </w:tcBorders>
            <w:shd w:val="clear" w:color="auto" w:fill="BFBFBF" w:themeFill="background1" w:themeFillShade="BF"/>
            <w:noWrap/>
            <w:vAlign w:val="bottom"/>
            <w:hideMark/>
          </w:tcPr>
          <w:p w14:paraId="6B39CC2E" w14:textId="77777777" w:rsidR="00FC1C25" w:rsidRPr="007E47A5" w:rsidRDefault="00FC1C25" w:rsidP="00D96F00">
            <w:pPr>
              <w:spacing w:after="0"/>
              <w:rPr>
                <w:rFonts w:ascii="Calibri" w:hAnsi="Calibri" w:cs="Calibri"/>
                <w:sz w:val="20"/>
                <w:lang w:val="en-US"/>
              </w:rPr>
            </w:pPr>
            <w:r w:rsidRPr="007E47A5">
              <w:rPr>
                <w:rFonts w:ascii="Calibri" w:hAnsi="Calibri" w:cs="Calibri"/>
                <w:sz w:val="20"/>
              </w:rPr>
              <w:t>J</w:t>
            </w:r>
          </w:p>
        </w:tc>
        <w:tc>
          <w:tcPr>
            <w:tcW w:w="114" w:type="pct"/>
            <w:tcBorders>
              <w:bottom w:val="single" w:sz="4" w:space="0" w:color="auto"/>
            </w:tcBorders>
            <w:shd w:val="clear" w:color="auto" w:fill="BFBFBF" w:themeFill="background1" w:themeFillShade="BF"/>
            <w:noWrap/>
            <w:vAlign w:val="bottom"/>
            <w:hideMark/>
          </w:tcPr>
          <w:p w14:paraId="235AFDEB" w14:textId="77777777" w:rsidR="00FC1C25" w:rsidRPr="007E47A5" w:rsidRDefault="00FC1C25" w:rsidP="00D96F00">
            <w:pPr>
              <w:spacing w:after="0"/>
              <w:rPr>
                <w:rFonts w:ascii="Calibri" w:hAnsi="Calibri" w:cs="Calibri"/>
                <w:sz w:val="20"/>
                <w:lang w:val="en-US"/>
              </w:rPr>
            </w:pPr>
            <w:r w:rsidRPr="007E47A5">
              <w:rPr>
                <w:rFonts w:ascii="Calibri" w:hAnsi="Calibri" w:cs="Calibri"/>
                <w:sz w:val="20"/>
              </w:rPr>
              <w:t>A</w:t>
            </w:r>
          </w:p>
        </w:tc>
        <w:tc>
          <w:tcPr>
            <w:tcW w:w="106" w:type="pct"/>
            <w:tcBorders>
              <w:bottom w:val="single" w:sz="4" w:space="0" w:color="auto"/>
            </w:tcBorders>
            <w:shd w:val="clear" w:color="auto" w:fill="BFBFBF" w:themeFill="background1" w:themeFillShade="BF"/>
            <w:noWrap/>
            <w:vAlign w:val="bottom"/>
            <w:hideMark/>
          </w:tcPr>
          <w:p w14:paraId="74CBE7ED" w14:textId="77777777" w:rsidR="00FC1C25" w:rsidRPr="007E47A5" w:rsidRDefault="00FC1C25" w:rsidP="00D96F00">
            <w:pPr>
              <w:spacing w:after="0"/>
              <w:rPr>
                <w:rFonts w:ascii="Calibri" w:hAnsi="Calibri" w:cs="Calibri"/>
                <w:sz w:val="20"/>
                <w:lang w:val="en-US"/>
              </w:rPr>
            </w:pPr>
            <w:r w:rsidRPr="007E47A5">
              <w:rPr>
                <w:rFonts w:ascii="Calibri" w:hAnsi="Calibri" w:cs="Calibri"/>
                <w:sz w:val="20"/>
              </w:rPr>
              <w:t>S</w:t>
            </w:r>
          </w:p>
        </w:tc>
        <w:tc>
          <w:tcPr>
            <w:tcW w:w="120" w:type="pct"/>
            <w:tcBorders>
              <w:bottom w:val="single" w:sz="4" w:space="0" w:color="auto"/>
            </w:tcBorders>
            <w:shd w:val="clear" w:color="auto" w:fill="BFBFBF" w:themeFill="background1" w:themeFillShade="BF"/>
            <w:noWrap/>
            <w:vAlign w:val="bottom"/>
            <w:hideMark/>
          </w:tcPr>
          <w:p w14:paraId="4D8D5AD8" w14:textId="77777777" w:rsidR="00FC1C25" w:rsidRPr="007E47A5" w:rsidRDefault="00FC1C25" w:rsidP="00D96F00">
            <w:pPr>
              <w:spacing w:after="0"/>
              <w:rPr>
                <w:rFonts w:ascii="Calibri" w:hAnsi="Calibri" w:cs="Calibri"/>
                <w:sz w:val="20"/>
                <w:lang w:val="en-US"/>
              </w:rPr>
            </w:pPr>
            <w:r w:rsidRPr="007E47A5">
              <w:rPr>
                <w:rFonts w:ascii="Calibri" w:hAnsi="Calibri" w:cs="Calibri"/>
                <w:sz w:val="20"/>
              </w:rPr>
              <w:t>O</w:t>
            </w:r>
          </w:p>
        </w:tc>
        <w:tc>
          <w:tcPr>
            <w:tcW w:w="119" w:type="pct"/>
            <w:tcBorders>
              <w:bottom w:val="single" w:sz="4" w:space="0" w:color="auto"/>
            </w:tcBorders>
            <w:shd w:val="clear" w:color="auto" w:fill="BFBFBF" w:themeFill="background1" w:themeFillShade="BF"/>
            <w:noWrap/>
            <w:vAlign w:val="bottom"/>
            <w:hideMark/>
          </w:tcPr>
          <w:p w14:paraId="42E2F21A" w14:textId="77777777" w:rsidR="00FC1C25" w:rsidRPr="007E47A5" w:rsidRDefault="00FC1C25" w:rsidP="00D96F00">
            <w:pPr>
              <w:spacing w:after="0"/>
              <w:rPr>
                <w:rFonts w:ascii="Calibri" w:hAnsi="Calibri" w:cs="Calibri"/>
                <w:sz w:val="20"/>
                <w:lang w:val="en-US"/>
              </w:rPr>
            </w:pPr>
            <w:r w:rsidRPr="007E47A5">
              <w:rPr>
                <w:rFonts w:ascii="Calibri" w:hAnsi="Calibri" w:cs="Calibri"/>
                <w:sz w:val="20"/>
              </w:rPr>
              <w:t>N</w:t>
            </w:r>
          </w:p>
        </w:tc>
        <w:tc>
          <w:tcPr>
            <w:tcW w:w="118" w:type="pct"/>
            <w:tcBorders>
              <w:bottom w:val="single" w:sz="4" w:space="0" w:color="auto"/>
              <w:right w:val="single" w:sz="4" w:space="0" w:color="auto"/>
            </w:tcBorders>
            <w:shd w:val="clear" w:color="auto" w:fill="BFBFBF" w:themeFill="background1" w:themeFillShade="BF"/>
            <w:noWrap/>
            <w:vAlign w:val="bottom"/>
            <w:hideMark/>
          </w:tcPr>
          <w:p w14:paraId="176E9CED" w14:textId="77777777" w:rsidR="00FC1C25" w:rsidRPr="007E47A5" w:rsidRDefault="00FC1C25" w:rsidP="00D96F00">
            <w:pPr>
              <w:spacing w:after="0"/>
              <w:rPr>
                <w:rFonts w:ascii="Calibri" w:hAnsi="Calibri" w:cs="Calibri"/>
                <w:sz w:val="20"/>
                <w:lang w:val="en-US"/>
              </w:rPr>
            </w:pPr>
            <w:r w:rsidRPr="007E47A5">
              <w:rPr>
                <w:rFonts w:ascii="Calibri" w:hAnsi="Calibri" w:cs="Calibri"/>
                <w:sz w:val="20"/>
              </w:rPr>
              <w:t>D</w:t>
            </w:r>
          </w:p>
        </w:tc>
        <w:tc>
          <w:tcPr>
            <w:tcW w:w="96" w:type="pct"/>
            <w:tcBorders>
              <w:left w:val="single" w:sz="4" w:space="0" w:color="auto"/>
              <w:bottom w:val="single" w:sz="4" w:space="0" w:color="auto"/>
            </w:tcBorders>
            <w:shd w:val="clear" w:color="auto" w:fill="BFBFBF" w:themeFill="background1" w:themeFillShade="BF"/>
            <w:noWrap/>
            <w:vAlign w:val="bottom"/>
            <w:hideMark/>
          </w:tcPr>
          <w:p w14:paraId="0986DC89" w14:textId="77777777" w:rsidR="00FC1C25" w:rsidRPr="007E47A5" w:rsidRDefault="00FC1C25" w:rsidP="00D96F00">
            <w:pPr>
              <w:spacing w:after="0"/>
              <w:rPr>
                <w:rFonts w:ascii="Calibri" w:hAnsi="Calibri" w:cs="Calibri"/>
                <w:sz w:val="20"/>
                <w:lang w:val="en-US"/>
              </w:rPr>
            </w:pPr>
            <w:r w:rsidRPr="007E47A5">
              <w:rPr>
                <w:rFonts w:ascii="Calibri" w:hAnsi="Calibri" w:cs="Calibri"/>
                <w:sz w:val="20"/>
              </w:rPr>
              <w:t>J</w:t>
            </w:r>
          </w:p>
        </w:tc>
        <w:tc>
          <w:tcPr>
            <w:tcW w:w="106" w:type="pct"/>
            <w:tcBorders>
              <w:bottom w:val="single" w:sz="4" w:space="0" w:color="auto"/>
            </w:tcBorders>
            <w:shd w:val="clear" w:color="auto" w:fill="BFBFBF" w:themeFill="background1" w:themeFillShade="BF"/>
            <w:noWrap/>
            <w:vAlign w:val="bottom"/>
            <w:hideMark/>
          </w:tcPr>
          <w:p w14:paraId="15C71C3C" w14:textId="77777777" w:rsidR="00FC1C25" w:rsidRPr="007E47A5" w:rsidRDefault="00FC1C25" w:rsidP="00D96F00">
            <w:pPr>
              <w:spacing w:after="0"/>
              <w:rPr>
                <w:rFonts w:ascii="Calibri" w:hAnsi="Calibri" w:cs="Calibri"/>
                <w:sz w:val="20"/>
                <w:lang w:val="en-US"/>
              </w:rPr>
            </w:pPr>
            <w:r w:rsidRPr="007E47A5">
              <w:rPr>
                <w:rFonts w:ascii="Calibri" w:hAnsi="Calibri" w:cs="Calibri"/>
                <w:sz w:val="20"/>
              </w:rPr>
              <w:t>F</w:t>
            </w:r>
          </w:p>
        </w:tc>
        <w:tc>
          <w:tcPr>
            <w:tcW w:w="133" w:type="pct"/>
            <w:tcBorders>
              <w:bottom w:val="single" w:sz="4" w:space="0" w:color="auto"/>
            </w:tcBorders>
            <w:shd w:val="clear" w:color="auto" w:fill="BFBFBF" w:themeFill="background1" w:themeFillShade="BF"/>
            <w:noWrap/>
            <w:vAlign w:val="bottom"/>
            <w:hideMark/>
          </w:tcPr>
          <w:p w14:paraId="1292E093" w14:textId="77777777" w:rsidR="00FC1C25" w:rsidRPr="007E47A5" w:rsidRDefault="00FC1C25" w:rsidP="00D96F00">
            <w:pPr>
              <w:spacing w:after="0"/>
              <w:rPr>
                <w:rFonts w:ascii="Calibri" w:hAnsi="Calibri" w:cs="Calibri"/>
                <w:sz w:val="20"/>
                <w:lang w:val="en-US"/>
              </w:rPr>
            </w:pPr>
            <w:r w:rsidRPr="007E47A5">
              <w:rPr>
                <w:rFonts w:ascii="Calibri" w:hAnsi="Calibri" w:cs="Calibri"/>
                <w:sz w:val="20"/>
              </w:rPr>
              <w:t>M</w:t>
            </w:r>
          </w:p>
        </w:tc>
        <w:tc>
          <w:tcPr>
            <w:tcW w:w="114" w:type="pct"/>
            <w:tcBorders>
              <w:bottom w:val="single" w:sz="4" w:space="0" w:color="auto"/>
            </w:tcBorders>
            <w:shd w:val="clear" w:color="auto" w:fill="BFBFBF" w:themeFill="background1" w:themeFillShade="BF"/>
            <w:noWrap/>
            <w:vAlign w:val="bottom"/>
            <w:hideMark/>
          </w:tcPr>
          <w:p w14:paraId="27BE126A" w14:textId="77777777" w:rsidR="00FC1C25" w:rsidRPr="007E47A5" w:rsidRDefault="00FC1C25" w:rsidP="00D96F00">
            <w:pPr>
              <w:spacing w:after="0"/>
              <w:rPr>
                <w:rFonts w:ascii="Calibri" w:hAnsi="Calibri" w:cs="Calibri"/>
                <w:sz w:val="20"/>
                <w:lang w:val="en-US"/>
              </w:rPr>
            </w:pPr>
            <w:r w:rsidRPr="007E47A5">
              <w:rPr>
                <w:rFonts w:ascii="Calibri" w:hAnsi="Calibri" w:cs="Calibri"/>
                <w:sz w:val="20"/>
              </w:rPr>
              <w:t>A</w:t>
            </w:r>
          </w:p>
        </w:tc>
        <w:tc>
          <w:tcPr>
            <w:tcW w:w="133" w:type="pct"/>
            <w:tcBorders>
              <w:bottom w:val="single" w:sz="4" w:space="0" w:color="auto"/>
            </w:tcBorders>
            <w:shd w:val="clear" w:color="auto" w:fill="BFBFBF" w:themeFill="background1" w:themeFillShade="BF"/>
            <w:noWrap/>
            <w:vAlign w:val="bottom"/>
            <w:hideMark/>
          </w:tcPr>
          <w:p w14:paraId="41D52A06" w14:textId="77777777" w:rsidR="00FC1C25" w:rsidRPr="007E47A5" w:rsidRDefault="00FC1C25" w:rsidP="00D96F00">
            <w:pPr>
              <w:spacing w:after="0"/>
              <w:rPr>
                <w:rFonts w:ascii="Calibri" w:hAnsi="Calibri" w:cs="Calibri"/>
                <w:sz w:val="20"/>
                <w:lang w:val="en-US"/>
              </w:rPr>
            </w:pPr>
            <w:r w:rsidRPr="007E47A5">
              <w:rPr>
                <w:rFonts w:ascii="Calibri" w:hAnsi="Calibri" w:cs="Calibri"/>
                <w:sz w:val="20"/>
              </w:rPr>
              <w:t>M</w:t>
            </w:r>
          </w:p>
        </w:tc>
        <w:tc>
          <w:tcPr>
            <w:tcW w:w="96" w:type="pct"/>
            <w:tcBorders>
              <w:bottom w:val="single" w:sz="4" w:space="0" w:color="auto"/>
            </w:tcBorders>
            <w:shd w:val="clear" w:color="auto" w:fill="BFBFBF" w:themeFill="background1" w:themeFillShade="BF"/>
            <w:noWrap/>
            <w:vAlign w:val="bottom"/>
            <w:hideMark/>
          </w:tcPr>
          <w:p w14:paraId="29BA06E4" w14:textId="77777777" w:rsidR="00FC1C25" w:rsidRPr="007E47A5" w:rsidRDefault="00FC1C25" w:rsidP="00D96F00">
            <w:pPr>
              <w:spacing w:after="0"/>
              <w:rPr>
                <w:rFonts w:ascii="Calibri" w:hAnsi="Calibri" w:cs="Calibri"/>
                <w:sz w:val="20"/>
                <w:lang w:val="en-US"/>
              </w:rPr>
            </w:pPr>
            <w:r w:rsidRPr="007E47A5">
              <w:rPr>
                <w:rFonts w:ascii="Calibri" w:hAnsi="Calibri" w:cs="Calibri"/>
                <w:sz w:val="20"/>
              </w:rPr>
              <w:t>J</w:t>
            </w:r>
          </w:p>
        </w:tc>
        <w:tc>
          <w:tcPr>
            <w:tcW w:w="96" w:type="pct"/>
            <w:tcBorders>
              <w:bottom w:val="single" w:sz="4" w:space="0" w:color="auto"/>
            </w:tcBorders>
            <w:shd w:val="clear" w:color="auto" w:fill="BFBFBF" w:themeFill="background1" w:themeFillShade="BF"/>
            <w:noWrap/>
            <w:vAlign w:val="bottom"/>
            <w:hideMark/>
          </w:tcPr>
          <w:p w14:paraId="60A72315" w14:textId="77777777" w:rsidR="00FC1C25" w:rsidRPr="007E47A5" w:rsidRDefault="00FC1C25" w:rsidP="00D96F00">
            <w:pPr>
              <w:spacing w:after="0"/>
              <w:rPr>
                <w:rFonts w:ascii="Calibri" w:hAnsi="Calibri" w:cs="Calibri"/>
                <w:sz w:val="20"/>
                <w:lang w:val="en-US"/>
              </w:rPr>
            </w:pPr>
            <w:r w:rsidRPr="007E47A5">
              <w:rPr>
                <w:rFonts w:ascii="Calibri" w:hAnsi="Calibri" w:cs="Calibri"/>
                <w:sz w:val="20"/>
              </w:rPr>
              <w:t>J</w:t>
            </w:r>
          </w:p>
        </w:tc>
        <w:tc>
          <w:tcPr>
            <w:tcW w:w="114" w:type="pct"/>
            <w:tcBorders>
              <w:bottom w:val="single" w:sz="4" w:space="0" w:color="auto"/>
            </w:tcBorders>
            <w:shd w:val="clear" w:color="auto" w:fill="BFBFBF" w:themeFill="background1" w:themeFillShade="BF"/>
            <w:noWrap/>
            <w:vAlign w:val="bottom"/>
            <w:hideMark/>
          </w:tcPr>
          <w:p w14:paraId="06F9B6B2" w14:textId="77777777" w:rsidR="00FC1C25" w:rsidRPr="007E47A5" w:rsidRDefault="00FC1C25" w:rsidP="00D96F00">
            <w:pPr>
              <w:spacing w:after="0"/>
              <w:rPr>
                <w:rFonts w:ascii="Calibri" w:hAnsi="Calibri" w:cs="Calibri"/>
                <w:sz w:val="20"/>
                <w:lang w:val="en-US"/>
              </w:rPr>
            </w:pPr>
            <w:r w:rsidRPr="007E47A5">
              <w:rPr>
                <w:rFonts w:ascii="Calibri" w:hAnsi="Calibri" w:cs="Calibri"/>
                <w:sz w:val="20"/>
              </w:rPr>
              <w:t>A</w:t>
            </w:r>
          </w:p>
        </w:tc>
        <w:tc>
          <w:tcPr>
            <w:tcW w:w="106" w:type="pct"/>
            <w:tcBorders>
              <w:bottom w:val="single" w:sz="4" w:space="0" w:color="auto"/>
            </w:tcBorders>
            <w:shd w:val="clear" w:color="auto" w:fill="BFBFBF" w:themeFill="background1" w:themeFillShade="BF"/>
            <w:noWrap/>
            <w:vAlign w:val="bottom"/>
            <w:hideMark/>
          </w:tcPr>
          <w:p w14:paraId="34E28AE1" w14:textId="77777777" w:rsidR="00FC1C25" w:rsidRPr="007E47A5" w:rsidRDefault="00FC1C25" w:rsidP="00D96F00">
            <w:pPr>
              <w:spacing w:after="0"/>
              <w:rPr>
                <w:rFonts w:ascii="Calibri" w:hAnsi="Calibri" w:cs="Calibri"/>
                <w:sz w:val="20"/>
                <w:lang w:val="en-US"/>
              </w:rPr>
            </w:pPr>
            <w:r w:rsidRPr="007E47A5">
              <w:rPr>
                <w:rFonts w:ascii="Calibri" w:hAnsi="Calibri" w:cs="Calibri"/>
                <w:sz w:val="20"/>
              </w:rPr>
              <w:t>S</w:t>
            </w:r>
          </w:p>
        </w:tc>
        <w:tc>
          <w:tcPr>
            <w:tcW w:w="120" w:type="pct"/>
            <w:tcBorders>
              <w:bottom w:val="single" w:sz="4" w:space="0" w:color="auto"/>
            </w:tcBorders>
            <w:shd w:val="clear" w:color="auto" w:fill="BFBFBF" w:themeFill="background1" w:themeFillShade="BF"/>
            <w:noWrap/>
            <w:vAlign w:val="bottom"/>
            <w:hideMark/>
          </w:tcPr>
          <w:p w14:paraId="71F6A6C3" w14:textId="77777777" w:rsidR="00FC1C25" w:rsidRPr="007E47A5" w:rsidRDefault="00FC1C25" w:rsidP="00D96F00">
            <w:pPr>
              <w:spacing w:after="0"/>
              <w:rPr>
                <w:rFonts w:ascii="Calibri" w:hAnsi="Calibri" w:cs="Calibri"/>
                <w:sz w:val="20"/>
                <w:lang w:val="en-US"/>
              </w:rPr>
            </w:pPr>
            <w:r w:rsidRPr="007E47A5">
              <w:rPr>
                <w:rFonts w:ascii="Calibri" w:hAnsi="Calibri" w:cs="Calibri"/>
                <w:sz w:val="20"/>
              </w:rPr>
              <w:t>O</w:t>
            </w:r>
          </w:p>
        </w:tc>
        <w:tc>
          <w:tcPr>
            <w:tcW w:w="119" w:type="pct"/>
            <w:tcBorders>
              <w:bottom w:val="single" w:sz="4" w:space="0" w:color="auto"/>
            </w:tcBorders>
            <w:shd w:val="clear" w:color="auto" w:fill="BFBFBF" w:themeFill="background1" w:themeFillShade="BF"/>
            <w:noWrap/>
            <w:vAlign w:val="bottom"/>
            <w:hideMark/>
          </w:tcPr>
          <w:p w14:paraId="1E687C8E" w14:textId="77777777" w:rsidR="00FC1C25" w:rsidRPr="007E47A5" w:rsidRDefault="00FC1C25" w:rsidP="00D96F00">
            <w:pPr>
              <w:spacing w:after="0"/>
              <w:rPr>
                <w:rFonts w:ascii="Calibri" w:hAnsi="Calibri" w:cs="Calibri"/>
                <w:sz w:val="20"/>
                <w:lang w:val="en-US"/>
              </w:rPr>
            </w:pPr>
            <w:r w:rsidRPr="007E47A5">
              <w:rPr>
                <w:rFonts w:ascii="Calibri" w:hAnsi="Calibri" w:cs="Calibri"/>
                <w:sz w:val="20"/>
              </w:rPr>
              <w:t>N</w:t>
            </w:r>
          </w:p>
        </w:tc>
        <w:tc>
          <w:tcPr>
            <w:tcW w:w="124" w:type="pct"/>
            <w:tcBorders>
              <w:bottom w:val="single" w:sz="4" w:space="0" w:color="auto"/>
              <w:right w:val="single" w:sz="4" w:space="0" w:color="auto"/>
            </w:tcBorders>
            <w:shd w:val="clear" w:color="auto" w:fill="BFBFBF" w:themeFill="background1" w:themeFillShade="BF"/>
            <w:noWrap/>
            <w:vAlign w:val="bottom"/>
            <w:hideMark/>
          </w:tcPr>
          <w:p w14:paraId="297F14DA" w14:textId="77777777" w:rsidR="00FC1C25" w:rsidRPr="007E47A5" w:rsidRDefault="00FC1C25" w:rsidP="00D96F00">
            <w:pPr>
              <w:spacing w:after="0"/>
              <w:rPr>
                <w:rFonts w:ascii="Calibri" w:hAnsi="Calibri" w:cs="Calibri"/>
                <w:sz w:val="20"/>
                <w:lang w:val="en-US"/>
              </w:rPr>
            </w:pPr>
            <w:r w:rsidRPr="007E47A5">
              <w:rPr>
                <w:rFonts w:ascii="Calibri" w:hAnsi="Calibri" w:cs="Calibri"/>
                <w:sz w:val="20"/>
              </w:rPr>
              <w:t>D</w:t>
            </w:r>
          </w:p>
        </w:tc>
      </w:tr>
      <w:tr w:rsidR="00FC1C25" w:rsidRPr="007E47A5" w14:paraId="4E3CF186" w14:textId="77777777" w:rsidTr="00D96F00">
        <w:trPr>
          <w:trHeight w:val="20"/>
          <w:jc w:val="center"/>
        </w:trPr>
        <w:tc>
          <w:tcPr>
            <w:tcW w:w="1148" w:type="pct"/>
            <w:tcBorders>
              <w:top w:val="single" w:sz="4" w:space="0" w:color="auto"/>
              <w:left w:val="single" w:sz="4" w:space="0" w:color="auto"/>
              <w:bottom w:val="single" w:sz="4" w:space="0" w:color="A6A6A6" w:themeColor="background1" w:themeShade="A6"/>
              <w:right w:val="nil"/>
            </w:tcBorders>
            <w:shd w:val="clear" w:color="auto" w:fill="auto"/>
            <w:noWrap/>
            <w:vAlign w:val="bottom"/>
            <w:hideMark/>
          </w:tcPr>
          <w:p w14:paraId="0A540452" w14:textId="77777777" w:rsidR="00FC1C25" w:rsidRPr="0098497C" w:rsidRDefault="00FC1C25" w:rsidP="00D96F00">
            <w:pPr>
              <w:spacing w:after="0"/>
              <w:rPr>
                <w:rFonts w:ascii="Calibri" w:hAnsi="Calibri" w:cs="Calibri"/>
                <w:b/>
                <w:bCs/>
                <w:sz w:val="4"/>
                <w:szCs w:val="4"/>
              </w:rPr>
            </w:pPr>
          </w:p>
          <w:p w14:paraId="54368439" w14:textId="77777777" w:rsidR="00FC1C25" w:rsidRPr="007E47A5" w:rsidRDefault="00FC1C25" w:rsidP="00D96F00">
            <w:pPr>
              <w:spacing w:after="0"/>
              <w:rPr>
                <w:rFonts w:ascii="Calibri" w:hAnsi="Calibri" w:cs="Calibri"/>
                <w:b/>
                <w:bCs/>
                <w:sz w:val="20"/>
                <w:lang w:val="en-US"/>
              </w:rPr>
            </w:pPr>
            <w:r>
              <w:rPr>
                <w:rFonts w:ascii="Calibri" w:hAnsi="Calibri" w:cs="Calibri"/>
                <w:b/>
                <w:bCs/>
                <w:sz w:val="20"/>
              </w:rPr>
              <w:t>Category 1</w:t>
            </w:r>
          </w:p>
        </w:tc>
        <w:tc>
          <w:tcPr>
            <w:tcW w:w="1141" w:type="pct"/>
            <w:tcBorders>
              <w:top w:val="single" w:sz="4" w:space="0" w:color="auto"/>
              <w:left w:val="nil"/>
              <w:bottom w:val="single" w:sz="4" w:space="0" w:color="A6A6A6" w:themeColor="background1" w:themeShade="A6"/>
              <w:right w:val="single" w:sz="4" w:space="0" w:color="auto"/>
            </w:tcBorders>
            <w:shd w:val="clear" w:color="auto" w:fill="auto"/>
            <w:noWrap/>
            <w:vAlign w:val="bottom"/>
            <w:hideMark/>
          </w:tcPr>
          <w:p w14:paraId="4A7B4EA8"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uto"/>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14:paraId="77855599"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131D53A"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FCDFBA4"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C3BC029"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B47A8DB"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725A9BB"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AED526A"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D7F5A10"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9AF0270"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9FD485F"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4CE3B81" w14:textId="77777777" w:rsidR="00FC1C25" w:rsidRPr="007E47A5" w:rsidRDefault="00FC1C25" w:rsidP="00D96F00">
            <w:pPr>
              <w:spacing w:after="0"/>
              <w:rPr>
                <w:rFonts w:ascii="Calibri" w:hAnsi="Calibri" w:cs="Calibri"/>
                <w:sz w:val="18"/>
                <w:szCs w:val="18"/>
                <w:lang w:val="en-US"/>
              </w:rPr>
            </w:pPr>
          </w:p>
        </w:tc>
        <w:tc>
          <w:tcPr>
            <w:tcW w:w="118" w:type="pct"/>
            <w:tcBorders>
              <w:top w:val="single" w:sz="4" w:space="0" w:color="auto"/>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36CD9948"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96" w:type="pct"/>
            <w:tcBorders>
              <w:top w:val="single" w:sz="4" w:space="0" w:color="auto"/>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14:paraId="087E3BB2"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DC4DBA6"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42B7427"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213D7F6"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E509909"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50BCF9C"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12835EA"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EA92C38"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B1254DB"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94E40C8"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A180FCD" w14:textId="77777777" w:rsidR="00FC1C25" w:rsidRPr="007E47A5" w:rsidRDefault="00FC1C25" w:rsidP="00D96F00">
            <w:pPr>
              <w:spacing w:after="0"/>
              <w:rPr>
                <w:rFonts w:ascii="Calibri" w:hAnsi="Calibri" w:cs="Calibri"/>
                <w:sz w:val="18"/>
                <w:szCs w:val="18"/>
                <w:lang w:val="en-US"/>
              </w:rPr>
            </w:pPr>
          </w:p>
        </w:tc>
        <w:tc>
          <w:tcPr>
            <w:tcW w:w="124" w:type="pct"/>
            <w:tcBorders>
              <w:top w:val="single" w:sz="4" w:space="0" w:color="auto"/>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5822E877"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r>
      <w:tr w:rsidR="00FC1C25" w:rsidRPr="007E47A5" w14:paraId="0F99A068" w14:textId="77777777" w:rsidTr="00A42C68">
        <w:trPr>
          <w:trHeight w:val="20"/>
          <w:jc w:val="center"/>
        </w:trPr>
        <w:tc>
          <w:tcPr>
            <w:tcW w:w="1148" w:type="pct"/>
            <w:vMerge w:val="restar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130A88C9" w14:textId="77777777" w:rsidR="00FC1C25" w:rsidRPr="008247E2" w:rsidRDefault="00FC1C25" w:rsidP="00A42C68">
            <w:pPr>
              <w:spacing w:after="0"/>
              <w:jc w:val="left"/>
              <w:rPr>
                <w:rFonts w:ascii="Calibri" w:hAnsi="Calibri" w:cs="Calibri"/>
                <w:sz w:val="20"/>
                <w:lang w:val="en-US"/>
              </w:rPr>
            </w:pPr>
            <w:r w:rsidRPr="008247E2">
              <w:rPr>
                <w:rFonts w:ascii="Calibri" w:hAnsi="Calibri" w:cs="Calibri"/>
                <w:sz w:val="20"/>
              </w:rPr>
              <w:t>Hydrology (Channel)</w:t>
            </w:r>
          </w:p>
        </w:tc>
        <w:tc>
          <w:tcPr>
            <w:tcW w:w="11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162E381A" w14:textId="77777777" w:rsidR="00FC1C25" w:rsidRPr="007E47A5" w:rsidRDefault="00FC1C25" w:rsidP="00D96F00">
            <w:pPr>
              <w:spacing w:after="0"/>
              <w:rPr>
                <w:rFonts w:ascii="Calibri" w:hAnsi="Calibri" w:cs="Calibri"/>
                <w:sz w:val="18"/>
                <w:szCs w:val="18"/>
              </w:rPr>
            </w:pPr>
            <w:r w:rsidRPr="007E47A5">
              <w:rPr>
                <w:rFonts w:ascii="Calibri" w:hAnsi="Calibri" w:cs="Calibri"/>
                <w:sz w:val="18"/>
                <w:szCs w:val="18"/>
              </w:rPr>
              <w:t>Modelling</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062AEFF3" w14:textId="77777777" w:rsidR="00FC1C25" w:rsidRPr="007E47A5" w:rsidRDefault="00FC1C25" w:rsidP="00D96F00">
            <w:pPr>
              <w:spacing w:after="0"/>
              <w:jc w:val="center"/>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38440117"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23EA9198"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78E03D92"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DA70392"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B40E9DC"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24584D07"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6A8FD08B"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2A405DE2"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025E6479"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7A41205D" w14:textId="77777777" w:rsidR="00FC1C25" w:rsidRPr="007E47A5" w:rsidRDefault="00FC1C25" w:rsidP="00D96F00">
            <w:pPr>
              <w:spacing w:after="0"/>
              <w:jc w:val="center"/>
              <w:rPr>
                <w:rFonts w:ascii="Calibri" w:hAnsi="Calibri" w:cs="Calibri"/>
                <w:sz w:val="18"/>
                <w:szCs w:val="18"/>
                <w:lang w:val="en-US"/>
              </w:rPr>
            </w:pPr>
          </w:p>
        </w:tc>
        <w:tc>
          <w:tcPr>
            <w:tcW w:w="1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noWrap/>
            <w:vAlign w:val="bottom"/>
          </w:tcPr>
          <w:p w14:paraId="2F8388A6"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641E1242" w14:textId="77777777" w:rsidR="00FC1C25" w:rsidRPr="007E47A5" w:rsidRDefault="00FC1C25" w:rsidP="00D96F00">
            <w:pPr>
              <w:spacing w:after="0"/>
              <w:jc w:val="center"/>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70AF5287"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0FDFC1B"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7ABD6368"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E9B978C"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211BEFC"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3DD89D51"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A18091D"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7226B76"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E81641D"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4EA62A3" w14:textId="77777777" w:rsidR="00FC1C25" w:rsidRPr="007E47A5" w:rsidRDefault="00FC1C25" w:rsidP="00D96F00">
            <w:pPr>
              <w:spacing w:after="0"/>
              <w:jc w:val="center"/>
              <w:rPr>
                <w:rFonts w:ascii="Calibri" w:hAnsi="Calibri" w:cs="Calibri"/>
                <w:sz w:val="18"/>
                <w:szCs w:val="18"/>
                <w:lang w:val="en-US"/>
              </w:rPr>
            </w:pPr>
          </w:p>
        </w:tc>
        <w:tc>
          <w:tcPr>
            <w:tcW w:w="1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7ED6C03B" w14:textId="77777777" w:rsidR="00FC1C25" w:rsidRPr="007E47A5" w:rsidRDefault="00FC1C25" w:rsidP="00D96F00">
            <w:pPr>
              <w:spacing w:after="0"/>
              <w:jc w:val="center"/>
              <w:rPr>
                <w:rFonts w:ascii="Calibri" w:hAnsi="Calibri" w:cs="Calibri"/>
                <w:sz w:val="18"/>
                <w:szCs w:val="18"/>
                <w:lang w:val="en-US"/>
              </w:rPr>
            </w:pPr>
          </w:p>
        </w:tc>
      </w:tr>
      <w:tr w:rsidR="00FC1C25" w:rsidRPr="007E47A5" w14:paraId="51715AE3" w14:textId="77777777" w:rsidTr="00A42C68">
        <w:trPr>
          <w:trHeight w:val="20"/>
          <w:jc w:val="center"/>
        </w:trPr>
        <w:tc>
          <w:tcPr>
            <w:tcW w:w="1148" w:type="pct"/>
            <w:vMerge/>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tcPr>
          <w:p w14:paraId="13AB6AC2" w14:textId="77777777" w:rsidR="00FC1C25" w:rsidRPr="008247E2" w:rsidRDefault="00FC1C25" w:rsidP="00A42C68">
            <w:pPr>
              <w:spacing w:after="0"/>
              <w:jc w:val="left"/>
              <w:rPr>
                <w:rFonts w:ascii="Calibri" w:hAnsi="Calibri" w:cs="Calibri"/>
                <w:sz w:val="20"/>
                <w:lang w:val="en-US"/>
              </w:rPr>
            </w:pPr>
          </w:p>
        </w:tc>
        <w:tc>
          <w:tcPr>
            <w:tcW w:w="11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322B5810" w14:textId="77777777" w:rsidR="00FC1C25" w:rsidRPr="007E47A5" w:rsidRDefault="00FC1C25" w:rsidP="00D96F00">
            <w:pPr>
              <w:spacing w:after="0"/>
              <w:rPr>
                <w:rFonts w:ascii="Calibri" w:hAnsi="Calibri" w:cs="Calibri"/>
                <w:sz w:val="18"/>
                <w:szCs w:val="18"/>
              </w:rPr>
            </w:pPr>
            <w:r w:rsidRPr="007E47A5">
              <w:rPr>
                <w:rFonts w:ascii="Calibri" w:hAnsi="Calibri" w:cs="Calibri"/>
                <w:sz w:val="18"/>
                <w:szCs w:val="18"/>
              </w:rPr>
              <w:t>Reporting</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tcPr>
          <w:p w14:paraId="43DE3182" w14:textId="77777777" w:rsidR="00FC1C25" w:rsidRPr="007E47A5" w:rsidRDefault="00FC1C25" w:rsidP="00D96F00">
            <w:pPr>
              <w:spacing w:after="0"/>
              <w:jc w:val="center"/>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E1E1DF2"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46F9EF6"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932193C"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1FEF2C8"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CB4B048"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ADB9AE3"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05D1E37D"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6010F0F9"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4F97400"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0E3DAEB" w14:textId="77777777" w:rsidR="00FC1C25" w:rsidRPr="007E47A5" w:rsidRDefault="00FC1C25" w:rsidP="00D96F00">
            <w:pPr>
              <w:spacing w:after="0"/>
              <w:jc w:val="center"/>
              <w:rPr>
                <w:rFonts w:ascii="Calibri" w:hAnsi="Calibri" w:cs="Calibri"/>
                <w:sz w:val="18"/>
                <w:szCs w:val="18"/>
                <w:lang w:val="en-US"/>
              </w:rPr>
            </w:pPr>
          </w:p>
        </w:tc>
        <w:tc>
          <w:tcPr>
            <w:tcW w:w="1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70526F0A"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tcPr>
          <w:p w14:paraId="257AD4A3" w14:textId="77777777" w:rsidR="00FC1C25" w:rsidRPr="007E47A5" w:rsidRDefault="00FC1C25" w:rsidP="00D96F00">
            <w:pPr>
              <w:spacing w:after="0"/>
              <w:jc w:val="center"/>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43C2A62"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332E225"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21A78B1"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C94CA36"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31E3E08"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A3E662B"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6E22803"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7D25AAE4"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919E8B0"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2006527" w14:textId="77777777" w:rsidR="00FC1C25" w:rsidRPr="007E47A5" w:rsidRDefault="00FC1C25" w:rsidP="00D96F00">
            <w:pPr>
              <w:spacing w:after="0"/>
              <w:jc w:val="center"/>
              <w:rPr>
                <w:rFonts w:ascii="Calibri" w:hAnsi="Calibri" w:cs="Calibri"/>
                <w:sz w:val="18"/>
                <w:szCs w:val="18"/>
                <w:lang w:val="en-US"/>
              </w:rPr>
            </w:pPr>
          </w:p>
        </w:tc>
        <w:tc>
          <w:tcPr>
            <w:tcW w:w="1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4435725E" w14:textId="77777777" w:rsidR="00FC1C25" w:rsidRPr="007E47A5" w:rsidRDefault="00FC1C25" w:rsidP="00D96F00">
            <w:pPr>
              <w:spacing w:after="0"/>
              <w:jc w:val="center"/>
              <w:rPr>
                <w:rFonts w:ascii="Calibri" w:hAnsi="Calibri" w:cs="Calibri"/>
                <w:sz w:val="18"/>
                <w:szCs w:val="18"/>
                <w:lang w:val="en-US"/>
              </w:rPr>
            </w:pPr>
          </w:p>
        </w:tc>
      </w:tr>
      <w:tr w:rsidR="00FC1C25" w:rsidRPr="007E47A5" w14:paraId="380834AD" w14:textId="77777777" w:rsidTr="00A42C68">
        <w:trPr>
          <w:trHeight w:val="20"/>
          <w:jc w:val="center"/>
        </w:trPr>
        <w:tc>
          <w:tcPr>
            <w:tcW w:w="1148" w:type="pct"/>
            <w:vMerge w:val="restar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vAlign w:val="center"/>
            <w:hideMark/>
          </w:tcPr>
          <w:p w14:paraId="04B88F09" w14:textId="77777777" w:rsidR="00FC1C25" w:rsidRPr="008247E2" w:rsidRDefault="00FC1C25" w:rsidP="00A42C68">
            <w:pPr>
              <w:spacing w:after="0"/>
              <w:jc w:val="left"/>
              <w:rPr>
                <w:rFonts w:ascii="Calibri" w:hAnsi="Calibri" w:cs="Calibri"/>
                <w:sz w:val="20"/>
                <w:lang w:val="en-US"/>
              </w:rPr>
            </w:pPr>
            <w:r w:rsidRPr="008247E2">
              <w:rPr>
                <w:rFonts w:ascii="Calibri" w:hAnsi="Calibri" w:cs="Calibri"/>
                <w:sz w:val="20"/>
              </w:rPr>
              <w:t>Fish (Channel)</w:t>
            </w:r>
          </w:p>
        </w:tc>
        <w:tc>
          <w:tcPr>
            <w:tcW w:w="11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3753F435"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rPr>
              <w:t>Field sampling (electrofishing)</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14:paraId="2ACC67FA"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EBDA9AC"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D23331B"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5A6C63F4"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B437CFB"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71E6DE5"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56AB353"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96E356C"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4042189"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D87728B"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041F5F2" w14:textId="77777777" w:rsidR="00FC1C25" w:rsidRPr="007E47A5" w:rsidRDefault="00FC1C25" w:rsidP="00D96F00">
            <w:pPr>
              <w:spacing w:after="0"/>
              <w:rPr>
                <w:rFonts w:ascii="Calibri" w:hAnsi="Calibri" w:cs="Calibri"/>
                <w:sz w:val="18"/>
                <w:szCs w:val="18"/>
                <w:lang w:val="en-US"/>
              </w:rPr>
            </w:pPr>
          </w:p>
        </w:tc>
        <w:tc>
          <w:tcPr>
            <w:tcW w:w="1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1D850847"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14:paraId="139B4A96"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7891836"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172A089"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5585AE91"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486C1D4"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0C68AA1"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BC10733"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73DF8A8"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F7929A8"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640100F"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2B4FD5F" w14:textId="77777777" w:rsidR="00FC1C25" w:rsidRPr="007E47A5" w:rsidRDefault="00FC1C25" w:rsidP="00D96F00">
            <w:pPr>
              <w:spacing w:after="0"/>
              <w:rPr>
                <w:rFonts w:ascii="Calibri" w:hAnsi="Calibri" w:cs="Calibri"/>
                <w:sz w:val="18"/>
                <w:szCs w:val="18"/>
                <w:lang w:val="en-US"/>
              </w:rPr>
            </w:pPr>
          </w:p>
        </w:tc>
        <w:tc>
          <w:tcPr>
            <w:tcW w:w="1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3468EAE5"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r>
      <w:tr w:rsidR="00FC1C25" w:rsidRPr="007E47A5" w14:paraId="3AD75F1A" w14:textId="77777777" w:rsidTr="00A42C68">
        <w:trPr>
          <w:trHeight w:val="20"/>
          <w:jc w:val="center"/>
        </w:trPr>
        <w:tc>
          <w:tcPr>
            <w:tcW w:w="1148" w:type="pct"/>
            <w:vMerge/>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vAlign w:val="center"/>
            <w:hideMark/>
          </w:tcPr>
          <w:p w14:paraId="2DD99063" w14:textId="77777777" w:rsidR="00FC1C25" w:rsidRPr="008247E2" w:rsidRDefault="00FC1C25" w:rsidP="00A42C68">
            <w:pPr>
              <w:spacing w:after="0"/>
              <w:jc w:val="left"/>
              <w:rPr>
                <w:rFonts w:ascii="Calibri" w:hAnsi="Calibri" w:cs="Calibri"/>
                <w:sz w:val="20"/>
                <w:lang w:val="en-US"/>
              </w:rPr>
            </w:pPr>
          </w:p>
        </w:tc>
        <w:tc>
          <w:tcPr>
            <w:tcW w:w="11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0E850102"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rPr>
              <w:t>Field sampling (fyke netting)</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14:paraId="1F845171"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23519DE"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A2E2DDE"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18A27DC9"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CC03D38"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5F965D5"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BC48A13"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DF1D1BF"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10853DF"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786506E"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6C84B33" w14:textId="77777777" w:rsidR="00FC1C25" w:rsidRPr="007E47A5" w:rsidRDefault="00FC1C25" w:rsidP="00D96F00">
            <w:pPr>
              <w:spacing w:after="0"/>
              <w:rPr>
                <w:rFonts w:ascii="Calibri" w:hAnsi="Calibri" w:cs="Calibri"/>
                <w:sz w:val="18"/>
                <w:szCs w:val="18"/>
                <w:lang w:val="en-US"/>
              </w:rPr>
            </w:pPr>
          </w:p>
        </w:tc>
        <w:tc>
          <w:tcPr>
            <w:tcW w:w="1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2CF9C90F"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14:paraId="05A2FCA6"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8C3289F"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1FA3E11"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082BF802"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9D6126F"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48DFE85"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66A1820"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F2C3500"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DFA35BD"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2EC6D7F"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331992D" w14:textId="77777777" w:rsidR="00FC1C25" w:rsidRPr="007E47A5" w:rsidRDefault="00FC1C25" w:rsidP="00D96F00">
            <w:pPr>
              <w:spacing w:after="0"/>
              <w:rPr>
                <w:rFonts w:ascii="Calibri" w:hAnsi="Calibri" w:cs="Calibri"/>
                <w:sz w:val="18"/>
                <w:szCs w:val="18"/>
                <w:lang w:val="en-US"/>
              </w:rPr>
            </w:pPr>
          </w:p>
        </w:tc>
        <w:tc>
          <w:tcPr>
            <w:tcW w:w="1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40CE0660"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r>
      <w:tr w:rsidR="00FC1C25" w:rsidRPr="007E47A5" w14:paraId="23847D5C" w14:textId="77777777" w:rsidTr="00A42C68">
        <w:trPr>
          <w:trHeight w:val="20"/>
          <w:jc w:val="center"/>
        </w:trPr>
        <w:tc>
          <w:tcPr>
            <w:tcW w:w="1148" w:type="pct"/>
            <w:vMerge/>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vAlign w:val="center"/>
            <w:hideMark/>
          </w:tcPr>
          <w:p w14:paraId="73683432" w14:textId="77777777" w:rsidR="00FC1C25" w:rsidRPr="008247E2" w:rsidRDefault="00FC1C25" w:rsidP="00A42C68">
            <w:pPr>
              <w:spacing w:after="0"/>
              <w:jc w:val="left"/>
              <w:rPr>
                <w:rFonts w:ascii="Calibri" w:hAnsi="Calibri" w:cs="Calibri"/>
                <w:sz w:val="20"/>
                <w:lang w:val="en-US"/>
              </w:rPr>
            </w:pPr>
          </w:p>
        </w:tc>
        <w:tc>
          <w:tcPr>
            <w:tcW w:w="11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7FA75480" w14:textId="77777777" w:rsidR="00FC1C25" w:rsidRPr="007E47A5" w:rsidRDefault="00FC1C25" w:rsidP="00D96F00">
            <w:pPr>
              <w:spacing w:after="0"/>
              <w:rPr>
                <w:rFonts w:ascii="Calibri" w:hAnsi="Calibri" w:cs="Calibri"/>
                <w:sz w:val="18"/>
                <w:szCs w:val="18"/>
                <w:lang w:val="en-US"/>
              </w:rPr>
            </w:pPr>
            <w:r>
              <w:rPr>
                <w:rFonts w:ascii="Calibri" w:hAnsi="Calibri" w:cs="Calibri"/>
                <w:sz w:val="18"/>
                <w:szCs w:val="18"/>
              </w:rPr>
              <w:t>Lab fish ageing</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14:paraId="5161B9E5"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D2568B9"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F2F5594"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5F2D679"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01AB346"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B5C8408"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7420DA2"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C11DAD0"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4044B08"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3BF5A48"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EF756F9" w14:textId="77777777" w:rsidR="00FC1C25" w:rsidRPr="007E47A5" w:rsidRDefault="00FC1C25" w:rsidP="00D96F00">
            <w:pPr>
              <w:spacing w:after="0"/>
              <w:rPr>
                <w:rFonts w:ascii="Calibri" w:hAnsi="Calibri" w:cs="Calibri"/>
                <w:sz w:val="18"/>
                <w:szCs w:val="18"/>
                <w:lang w:val="en-US"/>
              </w:rPr>
            </w:pPr>
          </w:p>
        </w:tc>
        <w:tc>
          <w:tcPr>
            <w:tcW w:w="1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11D047A1"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14:paraId="7E58B5AA"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C3E3438"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9660CC0"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B041BBD"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37A8CA0C"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615C0486"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226848A"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AB75F46"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7CEE2AA"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6DA4C41"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FAC31CE" w14:textId="77777777" w:rsidR="00FC1C25" w:rsidRPr="007E47A5" w:rsidRDefault="00FC1C25" w:rsidP="00D96F00">
            <w:pPr>
              <w:spacing w:after="0"/>
              <w:rPr>
                <w:rFonts w:ascii="Calibri" w:hAnsi="Calibri" w:cs="Calibri"/>
                <w:sz w:val="18"/>
                <w:szCs w:val="18"/>
                <w:lang w:val="en-US"/>
              </w:rPr>
            </w:pPr>
          </w:p>
        </w:tc>
        <w:tc>
          <w:tcPr>
            <w:tcW w:w="1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4BFF7DA8"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r>
      <w:tr w:rsidR="00A42C68" w:rsidRPr="007E47A5" w14:paraId="6B14DD93" w14:textId="77777777" w:rsidTr="00A42C68">
        <w:trPr>
          <w:trHeight w:val="20"/>
          <w:jc w:val="center"/>
        </w:trPr>
        <w:tc>
          <w:tcPr>
            <w:tcW w:w="1148" w:type="pct"/>
            <w:vMerge/>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vAlign w:val="center"/>
            <w:hideMark/>
          </w:tcPr>
          <w:p w14:paraId="2CC9F868" w14:textId="77777777" w:rsidR="00FC1C25" w:rsidRPr="008247E2" w:rsidRDefault="00FC1C25" w:rsidP="00A42C68">
            <w:pPr>
              <w:spacing w:after="0"/>
              <w:jc w:val="left"/>
              <w:rPr>
                <w:rFonts w:ascii="Calibri" w:hAnsi="Calibri" w:cs="Calibri"/>
                <w:sz w:val="20"/>
                <w:lang w:val="en-US"/>
              </w:rPr>
            </w:pPr>
          </w:p>
        </w:tc>
        <w:tc>
          <w:tcPr>
            <w:tcW w:w="11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5B4B7A48"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14:paraId="799F0773"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4EDCB2C"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19855B1"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C1C20B3"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7E1F2BBF"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0CDE2B7C"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4236F981"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520EB250"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18DB88D9"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391DA1E2"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40D825A8" w14:textId="77777777" w:rsidR="00FC1C25" w:rsidRPr="007E47A5" w:rsidRDefault="00FC1C25" w:rsidP="00D96F00">
            <w:pPr>
              <w:spacing w:after="0"/>
              <w:rPr>
                <w:rFonts w:ascii="Calibri" w:hAnsi="Calibri" w:cs="Calibri"/>
                <w:sz w:val="18"/>
                <w:szCs w:val="18"/>
                <w:lang w:val="en-US"/>
              </w:rPr>
            </w:pPr>
          </w:p>
        </w:tc>
        <w:tc>
          <w:tcPr>
            <w:tcW w:w="1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noWrap/>
            <w:vAlign w:val="bottom"/>
            <w:hideMark/>
          </w:tcPr>
          <w:p w14:paraId="3F296D9B"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14:paraId="335EA967"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195A2F1"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498DF2C"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7B6A335"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249FE46C"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250AD79B"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2BFE1D04"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4EABF5C6"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3600862C"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4D280646"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13857F6D" w14:textId="77777777" w:rsidR="00FC1C25" w:rsidRPr="007E47A5" w:rsidRDefault="00FC1C25" w:rsidP="00D96F00">
            <w:pPr>
              <w:spacing w:after="0"/>
              <w:rPr>
                <w:rFonts w:ascii="Calibri" w:hAnsi="Calibri" w:cs="Calibri"/>
                <w:sz w:val="18"/>
                <w:szCs w:val="18"/>
                <w:lang w:val="en-US"/>
              </w:rPr>
            </w:pPr>
          </w:p>
        </w:tc>
        <w:tc>
          <w:tcPr>
            <w:tcW w:w="1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noWrap/>
            <w:vAlign w:val="bottom"/>
            <w:hideMark/>
          </w:tcPr>
          <w:p w14:paraId="037643D4"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r>
      <w:tr w:rsidR="00FC1C25" w:rsidRPr="007E47A5" w14:paraId="4D3D5AAB" w14:textId="77777777" w:rsidTr="00A42C68">
        <w:trPr>
          <w:trHeight w:val="20"/>
          <w:jc w:val="center"/>
        </w:trPr>
        <w:tc>
          <w:tcPr>
            <w:tcW w:w="1148" w:type="pct"/>
            <w:vMerge w:val="restar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vAlign w:val="center"/>
          </w:tcPr>
          <w:p w14:paraId="1A854E22" w14:textId="77777777" w:rsidR="00FC1C25" w:rsidRPr="008247E2" w:rsidRDefault="00FC1C25" w:rsidP="00A42C68">
            <w:pPr>
              <w:spacing w:after="0"/>
              <w:jc w:val="left"/>
              <w:rPr>
                <w:rFonts w:ascii="Calibri" w:hAnsi="Calibri" w:cs="Calibri"/>
                <w:sz w:val="20"/>
                <w:lang w:val="en-US"/>
              </w:rPr>
            </w:pPr>
            <w:r w:rsidRPr="008247E2">
              <w:rPr>
                <w:rFonts w:ascii="Calibri" w:hAnsi="Calibri" w:cs="Calibri"/>
                <w:sz w:val="20"/>
              </w:rPr>
              <w:t>Stream Metabolism and Water Quality</w:t>
            </w:r>
          </w:p>
        </w:tc>
        <w:tc>
          <w:tcPr>
            <w:tcW w:w="11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07134067" w14:textId="77777777" w:rsidR="00FC1C25" w:rsidRPr="007E47A5" w:rsidRDefault="00FC1C25" w:rsidP="00D96F00">
            <w:pPr>
              <w:spacing w:after="0"/>
              <w:rPr>
                <w:rFonts w:ascii="Calibri" w:hAnsi="Calibri" w:cs="Calibri"/>
                <w:sz w:val="18"/>
                <w:szCs w:val="18"/>
              </w:rPr>
            </w:pPr>
            <w:r w:rsidRPr="007E47A5">
              <w:rPr>
                <w:rFonts w:ascii="Calibri" w:hAnsi="Calibri" w:cs="Calibri"/>
                <w:sz w:val="18"/>
                <w:szCs w:val="18"/>
              </w:rPr>
              <w:t>Deploy equipment</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tcPr>
          <w:p w14:paraId="089A5EED"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53863B8"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F565777"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E667754"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BFC982D"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466B4D7"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3346250"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BAC7878"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32967287"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0B48434"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8408C98" w14:textId="77777777" w:rsidR="00FC1C25" w:rsidRPr="007E47A5" w:rsidRDefault="00FC1C25" w:rsidP="00D96F00">
            <w:pPr>
              <w:spacing w:after="0"/>
              <w:rPr>
                <w:rFonts w:ascii="Calibri" w:hAnsi="Calibri" w:cs="Calibri"/>
                <w:sz w:val="18"/>
                <w:szCs w:val="18"/>
                <w:lang w:val="en-US"/>
              </w:rPr>
            </w:pPr>
          </w:p>
        </w:tc>
        <w:tc>
          <w:tcPr>
            <w:tcW w:w="1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1F5E648F"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tcPr>
          <w:p w14:paraId="0344846A"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6988E67"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59BF297"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AB66E49"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3B1C1C9"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563F8A2"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7465D09"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16BD141"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04759D2"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C4D9166"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6CFDFAA" w14:textId="77777777" w:rsidR="00FC1C25" w:rsidRPr="007E47A5" w:rsidRDefault="00FC1C25" w:rsidP="00D96F00">
            <w:pPr>
              <w:spacing w:after="0"/>
              <w:rPr>
                <w:rFonts w:ascii="Calibri" w:hAnsi="Calibri" w:cs="Calibri"/>
                <w:sz w:val="18"/>
                <w:szCs w:val="18"/>
                <w:lang w:val="en-US"/>
              </w:rPr>
            </w:pPr>
          </w:p>
        </w:tc>
        <w:tc>
          <w:tcPr>
            <w:tcW w:w="1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1FC46AAE" w14:textId="77777777" w:rsidR="00FC1C25" w:rsidRPr="007E47A5" w:rsidRDefault="00FC1C25" w:rsidP="00D96F00">
            <w:pPr>
              <w:spacing w:after="0"/>
              <w:rPr>
                <w:rFonts w:ascii="Calibri" w:hAnsi="Calibri" w:cs="Calibri"/>
                <w:sz w:val="18"/>
                <w:szCs w:val="18"/>
                <w:lang w:val="en-US"/>
              </w:rPr>
            </w:pPr>
          </w:p>
        </w:tc>
      </w:tr>
      <w:tr w:rsidR="00FC1C25" w:rsidRPr="007E47A5" w14:paraId="2BA6829A" w14:textId="77777777" w:rsidTr="00D96F00">
        <w:trPr>
          <w:trHeight w:val="20"/>
          <w:jc w:val="center"/>
        </w:trPr>
        <w:tc>
          <w:tcPr>
            <w:tcW w:w="1148" w:type="pct"/>
            <w:vMerge/>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vAlign w:val="center"/>
          </w:tcPr>
          <w:p w14:paraId="45CC3A92" w14:textId="77777777" w:rsidR="00FC1C25" w:rsidRPr="008247E2" w:rsidRDefault="00FC1C25" w:rsidP="00D96F00">
            <w:pPr>
              <w:spacing w:after="0"/>
              <w:rPr>
                <w:rFonts w:ascii="Calibri" w:hAnsi="Calibri" w:cs="Calibri"/>
                <w:sz w:val="20"/>
                <w:lang w:val="en-US"/>
              </w:rPr>
            </w:pPr>
          </w:p>
        </w:tc>
        <w:tc>
          <w:tcPr>
            <w:tcW w:w="11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46EFD4D2" w14:textId="77777777" w:rsidR="00FC1C25" w:rsidRPr="007E47A5" w:rsidRDefault="00FC1C25" w:rsidP="00D96F00">
            <w:pPr>
              <w:spacing w:after="0"/>
              <w:rPr>
                <w:rFonts w:ascii="Calibri" w:hAnsi="Calibri" w:cs="Calibri"/>
                <w:sz w:val="18"/>
                <w:szCs w:val="18"/>
              </w:rPr>
            </w:pPr>
            <w:r w:rsidRPr="007E47A5">
              <w:rPr>
                <w:rFonts w:ascii="Calibri" w:hAnsi="Calibri" w:cs="Calibri"/>
                <w:sz w:val="18"/>
                <w:szCs w:val="18"/>
              </w:rPr>
              <w:t>Data logging/water quality sampling</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79C457B3"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7C655EF1"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57F83990"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8C52672"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E60DB26"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4C424B0"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3C02C5C"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E7296A5"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D0A0DE2"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5C37E0E"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07C7A898" w14:textId="77777777" w:rsidR="00FC1C25" w:rsidRPr="007E47A5" w:rsidRDefault="00FC1C25" w:rsidP="00D96F00">
            <w:pPr>
              <w:spacing w:after="0"/>
              <w:rPr>
                <w:rFonts w:ascii="Calibri" w:hAnsi="Calibri" w:cs="Calibri"/>
                <w:sz w:val="18"/>
                <w:szCs w:val="18"/>
                <w:lang w:val="en-US"/>
              </w:rPr>
            </w:pPr>
          </w:p>
        </w:tc>
        <w:tc>
          <w:tcPr>
            <w:tcW w:w="1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noWrap/>
            <w:vAlign w:val="bottom"/>
          </w:tcPr>
          <w:p w14:paraId="119B89F7"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7088BCB"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3DE7B407"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7CF23CBE"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4113ACF"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40A05B8"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F8A3AB0"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4FA396C"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E79A2A6"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B619FE7"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B406CCF"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19B1FD6" w14:textId="77777777" w:rsidR="00FC1C25" w:rsidRPr="007E47A5" w:rsidRDefault="00FC1C25" w:rsidP="00D96F00">
            <w:pPr>
              <w:spacing w:after="0"/>
              <w:rPr>
                <w:rFonts w:ascii="Calibri" w:hAnsi="Calibri" w:cs="Calibri"/>
                <w:sz w:val="18"/>
                <w:szCs w:val="18"/>
                <w:lang w:val="en-US"/>
              </w:rPr>
            </w:pPr>
          </w:p>
        </w:tc>
        <w:tc>
          <w:tcPr>
            <w:tcW w:w="1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5721181A" w14:textId="77777777" w:rsidR="00FC1C25" w:rsidRPr="007E47A5" w:rsidRDefault="00FC1C25" w:rsidP="00D96F00">
            <w:pPr>
              <w:spacing w:after="0"/>
              <w:rPr>
                <w:rFonts w:ascii="Calibri" w:hAnsi="Calibri" w:cs="Calibri"/>
                <w:sz w:val="18"/>
                <w:szCs w:val="18"/>
                <w:lang w:val="en-US"/>
              </w:rPr>
            </w:pPr>
          </w:p>
        </w:tc>
      </w:tr>
      <w:tr w:rsidR="00FC1C25" w:rsidRPr="007E47A5" w14:paraId="28CAA6EA" w14:textId="77777777" w:rsidTr="00D96F00">
        <w:trPr>
          <w:trHeight w:val="20"/>
          <w:jc w:val="center"/>
        </w:trPr>
        <w:tc>
          <w:tcPr>
            <w:tcW w:w="1148" w:type="pct"/>
            <w:vMerge/>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vAlign w:val="center"/>
          </w:tcPr>
          <w:p w14:paraId="2DED09AA" w14:textId="77777777" w:rsidR="00FC1C25" w:rsidRPr="008247E2" w:rsidRDefault="00FC1C25" w:rsidP="00D96F00">
            <w:pPr>
              <w:spacing w:after="0"/>
              <w:rPr>
                <w:rFonts w:ascii="Calibri" w:hAnsi="Calibri" w:cs="Calibri"/>
                <w:sz w:val="20"/>
                <w:lang w:val="en-US"/>
              </w:rPr>
            </w:pPr>
          </w:p>
        </w:tc>
        <w:tc>
          <w:tcPr>
            <w:tcW w:w="11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79988FAD" w14:textId="77777777" w:rsidR="00FC1C25" w:rsidRPr="007E47A5" w:rsidRDefault="00FC1C25" w:rsidP="00D96F00">
            <w:pPr>
              <w:spacing w:after="0"/>
              <w:rPr>
                <w:rFonts w:ascii="Calibri" w:hAnsi="Calibri" w:cs="Calibri"/>
                <w:sz w:val="18"/>
                <w:szCs w:val="18"/>
              </w:rPr>
            </w:pPr>
            <w:r w:rsidRPr="007E47A5">
              <w:rPr>
                <w:rFonts w:ascii="Calibri" w:hAnsi="Calibri" w:cs="Calibri"/>
                <w:sz w:val="18"/>
                <w:szCs w:val="18"/>
              </w:rPr>
              <w:t>Equipment maintenance &amp; data download</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6CCCE6A4"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0BB91918"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7045667"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C739F75"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AB936E0"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E7B1462"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2C9A163"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C4105C5"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5870FE3"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39794F95"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7DEED1FB" w14:textId="77777777" w:rsidR="00FC1C25" w:rsidRPr="007E47A5" w:rsidRDefault="00FC1C25" w:rsidP="00D96F00">
            <w:pPr>
              <w:spacing w:after="0"/>
              <w:rPr>
                <w:rFonts w:ascii="Calibri" w:hAnsi="Calibri" w:cs="Calibri"/>
                <w:sz w:val="18"/>
                <w:szCs w:val="18"/>
                <w:lang w:val="en-US"/>
              </w:rPr>
            </w:pPr>
          </w:p>
        </w:tc>
        <w:tc>
          <w:tcPr>
            <w:tcW w:w="1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noWrap/>
            <w:vAlign w:val="bottom"/>
          </w:tcPr>
          <w:p w14:paraId="4DFA75A1"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C7F8D9D"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646877A1"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6C25327"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7FCB5B7"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4D4104F"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68296F2"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AE57949"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06AC847"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B920EB5"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D4AF118"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F102087" w14:textId="77777777" w:rsidR="00FC1C25" w:rsidRPr="007E47A5" w:rsidRDefault="00FC1C25" w:rsidP="00D96F00">
            <w:pPr>
              <w:spacing w:after="0"/>
              <w:rPr>
                <w:rFonts w:ascii="Calibri" w:hAnsi="Calibri" w:cs="Calibri"/>
                <w:sz w:val="18"/>
                <w:szCs w:val="18"/>
                <w:lang w:val="en-US"/>
              </w:rPr>
            </w:pPr>
          </w:p>
        </w:tc>
        <w:tc>
          <w:tcPr>
            <w:tcW w:w="1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68BCA9CA" w14:textId="77777777" w:rsidR="00FC1C25" w:rsidRPr="007E47A5" w:rsidRDefault="00FC1C25" w:rsidP="00D96F00">
            <w:pPr>
              <w:spacing w:after="0"/>
              <w:rPr>
                <w:rFonts w:ascii="Calibri" w:hAnsi="Calibri" w:cs="Calibri"/>
                <w:sz w:val="18"/>
                <w:szCs w:val="18"/>
                <w:lang w:val="en-US"/>
              </w:rPr>
            </w:pPr>
          </w:p>
        </w:tc>
      </w:tr>
      <w:tr w:rsidR="00FC1C25" w:rsidRPr="007E47A5" w14:paraId="62697B5B" w14:textId="77777777" w:rsidTr="00D96F00">
        <w:trPr>
          <w:trHeight w:val="20"/>
          <w:jc w:val="center"/>
        </w:trPr>
        <w:tc>
          <w:tcPr>
            <w:tcW w:w="1148" w:type="pct"/>
            <w:vMerge/>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vAlign w:val="center"/>
          </w:tcPr>
          <w:p w14:paraId="01723481" w14:textId="77777777" w:rsidR="00FC1C25" w:rsidRPr="008247E2" w:rsidRDefault="00FC1C25" w:rsidP="00D96F00">
            <w:pPr>
              <w:spacing w:after="0"/>
              <w:rPr>
                <w:rFonts w:ascii="Calibri" w:hAnsi="Calibri" w:cs="Calibri"/>
                <w:sz w:val="20"/>
                <w:lang w:val="en-US"/>
              </w:rPr>
            </w:pPr>
          </w:p>
        </w:tc>
        <w:tc>
          <w:tcPr>
            <w:tcW w:w="11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1554F602" w14:textId="77777777" w:rsidR="00FC1C25" w:rsidRPr="007E47A5" w:rsidRDefault="00FC1C25" w:rsidP="00D96F00">
            <w:pPr>
              <w:spacing w:after="0"/>
              <w:rPr>
                <w:rFonts w:ascii="Calibri" w:hAnsi="Calibri" w:cs="Calibri"/>
                <w:sz w:val="18"/>
                <w:szCs w:val="18"/>
              </w:rPr>
            </w:pPr>
            <w:r w:rsidRPr="007E47A5">
              <w:rPr>
                <w:rFonts w:ascii="Calibri" w:hAnsi="Calibri" w:cs="Calibri"/>
                <w:sz w:val="18"/>
                <w:szCs w:val="18"/>
              </w:rPr>
              <w:t>Collect equipment</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tcPr>
          <w:p w14:paraId="776E6698"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162BF94"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245C77A5"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A66B77B"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199A88D"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EE3EBE9"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8DE1673"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B0FF438"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E18FC42"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F9249D0"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A26A899" w14:textId="77777777" w:rsidR="00FC1C25" w:rsidRPr="007E47A5" w:rsidRDefault="00FC1C25" w:rsidP="00D96F00">
            <w:pPr>
              <w:spacing w:after="0"/>
              <w:rPr>
                <w:rFonts w:ascii="Calibri" w:hAnsi="Calibri" w:cs="Calibri"/>
                <w:sz w:val="18"/>
                <w:szCs w:val="18"/>
                <w:lang w:val="en-US"/>
              </w:rPr>
            </w:pPr>
          </w:p>
        </w:tc>
        <w:tc>
          <w:tcPr>
            <w:tcW w:w="1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281ECF20"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tcPr>
          <w:p w14:paraId="40FCB46C"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9A27D1C"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29A667E6"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FECBC64"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804405C"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6260954"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C409150"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41393EF"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E1F2AFE"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CC10CB7"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511BC64" w14:textId="77777777" w:rsidR="00FC1C25" w:rsidRPr="007E47A5" w:rsidRDefault="00FC1C25" w:rsidP="00D96F00">
            <w:pPr>
              <w:spacing w:after="0"/>
              <w:rPr>
                <w:rFonts w:ascii="Calibri" w:hAnsi="Calibri" w:cs="Calibri"/>
                <w:sz w:val="18"/>
                <w:szCs w:val="18"/>
                <w:lang w:val="en-US"/>
              </w:rPr>
            </w:pPr>
          </w:p>
        </w:tc>
        <w:tc>
          <w:tcPr>
            <w:tcW w:w="1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44754875" w14:textId="77777777" w:rsidR="00FC1C25" w:rsidRPr="007E47A5" w:rsidRDefault="00FC1C25" w:rsidP="00D96F00">
            <w:pPr>
              <w:spacing w:after="0"/>
              <w:rPr>
                <w:rFonts w:ascii="Calibri" w:hAnsi="Calibri" w:cs="Calibri"/>
                <w:sz w:val="18"/>
                <w:szCs w:val="18"/>
                <w:lang w:val="en-US"/>
              </w:rPr>
            </w:pPr>
          </w:p>
        </w:tc>
      </w:tr>
      <w:tr w:rsidR="00FC1C25" w:rsidRPr="007E47A5" w14:paraId="656D9789" w14:textId="77777777" w:rsidTr="00D96F00">
        <w:trPr>
          <w:trHeight w:val="20"/>
          <w:jc w:val="center"/>
        </w:trPr>
        <w:tc>
          <w:tcPr>
            <w:tcW w:w="1148" w:type="pct"/>
            <w:vMerge/>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vAlign w:val="center"/>
          </w:tcPr>
          <w:p w14:paraId="03AE3D83" w14:textId="77777777" w:rsidR="00FC1C25" w:rsidRPr="008247E2" w:rsidRDefault="00FC1C25" w:rsidP="00D96F00">
            <w:pPr>
              <w:spacing w:after="0"/>
              <w:rPr>
                <w:rFonts w:ascii="Calibri" w:hAnsi="Calibri" w:cs="Calibri"/>
                <w:sz w:val="20"/>
                <w:lang w:val="en-US"/>
              </w:rPr>
            </w:pPr>
          </w:p>
        </w:tc>
        <w:tc>
          <w:tcPr>
            <w:tcW w:w="11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4E7A69D6" w14:textId="77777777" w:rsidR="00FC1C25" w:rsidRPr="007E47A5" w:rsidRDefault="00FC1C25" w:rsidP="00D96F00">
            <w:pPr>
              <w:spacing w:after="0"/>
              <w:rPr>
                <w:rFonts w:ascii="Calibri" w:hAnsi="Calibri" w:cs="Calibri"/>
                <w:sz w:val="18"/>
                <w:szCs w:val="18"/>
              </w:rPr>
            </w:pPr>
            <w:r w:rsidRPr="007E47A5">
              <w:rPr>
                <w:rFonts w:ascii="Calibri" w:hAnsi="Calibri" w:cs="Calibri"/>
                <w:sz w:val="18"/>
                <w:szCs w:val="18"/>
              </w:rPr>
              <w:t>Data entry, analysis &amp; reporting</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93B06C4"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787F66BD"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A95632F"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600AEC19"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E1055BF"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73B651FB"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347402F8"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61A2B670"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3A3DD86E"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71A4C375"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58EB54FE" w14:textId="77777777" w:rsidR="00FC1C25" w:rsidRPr="007E47A5" w:rsidRDefault="00FC1C25" w:rsidP="00D96F00">
            <w:pPr>
              <w:spacing w:after="0"/>
              <w:rPr>
                <w:rFonts w:ascii="Calibri" w:hAnsi="Calibri" w:cs="Calibri"/>
                <w:sz w:val="18"/>
                <w:szCs w:val="18"/>
                <w:lang w:val="en-US"/>
              </w:rPr>
            </w:pPr>
          </w:p>
        </w:tc>
        <w:tc>
          <w:tcPr>
            <w:tcW w:w="1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noWrap/>
            <w:vAlign w:val="bottom"/>
          </w:tcPr>
          <w:p w14:paraId="572866EB"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4012C9F"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7C19B523"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0146F6B5"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A731BF4"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D041AD6"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318655C1"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09948C5B"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22D93E3A"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0334EF45"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20CBE663"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9521FE9" w14:textId="77777777" w:rsidR="00FC1C25" w:rsidRPr="007E47A5" w:rsidRDefault="00FC1C25" w:rsidP="00D96F00">
            <w:pPr>
              <w:spacing w:after="0"/>
              <w:rPr>
                <w:rFonts w:ascii="Calibri" w:hAnsi="Calibri" w:cs="Calibri"/>
                <w:sz w:val="18"/>
                <w:szCs w:val="18"/>
                <w:lang w:val="en-US"/>
              </w:rPr>
            </w:pPr>
          </w:p>
        </w:tc>
        <w:tc>
          <w:tcPr>
            <w:tcW w:w="1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noWrap/>
            <w:vAlign w:val="bottom"/>
          </w:tcPr>
          <w:p w14:paraId="6E9F041C" w14:textId="77777777" w:rsidR="00FC1C25" w:rsidRPr="007E47A5" w:rsidRDefault="00FC1C25" w:rsidP="00D96F00">
            <w:pPr>
              <w:spacing w:after="0"/>
              <w:rPr>
                <w:rFonts w:ascii="Calibri" w:hAnsi="Calibri" w:cs="Calibri"/>
                <w:sz w:val="18"/>
                <w:szCs w:val="18"/>
                <w:lang w:val="en-US"/>
              </w:rPr>
            </w:pPr>
          </w:p>
        </w:tc>
      </w:tr>
      <w:tr w:rsidR="00FC1C25" w:rsidRPr="007E47A5" w14:paraId="129E5E81" w14:textId="77777777" w:rsidTr="00D96F00">
        <w:trPr>
          <w:trHeight w:val="20"/>
          <w:jc w:val="center"/>
        </w:trPr>
        <w:tc>
          <w:tcPr>
            <w:tcW w:w="1148"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14:paraId="1FD9C224" w14:textId="77777777" w:rsidR="00152943" w:rsidRPr="00152943" w:rsidRDefault="00152943" w:rsidP="00D96F00">
            <w:pPr>
              <w:spacing w:after="0"/>
              <w:rPr>
                <w:rFonts w:ascii="Calibri" w:hAnsi="Calibri" w:cs="Calibri"/>
                <w:b/>
                <w:sz w:val="4"/>
              </w:rPr>
            </w:pPr>
          </w:p>
          <w:p w14:paraId="23EE07C5" w14:textId="77777777" w:rsidR="00FC1C25" w:rsidRPr="008247E2" w:rsidRDefault="00FC1C25" w:rsidP="00D96F00">
            <w:pPr>
              <w:spacing w:after="0"/>
              <w:rPr>
                <w:rFonts w:ascii="Calibri" w:hAnsi="Calibri" w:cs="Calibri"/>
                <w:b/>
                <w:bCs/>
                <w:sz w:val="20"/>
                <w:lang w:val="en-US"/>
              </w:rPr>
            </w:pPr>
            <w:r>
              <w:rPr>
                <w:rFonts w:ascii="Calibri" w:hAnsi="Calibri" w:cs="Calibri"/>
                <w:b/>
                <w:sz w:val="20"/>
              </w:rPr>
              <w:t>Category 3</w:t>
            </w:r>
          </w:p>
        </w:tc>
        <w:tc>
          <w:tcPr>
            <w:tcW w:w="11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7DACDD37"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14:paraId="6BAF8036"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6D693EC"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0F5ABC3"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BCB2850"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BD6620D"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A7C5029"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E1BFAA7"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26BB6A0"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94A0FCA"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94C6F02"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44B632A" w14:textId="77777777" w:rsidR="00FC1C25" w:rsidRPr="007E47A5" w:rsidRDefault="00FC1C25" w:rsidP="00D96F00">
            <w:pPr>
              <w:spacing w:after="0"/>
              <w:rPr>
                <w:rFonts w:ascii="Calibri" w:hAnsi="Calibri" w:cs="Calibri"/>
                <w:sz w:val="18"/>
                <w:szCs w:val="18"/>
                <w:lang w:val="en-US"/>
              </w:rPr>
            </w:pPr>
          </w:p>
        </w:tc>
        <w:tc>
          <w:tcPr>
            <w:tcW w:w="1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7B280803"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14:paraId="49C85F6A"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70136F5"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4A6197C"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32CAB00"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3A8E9B5"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21A7BE8"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D101AC5"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DDFC6D7"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CDC1DB2"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36BE53E"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D46627A" w14:textId="77777777" w:rsidR="00FC1C25" w:rsidRPr="007E47A5" w:rsidRDefault="00FC1C25" w:rsidP="00D96F00">
            <w:pPr>
              <w:spacing w:after="0"/>
              <w:rPr>
                <w:rFonts w:ascii="Calibri" w:hAnsi="Calibri" w:cs="Calibri"/>
                <w:sz w:val="18"/>
                <w:szCs w:val="18"/>
                <w:lang w:val="en-US"/>
              </w:rPr>
            </w:pPr>
          </w:p>
        </w:tc>
        <w:tc>
          <w:tcPr>
            <w:tcW w:w="1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603CABF9"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r>
      <w:tr w:rsidR="00FC1C25" w:rsidRPr="007E47A5" w14:paraId="03358701" w14:textId="77777777" w:rsidTr="00A42C68">
        <w:trPr>
          <w:trHeight w:val="20"/>
          <w:jc w:val="center"/>
        </w:trPr>
        <w:tc>
          <w:tcPr>
            <w:tcW w:w="1148" w:type="pct"/>
            <w:vMerge w:val="restar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vAlign w:val="center"/>
            <w:hideMark/>
          </w:tcPr>
          <w:p w14:paraId="609C35AE" w14:textId="77777777" w:rsidR="00FC1C25" w:rsidRPr="008247E2" w:rsidRDefault="00FC1C25" w:rsidP="00A42C68">
            <w:pPr>
              <w:spacing w:after="0"/>
              <w:jc w:val="left"/>
              <w:rPr>
                <w:rFonts w:ascii="Calibri" w:hAnsi="Calibri" w:cs="Calibri"/>
                <w:sz w:val="20"/>
                <w:lang w:val="en-US"/>
              </w:rPr>
            </w:pPr>
            <w:r w:rsidRPr="008247E2">
              <w:rPr>
                <w:rFonts w:ascii="Calibri" w:hAnsi="Calibri" w:cs="Calibri"/>
                <w:sz w:val="20"/>
              </w:rPr>
              <w:t>Hydraulic Regime</w:t>
            </w:r>
          </w:p>
        </w:tc>
        <w:tc>
          <w:tcPr>
            <w:tcW w:w="11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63C4449A"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rPr>
              <w:t>Modelling</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D9D9D9"/>
            <w:noWrap/>
            <w:vAlign w:val="bottom"/>
            <w:hideMark/>
          </w:tcPr>
          <w:p w14:paraId="7B88B377"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4659CF2C"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7E6D9708"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4D481C1F"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626BA1CF"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562B6627"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59FACBD8"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056B09F8"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766A232A"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60D40BAD"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41D0CAC8"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D9D9D9"/>
            <w:noWrap/>
            <w:vAlign w:val="bottom"/>
            <w:hideMark/>
          </w:tcPr>
          <w:p w14:paraId="020039D2"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D9D9D9"/>
            <w:noWrap/>
            <w:vAlign w:val="bottom"/>
            <w:hideMark/>
          </w:tcPr>
          <w:p w14:paraId="5DB6D4A0"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4A07E5D4"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2C08CF7B"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690C76E0"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1E395D5F"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19BFD1DE"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6EE2E8A5"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1203E839"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AF083F0"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8024EA0"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B8F320E"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4F802C6F"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FC1C25" w:rsidRPr="007E47A5" w14:paraId="20EEAFF2" w14:textId="77777777" w:rsidTr="00A42C68">
        <w:trPr>
          <w:trHeight w:val="20"/>
          <w:jc w:val="center"/>
        </w:trPr>
        <w:tc>
          <w:tcPr>
            <w:tcW w:w="1148" w:type="pct"/>
            <w:vMerge/>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vAlign w:val="center"/>
            <w:hideMark/>
          </w:tcPr>
          <w:p w14:paraId="3788DB53" w14:textId="77777777" w:rsidR="00FC1C25" w:rsidRPr="008247E2" w:rsidRDefault="00FC1C25" w:rsidP="00A42C68">
            <w:pPr>
              <w:spacing w:after="0"/>
              <w:jc w:val="left"/>
              <w:rPr>
                <w:rFonts w:ascii="Calibri" w:hAnsi="Calibri" w:cs="Calibri"/>
                <w:sz w:val="20"/>
                <w:lang w:val="en-US"/>
              </w:rPr>
            </w:pPr>
          </w:p>
        </w:tc>
        <w:tc>
          <w:tcPr>
            <w:tcW w:w="11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1852CE35"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rPr>
              <w:t>Reporting</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14:paraId="3BBD8392"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06D5A58"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E2FC7CC"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A10B140"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D6CE3C7"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56B2921"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B1596C0"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64533B2"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27DCF587"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62C408EB"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15970726" w14:textId="77777777" w:rsidR="00FC1C25" w:rsidRPr="007E47A5" w:rsidRDefault="00FC1C25" w:rsidP="00D96F00">
            <w:pPr>
              <w:spacing w:after="0"/>
              <w:rPr>
                <w:rFonts w:ascii="Calibri" w:hAnsi="Calibri" w:cs="Calibri"/>
                <w:sz w:val="18"/>
                <w:szCs w:val="18"/>
                <w:lang w:val="en-US"/>
              </w:rPr>
            </w:pPr>
          </w:p>
        </w:tc>
        <w:tc>
          <w:tcPr>
            <w:tcW w:w="1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noWrap/>
            <w:vAlign w:val="bottom"/>
            <w:hideMark/>
          </w:tcPr>
          <w:p w14:paraId="5DFA063C"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14:paraId="5BCE05EF"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9C68F5F"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176F86B"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C24F098"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02EDB3F"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09DEC9D"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58AE5A7"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C990E5C"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16C8CACC"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3018B2D3"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3E9123C4" w14:textId="77777777" w:rsidR="00FC1C25" w:rsidRPr="007E47A5" w:rsidRDefault="00FC1C25" w:rsidP="00D96F00">
            <w:pPr>
              <w:spacing w:after="0"/>
              <w:rPr>
                <w:rFonts w:ascii="Calibri" w:hAnsi="Calibri" w:cs="Calibri"/>
                <w:sz w:val="18"/>
                <w:szCs w:val="18"/>
                <w:lang w:val="en-US"/>
              </w:rPr>
            </w:pPr>
          </w:p>
        </w:tc>
        <w:tc>
          <w:tcPr>
            <w:tcW w:w="1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noWrap/>
            <w:vAlign w:val="bottom"/>
            <w:hideMark/>
          </w:tcPr>
          <w:p w14:paraId="6115EB3F"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r>
      <w:tr w:rsidR="00FC1C25" w:rsidRPr="007E47A5" w14:paraId="1B8574CC" w14:textId="77777777" w:rsidTr="00A42C68">
        <w:trPr>
          <w:trHeight w:val="20"/>
          <w:jc w:val="center"/>
        </w:trPr>
        <w:tc>
          <w:tcPr>
            <w:tcW w:w="1148" w:type="pct"/>
            <w:vMerge w:val="restar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vAlign w:val="center"/>
          </w:tcPr>
          <w:p w14:paraId="7FE0AB81" w14:textId="77777777" w:rsidR="00FC1C25" w:rsidRPr="008247E2" w:rsidRDefault="00FC1C25" w:rsidP="00A42C68">
            <w:pPr>
              <w:spacing w:after="0"/>
              <w:jc w:val="left"/>
              <w:rPr>
                <w:rFonts w:ascii="Calibri" w:hAnsi="Calibri" w:cs="Calibri"/>
                <w:sz w:val="20"/>
                <w:lang w:val="en-US"/>
              </w:rPr>
            </w:pPr>
            <w:r w:rsidRPr="008247E2">
              <w:rPr>
                <w:rFonts w:ascii="Calibri" w:hAnsi="Calibri" w:cs="Calibri"/>
                <w:sz w:val="20"/>
              </w:rPr>
              <w:t>Matter Transport and Coorong Habitat</w:t>
            </w:r>
          </w:p>
        </w:tc>
        <w:tc>
          <w:tcPr>
            <w:tcW w:w="11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692076D6" w14:textId="77777777" w:rsidR="00FC1C25" w:rsidRPr="007E47A5" w:rsidRDefault="00FC1C25" w:rsidP="00D96F00">
            <w:pPr>
              <w:spacing w:after="0"/>
              <w:rPr>
                <w:rFonts w:ascii="Calibri" w:hAnsi="Calibri" w:cs="Calibri"/>
                <w:sz w:val="18"/>
                <w:szCs w:val="18"/>
              </w:rPr>
            </w:pPr>
            <w:r w:rsidRPr="007E47A5">
              <w:rPr>
                <w:rFonts w:ascii="Calibri" w:hAnsi="Calibri" w:cs="Calibri"/>
                <w:sz w:val="18"/>
                <w:szCs w:val="18"/>
              </w:rPr>
              <w:t>Physical-chemical data collection</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D7BDD11"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33DC892D"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2E875F70"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A65083B"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30F99048"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7120F39E"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82EEFF5"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5BB851B5"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9238670"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72E94FED"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7BAC1DBF" w14:textId="77777777" w:rsidR="00FC1C25" w:rsidRPr="007E47A5" w:rsidRDefault="00FC1C25" w:rsidP="00D96F00">
            <w:pPr>
              <w:spacing w:after="0"/>
              <w:rPr>
                <w:rFonts w:ascii="Calibri" w:hAnsi="Calibri" w:cs="Calibri"/>
                <w:sz w:val="18"/>
                <w:szCs w:val="18"/>
                <w:lang w:val="en-US"/>
              </w:rPr>
            </w:pPr>
          </w:p>
        </w:tc>
        <w:tc>
          <w:tcPr>
            <w:tcW w:w="1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noWrap/>
            <w:vAlign w:val="bottom"/>
          </w:tcPr>
          <w:p w14:paraId="14FE22E6"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748D846E"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741E569C"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AED992E"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81A52F4"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4ED1AEE"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572EF074"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ECB83BB"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08984DD"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6BAC34A"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5E2BFC7"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6E42396" w14:textId="77777777" w:rsidR="00FC1C25" w:rsidRPr="007E47A5" w:rsidRDefault="00FC1C25" w:rsidP="00D96F00">
            <w:pPr>
              <w:spacing w:after="0"/>
              <w:rPr>
                <w:rFonts w:ascii="Calibri" w:hAnsi="Calibri" w:cs="Calibri"/>
                <w:sz w:val="18"/>
                <w:szCs w:val="18"/>
                <w:lang w:val="en-US"/>
              </w:rPr>
            </w:pPr>
          </w:p>
        </w:tc>
        <w:tc>
          <w:tcPr>
            <w:tcW w:w="1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293619B8" w14:textId="77777777" w:rsidR="00FC1C25" w:rsidRPr="007E47A5" w:rsidRDefault="00FC1C25" w:rsidP="00D96F00">
            <w:pPr>
              <w:spacing w:after="0"/>
              <w:rPr>
                <w:rFonts w:ascii="Calibri" w:hAnsi="Calibri" w:cs="Calibri"/>
                <w:sz w:val="18"/>
                <w:szCs w:val="18"/>
                <w:lang w:val="en-US"/>
              </w:rPr>
            </w:pPr>
          </w:p>
        </w:tc>
      </w:tr>
      <w:tr w:rsidR="00FC1C25" w:rsidRPr="007E47A5" w14:paraId="5299EA1C" w14:textId="77777777" w:rsidTr="00A42C68">
        <w:trPr>
          <w:trHeight w:val="20"/>
          <w:jc w:val="center"/>
        </w:trPr>
        <w:tc>
          <w:tcPr>
            <w:tcW w:w="1148" w:type="pct"/>
            <w:vMerge/>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vAlign w:val="center"/>
          </w:tcPr>
          <w:p w14:paraId="69DE7E7D" w14:textId="77777777" w:rsidR="00FC1C25" w:rsidRPr="008247E2" w:rsidRDefault="00FC1C25" w:rsidP="00A42C68">
            <w:pPr>
              <w:spacing w:after="0"/>
              <w:jc w:val="left"/>
              <w:rPr>
                <w:rFonts w:ascii="Calibri" w:hAnsi="Calibri" w:cs="Calibri"/>
                <w:sz w:val="20"/>
                <w:lang w:val="en-US"/>
              </w:rPr>
            </w:pPr>
          </w:p>
        </w:tc>
        <w:tc>
          <w:tcPr>
            <w:tcW w:w="11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17A76D16" w14:textId="77777777" w:rsidR="00FC1C25" w:rsidRPr="007E47A5" w:rsidRDefault="00FC1C25" w:rsidP="00D96F00">
            <w:pPr>
              <w:spacing w:after="0"/>
              <w:rPr>
                <w:rFonts w:ascii="Calibri" w:hAnsi="Calibri" w:cs="Calibri"/>
                <w:sz w:val="18"/>
                <w:szCs w:val="18"/>
              </w:rPr>
            </w:pPr>
            <w:r w:rsidRPr="007E47A5">
              <w:rPr>
                <w:rFonts w:ascii="Calibri" w:hAnsi="Calibri" w:cs="Calibri"/>
                <w:sz w:val="18"/>
                <w:szCs w:val="18"/>
              </w:rPr>
              <w:t>Modelling and scenario runs</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tcPr>
          <w:p w14:paraId="0D109925"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0CFE41A"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26E941C"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734C7C4"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EE0A2FD"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AD99642"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8662D5B"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22E6CB8F"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0B1BFC14"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BA2378C"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939DD1D" w14:textId="77777777" w:rsidR="00FC1C25" w:rsidRPr="007E47A5" w:rsidRDefault="00FC1C25" w:rsidP="00D96F00">
            <w:pPr>
              <w:spacing w:after="0"/>
              <w:rPr>
                <w:rFonts w:ascii="Calibri" w:hAnsi="Calibri" w:cs="Calibri"/>
                <w:sz w:val="18"/>
                <w:szCs w:val="18"/>
                <w:lang w:val="en-US"/>
              </w:rPr>
            </w:pPr>
          </w:p>
        </w:tc>
        <w:tc>
          <w:tcPr>
            <w:tcW w:w="1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2BE4608D"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tcPr>
          <w:p w14:paraId="7358D1D8"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1773665"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56E7BF6"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A9659D8"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5018644"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688AD88"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475F12F"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0BB24316"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50C46082"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8B739F0"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8367671" w14:textId="77777777" w:rsidR="00FC1C25" w:rsidRPr="007E47A5" w:rsidRDefault="00FC1C25" w:rsidP="00D96F00">
            <w:pPr>
              <w:spacing w:after="0"/>
              <w:rPr>
                <w:rFonts w:ascii="Calibri" w:hAnsi="Calibri" w:cs="Calibri"/>
                <w:sz w:val="18"/>
                <w:szCs w:val="18"/>
                <w:lang w:val="en-US"/>
              </w:rPr>
            </w:pPr>
          </w:p>
        </w:tc>
        <w:tc>
          <w:tcPr>
            <w:tcW w:w="1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6C6AA71D" w14:textId="77777777" w:rsidR="00FC1C25" w:rsidRPr="007E47A5" w:rsidRDefault="00FC1C25" w:rsidP="00D96F00">
            <w:pPr>
              <w:spacing w:after="0"/>
              <w:rPr>
                <w:rFonts w:ascii="Calibri" w:hAnsi="Calibri" w:cs="Calibri"/>
                <w:sz w:val="18"/>
                <w:szCs w:val="18"/>
                <w:lang w:val="en-US"/>
              </w:rPr>
            </w:pPr>
          </w:p>
        </w:tc>
      </w:tr>
      <w:tr w:rsidR="00FC1C25" w:rsidRPr="007E47A5" w14:paraId="087FFB5A" w14:textId="77777777" w:rsidTr="00A42C68">
        <w:trPr>
          <w:trHeight w:val="20"/>
          <w:jc w:val="center"/>
        </w:trPr>
        <w:tc>
          <w:tcPr>
            <w:tcW w:w="1148" w:type="pct"/>
            <w:vMerge/>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vAlign w:val="center"/>
          </w:tcPr>
          <w:p w14:paraId="75B727A2" w14:textId="77777777" w:rsidR="00FC1C25" w:rsidRPr="008247E2" w:rsidRDefault="00FC1C25" w:rsidP="00A42C68">
            <w:pPr>
              <w:spacing w:after="0"/>
              <w:jc w:val="left"/>
              <w:rPr>
                <w:rFonts w:ascii="Calibri" w:hAnsi="Calibri" w:cs="Calibri"/>
                <w:sz w:val="20"/>
                <w:lang w:val="en-US"/>
              </w:rPr>
            </w:pPr>
          </w:p>
        </w:tc>
        <w:tc>
          <w:tcPr>
            <w:tcW w:w="11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0E786E89" w14:textId="77777777" w:rsidR="00FC1C25" w:rsidRPr="007E47A5" w:rsidRDefault="00FC1C25" w:rsidP="00D96F00">
            <w:pPr>
              <w:spacing w:after="0"/>
              <w:rPr>
                <w:rFonts w:ascii="Calibri" w:hAnsi="Calibri" w:cs="Calibri"/>
                <w:sz w:val="18"/>
                <w:szCs w:val="18"/>
              </w:rPr>
            </w:pPr>
            <w:r w:rsidRPr="007E47A5">
              <w:rPr>
                <w:rFonts w:ascii="Calibri" w:hAnsi="Calibri" w:cs="Calibri"/>
                <w:sz w:val="18"/>
                <w:szCs w:val="18"/>
              </w:rPr>
              <w:t>Reporting</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tcPr>
          <w:p w14:paraId="3D353AD6"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E1EFF01"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629AC58"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7C583C9"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F5D8B5C"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2B8445A"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2231B52"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7DBDE7A"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8F29EF4"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2EC8A5B2"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62897A33" w14:textId="77777777" w:rsidR="00FC1C25" w:rsidRPr="007E47A5" w:rsidRDefault="00FC1C25" w:rsidP="00D96F00">
            <w:pPr>
              <w:spacing w:after="0"/>
              <w:rPr>
                <w:rFonts w:ascii="Calibri" w:hAnsi="Calibri" w:cs="Calibri"/>
                <w:sz w:val="18"/>
                <w:szCs w:val="18"/>
                <w:lang w:val="en-US"/>
              </w:rPr>
            </w:pPr>
          </w:p>
        </w:tc>
        <w:tc>
          <w:tcPr>
            <w:tcW w:w="1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noWrap/>
            <w:vAlign w:val="bottom"/>
          </w:tcPr>
          <w:p w14:paraId="4F21DCE1"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tcPr>
          <w:p w14:paraId="61238239"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A47A06C"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8E20F4D"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371BC10"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D488968"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2CC1B38"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B3D1546"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16607C7"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245461D"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669FCB3B"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B448AA6" w14:textId="77777777" w:rsidR="00FC1C25" w:rsidRPr="007E47A5" w:rsidRDefault="00FC1C25" w:rsidP="00D96F00">
            <w:pPr>
              <w:spacing w:after="0"/>
              <w:rPr>
                <w:rFonts w:ascii="Calibri" w:hAnsi="Calibri" w:cs="Calibri"/>
                <w:sz w:val="18"/>
                <w:szCs w:val="18"/>
                <w:lang w:val="en-US"/>
              </w:rPr>
            </w:pPr>
          </w:p>
        </w:tc>
        <w:tc>
          <w:tcPr>
            <w:tcW w:w="1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noWrap/>
            <w:vAlign w:val="bottom"/>
          </w:tcPr>
          <w:p w14:paraId="2F87D195" w14:textId="77777777" w:rsidR="00FC1C25" w:rsidRPr="007E47A5" w:rsidRDefault="00FC1C25" w:rsidP="00D96F00">
            <w:pPr>
              <w:spacing w:after="0"/>
              <w:rPr>
                <w:rFonts w:ascii="Calibri" w:hAnsi="Calibri" w:cs="Calibri"/>
                <w:sz w:val="18"/>
                <w:szCs w:val="18"/>
                <w:lang w:val="en-US"/>
              </w:rPr>
            </w:pPr>
          </w:p>
        </w:tc>
      </w:tr>
      <w:tr w:rsidR="00FC1C25" w:rsidRPr="007E47A5" w14:paraId="3C0B920A" w14:textId="77777777" w:rsidTr="00A42C68">
        <w:trPr>
          <w:trHeight w:val="20"/>
          <w:jc w:val="center"/>
        </w:trPr>
        <w:tc>
          <w:tcPr>
            <w:tcW w:w="1148" w:type="pct"/>
            <w:vMerge w:val="restar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vAlign w:val="center"/>
          </w:tcPr>
          <w:p w14:paraId="30DA6458" w14:textId="77777777" w:rsidR="00FC1C25" w:rsidRPr="008247E2" w:rsidRDefault="00FC1C25" w:rsidP="00A42C68">
            <w:pPr>
              <w:spacing w:after="0"/>
              <w:jc w:val="left"/>
              <w:rPr>
                <w:rFonts w:ascii="Calibri" w:hAnsi="Calibri" w:cs="Calibri"/>
                <w:sz w:val="20"/>
                <w:lang w:val="en-US"/>
              </w:rPr>
            </w:pPr>
            <w:r w:rsidRPr="008247E2">
              <w:rPr>
                <w:rFonts w:ascii="Calibri" w:hAnsi="Calibri" w:cs="Calibri"/>
                <w:sz w:val="20"/>
                <w:lang w:val="en-US"/>
              </w:rPr>
              <w:t xml:space="preserve">Littoral Vegetation Diversity </w:t>
            </w:r>
          </w:p>
          <w:p w14:paraId="454843BC" w14:textId="77777777" w:rsidR="00FC1C25" w:rsidRPr="008247E2" w:rsidRDefault="00FC1C25" w:rsidP="00A42C68">
            <w:pPr>
              <w:spacing w:after="0"/>
              <w:jc w:val="left"/>
              <w:rPr>
                <w:rFonts w:ascii="Calibri" w:hAnsi="Calibri" w:cs="Calibri"/>
                <w:sz w:val="20"/>
                <w:lang w:val="en-US"/>
              </w:rPr>
            </w:pPr>
            <w:r w:rsidRPr="008247E2">
              <w:rPr>
                <w:rFonts w:ascii="Calibri" w:hAnsi="Calibri" w:cs="Calibri"/>
                <w:sz w:val="20"/>
                <w:lang w:val="en-US"/>
              </w:rPr>
              <w:t>and Productivity</w:t>
            </w:r>
          </w:p>
        </w:tc>
        <w:tc>
          <w:tcPr>
            <w:tcW w:w="11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tcPr>
          <w:p w14:paraId="005B4CE1" w14:textId="77777777" w:rsidR="00FC1C25" w:rsidRPr="007E47A5" w:rsidRDefault="00FC1C25" w:rsidP="00D96F00">
            <w:pPr>
              <w:spacing w:after="0"/>
              <w:rPr>
                <w:rFonts w:ascii="Calibri" w:hAnsi="Calibri" w:cs="Calibri"/>
                <w:sz w:val="18"/>
                <w:szCs w:val="18"/>
              </w:rPr>
            </w:pPr>
            <w:r w:rsidRPr="00404A41">
              <w:rPr>
                <w:sz w:val="18"/>
                <w:szCs w:val="18"/>
              </w:rPr>
              <w:t>Field sampling</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9A11573"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3C0C215"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4E277AB"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F15C55F"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14196B7"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C3FD613"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80490D0"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2344359"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A086142"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E87F61A"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60F8F4BF" w14:textId="77777777" w:rsidR="00FC1C25" w:rsidRPr="007E47A5" w:rsidRDefault="00FC1C25" w:rsidP="00D96F00">
            <w:pPr>
              <w:spacing w:after="0"/>
              <w:rPr>
                <w:rFonts w:ascii="Calibri" w:hAnsi="Calibri" w:cs="Calibri"/>
                <w:sz w:val="18"/>
                <w:szCs w:val="18"/>
                <w:lang w:val="en-US"/>
              </w:rPr>
            </w:pPr>
          </w:p>
        </w:tc>
        <w:tc>
          <w:tcPr>
            <w:tcW w:w="1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noWrap/>
            <w:vAlign w:val="bottom"/>
          </w:tcPr>
          <w:p w14:paraId="49D23128"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FB4A958"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70D15854"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A3673AC"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600495B"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40AE08E"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0557FC7"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B13C71E"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0CA8ADD"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53E0644"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7835192"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3DD12FA" w14:textId="77777777" w:rsidR="00FC1C25" w:rsidRPr="007E47A5" w:rsidRDefault="00FC1C25" w:rsidP="00D96F00">
            <w:pPr>
              <w:spacing w:after="0"/>
              <w:rPr>
                <w:rFonts w:ascii="Calibri" w:hAnsi="Calibri" w:cs="Calibri"/>
                <w:sz w:val="18"/>
                <w:szCs w:val="18"/>
                <w:lang w:val="en-US"/>
              </w:rPr>
            </w:pPr>
          </w:p>
        </w:tc>
        <w:tc>
          <w:tcPr>
            <w:tcW w:w="1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732DB87D" w14:textId="77777777" w:rsidR="00FC1C25" w:rsidRPr="007E47A5" w:rsidRDefault="00FC1C25" w:rsidP="00D96F00">
            <w:pPr>
              <w:spacing w:after="0"/>
              <w:rPr>
                <w:rFonts w:ascii="Calibri" w:hAnsi="Calibri" w:cs="Calibri"/>
                <w:sz w:val="18"/>
                <w:szCs w:val="18"/>
                <w:lang w:val="en-US"/>
              </w:rPr>
            </w:pPr>
          </w:p>
        </w:tc>
      </w:tr>
      <w:tr w:rsidR="00FC1C25" w:rsidRPr="007E47A5" w14:paraId="41103A9C" w14:textId="77777777" w:rsidTr="00A42C68">
        <w:trPr>
          <w:trHeight w:val="20"/>
          <w:jc w:val="center"/>
        </w:trPr>
        <w:tc>
          <w:tcPr>
            <w:tcW w:w="1148" w:type="pct"/>
            <w:vMerge/>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vAlign w:val="center"/>
          </w:tcPr>
          <w:p w14:paraId="22EE6293" w14:textId="77777777" w:rsidR="00FC1C25" w:rsidRPr="008247E2" w:rsidRDefault="00FC1C25" w:rsidP="00A42C68">
            <w:pPr>
              <w:spacing w:after="0"/>
              <w:jc w:val="left"/>
              <w:rPr>
                <w:rFonts w:ascii="Calibri" w:hAnsi="Calibri" w:cs="Calibri"/>
                <w:sz w:val="20"/>
                <w:lang w:val="en-US"/>
              </w:rPr>
            </w:pPr>
          </w:p>
        </w:tc>
        <w:tc>
          <w:tcPr>
            <w:tcW w:w="11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tcPr>
          <w:p w14:paraId="2E486C2F" w14:textId="77777777" w:rsidR="00FC1C25" w:rsidRPr="007E47A5" w:rsidRDefault="00FC1C25" w:rsidP="00D96F00">
            <w:pPr>
              <w:spacing w:after="0"/>
              <w:rPr>
                <w:rFonts w:ascii="Calibri" w:hAnsi="Calibri" w:cs="Calibri"/>
                <w:sz w:val="18"/>
                <w:szCs w:val="18"/>
              </w:rPr>
            </w:pPr>
            <w:r w:rsidRPr="00404A41">
              <w:rPr>
                <w:sz w:val="18"/>
                <w:szCs w:val="18"/>
              </w:rPr>
              <w:t>Lab sample processing</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2B6B0531"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3B2F288"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30F1B0E"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58DC526"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AD10D36"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0F49241"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19BA5F3"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B3A290D"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145C665"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CD8CF1B"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48E246A" w14:textId="77777777" w:rsidR="00FC1C25" w:rsidRPr="007E47A5" w:rsidRDefault="00FC1C25" w:rsidP="00D96F00">
            <w:pPr>
              <w:spacing w:after="0"/>
              <w:rPr>
                <w:rFonts w:ascii="Calibri" w:hAnsi="Calibri" w:cs="Calibri"/>
                <w:sz w:val="18"/>
                <w:szCs w:val="18"/>
                <w:lang w:val="en-US"/>
              </w:rPr>
            </w:pPr>
          </w:p>
        </w:tc>
        <w:tc>
          <w:tcPr>
            <w:tcW w:w="1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noWrap/>
            <w:vAlign w:val="bottom"/>
          </w:tcPr>
          <w:p w14:paraId="5C17B5AC"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4A1660C"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0ED496AE"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0CA54D28"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C8DB6FF"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3B228B5"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4D079F4"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CE34315"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591545F"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35E8EE2"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D9C7428"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620E657" w14:textId="77777777" w:rsidR="00FC1C25" w:rsidRPr="007E47A5" w:rsidRDefault="00FC1C25" w:rsidP="00D96F00">
            <w:pPr>
              <w:spacing w:after="0"/>
              <w:rPr>
                <w:rFonts w:ascii="Calibri" w:hAnsi="Calibri" w:cs="Calibri"/>
                <w:sz w:val="18"/>
                <w:szCs w:val="18"/>
                <w:lang w:val="en-US"/>
              </w:rPr>
            </w:pPr>
          </w:p>
        </w:tc>
        <w:tc>
          <w:tcPr>
            <w:tcW w:w="1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77318034" w14:textId="77777777" w:rsidR="00FC1C25" w:rsidRPr="007E47A5" w:rsidRDefault="00FC1C25" w:rsidP="00D96F00">
            <w:pPr>
              <w:spacing w:after="0"/>
              <w:rPr>
                <w:rFonts w:ascii="Calibri" w:hAnsi="Calibri" w:cs="Calibri"/>
                <w:sz w:val="18"/>
                <w:szCs w:val="18"/>
                <w:lang w:val="en-US"/>
              </w:rPr>
            </w:pPr>
          </w:p>
        </w:tc>
      </w:tr>
      <w:tr w:rsidR="00FC1C25" w:rsidRPr="007E47A5" w14:paraId="0176F3F9" w14:textId="77777777" w:rsidTr="00A42C68">
        <w:trPr>
          <w:trHeight w:val="20"/>
          <w:jc w:val="center"/>
        </w:trPr>
        <w:tc>
          <w:tcPr>
            <w:tcW w:w="1148" w:type="pct"/>
            <w:vMerge/>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vAlign w:val="center"/>
          </w:tcPr>
          <w:p w14:paraId="26A545EB" w14:textId="77777777" w:rsidR="00FC1C25" w:rsidRPr="008247E2" w:rsidRDefault="00FC1C25" w:rsidP="00A42C68">
            <w:pPr>
              <w:spacing w:after="0"/>
              <w:jc w:val="left"/>
              <w:rPr>
                <w:rFonts w:ascii="Calibri" w:hAnsi="Calibri" w:cs="Calibri"/>
                <w:sz w:val="20"/>
                <w:lang w:val="en-US"/>
              </w:rPr>
            </w:pPr>
          </w:p>
        </w:tc>
        <w:tc>
          <w:tcPr>
            <w:tcW w:w="11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tcPr>
          <w:p w14:paraId="2D781AA5" w14:textId="77777777" w:rsidR="00FC1C25" w:rsidRPr="007E47A5" w:rsidRDefault="00FC1C25" w:rsidP="00D96F00">
            <w:pPr>
              <w:spacing w:after="0"/>
              <w:rPr>
                <w:rFonts w:ascii="Calibri" w:hAnsi="Calibri" w:cs="Calibri"/>
                <w:sz w:val="18"/>
                <w:szCs w:val="18"/>
              </w:rPr>
            </w:pPr>
            <w:r w:rsidRPr="00404A41">
              <w:rPr>
                <w:sz w:val="18"/>
                <w:szCs w:val="18"/>
              </w:rPr>
              <w:t>Data entry, analysis &amp; reporting</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tcPr>
          <w:p w14:paraId="73A2F059"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CEB8051"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01A6722E"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6976FE83"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50EE373"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77387B61"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CE238D1"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DAA7814"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FCD5C0D"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4512ED1"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97E0ECB" w14:textId="77777777" w:rsidR="00FC1C25" w:rsidRPr="007E47A5" w:rsidRDefault="00FC1C25" w:rsidP="00D96F00">
            <w:pPr>
              <w:spacing w:after="0"/>
              <w:rPr>
                <w:rFonts w:ascii="Calibri" w:hAnsi="Calibri" w:cs="Calibri"/>
                <w:sz w:val="18"/>
                <w:szCs w:val="18"/>
                <w:lang w:val="en-US"/>
              </w:rPr>
            </w:pPr>
          </w:p>
        </w:tc>
        <w:tc>
          <w:tcPr>
            <w:tcW w:w="1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240A8027"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tcPr>
          <w:p w14:paraId="41E31C0E"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0B80E4B"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7009187A"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27FCFA3B"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2F18714B"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57BF0523"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56350713"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B5D4B4E"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551EBC49"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72A2B44"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7CA9503" w14:textId="77777777" w:rsidR="00FC1C25" w:rsidRPr="007E47A5" w:rsidRDefault="00FC1C25" w:rsidP="00D96F00">
            <w:pPr>
              <w:spacing w:after="0"/>
              <w:rPr>
                <w:rFonts w:ascii="Calibri" w:hAnsi="Calibri" w:cs="Calibri"/>
                <w:sz w:val="18"/>
                <w:szCs w:val="18"/>
                <w:lang w:val="en-US"/>
              </w:rPr>
            </w:pPr>
          </w:p>
        </w:tc>
        <w:tc>
          <w:tcPr>
            <w:tcW w:w="1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noWrap/>
            <w:vAlign w:val="bottom"/>
          </w:tcPr>
          <w:p w14:paraId="41C36E9A" w14:textId="77777777" w:rsidR="00FC1C25" w:rsidRPr="007E47A5" w:rsidRDefault="00FC1C25" w:rsidP="00D96F00">
            <w:pPr>
              <w:spacing w:after="0"/>
              <w:rPr>
                <w:rFonts w:ascii="Calibri" w:hAnsi="Calibri" w:cs="Calibri"/>
                <w:sz w:val="18"/>
                <w:szCs w:val="18"/>
                <w:lang w:val="en-US"/>
              </w:rPr>
            </w:pPr>
          </w:p>
        </w:tc>
      </w:tr>
      <w:tr w:rsidR="00FC1C25" w:rsidRPr="007E47A5" w14:paraId="6D83BFD3" w14:textId="77777777" w:rsidTr="00A42C68">
        <w:trPr>
          <w:trHeight w:val="20"/>
          <w:jc w:val="center"/>
        </w:trPr>
        <w:tc>
          <w:tcPr>
            <w:tcW w:w="1148" w:type="pct"/>
            <w:vMerge w:val="restar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vAlign w:val="center"/>
            <w:hideMark/>
          </w:tcPr>
          <w:p w14:paraId="4B7A4BC2" w14:textId="77777777" w:rsidR="00FC1C25" w:rsidRPr="008247E2" w:rsidRDefault="00FC1C25" w:rsidP="00A42C68">
            <w:pPr>
              <w:spacing w:after="0"/>
              <w:jc w:val="left"/>
              <w:rPr>
                <w:rFonts w:ascii="Calibri" w:hAnsi="Calibri" w:cs="Calibri"/>
                <w:sz w:val="20"/>
                <w:lang w:val="en-US"/>
              </w:rPr>
            </w:pPr>
            <w:r w:rsidRPr="008247E2">
              <w:rPr>
                <w:rFonts w:ascii="Calibri" w:hAnsi="Calibri" w:cs="Calibri"/>
                <w:sz w:val="20"/>
              </w:rPr>
              <w:t>Microinvertebrate Assemblage</w:t>
            </w:r>
          </w:p>
        </w:tc>
        <w:tc>
          <w:tcPr>
            <w:tcW w:w="11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2DB92313" w14:textId="77777777" w:rsidR="00FC1C25" w:rsidRPr="007E47A5" w:rsidRDefault="00FC1C25" w:rsidP="00D96F00">
            <w:pPr>
              <w:spacing w:after="0"/>
              <w:rPr>
                <w:rFonts w:ascii="Calibri" w:hAnsi="Calibri" w:cs="Calibri"/>
                <w:sz w:val="18"/>
                <w:szCs w:val="18"/>
                <w:lang w:val="en-US"/>
              </w:rPr>
            </w:pPr>
            <w:r>
              <w:rPr>
                <w:rFonts w:ascii="Calibri" w:hAnsi="Calibri" w:cs="Calibri"/>
                <w:sz w:val="18"/>
                <w:szCs w:val="18"/>
              </w:rPr>
              <w:t>Field sampling</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D9D9D9"/>
            <w:noWrap/>
            <w:vAlign w:val="bottom"/>
            <w:hideMark/>
          </w:tcPr>
          <w:p w14:paraId="32836DCA"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717A8B5"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1B02F26"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F0DA756"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9D9629D"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3A8E8BD"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1F59458"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548CD36"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4F550E8"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122DA847"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7C9D7705"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D9D9D9"/>
            <w:noWrap/>
            <w:vAlign w:val="bottom"/>
            <w:hideMark/>
          </w:tcPr>
          <w:p w14:paraId="3FEBE2BE"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000000" w:fill="D9D9D9"/>
            <w:noWrap/>
            <w:vAlign w:val="bottom"/>
            <w:hideMark/>
          </w:tcPr>
          <w:p w14:paraId="57666A77"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F0F3019"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4B4F2E4"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CD6FD6E"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EC52E51"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D8EAC99"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58034E3"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279B100"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187F9E1"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388A2560"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26C89849"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000000" w:fill="D9D9D9"/>
            <w:noWrap/>
            <w:vAlign w:val="bottom"/>
            <w:hideMark/>
          </w:tcPr>
          <w:p w14:paraId="7886FC23"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A42C68" w:rsidRPr="007E47A5" w14:paraId="557568A4" w14:textId="77777777" w:rsidTr="00A42C68">
        <w:trPr>
          <w:trHeight w:val="20"/>
          <w:jc w:val="center"/>
        </w:trPr>
        <w:tc>
          <w:tcPr>
            <w:tcW w:w="1148" w:type="pct"/>
            <w:vMerge/>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vAlign w:val="center"/>
            <w:hideMark/>
          </w:tcPr>
          <w:p w14:paraId="7262FE41" w14:textId="77777777" w:rsidR="00FC1C25" w:rsidRPr="007E47A5" w:rsidRDefault="00FC1C25" w:rsidP="00A42C68">
            <w:pPr>
              <w:spacing w:after="0"/>
              <w:jc w:val="left"/>
              <w:rPr>
                <w:rFonts w:ascii="Calibri" w:hAnsi="Calibri" w:cs="Calibri"/>
                <w:sz w:val="18"/>
                <w:szCs w:val="18"/>
                <w:lang w:val="en-US"/>
              </w:rPr>
            </w:pPr>
          </w:p>
        </w:tc>
        <w:tc>
          <w:tcPr>
            <w:tcW w:w="11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5AC10683"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rPr>
              <w:t>Lab sample sorting and id</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14:paraId="3A23B604"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070A9CE9"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3D3247DF"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4CFC1CD0"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7EEA397E"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7AAC801F"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46BC0E16"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37754054"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2831A44B"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378998E"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4A79AEE" w14:textId="77777777" w:rsidR="00FC1C25" w:rsidRPr="007E47A5" w:rsidRDefault="00FC1C25" w:rsidP="00D96F00">
            <w:pPr>
              <w:spacing w:after="0"/>
              <w:rPr>
                <w:rFonts w:ascii="Calibri" w:hAnsi="Calibri" w:cs="Calibri"/>
                <w:sz w:val="18"/>
                <w:szCs w:val="18"/>
                <w:lang w:val="en-US"/>
              </w:rPr>
            </w:pPr>
          </w:p>
        </w:tc>
        <w:tc>
          <w:tcPr>
            <w:tcW w:w="1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7CEF54BB"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14:paraId="04927396"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0168F978"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33371802"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63A0CD08"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2AE69C1D"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6BFFCB6A"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4F2B9B44" w14:textId="77777777" w:rsidR="00FC1C25" w:rsidRPr="007E47A5" w:rsidRDefault="00FC1C25" w:rsidP="00D96F00">
            <w:pPr>
              <w:spacing w:after="0"/>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56F05FFC"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5E9F300B"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C030C9C"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C0784C1" w14:textId="77777777" w:rsidR="00FC1C25" w:rsidRPr="007E47A5" w:rsidRDefault="00FC1C25" w:rsidP="00D96F00">
            <w:pPr>
              <w:spacing w:after="0"/>
              <w:rPr>
                <w:rFonts w:ascii="Calibri" w:hAnsi="Calibri" w:cs="Calibri"/>
                <w:sz w:val="18"/>
                <w:szCs w:val="18"/>
                <w:lang w:val="en-US"/>
              </w:rPr>
            </w:pPr>
          </w:p>
        </w:tc>
        <w:tc>
          <w:tcPr>
            <w:tcW w:w="1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077CAFEA"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r>
      <w:tr w:rsidR="00FC1C25" w:rsidRPr="007E47A5" w14:paraId="5014C37B" w14:textId="77777777" w:rsidTr="00A42C68">
        <w:trPr>
          <w:trHeight w:val="203"/>
          <w:jc w:val="center"/>
        </w:trPr>
        <w:tc>
          <w:tcPr>
            <w:tcW w:w="1148" w:type="pct"/>
            <w:vMerge/>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vAlign w:val="center"/>
            <w:hideMark/>
          </w:tcPr>
          <w:p w14:paraId="143C441B" w14:textId="77777777" w:rsidR="00FC1C25" w:rsidRPr="007E47A5" w:rsidRDefault="00FC1C25" w:rsidP="00A42C68">
            <w:pPr>
              <w:spacing w:after="0"/>
              <w:jc w:val="left"/>
              <w:rPr>
                <w:rFonts w:ascii="Calibri" w:hAnsi="Calibri" w:cs="Calibri"/>
                <w:sz w:val="18"/>
                <w:szCs w:val="18"/>
                <w:lang w:val="en-US"/>
              </w:rPr>
            </w:pPr>
          </w:p>
        </w:tc>
        <w:tc>
          <w:tcPr>
            <w:tcW w:w="11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hideMark/>
          </w:tcPr>
          <w:p w14:paraId="670D8231"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14:paraId="0C488F76"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6B4466E"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CFEDC60"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85936BA"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1954DF8"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7DCF91C"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234D9518"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725D7F19"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07E1E9EE"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00D80F14"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7BC72DE8"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1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noWrap/>
            <w:vAlign w:val="bottom"/>
            <w:hideMark/>
          </w:tcPr>
          <w:p w14:paraId="23390D9A"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hideMark/>
          </w:tcPr>
          <w:p w14:paraId="5ECB96C0"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3631A5E"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BF76117"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C547A22"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FDE4ED4"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E830B30"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5450E0C4" w14:textId="77777777" w:rsidR="00FC1C25" w:rsidRPr="007E47A5" w:rsidRDefault="00FC1C25" w:rsidP="00D96F00">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3DCB9F1D"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47A3E231"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752956A7"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4DEE313D"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c>
          <w:tcPr>
            <w:tcW w:w="1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noWrap/>
            <w:vAlign w:val="bottom"/>
            <w:hideMark/>
          </w:tcPr>
          <w:p w14:paraId="45E3D2A4" w14:textId="77777777" w:rsidR="00FC1C25" w:rsidRPr="007E47A5" w:rsidRDefault="00FC1C25" w:rsidP="00D96F00">
            <w:pPr>
              <w:spacing w:after="0"/>
              <w:rPr>
                <w:rFonts w:ascii="Calibri" w:hAnsi="Calibri" w:cs="Calibri"/>
                <w:sz w:val="18"/>
                <w:szCs w:val="18"/>
                <w:lang w:val="en-US"/>
              </w:rPr>
            </w:pPr>
            <w:r w:rsidRPr="007E47A5">
              <w:rPr>
                <w:rFonts w:ascii="Calibri" w:hAnsi="Calibri" w:cs="Calibri"/>
                <w:sz w:val="18"/>
                <w:szCs w:val="18"/>
                <w:lang w:val="en-US"/>
              </w:rPr>
              <w:t> </w:t>
            </w:r>
          </w:p>
        </w:tc>
      </w:tr>
      <w:tr w:rsidR="00FC1C25" w:rsidRPr="007E47A5" w14:paraId="327D381E" w14:textId="77777777" w:rsidTr="00A42C68">
        <w:trPr>
          <w:trHeight w:val="203"/>
          <w:jc w:val="center"/>
        </w:trPr>
        <w:tc>
          <w:tcPr>
            <w:tcW w:w="1148" w:type="pct"/>
            <w:vMerge w:val="restar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vAlign w:val="center"/>
          </w:tcPr>
          <w:p w14:paraId="479C20B9" w14:textId="77777777" w:rsidR="00FC1C25" w:rsidRPr="007E47A5" w:rsidRDefault="00FC1C25" w:rsidP="00A42C68">
            <w:pPr>
              <w:spacing w:after="0"/>
              <w:jc w:val="left"/>
              <w:rPr>
                <w:rFonts w:ascii="Calibri" w:hAnsi="Calibri" w:cs="Calibri"/>
                <w:sz w:val="18"/>
                <w:szCs w:val="18"/>
                <w:lang w:val="en-US"/>
              </w:rPr>
            </w:pPr>
            <w:r w:rsidRPr="008C1585">
              <w:rPr>
                <w:rFonts w:ascii="Calibri" w:hAnsi="Calibri" w:cs="Calibri"/>
                <w:sz w:val="20"/>
              </w:rPr>
              <w:t>Flow-cued Spawning Fish Recruitment</w:t>
            </w:r>
          </w:p>
        </w:tc>
        <w:tc>
          <w:tcPr>
            <w:tcW w:w="11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4BA02748" w14:textId="77777777" w:rsidR="00FC1C25" w:rsidRPr="007E47A5" w:rsidRDefault="00FC1C25" w:rsidP="00D96F00">
            <w:pPr>
              <w:spacing w:after="0"/>
              <w:rPr>
                <w:rFonts w:ascii="Calibri" w:hAnsi="Calibri" w:cs="Calibri"/>
                <w:sz w:val="18"/>
                <w:szCs w:val="18"/>
              </w:rPr>
            </w:pPr>
            <w:r>
              <w:rPr>
                <w:rFonts w:ascii="Calibri" w:hAnsi="Calibri" w:cs="Calibri"/>
                <w:sz w:val="18"/>
                <w:szCs w:val="18"/>
              </w:rPr>
              <w:t>Lab ageing</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tcPr>
          <w:p w14:paraId="5A0FD956"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D118C77"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5466B01"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983BA90"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5D98FECD"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5173EC2B"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7380476"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B1010B6"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25DFAE5"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A6F08DE"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0B41926" w14:textId="77777777" w:rsidR="00FC1C25" w:rsidRPr="007E47A5" w:rsidRDefault="00FC1C25" w:rsidP="00D96F00">
            <w:pPr>
              <w:spacing w:after="0"/>
              <w:rPr>
                <w:rFonts w:ascii="Calibri" w:hAnsi="Calibri" w:cs="Calibri"/>
                <w:sz w:val="18"/>
                <w:szCs w:val="18"/>
                <w:lang w:val="en-US"/>
              </w:rPr>
            </w:pPr>
          </w:p>
        </w:tc>
        <w:tc>
          <w:tcPr>
            <w:tcW w:w="1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38357AE1"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tcPr>
          <w:p w14:paraId="76B7ECCA"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9040689"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A7B60B3"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A39B64D"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3138ACE"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5FC0CAB7"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22DAC12"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D2EDCFF"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9E0EDCA"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50F5658"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8704076" w14:textId="77777777" w:rsidR="00FC1C25" w:rsidRPr="007E47A5" w:rsidRDefault="00FC1C25" w:rsidP="00D96F00">
            <w:pPr>
              <w:spacing w:after="0"/>
              <w:rPr>
                <w:rFonts w:ascii="Calibri" w:hAnsi="Calibri" w:cs="Calibri"/>
                <w:sz w:val="18"/>
                <w:szCs w:val="18"/>
                <w:lang w:val="en-US"/>
              </w:rPr>
            </w:pPr>
          </w:p>
        </w:tc>
        <w:tc>
          <w:tcPr>
            <w:tcW w:w="1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0565EE8D" w14:textId="77777777" w:rsidR="00FC1C25" w:rsidRPr="007E47A5" w:rsidRDefault="00FC1C25" w:rsidP="00D96F00">
            <w:pPr>
              <w:spacing w:after="0"/>
              <w:rPr>
                <w:rFonts w:ascii="Calibri" w:hAnsi="Calibri" w:cs="Calibri"/>
                <w:sz w:val="18"/>
                <w:szCs w:val="18"/>
                <w:lang w:val="en-US"/>
              </w:rPr>
            </w:pPr>
          </w:p>
        </w:tc>
      </w:tr>
      <w:tr w:rsidR="00FC1C25" w:rsidRPr="007E47A5" w14:paraId="4D653FC4" w14:textId="77777777" w:rsidTr="00A42C68">
        <w:trPr>
          <w:trHeight w:val="203"/>
          <w:jc w:val="center"/>
        </w:trPr>
        <w:tc>
          <w:tcPr>
            <w:tcW w:w="1148" w:type="pct"/>
            <w:vMerge/>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vAlign w:val="center"/>
          </w:tcPr>
          <w:p w14:paraId="08DEA6C7" w14:textId="77777777" w:rsidR="00FC1C25" w:rsidRPr="007E47A5" w:rsidRDefault="00FC1C25" w:rsidP="00A42C68">
            <w:pPr>
              <w:spacing w:after="0"/>
              <w:jc w:val="left"/>
              <w:rPr>
                <w:rFonts w:ascii="Calibri" w:hAnsi="Calibri" w:cs="Calibri"/>
                <w:sz w:val="18"/>
                <w:szCs w:val="18"/>
                <w:lang w:val="en-US"/>
              </w:rPr>
            </w:pPr>
          </w:p>
        </w:tc>
        <w:tc>
          <w:tcPr>
            <w:tcW w:w="11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60B0C588" w14:textId="77777777" w:rsidR="00FC1C25" w:rsidRPr="007E47A5" w:rsidRDefault="00FC1C25" w:rsidP="00D96F00">
            <w:pPr>
              <w:spacing w:after="0"/>
              <w:rPr>
                <w:rFonts w:ascii="Calibri" w:hAnsi="Calibri" w:cs="Calibri"/>
                <w:sz w:val="18"/>
                <w:szCs w:val="18"/>
              </w:rPr>
            </w:pPr>
            <w:r w:rsidRPr="007E47A5">
              <w:rPr>
                <w:rFonts w:ascii="Calibri" w:hAnsi="Calibri" w:cs="Calibri"/>
                <w:sz w:val="18"/>
                <w:szCs w:val="18"/>
              </w:rPr>
              <w:t>Data entry, analysis &amp; reporting</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tcPr>
          <w:p w14:paraId="7896D6CF"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DBBAC53"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3CEC000"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DA87D4B"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3DB700C"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74667956"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A49D78C"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DDEE0B7"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A5F9191"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F602D4A"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7B6198A" w14:textId="77777777" w:rsidR="00FC1C25" w:rsidRPr="007E47A5" w:rsidRDefault="00FC1C25" w:rsidP="00D96F00">
            <w:pPr>
              <w:spacing w:after="0"/>
              <w:rPr>
                <w:rFonts w:ascii="Calibri" w:hAnsi="Calibri" w:cs="Calibri"/>
                <w:sz w:val="18"/>
                <w:szCs w:val="18"/>
                <w:lang w:val="en-US"/>
              </w:rPr>
            </w:pPr>
          </w:p>
        </w:tc>
        <w:tc>
          <w:tcPr>
            <w:tcW w:w="1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1FFEC30A"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tcPr>
          <w:p w14:paraId="0B8D0C83"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D25A1B5"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7B9655B"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E7254A3"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325BF5E"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2A2B3DEF"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57F3C9EC"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3E96433E"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59E7991"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BAA738F"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5202484" w14:textId="77777777" w:rsidR="00FC1C25" w:rsidRPr="007E47A5" w:rsidRDefault="00FC1C25" w:rsidP="00D96F00">
            <w:pPr>
              <w:spacing w:after="0"/>
              <w:rPr>
                <w:rFonts w:ascii="Calibri" w:hAnsi="Calibri" w:cs="Calibri"/>
                <w:sz w:val="18"/>
                <w:szCs w:val="18"/>
                <w:lang w:val="en-US"/>
              </w:rPr>
            </w:pPr>
          </w:p>
        </w:tc>
        <w:tc>
          <w:tcPr>
            <w:tcW w:w="1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1D25C78D" w14:textId="77777777" w:rsidR="00FC1C25" w:rsidRPr="007E47A5" w:rsidRDefault="00FC1C25" w:rsidP="00D96F00">
            <w:pPr>
              <w:spacing w:after="0"/>
              <w:rPr>
                <w:rFonts w:ascii="Calibri" w:hAnsi="Calibri" w:cs="Calibri"/>
                <w:sz w:val="18"/>
                <w:szCs w:val="18"/>
                <w:lang w:val="en-US"/>
              </w:rPr>
            </w:pPr>
          </w:p>
        </w:tc>
      </w:tr>
      <w:tr w:rsidR="00FC1C25" w:rsidRPr="007E47A5" w14:paraId="1DB38B13" w14:textId="77777777" w:rsidTr="00A42C68">
        <w:trPr>
          <w:trHeight w:val="203"/>
          <w:jc w:val="center"/>
        </w:trPr>
        <w:tc>
          <w:tcPr>
            <w:tcW w:w="1148" w:type="pct"/>
            <w:vMerge w:val="restar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vAlign w:val="center"/>
          </w:tcPr>
          <w:p w14:paraId="404C3059" w14:textId="77777777" w:rsidR="00FC1C25" w:rsidRPr="007E47A5" w:rsidRDefault="00FC1C25" w:rsidP="00A42C68">
            <w:pPr>
              <w:spacing w:after="0"/>
              <w:jc w:val="left"/>
              <w:rPr>
                <w:rFonts w:ascii="Calibri" w:hAnsi="Calibri" w:cs="Calibri"/>
                <w:sz w:val="18"/>
                <w:szCs w:val="18"/>
                <w:lang w:val="en-US"/>
              </w:rPr>
            </w:pPr>
            <w:r w:rsidRPr="008247E2">
              <w:rPr>
                <w:rFonts w:ascii="Calibri" w:hAnsi="Calibri" w:cs="Calibri"/>
                <w:sz w:val="20"/>
                <w:lang w:val="en-US"/>
              </w:rPr>
              <w:t>Murray Cod Recruitment</w:t>
            </w:r>
          </w:p>
        </w:tc>
        <w:tc>
          <w:tcPr>
            <w:tcW w:w="11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45E7A09F" w14:textId="77777777" w:rsidR="00FC1C25" w:rsidRPr="007E47A5" w:rsidRDefault="00FC1C25" w:rsidP="00D96F00">
            <w:pPr>
              <w:spacing w:after="0"/>
              <w:rPr>
                <w:rFonts w:ascii="Calibri" w:hAnsi="Calibri" w:cs="Calibri"/>
                <w:sz w:val="18"/>
                <w:szCs w:val="18"/>
              </w:rPr>
            </w:pPr>
            <w:r>
              <w:rPr>
                <w:rFonts w:ascii="Calibri" w:hAnsi="Calibri" w:cs="Calibri"/>
                <w:sz w:val="18"/>
                <w:szCs w:val="18"/>
              </w:rPr>
              <w:t>Field sampling</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6209C8E1"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C6C46C4"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50E39DAD"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724D2D5"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6AB91F2D"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AEDED78"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4BBF28D"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95502E2"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D5C7516"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F04B6CA"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52E54F81" w14:textId="77777777" w:rsidR="00FC1C25" w:rsidRPr="007E47A5" w:rsidRDefault="00FC1C25" w:rsidP="00D96F00">
            <w:pPr>
              <w:spacing w:after="0"/>
              <w:rPr>
                <w:rFonts w:ascii="Calibri" w:hAnsi="Calibri" w:cs="Calibri"/>
                <w:sz w:val="18"/>
                <w:szCs w:val="18"/>
                <w:lang w:val="en-US"/>
              </w:rPr>
            </w:pPr>
          </w:p>
        </w:tc>
        <w:tc>
          <w:tcPr>
            <w:tcW w:w="1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4227E5D3"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0FA8A0F4"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3336730"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760A7F44"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BC143F3"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05878A7"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D195B10"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0C737B9"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5B195EA"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8D10673"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5F15ED2"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7CF4747" w14:textId="77777777" w:rsidR="00FC1C25" w:rsidRPr="007E47A5" w:rsidRDefault="00FC1C25" w:rsidP="00D96F00">
            <w:pPr>
              <w:spacing w:after="0"/>
              <w:rPr>
                <w:rFonts w:ascii="Calibri" w:hAnsi="Calibri" w:cs="Calibri"/>
                <w:sz w:val="18"/>
                <w:szCs w:val="18"/>
                <w:lang w:val="en-US"/>
              </w:rPr>
            </w:pPr>
          </w:p>
        </w:tc>
        <w:tc>
          <w:tcPr>
            <w:tcW w:w="1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05EE2FFC" w14:textId="77777777" w:rsidR="00FC1C25" w:rsidRPr="007E47A5" w:rsidRDefault="00FC1C25" w:rsidP="00D96F00">
            <w:pPr>
              <w:spacing w:after="0"/>
              <w:rPr>
                <w:rFonts w:ascii="Calibri" w:hAnsi="Calibri" w:cs="Calibri"/>
                <w:sz w:val="18"/>
                <w:szCs w:val="18"/>
                <w:lang w:val="en-US"/>
              </w:rPr>
            </w:pPr>
          </w:p>
        </w:tc>
      </w:tr>
      <w:tr w:rsidR="00FC1C25" w:rsidRPr="007E47A5" w14:paraId="23B6CD41" w14:textId="77777777" w:rsidTr="00D96F00">
        <w:trPr>
          <w:trHeight w:val="203"/>
          <w:jc w:val="center"/>
        </w:trPr>
        <w:tc>
          <w:tcPr>
            <w:tcW w:w="1148" w:type="pct"/>
            <w:vMerge/>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vAlign w:val="center"/>
          </w:tcPr>
          <w:p w14:paraId="0BEB180B" w14:textId="77777777" w:rsidR="00FC1C25" w:rsidRPr="007E47A5" w:rsidRDefault="00FC1C25" w:rsidP="00D96F00">
            <w:pPr>
              <w:spacing w:after="0"/>
              <w:rPr>
                <w:rFonts w:ascii="Calibri" w:hAnsi="Calibri" w:cs="Calibri"/>
                <w:sz w:val="18"/>
                <w:szCs w:val="18"/>
                <w:lang w:val="en-US"/>
              </w:rPr>
            </w:pPr>
          </w:p>
        </w:tc>
        <w:tc>
          <w:tcPr>
            <w:tcW w:w="11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5506240E" w14:textId="77777777" w:rsidR="00FC1C25" w:rsidRPr="007E47A5" w:rsidRDefault="00FC1C25" w:rsidP="00D96F00">
            <w:pPr>
              <w:spacing w:after="0"/>
              <w:rPr>
                <w:rFonts w:ascii="Calibri" w:hAnsi="Calibri" w:cs="Calibri"/>
                <w:sz w:val="18"/>
                <w:szCs w:val="18"/>
              </w:rPr>
            </w:pPr>
            <w:r>
              <w:rPr>
                <w:rFonts w:ascii="Calibri" w:hAnsi="Calibri" w:cs="Calibri"/>
                <w:sz w:val="18"/>
                <w:szCs w:val="18"/>
              </w:rPr>
              <w:t>Lab larval sorting/fish processing</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67A2008E"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CFC2EC3"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019ACD41"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2AC0E4FF"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51DCED3"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3943EDF"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93CB473"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8E36588"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6BB16BB"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263D562"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AFDD517" w14:textId="77777777" w:rsidR="00FC1C25" w:rsidRPr="007E47A5" w:rsidRDefault="00FC1C25" w:rsidP="00D96F00">
            <w:pPr>
              <w:spacing w:after="0"/>
              <w:rPr>
                <w:rFonts w:ascii="Calibri" w:hAnsi="Calibri" w:cs="Calibri"/>
                <w:sz w:val="18"/>
                <w:szCs w:val="18"/>
                <w:lang w:val="en-US"/>
              </w:rPr>
            </w:pPr>
          </w:p>
        </w:tc>
        <w:tc>
          <w:tcPr>
            <w:tcW w:w="1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D9D9D9" w:themeFill="background1" w:themeFillShade="D9"/>
            <w:noWrap/>
            <w:vAlign w:val="bottom"/>
          </w:tcPr>
          <w:p w14:paraId="16E48795"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583229C2"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778CE06"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08467CB"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28E7F48"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6FB5D142"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D29C498"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667B92F"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438223B"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8860953"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9209178"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17953AE" w14:textId="77777777" w:rsidR="00FC1C25" w:rsidRPr="007E47A5" w:rsidRDefault="00FC1C25" w:rsidP="00D96F00">
            <w:pPr>
              <w:spacing w:after="0"/>
              <w:rPr>
                <w:rFonts w:ascii="Calibri" w:hAnsi="Calibri" w:cs="Calibri"/>
                <w:sz w:val="18"/>
                <w:szCs w:val="18"/>
                <w:lang w:val="en-US"/>
              </w:rPr>
            </w:pPr>
          </w:p>
        </w:tc>
        <w:tc>
          <w:tcPr>
            <w:tcW w:w="1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668BFEB2" w14:textId="77777777" w:rsidR="00FC1C25" w:rsidRPr="007E47A5" w:rsidRDefault="00FC1C25" w:rsidP="00D96F00">
            <w:pPr>
              <w:spacing w:after="0"/>
              <w:rPr>
                <w:rFonts w:ascii="Calibri" w:hAnsi="Calibri" w:cs="Calibri"/>
                <w:sz w:val="18"/>
                <w:szCs w:val="18"/>
                <w:lang w:val="en-US"/>
              </w:rPr>
            </w:pPr>
          </w:p>
        </w:tc>
      </w:tr>
      <w:tr w:rsidR="00FC1C25" w:rsidRPr="007E47A5" w14:paraId="6B464A91" w14:textId="77777777" w:rsidTr="00D96F00">
        <w:trPr>
          <w:trHeight w:val="203"/>
          <w:jc w:val="center"/>
        </w:trPr>
        <w:tc>
          <w:tcPr>
            <w:tcW w:w="1148" w:type="pct"/>
            <w:vMerge/>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vAlign w:val="center"/>
          </w:tcPr>
          <w:p w14:paraId="36ED013E" w14:textId="77777777" w:rsidR="00FC1C25" w:rsidRPr="007E47A5" w:rsidRDefault="00FC1C25" w:rsidP="00D96F00">
            <w:pPr>
              <w:spacing w:after="0"/>
              <w:rPr>
                <w:rFonts w:ascii="Calibri" w:hAnsi="Calibri" w:cs="Calibri"/>
                <w:sz w:val="18"/>
                <w:szCs w:val="18"/>
                <w:lang w:val="en-US"/>
              </w:rPr>
            </w:pPr>
          </w:p>
        </w:tc>
        <w:tc>
          <w:tcPr>
            <w:tcW w:w="11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3D557E11" w14:textId="77777777" w:rsidR="00FC1C25" w:rsidRPr="007E47A5" w:rsidRDefault="00FC1C25" w:rsidP="00D96F00">
            <w:pPr>
              <w:spacing w:after="0"/>
              <w:rPr>
                <w:rFonts w:ascii="Calibri" w:hAnsi="Calibri" w:cs="Calibri"/>
                <w:sz w:val="18"/>
                <w:szCs w:val="18"/>
              </w:rPr>
            </w:pPr>
            <w:r>
              <w:rPr>
                <w:rFonts w:ascii="Calibri" w:hAnsi="Calibri" w:cs="Calibri"/>
                <w:sz w:val="18"/>
                <w:szCs w:val="18"/>
              </w:rPr>
              <w:t>Lab ageing/otolith measurements</w:t>
            </w: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tcPr>
          <w:p w14:paraId="13D22426"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FC194B3"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072A17F"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8AA5264"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09278439"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4C083388"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71ADC46A"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25518CF"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5A5923F"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BE83495"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6360CB9" w14:textId="77777777" w:rsidR="00FC1C25" w:rsidRPr="007E47A5" w:rsidRDefault="00FC1C25" w:rsidP="00D96F00">
            <w:pPr>
              <w:spacing w:after="0"/>
              <w:rPr>
                <w:rFonts w:ascii="Calibri" w:hAnsi="Calibri" w:cs="Calibri"/>
                <w:sz w:val="18"/>
                <w:szCs w:val="18"/>
                <w:lang w:val="en-US"/>
              </w:rPr>
            </w:pPr>
          </w:p>
        </w:tc>
        <w:tc>
          <w:tcPr>
            <w:tcW w:w="1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7292F1D1"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bottom"/>
          </w:tcPr>
          <w:p w14:paraId="0A53CC40"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BCF6753"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EBBBE34"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37CD60A"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572C0EEE"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50459D5F"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tcPr>
          <w:p w14:paraId="19B32858"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91F81DA"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8C53F6C"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21EC0B0"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0D31174" w14:textId="77777777" w:rsidR="00FC1C25" w:rsidRPr="007E47A5" w:rsidRDefault="00FC1C25" w:rsidP="00D96F00">
            <w:pPr>
              <w:spacing w:after="0"/>
              <w:rPr>
                <w:rFonts w:ascii="Calibri" w:hAnsi="Calibri" w:cs="Calibri"/>
                <w:sz w:val="18"/>
                <w:szCs w:val="18"/>
                <w:lang w:val="en-US"/>
              </w:rPr>
            </w:pPr>
          </w:p>
        </w:tc>
        <w:tc>
          <w:tcPr>
            <w:tcW w:w="1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bottom"/>
          </w:tcPr>
          <w:p w14:paraId="4C517019" w14:textId="77777777" w:rsidR="00FC1C25" w:rsidRPr="007E47A5" w:rsidRDefault="00FC1C25" w:rsidP="00D96F00">
            <w:pPr>
              <w:spacing w:after="0"/>
              <w:rPr>
                <w:rFonts w:ascii="Calibri" w:hAnsi="Calibri" w:cs="Calibri"/>
                <w:sz w:val="18"/>
                <w:szCs w:val="18"/>
                <w:lang w:val="en-US"/>
              </w:rPr>
            </w:pPr>
          </w:p>
        </w:tc>
      </w:tr>
      <w:tr w:rsidR="00FC1C25" w:rsidRPr="007E47A5" w14:paraId="697EE4E1" w14:textId="77777777" w:rsidTr="00D96F00">
        <w:trPr>
          <w:trHeight w:val="203"/>
          <w:jc w:val="center"/>
        </w:trPr>
        <w:tc>
          <w:tcPr>
            <w:tcW w:w="1148" w:type="pct"/>
            <w:vMerge/>
            <w:tcBorders>
              <w:top w:val="single" w:sz="4" w:space="0" w:color="A6A6A6" w:themeColor="background1" w:themeShade="A6"/>
              <w:left w:val="single" w:sz="4" w:space="0" w:color="auto"/>
              <w:bottom w:val="single" w:sz="4" w:space="0" w:color="auto"/>
              <w:right w:val="single" w:sz="4" w:space="0" w:color="A6A6A6" w:themeColor="background1" w:themeShade="A6"/>
            </w:tcBorders>
            <w:shd w:val="clear" w:color="auto" w:fill="auto"/>
            <w:vAlign w:val="center"/>
          </w:tcPr>
          <w:p w14:paraId="02A79491" w14:textId="77777777" w:rsidR="00FC1C25" w:rsidRPr="007E47A5" w:rsidRDefault="00FC1C25" w:rsidP="00D96F00">
            <w:pPr>
              <w:spacing w:after="0"/>
              <w:rPr>
                <w:rFonts w:ascii="Calibri" w:hAnsi="Calibri" w:cs="Calibri"/>
                <w:sz w:val="18"/>
                <w:szCs w:val="18"/>
                <w:lang w:val="en-US"/>
              </w:rPr>
            </w:pPr>
          </w:p>
        </w:tc>
        <w:tc>
          <w:tcPr>
            <w:tcW w:w="1141" w:type="pct"/>
            <w:tcBorders>
              <w:top w:val="single" w:sz="4" w:space="0" w:color="A6A6A6" w:themeColor="background1" w:themeShade="A6"/>
              <w:left w:val="single" w:sz="4" w:space="0" w:color="A6A6A6" w:themeColor="background1" w:themeShade="A6"/>
              <w:bottom w:val="single" w:sz="4" w:space="0" w:color="auto"/>
              <w:right w:val="single" w:sz="4" w:space="0" w:color="auto"/>
            </w:tcBorders>
            <w:shd w:val="clear" w:color="auto" w:fill="auto"/>
            <w:noWrap/>
            <w:vAlign w:val="bottom"/>
          </w:tcPr>
          <w:p w14:paraId="71FB23C3" w14:textId="77777777" w:rsidR="00FC1C25" w:rsidRPr="007E47A5" w:rsidRDefault="00FC1C25" w:rsidP="00D96F00">
            <w:pPr>
              <w:spacing w:after="0"/>
              <w:rPr>
                <w:rFonts w:ascii="Calibri" w:hAnsi="Calibri" w:cs="Calibri"/>
                <w:sz w:val="18"/>
                <w:szCs w:val="18"/>
              </w:rPr>
            </w:pPr>
            <w:r w:rsidRPr="007E47A5">
              <w:rPr>
                <w:rFonts w:ascii="Calibri" w:hAnsi="Calibri" w:cs="Calibri"/>
                <w:sz w:val="18"/>
                <w:szCs w:val="18"/>
              </w:rPr>
              <w:t>Data entry, analysis &amp; reporting</w:t>
            </w:r>
          </w:p>
        </w:tc>
        <w:tc>
          <w:tcPr>
            <w:tcW w:w="96" w:type="pct"/>
            <w:tcBorders>
              <w:top w:val="single" w:sz="4" w:space="0" w:color="A6A6A6" w:themeColor="background1" w:themeShade="A6"/>
              <w:left w:val="single" w:sz="4" w:space="0" w:color="auto"/>
              <w:bottom w:val="single" w:sz="4" w:space="0" w:color="auto"/>
              <w:right w:val="single" w:sz="4" w:space="0" w:color="A6A6A6" w:themeColor="background1" w:themeShade="A6"/>
            </w:tcBorders>
            <w:shd w:val="clear" w:color="auto" w:fill="auto"/>
            <w:noWrap/>
            <w:vAlign w:val="bottom"/>
          </w:tcPr>
          <w:p w14:paraId="4A97ECAC"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14:paraId="415F6491"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14:paraId="03A1DF9A"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14:paraId="740BD103"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14:paraId="045E5788"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14:paraId="32509E33"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14:paraId="59D1E14B"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noWrap/>
            <w:vAlign w:val="bottom"/>
          </w:tcPr>
          <w:p w14:paraId="63BCE11F"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noWrap/>
            <w:vAlign w:val="bottom"/>
          </w:tcPr>
          <w:p w14:paraId="60154B29"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noWrap/>
            <w:vAlign w:val="bottom"/>
          </w:tcPr>
          <w:p w14:paraId="2BF14920"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noWrap/>
            <w:vAlign w:val="bottom"/>
          </w:tcPr>
          <w:p w14:paraId="628F134F" w14:textId="77777777" w:rsidR="00FC1C25" w:rsidRPr="007E47A5" w:rsidRDefault="00FC1C25" w:rsidP="00D96F00">
            <w:pPr>
              <w:spacing w:after="0"/>
              <w:rPr>
                <w:rFonts w:ascii="Calibri" w:hAnsi="Calibri" w:cs="Calibri"/>
                <w:sz w:val="18"/>
                <w:szCs w:val="18"/>
                <w:lang w:val="en-US"/>
              </w:rPr>
            </w:pPr>
          </w:p>
        </w:tc>
        <w:tc>
          <w:tcPr>
            <w:tcW w:w="118" w:type="pct"/>
            <w:tcBorders>
              <w:top w:val="single" w:sz="4" w:space="0" w:color="A6A6A6" w:themeColor="background1" w:themeShade="A6"/>
              <w:left w:val="single" w:sz="4" w:space="0" w:color="A6A6A6" w:themeColor="background1" w:themeShade="A6"/>
              <w:bottom w:val="single" w:sz="4" w:space="0" w:color="auto"/>
              <w:right w:val="single" w:sz="4" w:space="0" w:color="auto"/>
            </w:tcBorders>
            <w:shd w:val="clear" w:color="auto" w:fill="D9D9D9" w:themeFill="background1" w:themeFillShade="D9"/>
            <w:noWrap/>
            <w:vAlign w:val="bottom"/>
          </w:tcPr>
          <w:p w14:paraId="25E4B0DE" w14:textId="77777777" w:rsidR="00FC1C25" w:rsidRPr="007E47A5" w:rsidRDefault="00FC1C25" w:rsidP="00D96F00">
            <w:pPr>
              <w:spacing w:after="0"/>
              <w:rPr>
                <w:rFonts w:ascii="Calibri" w:hAnsi="Calibri" w:cs="Calibri"/>
                <w:sz w:val="18"/>
                <w:szCs w:val="18"/>
                <w:lang w:val="en-US"/>
              </w:rPr>
            </w:pPr>
          </w:p>
        </w:tc>
        <w:tc>
          <w:tcPr>
            <w:tcW w:w="96" w:type="pct"/>
            <w:tcBorders>
              <w:top w:val="single" w:sz="4" w:space="0" w:color="A6A6A6" w:themeColor="background1" w:themeShade="A6"/>
              <w:left w:val="single" w:sz="4" w:space="0" w:color="auto"/>
              <w:bottom w:val="single" w:sz="4" w:space="0" w:color="auto"/>
              <w:right w:val="single" w:sz="4" w:space="0" w:color="A6A6A6" w:themeColor="background1" w:themeShade="A6"/>
            </w:tcBorders>
            <w:shd w:val="clear" w:color="auto" w:fill="auto"/>
            <w:noWrap/>
            <w:vAlign w:val="bottom"/>
          </w:tcPr>
          <w:p w14:paraId="5161EF17"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14:paraId="351E3945" w14:textId="77777777" w:rsidR="00FC1C25" w:rsidRPr="007E47A5" w:rsidRDefault="00FC1C25" w:rsidP="00D96F00">
            <w:pPr>
              <w:spacing w:after="0"/>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14:paraId="6387E5D4"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14:paraId="6F88E714" w14:textId="77777777" w:rsidR="00FC1C25" w:rsidRPr="007E47A5" w:rsidRDefault="00FC1C25" w:rsidP="00D96F00">
            <w:pPr>
              <w:spacing w:after="0"/>
              <w:jc w:val="center"/>
              <w:rPr>
                <w:rFonts w:ascii="Calibri" w:hAnsi="Calibri" w:cs="Calibri"/>
                <w:sz w:val="18"/>
                <w:szCs w:val="18"/>
                <w:lang w:val="en-US"/>
              </w:rPr>
            </w:pPr>
          </w:p>
        </w:tc>
        <w:tc>
          <w:tcPr>
            <w:tcW w:w="133"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14:paraId="7215EE23"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14:paraId="4E5DA8EE" w14:textId="77777777" w:rsidR="00FC1C25" w:rsidRPr="007E47A5" w:rsidRDefault="00FC1C25" w:rsidP="00D96F00">
            <w:pPr>
              <w:spacing w:after="0"/>
              <w:jc w:val="center"/>
              <w:rPr>
                <w:rFonts w:ascii="Calibri" w:hAnsi="Calibri" w:cs="Calibri"/>
                <w:sz w:val="18"/>
                <w:szCs w:val="18"/>
                <w:lang w:val="en-US"/>
              </w:rPr>
            </w:pPr>
          </w:p>
        </w:tc>
        <w:tc>
          <w:tcPr>
            <w:tcW w:w="96"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auto"/>
            <w:noWrap/>
            <w:vAlign w:val="bottom"/>
          </w:tcPr>
          <w:p w14:paraId="7A2681CF" w14:textId="77777777" w:rsidR="00FC1C25" w:rsidRPr="007E47A5" w:rsidRDefault="00FC1C25" w:rsidP="00D96F00">
            <w:pPr>
              <w:spacing w:after="0"/>
              <w:jc w:val="center"/>
              <w:rPr>
                <w:rFonts w:ascii="Calibri" w:hAnsi="Calibri" w:cs="Calibri"/>
                <w:sz w:val="18"/>
                <w:szCs w:val="18"/>
                <w:lang w:val="en-US"/>
              </w:rPr>
            </w:pPr>
          </w:p>
        </w:tc>
        <w:tc>
          <w:tcPr>
            <w:tcW w:w="114"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noWrap/>
            <w:vAlign w:val="bottom"/>
          </w:tcPr>
          <w:p w14:paraId="324EC9C0" w14:textId="77777777" w:rsidR="00FC1C25" w:rsidRPr="007E47A5" w:rsidRDefault="00FC1C25" w:rsidP="00D96F00">
            <w:pPr>
              <w:spacing w:after="0"/>
              <w:rPr>
                <w:rFonts w:ascii="Calibri" w:hAnsi="Calibri" w:cs="Calibri"/>
                <w:sz w:val="18"/>
                <w:szCs w:val="18"/>
                <w:lang w:val="en-US"/>
              </w:rPr>
            </w:pPr>
          </w:p>
        </w:tc>
        <w:tc>
          <w:tcPr>
            <w:tcW w:w="106"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noWrap/>
            <w:vAlign w:val="bottom"/>
          </w:tcPr>
          <w:p w14:paraId="139EA5CA" w14:textId="77777777" w:rsidR="00FC1C25" w:rsidRPr="007E47A5" w:rsidRDefault="00FC1C25" w:rsidP="00D96F00">
            <w:pPr>
              <w:spacing w:after="0"/>
              <w:rPr>
                <w:rFonts w:ascii="Calibri" w:hAnsi="Calibri" w:cs="Calibri"/>
                <w:sz w:val="18"/>
                <w:szCs w:val="18"/>
                <w:lang w:val="en-US"/>
              </w:rPr>
            </w:pPr>
          </w:p>
        </w:tc>
        <w:tc>
          <w:tcPr>
            <w:tcW w:w="120"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noWrap/>
            <w:vAlign w:val="bottom"/>
          </w:tcPr>
          <w:p w14:paraId="484B0475" w14:textId="77777777" w:rsidR="00FC1C25" w:rsidRPr="007E47A5" w:rsidRDefault="00FC1C25" w:rsidP="00D96F00">
            <w:pPr>
              <w:spacing w:after="0"/>
              <w:rPr>
                <w:rFonts w:ascii="Calibri" w:hAnsi="Calibri" w:cs="Calibri"/>
                <w:sz w:val="18"/>
                <w:szCs w:val="18"/>
                <w:lang w:val="en-US"/>
              </w:rPr>
            </w:pPr>
          </w:p>
        </w:tc>
        <w:tc>
          <w:tcPr>
            <w:tcW w:w="119" w:type="pc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noWrap/>
            <w:vAlign w:val="bottom"/>
          </w:tcPr>
          <w:p w14:paraId="00F6E0B0" w14:textId="77777777" w:rsidR="00FC1C25" w:rsidRPr="007E47A5" w:rsidRDefault="00FC1C25" w:rsidP="00D96F00">
            <w:pPr>
              <w:spacing w:after="0"/>
              <w:rPr>
                <w:rFonts w:ascii="Calibri" w:hAnsi="Calibri" w:cs="Calibri"/>
                <w:sz w:val="18"/>
                <w:szCs w:val="18"/>
                <w:lang w:val="en-US"/>
              </w:rPr>
            </w:pPr>
          </w:p>
        </w:tc>
        <w:tc>
          <w:tcPr>
            <w:tcW w:w="124" w:type="pct"/>
            <w:tcBorders>
              <w:top w:val="single" w:sz="4" w:space="0" w:color="A6A6A6" w:themeColor="background1" w:themeShade="A6"/>
              <w:left w:val="single" w:sz="4" w:space="0" w:color="A6A6A6" w:themeColor="background1" w:themeShade="A6"/>
              <w:bottom w:val="single" w:sz="4" w:space="0" w:color="auto"/>
              <w:right w:val="single" w:sz="4" w:space="0" w:color="auto"/>
            </w:tcBorders>
            <w:shd w:val="clear" w:color="auto" w:fill="D9D9D9" w:themeFill="background1" w:themeFillShade="D9"/>
            <w:noWrap/>
            <w:vAlign w:val="bottom"/>
          </w:tcPr>
          <w:p w14:paraId="1A166DCC" w14:textId="77777777" w:rsidR="00FC1C25" w:rsidRPr="007E47A5" w:rsidRDefault="00FC1C25" w:rsidP="00D96F00">
            <w:pPr>
              <w:spacing w:after="0"/>
              <w:rPr>
                <w:rFonts w:ascii="Calibri" w:hAnsi="Calibri" w:cs="Calibri"/>
                <w:sz w:val="18"/>
                <w:szCs w:val="18"/>
                <w:lang w:val="en-US"/>
              </w:rPr>
            </w:pPr>
          </w:p>
        </w:tc>
      </w:tr>
    </w:tbl>
    <w:p w14:paraId="1170A38E" w14:textId="77777777" w:rsidR="00E57FE6" w:rsidRDefault="00E57FE6">
      <w:pPr>
        <w:spacing w:after="200" w:line="276" w:lineRule="auto"/>
        <w:jc w:val="left"/>
        <w:rPr>
          <w:b/>
          <w:sz w:val="20"/>
        </w:rPr>
      </w:pPr>
      <w:r>
        <w:br w:type="page"/>
      </w:r>
    </w:p>
    <w:p w14:paraId="6C4FC85A" w14:textId="77777777" w:rsidR="00E57FE6" w:rsidRPr="00C67ED2" w:rsidRDefault="00E57FE6" w:rsidP="00E57FE6">
      <w:pPr>
        <w:sectPr w:rsidR="00E57FE6" w:rsidRPr="00C67ED2" w:rsidSect="003F6444">
          <w:pgSz w:w="16840" w:h="11900" w:orient="landscape"/>
          <w:pgMar w:top="1440" w:right="1440" w:bottom="1361" w:left="1440" w:header="709" w:footer="709" w:gutter="0"/>
          <w:cols w:space="708"/>
          <w:docGrid w:linePitch="360"/>
        </w:sectPr>
      </w:pPr>
    </w:p>
    <w:p w14:paraId="70AA15CA" w14:textId="2CC748EA" w:rsidR="00421AED" w:rsidRPr="000B7358" w:rsidRDefault="00421AED" w:rsidP="00421AED">
      <w:pPr>
        <w:pStyle w:val="TableCaption"/>
      </w:pPr>
      <w:bookmarkStart w:id="245" w:name="_Ref11940504"/>
      <w:bookmarkStart w:id="246" w:name="_Toc12630251"/>
      <w:r w:rsidRPr="000B7358">
        <w:lastRenderedPageBreak/>
        <w:t xml:space="preserve">Table </w:t>
      </w:r>
      <w:r w:rsidR="00A8252A">
        <w:rPr>
          <w:noProof/>
        </w:rPr>
        <w:fldChar w:fldCharType="begin"/>
      </w:r>
      <w:r w:rsidR="00A8252A">
        <w:rPr>
          <w:noProof/>
        </w:rPr>
        <w:instrText xml:space="preserve"> STYLEREF 1 \s </w:instrText>
      </w:r>
      <w:r w:rsidR="00A8252A">
        <w:rPr>
          <w:noProof/>
        </w:rPr>
        <w:fldChar w:fldCharType="separate"/>
      </w:r>
      <w:r w:rsidR="00DF49CD">
        <w:rPr>
          <w:noProof/>
        </w:rPr>
        <w:t>7</w:t>
      </w:r>
      <w:r w:rsidR="00A8252A">
        <w:rPr>
          <w:noProof/>
        </w:rPr>
        <w:fldChar w:fldCharType="end"/>
      </w:r>
      <w:r w:rsidR="00F359A2">
        <w:t>.</w:t>
      </w:r>
      <w:r w:rsidR="00A8252A">
        <w:rPr>
          <w:noProof/>
        </w:rPr>
        <w:fldChar w:fldCharType="begin"/>
      </w:r>
      <w:r w:rsidR="00A8252A">
        <w:rPr>
          <w:noProof/>
        </w:rPr>
        <w:instrText xml:space="preserve"> SEQ Table \* ARABIC \s 1 </w:instrText>
      </w:r>
      <w:r w:rsidR="00A8252A">
        <w:rPr>
          <w:noProof/>
        </w:rPr>
        <w:fldChar w:fldCharType="separate"/>
      </w:r>
      <w:r w:rsidR="00DF49CD">
        <w:rPr>
          <w:noProof/>
        </w:rPr>
        <w:t>2</w:t>
      </w:r>
      <w:r w:rsidR="00A8252A">
        <w:rPr>
          <w:noProof/>
        </w:rPr>
        <w:fldChar w:fldCharType="end"/>
      </w:r>
      <w:bookmarkEnd w:id="241"/>
      <w:bookmarkEnd w:id="245"/>
      <w:r w:rsidRPr="000B7358">
        <w:t>.</w:t>
      </w:r>
      <w:r>
        <w:tab/>
      </w:r>
      <w:r w:rsidRPr="000B7358">
        <w:t>Summary of sampling sites</w:t>
      </w:r>
      <w:r>
        <w:t xml:space="preserve"> and </w:t>
      </w:r>
      <w:r w:rsidRPr="000B7358">
        <w:t xml:space="preserve">zones for indicators for the </w:t>
      </w:r>
      <w:r w:rsidRPr="0059562E">
        <w:t>MER</w:t>
      </w:r>
      <w:r w:rsidRPr="000B7358">
        <w:t xml:space="preserve"> </w:t>
      </w:r>
      <w:r>
        <w:t>Project</w:t>
      </w:r>
      <w:r w:rsidRPr="000B7358">
        <w:t xml:space="preserve"> in the </w:t>
      </w:r>
      <w:r w:rsidRPr="000F53E7">
        <w:t>Lower Murray</w:t>
      </w:r>
      <w:r>
        <w:t xml:space="preserve"> Selected Area</w:t>
      </w:r>
      <w:r w:rsidRPr="000B7358">
        <w:t xml:space="preserve"> from July 201</w:t>
      </w:r>
      <w:r>
        <w:t>9</w:t>
      </w:r>
      <w:r w:rsidRPr="000B7358">
        <w:t xml:space="preserve"> to June 20</w:t>
      </w:r>
      <w:r>
        <w:t>22</w:t>
      </w:r>
      <w:r w:rsidRPr="000B7358">
        <w:t>.</w:t>
      </w:r>
      <w:bookmarkEnd w:id="242"/>
      <w:bookmarkEnd w:id="243"/>
      <w:bookmarkEnd w:id="244"/>
      <w:bookmarkEnd w:id="246"/>
    </w:p>
    <w:tbl>
      <w:tblPr>
        <w:tblW w:w="5000" w:type="pct"/>
        <w:tblLayout w:type="fixed"/>
        <w:tblLook w:val="04A0" w:firstRow="1" w:lastRow="0" w:firstColumn="1" w:lastColumn="0" w:noHBand="0" w:noVBand="1"/>
      </w:tblPr>
      <w:tblGrid>
        <w:gridCol w:w="2483"/>
        <w:gridCol w:w="1197"/>
        <w:gridCol w:w="851"/>
        <w:gridCol w:w="1275"/>
        <w:gridCol w:w="1420"/>
        <w:gridCol w:w="1275"/>
        <w:gridCol w:w="5449"/>
      </w:tblGrid>
      <w:tr w:rsidR="00F57008" w:rsidRPr="00C67ED2" w14:paraId="6FD502F6" w14:textId="77777777" w:rsidTr="00077329">
        <w:trPr>
          <w:trHeight w:val="397"/>
        </w:trPr>
        <w:tc>
          <w:tcPr>
            <w:tcW w:w="890" w:type="pct"/>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14:paraId="4812DCEB" w14:textId="77777777" w:rsidR="00F57008" w:rsidRPr="00C67ED2" w:rsidRDefault="00F57008" w:rsidP="007675A4">
            <w:pPr>
              <w:pStyle w:val="TableHeading"/>
              <w:rPr>
                <w:lang w:val="en-US"/>
              </w:rPr>
            </w:pPr>
            <w:r w:rsidRPr="00C67ED2">
              <w:rPr>
                <w:lang w:val="en-US"/>
              </w:rPr>
              <w:t>Indicator</w:t>
            </w:r>
          </w:p>
        </w:tc>
        <w:tc>
          <w:tcPr>
            <w:tcW w:w="1700" w:type="pct"/>
            <w:gridSpan w:val="4"/>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5155458" w14:textId="527C147E" w:rsidR="00F57008" w:rsidRPr="00C67ED2" w:rsidRDefault="00F57008" w:rsidP="007675A4">
            <w:pPr>
              <w:pStyle w:val="TableHeading"/>
              <w:rPr>
                <w:lang w:val="en-US"/>
              </w:rPr>
            </w:pPr>
            <w:r w:rsidRPr="00C67ED2">
              <w:rPr>
                <w:lang w:val="en-US"/>
              </w:rPr>
              <w:t>Zones</w:t>
            </w:r>
          </w:p>
        </w:tc>
        <w:tc>
          <w:tcPr>
            <w:tcW w:w="457" w:type="pct"/>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14:paraId="475CBA7E" w14:textId="389EF477" w:rsidR="00F57008" w:rsidRPr="00C67ED2" w:rsidRDefault="00F57008" w:rsidP="007675A4">
            <w:pPr>
              <w:pStyle w:val="TableHeading"/>
              <w:rPr>
                <w:lang w:val="en-US"/>
              </w:rPr>
            </w:pPr>
            <w:r w:rsidRPr="00C67ED2">
              <w:rPr>
                <w:lang w:val="en-US"/>
              </w:rPr>
              <w:t>Sites</w:t>
            </w:r>
          </w:p>
        </w:tc>
        <w:tc>
          <w:tcPr>
            <w:tcW w:w="1953" w:type="pct"/>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14:paraId="4B6B5627" w14:textId="77777777" w:rsidR="00F57008" w:rsidRPr="00C67ED2" w:rsidRDefault="00F57008" w:rsidP="007675A4">
            <w:pPr>
              <w:pStyle w:val="TableHeading"/>
              <w:rPr>
                <w:lang w:val="en-US"/>
              </w:rPr>
            </w:pPr>
            <w:r w:rsidRPr="00C67ED2">
              <w:rPr>
                <w:lang w:val="en-US"/>
              </w:rPr>
              <w:t>Comments</w:t>
            </w:r>
          </w:p>
        </w:tc>
      </w:tr>
      <w:tr w:rsidR="00077329" w:rsidRPr="00C67ED2" w14:paraId="0CF54481" w14:textId="77777777" w:rsidTr="00077329">
        <w:trPr>
          <w:trHeight w:val="397"/>
        </w:trPr>
        <w:tc>
          <w:tcPr>
            <w:tcW w:w="890" w:type="pct"/>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59DF8DAD" w14:textId="77777777" w:rsidR="00F57008" w:rsidRPr="00C67ED2" w:rsidRDefault="00F57008" w:rsidP="007675A4">
            <w:pPr>
              <w:pStyle w:val="TableHeading"/>
              <w:rPr>
                <w:lang w:val="en-US"/>
              </w:rPr>
            </w:pPr>
          </w:p>
        </w:tc>
        <w:tc>
          <w:tcPr>
            <w:tcW w:w="429" w:type="pct"/>
            <w:tcBorders>
              <w:top w:val="nil"/>
              <w:left w:val="nil"/>
              <w:bottom w:val="single" w:sz="4" w:space="0" w:color="auto"/>
              <w:right w:val="single" w:sz="4" w:space="0" w:color="auto"/>
            </w:tcBorders>
            <w:shd w:val="clear" w:color="auto" w:fill="BFBFBF" w:themeFill="background1" w:themeFillShade="BF"/>
            <w:noWrap/>
            <w:vAlign w:val="center"/>
            <w:hideMark/>
          </w:tcPr>
          <w:p w14:paraId="704B1EDB" w14:textId="77777777" w:rsidR="00F57008" w:rsidRPr="00C67ED2" w:rsidRDefault="00F57008" w:rsidP="007675A4">
            <w:pPr>
              <w:pStyle w:val="TableHeading"/>
              <w:rPr>
                <w:lang w:val="en-US"/>
              </w:rPr>
            </w:pPr>
            <w:r>
              <w:rPr>
                <w:lang w:val="en-US"/>
              </w:rPr>
              <w:t>Floodplain</w:t>
            </w:r>
          </w:p>
        </w:tc>
        <w:tc>
          <w:tcPr>
            <w:tcW w:w="305" w:type="pct"/>
            <w:tcBorders>
              <w:top w:val="nil"/>
              <w:left w:val="nil"/>
              <w:bottom w:val="single" w:sz="4" w:space="0" w:color="auto"/>
              <w:right w:val="single" w:sz="4" w:space="0" w:color="auto"/>
            </w:tcBorders>
            <w:shd w:val="clear" w:color="auto" w:fill="BFBFBF" w:themeFill="background1" w:themeFillShade="BF"/>
            <w:noWrap/>
            <w:vAlign w:val="center"/>
            <w:hideMark/>
          </w:tcPr>
          <w:p w14:paraId="0CEB9ED0" w14:textId="77777777" w:rsidR="00F57008" w:rsidRPr="00C67ED2" w:rsidRDefault="00F57008" w:rsidP="007675A4">
            <w:pPr>
              <w:pStyle w:val="TableHeading"/>
              <w:rPr>
                <w:lang w:val="en-US"/>
              </w:rPr>
            </w:pPr>
            <w:r w:rsidRPr="00C67ED2">
              <w:rPr>
                <w:lang w:val="en-US"/>
              </w:rPr>
              <w:t>Gorge</w:t>
            </w:r>
          </w:p>
        </w:tc>
        <w:tc>
          <w:tcPr>
            <w:tcW w:w="457" w:type="pct"/>
            <w:tcBorders>
              <w:top w:val="nil"/>
              <w:left w:val="nil"/>
              <w:bottom w:val="single" w:sz="4" w:space="0" w:color="auto"/>
              <w:right w:val="single" w:sz="4" w:space="0" w:color="auto"/>
            </w:tcBorders>
            <w:shd w:val="clear" w:color="auto" w:fill="BFBFBF" w:themeFill="background1" w:themeFillShade="BF"/>
            <w:noWrap/>
            <w:vAlign w:val="center"/>
            <w:hideMark/>
          </w:tcPr>
          <w:p w14:paraId="463850BA" w14:textId="77777777" w:rsidR="00F57008" w:rsidRPr="00C67ED2" w:rsidRDefault="00F57008" w:rsidP="007675A4">
            <w:pPr>
              <w:pStyle w:val="TableHeading"/>
              <w:rPr>
                <w:lang w:val="en-US"/>
              </w:rPr>
            </w:pPr>
            <w:r w:rsidRPr="00C67ED2">
              <w:rPr>
                <w:lang w:val="en-US"/>
              </w:rPr>
              <w:t>Swampland</w:t>
            </w:r>
            <w:r>
              <w:rPr>
                <w:lang w:val="en-US"/>
              </w:rPr>
              <w:t>s</w:t>
            </w:r>
          </w:p>
        </w:tc>
        <w:tc>
          <w:tcPr>
            <w:tcW w:w="50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749071" w14:textId="034AB31F" w:rsidR="00F57008" w:rsidRPr="00C67ED2" w:rsidRDefault="00F57008" w:rsidP="007675A4">
            <w:pPr>
              <w:pStyle w:val="TableHeading"/>
              <w:rPr>
                <w:lang w:val="en-US"/>
              </w:rPr>
            </w:pPr>
            <w:r>
              <w:rPr>
                <w:lang w:val="en-US"/>
              </w:rPr>
              <w:t>Lower Lakes and Coorong</w:t>
            </w:r>
          </w:p>
        </w:tc>
        <w:tc>
          <w:tcPr>
            <w:tcW w:w="457" w:type="pct"/>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797DCE20" w14:textId="5E51A004" w:rsidR="00F57008" w:rsidRPr="00C67ED2" w:rsidRDefault="00F57008" w:rsidP="007675A4">
            <w:pPr>
              <w:pStyle w:val="TableHeading"/>
              <w:rPr>
                <w:lang w:val="en-US"/>
              </w:rPr>
            </w:pPr>
          </w:p>
        </w:tc>
        <w:tc>
          <w:tcPr>
            <w:tcW w:w="1953" w:type="pct"/>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6A59AAAB" w14:textId="77777777" w:rsidR="00F57008" w:rsidRPr="00C67ED2" w:rsidRDefault="00F57008" w:rsidP="007675A4">
            <w:pPr>
              <w:pStyle w:val="TableHeading"/>
              <w:rPr>
                <w:lang w:val="en-US"/>
              </w:rPr>
            </w:pPr>
          </w:p>
        </w:tc>
      </w:tr>
      <w:tr w:rsidR="00D91F4F" w:rsidRPr="00C67ED2" w14:paraId="658A03D1" w14:textId="77777777" w:rsidTr="00077329">
        <w:trPr>
          <w:trHeight w:val="397"/>
        </w:trPr>
        <w:tc>
          <w:tcPr>
            <w:tcW w:w="890" w:type="pct"/>
            <w:tcBorders>
              <w:top w:val="nil"/>
              <w:left w:val="single" w:sz="4" w:space="0" w:color="auto"/>
              <w:bottom w:val="single" w:sz="4" w:space="0" w:color="auto"/>
              <w:right w:val="single" w:sz="4" w:space="0" w:color="auto"/>
            </w:tcBorders>
            <w:shd w:val="clear" w:color="auto" w:fill="auto"/>
            <w:noWrap/>
          </w:tcPr>
          <w:p w14:paraId="3851CF4C" w14:textId="1B46AD09" w:rsidR="00D91F4F" w:rsidRPr="00237B1C" w:rsidRDefault="00D91F4F" w:rsidP="00D91F4F">
            <w:pPr>
              <w:pStyle w:val="TableText"/>
              <w:rPr>
                <w:szCs w:val="20"/>
                <w:lang w:val="en-US"/>
              </w:rPr>
            </w:pPr>
            <w:r>
              <w:rPr>
                <w:szCs w:val="20"/>
                <w:lang w:val="en-US"/>
              </w:rPr>
              <w:t>Hydrology (C</w:t>
            </w:r>
            <w:r w:rsidRPr="00237B1C">
              <w:rPr>
                <w:szCs w:val="20"/>
                <w:lang w:val="en-US"/>
              </w:rPr>
              <w:t>hannel)</w:t>
            </w:r>
          </w:p>
        </w:tc>
        <w:tc>
          <w:tcPr>
            <w:tcW w:w="429" w:type="pct"/>
            <w:tcBorders>
              <w:top w:val="nil"/>
              <w:left w:val="nil"/>
              <w:bottom w:val="single" w:sz="4" w:space="0" w:color="auto"/>
              <w:right w:val="single" w:sz="4" w:space="0" w:color="auto"/>
            </w:tcBorders>
            <w:shd w:val="clear" w:color="auto" w:fill="auto"/>
            <w:noWrap/>
          </w:tcPr>
          <w:p w14:paraId="358A668F" w14:textId="5518DC49" w:rsidR="00D91F4F" w:rsidRPr="00C67ED2" w:rsidRDefault="00D91F4F" w:rsidP="00D91F4F">
            <w:pPr>
              <w:pStyle w:val="TableText"/>
              <w:rPr>
                <w:lang w:val="en-US"/>
              </w:rPr>
            </w:pPr>
            <w:r>
              <w:rPr>
                <w:lang w:val="en-US"/>
              </w:rPr>
              <w:t>Y</w:t>
            </w:r>
          </w:p>
        </w:tc>
        <w:tc>
          <w:tcPr>
            <w:tcW w:w="305" w:type="pct"/>
            <w:tcBorders>
              <w:top w:val="nil"/>
              <w:left w:val="nil"/>
              <w:bottom w:val="single" w:sz="4" w:space="0" w:color="auto"/>
              <w:right w:val="single" w:sz="4" w:space="0" w:color="auto"/>
            </w:tcBorders>
            <w:shd w:val="clear" w:color="auto" w:fill="auto"/>
            <w:noWrap/>
          </w:tcPr>
          <w:p w14:paraId="198D4E86" w14:textId="35C7C964" w:rsidR="00D91F4F" w:rsidRPr="00C67ED2" w:rsidRDefault="00D91F4F" w:rsidP="00D91F4F">
            <w:pPr>
              <w:pStyle w:val="TableText"/>
              <w:rPr>
                <w:lang w:val="en-US"/>
              </w:rPr>
            </w:pPr>
            <w:r>
              <w:rPr>
                <w:lang w:val="en-US"/>
              </w:rPr>
              <w:t>Y</w:t>
            </w:r>
          </w:p>
        </w:tc>
        <w:tc>
          <w:tcPr>
            <w:tcW w:w="457" w:type="pct"/>
            <w:tcBorders>
              <w:top w:val="nil"/>
              <w:left w:val="nil"/>
              <w:bottom w:val="single" w:sz="4" w:space="0" w:color="auto"/>
              <w:right w:val="single" w:sz="4" w:space="0" w:color="auto"/>
            </w:tcBorders>
            <w:shd w:val="clear" w:color="auto" w:fill="auto"/>
            <w:noWrap/>
          </w:tcPr>
          <w:p w14:paraId="5D0A2499" w14:textId="77777777" w:rsidR="00D91F4F" w:rsidRPr="00C67ED2" w:rsidRDefault="00D91F4F" w:rsidP="00D91F4F">
            <w:pPr>
              <w:pStyle w:val="TableText"/>
              <w:rPr>
                <w:lang w:val="en-US"/>
              </w:rPr>
            </w:pPr>
          </w:p>
        </w:tc>
        <w:tc>
          <w:tcPr>
            <w:tcW w:w="509" w:type="pct"/>
            <w:tcBorders>
              <w:top w:val="single" w:sz="4" w:space="0" w:color="auto"/>
              <w:left w:val="nil"/>
              <w:bottom w:val="single" w:sz="4" w:space="0" w:color="auto"/>
              <w:right w:val="single" w:sz="4" w:space="0" w:color="auto"/>
            </w:tcBorders>
          </w:tcPr>
          <w:p w14:paraId="1B9BD9EB" w14:textId="77777777" w:rsidR="00D91F4F" w:rsidRPr="00D91F4F" w:rsidRDefault="00D91F4F" w:rsidP="00D91F4F">
            <w:pPr>
              <w:pStyle w:val="TableText"/>
              <w:rPr>
                <w:lang w:val="en-US"/>
              </w:rPr>
            </w:pPr>
          </w:p>
        </w:tc>
        <w:tc>
          <w:tcPr>
            <w:tcW w:w="457" w:type="pct"/>
            <w:tcBorders>
              <w:top w:val="nil"/>
              <w:left w:val="single" w:sz="4" w:space="0" w:color="auto"/>
              <w:bottom w:val="single" w:sz="4" w:space="0" w:color="auto"/>
              <w:right w:val="single" w:sz="4" w:space="0" w:color="auto"/>
            </w:tcBorders>
            <w:shd w:val="clear" w:color="auto" w:fill="auto"/>
            <w:noWrap/>
          </w:tcPr>
          <w:p w14:paraId="692AEB14" w14:textId="076EB8C2" w:rsidR="00D91F4F" w:rsidRPr="00D91F4F" w:rsidRDefault="00D91F4F" w:rsidP="00D91F4F">
            <w:pPr>
              <w:pStyle w:val="TableText"/>
              <w:rPr>
                <w:lang w:val="en-US"/>
              </w:rPr>
            </w:pPr>
            <w:r w:rsidRPr="00D91F4F">
              <w:rPr>
                <w:lang w:val="en-US"/>
              </w:rPr>
              <w:t>8 </w:t>
            </w:r>
          </w:p>
        </w:tc>
        <w:tc>
          <w:tcPr>
            <w:tcW w:w="1953" w:type="pct"/>
            <w:tcBorders>
              <w:top w:val="nil"/>
              <w:left w:val="nil"/>
              <w:bottom w:val="single" w:sz="4" w:space="0" w:color="auto"/>
              <w:right w:val="single" w:sz="4" w:space="0" w:color="auto"/>
            </w:tcBorders>
            <w:shd w:val="clear" w:color="auto" w:fill="auto"/>
          </w:tcPr>
          <w:p w14:paraId="2E8954E1" w14:textId="605B9AA1" w:rsidR="00D91F4F" w:rsidRPr="00C67ED2" w:rsidRDefault="00B03FB1" w:rsidP="00D91F4F">
            <w:pPr>
              <w:pStyle w:val="TableText"/>
              <w:rPr>
                <w:lang w:val="en-US"/>
              </w:rPr>
            </w:pPr>
            <w:r>
              <w:rPr>
                <w:lang w:val="en-US"/>
              </w:rPr>
              <w:t>Flow at SA Border, Chowilla Anabranch, and all 6 Locks within SA.</w:t>
            </w:r>
            <w:r w:rsidR="00264B49">
              <w:rPr>
                <w:lang w:val="en-US"/>
              </w:rPr>
              <w:t xml:space="preserve"> </w:t>
            </w:r>
            <w:r w:rsidR="00264B49" w:rsidRPr="00264B49">
              <w:rPr>
                <w:lang w:val="en-US"/>
              </w:rPr>
              <w:t>New discharge monitoring stations commissioned over the life of the project may be included as sampling sites if necessary.</w:t>
            </w:r>
          </w:p>
        </w:tc>
      </w:tr>
      <w:tr w:rsidR="00B91C95" w:rsidRPr="00C67ED2" w14:paraId="7F856463" w14:textId="77777777" w:rsidTr="00077329">
        <w:trPr>
          <w:trHeight w:val="397"/>
        </w:trPr>
        <w:tc>
          <w:tcPr>
            <w:tcW w:w="890" w:type="pct"/>
            <w:tcBorders>
              <w:top w:val="nil"/>
              <w:left w:val="single" w:sz="4" w:space="0" w:color="auto"/>
              <w:bottom w:val="single" w:sz="4" w:space="0" w:color="auto"/>
              <w:right w:val="single" w:sz="4" w:space="0" w:color="auto"/>
            </w:tcBorders>
            <w:shd w:val="clear" w:color="auto" w:fill="auto"/>
            <w:noWrap/>
          </w:tcPr>
          <w:p w14:paraId="0DF5211C" w14:textId="4276BDF3" w:rsidR="00B91C95" w:rsidRPr="00237B1C" w:rsidRDefault="008247E2" w:rsidP="00B91C95">
            <w:pPr>
              <w:pStyle w:val="TableText"/>
              <w:rPr>
                <w:szCs w:val="20"/>
                <w:lang w:val="en-US"/>
              </w:rPr>
            </w:pPr>
            <w:r>
              <w:rPr>
                <w:szCs w:val="20"/>
                <w:lang w:val="en-US"/>
              </w:rPr>
              <w:t>Stream Metabolism and Water Q</w:t>
            </w:r>
            <w:r w:rsidR="00B91C95" w:rsidRPr="00237B1C">
              <w:rPr>
                <w:szCs w:val="20"/>
                <w:lang w:val="en-US"/>
              </w:rPr>
              <w:t>uality</w:t>
            </w:r>
          </w:p>
        </w:tc>
        <w:tc>
          <w:tcPr>
            <w:tcW w:w="429" w:type="pct"/>
            <w:tcBorders>
              <w:top w:val="nil"/>
              <w:left w:val="nil"/>
              <w:bottom w:val="single" w:sz="4" w:space="0" w:color="auto"/>
              <w:right w:val="single" w:sz="4" w:space="0" w:color="auto"/>
            </w:tcBorders>
            <w:shd w:val="clear" w:color="auto" w:fill="auto"/>
            <w:noWrap/>
          </w:tcPr>
          <w:p w14:paraId="1003F0F6" w14:textId="0FF4FF7A" w:rsidR="00B91C95" w:rsidRDefault="00B91C95" w:rsidP="00B91C95">
            <w:pPr>
              <w:pStyle w:val="TableText"/>
              <w:rPr>
                <w:lang w:val="en-US"/>
              </w:rPr>
            </w:pPr>
            <w:r>
              <w:rPr>
                <w:lang w:val="en-US"/>
              </w:rPr>
              <w:t>Y</w:t>
            </w:r>
          </w:p>
        </w:tc>
        <w:tc>
          <w:tcPr>
            <w:tcW w:w="305" w:type="pct"/>
            <w:tcBorders>
              <w:top w:val="nil"/>
              <w:left w:val="nil"/>
              <w:bottom w:val="single" w:sz="4" w:space="0" w:color="auto"/>
              <w:right w:val="single" w:sz="4" w:space="0" w:color="auto"/>
            </w:tcBorders>
            <w:shd w:val="clear" w:color="auto" w:fill="auto"/>
            <w:noWrap/>
          </w:tcPr>
          <w:p w14:paraId="023FD348" w14:textId="44F9A8E9" w:rsidR="00B91C95" w:rsidRDefault="00B91C95" w:rsidP="00B91C95">
            <w:pPr>
              <w:pStyle w:val="TableText"/>
              <w:rPr>
                <w:lang w:val="en-US"/>
              </w:rPr>
            </w:pPr>
            <w:r>
              <w:rPr>
                <w:lang w:val="en-US"/>
              </w:rPr>
              <w:t>Y</w:t>
            </w:r>
          </w:p>
        </w:tc>
        <w:tc>
          <w:tcPr>
            <w:tcW w:w="457" w:type="pct"/>
            <w:tcBorders>
              <w:top w:val="nil"/>
              <w:left w:val="nil"/>
              <w:bottom w:val="single" w:sz="4" w:space="0" w:color="auto"/>
              <w:right w:val="single" w:sz="4" w:space="0" w:color="auto"/>
            </w:tcBorders>
            <w:shd w:val="clear" w:color="auto" w:fill="auto"/>
            <w:noWrap/>
          </w:tcPr>
          <w:p w14:paraId="65991053" w14:textId="77777777" w:rsidR="00B91C95" w:rsidRPr="00C67ED2" w:rsidRDefault="00B91C95" w:rsidP="00B91C95">
            <w:pPr>
              <w:pStyle w:val="TableText"/>
              <w:rPr>
                <w:lang w:val="en-US"/>
              </w:rPr>
            </w:pPr>
          </w:p>
        </w:tc>
        <w:tc>
          <w:tcPr>
            <w:tcW w:w="509" w:type="pct"/>
            <w:tcBorders>
              <w:top w:val="single" w:sz="4" w:space="0" w:color="auto"/>
              <w:left w:val="nil"/>
              <w:bottom w:val="single" w:sz="4" w:space="0" w:color="auto"/>
              <w:right w:val="single" w:sz="4" w:space="0" w:color="auto"/>
            </w:tcBorders>
          </w:tcPr>
          <w:p w14:paraId="3C142F93" w14:textId="77777777" w:rsidR="00B91C95" w:rsidRDefault="00B91C95" w:rsidP="00B91C95">
            <w:pPr>
              <w:pStyle w:val="TableText"/>
              <w:rPr>
                <w:lang w:val="en-US"/>
              </w:rPr>
            </w:pPr>
          </w:p>
        </w:tc>
        <w:tc>
          <w:tcPr>
            <w:tcW w:w="457" w:type="pct"/>
            <w:tcBorders>
              <w:top w:val="nil"/>
              <w:left w:val="single" w:sz="4" w:space="0" w:color="auto"/>
              <w:bottom w:val="single" w:sz="4" w:space="0" w:color="auto"/>
              <w:right w:val="single" w:sz="4" w:space="0" w:color="auto"/>
            </w:tcBorders>
            <w:shd w:val="clear" w:color="auto" w:fill="auto"/>
            <w:noWrap/>
          </w:tcPr>
          <w:p w14:paraId="6D71E8B3" w14:textId="38D1D853" w:rsidR="00B91C95" w:rsidRDefault="00B91C95" w:rsidP="00B91C95">
            <w:pPr>
              <w:pStyle w:val="TableText"/>
              <w:rPr>
                <w:lang w:val="en-US"/>
              </w:rPr>
            </w:pPr>
            <w:r>
              <w:rPr>
                <w:lang w:val="en-US"/>
              </w:rPr>
              <w:t>3</w:t>
            </w:r>
          </w:p>
        </w:tc>
        <w:tc>
          <w:tcPr>
            <w:tcW w:w="1953" w:type="pct"/>
            <w:tcBorders>
              <w:top w:val="nil"/>
              <w:left w:val="nil"/>
              <w:bottom w:val="single" w:sz="4" w:space="0" w:color="auto"/>
              <w:right w:val="single" w:sz="4" w:space="0" w:color="auto"/>
            </w:tcBorders>
            <w:shd w:val="clear" w:color="auto" w:fill="auto"/>
          </w:tcPr>
          <w:p w14:paraId="45F9141D" w14:textId="6564AE49" w:rsidR="00B91C95" w:rsidRPr="00C67ED2" w:rsidRDefault="00B91C95" w:rsidP="00B91C95">
            <w:pPr>
              <w:pStyle w:val="TableText"/>
              <w:rPr>
                <w:lang w:val="en-US"/>
              </w:rPr>
            </w:pPr>
            <w:r w:rsidRPr="00C67ED2">
              <w:rPr>
                <w:lang w:val="en-US"/>
              </w:rPr>
              <w:t xml:space="preserve">Methods follow Hale </w:t>
            </w:r>
            <w:r w:rsidRPr="00C67ED2">
              <w:rPr>
                <w:i/>
                <w:iCs/>
                <w:lang w:val="en-US"/>
              </w:rPr>
              <w:t>et al.</w:t>
            </w:r>
            <w:r w:rsidRPr="00C67ED2">
              <w:rPr>
                <w:lang w:val="en-US"/>
              </w:rPr>
              <w:t xml:space="preserve"> 201</w:t>
            </w:r>
            <w:r>
              <w:rPr>
                <w:lang w:val="en-US"/>
              </w:rPr>
              <w:t>4</w:t>
            </w:r>
            <w:r w:rsidRPr="00C67ED2">
              <w:rPr>
                <w:lang w:val="en-US"/>
              </w:rPr>
              <w:t xml:space="preserve"> (1 continuously recording station per site)</w:t>
            </w:r>
            <w:r>
              <w:rPr>
                <w:lang w:val="en-US"/>
              </w:rPr>
              <w:t>. S</w:t>
            </w:r>
            <w:r w:rsidRPr="00C67ED2">
              <w:rPr>
                <w:lang w:val="en-US"/>
              </w:rPr>
              <w:t>ites</w:t>
            </w:r>
            <w:r>
              <w:rPr>
                <w:lang w:val="en-US"/>
              </w:rPr>
              <w:t xml:space="preserve"> approx.</w:t>
            </w:r>
            <w:r w:rsidRPr="00C67ED2">
              <w:rPr>
                <w:lang w:val="en-US"/>
              </w:rPr>
              <w:t xml:space="preserve"> 5</w:t>
            </w:r>
            <w:r>
              <w:rPr>
                <w:lang w:val="en-US"/>
              </w:rPr>
              <w:t> </w:t>
            </w:r>
            <w:r w:rsidRPr="00C67ED2">
              <w:rPr>
                <w:lang w:val="en-US"/>
              </w:rPr>
              <w:t>km below Lock 1</w:t>
            </w:r>
            <w:r>
              <w:rPr>
                <w:lang w:val="en-US"/>
              </w:rPr>
              <w:t xml:space="preserve"> (Gorge zone), Lock 4</w:t>
            </w:r>
            <w:r w:rsidRPr="00C67ED2">
              <w:rPr>
                <w:lang w:val="en-US"/>
              </w:rPr>
              <w:t xml:space="preserve"> and Lock 6</w:t>
            </w:r>
            <w:r>
              <w:rPr>
                <w:lang w:val="en-US"/>
              </w:rPr>
              <w:t xml:space="preserve"> (Floodplain zone).</w:t>
            </w:r>
            <w:r w:rsidRPr="00C67ED2" w:rsidDel="00FB6AAC">
              <w:rPr>
                <w:lang w:val="en-US"/>
              </w:rPr>
              <w:t xml:space="preserve"> </w:t>
            </w:r>
          </w:p>
        </w:tc>
      </w:tr>
      <w:tr w:rsidR="00077329" w:rsidRPr="00C67ED2" w14:paraId="4B6987C5" w14:textId="77777777" w:rsidTr="00077329">
        <w:trPr>
          <w:trHeight w:val="397"/>
        </w:trPr>
        <w:tc>
          <w:tcPr>
            <w:tcW w:w="890" w:type="pct"/>
            <w:tcBorders>
              <w:top w:val="nil"/>
              <w:left w:val="single" w:sz="4" w:space="0" w:color="auto"/>
              <w:bottom w:val="single" w:sz="4" w:space="0" w:color="auto"/>
              <w:right w:val="single" w:sz="4" w:space="0" w:color="auto"/>
            </w:tcBorders>
            <w:shd w:val="clear" w:color="auto" w:fill="auto"/>
            <w:noWrap/>
            <w:hideMark/>
          </w:tcPr>
          <w:p w14:paraId="7AC15F16" w14:textId="26B016A2" w:rsidR="00B91C95" w:rsidRPr="00237B1C" w:rsidRDefault="008247E2" w:rsidP="00B91C95">
            <w:pPr>
              <w:pStyle w:val="TableText"/>
              <w:rPr>
                <w:szCs w:val="20"/>
                <w:lang w:val="en-US"/>
              </w:rPr>
            </w:pPr>
            <w:r>
              <w:rPr>
                <w:szCs w:val="20"/>
                <w:lang w:val="en-US"/>
              </w:rPr>
              <w:t>Fish (C</w:t>
            </w:r>
            <w:r w:rsidR="00B91C95" w:rsidRPr="00237B1C">
              <w:rPr>
                <w:szCs w:val="20"/>
                <w:lang w:val="en-US"/>
              </w:rPr>
              <w:t>hannel)</w:t>
            </w:r>
          </w:p>
        </w:tc>
        <w:tc>
          <w:tcPr>
            <w:tcW w:w="429" w:type="pct"/>
            <w:tcBorders>
              <w:top w:val="nil"/>
              <w:left w:val="nil"/>
              <w:bottom w:val="single" w:sz="4" w:space="0" w:color="auto"/>
              <w:right w:val="single" w:sz="4" w:space="0" w:color="auto"/>
            </w:tcBorders>
            <w:shd w:val="clear" w:color="auto" w:fill="auto"/>
            <w:noWrap/>
            <w:hideMark/>
          </w:tcPr>
          <w:p w14:paraId="6769B9FD" w14:textId="77777777" w:rsidR="00B91C95" w:rsidRPr="00C67ED2" w:rsidRDefault="00B91C95" w:rsidP="00B91C95">
            <w:pPr>
              <w:pStyle w:val="TableText"/>
              <w:rPr>
                <w:lang w:val="en-US"/>
              </w:rPr>
            </w:pPr>
          </w:p>
        </w:tc>
        <w:tc>
          <w:tcPr>
            <w:tcW w:w="305" w:type="pct"/>
            <w:tcBorders>
              <w:top w:val="nil"/>
              <w:left w:val="nil"/>
              <w:bottom w:val="single" w:sz="4" w:space="0" w:color="auto"/>
              <w:right w:val="single" w:sz="4" w:space="0" w:color="auto"/>
            </w:tcBorders>
            <w:shd w:val="clear" w:color="auto" w:fill="auto"/>
            <w:noWrap/>
            <w:hideMark/>
          </w:tcPr>
          <w:p w14:paraId="5E11076F" w14:textId="77777777" w:rsidR="00B91C95" w:rsidRPr="00C67ED2" w:rsidRDefault="00B91C95" w:rsidP="00B91C95">
            <w:pPr>
              <w:pStyle w:val="TableText"/>
              <w:rPr>
                <w:lang w:val="en-US"/>
              </w:rPr>
            </w:pPr>
            <w:r>
              <w:rPr>
                <w:lang w:val="en-US"/>
              </w:rPr>
              <w:t>Y</w:t>
            </w:r>
          </w:p>
        </w:tc>
        <w:tc>
          <w:tcPr>
            <w:tcW w:w="457" w:type="pct"/>
            <w:tcBorders>
              <w:top w:val="nil"/>
              <w:left w:val="nil"/>
              <w:bottom w:val="single" w:sz="4" w:space="0" w:color="auto"/>
              <w:right w:val="single" w:sz="4" w:space="0" w:color="auto"/>
            </w:tcBorders>
            <w:shd w:val="clear" w:color="auto" w:fill="auto"/>
            <w:noWrap/>
            <w:hideMark/>
          </w:tcPr>
          <w:p w14:paraId="4E571613" w14:textId="77777777" w:rsidR="00B91C95" w:rsidRPr="00C67ED2" w:rsidRDefault="00B91C95" w:rsidP="00B91C95">
            <w:pPr>
              <w:pStyle w:val="TableText"/>
              <w:rPr>
                <w:lang w:val="en-US"/>
              </w:rPr>
            </w:pPr>
          </w:p>
        </w:tc>
        <w:tc>
          <w:tcPr>
            <w:tcW w:w="509" w:type="pct"/>
            <w:tcBorders>
              <w:top w:val="single" w:sz="4" w:space="0" w:color="auto"/>
              <w:left w:val="nil"/>
              <w:bottom w:val="single" w:sz="4" w:space="0" w:color="auto"/>
              <w:right w:val="single" w:sz="4" w:space="0" w:color="auto"/>
            </w:tcBorders>
          </w:tcPr>
          <w:p w14:paraId="3DC3C3E8" w14:textId="77777777" w:rsidR="00B91C95" w:rsidRPr="00C67ED2" w:rsidRDefault="00B91C95" w:rsidP="00B91C95">
            <w:pPr>
              <w:pStyle w:val="TableText"/>
              <w:rPr>
                <w:lang w:val="en-US"/>
              </w:rPr>
            </w:pPr>
          </w:p>
        </w:tc>
        <w:tc>
          <w:tcPr>
            <w:tcW w:w="457" w:type="pct"/>
            <w:tcBorders>
              <w:top w:val="nil"/>
              <w:left w:val="single" w:sz="4" w:space="0" w:color="auto"/>
              <w:bottom w:val="single" w:sz="4" w:space="0" w:color="auto"/>
              <w:right w:val="single" w:sz="4" w:space="0" w:color="auto"/>
            </w:tcBorders>
            <w:shd w:val="clear" w:color="auto" w:fill="auto"/>
            <w:noWrap/>
            <w:hideMark/>
          </w:tcPr>
          <w:p w14:paraId="7DF6AE31" w14:textId="4503CC5C" w:rsidR="00B91C95" w:rsidRPr="00C67ED2" w:rsidRDefault="00B91C95" w:rsidP="00B91C95">
            <w:pPr>
              <w:pStyle w:val="TableText"/>
              <w:rPr>
                <w:lang w:val="en-US"/>
              </w:rPr>
            </w:pPr>
            <w:r w:rsidRPr="00C67ED2">
              <w:rPr>
                <w:lang w:val="en-US"/>
              </w:rPr>
              <w:t>10</w:t>
            </w:r>
          </w:p>
        </w:tc>
        <w:tc>
          <w:tcPr>
            <w:tcW w:w="1953" w:type="pct"/>
            <w:tcBorders>
              <w:top w:val="nil"/>
              <w:left w:val="nil"/>
              <w:bottom w:val="single" w:sz="4" w:space="0" w:color="auto"/>
              <w:right w:val="single" w:sz="4" w:space="0" w:color="auto"/>
            </w:tcBorders>
            <w:shd w:val="clear" w:color="auto" w:fill="auto"/>
            <w:hideMark/>
          </w:tcPr>
          <w:p w14:paraId="7B857F17" w14:textId="77777777" w:rsidR="00B91C95" w:rsidRPr="00C67ED2" w:rsidRDefault="00B91C95" w:rsidP="00B91C95">
            <w:pPr>
              <w:pStyle w:val="TableText"/>
              <w:rPr>
                <w:lang w:val="en-US"/>
              </w:rPr>
            </w:pPr>
            <w:r w:rsidRPr="00C67ED2">
              <w:rPr>
                <w:lang w:val="en-US"/>
              </w:rPr>
              <w:t xml:space="preserve">Follow Hale </w:t>
            </w:r>
            <w:r w:rsidRPr="00C67ED2">
              <w:rPr>
                <w:i/>
                <w:iCs/>
                <w:lang w:val="en-US"/>
              </w:rPr>
              <w:t xml:space="preserve">et al. </w:t>
            </w:r>
            <w:r w:rsidRPr="00421AED">
              <w:rPr>
                <w:iCs/>
                <w:lang w:val="en-US"/>
              </w:rPr>
              <w:t>(</w:t>
            </w:r>
            <w:r w:rsidRPr="00C67ED2">
              <w:rPr>
                <w:lang w:val="en-US"/>
              </w:rPr>
              <w:t>2014</w:t>
            </w:r>
            <w:r>
              <w:rPr>
                <w:lang w:val="en-US"/>
              </w:rPr>
              <w:t>).</w:t>
            </w:r>
          </w:p>
        </w:tc>
      </w:tr>
      <w:tr w:rsidR="00077329" w:rsidRPr="00C67ED2" w14:paraId="55110970" w14:textId="77777777" w:rsidTr="00077329">
        <w:trPr>
          <w:trHeight w:val="397"/>
        </w:trPr>
        <w:tc>
          <w:tcPr>
            <w:tcW w:w="890" w:type="pct"/>
            <w:tcBorders>
              <w:top w:val="nil"/>
              <w:left w:val="single" w:sz="4" w:space="0" w:color="auto"/>
              <w:bottom w:val="single" w:sz="4" w:space="0" w:color="auto"/>
              <w:right w:val="single" w:sz="4" w:space="0" w:color="auto"/>
            </w:tcBorders>
            <w:shd w:val="clear" w:color="auto" w:fill="auto"/>
            <w:noWrap/>
          </w:tcPr>
          <w:p w14:paraId="2A8A787E" w14:textId="43F4A8B5" w:rsidR="00B91C95" w:rsidRPr="00237B1C" w:rsidRDefault="00B91C95" w:rsidP="008247E2">
            <w:pPr>
              <w:pStyle w:val="TableText"/>
              <w:rPr>
                <w:szCs w:val="20"/>
                <w:lang w:val="en-US"/>
              </w:rPr>
            </w:pPr>
            <w:r w:rsidRPr="00237B1C">
              <w:rPr>
                <w:szCs w:val="20"/>
                <w:lang w:val="en-US"/>
              </w:rPr>
              <w:t xml:space="preserve">Hydraulic </w:t>
            </w:r>
            <w:r w:rsidR="008247E2">
              <w:rPr>
                <w:szCs w:val="20"/>
                <w:lang w:val="en-US"/>
              </w:rPr>
              <w:t>R</w:t>
            </w:r>
            <w:r w:rsidRPr="00237B1C">
              <w:rPr>
                <w:szCs w:val="20"/>
                <w:lang w:val="en-US"/>
              </w:rPr>
              <w:t>egime</w:t>
            </w:r>
          </w:p>
        </w:tc>
        <w:tc>
          <w:tcPr>
            <w:tcW w:w="429" w:type="pct"/>
            <w:tcBorders>
              <w:top w:val="nil"/>
              <w:left w:val="nil"/>
              <w:bottom w:val="single" w:sz="4" w:space="0" w:color="auto"/>
              <w:right w:val="single" w:sz="4" w:space="0" w:color="auto"/>
            </w:tcBorders>
            <w:shd w:val="clear" w:color="auto" w:fill="auto"/>
            <w:noWrap/>
          </w:tcPr>
          <w:p w14:paraId="1D3D5124" w14:textId="1258D957" w:rsidR="00B91C95" w:rsidRPr="00C67ED2" w:rsidRDefault="00B91C95" w:rsidP="00B91C95">
            <w:pPr>
              <w:pStyle w:val="TableText"/>
              <w:rPr>
                <w:lang w:val="en-US"/>
              </w:rPr>
            </w:pPr>
            <w:r>
              <w:rPr>
                <w:lang w:val="en-US"/>
              </w:rPr>
              <w:t>Y</w:t>
            </w:r>
          </w:p>
        </w:tc>
        <w:tc>
          <w:tcPr>
            <w:tcW w:w="305" w:type="pct"/>
            <w:tcBorders>
              <w:top w:val="nil"/>
              <w:left w:val="nil"/>
              <w:bottom w:val="single" w:sz="4" w:space="0" w:color="auto"/>
              <w:right w:val="single" w:sz="4" w:space="0" w:color="auto"/>
            </w:tcBorders>
            <w:shd w:val="clear" w:color="auto" w:fill="auto"/>
            <w:noWrap/>
          </w:tcPr>
          <w:p w14:paraId="545EA3F9" w14:textId="759690CE" w:rsidR="00B91C95" w:rsidRPr="00C67ED2" w:rsidRDefault="00B91C95" w:rsidP="00B91C95">
            <w:pPr>
              <w:pStyle w:val="TableText"/>
              <w:rPr>
                <w:lang w:val="en-US"/>
              </w:rPr>
            </w:pPr>
            <w:r>
              <w:rPr>
                <w:lang w:val="en-US"/>
              </w:rPr>
              <w:t>Y</w:t>
            </w:r>
          </w:p>
        </w:tc>
        <w:tc>
          <w:tcPr>
            <w:tcW w:w="457" w:type="pct"/>
            <w:tcBorders>
              <w:top w:val="nil"/>
              <w:left w:val="nil"/>
              <w:bottom w:val="single" w:sz="4" w:space="0" w:color="auto"/>
              <w:right w:val="single" w:sz="4" w:space="0" w:color="auto"/>
            </w:tcBorders>
            <w:shd w:val="clear" w:color="auto" w:fill="auto"/>
            <w:noWrap/>
          </w:tcPr>
          <w:p w14:paraId="4DC575C0" w14:textId="2C3E2380" w:rsidR="00B91C95" w:rsidRPr="00C67ED2" w:rsidRDefault="00B91C95" w:rsidP="00B91C95">
            <w:pPr>
              <w:pStyle w:val="TableText"/>
              <w:rPr>
                <w:lang w:val="en-US"/>
              </w:rPr>
            </w:pPr>
            <w:r>
              <w:rPr>
                <w:lang w:val="en-US"/>
              </w:rPr>
              <w:t>Y</w:t>
            </w:r>
          </w:p>
        </w:tc>
        <w:tc>
          <w:tcPr>
            <w:tcW w:w="509" w:type="pct"/>
            <w:tcBorders>
              <w:top w:val="single" w:sz="4" w:space="0" w:color="auto"/>
              <w:left w:val="nil"/>
              <w:bottom w:val="single" w:sz="4" w:space="0" w:color="auto"/>
              <w:right w:val="single" w:sz="4" w:space="0" w:color="auto"/>
            </w:tcBorders>
          </w:tcPr>
          <w:p w14:paraId="0FC4D4B4" w14:textId="77777777" w:rsidR="00B91C95" w:rsidRPr="00421AED" w:rsidRDefault="00B91C95" w:rsidP="00B91C95">
            <w:pPr>
              <w:pStyle w:val="TableText"/>
              <w:rPr>
                <w:highlight w:val="yellow"/>
                <w:lang w:val="en-US"/>
              </w:rPr>
            </w:pPr>
          </w:p>
        </w:tc>
        <w:tc>
          <w:tcPr>
            <w:tcW w:w="457" w:type="pct"/>
            <w:tcBorders>
              <w:top w:val="nil"/>
              <w:left w:val="single" w:sz="4" w:space="0" w:color="auto"/>
              <w:bottom w:val="single" w:sz="4" w:space="0" w:color="auto"/>
              <w:right w:val="single" w:sz="4" w:space="0" w:color="auto"/>
            </w:tcBorders>
            <w:shd w:val="clear" w:color="auto" w:fill="auto"/>
            <w:noWrap/>
          </w:tcPr>
          <w:p w14:paraId="2B432EFA" w14:textId="6F7F0A6E" w:rsidR="00B91C95" w:rsidRPr="00421AED" w:rsidRDefault="00B91C95" w:rsidP="00B91C95">
            <w:pPr>
              <w:pStyle w:val="TableText"/>
              <w:rPr>
                <w:highlight w:val="yellow"/>
                <w:lang w:val="en-US"/>
              </w:rPr>
            </w:pPr>
            <w:r w:rsidRPr="003D3A86">
              <w:rPr>
                <w:lang w:val="en-US"/>
              </w:rPr>
              <w:t>1</w:t>
            </w:r>
            <w:r w:rsidRPr="003D3A86">
              <w:rPr>
                <w:rFonts w:eastAsiaTheme="majorEastAsia"/>
              </w:rPr>
              <w:t>–</w:t>
            </w:r>
            <w:r w:rsidRPr="003D3A86">
              <w:rPr>
                <w:lang w:val="en-US"/>
              </w:rPr>
              <w:t>2 as needed</w:t>
            </w:r>
          </w:p>
        </w:tc>
        <w:tc>
          <w:tcPr>
            <w:tcW w:w="1953" w:type="pct"/>
            <w:tcBorders>
              <w:top w:val="nil"/>
              <w:left w:val="nil"/>
              <w:bottom w:val="single" w:sz="4" w:space="0" w:color="auto"/>
              <w:right w:val="single" w:sz="4" w:space="0" w:color="auto"/>
            </w:tcBorders>
            <w:shd w:val="clear" w:color="auto" w:fill="auto"/>
          </w:tcPr>
          <w:p w14:paraId="4B6DF9B2" w14:textId="49A883AA" w:rsidR="00B91C95" w:rsidRPr="00421AED" w:rsidRDefault="00B91C95" w:rsidP="00B91C95">
            <w:pPr>
              <w:pStyle w:val="TableText"/>
              <w:rPr>
                <w:highlight w:val="yellow"/>
                <w:lang w:val="en-US"/>
              </w:rPr>
            </w:pPr>
            <w:r w:rsidRPr="00C67ED2">
              <w:rPr>
                <w:lang w:val="en-US"/>
              </w:rPr>
              <w:t>Swampland</w:t>
            </w:r>
            <w:r>
              <w:rPr>
                <w:lang w:val="en-US"/>
              </w:rPr>
              <w:t>s</w:t>
            </w:r>
            <w:r w:rsidRPr="00C67ED2">
              <w:rPr>
                <w:lang w:val="en-US"/>
              </w:rPr>
              <w:t xml:space="preserve"> covered by </w:t>
            </w:r>
            <w:r w:rsidR="002A335B" w:rsidRPr="002A335B">
              <w:rPr>
                <w:i/>
                <w:lang w:val="en-US"/>
              </w:rPr>
              <w:t>M</w:t>
            </w:r>
            <w:r w:rsidRPr="002A335B">
              <w:rPr>
                <w:i/>
                <w:lang w:val="en-US"/>
              </w:rPr>
              <w:t xml:space="preserve">atter </w:t>
            </w:r>
            <w:r w:rsidR="002A335B" w:rsidRPr="002A335B">
              <w:rPr>
                <w:i/>
                <w:lang w:val="en-US"/>
              </w:rPr>
              <w:t>T</w:t>
            </w:r>
            <w:r w:rsidRPr="002A335B">
              <w:rPr>
                <w:i/>
                <w:lang w:val="en-US"/>
              </w:rPr>
              <w:t>ransport</w:t>
            </w:r>
            <w:r w:rsidR="002A335B" w:rsidRPr="002A335B">
              <w:rPr>
                <w:i/>
                <w:lang w:val="en-US"/>
              </w:rPr>
              <w:t xml:space="preserve"> and Coorong Habitat</w:t>
            </w:r>
            <w:r w:rsidRPr="00C67ED2">
              <w:rPr>
                <w:lang w:val="en-US"/>
              </w:rPr>
              <w:t xml:space="preserve"> modelling</w:t>
            </w:r>
            <w:r>
              <w:rPr>
                <w:lang w:val="en-US"/>
              </w:rPr>
              <w:t>.</w:t>
            </w:r>
          </w:p>
        </w:tc>
      </w:tr>
      <w:tr w:rsidR="00B91C95" w:rsidRPr="00C67ED2" w14:paraId="1BE9CC47" w14:textId="77777777" w:rsidTr="00077329">
        <w:trPr>
          <w:trHeight w:val="397"/>
        </w:trPr>
        <w:tc>
          <w:tcPr>
            <w:tcW w:w="890" w:type="pct"/>
            <w:tcBorders>
              <w:top w:val="nil"/>
              <w:left w:val="single" w:sz="4" w:space="0" w:color="auto"/>
              <w:bottom w:val="single" w:sz="4" w:space="0" w:color="auto"/>
              <w:right w:val="single" w:sz="4" w:space="0" w:color="auto"/>
            </w:tcBorders>
            <w:shd w:val="clear" w:color="auto" w:fill="auto"/>
            <w:noWrap/>
          </w:tcPr>
          <w:p w14:paraId="62BBD717" w14:textId="39F5A9A2" w:rsidR="00B91C95" w:rsidRPr="00237B1C" w:rsidRDefault="00B91C95" w:rsidP="008247E2">
            <w:pPr>
              <w:pStyle w:val="TableText"/>
              <w:rPr>
                <w:szCs w:val="20"/>
                <w:lang w:val="en-US"/>
              </w:rPr>
            </w:pPr>
            <w:r w:rsidRPr="00237B1C">
              <w:rPr>
                <w:szCs w:val="20"/>
                <w:lang w:val="en-US"/>
              </w:rPr>
              <w:t xml:space="preserve">Matter </w:t>
            </w:r>
            <w:r w:rsidR="008247E2">
              <w:rPr>
                <w:szCs w:val="20"/>
                <w:lang w:val="en-US"/>
              </w:rPr>
              <w:t>Transport and Coorong H</w:t>
            </w:r>
            <w:r w:rsidRPr="00237B1C">
              <w:rPr>
                <w:szCs w:val="20"/>
                <w:lang w:val="en-US"/>
              </w:rPr>
              <w:t>abitat</w:t>
            </w:r>
          </w:p>
        </w:tc>
        <w:tc>
          <w:tcPr>
            <w:tcW w:w="429" w:type="pct"/>
            <w:tcBorders>
              <w:top w:val="nil"/>
              <w:left w:val="nil"/>
              <w:bottom w:val="single" w:sz="4" w:space="0" w:color="auto"/>
              <w:right w:val="single" w:sz="4" w:space="0" w:color="auto"/>
            </w:tcBorders>
            <w:shd w:val="clear" w:color="auto" w:fill="auto"/>
            <w:noWrap/>
          </w:tcPr>
          <w:p w14:paraId="5B378637" w14:textId="77777777" w:rsidR="00B91C95" w:rsidRDefault="00B91C95" w:rsidP="00B91C95">
            <w:pPr>
              <w:pStyle w:val="TableText"/>
              <w:rPr>
                <w:lang w:val="en-US"/>
              </w:rPr>
            </w:pPr>
          </w:p>
        </w:tc>
        <w:tc>
          <w:tcPr>
            <w:tcW w:w="305" w:type="pct"/>
            <w:tcBorders>
              <w:top w:val="nil"/>
              <w:left w:val="nil"/>
              <w:bottom w:val="single" w:sz="4" w:space="0" w:color="auto"/>
              <w:right w:val="single" w:sz="4" w:space="0" w:color="auto"/>
            </w:tcBorders>
            <w:shd w:val="clear" w:color="auto" w:fill="auto"/>
            <w:noWrap/>
          </w:tcPr>
          <w:p w14:paraId="7C24C54B" w14:textId="4AAFD9B7" w:rsidR="00B91C95" w:rsidRDefault="00B91C95" w:rsidP="00B91C95">
            <w:pPr>
              <w:pStyle w:val="TableText"/>
              <w:rPr>
                <w:lang w:val="en-US"/>
              </w:rPr>
            </w:pPr>
            <w:r>
              <w:rPr>
                <w:lang w:val="en-US"/>
              </w:rPr>
              <w:t>Y</w:t>
            </w:r>
          </w:p>
        </w:tc>
        <w:tc>
          <w:tcPr>
            <w:tcW w:w="457" w:type="pct"/>
            <w:tcBorders>
              <w:top w:val="nil"/>
              <w:left w:val="nil"/>
              <w:bottom w:val="single" w:sz="4" w:space="0" w:color="auto"/>
              <w:right w:val="single" w:sz="4" w:space="0" w:color="auto"/>
            </w:tcBorders>
            <w:shd w:val="clear" w:color="auto" w:fill="auto"/>
            <w:noWrap/>
          </w:tcPr>
          <w:p w14:paraId="29B1BBDE" w14:textId="57401CAB" w:rsidR="00B91C95" w:rsidRDefault="00B91C95" w:rsidP="00B91C95">
            <w:pPr>
              <w:pStyle w:val="TableText"/>
              <w:rPr>
                <w:lang w:val="en-US"/>
              </w:rPr>
            </w:pPr>
            <w:r>
              <w:rPr>
                <w:lang w:val="en-US"/>
              </w:rPr>
              <w:t>Y</w:t>
            </w:r>
          </w:p>
        </w:tc>
        <w:tc>
          <w:tcPr>
            <w:tcW w:w="509" w:type="pct"/>
            <w:tcBorders>
              <w:top w:val="single" w:sz="4" w:space="0" w:color="auto"/>
              <w:left w:val="nil"/>
              <w:bottom w:val="single" w:sz="4" w:space="0" w:color="auto"/>
              <w:right w:val="single" w:sz="4" w:space="0" w:color="auto"/>
            </w:tcBorders>
          </w:tcPr>
          <w:p w14:paraId="22810399" w14:textId="5198A822" w:rsidR="00B91C95" w:rsidRPr="00421AED" w:rsidRDefault="00B91C95" w:rsidP="00B91C95">
            <w:pPr>
              <w:pStyle w:val="TableText"/>
              <w:rPr>
                <w:highlight w:val="yellow"/>
                <w:lang w:val="en-US"/>
              </w:rPr>
            </w:pPr>
            <w:r>
              <w:rPr>
                <w:lang w:val="en-US"/>
              </w:rPr>
              <w:t>Y</w:t>
            </w:r>
          </w:p>
        </w:tc>
        <w:tc>
          <w:tcPr>
            <w:tcW w:w="457" w:type="pct"/>
            <w:tcBorders>
              <w:top w:val="nil"/>
              <w:left w:val="single" w:sz="4" w:space="0" w:color="auto"/>
              <w:bottom w:val="single" w:sz="4" w:space="0" w:color="auto"/>
              <w:right w:val="single" w:sz="4" w:space="0" w:color="auto"/>
            </w:tcBorders>
            <w:shd w:val="clear" w:color="auto" w:fill="auto"/>
            <w:noWrap/>
          </w:tcPr>
          <w:p w14:paraId="4A73D727" w14:textId="6876FC49" w:rsidR="00B91C95" w:rsidRPr="00421AED" w:rsidRDefault="00B91C95" w:rsidP="00B91C95">
            <w:pPr>
              <w:pStyle w:val="TableText"/>
              <w:rPr>
                <w:highlight w:val="yellow"/>
                <w:lang w:val="en-US"/>
              </w:rPr>
            </w:pPr>
            <w:r w:rsidRPr="00C67ED2">
              <w:rPr>
                <w:lang w:val="en-US"/>
              </w:rPr>
              <w:t>N/A</w:t>
            </w:r>
          </w:p>
        </w:tc>
        <w:tc>
          <w:tcPr>
            <w:tcW w:w="1953" w:type="pct"/>
            <w:tcBorders>
              <w:top w:val="nil"/>
              <w:left w:val="nil"/>
              <w:bottom w:val="single" w:sz="4" w:space="0" w:color="auto"/>
              <w:right w:val="single" w:sz="4" w:space="0" w:color="auto"/>
            </w:tcBorders>
            <w:shd w:val="clear" w:color="auto" w:fill="auto"/>
          </w:tcPr>
          <w:p w14:paraId="5911D373" w14:textId="5CBAE1BF" w:rsidR="00B91C95" w:rsidRPr="00C67ED2" w:rsidRDefault="00B91C95" w:rsidP="00B91C95">
            <w:pPr>
              <w:pStyle w:val="TableText"/>
              <w:rPr>
                <w:lang w:val="en-US"/>
              </w:rPr>
            </w:pPr>
            <w:r>
              <w:rPr>
                <w:lang w:val="en-US"/>
              </w:rPr>
              <w:t xml:space="preserve">Modelling covers </w:t>
            </w:r>
            <w:r w:rsidRPr="00C67ED2">
              <w:rPr>
                <w:lang w:val="en-US"/>
              </w:rPr>
              <w:t>Lock 1 to Wellington</w:t>
            </w:r>
            <w:r>
              <w:rPr>
                <w:lang w:val="en-US"/>
              </w:rPr>
              <w:t xml:space="preserve">, the </w:t>
            </w:r>
            <w:r w:rsidRPr="00C67ED2">
              <w:rPr>
                <w:lang w:val="en-US"/>
              </w:rPr>
              <w:t>Coorong and Lower Lakes</w:t>
            </w:r>
            <w:r>
              <w:rPr>
                <w:lang w:val="en-US"/>
              </w:rPr>
              <w:t>.</w:t>
            </w:r>
          </w:p>
        </w:tc>
      </w:tr>
      <w:tr w:rsidR="00B91C95" w:rsidRPr="00C67ED2" w14:paraId="4B33AAD0" w14:textId="77777777" w:rsidTr="00077329">
        <w:trPr>
          <w:trHeight w:val="397"/>
        </w:trPr>
        <w:tc>
          <w:tcPr>
            <w:tcW w:w="890" w:type="pct"/>
            <w:tcBorders>
              <w:top w:val="nil"/>
              <w:left w:val="single" w:sz="4" w:space="0" w:color="auto"/>
              <w:bottom w:val="single" w:sz="4" w:space="0" w:color="auto"/>
              <w:right w:val="single" w:sz="4" w:space="0" w:color="auto"/>
            </w:tcBorders>
            <w:shd w:val="clear" w:color="auto" w:fill="auto"/>
            <w:noWrap/>
          </w:tcPr>
          <w:p w14:paraId="45F2BB8A" w14:textId="42DB1DA5" w:rsidR="00B91C95" w:rsidRPr="00237B1C" w:rsidRDefault="008247E2" w:rsidP="00B91C95">
            <w:pPr>
              <w:spacing w:after="0"/>
              <w:rPr>
                <w:rFonts w:ascii="Calibri" w:hAnsi="Calibri" w:cs="Calibri"/>
                <w:sz w:val="20"/>
              </w:rPr>
            </w:pPr>
            <w:r>
              <w:rPr>
                <w:rFonts w:ascii="Calibri" w:hAnsi="Calibri" w:cs="Calibri"/>
                <w:sz w:val="20"/>
              </w:rPr>
              <w:t>Littoral V</w:t>
            </w:r>
            <w:r w:rsidR="00B91C95" w:rsidRPr="00237B1C">
              <w:rPr>
                <w:rFonts w:ascii="Calibri" w:hAnsi="Calibri" w:cs="Calibri"/>
                <w:sz w:val="20"/>
              </w:rPr>
              <w:t xml:space="preserve">egetation </w:t>
            </w:r>
            <w:r>
              <w:rPr>
                <w:rFonts w:ascii="Calibri" w:hAnsi="Calibri" w:cs="Calibri"/>
                <w:sz w:val="20"/>
              </w:rPr>
              <w:t>D</w:t>
            </w:r>
            <w:r w:rsidR="00B91C95" w:rsidRPr="00237B1C">
              <w:rPr>
                <w:rFonts w:ascii="Calibri" w:hAnsi="Calibri" w:cs="Calibri"/>
                <w:sz w:val="20"/>
              </w:rPr>
              <w:t xml:space="preserve">iversity </w:t>
            </w:r>
          </w:p>
          <w:p w14:paraId="0A6D867A" w14:textId="6E1C3899" w:rsidR="00B91C95" w:rsidRPr="00237B1C" w:rsidRDefault="00B91C95" w:rsidP="008247E2">
            <w:pPr>
              <w:pStyle w:val="TableText"/>
              <w:rPr>
                <w:szCs w:val="20"/>
                <w:lang w:val="en-US"/>
              </w:rPr>
            </w:pPr>
            <w:r w:rsidRPr="00237B1C">
              <w:rPr>
                <w:rFonts w:ascii="Calibri" w:hAnsi="Calibri" w:cs="Calibri"/>
                <w:szCs w:val="20"/>
              </w:rPr>
              <w:t xml:space="preserve">and </w:t>
            </w:r>
            <w:r w:rsidR="008247E2">
              <w:rPr>
                <w:rFonts w:ascii="Calibri" w:hAnsi="Calibri" w:cs="Calibri"/>
                <w:szCs w:val="20"/>
              </w:rPr>
              <w:t>P</w:t>
            </w:r>
            <w:r w:rsidRPr="00237B1C">
              <w:rPr>
                <w:rFonts w:ascii="Calibri" w:hAnsi="Calibri" w:cs="Calibri"/>
                <w:szCs w:val="20"/>
              </w:rPr>
              <w:t>roductivity</w:t>
            </w:r>
          </w:p>
        </w:tc>
        <w:tc>
          <w:tcPr>
            <w:tcW w:w="429" w:type="pct"/>
            <w:tcBorders>
              <w:top w:val="nil"/>
              <w:left w:val="nil"/>
              <w:bottom w:val="single" w:sz="4" w:space="0" w:color="auto"/>
              <w:right w:val="single" w:sz="4" w:space="0" w:color="auto"/>
            </w:tcBorders>
            <w:shd w:val="clear" w:color="auto" w:fill="auto"/>
            <w:noWrap/>
          </w:tcPr>
          <w:p w14:paraId="26CCA0F5" w14:textId="1402AC29" w:rsidR="00B91C95" w:rsidRDefault="00B91C95" w:rsidP="00B91C95">
            <w:pPr>
              <w:pStyle w:val="TableText"/>
              <w:rPr>
                <w:lang w:val="en-US"/>
              </w:rPr>
            </w:pPr>
            <w:r>
              <w:rPr>
                <w:lang w:val="en-US"/>
              </w:rPr>
              <w:t>Y</w:t>
            </w:r>
          </w:p>
        </w:tc>
        <w:tc>
          <w:tcPr>
            <w:tcW w:w="305" w:type="pct"/>
            <w:tcBorders>
              <w:top w:val="nil"/>
              <w:left w:val="nil"/>
              <w:bottom w:val="single" w:sz="4" w:space="0" w:color="auto"/>
              <w:right w:val="single" w:sz="4" w:space="0" w:color="auto"/>
            </w:tcBorders>
            <w:shd w:val="clear" w:color="auto" w:fill="auto"/>
            <w:noWrap/>
          </w:tcPr>
          <w:p w14:paraId="1347980B" w14:textId="4593538C" w:rsidR="00B91C95" w:rsidRDefault="00B91C95" w:rsidP="00B91C95">
            <w:pPr>
              <w:pStyle w:val="TableText"/>
              <w:rPr>
                <w:lang w:val="en-US"/>
              </w:rPr>
            </w:pPr>
            <w:r>
              <w:rPr>
                <w:lang w:val="en-US"/>
              </w:rPr>
              <w:t>Y</w:t>
            </w:r>
          </w:p>
        </w:tc>
        <w:tc>
          <w:tcPr>
            <w:tcW w:w="457" w:type="pct"/>
            <w:tcBorders>
              <w:top w:val="nil"/>
              <w:left w:val="nil"/>
              <w:bottom w:val="single" w:sz="4" w:space="0" w:color="auto"/>
              <w:right w:val="single" w:sz="4" w:space="0" w:color="auto"/>
            </w:tcBorders>
            <w:shd w:val="clear" w:color="auto" w:fill="auto"/>
            <w:noWrap/>
          </w:tcPr>
          <w:p w14:paraId="3CA0AAF3" w14:textId="77777777" w:rsidR="00B91C95" w:rsidRDefault="00B91C95" w:rsidP="00B91C95">
            <w:pPr>
              <w:pStyle w:val="TableText"/>
              <w:rPr>
                <w:lang w:val="en-US"/>
              </w:rPr>
            </w:pPr>
          </w:p>
        </w:tc>
        <w:tc>
          <w:tcPr>
            <w:tcW w:w="509" w:type="pct"/>
            <w:tcBorders>
              <w:top w:val="single" w:sz="4" w:space="0" w:color="auto"/>
              <w:left w:val="nil"/>
              <w:bottom w:val="single" w:sz="4" w:space="0" w:color="auto"/>
              <w:right w:val="single" w:sz="4" w:space="0" w:color="auto"/>
            </w:tcBorders>
          </w:tcPr>
          <w:p w14:paraId="7ACAF4A8" w14:textId="77777777" w:rsidR="00B91C95" w:rsidRPr="00421AED" w:rsidRDefault="00B91C95" w:rsidP="00B91C95">
            <w:pPr>
              <w:pStyle w:val="TableText"/>
              <w:rPr>
                <w:highlight w:val="yellow"/>
                <w:lang w:val="en-US"/>
              </w:rPr>
            </w:pPr>
          </w:p>
        </w:tc>
        <w:tc>
          <w:tcPr>
            <w:tcW w:w="457" w:type="pct"/>
            <w:tcBorders>
              <w:top w:val="nil"/>
              <w:left w:val="single" w:sz="4" w:space="0" w:color="auto"/>
              <w:bottom w:val="single" w:sz="4" w:space="0" w:color="auto"/>
              <w:right w:val="single" w:sz="4" w:space="0" w:color="auto"/>
            </w:tcBorders>
            <w:shd w:val="clear" w:color="auto" w:fill="auto"/>
            <w:noWrap/>
          </w:tcPr>
          <w:p w14:paraId="5718BCB4" w14:textId="2D576975" w:rsidR="00B91C95" w:rsidRPr="00421AED" w:rsidRDefault="004E3EFB" w:rsidP="00B91C95">
            <w:pPr>
              <w:pStyle w:val="TableText"/>
              <w:rPr>
                <w:highlight w:val="yellow"/>
                <w:lang w:val="en-US"/>
              </w:rPr>
            </w:pPr>
            <w:r>
              <w:rPr>
                <w:lang w:val="en-US"/>
              </w:rPr>
              <w:t>2 with a minimum of 5 transects/ site</w:t>
            </w:r>
          </w:p>
        </w:tc>
        <w:tc>
          <w:tcPr>
            <w:tcW w:w="1953" w:type="pct"/>
            <w:tcBorders>
              <w:top w:val="nil"/>
              <w:left w:val="nil"/>
              <w:bottom w:val="single" w:sz="4" w:space="0" w:color="auto"/>
              <w:right w:val="single" w:sz="4" w:space="0" w:color="auto"/>
            </w:tcBorders>
            <w:shd w:val="clear" w:color="auto" w:fill="auto"/>
          </w:tcPr>
          <w:p w14:paraId="6B0C1FFA" w14:textId="71469DB8" w:rsidR="00B91C95" w:rsidRPr="00C67ED2" w:rsidRDefault="00B03FB1" w:rsidP="00615FF0">
            <w:pPr>
              <w:pStyle w:val="TableText"/>
              <w:rPr>
                <w:lang w:val="en-US"/>
              </w:rPr>
            </w:pPr>
            <w:r>
              <w:rPr>
                <w:lang w:val="en-US"/>
              </w:rPr>
              <w:t>Sampling will focus on weir tailwaters. Timing of sampling will depend on timing and volume of environmental water delivery and will be undertaken after water levels have returned to pool level.</w:t>
            </w:r>
          </w:p>
        </w:tc>
      </w:tr>
      <w:tr w:rsidR="00B91C95" w:rsidRPr="00C67ED2" w14:paraId="07A53DA6" w14:textId="77777777" w:rsidTr="00077329">
        <w:trPr>
          <w:trHeight w:val="397"/>
        </w:trPr>
        <w:tc>
          <w:tcPr>
            <w:tcW w:w="890" w:type="pct"/>
            <w:tcBorders>
              <w:top w:val="nil"/>
              <w:left w:val="single" w:sz="4" w:space="0" w:color="auto"/>
              <w:bottom w:val="single" w:sz="4" w:space="0" w:color="auto"/>
              <w:right w:val="single" w:sz="4" w:space="0" w:color="auto"/>
            </w:tcBorders>
            <w:shd w:val="clear" w:color="auto" w:fill="auto"/>
            <w:noWrap/>
          </w:tcPr>
          <w:p w14:paraId="45835C53" w14:textId="3CD7966B" w:rsidR="00B91C95" w:rsidRPr="00237B1C" w:rsidRDefault="008247E2" w:rsidP="008247E2">
            <w:pPr>
              <w:spacing w:after="0"/>
              <w:rPr>
                <w:rFonts w:ascii="Calibri" w:hAnsi="Calibri" w:cs="Calibri"/>
                <w:sz w:val="20"/>
              </w:rPr>
            </w:pPr>
            <w:r>
              <w:rPr>
                <w:sz w:val="20"/>
                <w:lang w:val="en-US"/>
              </w:rPr>
              <w:t>Micro</w:t>
            </w:r>
            <w:r w:rsidR="00B91C95" w:rsidRPr="00237B1C">
              <w:rPr>
                <w:sz w:val="20"/>
                <w:lang w:val="en-US"/>
              </w:rPr>
              <w:t xml:space="preserve">invertebrate </w:t>
            </w:r>
            <w:r>
              <w:rPr>
                <w:sz w:val="20"/>
                <w:lang w:val="en-US"/>
              </w:rPr>
              <w:t>Assemblage</w:t>
            </w:r>
          </w:p>
        </w:tc>
        <w:tc>
          <w:tcPr>
            <w:tcW w:w="429" w:type="pct"/>
            <w:tcBorders>
              <w:top w:val="nil"/>
              <w:left w:val="nil"/>
              <w:bottom w:val="single" w:sz="4" w:space="0" w:color="auto"/>
              <w:right w:val="single" w:sz="4" w:space="0" w:color="auto"/>
            </w:tcBorders>
            <w:shd w:val="clear" w:color="auto" w:fill="auto"/>
            <w:noWrap/>
          </w:tcPr>
          <w:p w14:paraId="5B79BD7C" w14:textId="64481911" w:rsidR="00B91C95" w:rsidRDefault="00B91C95" w:rsidP="00B91C95">
            <w:pPr>
              <w:pStyle w:val="TableText"/>
              <w:rPr>
                <w:lang w:val="en-US"/>
              </w:rPr>
            </w:pPr>
            <w:r>
              <w:rPr>
                <w:lang w:val="en-US"/>
              </w:rPr>
              <w:t>Y</w:t>
            </w:r>
          </w:p>
        </w:tc>
        <w:tc>
          <w:tcPr>
            <w:tcW w:w="305" w:type="pct"/>
            <w:tcBorders>
              <w:top w:val="nil"/>
              <w:left w:val="nil"/>
              <w:bottom w:val="single" w:sz="4" w:space="0" w:color="auto"/>
              <w:right w:val="single" w:sz="4" w:space="0" w:color="auto"/>
            </w:tcBorders>
            <w:shd w:val="clear" w:color="auto" w:fill="auto"/>
            <w:noWrap/>
          </w:tcPr>
          <w:p w14:paraId="68671603" w14:textId="3CF6844E" w:rsidR="00B91C95" w:rsidRDefault="00B91C95" w:rsidP="00B91C95">
            <w:pPr>
              <w:pStyle w:val="TableText"/>
              <w:rPr>
                <w:lang w:val="en-US"/>
              </w:rPr>
            </w:pPr>
            <w:r>
              <w:rPr>
                <w:lang w:val="en-US"/>
              </w:rPr>
              <w:t>Y</w:t>
            </w:r>
          </w:p>
        </w:tc>
        <w:tc>
          <w:tcPr>
            <w:tcW w:w="457" w:type="pct"/>
            <w:tcBorders>
              <w:top w:val="nil"/>
              <w:left w:val="nil"/>
              <w:bottom w:val="single" w:sz="4" w:space="0" w:color="auto"/>
              <w:right w:val="single" w:sz="4" w:space="0" w:color="auto"/>
            </w:tcBorders>
            <w:shd w:val="clear" w:color="auto" w:fill="auto"/>
            <w:noWrap/>
          </w:tcPr>
          <w:p w14:paraId="55C4545E" w14:textId="77777777" w:rsidR="00B91C95" w:rsidRDefault="00B91C95" w:rsidP="00B91C95">
            <w:pPr>
              <w:pStyle w:val="TableText"/>
              <w:rPr>
                <w:lang w:val="en-US"/>
              </w:rPr>
            </w:pPr>
          </w:p>
        </w:tc>
        <w:tc>
          <w:tcPr>
            <w:tcW w:w="509" w:type="pct"/>
            <w:tcBorders>
              <w:top w:val="single" w:sz="4" w:space="0" w:color="auto"/>
              <w:left w:val="nil"/>
              <w:bottom w:val="single" w:sz="4" w:space="0" w:color="auto"/>
              <w:right w:val="single" w:sz="4" w:space="0" w:color="auto"/>
            </w:tcBorders>
          </w:tcPr>
          <w:p w14:paraId="67E58DD6" w14:textId="77777777" w:rsidR="00B91C95" w:rsidRPr="00421AED" w:rsidRDefault="00B91C95" w:rsidP="00B91C95">
            <w:pPr>
              <w:pStyle w:val="TableText"/>
              <w:rPr>
                <w:highlight w:val="yellow"/>
                <w:lang w:val="en-US"/>
              </w:rPr>
            </w:pPr>
          </w:p>
        </w:tc>
        <w:tc>
          <w:tcPr>
            <w:tcW w:w="457" w:type="pct"/>
            <w:tcBorders>
              <w:top w:val="nil"/>
              <w:left w:val="single" w:sz="4" w:space="0" w:color="auto"/>
              <w:bottom w:val="single" w:sz="4" w:space="0" w:color="auto"/>
              <w:right w:val="single" w:sz="4" w:space="0" w:color="auto"/>
            </w:tcBorders>
            <w:shd w:val="clear" w:color="auto" w:fill="auto"/>
            <w:noWrap/>
          </w:tcPr>
          <w:p w14:paraId="6C7F35F6" w14:textId="583E8A16" w:rsidR="00B91C95" w:rsidRDefault="00B91C95" w:rsidP="00B91C95">
            <w:pPr>
              <w:pStyle w:val="TableText"/>
              <w:rPr>
                <w:lang w:val="en-US"/>
              </w:rPr>
            </w:pPr>
            <w:r>
              <w:rPr>
                <w:lang w:val="en-US"/>
              </w:rPr>
              <w:t>3</w:t>
            </w:r>
          </w:p>
        </w:tc>
        <w:tc>
          <w:tcPr>
            <w:tcW w:w="1953" w:type="pct"/>
            <w:tcBorders>
              <w:top w:val="nil"/>
              <w:left w:val="nil"/>
              <w:bottom w:val="single" w:sz="4" w:space="0" w:color="auto"/>
              <w:right w:val="single" w:sz="4" w:space="0" w:color="auto"/>
            </w:tcBorders>
            <w:shd w:val="clear" w:color="auto" w:fill="auto"/>
          </w:tcPr>
          <w:p w14:paraId="67461BCC" w14:textId="16E5EF1D" w:rsidR="00B91C95" w:rsidRDefault="00B91C95" w:rsidP="00615FF0">
            <w:pPr>
              <w:pStyle w:val="TableText"/>
              <w:rPr>
                <w:lang w:val="en-US"/>
              </w:rPr>
            </w:pPr>
            <w:r>
              <w:rPr>
                <w:lang w:val="en-US"/>
              </w:rPr>
              <w:t xml:space="preserve">This will be conducted in conjunction with </w:t>
            </w:r>
            <w:r w:rsidR="00615FF0" w:rsidRPr="00615FF0">
              <w:rPr>
                <w:i/>
                <w:lang w:val="en-US"/>
              </w:rPr>
              <w:t>Stream M</w:t>
            </w:r>
            <w:r w:rsidRPr="00615FF0">
              <w:rPr>
                <w:i/>
                <w:lang w:val="en-US"/>
              </w:rPr>
              <w:t>etabolism</w:t>
            </w:r>
            <w:r w:rsidR="00615FF0" w:rsidRPr="00615FF0">
              <w:rPr>
                <w:i/>
                <w:lang w:val="en-US"/>
              </w:rPr>
              <w:t xml:space="preserve"> and Water Quality</w:t>
            </w:r>
            <w:r>
              <w:rPr>
                <w:lang w:val="en-US"/>
              </w:rPr>
              <w:t xml:space="preserve"> at</w:t>
            </w:r>
            <w:r w:rsidRPr="00C67ED2">
              <w:rPr>
                <w:lang w:val="en-US"/>
              </w:rPr>
              <w:t xml:space="preserve"> sites</w:t>
            </w:r>
            <w:r>
              <w:rPr>
                <w:lang w:val="en-US"/>
              </w:rPr>
              <w:t xml:space="preserve"> approx.</w:t>
            </w:r>
            <w:r w:rsidRPr="00C67ED2">
              <w:rPr>
                <w:lang w:val="en-US"/>
              </w:rPr>
              <w:t xml:space="preserve"> 5</w:t>
            </w:r>
            <w:r>
              <w:rPr>
                <w:lang w:val="en-US"/>
              </w:rPr>
              <w:t> </w:t>
            </w:r>
            <w:r w:rsidRPr="00C67ED2">
              <w:rPr>
                <w:lang w:val="en-US"/>
              </w:rPr>
              <w:t>km below Lock 1</w:t>
            </w:r>
            <w:r>
              <w:rPr>
                <w:lang w:val="en-US"/>
              </w:rPr>
              <w:t xml:space="preserve"> (Gorge zone), Lock 4</w:t>
            </w:r>
            <w:r w:rsidRPr="00C67ED2">
              <w:rPr>
                <w:lang w:val="en-US"/>
              </w:rPr>
              <w:t xml:space="preserve"> and Lock 6</w:t>
            </w:r>
            <w:r>
              <w:rPr>
                <w:lang w:val="en-US"/>
              </w:rPr>
              <w:t xml:space="preserve"> (Floodplain zone).</w:t>
            </w:r>
          </w:p>
        </w:tc>
      </w:tr>
      <w:tr w:rsidR="00077329" w:rsidRPr="00C67ED2" w14:paraId="14C683C3" w14:textId="77777777" w:rsidTr="003856B9">
        <w:trPr>
          <w:trHeight w:val="397"/>
        </w:trPr>
        <w:tc>
          <w:tcPr>
            <w:tcW w:w="890" w:type="pct"/>
            <w:tcBorders>
              <w:top w:val="single" w:sz="4" w:space="0" w:color="auto"/>
              <w:left w:val="single" w:sz="4" w:space="0" w:color="auto"/>
              <w:bottom w:val="single" w:sz="4" w:space="0" w:color="auto"/>
              <w:right w:val="single" w:sz="4" w:space="0" w:color="auto"/>
            </w:tcBorders>
            <w:shd w:val="clear" w:color="000000" w:fill="FFFFFF"/>
            <w:noWrap/>
            <w:hideMark/>
          </w:tcPr>
          <w:p w14:paraId="467C208A" w14:textId="02B98698" w:rsidR="00B91C95" w:rsidRPr="00237B1C" w:rsidRDefault="008C1585" w:rsidP="009641A5">
            <w:pPr>
              <w:pStyle w:val="TableText"/>
              <w:tabs>
                <w:tab w:val="left" w:pos="381"/>
              </w:tabs>
              <w:rPr>
                <w:szCs w:val="20"/>
                <w:lang w:val="en-US"/>
              </w:rPr>
            </w:pPr>
            <w:r w:rsidRPr="008C1585">
              <w:rPr>
                <w:szCs w:val="20"/>
                <w:lang w:val="en-US"/>
              </w:rPr>
              <w:t>Flow-cued Spawning Fish Recruitment</w:t>
            </w:r>
          </w:p>
        </w:tc>
        <w:tc>
          <w:tcPr>
            <w:tcW w:w="429" w:type="pct"/>
            <w:tcBorders>
              <w:top w:val="nil"/>
              <w:left w:val="nil"/>
              <w:bottom w:val="single" w:sz="4" w:space="0" w:color="auto"/>
              <w:right w:val="single" w:sz="4" w:space="0" w:color="auto"/>
            </w:tcBorders>
            <w:shd w:val="clear" w:color="auto" w:fill="auto"/>
            <w:noWrap/>
            <w:hideMark/>
          </w:tcPr>
          <w:p w14:paraId="22F92E31" w14:textId="77777777" w:rsidR="00B91C95" w:rsidRPr="00C67ED2" w:rsidRDefault="00B91C95" w:rsidP="00B91C95">
            <w:pPr>
              <w:pStyle w:val="TableText"/>
              <w:rPr>
                <w:lang w:val="en-US"/>
              </w:rPr>
            </w:pPr>
            <w:r>
              <w:rPr>
                <w:lang w:val="en-US"/>
              </w:rPr>
              <w:t>Y</w:t>
            </w:r>
          </w:p>
        </w:tc>
        <w:tc>
          <w:tcPr>
            <w:tcW w:w="305" w:type="pct"/>
            <w:tcBorders>
              <w:top w:val="nil"/>
              <w:left w:val="nil"/>
              <w:bottom w:val="single" w:sz="4" w:space="0" w:color="auto"/>
              <w:right w:val="single" w:sz="4" w:space="0" w:color="auto"/>
            </w:tcBorders>
            <w:shd w:val="clear" w:color="auto" w:fill="auto"/>
            <w:noWrap/>
            <w:hideMark/>
          </w:tcPr>
          <w:p w14:paraId="4C6DE265" w14:textId="77777777" w:rsidR="00B91C95" w:rsidRPr="00C67ED2" w:rsidRDefault="00B91C95" w:rsidP="00B91C95">
            <w:pPr>
              <w:pStyle w:val="TableText"/>
              <w:rPr>
                <w:lang w:val="en-US"/>
              </w:rPr>
            </w:pPr>
            <w:r>
              <w:rPr>
                <w:lang w:val="en-US"/>
              </w:rPr>
              <w:t>Y</w:t>
            </w:r>
          </w:p>
        </w:tc>
        <w:tc>
          <w:tcPr>
            <w:tcW w:w="457" w:type="pct"/>
            <w:tcBorders>
              <w:top w:val="single" w:sz="4" w:space="0" w:color="auto"/>
              <w:left w:val="nil"/>
              <w:bottom w:val="single" w:sz="4" w:space="0" w:color="auto"/>
              <w:right w:val="single" w:sz="4" w:space="0" w:color="auto"/>
            </w:tcBorders>
            <w:shd w:val="clear" w:color="auto" w:fill="auto"/>
            <w:noWrap/>
            <w:hideMark/>
          </w:tcPr>
          <w:p w14:paraId="2E93194E" w14:textId="77777777" w:rsidR="00B91C95" w:rsidRPr="00C67ED2" w:rsidRDefault="00B91C95" w:rsidP="00B91C95">
            <w:pPr>
              <w:pStyle w:val="TableText"/>
              <w:rPr>
                <w:lang w:val="en-US"/>
              </w:rPr>
            </w:pPr>
          </w:p>
        </w:tc>
        <w:tc>
          <w:tcPr>
            <w:tcW w:w="509" w:type="pct"/>
            <w:tcBorders>
              <w:top w:val="single" w:sz="4" w:space="0" w:color="auto"/>
              <w:left w:val="nil"/>
              <w:bottom w:val="single" w:sz="4" w:space="0" w:color="auto"/>
              <w:right w:val="single" w:sz="4" w:space="0" w:color="auto"/>
            </w:tcBorders>
          </w:tcPr>
          <w:p w14:paraId="502CAF5D" w14:textId="77777777" w:rsidR="00B91C95" w:rsidRPr="00C67ED2" w:rsidRDefault="00B91C95" w:rsidP="00B91C95">
            <w:pPr>
              <w:pStyle w:val="TableText"/>
              <w:rPr>
                <w:lang w:val="en-US"/>
              </w:rPr>
            </w:pPr>
          </w:p>
        </w:tc>
        <w:tc>
          <w:tcPr>
            <w:tcW w:w="457" w:type="pct"/>
            <w:tcBorders>
              <w:top w:val="single" w:sz="4" w:space="0" w:color="auto"/>
              <w:left w:val="single" w:sz="4" w:space="0" w:color="auto"/>
              <w:bottom w:val="single" w:sz="4" w:space="0" w:color="auto"/>
              <w:right w:val="single" w:sz="4" w:space="0" w:color="auto"/>
            </w:tcBorders>
            <w:shd w:val="clear" w:color="000000" w:fill="FFFFFF"/>
            <w:noWrap/>
            <w:hideMark/>
          </w:tcPr>
          <w:p w14:paraId="5C3E8C4B" w14:textId="57576E3B" w:rsidR="00B91C95" w:rsidRPr="00C67ED2" w:rsidRDefault="00B91C95" w:rsidP="00B91C95">
            <w:pPr>
              <w:pStyle w:val="TableText"/>
              <w:rPr>
                <w:lang w:val="en-US"/>
              </w:rPr>
            </w:pPr>
            <w:r w:rsidRPr="00C67ED2">
              <w:rPr>
                <w:lang w:val="en-US"/>
              </w:rPr>
              <w:t>&gt;</w:t>
            </w:r>
            <w:r>
              <w:rPr>
                <w:lang w:val="en-US"/>
              </w:rPr>
              <w:t>6/zone</w:t>
            </w:r>
          </w:p>
        </w:tc>
        <w:tc>
          <w:tcPr>
            <w:tcW w:w="1953" w:type="pct"/>
            <w:tcBorders>
              <w:top w:val="single" w:sz="4" w:space="0" w:color="auto"/>
              <w:left w:val="nil"/>
              <w:bottom w:val="single" w:sz="4" w:space="0" w:color="auto"/>
              <w:right w:val="single" w:sz="4" w:space="0" w:color="auto"/>
            </w:tcBorders>
            <w:shd w:val="clear" w:color="000000" w:fill="FFFFFF"/>
            <w:hideMark/>
          </w:tcPr>
          <w:p w14:paraId="6698F39C" w14:textId="0F9E4B4D" w:rsidR="00B91C95" w:rsidRPr="00C67ED2" w:rsidRDefault="009641A5" w:rsidP="00B91C95">
            <w:pPr>
              <w:pStyle w:val="TableText"/>
              <w:rPr>
                <w:lang w:val="en-US"/>
              </w:rPr>
            </w:pPr>
            <w:r>
              <w:rPr>
                <w:lang w:val="en-US"/>
              </w:rPr>
              <w:t xml:space="preserve">Samples collected through </w:t>
            </w:r>
            <w:r w:rsidRPr="003856B9">
              <w:rPr>
                <w:i/>
                <w:lang w:val="en-US"/>
              </w:rPr>
              <w:t xml:space="preserve">Fish (Channel) </w:t>
            </w:r>
            <w:r>
              <w:rPr>
                <w:lang w:val="en-US"/>
              </w:rPr>
              <w:t xml:space="preserve">and </w:t>
            </w:r>
            <w:r w:rsidRPr="003856B9">
              <w:rPr>
                <w:i/>
                <w:lang w:val="en-US"/>
              </w:rPr>
              <w:t>Murray Cod Recruitment</w:t>
            </w:r>
            <w:r>
              <w:rPr>
                <w:lang w:val="en-US"/>
              </w:rPr>
              <w:t xml:space="preserve"> sampling. </w:t>
            </w:r>
            <w:r w:rsidR="00B91C95">
              <w:rPr>
                <w:lang w:val="en-US"/>
              </w:rPr>
              <w:t>Sites spread throughout Gorge and Floodplain</w:t>
            </w:r>
            <w:r w:rsidR="00B91C95" w:rsidRPr="00C67ED2">
              <w:rPr>
                <w:lang w:val="en-US"/>
              </w:rPr>
              <w:t xml:space="preserve"> </w:t>
            </w:r>
            <w:r w:rsidR="00B91C95">
              <w:rPr>
                <w:lang w:val="en-US"/>
              </w:rPr>
              <w:t>zone</w:t>
            </w:r>
            <w:r w:rsidR="00B91C95" w:rsidRPr="00C67ED2">
              <w:rPr>
                <w:lang w:val="en-US"/>
              </w:rPr>
              <w:t>s</w:t>
            </w:r>
            <w:r w:rsidR="00B91C95">
              <w:rPr>
                <w:lang w:val="en-US"/>
              </w:rPr>
              <w:t>.</w:t>
            </w:r>
          </w:p>
        </w:tc>
      </w:tr>
      <w:tr w:rsidR="00B91C95" w:rsidRPr="00C67ED2" w14:paraId="74BD1BCD" w14:textId="77777777" w:rsidTr="00077329">
        <w:trPr>
          <w:trHeight w:val="1133"/>
        </w:trPr>
        <w:tc>
          <w:tcPr>
            <w:tcW w:w="890" w:type="pct"/>
            <w:vMerge w:val="restart"/>
            <w:tcBorders>
              <w:top w:val="single" w:sz="4" w:space="0" w:color="auto"/>
              <w:left w:val="single" w:sz="4" w:space="0" w:color="auto"/>
              <w:bottom w:val="single" w:sz="4" w:space="0" w:color="auto"/>
              <w:right w:val="single" w:sz="4" w:space="0" w:color="auto"/>
            </w:tcBorders>
            <w:shd w:val="clear" w:color="000000" w:fill="FFFFFF"/>
            <w:noWrap/>
          </w:tcPr>
          <w:p w14:paraId="1EB98C62" w14:textId="490F5FDC" w:rsidR="00B91C95" w:rsidRPr="00237B1C" w:rsidRDefault="008247E2" w:rsidP="00B91C95">
            <w:pPr>
              <w:pStyle w:val="TableText"/>
              <w:tabs>
                <w:tab w:val="left" w:pos="381"/>
              </w:tabs>
              <w:rPr>
                <w:szCs w:val="20"/>
                <w:lang w:val="en-US"/>
              </w:rPr>
            </w:pPr>
            <w:r>
              <w:rPr>
                <w:szCs w:val="20"/>
                <w:lang w:val="en-US"/>
              </w:rPr>
              <w:t>Murray Cod R</w:t>
            </w:r>
            <w:r w:rsidR="00B91C95" w:rsidRPr="00237B1C">
              <w:rPr>
                <w:szCs w:val="20"/>
                <w:lang w:val="en-US"/>
              </w:rPr>
              <w:t>ecruitment</w:t>
            </w:r>
          </w:p>
          <w:p w14:paraId="1926813F" w14:textId="463B4898" w:rsidR="00B91C95" w:rsidRPr="00237B1C" w:rsidRDefault="00B91C95" w:rsidP="00B91C95">
            <w:pPr>
              <w:rPr>
                <w:sz w:val="20"/>
                <w:lang w:val="en-US"/>
              </w:rPr>
            </w:pPr>
            <w:r w:rsidRPr="00237B1C">
              <w:rPr>
                <w:sz w:val="20"/>
                <w:lang w:val="en-US"/>
              </w:rPr>
              <w:t xml:space="preserve">a) larvae and juveniles </w:t>
            </w:r>
          </w:p>
          <w:p w14:paraId="7538FCB7" w14:textId="77777777" w:rsidR="00B91C95" w:rsidRPr="00237B1C" w:rsidRDefault="00B91C95" w:rsidP="00B91C95">
            <w:pPr>
              <w:rPr>
                <w:sz w:val="20"/>
                <w:lang w:val="en-US"/>
              </w:rPr>
            </w:pPr>
          </w:p>
          <w:p w14:paraId="2643E67A" w14:textId="77777777" w:rsidR="00B91C95" w:rsidRPr="00237B1C" w:rsidRDefault="00B91C95" w:rsidP="00B91C95">
            <w:pPr>
              <w:rPr>
                <w:sz w:val="20"/>
                <w:lang w:val="en-US"/>
              </w:rPr>
            </w:pPr>
            <w:r w:rsidRPr="00237B1C">
              <w:rPr>
                <w:sz w:val="20"/>
                <w:lang w:val="en-US"/>
              </w:rPr>
              <w:t>b) YOY and population</w:t>
            </w:r>
          </w:p>
        </w:tc>
        <w:tc>
          <w:tcPr>
            <w:tcW w:w="429" w:type="pct"/>
            <w:tcBorders>
              <w:top w:val="nil"/>
              <w:left w:val="single" w:sz="4" w:space="0" w:color="auto"/>
              <w:bottom w:val="single" w:sz="4" w:space="0" w:color="auto"/>
              <w:right w:val="single" w:sz="4" w:space="0" w:color="auto"/>
            </w:tcBorders>
            <w:shd w:val="clear" w:color="auto" w:fill="auto"/>
            <w:noWrap/>
          </w:tcPr>
          <w:p w14:paraId="15EDA2AD" w14:textId="77777777" w:rsidR="00B91C95" w:rsidRDefault="00B91C95" w:rsidP="00B91C95">
            <w:pPr>
              <w:pStyle w:val="TableText"/>
              <w:rPr>
                <w:lang w:val="en-US"/>
              </w:rPr>
            </w:pPr>
            <w:r>
              <w:rPr>
                <w:lang w:val="en-US"/>
              </w:rPr>
              <w:t>Y</w:t>
            </w:r>
          </w:p>
        </w:tc>
        <w:tc>
          <w:tcPr>
            <w:tcW w:w="305" w:type="pct"/>
            <w:tcBorders>
              <w:top w:val="nil"/>
              <w:left w:val="nil"/>
              <w:bottom w:val="single" w:sz="4" w:space="0" w:color="auto"/>
              <w:right w:val="single" w:sz="4" w:space="0" w:color="auto"/>
            </w:tcBorders>
            <w:shd w:val="clear" w:color="auto" w:fill="auto"/>
            <w:noWrap/>
          </w:tcPr>
          <w:p w14:paraId="58867DD8" w14:textId="77777777" w:rsidR="00B91C95" w:rsidRDefault="00B91C95" w:rsidP="00B91C95">
            <w:pPr>
              <w:pStyle w:val="TableText"/>
              <w:rPr>
                <w:lang w:val="en-US"/>
              </w:rPr>
            </w:pPr>
            <w:r>
              <w:rPr>
                <w:lang w:val="en-US"/>
              </w:rPr>
              <w:t>Y</w:t>
            </w:r>
          </w:p>
        </w:tc>
        <w:tc>
          <w:tcPr>
            <w:tcW w:w="457" w:type="pct"/>
            <w:tcBorders>
              <w:top w:val="single" w:sz="4" w:space="0" w:color="auto"/>
              <w:left w:val="nil"/>
              <w:bottom w:val="single" w:sz="4" w:space="0" w:color="auto"/>
              <w:right w:val="single" w:sz="4" w:space="0" w:color="auto"/>
            </w:tcBorders>
            <w:shd w:val="clear" w:color="auto" w:fill="auto"/>
            <w:noWrap/>
          </w:tcPr>
          <w:p w14:paraId="3A96ADBF" w14:textId="77777777" w:rsidR="00B91C95" w:rsidRPr="00C67ED2" w:rsidRDefault="00B91C95" w:rsidP="00B91C95">
            <w:pPr>
              <w:pStyle w:val="TableText"/>
              <w:rPr>
                <w:lang w:val="en-US"/>
              </w:rPr>
            </w:pPr>
          </w:p>
        </w:tc>
        <w:tc>
          <w:tcPr>
            <w:tcW w:w="509" w:type="pct"/>
            <w:tcBorders>
              <w:top w:val="single" w:sz="4" w:space="0" w:color="auto"/>
              <w:left w:val="nil"/>
              <w:bottom w:val="single" w:sz="4" w:space="0" w:color="auto"/>
              <w:right w:val="single" w:sz="4" w:space="0" w:color="auto"/>
            </w:tcBorders>
          </w:tcPr>
          <w:p w14:paraId="71513D06" w14:textId="77777777" w:rsidR="00B91C95" w:rsidRDefault="00B91C95" w:rsidP="00B91C95">
            <w:pPr>
              <w:pStyle w:val="TableText"/>
              <w:rPr>
                <w:lang w:val="en-US"/>
              </w:rPr>
            </w:pPr>
          </w:p>
        </w:tc>
        <w:tc>
          <w:tcPr>
            <w:tcW w:w="457" w:type="pct"/>
            <w:tcBorders>
              <w:top w:val="single" w:sz="4" w:space="0" w:color="auto"/>
              <w:left w:val="single" w:sz="4" w:space="0" w:color="auto"/>
              <w:bottom w:val="single" w:sz="4" w:space="0" w:color="auto"/>
              <w:right w:val="single" w:sz="4" w:space="0" w:color="auto"/>
            </w:tcBorders>
            <w:shd w:val="clear" w:color="000000" w:fill="FFFFFF"/>
            <w:noWrap/>
          </w:tcPr>
          <w:p w14:paraId="41944FE7" w14:textId="59F8B82C" w:rsidR="00B91C95" w:rsidRPr="00C67ED2" w:rsidRDefault="006A3A66" w:rsidP="00B91C95">
            <w:pPr>
              <w:pStyle w:val="TableText"/>
              <w:rPr>
                <w:lang w:val="en-US"/>
              </w:rPr>
            </w:pPr>
            <w:r>
              <w:rPr>
                <w:lang w:val="en-US"/>
              </w:rPr>
              <w:t>2</w:t>
            </w:r>
          </w:p>
        </w:tc>
        <w:tc>
          <w:tcPr>
            <w:tcW w:w="1953" w:type="pct"/>
            <w:tcBorders>
              <w:top w:val="single" w:sz="4" w:space="0" w:color="auto"/>
              <w:left w:val="nil"/>
              <w:bottom w:val="single" w:sz="4" w:space="0" w:color="auto"/>
              <w:right w:val="single" w:sz="4" w:space="0" w:color="auto"/>
            </w:tcBorders>
            <w:shd w:val="clear" w:color="000000" w:fill="FFFFFF"/>
          </w:tcPr>
          <w:p w14:paraId="71CA30C0" w14:textId="61F25A44" w:rsidR="00B91C95" w:rsidRDefault="006A3A66" w:rsidP="00B91C95">
            <w:pPr>
              <w:pStyle w:val="TableText"/>
              <w:rPr>
                <w:lang w:val="en-US"/>
              </w:rPr>
            </w:pPr>
            <w:r w:rsidRPr="006A3A66">
              <w:rPr>
                <w:lang w:val="en-US"/>
              </w:rPr>
              <w:t>Sampling for larval and juvenile life stages of Murray cod will be conducted at two locations in the main channel of the Lower Murray: in the tailwaters (&lt;15 km downstream) of Lock 4 (Floodplain zone) and another Lock (to be determined).</w:t>
            </w:r>
          </w:p>
        </w:tc>
      </w:tr>
      <w:tr w:rsidR="00B91C95" w:rsidRPr="00C67ED2" w14:paraId="494CEB79" w14:textId="77777777" w:rsidTr="00077329">
        <w:trPr>
          <w:trHeight w:val="397"/>
        </w:trPr>
        <w:tc>
          <w:tcPr>
            <w:tcW w:w="890" w:type="pct"/>
            <w:vMerge/>
            <w:tcBorders>
              <w:left w:val="single" w:sz="4" w:space="0" w:color="auto"/>
              <w:bottom w:val="single" w:sz="4" w:space="0" w:color="auto"/>
              <w:right w:val="single" w:sz="4" w:space="0" w:color="auto"/>
            </w:tcBorders>
            <w:shd w:val="clear" w:color="000000" w:fill="FFFFFF"/>
            <w:noWrap/>
          </w:tcPr>
          <w:p w14:paraId="15E0709A" w14:textId="77777777" w:rsidR="00B91C95" w:rsidRDefault="00B91C95" w:rsidP="00B91C95">
            <w:pPr>
              <w:pStyle w:val="TableText"/>
              <w:tabs>
                <w:tab w:val="left" w:pos="381"/>
              </w:tabs>
              <w:rPr>
                <w:lang w:val="en-US"/>
              </w:rPr>
            </w:pPr>
          </w:p>
        </w:tc>
        <w:tc>
          <w:tcPr>
            <w:tcW w:w="429" w:type="pct"/>
            <w:tcBorders>
              <w:top w:val="single" w:sz="4" w:space="0" w:color="auto"/>
              <w:left w:val="single" w:sz="4" w:space="0" w:color="auto"/>
              <w:bottom w:val="single" w:sz="4" w:space="0" w:color="auto"/>
              <w:right w:val="single" w:sz="4" w:space="0" w:color="auto"/>
            </w:tcBorders>
            <w:shd w:val="clear" w:color="auto" w:fill="auto"/>
            <w:noWrap/>
          </w:tcPr>
          <w:p w14:paraId="5E4C716D" w14:textId="77777777" w:rsidR="00B91C95" w:rsidRDefault="00B91C95" w:rsidP="00B91C95">
            <w:pPr>
              <w:pStyle w:val="TableText"/>
              <w:rPr>
                <w:lang w:val="en-US"/>
              </w:rPr>
            </w:pPr>
            <w:r>
              <w:rPr>
                <w:lang w:val="en-US"/>
              </w:rPr>
              <w:t>Y</w:t>
            </w:r>
          </w:p>
        </w:tc>
        <w:tc>
          <w:tcPr>
            <w:tcW w:w="305" w:type="pct"/>
            <w:tcBorders>
              <w:top w:val="single" w:sz="4" w:space="0" w:color="auto"/>
              <w:left w:val="single" w:sz="4" w:space="0" w:color="auto"/>
              <w:bottom w:val="single" w:sz="4" w:space="0" w:color="auto"/>
              <w:right w:val="single" w:sz="4" w:space="0" w:color="auto"/>
            </w:tcBorders>
            <w:shd w:val="clear" w:color="auto" w:fill="auto"/>
            <w:noWrap/>
          </w:tcPr>
          <w:p w14:paraId="35A84641" w14:textId="77777777" w:rsidR="00B91C95" w:rsidRDefault="00B91C95" w:rsidP="00B91C95">
            <w:pPr>
              <w:pStyle w:val="TableText"/>
              <w:rPr>
                <w:lang w:val="en-US"/>
              </w:rPr>
            </w:pPr>
            <w:r>
              <w:rPr>
                <w:lang w:val="en-US"/>
              </w:rPr>
              <w:t>Y</w:t>
            </w:r>
          </w:p>
        </w:tc>
        <w:tc>
          <w:tcPr>
            <w:tcW w:w="457" w:type="pct"/>
            <w:tcBorders>
              <w:top w:val="single" w:sz="4" w:space="0" w:color="auto"/>
              <w:left w:val="single" w:sz="4" w:space="0" w:color="auto"/>
              <w:bottom w:val="single" w:sz="4" w:space="0" w:color="auto"/>
              <w:right w:val="single" w:sz="4" w:space="0" w:color="auto"/>
            </w:tcBorders>
            <w:shd w:val="clear" w:color="auto" w:fill="auto"/>
            <w:noWrap/>
          </w:tcPr>
          <w:p w14:paraId="139BF56C" w14:textId="77777777" w:rsidR="00B91C95" w:rsidRPr="00C67ED2" w:rsidRDefault="00B91C95" w:rsidP="00B91C95">
            <w:pPr>
              <w:pStyle w:val="TableText"/>
              <w:rPr>
                <w:lang w:val="en-US"/>
              </w:rPr>
            </w:pPr>
          </w:p>
        </w:tc>
        <w:tc>
          <w:tcPr>
            <w:tcW w:w="509" w:type="pct"/>
            <w:tcBorders>
              <w:top w:val="single" w:sz="4" w:space="0" w:color="auto"/>
              <w:left w:val="nil"/>
              <w:bottom w:val="single" w:sz="4" w:space="0" w:color="auto"/>
              <w:right w:val="single" w:sz="4" w:space="0" w:color="auto"/>
            </w:tcBorders>
          </w:tcPr>
          <w:p w14:paraId="73B0E4B2" w14:textId="77777777" w:rsidR="00B91C95" w:rsidRPr="00C67ED2" w:rsidRDefault="00B91C95" w:rsidP="00B91C95">
            <w:pPr>
              <w:pStyle w:val="TableText"/>
              <w:rPr>
                <w:lang w:val="en-US"/>
              </w:rPr>
            </w:pPr>
          </w:p>
        </w:tc>
        <w:tc>
          <w:tcPr>
            <w:tcW w:w="457" w:type="pct"/>
            <w:tcBorders>
              <w:top w:val="single" w:sz="4" w:space="0" w:color="auto"/>
              <w:left w:val="single" w:sz="4" w:space="0" w:color="auto"/>
              <w:bottom w:val="single" w:sz="4" w:space="0" w:color="auto"/>
              <w:right w:val="single" w:sz="4" w:space="0" w:color="auto"/>
            </w:tcBorders>
            <w:shd w:val="clear" w:color="000000" w:fill="FFFFFF"/>
            <w:noWrap/>
          </w:tcPr>
          <w:p w14:paraId="6122E07D" w14:textId="549F05DD" w:rsidR="00B91C95" w:rsidRPr="00C67ED2" w:rsidRDefault="00B91C95" w:rsidP="00B91C95">
            <w:pPr>
              <w:pStyle w:val="TableText"/>
              <w:rPr>
                <w:lang w:val="en-US"/>
              </w:rPr>
            </w:pPr>
            <w:r w:rsidRPr="00C67ED2">
              <w:rPr>
                <w:lang w:val="en-US"/>
              </w:rPr>
              <w:t>&gt;</w:t>
            </w:r>
            <w:r>
              <w:rPr>
                <w:lang w:val="en-US"/>
              </w:rPr>
              <w:t>6/zone</w:t>
            </w:r>
          </w:p>
        </w:tc>
        <w:tc>
          <w:tcPr>
            <w:tcW w:w="1953" w:type="pct"/>
            <w:tcBorders>
              <w:top w:val="single" w:sz="4" w:space="0" w:color="auto"/>
              <w:left w:val="nil"/>
              <w:bottom w:val="single" w:sz="4" w:space="0" w:color="auto"/>
              <w:right w:val="single" w:sz="4" w:space="0" w:color="auto"/>
            </w:tcBorders>
            <w:shd w:val="clear" w:color="000000" w:fill="FFFFFF"/>
          </w:tcPr>
          <w:p w14:paraId="120AF45A" w14:textId="77777777" w:rsidR="00B91C95" w:rsidRDefault="00B91C95" w:rsidP="00B91C95">
            <w:pPr>
              <w:pStyle w:val="TableText"/>
              <w:rPr>
                <w:lang w:val="en-US"/>
              </w:rPr>
            </w:pPr>
            <w:r>
              <w:rPr>
                <w:lang w:val="en-US"/>
              </w:rPr>
              <w:t>Sites spread throughout Gorge and Floodplain</w:t>
            </w:r>
            <w:r w:rsidRPr="00C67ED2">
              <w:rPr>
                <w:lang w:val="en-US"/>
              </w:rPr>
              <w:t xml:space="preserve"> </w:t>
            </w:r>
            <w:r>
              <w:rPr>
                <w:lang w:val="en-US"/>
              </w:rPr>
              <w:t>zone</w:t>
            </w:r>
            <w:r w:rsidRPr="00C67ED2">
              <w:rPr>
                <w:lang w:val="en-US"/>
              </w:rPr>
              <w:t>s</w:t>
            </w:r>
            <w:r>
              <w:rPr>
                <w:lang w:val="en-US"/>
              </w:rPr>
              <w:t xml:space="preserve">. </w:t>
            </w:r>
          </w:p>
        </w:tc>
      </w:tr>
    </w:tbl>
    <w:p w14:paraId="69E0BE7A" w14:textId="77777777" w:rsidR="00C67ED2" w:rsidRPr="00C67ED2" w:rsidRDefault="00C67ED2" w:rsidP="00F02673">
      <w:pPr>
        <w:sectPr w:rsidR="00C67ED2" w:rsidRPr="00C67ED2" w:rsidSect="003F6444">
          <w:pgSz w:w="16840" w:h="11900" w:orient="landscape"/>
          <w:pgMar w:top="1440" w:right="1440" w:bottom="1440" w:left="1440" w:header="708" w:footer="708" w:gutter="0"/>
          <w:cols w:space="708"/>
          <w:docGrid w:linePitch="360"/>
        </w:sectPr>
      </w:pPr>
    </w:p>
    <w:p w14:paraId="6E867A48" w14:textId="56E6E6D1" w:rsidR="00036A2F" w:rsidRPr="00C67ED2" w:rsidRDefault="00036A2F" w:rsidP="00036A2F">
      <w:pPr>
        <w:pStyle w:val="Heading2"/>
      </w:pPr>
      <w:bookmarkStart w:id="247" w:name="_Ref9935076"/>
      <w:bookmarkStart w:id="248" w:name="_Toc22196732"/>
      <w:r>
        <w:lastRenderedPageBreak/>
        <w:t>Complementary monitoring</w:t>
      </w:r>
      <w:bookmarkEnd w:id="247"/>
      <w:bookmarkEnd w:id="248"/>
    </w:p>
    <w:p w14:paraId="0558C063" w14:textId="20CE9B0A" w:rsidR="006702CA" w:rsidRDefault="00E163D1" w:rsidP="00165D7C">
      <w:r w:rsidRPr="00C67ED2">
        <w:t xml:space="preserve">In addition to the monitoring activities </w:t>
      </w:r>
      <w:r>
        <w:t>outlined in this plan</w:t>
      </w:r>
      <w:r w:rsidRPr="00C67ED2">
        <w:t xml:space="preserve">, a number of </w:t>
      </w:r>
      <w:r>
        <w:t xml:space="preserve">complementary </w:t>
      </w:r>
      <w:r w:rsidRPr="00C67ED2">
        <w:t xml:space="preserve">monitoring programs </w:t>
      </w:r>
      <w:r>
        <w:t xml:space="preserve">are </w:t>
      </w:r>
      <w:r w:rsidRPr="00C67ED2">
        <w:t>undertaken with</w:t>
      </w:r>
      <w:r w:rsidR="002D1FFB">
        <w:t>in</w:t>
      </w:r>
      <w:r w:rsidRPr="00C67ED2">
        <w:t xml:space="preserve"> the </w:t>
      </w:r>
      <w:r>
        <w:t>South Australian</w:t>
      </w:r>
      <w:r w:rsidRPr="00C67ED2">
        <w:t xml:space="preserve"> </w:t>
      </w:r>
      <w:r>
        <w:t>MDB</w:t>
      </w:r>
      <w:r w:rsidRPr="00C67ED2">
        <w:t xml:space="preserve"> </w:t>
      </w:r>
      <w:r w:rsidR="00165D7C" w:rsidRPr="00C67ED2">
        <w:t>(</w:t>
      </w:r>
      <w:r w:rsidR="005C4519">
        <w:fldChar w:fldCharType="begin"/>
      </w:r>
      <w:r w:rsidR="005C4519">
        <w:instrText xml:space="preserve"> REF _Ref6406185 \h </w:instrText>
      </w:r>
      <w:r w:rsidR="005C4519">
        <w:fldChar w:fldCharType="separate"/>
      </w:r>
      <w:r w:rsidR="00DF49CD" w:rsidRPr="00C67ED2">
        <w:t xml:space="preserve">Table </w:t>
      </w:r>
      <w:r w:rsidR="00DF49CD">
        <w:rPr>
          <w:noProof/>
        </w:rPr>
        <w:t>7</w:t>
      </w:r>
      <w:r w:rsidR="00DF49CD">
        <w:t>.</w:t>
      </w:r>
      <w:r w:rsidR="00DF49CD">
        <w:rPr>
          <w:noProof/>
        </w:rPr>
        <w:t>3</w:t>
      </w:r>
      <w:r w:rsidR="005C4519">
        <w:fldChar w:fldCharType="end"/>
      </w:r>
      <w:r w:rsidR="00165D7C" w:rsidRPr="00C67ED2">
        <w:t xml:space="preserve">). </w:t>
      </w:r>
      <w:r w:rsidR="00165D7C">
        <w:t>The monitoring programs listed</w:t>
      </w:r>
      <w:r w:rsidR="00165D7C" w:rsidRPr="00C67ED2">
        <w:t xml:space="preserve"> in </w:t>
      </w:r>
      <w:r w:rsidR="005C4519">
        <w:fldChar w:fldCharType="begin"/>
      </w:r>
      <w:r w:rsidR="005C4519">
        <w:instrText xml:space="preserve"> REF _Ref6406185 \h </w:instrText>
      </w:r>
      <w:r w:rsidR="005C4519">
        <w:fldChar w:fldCharType="separate"/>
      </w:r>
      <w:r w:rsidR="00DF49CD" w:rsidRPr="00C67ED2">
        <w:t xml:space="preserve">Table </w:t>
      </w:r>
      <w:r w:rsidR="00DF49CD">
        <w:rPr>
          <w:noProof/>
        </w:rPr>
        <w:t>7</w:t>
      </w:r>
      <w:r w:rsidR="00DF49CD">
        <w:t>.</w:t>
      </w:r>
      <w:r w:rsidR="00DF49CD">
        <w:rPr>
          <w:noProof/>
        </w:rPr>
        <w:t>3</w:t>
      </w:r>
      <w:r w:rsidR="005C4519">
        <w:fldChar w:fldCharType="end"/>
      </w:r>
      <w:r w:rsidR="00165D7C" w:rsidRPr="00C67ED2">
        <w:t xml:space="preserve"> </w:t>
      </w:r>
      <w:r>
        <w:t xml:space="preserve">were identified </w:t>
      </w:r>
      <w:r w:rsidRPr="00C67ED2">
        <w:t xml:space="preserve">by DEW for the </w:t>
      </w:r>
      <w:r>
        <w:t>MDB</w:t>
      </w:r>
      <w:r w:rsidRPr="00C67ED2">
        <w:t xml:space="preserve"> Monitoring, Evaluation and Information Coordination project</w:t>
      </w:r>
      <w:r>
        <w:t>, and</w:t>
      </w:r>
      <w:r w:rsidRPr="00C67ED2">
        <w:t xml:space="preserve"> through contact with the relevant </w:t>
      </w:r>
      <w:r>
        <w:t>staff</w:t>
      </w:r>
      <w:r w:rsidRPr="00C67ED2">
        <w:t xml:space="preserve">. </w:t>
      </w:r>
      <w:r>
        <w:t>I</w:t>
      </w:r>
      <w:r w:rsidRPr="00C67ED2">
        <w:t>n many cases</w:t>
      </w:r>
      <w:r>
        <w:t>,</w:t>
      </w:r>
      <w:r w:rsidRPr="00C67ED2">
        <w:t xml:space="preserve"> achieve</w:t>
      </w:r>
      <w:r>
        <w:t>ment of</w:t>
      </w:r>
      <w:r w:rsidRPr="00C67ED2">
        <w:t xml:space="preserve"> environmental outcomes </w:t>
      </w:r>
      <w:r>
        <w:t xml:space="preserve">from Commonwealth environmental water will </w:t>
      </w:r>
      <w:r w:rsidR="00264B49">
        <w:t xml:space="preserve">be </w:t>
      </w:r>
      <w:r w:rsidR="00AD57EB">
        <w:t xml:space="preserve">supported by </w:t>
      </w:r>
      <w:r>
        <w:t>management</w:t>
      </w:r>
      <w:r w:rsidRPr="00C67ED2">
        <w:t xml:space="preserve"> actions and </w:t>
      </w:r>
      <w:r>
        <w:t>monitoring in these programs.</w:t>
      </w:r>
      <w:r w:rsidRPr="00C67ED2">
        <w:t xml:space="preserve"> The </w:t>
      </w:r>
      <w:r>
        <w:t>outputs of</w:t>
      </w:r>
      <w:r w:rsidRPr="00C67ED2">
        <w:t xml:space="preserve"> these </w:t>
      </w:r>
      <w:r>
        <w:t xml:space="preserve">programs </w:t>
      </w:r>
      <w:r w:rsidRPr="00C67ED2">
        <w:t xml:space="preserve">may be used to increase the capacity of the </w:t>
      </w:r>
      <w:r w:rsidRPr="00D60383">
        <w:t>MER</w:t>
      </w:r>
      <w:r>
        <w:t xml:space="preserve"> Project</w:t>
      </w:r>
      <w:r w:rsidRPr="00C67ED2">
        <w:t xml:space="preserve"> to evaluate environmental outcomes within </w:t>
      </w:r>
      <w:r w:rsidRPr="000F53E7">
        <w:t>Lower Murray</w:t>
      </w:r>
      <w:r>
        <w:t xml:space="preserve"> Selected Area</w:t>
      </w:r>
      <w:r w:rsidRPr="00C67ED2">
        <w:t xml:space="preserve"> and the </w:t>
      </w:r>
      <w:r>
        <w:t>South Australian</w:t>
      </w:r>
      <w:r w:rsidRPr="00C67ED2">
        <w:t xml:space="preserve"> </w:t>
      </w:r>
      <w:r>
        <w:t xml:space="preserve">area of the </w:t>
      </w:r>
      <w:r w:rsidRPr="00C67ED2">
        <w:t>M</w:t>
      </w:r>
      <w:r>
        <w:t xml:space="preserve">DB more broadly.  </w:t>
      </w:r>
    </w:p>
    <w:p w14:paraId="5FD6809F" w14:textId="52C01F11" w:rsidR="00E163D1" w:rsidRPr="00C67ED2" w:rsidRDefault="00E163D1" w:rsidP="00E163D1">
      <w:r>
        <w:t>Findings from</w:t>
      </w:r>
      <w:r w:rsidRPr="00C67ED2">
        <w:t xml:space="preserve"> complementary moni</w:t>
      </w:r>
      <w:r>
        <w:t>toring programs may be used to complement or aid in the interpretation and</w:t>
      </w:r>
      <w:r w:rsidRPr="00C67ED2">
        <w:t xml:space="preserve"> evaluati</w:t>
      </w:r>
      <w:r>
        <w:t>on of</w:t>
      </w:r>
      <w:r w:rsidRPr="00C67ED2">
        <w:t xml:space="preserve"> environmental outcomes of </w:t>
      </w:r>
      <w:r>
        <w:t xml:space="preserve">Commonwealth environmental water as part of </w:t>
      </w:r>
      <w:r w:rsidRPr="00D60383">
        <w:t>MER</w:t>
      </w:r>
      <w:r>
        <w:t xml:space="preserve"> Project annual reporting</w:t>
      </w:r>
      <w:r w:rsidRPr="00C67ED2">
        <w:t xml:space="preserve">. </w:t>
      </w:r>
      <w:r>
        <w:t>However, in most cases, the raw data from these programs are unlikely to be used as they may not</w:t>
      </w:r>
      <w:r w:rsidRPr="00C67ED2">
        <w:t xml:space="preserve"> be consistent with </w:t>
      </w:r>
      <w:r w:rsidRPr="00D60383">
        <w:t>MER</w:t>
      </w:r>
      <w:r>
        <w:t xml:space="preserve"> Project </w:t>
      </w:r>
      <w:r w:rsidRPr="00C67ED2">
        <w:t>requirements</w:t>
      </w:r>
      <w:r>
        <w:t>, and c</w:t>
      </w:r>
      <w:r w:rsidRPr="00C67ED2">
        <w:t xml:space="preserve">ollation and analysis of this data for </w:t>
      </w:r>
      <w:r w:rsidRPr="00D60383">
        <w:t>MER</w:t>
      </w:r>
      <w:r>
        <w:t xml:space="preserve"> Project purposes</w:t>
      </w:r>
      <w:r w:rsidRPr="00C67ED2">
        <w:t xml:space="preserve"> </w:t>
      </w:r>
      <w:r>
        <w:t xml:space="preserve">may </w:t>
      </w:r>
      <w:r w:rsidRPr="00C67ED2">
        <w:t>consume significant resources</w:t>
      </w:r>
      <w:r>
        <w:t>. Many</w:t>
      </w:r>
      <w:r w:rsidRPr="00C67ED2">
        <w:t xml:space="preserve"> of the programs</w:t>
      </w:r>
      <w:r>
        <w:t xml:space="preserve"> </w:t>
      </w:r>
      <w:r w:rsidRPr="00C67ED2">
        <w:t xml:space="preserve">have limited </w:t>
      </w:r>
      <w:r w:rsidR="00AD57EB">
        <w:t xml:space="preserve">funding </w:t>
      </w:r>
      <w:r w:rsidRPr="00C67ED2">
        <w:t>security</w:t>
      </w:r>
      <w:r>
        <w:t xml:space="preserve"> or</w:t>
      </w:r>
      <w:r w:rsidRPr="00C67ED2">
        <w:t xml:space="preserve"> short timeframes</w:t>
      </w:r>
      <w:r>
        <w:t xml:space="preserve">, </w:t>
      </w:r>
      <w:r w:rsidRPr="00C67ED2">
        <w:t xml:space="preserve">or indicators </w:t>
      </w:r>
      <w:r>
        <w:t>are not yet known</w:t>
      </w:r>
      <w:r w:rsidRPr="00C67ED2">
        <w:t xml:space="preserve"> </w:t>
      </w:r>
      <w:r w:rsidR="00165D7C" w:rsidRPr="00C67ED2">
        <w:t>(</w:t>
      </w:r>
      <w:r w:rsidR="00165D7C">
        <w:t xml:space="preserve">see </w:t>
      </w:r>
      <w:r w:rsidR="005C4519">
        <w:fldChar w:fldCharType="begin"/>
      </w:r>
      <w:r w:rsidR="005C4519">
        <w:instrText xml:space="preserve"> REF _Ref6406185 \h </w:instrText>
      </w:r>
      <w:r w:rsidR="005C4519">
        <w:fldChar w:fldCharType="separate"/>
      </w:r>
      <w:r w:rsidR="00DF49CD" w:rsidRPr="00C67ED2">
        <w:t xml:space="preserve">Table </w:t>
      </w:r>
      <w:r w:rsidR="00DF49CD">
        <w:rPr>
          <w:noProof/>
        </w:rPr>
        <w:t>7</w:t>
      </w:r>
      <w:r w:rsidR="00DF49CD">
        <w:t>.</w:t>
      </w:r>
      <w:r w:rsidR="00DF49CD">
        <w:rPr>
          <w:noProof/>
        </w:rPr>
        <w:t>3</w:t>
      </w:r>
      <w:r w:rsidR="005C4519">
        <w:fldChar w:fldCharType="end"/>
      </w:r>
      <w:r w:rsidR="00165D7C" w:rsidRPr="00C67ED2">
        <w:t xml:space="preserve">). </w:t>
      </w:r>
      <w:r>
        <w:t>T</w:t>
      </w:r>
      <w:r w:rsidRPr="00C67ED2">
        <w:t>h</w:t>
      </w:r>
      <w:r>
        <w:t>e potential use of this</w:t>
      </w:r>
      <w:r w:rsidRPr="00C67ED2">
        <w:t xml:space="preserve"> </w:t>
      </w:r>
      <w:r>
        <w:t>complementary data</w:t>
      </w:r>
      <w:r w:rsidRPr="00C67ED2">
        <w:t xml:space="preserve"> will be explored as further information about the program</w:t>
      </w:r>
      <w:r>
        <w:t>s</w:t>
      </w:r>
      <w:r w:rsidRPr="00C67ED2">
        <w:t xml:space="preserve"> becomes available</w:t>
      </w:r>
      <w:r>
        <w:t>, and this will be resourced with</w:t>
      </w:r>
      <w:r w:rsidRPr="00C67ED2">
        <w:t>in</w:t>
      </w:r>
      <w:r>
        <w:t xml:space="preserve"> the evaluation component of the </w:t>
      </w:r>
      <w:r w:rsidRPr="00D60383">
        <w:t>MER</w:t>
      </w:r>
      <w:r>
        <w:t xml:space="preserve"> Project</w:t>
      </w:r>
      <w:r w:rsidRPr="00C67ED2">
        <w:t xml:space="preserve">. </w:t>
      </w:r>
    </w:p>
    <w:p w14:paraId="6B86E204" w14:textId="2A7EE4E0" w:rsidR="00165D7C" w:rsidRDefault="00E163D1" w:rsidP="00165D7C">
      <w:pPr>
        <w:rPr>
          <w:highlight w:val="yellow"/>
        </w:rPr>
      </w:pPr>
      <w:r w:rsidRPr="00C67ED2">
        <w:t>The exception is water quality monitoring by SA Water, MDBA, DEW and</w:t>
      </w:r>
      <w:r>
        <w:t xml:space="preserve"> the</w:t>
      </w:r>
      <w:r w:rsidRPr="00C67ED2">
        <w:t xml:space="preserve"> EPA. These data sources are suitable for use </w:t>
      </w:r>
      <w:r w:rsidR="00D96F00">
        <w:t xml:space="preserve">in analysis and evaluation </w:t>
      </w:r>
      <w:r w:rsidRPr="00C67ED2">
        <w:t xml:space="preserve">within the </w:t>
      </w:r>
      <w:r w:rsidR="00AD57EB" w:rsidRPr="00AD57EB">
        <w:rPr>
          <w:i/>
        </w:rPr>
        <w:t>Matter Transport and Coorong Habitat</w:t>
      </w:r>
      <w:r w:rsidR="00AD57EB">
        <w:t xml:space="preserve"> </w:t>
      </w:r>
      <w:r w:rsidR="00D96F00">
        <w:t xml:space="preserve">and </w:t>
      </w:r>
      <w:r w:rsidR="00D96F00" w:rsidRPr="00D96F00">
        <w:rPr>
          <w:i/>
        </w:rPr>
        <w:t>Stream Metabolism and Water Quality</w:t>
      </w:r>
      <w:r w:rsidR="00D96F00">
        <w:t xml:space="preserve"> </w:t>
      </w:r>
      <w:r w:rsidR="00AD57EB">
        <w:t>indicator</w:t>
      </w:r>
      <w:r w:rsidR="00D96F00">
        <w:t>s</w:t>
      </w:r>
      <w:r w:rsidR="00AD57EB">
        <w:t xml:space="preserve"> of </w:t>
      </w:r>
      <w:r w:rsidRPr="00C67ED2">
        <w:t>this project</w:t>
      </w:r>
      <w:r>
        <w:t xml:space="preserve"> and will be incorporated when available</w:t>
      </w:r>
      <w:r w:rsidR="00D96F00">
        <w:t xml:space="preserve"> for relevant sites</w:t>
      </w:r>
      <w:r w:rsidRPr="00C67ED2">
        <w:t>. However, funding sources for these programs are not secure.</w:t>
      </w:r>
      <w:r>
        <w:t xml:space="preserve"> </w:t>
      </w:r>
      <w:r w:rsidR="009F21B9">
        <w:t>S</w:t>
      </w:r>
      <w:r w:rsidR="00127CDB">
        <w:t>uch circumstances have</w:t>
      </w:r>
      <w:r>
        <w:t xml:space="preserve"> been </w:t>
      </w:r>
      <w:r w:rsidR="009F21B9">
        <w:t xml:space="preserve">considered </w:t>
      </w:r>
      <w:r>
        <w:t>in</w:t>
      </w:r>
      <w:r w:rsidR="006702CA">
        <w:t xml:space="preserve"> </w:t>
      </w:r>
      <w:r w:rsidR="009F21B9">
        <w:t>the risk assessment and the overall level of risk to the project was low (</w:t>
      </w:r>
      <w:r w:rsidR="00E21BB6">
        <w:t xml:space="preserve">Section </w:t>
      </w:r>
      <w:r w:rsidR="00E21BB6">
        <w:fldChar w:fldCharType="begin"/>
      </w:r>
      <w:r w:rsidR="00E21BB6">
        <w:instrText xml:space="preserve"> REF _Ref10130615 \r \h </w:instrText>
      </w:r>
      <w:r w:rsidR="00E21BB6">
        <w:fldChar w:fldCharType="separate"/>
      </w:r>
      <w:r w:rsidR="00DF49CD">
        <w:t>10.2</w:t>
      </w:r>
      <w:r w:rsidR="00E21BB6">
        <w:fldChar w:fldCharType="end"/>
      </w:r>
      <w:r w:rsidR="009F21B9">
        <w:t>)</w:t>
      </w:r>
      <w:r w:rsidR="00E21BB6">
        <w:t>.</w:t>
      </w:r>
    </w:p>
    <w:p w14:paraId="782F62CB" w14:textId="36DC735A" w:rsidR="00165D7C" w:rsidRDefault="00165D7C" w:rsidP="00165D7C">
      <w:pPr>
        <w:pStyle w:val="TableCaption"/>
      </w:pPr>
      <w:bookmarkStart w:id="249" w:name="_Ref384730105"/>
      <w:bookmarkStart w:id="250" w:name="_Ref6406185"/>
      <w:bookmarkStart w:id="251" w:name="_Toc381380590"/>
      <w:bookmarkStart w:id="252" w:name="_Toc384985610"/>
      <w:bookmarkStart w:id="253" w:name="_Toc12630252"/>
      <w:r w:rsidRPr="00C67ED2">
        <w:t xml:space="preserve">Table </w:t>
      </w:r>
      <w:r w:rsidR="00A8252A">
        <w:rPr>
          <w:noProof/>
        </w:rPr>
        <w:fldChar w:fldCharType="begin"/>
      </w:r>
      <w:r w:rsidR="00A8252A">
        <w:rPr>
          <w:noProof/>
        </w:rPr>
        <w:instrText xml:space="preserve"> STYLEREF 1 \s </w:instrText>
      </w:r>
      <w:r w:rsidR="00A8252A">
        <w:rPr>
          <w:noProof/>
        </w:rPr>
        <w:fldChar w:fldCharType="separate"/>
      </w:r>
      <w:r w:rsidR="00DF49CD">
        <w:rPr>
          <w:noProof/>
        </w:rPr>
        <w:t>7</w:t>
      </w:r>
      <w:r w:rsidR="00A8252A">
        <w:rPr>
          <w:noProof/>
        </w:rPr>
        <w:fldChar w:fldCharType="end"/>
      </w:r>
      <w:r w:rsidR="00F359A2">
        <w:t>.</w:t>
      </w:r>
      <w:r w:rsidR="00A8252A">
        <w:rPr>
          <w:noProof/>
        </w:rPr>
        <w:fldChar w:fldCharType="begin"/>
      </w:r>
      <w:r w:rsidR="00A8252A">
        <w:rPr>
          <w:noProof/>
        </w:rPr>
        <w:instrText xml:space="preserve"> SEQ Table \* ARABIC \s 1 </w:instrText>
      </w:r>
      <w:r w:rsidR="00A8252A">
        <w:rPr>
          <w:noProof/>
        </w:rPr>
        <w:fldChar w:fldCharType="separate"/>
      </w:r>
      <w:r w:rsidR="00DF49CD">
        <w:rPr>
          <w:noProof/>
        </w:rPr>
        <w:t>3</w:t>
      </w:r>
      <w:r w:rsidR="00A8252A">
        <w:rPr>
          <w:noProof/>
        </w:rPr>
        <w:fldChar w:fldCharType="end"/>
      </w:r>
      <w:bookmarkEnd w:id="249"/>
      <w:bookmarkEnd w:id="250"/>
      <w:r w:rsidRPr="00C67ED2">
        <w:t>.</w:t>
      </w:r>
      <w:bookmarkEnd w:id="251"/>
      <w:r>
        <w:tab/>
      </w:r>
      <w:r w:rsidRPr="00C67ED2">
        <w:t xml:space="preserve">Complementary monitoring programs for potential use in evaluating ecological outcomes in the </w:t>
      </w:r>
      <w:r w:rsidRPr="000F53E7">
        <w:t>Lower Murray</w:t>
      </w:r>
      <w:r>
        <w:t xml:space="preserve"> Selected Area</w:t>
      </w:r>
      <w:r w:rsidRPr="00C67ED2">
        <w:t xml:space="preserve"> associated with Commonwealth environmental water.</w:t>
      </w:r>
      <w:bookmarkEnd w:id="252"/>
      <w:bookmarkEnd w:id="253"/>
    </w:p>
    <w:tbl>
      <w:tblPr>
        <w:tblW w:w="0" w:type="auto"/>
        <w:tblCellMar>
          <w:left w:w="0" w:type="dxa"/>
          <w:right w:w="0" w:type="dxa"/>
        </w:tblCellMar>
        <w:tblLook w:val="00A0" w:firstRow="1" w:lastRow="0" w:firstColumn="1" w:lastColumn="0" w:noHBand="0" w:noVBand="0"/>
      </w:tblPr>
      <w:tblGrid>
        <w:gridCol w:w="1399"/>
        <w:gridCol w:w="1881"/>
        <w:gridCol w:w="2080"/>
        <w:gridCol w:w="1168"/>
        <w:gridCol w:w="1349"/>
        <w:gridCol w:w="1123"/>
      </w:tblGrid>
      <w:tr w:rsidR="006702CA" w:rsidRPr="00C67ED2" w14:paraId="0671241E" w14:textId="77777777" w:rsidTr="00381D7D">
        <w:trPr>
          <w:tblHeader/>
        </w:trPr>
        <w:tc>
          <w:tcPr>
            <w:tcW w:w="0" w:type="auto"/>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16F47595" w14:textId="77777777" w:rsidR="006702CA" w:rsidRPr="00C67ED2" w:rsidRDefault="006702CA" w:rsidP="00381D7D">
            <w:pPr>
              <w:pStyle w:val="TableHeading"/>
            </w:pPr>
            <w:r w:rsidRPr="00C67ED2">
              <w:t>Funding source</w:t>
            </w:r>
          </w:p>
        </w:tc>
        <w:tc>
          <w:tcPr>
            <w:tcW w:w="0" w:type="auto"/>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3B4F95A5" w14:textId="77777777" w:rsidR="006702CA" w:rsidRPr="00C67ED2" w:rsidRDefault="006702CA" w:rsidP="00381D7D">
            <w:pPr>
              <w:pStyle w:val="TableHeading"/>
            </w:pPr>
            <w:r>
              <w:t>D</w:t>
            </w:r>
            <w:r w:rsidRPr="00C67ED2">
              <w:t xml:space="preserve">escription </w:t>
            </w:r>
            <w:r>
              <w:t>of s</w:t>
            </w:r>
            <w:r w:rsidRPr="00C67ED2">
              <w:t xml:space="preserve">ite(s) </w:t>
            </w:r>
          </w:p>
        </w:tc>
        <w:tc>
          <w:tcPr>
            <w:tcW w:w="0" w:type="auto"/>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772C9D7A" w14:textId="77777777" w:rsidR="006702CA" w:rsidRPr="00C67ED2" w:rsidRDefault="006702CA" w:rsidP="00381D7D">
            <w:pPr>
              <w:pStyle w:val="TableHeading"/>
            </w:pPr>
            <w:r w:rsidRPr="00C67ED2">
              <w:t>Indicators</w:t>
            </w:r>
          </w:p>
        </w:tc>
        <w:tc>
          <w:tcPr>
            <w:tcW w:w="0" w:type="auto"/>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05A2368D" w14:textId="77777777" w:rsidR="006702CA" w:rsidRPr="00C67ED2" w:rsidRDefault="006702CA" w:rsidP="00381D7D">
            <w:pPr>
              <w:pStyle w:val="TableHeading"/>
            </w:pPr>
            <w:r w:rsidRPr="00C67ED2">
              <w:t>Planned monitoring timeframe</w:t>
            </w:r>
          </w:p>
        </w:tc>
        <w:tc>
          <w:tcPr>
            <w:tcW w:w="0" w:type="auto"/>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3B1381FC" w14:textId="77777777" w:rsidR="006702CA" w:rsidRPr="00C67ED2" w:rsidRDefault="006702CA" w:rsidP="00381D7D">
            <w:pPr>
              <w:pStyle w:val="TableHeading"/>
            </w:pPr>
            <w:r>
              <w:t>Security of funding</w:t>
            </w:r>
          </w:p>
        </w:tc>
        <w:tc>
          <w:tcPr>
            <w:tcW w:w="0" w:type="auto"/>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766E7450" w14:textId="77777777" w:rsidR="006702CA" w:rsidRPr="00C67ED2" w:rsidRDefault="006702CA" w:rsidP="00381D7D">
            <w:pPr>
              <w:pStyle w:val="TableHeading"/>
            </w:pPr>
            <w:r w:rsidRPr="00C67ED2">
              <w:t>Contact person</w:t>
            </w:r>
          </w:p>
        </w:tc>
      </w:tr>
      <w:tr w:rsidR="006702CA" w:rsidRPr="00C67ED2" w14:paraId="73309F6B" w14:textId="77777777" w:rsidTr="00381D7D">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3D833A89" w14:textId="77777777" w:rsidR="006702CA" w:rsidRPr="00777010" w:rsidRDefault="006702CA" w:rsidP="00381D7D">
            <w:pPr>
              <w:pStyle w:val="TableText"/>
              <w:rPr>
                <w:szCs w:val="20"/>
              </w:rPr>
            </w:pPr>
            <w:r w:rsidRPr="00777010">
              <w:rPr>
                <w:szCs w:val="20"/>
              </w:rPr>
              <w:t>SA MDB NRM Board</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E6976FA" w14:textId="77777777" w:rsidR="006702CA" w:rsidRPr="00777010" w:rsidRDefault="006702CA" w:rsidP="00381D7D">
            <w:pPr>
              <w:pStyle w:val="TableText"/>
              <w:rPr>
                <w:szCs w:val="20"/>
                <w:lang w:val="en-US"/>
              </w:rPr>
            </w:pPr>
            <w:r w:rsidRPr="00777010">
              <w:rPr>
                <w:szCs w:val="20"/>
                <w:lang w:val="en-US"/>
              </w:rPr>
              <w:t xml:space="preserve">Approximately 50 wetlands along the </w:t>
            </w:r>
            <w:r w:rsidRPr="000F53E7">
              <w:rPr>
                <w:szCs w:val="20"/>
                <w:lang w:val="en-US"/>
              </w:rPr>
              <w:t>Lower Murray</w:t>
            </w:r>
            <w:r w:rsidRPr="00777010">
              <w:rPr>
                <w:szCs w:val="20"/>
                <w:lang w:val="en-US"/>
              </w:rPr>
              <w:t xml:space="preserve"> Selected Area that are actively managed through operation of regulators or pumping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F065386" w14:textId="65BEF833" w:rsidR="006702CA" w:rsidRPr="00777010" w:rsidRDefault="006702CA" w:rsidP="00EC7608">
            <w:pPr>
              <w:pStyle w:val="TableText"/>
              <w:rPr>
                <w:szCs w:val="20"/>
                <w:lang w:val="en-US"/>
              </w:rPr>
            </w:pPr>
            <w:r w:rsidRPr="00777010">
              <w:rPr>
                <w:szCs w:val="20"/>
              </w:rPr>
              <w:t xml:space="preserve">Site (wetland) specific, dependent on objectives. Includes water quality, groundwater, </w:t>
            </w:r>
            <w:r w:rsidR="00EC7608">
              <w:rPr>
                <w:szCs w:val="20"/>
              </w:rPr>
              <w:t>frogs</w:t>
            </w:r>
            <w:r w:rsidRPr="00777010">
              <w:rPr>
                <w:szCs w:val="20"/>
                <w:lang w:val="en-US"/>
              </w:rPr>
              <w:t>, macroinvertebrates, birds, vegetation, fish</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10BF1B84" w14:textId="77777777" w:rsidR="006702CA" w:rsidRPr="00777010" w:rsidRDefault="006702CA" w:rsidP="00381D7D">
            <w:pPr>
              <w:pStyle w:val="TableText"/>
              <w:rPr>
                <w:szCs w:val="20"/>
              </w:rPr>
            </w:pPr>
            <w:r w:rsidRPr="00777010">
              <w:rPr>
                <w:szCs w:val="20"/>
              </w:rPr>
              <w:t>Ongoing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E8F56A5" w14:textId="77777777" w:rsidR="006702CA" w:rsidRPr="00777010" w:rsidRDefault="006702CA" w:rsidP="00381D7D">
            <w:pPr>
              <w:pStyle w:val="TableText"/>
              <w:rPr>
                <w:szCs w:val="20"/>
              </w:rPr>
            </w:pPr>
            <w:r w:rsidRPr="00777010">
              <w:rPr>
                <w:szCs w:val="20"/>
              </w:rPr>
              <w:t>Unknown</w:t>
            </w:r>
            <w:r w:rsidRPr="00777010">
              <w:rPr>
                <w:szCs w:val="20"/>
                <w:lang w:val="en-US"/>
              </w:rPr>
              <w:t xml:space="preserve"> </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2BFBBA8E" w14:textId="77777777" w:rsidR="006702CA" w:rsidRPr="00777010" w:rsidRDefault="006702CA" w:rsidP="00381D7D">
            <w:pPr>
              <w:pStyle w:val="TableText"/>
              <w:rPr>
                <w:szCs w:val="20"/>
              </w:rPr>
            </w:pPr>
            <w:r>
              <w:rPr>
                <w:szCs w:val="20"/>
              </w:rPr>
              <w:t>Rebecca Turner</w:t>
            </w:r>
          </w:p>
        </w:tc>
      </w:tr>
      <w:tr w:rsidR="006702CA" w:rsidRPr="00C67ED2" w14:paraId="7EDA70C8" w14:textId="77777777" w:rsidTr="00381D7D">
        <w:trPr>
          <w:trHeight w:val="107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2B60B0CD" w14:textId="77777777" w:rsidR="006702CA" w:rsidRPr="00777010" w:rsidRDefault="006702CA" w:rsidP="00381D7D">
            <w:pPr>
              <w:pStyle w:val="TableText"/>
              <w:rPr>
                <w:szCs w:val="20"/>
              </w:rPr>
            </w:pPr>
            <w:r w:rsidRPr="00777010">
              <w:rPr>
                <w:szCs w:val="20"/>
              </w:rPr>
              <w:t>The Living Murray (TLM)</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76B75B9" w14:textId="77777777" w:rsidR="006702CA" w:rsidRPr="00777010" w:rsidRDefault="006702CA" w:rsidP="00381D7D">
            <w:pPr>
              <w:pStyle w:val="TableText"/>
              <w:rPr>
                <w:szCs w:val="20"/>
              </w:rPr>
            </w:pPr>
            <w:r w:rsidRPr="00777010">
              <w:rPr>
                <w:szCs w:val="20"/>
              </w:rPr>
              <w:t>Chowilla</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0901E76" w14:textId="77777777" w:rsidR="006702CA" w:rsidRPr="00777010" w:rsidRDefault="006702CA" w:rsidP="00381D7D">
            <w:pPr>
              <w:pStyle w:val="TableText"/>
              <w:rPr>
                <w:szCs w:val="20"/>
              </w:rPr>
            </w:pPr>
            <w:r w:rsidRPr="00777010">
              <w:rPr>
                <w:szCs w:val="20"/>
              </w:rPr>
              <w:t>Water quality, vegetation, fish, birds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3ED700F" w14:textId="77777777" w:rsidR="006702CA" w:rsidRPr="00777010" w:rsidRDefault="006702CA" w:rsidP="00381D7D">
            <w:pPr>
              <w:pStyle w:val="TableText"/>
              <w:rPr>
                <w:szCs w:val="20"/>
              </w:rPr>
            </w:pPr>
            <w:r w:rsidRPr="00777010">
              <w:rPr>
                <w:szCs w:val="20"/>
              </w:rPr>
              <w:t>Ongoing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6F0A519" w14:textId="36DF9693" w:rsidR="006702CA" w:rsidRPr="00777010" w:rsidRDefault="006702CA" w:rsidP="00381D7D">
            <w:pPr>
              <w:pStyle w:val="TableText"/>
              <w:rPr>
                <w:szCs w:val="20"/>
              </w:rPr>
            </w:pPr>
            <w:r>
              <w:rPr>
                <w:szCs w:val="20"/>
              </w:rPr>
              <w:t xml:space="preserve">Condition and Intervention Monitoring $ available in 2019-20. </w:t>
            </w:r>
            <w:r w:rsidR="001C37E0" w:rsidRPr="001C37E0">
              <w:rPr>
                <w:szCs w:val="20"/>
              </w:rPr>
              <w:t>TLM monitoring funding is approved annually</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38FA8C05" w14:textId="77777777" w:rsidR="006702CA" w:rsidRPr="00777010" w:rsidRDefault="006702CA" w:rsidP="00381D7D">
            <w:pPr>
              <w:pStyle w:val="TableText"/>
              <w:rPr>
                <w:szCs w:val="20"/>
              </w:rPr>
            </w:pPr>
            <w:r w:rsidRPr="00777010">
              <w:rPr>
                <w:szCs w:val="20"/>
              </w:rPr>
              <w:t>Jan Whittle</w:t>
            </w:r>
          </w:p>
        </w:tc>
      </w:tr>
      <w:tr w:rsidR="006702CA" w:rsidRPr="00C67ED2" w14:paraId="0FDC7123" w14:textId="77777777" w:rsidTr="00381D7D">
        <w:trPr>
          <w:trHeight w:val="107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1D25A81D" w14:textId="77777777" w:rsidR="006702CA" w:rsidRPr="00777010" w:rsidRDefault="006702CA" w:rsidP="00381D7D">
            <w:pPr>
              <w:pStyle w:val="TableText"/>
              <w:rPr>
                <w:szCs w:val="20"/>
              </w:rPr>
            </w:pPr>
            <w:r w:rsidRPr="00777010">
              <w:rPr>
                <w:szCs w:val="20"/>
              </w:rPr>
              <w:lastRenderedPageBreak/>
              <w:t>TLM</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8AF12F6" w14:textId="77777777" w:rsidR="006702CA" w:rsidRPr="00777010" w:rsidRDefault="006702CA" w:rsidP="00381D7D">
            <w:pPr>
              <w:pStyle w:val="TableText"/>
              <w:rPr>
                <w:szCs w:val="20"/>
              </w:rPr>
            </w:pPr>
            <w:r w:rsidRPr="00777010">
              <w:rPr>
                <w:szCs w:val="20"/>
              </w:rPr>
              <w:t>Coorong, Lower Lakes and Murray Mouth</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F774A92" w14:textId="28F3C3F5" w:rsidR="006702CA" w:rsidRPr="00777010" w:rsidRDefault="00AD57EB" w:rsidP="00AD57EB">
            <w:pPr>
              <w:pStyle w:val="TableText"/>
              <w:rPr>
                <w:szCs w:val="20"/>
              </w:rPr>
            </w:pPr>
            <w:r>
              <w:rPr>
                <w:szCs w:val="20"/>
              </w:rPr>
              <w:t>V</w:t>
            </w:r>
            <w:r w:rsidR="006702CA" w:rsidRPr="00777010">
              <w:rPr>
                <w:szCs w:val="20"/>
              </w:rPr>
              <w:t>egetation, fish, birds, macro-invertebrates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1E74AFC3" w14:textId="77777777" w:rsidR="006702CA" w:rsidRPr="00777010" w:rsidRDefault="006702CA" w:rsidP="00381D7D">
            <w:pPr>
              <w:pStyle w:val="TableText"/>
              <w:rPr>
                <w:szCs w:val="20"/>
              </w:rPr>
            </w:pPr>
            <w:r w:rsidRPr="00777010">
              <w:rPr>
                <w:szCs w:val="20"/>
              </w:rPr>
              <w:t>Ongoing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D8794E4" w14:textId="2AB15C75" w:rsidR="006702CA" w:rsidRPr="00777010" w:rsidRDefault="006702CA" w:rsidP="00381D7D">
            <w:pPr>
              <w:pStyle w:val="TableText"/>
              <w:rPr>
                <w:szCs w:val="20"/>
              </w:rPr>
            </w:pPr>
            <w:r>
              <w:rPr>
                <w:szCs w:val="20"/>
              </w:rPr>
              <w:t xml:space="preserve">Condition and Intervention Monitoring $ available in 2019-20.  </w:t>
            </w:r>
            <w:r w:rsidR="00AD57EB" w:rsidRPr="00AD57EB">
              <w:rPr>
                <w:szCs w:val="20"/>
              </w:rPr>
              <w:t>TLM monitoring funding is approved annually</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5567F2DA" w14:textId="77777777" w:rsidR="006702CA" w:rsidRPr="00777010" w:rsidRDefault="006702CA" w:rsidP="00381D7D">
            <w:pPr>
              <w:pStyle w:val="TableText"/>
              <w:rPr>
                <w:szCs w:val="20"/>
              </w:rPr>
            </w:pPr>
            <w:r>
              <w:rPr>
                <w:szCs w:val="20"/>
              </w:rPr>
              <w:t>Rebecca Turner/ Adrienne Rumbelow</w:t>
            </w:r>
          </w:p>
        </w:tc>
      </w:tr>
      <w:tr w:rsidR="006702CA" w:rsidRPr="00C67ED2" w14:paraId="587FF9FD" w14:textId="77777777" w:rsidTr="00381D7D">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16ECFA53" w14:textId="77777777" w:rsidR="006702CA" w:rsidRPr="00777010" w:rsidRDefault="006702CA" w:rsidP="00381D7D">
            <w:pPr>
              <w:pStyle w:val="TableText"/>
              <w:rPr>
                <w:szCs w:val="20"/>
              </w:rPr>
            </w:pPr>
            <w:r>
              <w:rPr>
                <w:szCs w:val="20"/>
              </w:rPr>
              <w:t>SA Riverland Floodplains Integrated Infrastructure Project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C4BF4E2" w14:textId="77777777" w:rsidR="006702CA" w:rsidRPr="00777010" w:rsidRDefault="006702CA" w:rsidP="00381D7D">
            <w:pPr>
              <w:pStyle w:val="TableText"/>
              <w:rPr>
                <w:szCs w:val="20"/>
              </w:rPr>
            </w:pPr>
            <w:r w:rsidRPr="00777010">
              <w:rPr>
                <w:szCs w:val="20"/>
              </w:rPr>
              <w:t xml:space="preserve">Pike </w:t>
            </w:r>
            <w:r>
              <w:rPr>
                <w:szCs w:val="20"/>
              </w:rPr>
              <w:t xml:space="preserve">and Katarapko </w:t>
            </w:r>
            <w:r w:rsidRPr="00777010">
              <w:rPr>
                <w:szCs w:val="20"/>
              </w:rPr>
              <w:t>Floodplain</w:t>
            </w:r>
            <w:r>
              <w:rPr>
                <w:szCs w:val="20"/>
              </w:rPr>
              <w:t>s, weir pool manipulation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8FE3475" w14:textId="77777777" w:rsidR="006702CA" w:rsidRPr="00777010" w:rsidRDefault="006702CA" w:rsidP="00381D7D">
            <w:pPr>
              <w:pStyle w:val="TableText"/>
              <w:rPr>
                <w:szCs w:val="20"/>
              </w:rPr>
            </w:pPr>
            <w:r>
              <w:rPr>
                <w:szCs w:val="20"/>
              </w:rPr>
              <w:t>Still to be determined, focus on fish, vegetation, dissolved oxygen.</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3B2F2261" w14:textId="25D20A3C" w:rsidR="006702CA" w:rsidRPr="00777010" w:rsidRDefault="006702CA" w:rsidP="00381D7D">
            <w:pPr>
              <w:pStyle w:val="TableText"/>
              <w:rPr>
                <w:szCs w:val="20"/>
              </w:rPr>
            </w:pPr>
            <w:r>
              <w:rPr>
                <w:szCs w:val="20"/>
              </w:rPr>
              <w:t>2019</w:t>
            </w:r>
            <w:r w:rsidR="00493B29">
              <w:rPr>
                <w:szCs w:val="20"/>
              </w:rPr>
              <w:t>–</w:t>
            </w:r>
            <w:r>
              <w:rPr>
                <w:szCs w:val="20"/>
              </w:rPr>
              <w:t>2021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A46ADB8" w14:textId="77777777" w:rsidR="006702CA" w:rsidRPr="00777010" w:rsidRDefault="006702CA" w:rsidP="00381D7D">
            <w:pPr>
              <w:pStyle w:val="TableText"/>
              <w:rPr>
                <w:szCs w:val="20"/>
              </w:rPr>
            </w:pPr>
            <w:r>
              <w:rPr>
                <w:szCs w:val="20"/>
              </w:rPr>
              <w:t>F</w:t>
            </w:r>
            <w:r w:rsidRPr="00777010">
              <w:rPr>
                <w:szCs w:val="20"/>
              </w:rPr>
              <w:t>unded</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24833474" w14:textId="77777777" w:rsidR="006702CA" w:rsidRPr="00777010" w:rsidRDefault="006702CA" w:rsidP="00381D7D">
            <w:pPr>
              <w:pStyle w:val="TableText"/>
              <w:rPr>
                <w:szCs w:val="20"/>
              </w:rPr>
            </w:pPr>
            <w:r>
              <w:rPr>
                <w:szCs w:val="20"/>
              </w:rPr>
              <w:t>Benita Dillon</w:t>
            </w:r>
          </w:p>
        </w:tc>
      </w:tr>
      <w:tr w:rsidR="006702CA" w:rsidRPr="00C67ED2" w14:paraId="2EC5CA22" w14:textId="77777777" w:rsidTr="00381D7D">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40A6536D" w14:textId="77777777" w:rsidR="006702CA" w:rsidRPr="00777010" w:rsidRDefault="006702CA" w:rsidP="00381D7D">
            <w:pPr>
              <w:pStyle w:val="TableText"/>
              <w:rPr>
                <w:szCs w:val="20"/>
              </w:rPr>
            </w:pPr>
            <w:r>
              <w:rPr>
                <w:szCs w:val="20"/>
              </w:rPr>
              <w:t>Healthy Coorong Healthy Basin Project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7DB4162" w14:textId="77777777" w:rsidR="006702CA" w:rsidRPr="00777010" w:rsidRDefault="006702CA" w:rsidP="00381D7D">
            <w:pPr>
              <w:pStyle w:val="TableText"/>
              <w:rPr>
                <w:szCs w:val="20"/>
              </w:rPr>
            </w:pPr>
            <w:r>
              <w:rPr>
                <w:szCs w:val="20"/>
              </w:rPr>
              <w:t>CLLMM, with a focus on the Coorong South Lagoon</w:t>
            </w:r>
            <w:r w:rsidRPr="00777010">
              <w:rPr>
                <w:szCs w:val="20"/>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1681CB3" w14:textId="77777777" w:rsidR="006702CA" w:rsidRPr="00777010" w:rsidRDefault="006702CA" w:rsidP="00381D7D">
            <w:pPr>
              <w:pStyle w:val="TableText"/>
              <w:rPr>
                <w:szCs w:val="20"/>
              </w:rPr>
            </w:pPr>
            <w:r>
              <w:rPr>
                <w:szCs w:val="20"/>
              </w:rPr>
              <w:t>Still to be determined, focus on aquatic vegetation (</w:t>
            </w:r>
            <w:r w:rsidRPr="00493B29">
              <w:rPr>
                <w:i/>
                <w:szCs w:val="20"/>
              </w:rPr>
              <w:t>Ruppia</w:t>
            </w:r>
            <w:r>
              <w:rPr>
                <w:szCs w:val="20"/>
              </w:rPr>
              <w:t>), water quality, water birds, phytoplankton</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5221DF89" w14:textId="50242114" w:rsidR="006702CA" w:rsidRPr="00777010" w:rsidRDefault="006702CA" w:rsidP="00381D7D">
            <w:pPr>
              <w:pStyle w:val="TableText"/>
              <w:rPr>
                <w:szCs w:val="20"/>
              </w:rPr>
            </w:pPr>
            <w:r>
              <w:rPr>
                <w:szCs w:val="20"/>
              </w:rPr>
              <w:t>2019</w:t>
            </w:r>
            <w:r w:rsidR="00493B29">
              <w:rPr>
                <w:szCs w:val="20"/>
              </w:rPr>
              <w:t>–</w:t>
            </w:r>
            <w:r>
              <w:rPr>
                <w:szCs w:val="20"/>
              </w:rPr>
              <w:t>2021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88962CF" w14:textId="3202EB64" w:rsidR="006702CA" w:rsidRPr="00777010" w:rsidRDefault="006702CA" w:rsidP="006702CA">
            <w:pPr>
              <w:pStyle w:val="TableText"/>
              <w:rPr>
                <w:szCs w:val="20"/>
              </w:rPr>
            </w:pPr>
            <w:r>
              <w:rPr>
                <w:szCs w:val="20"/>
              </w:rPr>
              <w:t>Likely f</w:t>
            </w:r>
            <w:r w:rsidRPr="00777010">
              <w:rPr>
                <w:szCs w:val="20"/>
              </w:rPr>
              <w:t>unded</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49A08973" w14:textId="77777777" w:rsidR="006702CA" w:rsidRPr="00777010" w:rsidRDefault="006702CA" w:rsidP="00381D7D">
            <w:pPr>
              <w:pStyle w:val="TableText"/>
              <w:rPr>
                <w:szCs w:val="20"/>
              </w:rPr>
            </w:pPr>
            <w:r>
              <w:rPr>
                <w:szCs w:val="20"/>
              </w:rPr>
              <w:t>Jody O’Connor</w:t>
            </w:r>
          </w:p>
        </w:tc>
      </w:tr>
      <w:tr w:rsidR="006702CA" w:rsidRPr="00777010" w14:paraId="60CA1AA7" w14:textId="77777777" w:rsidTr="00381D7D">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74E84D85" w14:textId="77777777" w:rsidR="006702CA" w:rsidRPr="00777010" w:rsidRDefault="006702CA" w:rsidP="00381D7D">
            <w:pPr>
              <w:pStyle w:val="TableText"/>
              <w:rPr>
                <w:szCs w:val="20"/>
              </w:rPr>
            </w:pPr>
            <w:r w:rsidRPr="00777010">
              <w:rPr>
                <w:szCs w:val="20"/>
              </w:rPr>
              <w:t>SA Water and MDBA (selected sites and parameters)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tcPr>
          <w:p w14:paraId="0EF2D8FC" w14:textId="77777777" w:rsidR="006702CA" w:rsidRPr="00777010" w:rsidRDefault="006702CA" w:rsidP="00381D7D">
            <w:pPr>
              <w:pStyle w:val="TableText"/>
              <w:rPr>
                <w:szCs w:val="20"/>
              </w:rPr>
            </w:pPr>
            <w:r w:rsidRPr="00777010">
              <w:rPr>
                <w:szCs w:val="20"/>
              </w:rPr>
              <w:t>Lock 9, Lake Victoria Outlet, Murray River (MR) DS Rufus River Gauging Weir, MR 8 km downstream of Lock 6, MR Renmark, Lock 5, MR Berri, MR Loxton, MR Moorook, MR Cobdogla, MR Woolpunda, MR Waikerie, MR Cadell, MR Morgan, MR Lock 1, MR Swan Reach, MR Cowirra, MR Mypolonga, MR Mannum, MR Murray Bridge,  MR Tailem Bend, Goolwa Barrage u/s, Lake Alexandrina – Milang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57B0428" w14:textId="77777777" w:rsidR="006702CA" w:rsidRPr="00777010" w:rsidRDefault="006702CA" w:rsidP="00381D7D">
            <w:pPr>
              <w:pStyle w:val="TableText"/>
              <w:rPr>
                <w:szCs w:val="20"/>
              </w:rPr>
            </w:pPr>
            <w:r w:rsidRPr="00777010">
              <w:rPr>
                <w:szCs w:val="20"/>
              </w:rPr>
              <w:t xml:space="preserve">Key parameters include phytoplankton count, chlorophyll </w:t>
            </w:r>
            <w:r w:rsidRPr="00777010">
              <w:rPr>
                <w:i/>
                <w:iCs/>
                <w:szCs w:val="20"/>
              </w:rPr>
              <w:t>a</w:t>
            </w:r>
            <w:r w:rsidRPr="00777010">
              <w:rPr>
                <w:szCs w:val="20"/>
              </w:rPr>
              <w:t>, metals, basic phys/chem., colour, DOC, DO, nutrients, colifoms/</w:t>
            </w:r>
            <w:r w:rsidRPr="00777010">
              <w:rPr>
                <w:i/>
                <w:iCs/>
                <w:szCs w:val="20"/>
              </w:rPr>
              <w:t>E. Coli</w:t>
            </w:r>
            <w:r w:rsidRPr="00777010">
              <w:rPr>
                <w:szCs w:val="20"/>
              </w:rPr>
              <w:t>, turbidity. Not all of these are monitored at each site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B5B2662" w14:textId="77777777" w:rsidR="006702CA" w:rsidRPr="00777010" w:rsidRDefault="006702CA" w:rsidP="00381D7D">
            <w:pPr>
              <w:pStyle w:val="TableText"/>
              <w:rPr>
                <w:szCs w:val="20"/>
              </w:rPr>
            </w:pPr>
            <w:r w:rsidRPr="00777010">
              <w:rPr>
                <w:szCs w:val="20"/>
              </w:rPr>
              <w:t>Ongoing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2DC4BC0" w14:textId="77777777" w:rsidR="006702CA" w:rsidRPr="00777010" w:rsidRDefault="006702CA" w:rsidP="00381D7D">
            <w:pPr>
              <w:pStyle w:val="TableText"/>
              <w:rPr>
                <w:szCs w:val="20"/>
              </w:rPr>
            </w:pPr>
            <w:r>
              <w:rPr>
                <w:szCs w:val="20"/>
              </w:rPr>
              <w:t>Unknown</w:t>
            </w:r>
            <w:r w:rsidRPr="00777010">
              <w:rPr>
                <w:szCs w:val="20"/>
              </w:rPr>
              <w:t xml:space="preserve"> (annual review)</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3852EFE6" w14:textId="77777777" w:rsidR="006702CA" w:rsidRPr="00777010" w:rsidRDefault="006702CA" w:rsidP="00381D7D">
            <w:pPr>
              <w:pStyle w:val="TableText"/>
              <w:rPr>
                <w:szCs w:val="20"/>
              </w:rPr>
            </w:pPr>
            <w:r w:rsidRPr="00777010">
              <w:rPr>
                <w:szCs w:val="20"/>
              </w:rPr>
              <w:t>Thorsten Mosisch</w:t>
            </w:r>
          </w:p>
        </w:tc>
      </w:tr>
    </w:tbl>
    <w:p w14:paraId="1A803A95" w14:textId="11FEE115" w:rsidR="00430220" w:rsidRDefault="00430220" w:rsidP="00165D7C">
      <w:pPr>
        <w:rPr>
          <w:sz w:val="20"/>
        </w:rPr>
      </w:pPr>
    </w:p>
    <w:p w14:paraId="7A0DA3F7" w14:textId="77777777" w:rsidR="00430220" w:rsidRDefault="00430220">
      <w:pPr>
        <w:spacing w:after="200" w:line="276" w:lineRule="auto"/>
        <w:jc w:val="left"/>
        <w:rPr>
          <w:sz w:val="20"/>
        </w:rPr>
      </w:pPr>
      <w:r>
        <w:rPr>
          <w:sz w:val="20"/>
        </w:rPr>
        <w:br w:type="page"/>
      </w:r>
    </w:p>
    <w:p w14:paraId="6DF83857" w14:textId="3E3031B5" w:rsidR="0097738B" w:rsidRDefault="00D513C3" w:rsidP="00475425">
      <w:pPr>
        <w:pStyle w:val="Heading1"/>
      </w:pPr>
      <w:bookmarkStart w:id="254" w:name="_Toc22196733"/>
      <w:r>
        <w:lastRenderedPageBreak/>
        <w:t>E</w:t>
      </w:r>
      <w:r w:rsidR="0097738B">
        <w:t>ngagement</w:t>
      </w:r>
      <w:r>
        <w:t xml:space="preserve"> and communication</w:t>
      </w:r>
      <w:r w:rsidR="004D5E53">
        <w:t xml:space="preserve"> Plan</w:t>
      </w:r>
      <w:bookmarkEnd w:id="254"/>
    </w:p>
    <w:p w14:paraId="669662A1" w14:textId="299B3452" w:rsidR="0097738B" w:rsidRDefault="00017CCA" w:rsidP="00475425">
      <w:pPr>
        <w:pStyle w:val="Heading2"/>
      </w:pPr>
      <w:bookmarkStart w:id="255" w:name="_Toc22196734"/>
      <w:r>
        <w:t>Purpose</w:t>
      </w:r>
      <w:bookmarkEnd w:id="255"/>
    </w:p>
    <w:p w14:paraId="08BC3119" w14:textId="582A712E" w:rsidR="00381D7D" w:rsidRDefault="002D1FFB" w:rsidP="00381D7D">
      <w:r w:rsidRPr="00DC5550">
        <w:t xml:space="preserve">The </w:t>
      </w:r>
      <w:r>
        <w:t>Engagement and Communication</w:t>
      </w:r>
      <w:r w:rsidRPr="00DC5550">
        <w:t xml:space="preserve"> Plan</w:t>
      </w:r>
      <w:r>
        <w:t xml:space="preserve"> for the Lower Murray Selected Area</w:t>
      </w:r>
      <w:r w:rsidRPr="00DC5550">
        <w:t xml:space="preserve"> is designed to</w:t>
      </w:r>
      <w:r>
        <w:t xml:space="preserve"> ensure that the broader community are effectively informed about project activities and outcomes from environmental watering, and to</w:t>
      </w:r>
      <w:r w:rsidRPr="00DC5550">
        <w:t xml:space="preserve"> ensure appropriate information exchange </w:t>
      </w:r>
      <w:r>
        <w:t xml:space="preserve">between </w:t>
      </w:r>
      <w:r w:rsidRPr="00DC5550">
        <w:t>parties involved in environmental watering and monitoring</w:t>
      </w:r>
      <w:r>
        <w:t>/research</w:t>
      </w:r>
      <w:r w:rsidRPr="00DC5550">
        <w:t xml:space="preserve">. </w:t>
      </w:r>
      <w:r w:rsidR="00381D7D" w:rsidRPr="00E95CCA">
        <w:t xml:space="preserve">Through various communication and engagement activities, we aim to continue to communicate the purpose and outcomes of the project with </w:t>
      </w:r>
      <w:r w:rsidRPr="00E95CCA">
        <w:t>stakeholders</w:t>
      </w:r>
      <w:r>
        <w:t xml:space="preserve"> (including the broader community)</w:t>
      </w:r>
      <w:r w:rsidRPr="00E95CCA">
        <w:t>,</w:t>
      </w:r>
      <w:r w:rsidR="00381D7D" w:rsidRPr="00E95CCA">
        <w:t xml:space="preserve"> and seek </w:t>
      </w:r>
      <w:r w:rsidR="00381D7D">
        <w:t>their</w:t>
      </w:r>
      <w:r w:rsidR="00381D7D" w:rsidRPr="00E95CCA">
        <w:t xml:space="preserve"> support for the MER activities and adaptive management of flows where appropriate. </w:t>
      </w:r>
      <w:r w:rsidR="00381D7D" w:rsidRPr="00DC5550">
        <w:t xml:space="preserve">Engagement with the </w:t>
      </w:r>
      <w:r w:rsidR="00381D7D">
        <w:t xml:space="preserve">broader </w:t>
      </w:r>
      <w:r w:rsidR="00381D7D" w:rsidRPr="00DC5550">
        <w:t xml:space="preserve">community will </w:t>
      </w:r>
      <w:r w:rsidR="00381D7D">
        <w:t>build on existing</w:t>
      </w:r>
      <w:r w:rsidR="00381D7D" w:rsidRPr="00DC5550">
        <w:t xml:space="preserve"> stakeholder engagement processes</w:t>
      </w:r>
      <w:r w:rsidR="00381D7D">
        <w:t xml:space="preserve"> of CEWO and the consortium partners, and extend and improve communication activities since the commencement of LTIM Project in 2014</w:t>
      </w:r>
      <w:r w:rsidR="00381D7D" w:rsidRPr="00DC5550">
        <w:t xml:space="preserve">. </w:t>
      </w:r>
    </w:p>
    <w:p w14:paraId="36B43C30" w14:textId="77777777" w:rsidR="00381D7D" w:rsidRDefault="00381D7D" w:rsidP="00381D7D">
      <w:r w:rsidRPr="007C158F">
        <w:t xml:space="preserve">The objectives of the Engagement </w:t>
      </w:r>
      <w:r>
        <w:t xml:space="preserve">and Communication </w:t>
      </w:r>
      <w:r w:rsidRPr="007C158F">
        <w:t>Plan are to:</w:t>
      </w:r>
    </w:p>
    <w:p w14:paraId="0D369C97" w14:textId="77777777" w:rsidR="002D1FFB" w:rsidRDefault="002D1FFB" w:rsidP="002D1FFB">
      <w:pPr>
        <w:pStyle w:val="ListBullet"/>
      </w:pPr>
      <w:r w:rsidRPr="007C158F">
        <w:t xml:space="preserve">Engage effectively with </w:t>
      </w:r>
      <w:r>
        <w:t>key stakeholder</w:t>
      </w:r>
      <w:r w:rsidRPr="007C158F">
        <w:t xml:space="preserve"> </w:t>
      </w:r>
      <w:r>
        <w:t xml:space="preserve">groups including the broader community to support the MER Project and adaptively manage water for the environment in the Lower Murray. </w:t>
      </w:r>
    </w:p>
    <w:p w14:paraId="032202CF" w14:textId="77777777" w:rsidR="002D1FFB" w:rsidRDefault="002D1FFB" w:rsidP="002D1FFB">
      <w:pPr>
        <w:pStyle w:val="ListBullet"/>
      </w:pPr>
      <w:r>
        <w:t>Work effectively with the Flow-MER team (Basin-scale, Selected Area and CEWO) to integrate communication outputs and outcomes of specific environmental flow outcomes in the Lower Murray.</w:t>
      </w:r>
    </w:p>
    <w:p w14:paraId="4AD26A48" w14:textId="62CC9F2A" w:rsidR="002D1FFB" w:rsidRDefault="002D1FFB" w:rsidP="002D1FFB">
      <w:pPr>
        <w:pStyle w:val="ListBullet"/>
      </w:pPr>
      <w:r>
        <w:t>Engage with aboriginal groups and recreational fishing groups via targeted and relevant activities in an appropriate manner.</w:t>
      </w:r>
    </w:p>
    <w:p w14:paraId="4628DFD7" w14:textId="05443703" w:rsidR="00381D7D" w:rsidRPr="00572D6D" w:rsidRDefault="002D1FFB" w:rsidP="002D1FFB">
      <w:pPr>
        <w:pStyle w:val="ListBullet"/>
      </w:pPr>
      <w:r w:rsidRPr="00572D6D">
        <w:t>Have fun, engage thoughtfully, engage early, value knowledge, develop trusting relationships through time, celebrate and promote the wins, and respect cultural and local contexts</w:t>
      </w:r>
      <w:r w:rsidR="00381D7D" w:rsidRPr="00572D6D">
        <w:t xml:space="preserve">. </w:t>
      </w:r>
    </w:p>
    <w:p w14:paraId="29200D9A" w14:textId="77777777" w:rsidR="00381D7D" w:rsidRDefault="00381D7D" w:rsidP="00381D7D">
      <w:pPr>
        <w:pStyle w:val="ListBullet"/>
        <w:numPr>
          <w:ilvl w:val="0"/>
          <w:numId w:val="0"/>
        </w:numPr>
        <w:ind w:left="720"/>
      </w:pPr>
    </w:p>
    <w:p w14:paraId="4DB6A642" w14:textId="77777777" w:rsidR="00381D7D" w:rsidRDefault="00381D7D" w:rsidP="00381D7D">
      <w:r w:rsidRPr="007C158F">
        <w:t xml:space="preserve">The Engagement </w:t>
      </w:r>
      <w:r>
        <w:t xml:space="preserve">and Communication </w:t>
      </w:r>
      <w:r w:rsidRPr="007C158F">
        <w:t xml:space="preserve">Plan </w:t>
      </w:r>
      <w:r>
        <w:t xml:space="preserve">is </w:t>
      </w:r>
      <w:r w:rsidRPr="007C158F">
        <w:t xml:space="preserve">guided by the International Association for Public Participation’s </w:t>
      </w:r>
      <w:r>
        <w:t xml:space="preserve">(IAP2) </w:t>
      </w:r>
      <w:r w:rsidRPr="007C158F">
        <w:t>Public Participation Spectrum.</w:t>
      </w:r>
    </w:p>
    <w:p w14:paraId="093EE90D" w14:textId="7A98BBE5" w:rsidR="00443EDA" w:rsidRDefault="007D5418" w:rsidP="00475425">
      <w:pPr>
        <w:pStyle w:val="Heading3"/>
      </w:pPr>
      <w:bookmarkStart w:id="256" w:name="_Toc22196735"/>
      <w:r>
        <w:t>Principles</w:t>
      </w:r>
      <w:r w:rsidR="002E07A0" w:rsidRPr="0012367F">
        <w:t xml:space="preserve"> for </w:t>
      </w:r>
      <w:r w:rsidR="00660266" w:rsidRPr="0012367F">
        <w:t>communicati</w:t>
      </w:r>
      <w:r w:rsidR="00660266">
        <w:t>ng</w:t>
      </w:r>
      <w:r w:rsidR="00660266" w:rsidRPr="0012367F">
        <w:t xml:space="preserve"> </w:t>
      </w:r>
      <w:r w:rsidR="002E07A0" w:rsidRPr="0012367F">
        <w:t>information about the project</w:t>
      </w:r>
      <w:bookmarkEnd w:id="256"/>
    </w:p>
    <w:p w14:paraId="098E0F8B" w14:textId="73E74A16" w:rsidR="00381D7D" w:rsidRPr="007C158F" w:rsidRDefault="00381D7D" w:rsidP="00381D7D">
      <w:r w:rsidRPr="007C158F">
        <w:t xml:space="preserve">Community and stakeholder engagement requires a strong foundation. To create this foundation the </w:t>
      </w:r>
      <w:r w:rsidRPr="000F53E7">
        <w:t>Lower Murray</w:t>
      </w:r>
      <w:r>
        <w:t xml:space="preserve"> Selected Area </w:t>
      </w:r>
      <w:r w:rsidR="001F661A">
        <w:t>C</w:t>
      </w:r>
      <w:r>
        <w:t>onsortium</w:t>
      </w:r>
      <w:r w:rsidRPr="007C158F">
        <w:t xml:space="preserve"> has adopted the </w:t>
      </w:r>
      <w:r>
        <w:t>seven</w:t>
      </w:r>
      <w:r w:rsidRPr="007C158F">
        <w:t xml:space="preserve"> principles outlined within ‘Better Together: Principles of Engagement’, developed by the </w:t>
      </w:r>
      <w:r>
        <w:t>South Australian</w:t>
      </w:r>
      <w:r w:rsidRPr="007C158F">
        <w:t xml:space="preserve"> </w:t>
      </w:r>
      <w:r>
        <w:t>G</w:t>
      </w:r>
      <w:r w:rsidRPr="007C158F">
        <w:t xml:space="preserve">overnment to provide a consistent approach to community engagement. It has been developed using the values and practices of </w:t>
      </w:r>
      <w:r>
        <w:t>IAP2.</w:t>
      </w:r>
    </w:p>
    <w:p w14:paraId="29F707F0" w14:textId="77777777" w:rsidR="00381D7D" w:rsidRDefault="00381D7D" w:rsidP="00381D7D">
      <w:pPr>
        <w:pStyle w:val="ListBullet"/>
      </w:pPr>
      <w:r>
        <w:t>We begin early.</w:t>
      </w:r>
    </w:p>
    <w:p w14:paraId="04F83DC2" w14:textId="77777777" w:rsidR="00381D7D" w:rsidRDefault="00381D7D" w:rsidP="00381D7D">
      <w:pPr>
        <w:pStyle w:val="ListBullet"/>
      </w:pPr>
      <w:r w:rsidRPr="007C158F">
        <w:t>We know what we want to achieve and we communicate it clearly.</w:t>
      </w:r>
    </w:p>
    <w:p w14:paraId="4265FE76" w14:textId="77777777" w:rsidR="00381D7D" w:rsidRDefault="00381D7D" w:rsidP="00381D7D">
      <w:pPr>
        <w:pStyle w:val="ListBullet"/>
      </w:pPr>
      <w:r w:rsidRPr="007C158F">
        <w:t>We know who to engage.</w:t>
      </w:r>
    </w:p>
    <w:p w14:paraId="5DDFDD8A" w14:textId="77777777" w:rsidR="00381D7D" w:rsidRDefault="00381D7D" w:rsidP="00381D7D">
      <w:pPr>
        <w:pStyle w:val="ListBullet"/>
      </w:pPr>
      <w:r w:rsidRPr="007C158F">
        <w:t>We know the background and history.</w:t>
      </w:r>
    </w:p>
    <w:p w14:paraId="7042EDD1" w14:textId="77777777" w:rsidR="00381D7D" w:rsidRDefault="00381D7D" w:rsidP="00381D7D">
      <w:pPr>
        <w:pStyle w:val="ListBullet"/>
      </w:pPr>
      <w:r w:rsidRPr="007C158F">
        <w:t>We are genuine.</w:t>
      </w:r>
    </w:p>
    <w:p w14:paraId="52AA6056" w14:textId="77777777" w:rsidR="00381D7D" w:rsidRDefault="00381D7D" w:rsidP="00381D7D">
      <w:pPr>
        <w:pStyle w:val="ListBullet"/>
      </w:pPr>
      <w:r>
        <w:t>We r</w:t>
      </w:r>
      <w:r w:rsidRPr="007C158F">
        <w:t>ecogni</w:t>
      </w:r>
      <w:r>
        <w:t>se</w:t>
      </w:r>
      <w:r w:rsidRPr="007C158F">
        <w:t xml:space="preserve"> and celebrat</w:t>
      </w:r>
      <w:r>
        <w:t>e</w:t>
      </w:r>
      <w:r w:rsidRPr="007C158F">
        <w:t>.</w:t>
      </w:r>
    </w:p>
    <w:p w14:paraId="6D3EB55B" w14:textId="77777777" w:rsidR="00381D7D" w:rsidRDefault="00381D7D" w:rsidP="00381D7D">
      <w:pPr>
        <w:pStyle w:val="ListBullet"/>
      </w:pPr>
      <w:r>
        <w:t>We are creative, relevant and engaging.</w:t>
      </w:r>
    </w:p>
    <w:p w14:paraId="4F89C14A" w14:textId="2F747B8C" w:rsidR="002D1FFB" w:rsidRDefault="002D1FFB" w:rsidP="002D1FFB">
      <w:pPr>
        <w:pStyle w:val="Heading3"/>
      </w:pPr>
      <w:bookmarkStart w:id="257" w:name="_Toc22196736"/>
      <w:r w:rsidRPr="008840BD">
        <w:t xml:space="preserve">Protocols for </w:t>
      </w:r>
      <w:r>
        <w:t>good communication</w:t>
      </w:r>
      <w:bookmarkEnd w:id="257"/>
    </w:p>
    <w:p w14:paraId="72C900D5" w14:textId="3406B593" w:rsidR="002D1FFB" w:rsidRDefault="002D1FFB" w:rsidP="002D1FFB">
      <w:r>
        <w:t>While it is important to allow robust debate and discussion about processes, methodologies and interpretation, it is important for the credibility of the overall MER program that information delivered by the project team</w:t>
      </w:r>
      <w:r w:rsidR="004D5E53">
        <w:t xml:space="preserve"> </w:t>
      </w:r>
      <w:r>
        <w:t>is accurate and consistent.</w:t>
      </w:r>
    </w:p>
    <w:p w14:paraId="6B0DE514" w14:textId="7BFB030C" w:rsidR="002D1FFB" w:rsidRDefault="006C7DFF" w:rsidP="002D1FFB">
      <w:r>
        <w:t>As a standard p</w:t>
      </w:r>
      <w:r w:rsidR="00A14188">
        <w:t>rocess</w:t>
      </w:r>
      <w:r>
        <w:t>, we’ll seek</w:t>
      </w:r>
      <w:r w:rsidR="002D1FFB">
        <w:t xml:space="preserve"> CEWO</w:t>
      </w:r>
      <w:r>
        <w:t>’s approval</w:t>
      </w:r>
      <w:r w:rsidR="002D1FFB">
        <w:t xml:space="preserve"> </w:t>
      </w:r>
      <w:r w:rsidR="002D1FFB" w:rsidRPr="001711B6">
        <w:t xml:space="preserve">for </w:t>
      </w:r>
      <w:r w:rsidR="002D1FFB">
        <w:t xml:space="preserve">all communications (e.g. a blanket approval for general </w:t>
      </w:r>
      <w:r w:rsidR="002D1FFB" w:rsidRPr="001711B6">
        <w:t>com</w:t>
      </w:r>
      <w:r w:rsidR="002D1FFB">
        <w:t>munication</w:t>
      </w:r>
      <w:r w:rsidR="002D1FFB" w:rsidRPr="001711B6">
        <w:t xml:space="preserve">s and </w:t>
      </w:r>
      <w:r w:rsidR="002D1FFB">
        <w:t xml:space="preserve">additional approvals for specific communications or events), and consult </w:t>
      </w:r>
      <w:r w:rsidR="002D1FFB">
        <w:lastRenderedPageBreak/>
        <w:t xml:space="preserve">with </w:t>
      </w:r>
      <w:r>
        <w:t xml:space="preserve">the Lower Murray </w:t>
      </w:r>
      <w:r w:rsidR="002D1FFB">
        <w:t xml:space="preserve">Selected Area Working Group where appropriate.  If there are any findings that could be construed as criticisms of or concerns about the </w:t>
      </w:r>
      <w:r w:rsidR="002D1FFB" w:rsidRPr="0059562E">
        <w:t>MER</w:t>
      </w:r>
      <w:r w:rsidR="002D1FFB">
        <w:t xml:space="preserve"> Project, they will be discussed between CEWO</w:t>
      </w:r>
      <w:r w:rsidR="002D1FFB" w:rsidRPr="00952117">
        <w:rPr>
          <w:rFonts w:cstheme="minorBidi"/>
        </w:rPr>
        <w:t xml:space="preserve"> Project Manage</w:t>
      </w:r>
      <w:r w:rsidR="002D1FFB">
        <w:rPr>
          <w:rFonts w:cstheme="minorBidi"/>
        </w:rPr>
        <w:t xml:space="preserve">r(s) </w:t>
      </w:r>
      <w:r w:rsidR="002D1FFB">
        <w:t>and the Project Leader to gain agreement on appropriate language.</w:t>
      </w:r>
    </w:p>
    <w:p w14:paraId="503A3D3D" w14:textId="19BAD0FC" w:rsidR="00381D7D" w:rsidRDefault="00381D7D" w:rsidP="002D1FFB">
      <w:r>
        <w:t>The Project Leader will advise CEWO</w:t>
      </w:r>
      <w:r w:rsidRPr="00952117">
        <w:t xml:space="preserve"> Project Manage</w:t>
      </w:r>
      <w:r>
        <w:t>r(s) of any meetings she organises</w:t>
      </w:r>
      <w:r w:rsidR="006C7DFF">
        <w:t xml:space="preserve"> for the MER Project</w:t>
      </w:r>
      <w:r>
        <w:t xml:space="preserve">, and offer </w:t>
      </w:r>
      <w:r w:rsidRPr="00952117">
        <w:t>the</w:t>
      </w:r>
      <w:r>
        <w:t>m the</w:t>
      </w:r>
      <w:r w:rsidRPr="00952117">
        <w:t xml:space="preserve"> opportunity to contribute to </w:t>
      </w:r>
      <w:r>
        <w:t xml:space="preserve">relevant </w:t>
      </w:r>
      <w:r w:rsidRPr="00952117">
        <w:t xml:space="preserve">discussions. </w:t>
      </w:r>
    </w:p>
    <w:p w14:paraId="654C3409" w14:textId="77777777" w:rsidR="00381D7D" w:rsidRDefault="00381D7D" w:rsidP="00381D7D">
      <w:r>
        <w:t>Any written recording of meetings should accurately reflect the content of the discussion, but remove any emotive language.</w:t>
      </w:r>
    </w:p>
    <w:p w14:paraId="3775262C" w14:textId="2BC8A520" w:rsidR="00381D7D" w:rsidRDefault="00A14188" w:rsidP="00381D7D">
      <w:r>
        <w:t>If there are a</w:t>
      </w:r>
      <w:r w:rsidR="00381D7D">
        <w:t xml:space="preserve">ny </w:t>
      </w:r>
      <w:r>
        <w:t xml:space="preserve">issues </w:t>
      </w:r>
      <w:r w:rsidR="00381D7D">
        <w:t xml:space="preserve">or concerns </w:t>
      </w:r>
      <w:r>
        <w:t xml:space="preserve">of the Project </w:t>
      </w:r>
      <w:r w:rsidR="00381D7D">
        <w:t>raised by stakeholders</w:t>
      </w:r>
      <w:r>
        <w:t>, they</w:t>
      </w:r>
      <w:r w:rsidR="00381D7D">
        <w:t xml:space="preserve"> will be communicated to CEWO through the Project Leader. It is expected that any concerns presented to CEWO will be responded to in a timely manner, through the Project Leader back to the </w:t>
      </w:r>
      <w:r w:rsidR="00832373">
        <w:t>stakeholders</w:t>
      </w:r>
      <w:r w:rsidR="00381D7D">
        <w:t xml:space="preserve">. </w:t>
      </w:r>
    </w:p>
    <w:p w14:paraId="244624DA" w14:textId="77777777" w:rsidR="00381D7D" w:rsidRDefault="00381D7D" w:rsidP="00381D7D">
      <w:r>
        <w:t>All requests for</w:t>
      </w:r>
      <w:r w:rsidRPr="00952117">
        <w:t xml:space="preserve"> media communications </w:t>
      </w:r>
      <w:r>
        <w:t xml:space="preserve">will be referred to CEWO Project Manager (s) with oversight of the </w:t>
      </w:r>
      <w:r w:rsidRPr="000F53E7">
        <w:t>Lower Murray</w:t>
      </w:r>
      <w:r>
        <w:t xml:space="preserve"> </w:t>
      </w:r>
      <w:r w:rsidRPr="0059562E">
        <w:t>MER</w:t>
      </w:r>
      <w:r>
        <w:t xml:space="preserve"> Project. Approval will also be sought from appropriate research director and communication manager at PIRSA-SARDI. </w:t>
      </w:r>
    </w:p>
    <w:p w14:paraId="320081E2" w14:textId="0B123085" w:rsidR="00381D7D" w:rsidRDefault="00381D7D" w:rsidP="00381D7D">
      <w:r w:rsidRPr="00A973FF">
        <w:t xml:space="preserve">In all communications related to the </w:t>
      </w:r>
      <w:r w:rsidRPr="0059562E">
        <w:t>MER</w:t>
      </w:r>
      <w:r w:rsidRPr="00A973FF">
        <w:t xml:space="preserve"> Project (both </w:t>
      </w:r>
      <w:r>
        <w:t xml:space="preserve">internal </w:t>
      </w:r>
      <w:r w:rsidRPr="00A973FF">
        <w:t xml:space="preserve">operational and external), the </w:t>
      </w:r>
      <w:r w:rsidRPr="000F53E7">
        <w:t>Lower Murray</w:t>
      </w:r>
      <w:r>
        <w:t xml:space="preserve"> Selected Area</w:t>
      </w:r>
      <w:r w:rsidRPr="00A973FF">
        <w:t xml:space="preserve"> </w:t>
      </w:r>
      <w:r w:rsidR="001F661A">
        <w:t>C</w:t>
      </w:r>
      <w:r w:rsidRPr="00A973FF">
        <w:t xml:space="preserve">onsortium members agree to comply with the Code of Conduct developed by </w:t>
      </w:r>
      <w:r>
        <w:t>CEWO</w:t>
      </w:r>
      <w:r w:rsidRPr="00A973FF">
        <w:t>.</w:t>
      </w:r>
    </w:p>
    <w:p w14:paraId="21F4AE06" w14:textId="77777777" w:rsidR="002E07A0" w:rsidRDefault="002E07A0" w:rsidP="00475425">
      <w:pPr>
        <w:pStyle w:val="Heading3"/>
      </w:pPr>
      <w:bookmarkStart w:id="258" w:name="_Toc22196737"/>
      <w:r>
        <w:t>Stakeholder groups</w:t>
      </w:r>
      <w:bookmarkEnd w:id="258"/>
    </w:p>
    <w:p w14:paraId="42C4D3C7" w14:textId="77777777" w:rsidR="00443EDA" w:rsidRPr="001D5811" w:rsidRDefault="004F72D2" w:rsidP="001D5811">
      <w:pPr>
        <w:rPr>
          <w:b/>
          <w:szCs w:val="22"/>
          <w:u w:val="single"/>
        </w:rPr>
      </w:pPr>
      <w:bookmarkStart w:id="259" w:name="_Toc372727263"/>
      <w:r w:rsidRPr="001D5811">
        <w:rPr>
          <w:b/>
          <w:szCs w:val="22"/>
          <w:u w:val="single"/>
        </w:rPr>
        <w:t>Clients</w:t>
      </w:r>
      <w:bookmarkEnd w:id="259"/>
      <w:r w:rsidRPr="001D5811">
        <w:rPr>
          <w:b/>
          <w:szCs w:val="22"/>
          <w:u w:val="single"/>
        </w:rPr>
        <w:t xml:space="preserve"> </w:t>
      </w:r>
    </w:p>
    <w:p w14:paraId="13FD4A98" w14:textId="79A94D73" w:rsidR="00443EDA" w:rsidRDefault="00B57F17" w:rsidP="00F02673">
      <w:r>
        <w:t>Clients</w:t>
      </w:r>
      <w:r w:rsidR="004F72D2" w:rsidRPr="007C158F">
        <w:t xml:space="preserve"> are those who are affected by the outcomes of the </w:t>
      </w:r>
      <w:r w:rsidR="0059562E" w:rsidRPr="0059562E">
        <w:t>MER</w:t>
      </w:r>
      <w:r w:rsidR="00113E55">
        <w:t xml:space="preserve"> </w:t>
      </w:r>
      <w:r w:rsidR="004F72D2" w:rsidRPr="007C158F">
        <w:t xml:space="preserve">Project and </w:t>
      </w:r>
      <w:r w:rsidR="00A50E47">
        <w:t xml:space="preserve">are </w:t>
      </w:r>
      <w:r w:rsidR="004F72D2" w:rsidRPr="007C158F">
        <w:t xml:space="preserve">critical to the success of the </w:t>
      </w:r>
      <w:r w:rsidR="00113E55">
        <w:t>p</w:t>
      </w:r>
      <w:r w:rsidR="004F72D2" w:rsidRPr="007C158F">
        <w:t xml:space="preserve">roject. </w:t>
      </w:r>
      <w:bookmarkStart w:id="260" w:name="_Toc363476563"/>
      <w:bookmarkStart w:id="261" w:name="_Toc372727264"/>
      <w:bookmarkStart w:id="262" w:name="_Toc381086840"/>
      <w:bookmarkStart w:id="263" w:name="_Toc381380595"/>
    </w:p>
    <w:p w14:paraId="77235FC3" w14:textId="66FE0B0B" w:rsidR="00443EDA" w:rsidRPr="00D426B1" w:rsidRDefault="0083048A" w:rsidP="00D426B1">
      <w:pPr>
        <w:pStyle w:val="Captions"/>
      </w:pPr>
      <w:bookmarkStart w:id="264" w:name="_Toc391539142"/>
      <w:bookmarkStart w:id="265" w:name="_Toc391553305"/>
      <w:bookmarkStart w:id="266" w:name="_Toc396899634"/>
      <w:bookmarkStart w:id="267" w:name="_Toc396899729"/>
      <w:bookmarkStart w:id="268" w:name="_Toc12630253"/>
      <w:r w:rsidRPr="00D426B1">
        <w:t xml:space="preserve">Table </w:t>
      </w:r>
      <w:r w:rsidR="00F359A2">
        <w:fldChar w:fldCharType="begin"/>
      </w:r>
      <w:r w:rsidR="00F359A2">
        <w:instrText xml:space="preserve"> STYLEREF 1 \s </w:instrText>
      </w:r>
      <w:r w:rsidR="00F359A2">
        <w:fldChar w:fldCharType="separate"/>
      </w:r>
      <w:r w:rsidR="00DF49CD">
        <w:rPr>
          <w:noProof/>
        </w:rPr>
        <w:t>8</w:t>
      </w:r>
      <w:r w:rsidR="00F359A2">
        <w:fldChar w:fldCharType="end"/>
      </w:r>
      <w:r w:rsidR="00F359A2">
        <w:t>.</w:t>
      </w:r>
      <w:r w:rsidR="00F359A2">
        <w:fldChar w:fldCharType="begin"/>
      </w:r>
      <w:r w:rsidR="00F359A2">
        <w:instrText xml:space="preserve"> SEQ Table \* ARABIC \s 1 </w:instrText>
      </w:r>
      <w:r w:rsidR="00F359A2">
        <w:fldChar w:fldCharType="separate"/>
      </w:r>
      <w:r w:rsidR="00DF49CD">
        <w:rPr>
          <w:noProof/>
        </w:rPr>
        <w:t>1</w:t>
      </w:r>
      <w:r w:rsidR="00F359A2">
        <w:fldChar w:fldCharType="end"/>
      </w:r>
      <w:r w:rsidR="00E2798E" w:rsidRPr="00D426B1">
        <w:t>.</w:t>
      </w:r>
      <w:r w:rsidR="00E2798E" w:rsidRPr="00D426B1">
        <w:tab/>
      </w:r>
      <w:r w:rsidR="00DC5550" w:rsidRPr="00D426B1">
        <w:t>Client</w:t>
      </w:r>
      <w:r w:rsidR="00B57F17" w:rsidRPr="00D426B1">
        <w:t>s</w:t>
      </w:r>
      <w:r w:rsidR="00DC5550" w:rsidRPr="00D426B1">
        <w:t xml:space="preserve"> for engagement</w:t>
      </w:r>
      <w:bookmarkEnd w:id="260"/>
      <w:bookmarkEnd w:id="261"/>
      <w:bookmarkEnd w:id="262"/>
      <w:bookmarkEnd w:id="263"/>
      <w:bookmarkEnd w:id="264"/>
      <w:bookmarkEnd w:id="265"/>
      <w:bookmarkEnd w:id="266"/>
      <w:bookmarkEnd w:id="267"/>
      <w:bookmarkEnd w:id="2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4"/>
        <w:gridCol w:w="3200"/>
        <w:gridCol w:w="3886"/>
      </w:tblGrid>
      <w:tr w:rsidR="00381D7D" w:rsidRPr="007C158F" w14:paraId="597E8380" w14:textId="77777777" w:rsidTr="00381D7D">
        <w:trPr>
          <w:cantSplit/>
          <w:trHeight w:val="135"/>
          <w:tblHeader/>
        </w:trPr>
        <w:tc>
          <w:tcPr>
            <w:tcW w:w="1951" w:type="dxa"/>
            <w:tcBorders>
              <w:top w:val="single" w:sz="4" w:space="0" w:color="auto"/>
              <w:bottom w:val="single" w:sz="4" w:space="0" w:color="auto"/>
            </w:tcBorders>
            <w:shd w:val="clear" w:color="auto" w:fill="BFBFBF" w:themeFill="background1" w:themeFillShade="BF"/>
          </w:tcPr>
          <w:p w14:paraId="301DE026" w14:textId="77777777" w:rsidR="00381D7D" w:rsidRDefault="00381D7D" w:rsidP="00381D7D">
            <w:pPr>
              <w:pStyle w:val="TableHeading"/>
            </w:pPr>
            <w:r w:rsidRPr="007C158F">
              <w:t>Client</w:t>
            </w:r>
          </w:p>
        </w:tc>
        <w:tc>
          <w:tcPr>
            <w:tcW w:w="3260" w:type="dxa"/>
            <w:tcBorders>
              <w:top w:val="single" w:sz="4" w:space="0" w:color="auto"/>
              <w:bottom w:val="single" w:sz="4" w:space="0" w:color="auto"/>
            </w:tcBorders>
            <w:shd w:val="clear" w:color="auto" w:fill="BFBFBF" w:themeFill="background1" w:themeFillShade="BF"/>
          </w:tcPr>
          <w:p w14:paraId="052CEDBF" w14:textId="77777777" w:rsidR="00381D7D" w:rsidRDefault="00381D7D" w:rsidP="00381D7D">
            <w:pPr>
              <w:pStyle w:val="TableHeading"/>
            </w:pPr>
            <w:r>
              <w:t>Role and benefit to the project</w:t>
            </w:r>
          </w:p>
        </w:tc>
        <w:tc>
          <w:tcPr>
            <w:tcW w:w="3969" w:type="dxa"/>
            <w:tcBorders>
              <w:top w:val="single" w:sz="4" w:space="0" w:color="auto"/>
              <w:bottom w:val="single" w:sz="4" w:space="0" w:color="auto"/>
            </w:tcBorders>
            <w:shd w:val="clear" w:color="auto" w:fill="BFBFBF" w:themeFill="background1" w:themeFillShade="BF"/>
          </w:tcPr>
          <w:p w14:paraId="27A966FE" w14:textId="77777777" w:rsidR="00381D7D" w:rsidRDefault="00381D7D" w:rsidP="00381D7D">
            <w:pPr>
              <w:pStyle w:val="TableHeading"/>
            </w:pPr>
            <w:r w:rsidRPr="007C158F">
              <w:t xml:space="preserve">Primary </w:t>
            </w:r>
            <w:r>
              <w:t>m</w:t>
            </w:r>
            <w:r w:rsidRPr="007C158F">
              <w:t xml:space="preserve">ethod of </w:t>
            </w:r>
            <w:r>
              <w:t>e</w:t>
            </w:r>
            <w:r w:rsidRPr="007C158F">
              <w:t xml:space="preserve">ngagement </w:t>
            </w:r>
          </w:p>
          <w:p w14:paraId="28E0F75D" w14:textId="77777777" w:rsidR="00381D7D" w:rsidRDefault="00381D7D" w:rsidP="00381D7D">
            <w:pPr>
              <w:pStyle w:val="TableHeading"/>
            </w:pPr>
          </w:p>
        </w:tc>
      </w:tr>
      <w:tr w:rsidR="00381D7D" w:rsidRPr="007C158F" w14:paraId="7C69595E" w14:textId="77777777" w:rsidTr="00381D7D">
        <w:trPr>
          <w:cantSplit/>
          <w:trHeight w:val="94"/>
        </w:trPr>
        <w:tc>
          <w:tcPr>
            <w:tcW w:w="1951" w:type="dxa"/>
            <w:tcBorders>
              <w:top w:val="single" w:sz="4" w:space="0" w:color="auto"/>
            </w:tcBorders>
            <w:shd w:val="clear" w:color="auto" w:fill="auto"/>
          </w:tcPr>
          <w:p w14:paraId="6587A1BC" w14:textId="77777777" w:rsidR="00381D7D" w:rsidRDefault="00381D7D" w:rsidP="00381D7D">
            <w:pPr>
              <w:pStyle w:val="TableText"/>
            </w:pPr>
            <w:r w:rsidRPr="00935B41">
              <w:t xml:space="preserve"> CEWO</w:t>
            </w:r>
          </w:p>
        </w:tc>
        <w:tc>
          <w:tcPr>
            <w:tcW w:w="3260" w:type="dxa"/>
            <w:tcBorders>
              <w:top w:val="single" w:sz="4" w:space="0" w:color="auto"/>
            </w:tcBorders>
            <w:shd w:val="clear" w:color="auto" w:fill="auto"/>
          </w:tcPr>
          <w:p w14:paraId="1F549A24" w14:textId="77777777" w:rsidR="00381D7D" w:rsidRDefault="00381D7D" w:rsidP="00381D7D">
            <w:pPr>
              <w:pStyle w:val="TableText"/>
            </w:pPr>
            <w:r w:rsidRPr="007D6195">
              <w:t>Purchasing client</w:t>
            </w:r>
          </w:p>
          <w:p w14:paraId="0BAA1FB0" w14:textId="77777777" w:rsidR="00381D7D" w:rsidRDefault="00381D7D" w:rsidP="00381D7D">
            <w:pPr>
              <w:pStyle w:val="TableText"/>
            </w:pPr>
            <w:r w:rsidRPr="007D6195">
              <w:t>Defines the deliverables</w:t>
            </w:r>
          </w:p>
          <w:p w14:paraId="60141EE3" w14:textId="77777777" w:rsidR="00381D7D" w:rsidRDefault="00381D7D" w:rsidP="00381D7D">
            <w:pPr>
              <w:pStyle w:val="TableText"/>
            </w:pPr>
            <w:r w:rsidRPr="007D6195">
              <w:t>Approves milestone payments</w:t>
            </w:r>
          </w:p>
          <w:p w14:paraId="188E56CA" w14:textId="7EF1E0C6" w:rsidR="002D1FFB" w:rsidRPr="002D1FFB" w:rsidRDefault="002D1FFB" w:rsidP="002D1FFB">
            <w:r w:rsidRPr="00777010">
              <w:rPr>
                <w:sz w:val="20"/>
                <w:lang w:eastAsia="ar-SA"/>
              </w:rPr>
              <w:t>Knowledge adoption in adaptive management of environmental flows</w:t>
            </w:r>
          </w:p>
        </w:tc>
        <w:tc>
          <w:tcPr>
            <w:tcW w:w="3969" w:type="dxa"/>
            <w:tcBorders>
              <w:top w:val="single" w:sz="4" w:space="0" w:color="auto"/>
            </w:tcBorders>
          </w:tcPr>
          <w:p w14:paraId="27A45189" w14:textId="77777777" w:rsidR="00381D7D" w:rsidRDefault="00381D7D" w:rsidP="00381D7D">
            <w:pPr>
              <w:pStyle w:val="TableText"/>
            </w:pPr>
            <w:r w:rsidRPr="007D6195">
              <w:t>Contract with SARDI</w:t>
            </w:r>
          </w:p>
          <w:p w14:paraId="65D8B98D" w14:textId="384DB8FE" w:rsidR="00381D7D" w:rsidRDefault="00381D7D" w:rsidP="00381D7D">
            <w:pPr>
              <w:pStyle w:val="TableText"/>
            </w:pPr>
            <w:r w:rsidRPr="007D6195">
              <w:t xml:space="preserve">Reporting (see </w:t>
            </w:r>
            <w:r>
              <w:t>S</w:t>
            </w:r>
            <w:r w:rsidRPr="007D6195">
              <w:t>ection</w:t>
            </w:r>
            <w:r w:rsidR="00B56039">
              <w:t xml:space="preserve"> </w:t>
            </w:r>
            <w:r w:rsidR="00B56039">
              <w:fldChar w:fldCharType="begin"/>
            </w:r>
            <w:r w:rsidR="00B56039">
              <w:instrText xml:space="preserve"> REF _Ref10213461 \r \h </w:instrText>
            </w:r>
            <w:r w:rsidR="00B56039">
              <w:fldChar w:fldCharType="separate"/>
            </w:r>
            <w:r w:rsidR="00DF49CD">
              <w:t>1</w:t>
            </w:r>
            <w:r w:rsidR="00B56039">
              <w:fldChar w:fldCharType="end"/>
            </w:r>
            <w:r w:rsidRPr="007D6195">
              <w:t>)</w:t>
            </w:r>
          </w:p>
          <w:p w14:paraId="46534CAF" w14:textId="77777777" w:rsidR="00381D7D" w:rsidRDefault="00381D7D" w:rsidP="00381D7D">
            <w:pPr>
              <w:pStyle w:val="TableText"/>
            </w:pPr>
            <w:r w:rsidRPr="007D6195">
              <w:t>Meetings of the Selected Area Working Group</w:t>
            </w:r>
          </w:p>
          <w:p w14:paraId="04B1B616" w14:textId="77777777" w:rsidR="00381D7D" w:rsidRDefault="00381D7D" w:rsidP="00381D7D">
            <w:pPr>
              <w:rPr>
                <w:sz w:val="20"/>
              </w:rPr>
            </w:pPr>
            <w:r>
              <w:rPr>
                <w:sz w:val="20"/>
              </w:rPr>
              <w:t xml:space="preserve">Regular meetings between CEWO project manager(s) and </w:t>
            </w:r>
            <w:r w:rsidRPr="00240B29">
              <w:rPr>
                <w:sz w:val="20"/>
              </w:rPr>
              <w:t>Project Leader</w:t>
            </w:r>
            <w:r>
              <w:rPr>
                <w:sz w:val="20"/>
              </w:rPr>
              <w:t xml:space="preserve"> and relevant team member(s) </w:t>
            </w:r>
          </w:p>
          <w:p w14:paraId="30A31BAC" w14:textId="77777777" w:rsidR="00381D7D" w:rsidRPr="00240B29" w:rsidRDefault="00381D7D" w:rsidP="00381D7D">
            <w:pPr>
              <w:rPr>
                <w:sz w:val="20"/>
              </w:rPr>
            </w:pPr>
            <w:r>
              <w:rPr>
                <w:sz w:val="20"/>
              </w:rPr>
              <w:t>Steering Committee meetings</w:t>
            </w:r>
          </w:p>
        </w:tc>
      </w:tr>
      <w:tr w:rsidR="00381D7D" w:rsidRPr="007C158F" w14:paraId="21DEA8AC" w14:textId="77777777" w:rsidTr="00381D7D">
        <w:trPr>
          <w:cantSplit/>
          <w:trHeight w:val="94"/>
        </w:trPr>
        <w:tc>
          <w:tcPr>
            <w:tcW w:w="1951" w:type="dxa"/>
            <w:shd w:val="clear" w:color="auto" w:fill="auto"/>
          </w:tcPr>
          <w:p w14:paraId="70965AB7" w14:textId="77777777" w:rsidR="00381D7D" w:rsidRDefault="00381D7D" w:rsidP="00381D7D">
            <w:pPr>
              <w:pStyle w:val="TableText"/>
            </w:pPr>
            <w:r>
              <w:t>MER Basin-scale Provider</w:t>
            </w:r>
          </w:p>
        </w:tc>
        <w:tc>
          <w:tcPr>
            <w:tcW w:w="3260" w:type="dxa"/>
            <w:shd w:val="clear" w:color="auto" w:fill="auto"/>
          </w:tcPr>
          <w:p w14:paraId="53230A27" w14:textId="77777777" w:rsidR="00381D7D" w:rsidRDefault="00381D7D" w:rsidP="00381D7D">
            <w:pPr>
              <w:pStyle w:val="TableText"/>
            </w:pPr>
            <w:r w:rsidRPr="007D6195">
              <w:t xml:space="preserve">Provides technical advice on the design of the </w:t>
            </w:r>
            <w:r>
              <w:t>Basin-scale MER indicators</w:t>
            </w:r>
          </w:p>
        </w:tc>
        <w:tc>
          <w:tcPr>
            <w:tcW w:w="3969" w:type="dxa"/>
          </w:tcPr>
          <w:p w14:paraId="024954C3" w14:textId="77777777" w:rsidR="00381D7D" w:rsidRDefault="00381D7D" w:rsidP="00381D7D">
            <w:pPr>
              <w:pStyle w:val="TableText"/>
            </w:pPr>
            <w:r w:rsidRPr="007D6195">
              <w:t xml:space="preserve">Communication through </w:t>
            </w:r>
            <w:r>
              <w:t>CEWO</w:t>
            </w:r>
          </w:p>
          <w:p w14:paraId="5245611B" w14:textId="77777777" w:rsidR="00381D7D" w:rsidRDefault="00381D7D" w:rsidP="00381D7D">
            <w:pPr>
              <w:rPr>
                <w:sz w:val="20"/>
              </w:rPr>
            </w:pPr>
            <w:r w:rsidRPr="00242EDB">
              <w:rPr>
                <w:sz w:val="20"/>
              </w:rPr>
              <w:t>MER Annual Forum</w:t>
            </w:r>
            <w:r>
              <w:rPr>
                <w:sz w:val="20"/>
              </w:rPr>
              <w:t xml:space="preserve"> </w:t>
            </w:r>
          </w:p>
          <w:p w14:paraId="4AAB1F5A" w14:textId="77777777" w:rsidR="00381D7D" w:rsidRPr="00242EDB" w:rsidRDefault="00381D7D" w:rsidP="00381D7D">
            <w:r>
              <w:rPr>
                <w:sz w:val="20"/>
              </w:rPr>
              <w:t>MER T</w:t>
            </w:r>
            <w:r w:rsidRPr="00242EDB">
              <w:rPr>
                <w:sz w:val="20"/>
              </w:rPr>
              <w:t>hem</w:t>
            </w:r>
            <w:r>
              <w:rPr>
                <w:sz w:val="20"/>
              </w:rPr>
              <w:t>atic Working Group meetings</w:t>
            </w:r>
          </w:p>
        </w:tc>
      </w:tr>
      <w:tr w:rsidR="00381D7D" w:rsidRPr="007C158F" w14:paraId="7DBA002D" w14:textId="77777777" w:rsidTr="00381D7D">
        <w:trPr>
          <w:cantSplit/>
          <w:trHeight w:val="94"/>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75F99451" w14:textId="77777777" w:rsidR="00381D7D" w:rsidRDefault="00381D7D" w:rsidP="00381D7D">
            <w:pPr>
              <w:pStyle w:val="TableText"/>
            </w:pPr>
            <w:r w:rsidRPr="00935B41">
              <w:t>Partner</w:t>
            </w:r>
            <w:r>
              <w:t>s</w:t>
            </w:r>
            <w:r w:rsidRPr="00935B41">
              <w:t xml:space="preserve"> of the </w:t>
            </w:r>
            <w:r>
              <w:t>p</w:t>
            </w:r>
            <w:r w:rsidRPr="00935B41">
              <w:t xml:space="preserve">roject </w:t>
            </w:r>
            <w:r>
              <w:t>c</w:t>
            </w:r>
            <w:r w:rsidRPr="00935B41">
              <w:t>onsortium</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2BBCC5C" w14:textId="77777777" w:rsidR="00381D7D" w:rsidRDefault="00381D7D" w:rsidP="00381D7D">
            <w:pPr>
              <w:pStyle w:val="TableText"/>
            </w:pPr>
            <w:r>
              <w:t xml:space="preserve">Collaborate in the project team for the delivery of MER in the Lower Murray Selected Area. </w:t>
            </w:r>
            <w:r w:rsidRPr="007D6195">
              <w:t xml:space="preserve">Support for </w:t>
            </w:r>
            <w:r>
              <w:t>annual reporting and evaluation and communication and engagement activities.</w:t>
            </w:r>
          </w:p>
          <w:p w14:paraId="799B8C4E" w14:textId="77777777" w:rsidR="00381D7D" w:rsidRDefault="00381D7D" w:rsidP="00381D7D">
            <w:pPr>
              <w:pStyle w:val="TableText"/>
            </w:pPr>
          </w:p>
        </w:tc>
        <w:tc>
          <w:tcPr>
            <w:tcW w:w="3969" w:type="dxa"/>
            <w:tcBorders>
              <w:top w:val="single" w:sz="4" w:space="0" w:color="auto"/>
              <w:left w:val="single" w:sz="4" w:space="0" w:color="auto"/>
              <w:bottom w:val="single" w:sz="4" w:space="0" w:color="auto"/>
              <w:right w:val="single" w:sz="4" w:space="0" w:color="auto"/>
            </w:tcBorders>
          </w:tcPr>
          <w:p w14:paraId="5F6296F4" w14:textId="77777777" w:rsidR="00381D7D" w:rsidRPr="002A40AF" w:rsidRDefault="00381D7D" w:rsidP="00381D7D">
            <w:pPr>
              <w:pStyle w:val="TableText"/>
              <w:rPr>
                <w:szCs w:val="20"/>
              </w:rPr>
            </w:pPr>
            <w:r w:rsidRPr="002A40AF">
              <w:rPr>
                <w:szCs w:val="20"/>
              </w:rPr>
              <w:t>Sub-Contracts</w:t>
            </w:r>
          </w:p>
          <w:p w14:paraId="644600E8" w14:textId="77777777" w:rsidR="00381D7D" w:rsidRPr="000C5CAD" w:rsidRDefault="00381D7D" w:rsidP="00381D7D">
            <w:pPr>
              <w:pStyle w:val="TableText"/>
              <w:rPr>
                <w:szCs w:val="20"/>
              </w:rPr>
            </w:pPr>
            <w:r w:rsidRPr="00983E66">
              <w:rPr>
                <w:szCs w:val="20"/>
              </w:rPr>
              <w:t>Meetings of the Selected Area Working Group</w:t>
            </w:r>
          </w:p>
          <w:p w14:paraId="106DB641" w14:textId="77777777" w:rsidR="00B12A6E" w:rsidRDefault="00381D7D" w:rsidP="00B12A6E">
            <w:pPr>
              <w:rPr>
                <w:sz w:val="20"/>
              </w:rPr>
            </w:pPr>
            <w:r w:rsidRPr="002A40AF">
              <w:rPr>
                <w:sz w:val="20"/>
              </w:rPr>
              <w:t>Project meetings</w:t>
            </w:r>
          </w:p>
          <w:p w14:paraId="75CABCCD" w14:textId="16E5FED4" w:rsidR="00381D7D" w:rsidRPr="0056707E" w:rsidRDefault="00381D7D" w:rsidP="00B12A6E">
            <w:r>
              <w:rPr>
                <w:sz w:val="20"/>
              </w:rPr>
              <w:t>Collaborative monitoring and research activities</w:t>
            </w:r>
          </w:p>
        </w:tc>
      </w:tr>
    </w:tbl>
    <w:p w14:paraId="16DBA014" w14:textId="77777777" w:rsidR="001D5811" w:rsidRPr="001D5811" w:rsidRDefault="001D5811" w:rsidP="00F02673">
      <w:pPr>
        <w:rPr>
          <w:b/>
          <w:szCs w:val="22"/>
          <w:u w:val="single"/>
        </w:rPr>
      </w:pPr>
      <w:r w:rsidRPr="001D5811">
        <w:rPr>
          <w:b/>
          <w:szCs w:val="22"/>
          <w:u w:val="single"/>
        </w:rPr>
        <w:lastRenderedPageBreak/>
        <w:t>Stakeholders</w:t>
      </w:r>
    </w:p>
    <w:p w14:paraId="0298D06C" w14:textId="46E10E7D" w:rsidR="004F72D2" w:rsidRPr="00DC5550" w:rsidRDefault="00DC5550" w:rsidP="00F02673">
      <w:r w:rsidRPr="00DC5550">
        <w:t xml:space="preserve">Stakeholders are those </w:t>
      </w:r>
      <w:r w:rsidR="00290EBF">
        <w:t>whose</w:t>
      </w:r>
      <w:r w:rsidRPr="00DC5550">
        <w:t xml:space="preserve"> input or involvement </w:t>
      </w:r>
      <w:r w:rsidR="00935B41">
        <w:t xml:space="preserve">may be required </w:t>
      </w:r>
      <w:r w:rsidR="00B57F17">
        <w:t xml:space="preserve">for the </w:t>
      </w:r>
      <w:r w:rsidR="0059562E" w:rsidRPr="0059562E">
        <w:t>MER</w:t>
      </w:r>
      <w:r w:rsidR="00113E55">
        <w:t xml:space="preserve"> </w:t>
      </w:r>
      <w:r w:rsidR="00B57F17">
        <w:t xml:space="preserve">Project </w:t>
      </w:r>
      <w:r w:rsidRPr="00DC5550">
        <w:t>to be successful</w:t>
      </w:r>
      <w:r w:rsidR="00682FC2">
        <w:t>,</w:t>
      </w:r>
      <w:r w:rsidRPr="00DC5550">
        <w:t xml:space="preserve"> or who are likely to play a key role in supporting the outcomes of the </w:t>
      </w:r>
      <w:r w:rsidR="00113E55">
        <w:t>p</w:t>
      </w:r>
      <w:r w:rsidRPr="00DC5550">
        <w:t>roject.</w:t>
      </w:r>
    </w:p>
    <w:p w14:paraId="3B8078B4" w14:textId="6B676831" w:rsidR="00443EDA" w:rsidRDefault="0083048A" w:rsidP="00D426B1">
      <w:pPr>
        <w:pStyle w:val="Captions"/>
        <w:rPr>
          <w:rStyle w:val="Strong"/>
          <w:rFonts w:eastAsia="Calibri"/>
          <w:b/>
          <w:bCs/>
          <w:i/>
          <w:sz w:val="22"/>
          <w:szCs w:val="22"/>
        </w:rPr>
      </w:pPr>
      <w:bookmarkStart w:id="269" w:name="_Toc363476564"/>
      <w:bookmarkStart w:id="270" w:name="_Toc372727266"/>
      <w:bookmarkStart w:id="271" w:name="_Toc381086841"/>
      <w:bookmarkStart w:id="272" w:name="_Toc381380596"/>
      <w:bookmarkStart w:id="273" w:name="_Toc391539143"/>
      <w:bookmarkStart w:id="274" w:name="_Toc391553306"/>
      <w:bookmarkStart w:id="275" w:name="_Toc396899635"/>
      <w:bookmarkStart w:id="276" w:name="_Toc396899730"/>
      <w:bookmarkStart w:id="277" w:name="_Toc12630254"/>
      <w:r>
        <w:t xml:space="preserve">Table </w:t>
      </w:r>
      <w:r w:rsidR="00F359A2">
        <w:fldChar w:fldCharType="begin"/>
      </w:r>
      <w:r w:rsidR="00F359A2">
        <w:instrText xml:space="preserve"> STYLEREF 1 \s </w:instrText>
      </w:r>
      <w:r w:rsidR="00F359A2">
        <w:fldChar w:fldCharType="separate"/>
      </w:r>
      <w:r w:rsidR="00DF49CD">
        <w:rPr>
          <w:noProof/>
        </w:rPr>
        <w:t>8</w:t>
      </w:r>
      <w:r w:rsidR="00F359A2">
        <w:fldChar w:fldCharType="end"/>
      </w:r>
      <w:r w:rsidR="00F359A2">
        <w:t>.</w:t>
      </w:r>
      <w:r w:rsidR="00F359A2">
        <w:fldChar w:fldCharType="begin"/>
      </w:r>
      <w:r w:rsidR="00F359A2">
        <w:instrText xml:space="preserve"> SEQ Table \* ARABIC \s 1 </w:instrText>
      </w:r>
      <w:r w:rsidR="00F359A2">
        <w:fldChar w:fldCharType="separate"/>
      </w:r>
      <w:r w:rsidR="00DF49CD">
        <w:rPr>
          <w:noProof/>
        </w:rPr>
        <w:t>2</w:t>
      </w:r>
      <w:r w:rsidR="00F359A2">
        <w:fldChar w:fldCharType="end"/>
      </w:r>
      <w:r w:rsidR="00E2798E">
        <w:t>.</w:t>
      </w:r>
      <w:r w:rsidR="00E2798E">
        <w:tab/>
      </w:r>
      <w:r w:rsidR="00DC5550" w:rsidRPr="0083048A">
        <w:t>Stakeholder</w:t>
      </w:r>
      <w:r w:rsidR="00B57F17">
        <w:t>s</w:t>
      </w:r>
      <w:r w:rsidR="00DC5550" w:rsidRPr="002D348D">
        <w:t xml:space="preserve"> for engagemen</w:t>
      </w:r>
      <w:r w:rsidR="00290EBF">
        <w:t>t</w:t>
      </w:r>
      <w:bookmarkEnd w:id="269"/>
      <w:bookmarkEnd w:id="270"/>
      <w:bookmarkEnd w:id="271"/>
      <w:bookmarkEnd w:id="272"/>
      <w:bookmarkEnd w:id="273"/>
      <w:bookmarkEnd w:id="274"/>
      <w:bookmarkEnd w:id="275"/>
      <w:bookmarkEnd w:id="276"/>
      <w:bookmarkEnd w:id="277"/>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3260"/>
        <w:gridCol w:w="3969"/>
      </w:tblGrid>
      <w:tr w:rsidR="00381D7D" w:rsidRPr="007C158F" w14:paraId="33CB309D" w14:textId="77777777" w:rsidTr="00832373">
        <w:trPr>
          <w:cantSplit/>
          <w:trHeight w:val="135"/>
          <w:tblHeader/>
        </w:trPr>
        <w:tc>
          <w:tcPr>
            <w:tcW w:w="1951" w:type="dxa"/>
            <w:tcBorders>
              <w:top w:val="single" w:sz="4" w:space="0" w:color="auto"/>
              <w:bottom w:val="single" w:sz="4" w:space="0" w:color="auto"/>
            </w:tcBorders>
            <w:shd w:val="clear" w:color="auto" w:fill="BFBFBF" w:themeFill="background1" w:themeFillShade="BF"/>
          </w:tcPr>
          <w:p w14:paraId="16423412" w14:textId="77777777" w:rsidR="00381D7D" w:rsidRDefault="00381D7D" w:rsidP="00381D7D">
            <w:pPr>
              <w:pStyle w:val="TableHeading"/>
            </w:pPr>
            <w:r w:rsidRPr="007C158F">
              <w:t>Stakeholder</w:t>
            </w:r>
          </w:p>
        </w:tc>
        <w:tc>
          <w:tcPr>
            <w:tcW w:w="3260" w:type="dxa"/>
            <w:tcBorders>
              <w:top w:val="single" w:sz="4" w:space="0" w:color="auto"/>
              <w:bottom w:val="single" w:sz="4" w:space="0" w:color="auto"/>
            </w:tcBorders>
            <w:shd w:val="clear" w:color="auto" w:fill="BFBFBF" w:themeFill="background1" w:themeFillShade="BF"/>
          </w:tcPr>
          <w:p w14:paraId="04D45076" w14:textId="77777777" w:rsidR="00381D7D" w:rsidRDefault="00381D7D" w:rsidP="00381D7D">
            <w:pPr>
              <w:pStyle w:val="TableHeading"/>
            </w:pPr>
            <w:r>
              <w:t>Role and benefit to the project</w:t>
            </w:r>
          </w:p>
        </w:tc>
        <w:tc>
          <w:tcPr>
            <w:tcW w:w="3969" w:type="dxa"/>
            <w:tcBorders>
              <w:top w:val="single" w:sz="4" w:space="0" w:color="auto"/>
              <w:bottom w:val="single" w:sz="4" w:space="0" w:color="auto"/>
            </w:tcBorders>
            <w:shd w:val="clear" w:color="auto" w:fill="BFBFBF" w:themeFill="background1" w:themeFillShade="BF"/>
          </w:tcPr>
          <w:p w14:paraId="601F8200" w14:textId="77777777" w:rsidR="00381D7D" w:rsidRDefault="00381D7D" w:rsidP="00381D7D">
            <w:pPr>
              <w:pStyle w:val="TableHeading"/>
            </w:pPr>
            <w:r w:rsidRPr="007C158F">
              <w:t xml:space="preserve">Primary </w:t>
            </w:r>
            <w:r>
              <w:t>m</w:t>
            </w:r>
            <w:r w:rsidRPr="007C158F">
              <w:t xml:space="preserve">ethod of </w:t>
            </w:r>
            <w:r>
              <w:t>e</w:t>
            </w:r>
            <w:r w:rsidRPr="007C158F">
              <w:t xml:space="preserve">ngagement </w:t>
            </w:r>
          </w:p>
        </w:tc>
      </w:tr>
      <w:tr w:rsidR="00381D7D" w:rsidRPr="007C158F" w14:paraId="53975901" w14:textId="77777777" w:rsidTr="00832373">
        <w:trPr>
          <w:cantSplit/>
          <w:trHeight w:val="94"/>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1514BF1E" w14:textId="77777777" w:rsidR="00381D7D" w:rsidRPr="00777010" w:rsidRDefault="00381D7D" w:rsidP="00381D7D">
            <w:pPr>
              <w:pStyle w:val="TableText"/>
              <w:rPr>
                <w:szCs w:val="20"/>
                <w:lang w:eastAsia="ar-SA"/>
              </w:rPr>
            </w:pPr>
            <w:r w:rsidRPr="00777010">
              <w:rPr>
                <w:szCs w:val="20"/>
                <w:lang w:eastAsia="ar-SA"/>
              </w:rPr>
              <w:t>DEW</w:t>
            </w:r>
          </w:p>
        </w:tc>
        <w:tc>
          <w:tcPr>
            <w:tcW w:w="3260" w:type="dxa"/>
            <w:tcBorders>
              <w:top w:val="single" w:sz="4" w:space="0" w:color="auto"/>
              <w:left w:val="single" w:sz="4" w:space="0" w:color="auto"/>
              <w:bottom w:val="nil"/>
              <w:right w:val="single" w:sz="4" w:space="0" w:color="auto"/>
            </w:tcBorders>
          </w:tcPr>
          <w:p w14:paraId="57F4B1B2" w14:textId="77777777" w:rsidR="00381D7D" w:rsidRPr="00777010" w:rsidRDefault="00381D7D" w:rsidP="00381D7D">
            <w:pPr>
              <w:pStyle w:val="TableText"/>
              <w:rPr>
                <w:szCs w:val="20"/>
                <w:lang w:eastAsia="ar-SA"/>
              </w:rPr>
            </w:pPr>
            <w:r>
              <w:rPr>
                <w:szCs w:val="20"/>
                <w:lang w:eastAsia="ar-SA"/>
              </w:rPr>
              <w:t>Contribute to i</w:t>
            </w:r>
            <w:r w:rsidRPr="00777010">
              <w:rPr>
                <w:szCs w:val="20"/>
                <w:lang w:eastAsia="ar-SA"/>
              </w:rPr>
              <w:t>dentify</w:t>
            </w:r>
            <w:r>
              <w:rPr>
                <w:szCs w:val="20"/>
                <w:lang w:eastAsia="ar-SA"/>
              </w:rPr>
              <w:t>ing and prioritising</w:t>
            </w:r>
            <w:r w:rsidRPr="00777010">
              <w:rPr>
                <w:szCs w:val="20"/>
                <w:lang w:eastAsia="ar-SA"/>
              </w:rPr>
              <w:t xml:space="preserve"> </w:t>
            </w:r>
            <w:r>
              <w:rPr>
                <w:szCs w:val="20"/>
                <w:lang w:eastAsia="ar-SA"/>
              </w:rPr>
              <w:t xml:space="preserve">MER </w:t>
            </w:r>
            <w:r w:rsidRPr="00777010">
              <w:rPr>
                <w:szCs w:val="20"/>
                <w:lang w:eastAsia="ar-SA"/>
              </w:rPr>
              <w:t>requirements for the South Australian Government</w:t>
            </w:r>
          </w:p>
          <w:p w14:paraId="6151E4A9" w14:textId="77777777" w:rsidR="00381D7D" w:rsidRPr="00777010" w:rsidRDefault="00381D7D" w:rsidP="00381D7D">
            <w:pPr>
              <w:pStyle w:val="TableText"/>
              <w:rPr>
                <w:szCs w:val="20"/>
                <w:lang w:eastAsia="ar-SA"/>
              </w:rPr>
            </w:pPr>
            <w:r w:rsidRPr="00777010">
              <w:rPr>
                <w:szCs w:val="20"/>
                <w:lang w:eastAsia="ar-SA"/>
              </w:rPr>
              <w:t>Data curation</w:t>
            </w:r>
          </w:p>
          <w:p w14:paraId="1DBE0FEC" w14:textId="77777777" w:rsidR="00381D7D" w:rsidRPr="00777010" w:rsidRDefault="00381D7D" w:rsidP="00381D7D">
            <w:pPr>
              <w:pStyle w:val="TableText"/>
              <w:rPr>
                <w:szCs w:val="20"/>
                <w:lang w:eastAsia="ar-SA"/>
              </w:rPr>
            </w:pPr>
            <w:r w:rsidRPr="00777010">
              <w:rPr>
                <w:szCs w:val="20"/>
                <w:lang w:eastAsia="ar-SA"/>
              </w:rPr>
              <w:t>Advice on engagement</w:t>
            </w:r>
            <w:r>
              <w:rPr>
                <w:szCs w:val="20"/>
                <w:lang w:eastAsia="ar-SA"/>
              </w:rPr>
              <w:t xml:space="preserve"> and support</w:t>
            </w:r>
          </w:p>
          <w:p w14:paraId="1F759320" w14:textId="77777777" w:rsidR="00381D7D" w:rsidRPr="00777010" w:rsidRDefault="00381D7D" w:rsidP="00381D7D">
            <w:pPr>
              <w:rPr>
                <w:sz w:val="20"/>
                <w:lang w:eastAsia="ar-SA"/>
              </w:rPr>
            </w:pPr>
            <w:r w:rsidRPr="00777010">
              <w:rPr>
                <w:sz w:val="20"/>
                <w:lang w:eastAsia="ar-SA"/>
              </w:rPr>
              <w:t>Knowledge adoption in adaptive management of environmental flows</w:t>
            </w:r>
          </w:p>
        </w:tc>
        <w:tc>
          <w:tcPr>
            <w:tcW w:w="3969" w:type="dxa"/>
            <w:tcBorders>
              <w:top w:val="single" w:sz="4" w:space="0" w:color="auto"/>
              <w:left w:val="single" w:sz="4" w:space="0" w:color="auto"/>
              <w:bottom w:val="nil"/>
              <w:right w:val="single" w:sz="4" w:space="0" w:color="auto"/>
            </w:tcBorders>
          </w:tcPr>
          <w:p w14:paraId="7C99E38D" w14:textId="77777777" w:rsidR="00381D7D" w:rsidRDefault="00381D7D" w:rsidP="00381D7D">
            <w:pPr>
              <w:pStyle w:val="TableText"/>
              <w:rPr>
                <w:lang w:eastAsia="ar-SA"/>
              </w:rPr>
            </w:pPr>
            <w:r w:rsidRPr="00F57049">
              <w:rPr>
                <w:lang w:eastAsia="ar-SA"/>
              </w:rPr>
              <w:t xml:space="preserve">Membership on </w:t>
            </w:r>
            <w:r>
              <w:rPr>
                <w:lang w:eastAsia="ar-SA"/>
              </w:rPr>
              <w:t>the Selected Area Working Group</w:t>
            </w:r>
          </w:p>
          <w:p w14:paraId="36BB8984" w14:textId="2B495173" w:rsidR="00381D7D" w:rsidRDefault="00AD18C0" w:rsidP="00AD18C0">
            <w:pPr>
              <w:pStyle w:val="TableText"/>
              <w:rPr>
                <w:lang w:eastAsia="ar-SA"/>
              </w:rPr>
            </w:pPr>
            <w:r>
              <w:rPr>
                <w:lang w:eastAsia="ar-SA"/>
              </w:rPr>
              <w:t>Partner of t</w:t>
            </w:r>
            <w:r w:rsidR="00832373">
              <w:rPr>
                <w:lang w:eastAsia="ar-SA"/>
              </w:rPr>
              <w:t xml:space="preserve">he </w:t>
            </w:r>
            <w:r w:rsidR="00381D7D">
              <w:rPr>
                <w:lang w:eastAsia="ar-SA"/>
              </w:rPr>
              <w:t>project delivery team during Stage 1 for MER Plan development</w:t>
            </w:r>
          </w:p>
        </w:tc>
      </w:tr>
      <w:tr w:rsidR="00381D7D" w:rsidRPr="007C158F" w14:paraId="3DC3860B" w14:textId="77777777" w:rsidTr="00832373">
        <w:trPr>
          <w:cantSplit/>
          <w:trHeight w:val="94"/>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18DEF494" w14:textId="77777777" w:rsidR="00381D7D" w:rsidRDefault="009D4214" w:rsidP="00381D7D">
            <w:pPr>
              <w:pStyle w:val="TableText"/>
            </w:pPr>
            <w:r>
              <w:t>MDBA</w:t>
            </w:r>
          </w:p>
          <w:p w14:paraId="703E6336" w14:textId="080D7639" w:rsidR="00832373" w:rsidRPr="00832373" w:rsidRDefault="00832373" w:rsidP="00832373"/>
        </w:tc>
        <w:tc>
          <w:tcPr>
            <w:tcW w:w="3260" w:type="dxa"/>
            <w:tcBorders>
              <w:top w:val="nil"/>
              <w:left w:val="single" w:sz="4" w:space="0" w:color="auto"/>
              <w:bottom w:val="single" w:sz="4" w:space="0" w:color="auto"/>
              <w:right w:val="single" w:sz="4" w:space="0" w:color="auto"/>
            </w:tcBorders>
          </w:tcPr>
          <w:p w14:paraId="24710561" w14:textId="77777777" w:rsidR="00381D7D" w:rsidRDefault="00381D7D" w:rsidP="00381D7D">
            <w:pPr>
              <w:pStyle w:val="TableText"/>
              <w:rPr>
                <w:lang w:eastAsia="ar-SA"/>
              </w:rPr>
            </w:pPr>
            <w:r>
              <w:rPr>
                <w:lang w:eastAsia="ar-SA"/>
              </w:rPr>
              <w:t>Contribute to identifying and prioritising MER requirements for the effective operation of the River</w:t>
            </w:r>
          </w:p>
          <w:p w14:paraId="1EE83055" w14:textId="77777777" w:rsidR="00381D7D" w:rsidRPr="007E3777" w:rsidRDefault="00381D7D" w:rsidP="00381D7D">
            <w:pPr>
              <w:rPr>
                <w:sz w:val="20"/>
                <w:lang w:eastAsia="ar-SA"/>
              </w:rPr>
            </w:pPr>
            <w:r w:rsidRPr="007E3777">
              <w:rPr>
                <w:sz w:val="20"/>
                <w:lang w:eastAsia="ar-SA"/>
              </w:rPr>
              <w:t>Information on river operations</w:t>
            </w:r>
          </w:p>
        </w:tc>
        <w:tc>
          <w:tcPr>
            <w:tcW w:w="3969" w:type="dxa"/>
            <w:tcBorders>
              <w:top w:val="nil"/>
              <w:left w:val="single" w:sz="4" w:space="0" w:color="auto"/>
              <w:bottom w:val="single" w:sz="4" w:space="0" w:color="auto"/>
              <w:right w:val="single" w:sz="4" w:space="0" w:color="auto"/>
            </w:tcBorders>
          </w:tcPr>
          <w:p w14:paraId="309D33A4" w14:textId="77777777" w:rsidR="00381D7D" w:rsidRDefault="00381D7D" w:rsidP="00381D7D">
            <w:pPr>
              <w:pStyle w:val="TableText"/>
              <w:rPr>
                <w:lang w:eastAsia="ar-SA"/>
              </w:rPr>
            </w:pPr>
            <w:r w:rsidRPr="00F57049">
              <w:rPr>
                <w:lang w:eastAsia="ar-SA"/>
              </w:rPr>
              <w:t>Membership on the Selected Area Working Group</w:t>
            </w:r>
          </w:p>
          <w:p w14:paraId="4C92FB67" w14:textId="1A4E3594" w:rsidR="00832373" w:rsidRPr="00832373" w:rsidRDefault="00832373" w:rsidP="00832373">
            <w:pPr>
              <w:rPr>
                <w:sz w:val="20"/>
                <w:lang w:eastAsia="ar-SA"/>
              </w:rPr>
            </w:pPr>
            <w:r w:rsidRPr="00832373">
              <w:rPr>
                <w:sz w:val="20"/>
                <w:lang w:eastAsia="ar-SA"/>
              </w:rPr>
              <w:t>Communications with MDBA Regional Engagement Officer</w:t>
            </w:r>
          </w:p>
        </w:tc>
      </w:tr>
      <w:tr w:rsidR="00832373" w:rsidRPr="007C158F" w14:paraId="755C9CF2" w14:textId="77777777" w:rsidTr="00381D7D">
        <w:trPr>
          <w:cantSplit/>
          <w:trHeight w:val="94"/>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0DA6639B" w14:textId="2434E223" w:rsidR="00832373" w:rsidRDefault="00832373" w:rsidP="00381D7D">
            <w:pPr>
              <w:pStyle w:val="TableText"/>
            </w:pPr>
            <w:r>
              <w:t>SCBEWC</w:t>
            </w:r>
          </w:p>
        </w:tc>
        <w:tc>
          <w:tcPr>
            <w:tcW w:w="3260" w:type="dxa"/>
            <w:tcBorders>
              <w:top w:val="single" w:sz="4" w:space="0" w:color="auto"/>
              <w:left w:val="single" w:sz="4" w:space="0" w:color="auto"/>
              <w:bottom w:val="single" w:sz="4" w:space="0" w:color="auto"/>
              <w:right w:val="single" w:sz="4" w:space="0" w:color="auto"/>
            </w:tcBorders>
          </w:tcPr>
          <w:p w14:paraId="00AA796B" w14:textId="77777777" w:rsidR="00832373" w:rsidRDefault="00832373" w:rsidP="00381D7D">
            <w:pPr>
              <w:rPr>
                <w:sz w:val="20"/>
                <w:lang w:eastAsia="ar-SA"/>
              </w:rPr>
            </w:pPr>
            <w:r>
              <w:rPr>
                <w:sz w:val="20"/>
                <w:lang w:eastAsia="ar-SA"/>
              </w:rPr>
              <w:t>P</w:t>
            </w:r>
            <w:r w:rsidRPr="00832373">
              <w:rPr>
                <w:sz w:val="20"/>
                <w:lang w:eastAsia="ar-SA"/>
              </w:rPr>
              <w:t>lay a key role in supporting the outcomes of the project</w:t>
            </w:r>
          </w:p>
          <w:p w14:paraId="4347F45F" w14:textId="1739C495" w:rsidR="00832373" w:rsidRPr="00BE57DE" w:rsidRDefault="00832373" w:rsidP="00381D7D">
            <w:pPr>
              <w:rPr>
                <w:sz w:val="20"/>
                <w:lang w:eastAsia="ar-SA"/>
              </w:rPr>
            </w:pPr>
            <w:r>
              <w:rPr>
                <w:sz w:val="20"/>
                <w:lang w:eastAsia="ar-SA"/>
              </w:rPr>
              <w:t>Support adaptive management</w:t>
            </w:r>
          </w:p>
        </w:tc>
        <w:tc>
          <w:tcPr>
            <w:tcW w:w="3969" w:type="dxa"/>
            <w:tcBorders>
              <w:top w:val="single" w:sz="4" w:space="0" w:color="auto"/>
              <w:left w:val="single" w:sz="4" w:space="0" w:color="auto"/>
              <w:bottom w:val="single" w:sz="4" w:space="0" w:color="auto"/>
              <w:right w:val="single" w:sz="4" w:space="0" w:color="auto"/>
            </w:tcBorders>
          </w:tcPr>
          <w:p w14:paraId="5864B2D9" w14:textId="77777777" w:rsidR="00832373" w:rsidRDefault="00832373" w:rsidP="00832373">
            <w:pPr>
              <w:pStyle w:val="TableText"/>
              <w:rPr>
                <w:lang w:eastAsia="ar-SA"/>
              </w:rPr>
            </w:pPr>
            <w:r w:rsidRPr="00F57049">
              <w:rPr>
                <w:lang w:eastAsia="ar-SA"/>
              </w:rPr>
              <w:t xml:space="preserve">Membership on </w:t>
            </w:r>
            <w:r>
              <w:rPr>
                <w:lang w:eastAsia="ar-SA"/>
              </w:rPr>
              <w:t>the Selected Area Working Group</w:t>
            </w:r>
          </w:p>
          <w:p w14:paraId="3A76A9CB" w14:textId="5D43AE4B" w:rsidR="00832373" w:rsidRPr="00F57049" w:rsidRDefault="00832373" w:rsidP="00381D7D">
            <w:pPr>
              <w:pStyle w:val="TableText"/>
              <w:rPr>
                <w:lang w:eastAsia="ar-SA"/>
              </w:rPr>
            </w:pPr>
            <w:r>
              <w:rPr>
                <w:lang w:eastAsia="ar-SA"/>
              </w:rPr>
              <w:t>Communications through Project Leader</w:t>
            </w:r>
          </w:p>
        </w:tc>
      </w:tr>
      <w:tr w:rsidR="00381D7D" w:rsidRPr="007C158F" w14:paraId="0ED3831D" w14:textId="77777777" w:rsidTr="00381D7D">
        <w:trPr>
          <w:cantSplit/>
          <w:trHeight w:val="94"/>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10FA35DB" w14:textId="37364E8A" w:rsidR="00381D7D" w:rsidRDefault="000031B4" w:rsidP="00381D7D">
            <w:pPr>
              <w:pStyle w:val="TableText"/>
            </w:pPr>
            <w:r>
              <w:t>SA Water</w:t>
            </w:r>
          </w:p>
        </w:tc>
        <w:tc>
          <w:tcPr>
            <w:tcW w:w="3260" w:type="dxa"/>
            <w:tcBorders>
              <w:top w:val="single" w:sz="4" w:space="0" w:color="auto"/>
              <w:left w:val="single" w:sz="4" w:space="0" w:color="auto"/>
              <w:bottom w:val="single" w:sz="4" w:space="0" w:color="auto"/>
              <w:right w:val="single" w:sz="4" w:space="0" w:color="auto"/>
            </w:tcBorders>
          </w:tcPr>
          <w:p w14:paraId="69F0CE93" w14:textId="77777777" w:rsidR="00381D7D" w:rsidRPr="00BE57DE" w:rsidRDefault="00381D7D" w:rsidP="00381D7D">
            <w:pPr>
              <w:rPr>
                <w:sz w:val="20"/>
                <w:lang w:eastAsia="ar-SA"/>
              </w:rPr>
            </w:pPr>
            <w:r w:rsidRPr="00BE57DE">
              <w:rPr>
                <w:sz w:val="20"/>
                <w:lang w:eastAsia="ar-SA"/>
              </w:rPr>
              <w:t>Contributing relevant water quality data</w:t>
            </w:r>
            <w:r>
              <w:rPr>
                <w:sz w:val="20"/>
                <w:lang w:eastAsia="ar-SA"/>
              </w:rPr>
              <w:t xml:space="preserve"> for evaluation and research</w:t>
            </w:r>
          </w:p>
          <w:p w14:paraId="5631CA32" w14:textId="1E615269" w:rsidR="00381D7D" w:rsidRPr="00BE57DE" w:rsidRDefault="000031B4" w:rsidP="00381D7D">
            <w:pPr>
              <w:pStyle w:val="TableText"/>
              <w:rPr>
                <w:szCs w:val="20"/>
              </w:rPr>
            </w:pPr>
            <w:r w:rsidRPr="000031B4">
              <w:rPr>
                <w:szCs w:val="20"/>
                <w:lang w:eastAsia="ar-SA"/>
              </w:rPr>
              <w:t>Information on river operations</w:t>
            </w:r>
          </w:p>
        </w:tc>
        <w:tc>
          <w:tcPr>
            <w:tcW w:w="3969" w:type="dxa"/>
            <w:tcBorders>
              <w:top w:val="single" w:sz="4" w:space="0" w:color="auto"/>
              <w:left w:val="single" w:sz="4" w:space="0" w:color="auto"/>
              <w:bottom w:val="single" w:sz="4" w:space="0" w:color="auto"/>
              <w:right w:val="single" w:sz="4" w:space="0" w:color="auto"/>
            </w:tcBorders>
          </w:tcPr>
          <w:p w14:paraId="4F26D67A" w14:textId="77777777" w:rsidR="00381D7D" w:rsidRPr="00F57049" w:rsidRDefault="00381D7D" w:rsidP="00381D7D">
            <w:pPr>
              <w:pStyle w:val="TableText"/>
              <w:rPr>
                <w:lang w:eastAsia="ar-SA"/>
              </w:rPr>
            </w:pPr>
            <w:r w:rsidRPr="00F57049">
              <w:rPr>
                <w:lang w:eastAsia="ar-SA"/>
              </w:rPr>
              <w:t>Membership on the Selected Area Working Group</w:t>
            </w:r>
          </w:p>
          <w:p w14:paraId="1FFED8E5" w14:textId="77777777" w:rsidR="00381D7D" w:rsidRDefault="00381D7D" w:rsidP="00381D7D">
            <w:pPr>
              <w:pStyle w:val="TableText"/>
            </w:pPr>
          </w:p>
        </w:tc>
      </w:tr>
      <w:tr w:rsidR="00381D7D" w:rsidRPr="007C158F" w14:paraId="50AF3EB8" w14:textId="77777777" w:rsidTr="00381D7D">
        <w:trPr>
          <w:cantSplit/>
          <w:trHeight w:val="94"/>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6359B2AB" w14:textId="77777777" w:rsidR="00381D7D" w:rsidRPr="00777010" w:rsidRDefault="00381D7D" w:rsidP="00381D7D">
            <w:pPr>
              <w:pStyle w:val="TableText"/>
              <w:rPr>
                <w:szCs w:val="20"/>
                <w:lang w:eastAsia="ar-SA"/>
              </w:rPr>
            </w:pPr>
            <w:r w:rsidRPr="00777010">
              <w:rPr>
                <w:szCs w:val="20"/>
                <w:lang w:eastAsia="ar-SA"/>
              </w:rPr>
              <w:t>Natural Resources South Australian Murray</w:t>
            </w:r>
            <w:r w:rsidRPr="00777010">
              <w:rPr>
                <w:rFonts w:eastAsiaTheme="majorEastAsia"/>
                <w:szCs w:val="20"/>
              </w:rPr>
              <w:t>–</w:t>
            </w:r>
            <w:r w:rsidRPr="00777010">
              <w:rPr>
                <w:szCs w:val="20"/>
                <w:lang w:eastAsia="ar-SA"/>
              </w:rPr>
              <w:t>Darling Basin, DEW</w:t>
            </w:r>
          </w:p>
          <w:p w14:paraId="032840BD" w14:textId="77777777" w:rsidR="00381D7D" w:rsidRPr="00777010" w:rsidRDefault="00381D7D" w:rsidP="00381D7D">
            <w:pPr>
              <w:rPr>
                <w:sz w:val="20"/>
                <w:lang w:eastAsia="ar-SA"/>
              </w:rPr>
            </w:pPr>
            <w:r w:rsidRPr="00777010">
              <w:rPr>
                <w:sz w:val="20"/>
                <w:lang w:eastAsia="ar-SA"/>
              </w:rPr>
              <w:t>Local Action Planning</w:t>
            </w:r>
          </w:p>
        </w:tc>
        <w:tc>
          <w:tcPr>
            <w:tcW w:w="3260" w:type="dxa"/>
            <w:tcBorders>
              <w:top w:val="single" w:sz="4" w:space="0" w:color="auto"/>
              <w:left w:val="single" w:sz="4" w:space="0" w:color="auto"/>
              <w:bottom w:val="single" w:sz="4" w:space="0" w:color="auto"/>
              <w:right w:val="single" w:sz="4" w:space="0" w:color="auto"/>
            </w:tcBorders>
          </w:tcPr>
          <w:p w14:paraId="3A483461" w14:textId="77777777" w:rsidR="00381D7D" w:rsidRPr="00777010" w:rsidRDefault="00381D7D" w:rsidP="00381D7D">
            <w:pPr>
              <w:pStyle w:val="TableText"/>
              <w:rPr>
                <w:szCs w:val="20"/>
                <w:lang w:eastAsia="ar-SA"/>
              </w:rPr>
            </w:pPr>
            <w:r w:rsidRPr="00777010">
              <w:rPr>
                <w:szCs w:val="20"/>
                <w:lang w:eastAsia="ar-SA"/>
              </w:rPr>
              <w:t xml:space="preserve">Provide advice on </w:t>
            </w:r>
            <w:r>
              <w:rPr>
                <w:szCs w:val="20"/>
                <w:lang w:eastAsia="ar-SA"/>
              </w:rPr>
              <w:t xml:space="preserve">MER </w:t>
            </w:r>
            <w:r w:rsidRPr="00777010">
              <w:rPr>
                <w:szCs w:val="20"/>
                <w:lang w:eastAsia="ar-SA"/>
              </w:rPr>
              <w:t xml:space="preserve">needs of community stakeholders in the </w:t>
            </w:r>
            <w:r w:rsidRPr="000F53E7">
              <w:rPr>
                <w:szCs w:val="20"/>
                <w:lang w:eastAsia="ar-SA"/>
              </w:rPr>
              <w:t>Lower Murray</w:t>
            </w:r>
            <w:r>
              <w:rPr>
                <w:szCs w:val="20"/>
                <w:lang w:eastAsia="ar-SA"/>
              </w:rPr>
              <w:t xml:space="preserve"> </w:t>
            </w:r>
            <w:r w:rsidRPr="00777010">
              <w:rPr>
                <w:szCs w:val="20"/>
                <w:lang w:eastAsia="ar-SA"/>
              </w:rPr>
              <w:t>region</w:t>
            </w:r>
          </w:p>
          <w:p w14:paraId="7F0E3D09" w14:textId="77777777" w:rsidR="00381D7D" w:rsidRPr="00777010" w:rsidRDefault="00381D7D" w:rsidP="00381D7D">
            <w:pPr>
              <w:rPr>
                <w:sz w:val="20"/>
                <w:lang w:eastAsia="ar-SA"/>
              </w:rPr>
            </w:pPr>
            <w:r w:rsidRPr="00777010">
              <w:rPr>
                <w:sz w:val="20"/>
                <w:lang w:eastAsia="ar-SA"/>
              </w:rPr>
              <w:t xml:space="preserve">Community engagement </w:t>
            </w:r>
          </w:p>
        </w:tc>
        <w:tc>
          <w:tcPr>
            <w:tcW w:w="3969" w:type="dxa"/>
            <w:tcBorders>
              <w:top w:val="single" w:sz="4" w:space="0" w:color="auto"/>
              <w:left w:val="single" w:sz="4" w:space="0" w:color="auto"/>
              <w:bottom w:val="single" w:sz="4" w:space="0" w:color="auto"/>
              <w:right w:val="single" w:sz="4" w:space="0" w:color="auto"/>
            </w:tcBorders>
          </w:tcPr>
          <w:p w14:paraId="60488445" w14:textId="77777777" w:rsidR="00381D7D" w:rsidRDefault="00381D7D" w:rsidP="00381D7D">
            <w:pPr>
              <w:pStyle w:val="TableText"/>
              <w:rPr>
                <w:lang w:eastAsia="ar-SA"/>
              </w:rPr>
            </w:pPr>
            <w:r w:rsidRPr="00F57049">
              <w:rPr>
                <w:lang w:eastAsia="ar-SA"/>
              </w:rPr>
              <w:t xml:space="preserve">Membership on </w:t>
            </w:r>
            <w:r>
              <w:rPr>
                <w:lang w:eastAsia="ar-SA"/>
              </w:rPr>
              <w:t>the Selected Area Working Group</w:t>
            </w:r>
          </w:p>
          <w:p w14:paraId="59072A99" w14:textId="36C66BEA" w:rsidR="00381D7D" w:rsidRDefault="00AD18C0" w:rsidP="00381D7D">
            <w:pPr>
              <w:pStyle w:val="TableText"/>
              <w:rPr>
                <w:lang w:eastAsia="ar-SA"/>
              </w:rPr>
            </w:pPr>
            <w:r>
              <w:rPr>
                <w:lang w:eastAsia="ar-SA"/>
              </w:rPr>
              <w:t xml:space="preserve">Partner of </w:t>
            </w:r>
            <w:r w:rsidR="00381D7D" w:rsidRPr="00F57049">
              <w:rPr>
                <w:lang w:eastAsia="ar-SA"/>
              </w:rPr>
              <w:t>the project delivery team</w:t>
            </w:r>
            <w:r w:rsidR="00381D7D">
              <w:rPr>
                <w:lang w:eastAsia="ar-SA"/>
              </w:rPr>
              <w:t xml:space="preserve"> during  Stage 1</w:t>
            </w:r>
          </w:p>
          <w:p w14:paraId="02FA2021" w14:textId="77777777" w:rsidR="00381D7D" w:rsidRPr="003F3793" w:rsidRDefault="00381D7D" w:rsidP="00381D7D">
            <w:pPr>
              <w:rPr>
                <w:lang w:eastAsia="ar-SA"/>
              </w:rPr>
            </w:pPr>
          </w:p>
        </w:tc>
      </w:tr>
      <w:tr w:rsidR="00381D7D" w:rsidRPr="007C158F" w14:paraId="02AA438C" w14:textId="77777777" w:rsidTr="00381D7D">
        <w:trPr>
          <w:cantSplit/>
          <w:trHeight w:val="94"/>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6E06038B" w14:textId="77777777" w:rsidR="00381D7D" w:rsidDel="00971A86" w:rsidRDefault="00381D7D" w:rsidP="00381D7D">
            <w:pPr>
              <w:pStyle w:val="TableText"/>
            </w:pPr>
            <w:r>
              <w:t>PIRSA Fisheries and Aquaculture</w:t>
            </w:r>
          </w:p>
        </w:tc>
        <w:tc>
          <w:tcPr>
            <w:tcW w:w="3260" w:type="dxa"/>
            <w:tcBorders>
              <w:top w:val="single" w:sz="4" w:space="0" w:color="auto"/>
              <w:left w:val="single" w:sz="4" w:space="0" w:color="auto"/>
              <w:bottom w:val="single" w:sz="4" w:space="0" w:color="auto"/>
              <w:right w:val="single" w:sz="4" w:space="0" w:color="auto"/>
            </w:tcBorders>
          </w:tcPr>
          <w:p w14:paraId="77C2CF26" w14:textId="77777777" w:rsidR="00381D7D" w:rsidRPr="00777010" w:rsidRDefault="00381D7D" w:rsidP="00381D7D">
            <w:pPr>
              <w:pStyle w:val="TableText"/>
              <w:rPr>
                <w:szCs w:val="20"/>
                <w:lang w:eastAsia="ar-SA"/>
              </w:rPr>
            </w:pPr>
            <w:r>
              <w:rPr>
                <w:szCs w:val="20"/>
                <w:lang w:eastAsia="ar-SA"/>
              </w:rPr>
              <w:t>Contribute to i</w:t>
            </w:r>
            <w:r w:rsidRPr="00777010">
              <w:rPr>
                <w:szCs w:val="20"/>
                <w:lang w:eastAsia="ar-SA"/>
              </w:rPr>
              <w:t>dentify</w:t>
            </w:r>
            <w:r>
              <w:rPr>
                <w:szCs w:val="20"/>
                <w:lang w:eastAsia="ar-SA"/>
              </w:rPr>
              <w:t>ing and prioritising</w:t>
            </w:r>
            <w:r w:rsidRPr="00777010">
              <w:rPr>
                <w:szCs w:val="20"/>
                <w:lang w:eastAsia="ar-SA"/>
              </w:rPr>
              <w:t xml:space="preserve"> </w:t>
            </w:r>
            <w:r>
              <w:rPr>
                <w:szCs w:val="20"/>
                <w:lang w:eastAsia="ar-SA"/>
              </w:rPr>
              <w:t xml:space="preserve">MER </w:t>
            </w:r>
            <w:r w:rsidRPr="00777010">
              <w:rPr>
                <w:szCs w:val="20"/>
                <w:lang w:eastAsia="ar-SA"/>
              </w:rPr>
              <w:t>requirements for the South Australian Government</w:t>
            </w:r>
          </w:p>
          <w:p w14:paraId="0791D520" w14:textId="77777777" w:rsidR="00381D7D" w:rsidDel="000B477A" w:rsidRDefault="00381D7D" w:rsidP="00381D7D">
            <w:pPr>
              <w:pStyle w:val="TableText"/>
              <w:rPr>
                <w:lang w:eastAsia="ar-SA"/>
              </w:rPr>
            </w:pPr>
            <w:r w:rsidRPr="00777010">
              <w:rPr>
                <w:szCs w:val="20"/>
                <w:lang w:eastAsia="ar-SA"/>
              </w:rPr>
              <w:t>Advice on engagement</w:t>
            </w:r>
            <w:r>
              <w:rPr>
                <w:szCs w:val="20"/>
                <w:lang w:eastAsia="ar-SA"/>
              </w:rPr>
              <w:t xml:space="preserve"> and communication</w:t>
            </w:r>
          </w:p>
        </w:tc>
        <w:tc>
          <w:tcPr>
            <w:tcW w:w="3969" w:type="dxa"/>
            <w:tcBorders>
              <w:top w:val="single" w:sz="4" w:space="0" w:color="auto"/>
              <w:left w:val="single" w:sz="4" w:space="0" w:color="auto"/>
              <w:bottom w:val="single" w:sz="4" w:space="0" w:color="auto"/>
              <w:right w:val="single" w:sz="4" w:space="0" w:color="auto"/>
            </w:tcBorders>
          </w:tcPr>
          <w:p w14:paraId="00A9EAE5" w14:textId="77777777" w:rsidR="00381D7D" w:rsidRDefault="00381D7D" w:rsidP="00381D7D">
            <w:pPr>
              <w:pStyle w:val="TableText"/>
              <w:rPr>
                <w:lang w:eastAsia="ar-SA"/>
              </w:rPr>
            </w:pPr>
            <w:r w:rsidRPr="00F57049">
              <w:rPr>
                <w:lang w:eastAsia="ar-SA"/>
              </w:rPr>
              <w:t xml:space="preserve">Membership on </w:t>
            </w:r>
            <w:r>
              <w:rPr>
                <w:lang w:eastAsia="ar-SA"/>
              </w:rPr>
              <w:t>the Selected Area Working Group</w:t>
            </w:r>
          </w:p>
          <w:p w14:paraId="11A5047F" w14:textId="77777777" w:rsidR="00381D7D" w:rsidRPr="007E3777" w:rsidRDefault="00381D7D" w:rsidP="00381D7D">
            <w:pPr>
              <w:pStyle w:val="TableText"/>
              <w:rPr>
                <w:rFonts w:cstheme="minorHAnsi"/>
                <w:lang w:eastAsia="ar-SA"/>
              </w:rPr>
            </w:pPr>
          </w:p>
        </w:tc>
      </w:tr>
      <w:tr w:rsidR="005B366F" w:rsidRPr="007C158F" w14:paraId="07FC8F1D" w14:textId="77777777" w:rsidTr="00381D7D">
        <w:trPr>
          <w:cantSplit/>
          <w:trHeight w:val="94"/>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58EE14CE" w14:textId="4FF1F25A" w:rsidR="005B366F" w:rsidRDefault="005B366F" w:rsidP="005B366F">
            <w:pPr>
              <w:pStyle w:val="TableText"/>
            </w:pPr>
            <w:r>
              <w:t>Aboriginal groups</w:t>
            </w:r>
          </w:p>
        </w:tc>
        <w:tc>
          <w:tcPr>
            <w:tcW w:w="3260" w:type="dxa"/>
            <w:tcBorders>
              <w:top w:val="single" w:sz="4" w:space="0" w:color="auto"/>
              <w:left w:val="single" w:sz="4" w:space="0" w:color="auto"/>
              <w:bottom w:val="single" w:sz="4" w:space="0" w:color="auto"/>
              <w:right w:val="single" w:sz="4" w:space="0" w:color="auto"/>
            </w:tcBorders>
          </w:tcPr>
          <w:p w14:paraId="40A11B36" w14:textId="4FF7CF5A" w:rsidR="005B366F" w:rsidRPr="00381D7D" w:rsidRDefault="005B366F" w:rsidP="005B366F">
            <w:pPr>
              <w:pStyle w:val="TableText"/>
            </w:pPr>
            <w:r w:rsidRPr="00381D7D">
              <w:rPr>
                <w:lang w:eastAsia="ar-SA"/>
              </w:rPr>
              <w:t>Targeted engagement with Aboriginal groups to support MER</w:t>
            </w:r>
          </w:p>
        </w:tc>
        <w:tc>
          <w:tcPr>
            <w:tcW w:w="3969" w:type="dxa"/>
            <w:tcBorders>
              <w:top w:val="single" w:sz="4" w:space="0" w:color="auto"/>
              <w:left w:val="single" w:sz="4" w:space="0" w:color="auto"/>
              <w:bottom w:val="single" w:sz="4" w:space="0" w:color="auto"/>
              <w:right w:val="single" w:sz="4" w:space="0" w:color="auto"/>
            </w:tcBorders>
          </w:tcPr>
          <w:p w14:paraId="78FCBC79" w14:textId="1ABE50AB" w:rsidR="005B366F" w:rsidRPr="00381D7D" w:rsidRDefault="005B366F" w:rsidP="005B366F">
            <w:pPr>
              <w:pStyle w:val="TableText"/>
              <w:rPr>
                <w:rFonts w:cstheme="minorHAnsi"/>
                <w:lang w:eastAsia="ar-SA"/>
              </w:rPr>
            </w:pPr>
            <w:r w:rsidRPr="00172E94">
              <w:rPr>
                <w:rFonts w:cstheme="minorHAnsi"/>
                <w:lang w:eastAsia="ar-SA"/>
              </w:rPr>
              <w:t xml:space="preserve">Engagement </w:t>
            </w:r>
            <w:r w:rsidRPr="00381D7D">
              <w:rPr>
                <w:rFonts w:cstheme="minorHAnsi"/>
                <w:lang w:eastAsia="ar-SA"/>
              </w:rPr>
              <w:t xml:space="preserve">with </w:t>
            </w:r>
          </w:p>
          <w:p w14:paraId="12D77249" w14:textId="77777777" w:rsidR="005B366F" w:rsidRPr="00381D7D" w:rsidRDefault="005B366F" w:rsidP="00CB75AF">
            <w:pPr>
              <w:pStyle w:val="TableText"/>
              <w:numPr>
                <w:ilvl w:val="0"/>
                <w:numId w:val="66"/>
              </w:numPr>
              <w:rPr>
                <w:rFonts w:eastAsia="Times New Roman" w:cstheme="minorHAnsi"/>
                <w:lang w:eastAsia="en-AU"/>
              </w:rPr>
            </w:pPr>
            <w:r w:rsidRPr="00381D7D">
              <w:rPr>
                <w:rFonts w:eastAsia="Times New Roman" w:cstheme="minorHAnsi"/>
                <w:lang w:eastAsia="en-AU"/>
              </w:rPr>
              <w:t>Ngarrindjeri Regional Authority (NRA)</w:t>
            </w:r>
          </w:p>
          <w:p w14:paraId="6E48059A" w14:textId="77777777" w:rsidR="005B366F" w:rsidRPr="00381D7D" w:rsidRDefault="005B366F" w:rsidP="00CB75AF">
            <w:pPr>
              <w:pStyle w:val="TableText"/>
              <w:numPr>
                <w:ilvl w:val="0"/>
                <w:numId w:val="66"/>
              </w:numPr>
              <w:rPr>
                <w:rFonts w:eastAsia="Times New Roman" w:cstheme="minorHAnsi"/>
                <w:szCs w:val="20"/>
                <w:lang w:eastAsia="en-AU"/>
              </w:rPr>
            </w:pPr>
            <w:r w:rsidRPr="00381D7D">
              <w:rPr>
                <w:rFonts w:eastAsia="Times New Roman" w:cstheme="minorHAnsi"/>
                <w:szCs w:val="20"/>
                <w:lang w:eastAsia="en-AU"/>
              </w:rPr>
              <w:t>First Peoples of the River Murray and Mallee (FPRMM)</w:t>
            </w:r>
          </w:p>
          <w:p w14:paraId="5C0BCFCB" w14:textId="77777777" w:rsidR="005B366F" w:rsidRPr="00381D7D" w:rsidRDefault="005B366F" w:rsidP="00CB75AF">
            <w:pPr>
              <w:pStyle w:val="TableText"/>
              <w:numPr>
                <w:ilvl w:val="0"/>
                <w:numId w:val="66"/>
              </w:numPr>
              <w:rPr>
                <w:rFonts w:eastAsia="Times New Roman" w:cstheme="minorHAnsi"/>
                <w:szCs w:val="20"/>
                <w:lang w:eastAsia="en-AU"/>
              </w:rPr>
            </w:pPr>
            <w:r w:rsidRPr="00381D7D">
              <w:rPr>
                <w:rFonts w:eastAsia="Times New Roman" w:cstheme="minorHAnsi"/>
                <w:szCs w:val="20"/>
                <w:lang w:eastAsia="en-AU"/>
              </w:rPr>
              <w:t>Mannum Aboriginal Community Association Inc. (MACAI)</w:t>
            </w:r>
          </w:p>
          <w:p w14:paraId="4C2F797C" w14:textId="77777777" w:rsidR="005B366F" w:rsidRDefault="005B366F" w:rsidP="005B366F">
            <w:pPr>
              <w:rPr>
                <w:sz w:val="20"/>
                <w:lang w:eastAsia="en-AU"/>
              </w:rPr>
            </w:pPr>
            <w:r>
              <w:rPr>
                <w:sz w:val="20"/>
                <w:lang w:eastAsia="en-AU"/>
              </w:rPr>
              <w:t xml:space="preserve">Regular face-to-face meetings to discuss project activities, findings and analysis. </w:t>
            </w:r>
          </w:p>
          <w:p w14:paraId="5454629C" w14:textId="77777777" w:rsidR="005B366F" w:rsidRDefault="005B366F" w:rsidP="005B366F">
            <w:pPr>
              <w:rPr>
                <w:sz w:val="20"/>
                <w:lang w:eastAsia="en-AU"/>
              </w:rPr>
            </w:pPr>
            <w:r w:rsidRPr="00381D7D">
              <w:rPr>
                <w:sz w:val="20"/>
                <w:lang w:eastAsia="en-AU"/>
              </w:rPr>
              <w:t>Development of a targeted project in conjunction with</w:t>
            </w:r>
            <w:r>
              <w:rPr>
                <w:sz w:val="20"/>
                <w:lang w:eastAsia="en-AU"/>
              </w:rPr>
              <w:t xml:space="preserve"> </w:t>
            </w:r>
            <w:r w:rsidRPr="00381D7D">
              <w:rPr>
                <w:sz w:val="20"/>
                <w:lang w:eastAsia="en-AU"/>
              </w:rPr>
              <w:t>Aboriginal groups</w:t>
            </w:r>
            <w:r>
              <w:rPr>
                <w:sz w:val="20"/>
                <w:lang w:eastAsia="en-AU"/>
              </w:rPr>
              <w:t xml:space="preserve">. </w:t>
            </w:r>
          </w:p>
          <w:p w14:paraId="332AB207" w14:textId="122961A7" w:rsidR="005B366F" w:rsidRPr="00381D7D" w:rsidRDefault="005B366F" w:rsidP="005B366F">
            <w:pPr>
              <w:rPr>
                <w:sz w:val="18"/>
                <w:szCs w:val="18"/>
                <w:lang w:eastAsia="en-AU"/>
              </w:rPr>
            </w:pPr>
            <w:r>
              <w:rPr>
                <w:sz w:val="20"/>
                <w:lang w:eastAsia="en-AU"/>
              </w:rPr>
              <w:t>Existing DEW processes will be used to support engagement where appropriate.</w:t>
            </w:r>
          </w:p>
        </w:tc>
      </w:tr>
      <w:tr w:rsidR="00381D7D" w:rsidRPr="007C158F" w14:paraId="72072652" w14:textId="77777777" w:rsidTr="00381D7D">
        <w:trPr>
          <w:cantSplit/>
          <w:trHeight w:val="94"/>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7F0AF378" w14:textId="77777777" w:rsidR="00381D7D" w:rsidRDefault="00381D7D" w:rsidP="00381D7D">
            <w:pPr>
              <w:pStyle w:val="TableText"/>
            </w:pPr>
            <w:r>
              <w:lastRenderedPageBreak/>
              <w:t>Recreational fishers</w:t>
            </w:r>
          </w:p>
        </w:tc>
        <w:tc>
          <w:tcPr>
            <w:tcW w:w="3260" w:type="dxa"/>
            <w:tcBorders>
              <w:top w:val="single" w:sz="4" w:space="0" w:color="auto"/>
              <w:left w:val="single" w:sz="4" w:space="0" w:color="auto"/>
              <w:bottom w:val="single" w:sz="4" w:space="0" w:color="auto"/>
              <w:right w:val="single" w:sz="4" w:space="0" w:color="auto"/>
            </w:tcBorders>
          </w:tcPr>
          <w:p w14:paraId="622B3BAD" w14:textId="77777777" w:rsidR="00381D7D" w:rsidRDefault="00381D7D" w:rsidP="00381D7D">
            <w:pPr>
              <w:pStyle w:val="TableText"/>
              <w:rPr>
                <w:lang w:eastAsia="ar-SA"/>
              </w:rPr>
            </w:pPr>
            <w:r>
              <w:rPr>
                <w:lang w:eastAsia="ar-SA"/>
              </w:rPr>
              <w:t>Targeted engagement with recreational fishers to support MER</w:t>
            </w:r>
          </w:p>
        </w:tc>
        <w:tc>
          <w:tcPr>
            <w:tcW w:w="3969" w:type="dxa"/>
            <w:tcBorders>
              <w:top w:val="single" w:sz="4" w:space="0" w:color="auto"/>
              <w:left w:val="single" w:sz="4" w:space="0" w:color="auto"/>
              <w:bottom w:val="single" w:sz="4" w:space="0" w:color="auto"/>
              <w:right w:val="single" w:sz="4" w:space="0" w:color="auto"/>
            </w:tcBorders>
          </w:tcPr>
          <w:p w14:paraId="2F9D4A12" w14:textId="77777777" w:rsidR="00381D7D" w:rsidRDefault="00381D7D" w:rsidP="00381D7D">
            <w:pPr>
              <w:pStyle w:val="TableText"/>
              <w:rPr>
                <w:szCs w:val="20"/>
                <w:lang w:eastAsia="en-AU"/>
              </w:rPr>
            </w:pPr>
            <w:r>
              <w:rPr>
                <w:szCs w:val="20"/>
                <w:lang w:eastAsia="en-AU"/>
              </w:rPr>
              <w:t>Via Recreational Fishing Council inland fishery representative and support from PIRSA Fisheries and Aquaculture</w:t>
            </w:r>
          </w:p>
          <w:p w14:paraId="402F4F6F" w14:textId="77777777" w:rsidR="00381D7D" w:rsidRPr="00E6352C" w:rsidRDefault="00381D7D" w:rsidP="00381D7D">
            <w:pPr>
              <w:pStyle w:val="TableText"/>
            </w:pPr>
            <w:r w:rsidRPr="00AE3977">
              <w:rPr>
                <w:szCs w:val="20"/>
                <w:lang w:eastAsia="en-AU"/>
              </w:rPr>
              <w:t>Designed project for targeted engagement</w:t>
            </w:r>
          </w:p>
        </w:tc>
      </w:tr>
      <w:tr w:rsidR="00381D7D" w:rsidRPr="007C158F" w14:paraId="78487071" w14:textId="77777777" w:rsidTr="00381D7D">
        <w:trPr>
          <w:cantSplit/>
          <w:trHeight w:val="94"/>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1755FF31" w14:textId="77777777" w:rsidR="00381D7D" w:rsidRDefault="00381D7D" w:rsidP="00381D7D">
            <w:pPr>
              <w:pStyle w:val="TableText"/>
            </w:pPr>
            <w:r>
              <w:t>A</w:t>
            </w:r>
            <w:r w:rsidRPr="00E6352C">
              <w:t>ffected landholders</w:t>
            </w:r>
          </w:p>
        </w:tc>
        <w:tc>
          <w:tcPr>
            <w:tcW w:w="3260" w:type="dxa"/>
            <w:tcBorders>
              <w:top w:val="single" w:sz="4" w:space="0" w:color="auto"/>
              <w:left w:val="single" w:sz="4" w:space="0" w:color="auto"/>
              <w:bottom w:val="single" w:sz="4" w:space="0" w:color="auto"/>
              <w:right w:val="single" w:sz="4" w:space="0" w:color="auto"/>
            </w:tcBorders>
          </w:tcPr>
          <w:p w14:paraId="592BC7C0" w14:textId="77777777" w:rsidR="00381D7D" w:rsidRDefault="00381D7D" w:rsidP="00381D7D">
            <w:pPr>
              <w:pStyle w:val="TableText"/>
              <w:rPr>
                <w:lang w:eastAsia="ar-SA"/>
              </w:rPr>
            </w:pPr>
            <w:r>
              <w:rPr>
                <w:lang w:eastAsia="ar-SA"/>
              </w:rPr>
              <w:t>Supportive landholders ensure strong community support for the MER Project</w:t>
            </w:r>
          </w:p>
        </w:tc>
        <w:tc>
          <w:tcPr>
            <w:tcW w:w="3969" w:type="dxa"/>
            <w:tcBorders>
              <w:top w:val="single" w:sz="4" w:space="0" w:color="auto"/>
              <w:left w:val="single" w:sz="4" w:space="0" w:color="auto"/>
              <w:bottom w:val="single" w:sz="4" w:space="0" w:color="auto"/>
              <w:right w:val="single" w:sz="4" w:space="0" w:color="auto"/>
            </w:tcBorders>
          </w:tcPr>
          <w:p w14:paraId="7F9AFF7E" w14:textId="77777777" w:rsidR="00381D7D" w:rsidRDefault="00381D7D" w:rsidP="00381D7D">
            <w:pPr>
              <w:pStyle w:val="TableText"/>
              <w:rPr>
                <w:rFonts w:ascii="Century Gothic" w:hAnsi="Century Gothic" w:cs="Century Gothic"/>
              </w:rPr>
            </w:pPr>
            <w:r w:rsidRPr="00E6352C">
              <w:t xml:space="preserve">Engagement and interaction with affected landholders will comply with the Code of Conduct developed by </w:t>
            </w:r>
            <w:r>
              <w:t>CEWO</w:t>
            </w:r>
          </w:p>
        </w:tc>
      </w:tr>
    </w:tbl>
    <w:p w14:paraId="206A1FE1" w14:textId="77777777" w:rsidR="00CA1BCC" w:rsidRDefault="00CA1BCC" w:rsidP="00F02673"/>
    <w:p w14:paraId="43E0A55C" w14:textId="435EAAAB" w:rsidR="001D5811" w:rsidRPr="001D5811" w:rsidRDefault="001D5811" w:rsidP="00F02673">
      <w:pPr>
        <w:rPr>
          <w:b/>
          <w:u w:val="single"/>
        </w:rPr>
      </w:pPr>
      <w:r w:rsidRPr="001D5811">
        <w:rPr>
          <w:b/>
          <w:u w:val="single"/>
        </w:rPr>
        <w:t>Interested communities</w:t>
      </w:r>
    </w:p>
    <w:p w14:paraId="1C349D8E" w14:textId="34D12D4C" w:rsidR="00DC5550" w:rsidRPr="00DC5550" w:rsidRDefault="00DC5550" w:rsidP="00F02673">
      <w:r w:rsidRPr="00DC5550">
        <w:t xml:space="preserve">Interested </w:t>
      </w:r>
      <w:r w:rsidR="001308D5">
        <w:t>c</w:t>
      </w:r>
      <w:r w:rsidRPr="00DC5550">
        <w:t xml:space="preserve">ommunities are the broader public and community groups that may have an interest in the </w:t>
      </w:r>
      <w:r w:rsidR="0059562E" w:rsidRPr="0059562E">
        <w:t>MER</w:t>
      </w:r>
      <w:r w:rsidR="00113E55">
        <w:t xml:space="preserve"> </w:t>
      </w:r>
      <w:r w:rsidRPr="00DC5550">
        <w:t xml:space="preserve">Project, but do not have significant influence or impact on the outcomes. </w:t>
      </w:r>
    </w:p>
    <w:p w14:paraId="298D0FFA" w14:textId="21E5398E" w:rsidR="00443EDA" w:rsidRDefault="0083048A" w:rsidP="00165D7C">
      <w:pPr>
        <w:pStyle w:val="Caption"/>
      </w:pPr>
      <w:bookmarkStart w:id="278" w:name="_Toc381086842"/>
      <w:bookmarkStart w:id="279" w:name="_Toc381380597"/>
      <w:bookmarkStart w:id="280" w:name="_Toc391539144"/>
      <w:bookmarkStart w:id="281" w:name="_Toc391553307"/>
      <w:bookmarkStart w:id="282" w:name="_Toc396899636"/>
      <w:bookmarkStart w:id="283" w:name="_Toc396899731"/>
      <w:bookmarkStart w:id="284" w:name="_Toc12630255"/>
      <w:bookmarkStart w:id="285" w:name="_Toc363476565"/>
      <w:bookmarkStart w:id="286" w:name="_Toc372727268"/>
      <w:r w:rsidRPr="0083048A">
        <w:t xml:space="preserve">Table </w:t>
      </w:r>
      <w:r w:rsidR="00A8252A">
        <w:rPr>
          <w:noProof/>
        </w:rPr>
        <w:fldChar w:fldCharType="begin"/>
      </w:r>
      <w:r w:rsidR="00A8252A">
        <w:rPr>
          <w:noProof/>
        </w:rPr>
        <w:instrText xml:space="preserve"> STYLEREF 1 \s </w:instrText>
      </w:r>
      <w:r w:rsidR="00A8252A">
        <w:rPr>
          <w:noProof/>
        </w:rPr>
        <w:fldChar w:fldCharType="separate"/>
      </w:r>
      <w:r w:rsidR="00DF49CD">
        <w:rPr>
          <w:noProof/>
        </w:rPr>
        <w:t>8</w:t>
      </w:r>
      <w:r w:rsidR="00A8252A">
        <w:rPr>
          <w:noProof/>
        </w:rPr>
        <w:fldChar w:fldCharType="end"/>
      </w:r>
      <w:r w:rsidR="00F359A2">
        <w:t>.</w:t>
      </w:r>
      <w:r w:rsidR="00A8252A">
        <w:rPr>
          <w:noProof/>
        </w:rPr>
        <w:fldChar w:fldCharType="begin"/>
      </w:r>
      <w:r w:rsidR="00A8252A">
        <w:rPr>
          <w:noProof/>
        </w:rPr>
        <w:instrText xml:space="preserve"> SEQ Table \* ARABIC \s 1 </w:instrText>
      </w:r>
      <w:r w:rsidR="00A8252A">
        <w:rPr>
          <w:noProof/>
        </w:rPr>
        <w:fldChar w:fldCharType="separate"/>
      </w:r>
      <w:r w:rsidR="00DF49CD">
        <w:rPr>
          <w:noProof/>
        </w:rPr>
        <w:t>3</w:t>
      </w:r>
      <w:r w:rsidR="00A8252A">
        <w:rPr>
          <w:noProof/>
        </w:rPr>
        <w:fldChar w:fldCharType="end"/>
      </w:r>
      <w:r w:rsidR="00E2798E">
        <w:t>.</w:t>
      </w:r>
      <w:r w:rsidR="00E2798E">
        <w:tab/>
      </w:r>
      <w:r w:rsidR="00DC5550" w:rsidRPr="0083048A">
        <w:t>Interested communities for engagement</w:t>
      </w:r>
      <w:bookmarkEnd w:id="278"/>
      <w:bookmarkEnd w:id="279"/>
      <w:bookmarkEnd w:id="280"/>
      <w:bookmarkEnd w:id="281"/>
      <w:bookmarkEnd w:id="282"/>
      <w:bookmarkEnd w:id="283"/>
      <w:bookmarkEnd w:id="284"/>
      <w:r w:rsidR="00DC5550" w:rsidRPr="0083048A">
        <w:t xml:space="preserve"> </w:t>
      </w:r>
      <w:bookmarkEnd w:id="285"/>
      <w:bookmarkEnd w:id="286"/>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3260"/>
        <w:gridCol w:w="3969"/>
      </w:tblGrid>
      <w:tr w:rsidR="00381D7D" w:rsidRPr="00DC5550" w14:paraId="3C13F5C9" w14:textId="77777777" w:rsidTr="00381D7D">
        <w:trPr>
          <w:trHeight w:val="621"/>
        </w:trPr>
        <w:tc>
          <w:tcPr>
            <w:tcW w:w="1951" w:type="dxa"/>
            <w:tcBorders>
              <w:top w:val="single" w:sz="4" w:space="0" w:color="auto"/>
              <w:bottom w:val="single" w:sz="4" w:space="0" w:color="auto"/>
            </w:tcBorders>
            <w:shd w:val="clear" w:color="auto" w:fill="BFBFBF" w:themeFill="background1" w:themeFillShade="BF"/>
          </w:tcPr>
          <w:p w14:paraId="3668FE17" w14:textId="77777777" w:rsidR="00381D7D" w:rsidRDefault="00381D7D" w:rsidP="00381D7D">
            <w:pPr>
              <w:pStyle w:val="TableHeading"/>
            </w:pPr>
            <w:r w:rsidRPr="00DC5550">
              <w:t>Interested Communities</w:t>
            </w:r>
          </w:p>
        </w:tc>
        <w:tc>
          <w:tcPr>
            <w:tcW w:w="3260" w:type="dxa"/>
            <w:tcBorders>
              <w:top w:val="single" w:sz="4" w:space="0" w:color="auto"/>
              <w:bottom w:val="single" w:sz="4" w:space="0" w:color="auto"/>
            </w:tcBorders>
            <w:shd w:val="clear" w:color="auto" w:fill="BFBFBF" w:themeFill="background1" w:themeFillShade="BF"/>
          </w:tcPr>
          <w:p w14:paraId="74E89962" w14:textId="77777777" w:rsidR="00381D7D" w:rsidRDefault="00381D7D" w:rsidP="00381D7D">
            <w:pPr>
              <w:pStyle w:val="TableHeading"/>
            </w:pPr>
            <w:r w:rsidRPr="00DC5550">
              <w:t>Desired Relationship</w:t>
            </w:r>
          </w:p>
        </w:tc>
        <w:tc>
          <w:tcPr>
            <w:tcW w:w="3969" w:type="dxa"/>
            <w:tcBorders>
              <w:top w:val="single" w:sz="4" w:space="0" w:color="auto"/>
              <w:bottom w:val="single" w:sz="4" w:space="0" w:color="auto"/>
            </w:tcBorders>
            <w:shd w:val="clear" w:color="auto" w:fill="BFBFBF" w:themeFill="background1" w:themeFillShade="BF"/>
          </w:tcPr>
          <w:p w14:paraId="1A514D6C" w14:textId="77777777" w:rsidR="00381D7D" w:rsidRDefault="00381D7D" w:rsidP="00381D7D">
            <w:pPr>
              <w:pStyle w:val="TableHeading"/>
            </w:pPr>
            <w:r w:rsidRPr="00DC5550">
              <w:t>Primary Method of Engagement</w:t>
            </w:r>
          </w:p>
        </w:tc>
      </w:tr>
      <w:tr w:rsidR="00381D7D" w:rsidRPr="009356E4" w14:paraId="72AD6E93" w14:textId="77777777" w:rsidTr="00381D7D">
        <w:trPr>
          <w:trHeight w:val="136"/>
        </w:trPr>
        <w:tc>
          <w:tcPr>
            <w:tcW w:w="1951" w:type="dxa"/>
            <w:tcBorders>
              <w:top w:val="single" w:sz="4" w:space="0" w:color="auto"/>
            </w:tcBorders>
            <w:shd w:val="clear" w:color="auto" w:fill="auto"/>
          </w:tcPr>
          <w:p w14:paraId="64C8F9C8" w14:textId="77777777" w:rsidR="00381D7D" w:rsidRDefault="00381D7D" w:rsidP="00381D7D">
            <w:pPr>
              <w:pStyle w:val="TableText"/>
            </w:pPr>
            <w:r w:rsidRPr="00DC5550">
              <w:t>Community of people who have a connection to the River</w:t>
            </w:r>
          </w:p>
        </w:tc>
        <w:tc>
          <w:tcPr>
            <w:tcW w:w="3260" w:type="dxa"/>
            <w:tcBorders>
              <w:top w:val="single" w:sz="4" w:space="0" w:color="auto"/>
            </w:tcBorders>
            <w:shd w:val="clear" w:color="auto" w:fill="auto"/>
          </w:tcPr>
          <w:p w14:paraId="0D235EBA" w14:textId="77777777" w:rsidR="00381D7D" w:rsidRDefault="00381D7D" w:rsidP="00381D7D">
            <w:pPr>
              <w:pStyle w:val="TableText"/>
            </w:pPr>
            <w:r w:rsidRPr="00DC5550">
              <w:t>Support for and interest in the Program</w:t>
            </w:r>
          </w:p>
          <w:p w14:paraId="20F5BCB8" w14:textId="77777777" w:rsidR="00381D7D" w:rsidRDefault="00381D7D" w:rsidP="00381D7D">
            <w:pPr>
              <w:pStyle w:val="TableText"/>
            </w:pPr>
            <w:r w:rsidRPr="00DC5550">
              <w:t>Promotion of the Program</w:t>
            </w:r>
          </w:p>
        </w:tc>
        <w:tc>
          <w:tcPr>
            <w:tcW w:w="3969" w:type="dxa"/>
            <w:vMerge w:val="restart"/>
            <w:tcBorders>
              <w:top w:val="single" w:sz="4" w:space="0" w:color="auto"/>
            </w:tcBorders>
            <w:shd w:val="clear" w:color="auto" w:fill="auto"/>
          </w:tcPr>
          <w:p w14:paraId="0E55ACB3" w14:textId="0D3D83ED" w:rsidR="00381D7D" w:rsidRPr="00C27F77" w:rsidRDefault="00381D7D" w:rsidP="00381D7D">
            <w:pPr>
              <w:pStyle w:val="TableText"/>
            </w:pPr>
            <w:r w:rsidRPr="009356E4">
              <w:t>External communication and engagement activities will be through</w:t>
            </w:r>
            <w:r w:rsidR="000149AE">
              <w:t>,</w:t>
            </w:r>
            <w:r w:rsidRPr="009356E4">
              <w:t xml:space="preserve"> </w:t>
            </w:r>
            <w:r>
              <w:t>and building on</w:t>
            </w:r>
            <w:r w:rsidR="000149AE">
              <w:t>,</w:t>
            </w:r>
            <w:r>
              <w:t xml:space="preserve"> CEWO and DEW’s </w:t>
            </w:r>
            <w:r w:rsidRPr="009356E4">
              <w:t xml:space="preserve">existing engagement processes related to </w:t>
            </w:r>
            <w:r>
              <w:t xml:space="preserve">the </w:t>
            </w:r>
            <w:r w:rsidRPr="009356E4">
              <w:t xml:space="preserve">management of environmental water. </w:t>
            </w:r>
            <w:r>
              <w:t xml:space="preserve"> </w:t>
            </w:r>
          </w:p>
          <w:p w14:paraId="07CEF7F1" w14:textId="77777777" w:rsidR="00381D7D" w:rsidRDefault="00381D7D" w:rsidP="00381D7D">
            <w:pPr>
              <w:pStyle w:val="TableText"/>
            </w:pPr>
            <w:r>
              <w:t xml:space="preserve">These include setting up MER Lower Murray websites, linking to Basin-scale Flow-MER project, social media and promotion materials. </w:t>
            </w:r>
          </w:p>
          <w:p w14:paraId="2A0A92C6" w14:textId="77777777" w:rsidR="00381D7D" w:rsidRPr="00C27F77" w:rsidRDefault="00381D7D" w:rsidP="00381D7D"/>
        </w:tc>
      </w:tr>
      <w:tr w:rsidR="00381D7D" w:rsidRPr="009356E4" w14:paraId="5DF0C1F5" w14:textId="77777777" w:rsidTr="00381D7D">
        <w:trPr>
          <w:trHeight w:val="136"/>
        </w:trPr>
        <w:tc>
          <w:tcPr>
            <w:tcW w:w="1951" w:type="dxa"/>
            <w:tcBorders>
              <w:top w:val="single" w:sz="4" w:space="0" w:color="auto"/>
            </w:tcBorders>
            <w:shd w:val="clear" w:color="auto" w:fill="auto"/>
          </w:tcPr>
          <w:p w14:paraId="0277E389" w14:textId="77777777" w:rsidR="00381D7D" w:rsidRDefault="00381D7D" w:rsidP="00381D7D">
            <w:pPr>
              <w:pStyle w:val="TableText"/>
            </w:pPr>
            <w:r w:rsidRPr="00DC5550">
              <w:t>Media</w:t>
            </w:r>
          </w:p>
        </w:tc>
        <w:tc>
          <w:tcPr>
            <w:tcW w:w="3260" w:type="dxa"/>
            <w:tcBorders>
              <w:top w:val="single" w:sz="4" w:space="0" w:color="auto"/>
            </w:tcBorders>
            <w:shd w:val="clear" w:color="auto" w:fill="auto"/>
          </w:tcPr>
          <w:p w14:paraId="4C60A20F" w14:textId="77777777" w:rsidR="00381D7D" w:rsidRDefault="00381D7D" w:rsidP="00381D7D">
            <w:pPr>
              <w:pStyle w:val="TableText"/>
            </w:pPr>
            <w:r w:rsidRPr="00DC5550">
              <w:t>Promotion of the Program</w:t>
            </w:r>
          </w:p>
        </w:tc>
        <w:tc>
          <w:tcPr>
            <w:tcW w:w="3969" w:type="dxa"/>
            <w:vMerge/>
            <w:shd w:val="clear" w:color="auto" w:fill="auto"/>
          </w:tcPr>
          <w:p w14:paraId="3236087F" w14:textId="77777777" w:rsidR="00381D7D" w:rsidRPr="009356E4" w:rsidRDefault="00381D7D" w:rsidP="00381D7D">
            <w:pPr>
              <w:rPr>
                <w:rFonts w:cstheme="minorHAnsi"/>
                <w:szCs w:val="22"/>
              </w:rPr>
            </w:pPr>
          </w:p>
        </w:tc>
      </w:tr>
      <w:tr w:rsidR="00381D7D" w:rsidRPr="009356E4" w14:paraId="0555663F" w14:textId="77777777" w:rsidTr="00381D7D">
        <w:trPr>
          <w:trHeight w:val="136"/>
        </w:trPr>
        <w:tc>
          <w:tcPr>
            <w:tcW w:w="1951" w:type="dxa"/>
            <w:tcBorders>
              <w:top w:val="single" w:sz="4" w:space="0" w:color="auto"/>
            </w:tcBorders>
            <w:shd w:val="clear" w:color="auto" w:fill="auto"/>
          </w:tcPr>
          <w:p w14:paraId="784DBB54" w14:textId="77777777" w:rsidR="00381D7D" w:rsidRDefault="00381D7D" w:rsidP="00381D7D">
            <w:pPr>
              <w:pStyle w:val="TableText"/>
            </w:pPr>
            <w:r w:rsidRPr="00DC5550">
              <w:t>Broader community</w:t>
            </w:r>
          </w:p>
        </w:tc>
        <w:tc>
          <w:tcPr>
            <w:tcW w:w="3260" w:type="dxa"/>
            <w:tcBorders>
              <w:top w:val="single" w:sz="4" w:space="0" w:color="auto"/>
            </w:tcBorders>
            <w:shd w:val="clear" w:color="auto" w:fill="auto"/>
          </w:tcPr>
          <w:p w14:paraId="591871DC" w14:textId="77777777" w:rsidR="00381D7D" w:rsidRDefault="00381D7D" w:rsidP="00381D7D">
            <w:pPr>
              <w:pStyle w:val="TableText"/>
            </w:pPr>
            <w:r w:rsidRPr="00DC5550">
              <w:t>Support for and interest in the Program</w:t>
            </w:r>
          </w:p>
          <w:p w14:paraId="19D4F7F1" w14:textId="77777777" w:rsidR="00381D7D" w:rsidRDefault="00381D7D" w:rsidP="00381D7D">
            <w:pPr>
              <w:pStyle w:val="TableText"/>
            </w:pPr>
            <w:r w:rsidRPr="00DC5550">
              <w:t>Promotion of the Program</w:t>
            </w:r>
          </w:p>
        </w:tc>
        <w:tc>
          <w:tcPr>
            <w:tcW w:w="3969" w:type="dxa"/>
            <w:vMerge/>
            <w:shd w:val="clear" w:color="auto" w:fill="auto"/>
          </w:tcPr>
          <w:p w14:paraId="1A388510" w14:textId="77777777" w:rsidR="00381D7D" w:rsidRPr="009356E4" w:rsidRDefault="00381D7D" w:rsidP="00381D7D">
            <w:pPr>
              <w:rPr>
                <w:rFonts w:cstheme="minorHAnsi"/>
                <w:szCs w:val="22"/>
              </w:rPr>
            </w:pPr>
          </w:p>
        </w:tc>
      </w:tr>
    </w:tbl>
    <w:p w14:paraId="023F47C7" w14:textId="26022F8F" w:rsidR="00DC5550" w:rsidRDefault="00DC5550" w:rsidP="00F02673"/>
    <w:p w14:paraId="7E42A390" w14:textId="7E5B977C" w:rsidR="001D41A7" w:rsidRDefault="001D41A7" w:rsidP="00134C30">
      <w:pPr>
        <w:pStyle w:val="Heading2"/>
      </w:pPr>
      <w:bookmarkStart w:id="287" w:name="_Ref10793634"/>
      <w:bookmarkStart w:id="288" w:name="_Toc22196738"/>
      <w:r>
        <w:t>Plan for key activities</w:t>
      </w:r>
      <w:bookmarkEnd w:id="287"/>
      <w:bookmarkEnd w:id="288"/>
      <w:r>
        <w:t xml:space="preserve"> </w:t>
      </w:r>
    </w:p>
    <w:p w14:paraId="31483A36" w14:textId="4E879726" w:rsidR="00B12A6E" w:rsidRDefault="0040607A" w:rsidP="001D41A7">
      <w:r>
        <w:t xml:space="preserve">The Lower Murray engagement and </w:t>
      </w:r>
      <w:r w:rsidR="00B12A6E">
        <w:t>communication</w:t>
      </w:r>
      <w:r>
        <w:t xml:space="preserve"> plan for MER Project includes activities that continue from the LTIM Project (e.g. Selected</w:t>
      </w:r>
      <w:r w:rsidR="00C96959">
        <w:t xml:space="preserve"> Area Working Group, see Section </w:t>
      </w:r>
      <w:r w:rsidR="00C96959">
        <w:fldChar w:fldCharType="begin"/>
      </w:r>
      <w:r w:rsidR="00C96959">
        <w:instrText xml:space="preserve"> REF _Ref10119735 \r \h </w:instrText>
      </w:r>
      <w:r w:rsidR="00C96959">
        <w:fldChar w:fldCharType="separate"/>
      </w:r>
      <w:r w:rsidR="00DF49CD">
        <w:t>8.3</w:t>
      </w:r>
      <w:r w:rsidR="00C96959">
        <w:fldChar w:fldCharType="end"/>
      </w:r>
      <w:r>
        <w:t xml:space="preserve">) and new </w:t>
      </w:r>
      <w:r w:rsidR="00E91810">
        <w:t>activities targeting key stakeholders</w:t>
      </w:r>
      <w:r w:rsidR="00015735">
        <w:t xml:space="preserve"> </w:t>
      </w:r>
      <w:r w:rsidR="00797E4F" w:rsidRPr="00797E4F">
        <w:t>(e.g. Aboriginal groups, recreational fishers and landowners)</w:t>
      </w:r>
      <w:r w:rsidR="00E91810">
        <w:t xml:space="preserve"> </w:t>
      </w:r>
      <w:r>
        <w:t>to improve engagement</w:t>
      </w:r>
      <w:r w:rsidR="00015735">
        <w:t xml:space="preserve">. </w:t>
      </w:r>
      <w:r w:rsidR="00E91810">
        <w:t>The Lower Murray team will work closely with CEWO Local Engagement Officer (LEO)</w:t>
      </w:r>
      <w:r w:rsidR="00015735">
        <w:t xml:space="preserve"> to implement the plan, with strong support from </w:t>
      </w:r>
      <w:r w:rsidR="00895587">
        <w:t xml:space="preserve">the </w:t>
      </w:r>
      <w:r w:rsidR="00CC327E">
        <w:t xml:space="preserve">Basin </w:t>
      </w:r>
      <w:r w:rsidR="00015735">
        <w:t xml:space="preserve">Flow-MER Engagement and Communication team, </w:t>
      </w:r>
      <w:r w:rsidR="00E91810">
        <w:t>PIRSA Communication Unit</w:t>
      </w:r>
      <w:r>
        <w:t xml:space="preserve">, </w:t>
      </w:r>
      <w:r w:rsidR="00015735">
        <w:t>Lower Murray Communication Coordinator</w:t>
      </w:r>
      <w:r w:rsidR="00A95488">
        <w:t xml:space="preserve"> (SARDI)</w:t>
      </w:r>
      <w:r w:rsidR="00015735">
        <w:t xml:space="preserve"> and </w:t>
      </w:r>
      <w:r w:rsidR="00E91810">
        <w:t xml:space="preserve">DEW Natural Resources </w:t>
      </w:r>
      <w:r w:rsidR="00015735">
        <w:t xml:space="preserve">(SA MDB). </w:t>
      </w:r>
      <w:r w:rsidR="00CC327E">
        <w:t xml:space="preserve">Details of our planned core and additional activities </w:t>
      </w:r>
      <w:r w:rsidR="00391A27">
        <w:t xml:space="preserve">are presented in below </w:t>
      </w:r>
      <w:r w:rsidR="00391A27">
        <w:fldChar w:fldCharType="begin"/>
      </w:r>
      <w:r w:rsidR="00391A27">
        <w:instrText xml:space="preserve"> REF _Ref381086260 \h </w:instrText>
      </w:r>
      <w:r w:rsidR="00391A27">
        <w:fldChar w:fldCharType="separate"/>
      </w:r>
      <w:r w:rsidR="00DF49CD">
        <w:t xml:space="preserve">Table </w:t>
      </w:r>
      <w:r w:rsidR="00DF49CD">
        <w:rPr>
          <w:noProof/>
        </w:rPr>
        <w:t>8</w:t>
      </w:r>
      <w:r w:rsidR="00DF49CD">
        <w:t>.</w:t>
      </w:r>
      <w:r w:rsidR="00DF49CD">
        <w:rPr>
          <w:noProof/>
        </w:rPr>
        <w:t>4</w:t>
      </w:r>
      <w:r w:rsidR="00391A27">
        <w:fldChar w:fldCharType="end"/>
      </w:r>
      <w:r w:rsidR="00CC327E">
        <w:t xml:space="preserve"> a</w:t>
      </w:r>
      <w:r w:rsidR="00391A27">
        <w:t xml:space="preserve">nd </w:t>
      </w:r>
      <w:r w:rsidR="00391A27">
        <w:fldChar w:fldCharType="begin"/>
      </w:r>
      <w:r w:rsidR="00391A27">
        <w:instrText xml:space="preserve"> REF _Ref10212973 \h </w:instrText>
      </w:r>
      <w:r w:rsidR="00391A27">
        <w:fldChar w:fldCharType="separate"/>
      </w:r>
      <w:r w:rsidR="00DF49CD">
        <w:t xml:space="preserve">Table </w:t>
      </w:r>
      <w:r w:rsidR="00DF49CD">
        <w:rPr>
          <w:noProof/>
        </w:rPr>
        <w:t>8</w:t>
      </w:r>
      <w:r w:rsidR="00DF49CD">
        <w:t>.</w:t>
      </w:r>
      <w:r w:rsidR="00DF49CD">
        <w:rPr>
          <w:noProof/>
        </w:rPr>
        <w:t>5</w:t>
      </w:r>
      <w:r w:rsidR="00391A27">
        <w:fldChar w:fldCharType="end"/>
      </w:r>
      <w:r w:rsidR="00CC327E">
        <w:t xml:space="preserve">, respectively. </w:t>
      </w:r>
      <w:r w:rsidR="00497E94">
        <w:t>A subset of these listed additional activates will be selected in consultation with CEWO at a later stage.</w:t>
      </w:r>
      <w:r w:rsidR="00F230DC" w:rsidRPr="00F230DC">
        <w:t xml:space="preserve"> </w:t>
      </w:r>
    </w:p>
    <w:p w14:paraId="353519E1" w14:textId="77777777" w:rsidR="00B12A6E" w:rsidRPr="001D41A7" w:rsidRDefault="00B12A6E" w:rsidP="001D41A7">
      <w:pPr>
        <w:sectPr w:rsidR="00B12A6E" w:rsidRPr="001D41A7" w:rsidSect="003F6444">
          <w:pgSz w:w="11900" w:h="16840"/>
          <w:pgMar w:top="1440" w:right="1440" w:bottom="1440" w:left="1440" w:header="708" w:footer="708" w:gutter="0"/>
          <w:cols w:space="708"/>
          <w:docGrid w:linePitch="360"/>
        </w:sectPr>
      </w:pPr>
    </w:p>
    <w:p w14:paraId="3DA824EA" w14:textId="32E57FC8" w:rsidR="00443EDA" w:rsidRDefault="0083048A" w:rsidP="00165D7C">
      <w:pPr>
        <w:pStyle w:val="Caption"/>
      </w:pPr>
      <w:bookmarkStart w:id="289" w:name="_Ref381086260"/>
      <w:bookmarkStart w:id="290" w:name="_Toc381086843"/>
      <w:bookmarkStart w:id="291" w:name="_Toc381380598"/>
      <w:bookmarkStart w:id="292" w:name="_Toc391539145"/>
      <w:bookmarkStart w:id="293" w:name="_Toc391553308"/>
      <w:bookmarkStart w:id="294" w:name="_Toc396899637"/>
      <w:bookmarkStart w:id="295" w:name="_Toc396899732"/>
      <w:bookmarkStart w:id="296" w:name="_Toc12630256"/>
      <w:r>
        <w:lastRenderedPageBreak/>
        <w:t xml:space="preserve">Table </w:t>
      </w:r>
      <w:r w:rsidR="00A8252A">
        <w:rPr>
          <w:noProof/>
        </w:rPr>
        <w:fldChar w:fldCharType="begin"/>
      </w:r>
      <w:r w:rsidR="00A8252A">
        <w:rPr>
          <w:noProof/>
        </w:rPr>
        <w:instrText xml:space="preserve"> STYLEREF 1 \s </w:instrText>
      </w:r>
      <w:r w:rsidR="00A8252A">
        <w:rPr>
          <w:noProof/>
        </w:rPr>
        <w:fldChar w:fldCharType="separate"/>
      </w:r>
      <w:r w:rsidR="00DF49CD">
        <w:rPr>
          <w:noProof/>
        </w:rPr>
        <w:t>8</w:t>
      </w:r>
      <w:r w:rsidR="00A8252A">
        <w:rPr>
          <w:noProof/>
        </w:rPr>
        <w:fldChar w:fldCharType="end"/>
      </w:r>
      <w:r w:rsidR="00F359A2">
        <w:t>.</w:t>
      </w:r>
      <w:r w:rsidR="00A8252A">
        <w:rPr>
          <w:noProof/>
        </w:rPr>
        <w:fldChar w:fldCharType="begin"/>
      </w:r>
      <w:r w:rsidR="00A8252A">
        <w:rPr>
          <w:noProof/>
        </w:rPr>
        <w:instrText xml:space="preserve"> SEQ Table \* ARABIC \s 1 </w:instrText>
      </w:r>
      <w:r w:rsidR="00A8252A">
        <w:rPr>
          <w:noProof/>
        </w:rPr>
        <w:fldChar w:fldCharType="separate"/>
      </w:r>
      <w:r w:rsidR="00DF49CD">
        <w:rPr>
          <w:noProof/>
        </w:rPr>
        <w:t>4</w:t>
      </w:r>
      <w:r w:rsidR="00A8252A">
        <w:rPr>
          <w:noProof/>
        </w:rPr>
        <w:fldChar w:fldCharType="end"/>
      </w:r>
      <w:bookmarkEnd w:id="289"/>
      <w:r w:rsidR="00DC5550" w:rsidRPr="0083048A">
        <w:t>.</w:t>
      </w:r>
      <w:r w:rsidR="00E2798E">
        <w:tab/>
      </w:r>
      <w:bookmarkEnd w:id="290"/>
      <w:bookmarkEnd w:id="291"/>
      <w:bookmarkEnd w:id="292"/>
      <w:bookmarkEnd w:id="293"/>
      <w:bookmarkEnd w:id="294"/>
      <w:bookmarkEnd w:id="295"/>
      <w:r w:rsidR="0063539F" w:rsidRPr="0083048A">
        <w:t xml:space="preserve">Operational </w:t>
      </w:r>
      <w:r w:rsidR="0063539F">
        <w:t xml:space="preserve">engagement and </w:t>
      </w:r>
      <w:r w:rsidR="0063539F" w:rsidRPr="0083048A">
        <w:t>communication plan</w:t>
      </w:r>
      <w:r w:rsidR="0063539F">
        <w:t xml:space="preserve"> (core activities)</w:t>
      </w:r>
      <w:bookmarkEnd w:id="2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7"/>
        <w:gridCol w:w="5803"/>
        <w:gridCol w:w="1805"/>
        <w:gridCol w:w="1543"/>
        <w:gridCol w:w="3102"/>
      </w:tblGrid>
      <w:tr w:rsidR="0063539F" w:rsidRPr="00DC5550" w14:paraId="68DBD5C0" w14:textId="77777777" w:rsidTr="0063539F">
        <w:trPr>
          <w:cantSplit/>
          <w:trHeight w:val="175"/>
          <w:tblHeader/>
        </w:trPr>
        <w:tc>
          <w:tcPr>
            <w:tcW w:w="608" w:type="pct"/>
            <w:shd w:val="clear" w:color="auto" w:fill="BFBFBF" w:themeFill="background1" w:themeFillShade="BF"/>
          </w:tcPr>
          <w:p w14:paraId="47A3238C" w14:textId="77777777" w:rsidR="0063539F" w:rsidRDefault="0063539F" w:rsidP="0063539F">
            <w:pPr>
              <w:pStyle w:val="TableHeading"/>
            </w:pPr>
            <w:r w:rsidRPr="00DC5550">
              <w:t xml:space="preserve">Activity </w:t>
            </w:r>
          </w:p>
        </w:tc>
        <w:tc>
          <w:tcPr>
            <w:tcW w:w="2080" w:type="pct"/>
            <w:shd w:val="clear" w:color="auto" w:fill="BFBFBF" w:themeFill="background1" w:themeFillShade="BF"/>
          </w:tcPr>
          <w:p w14:paraId="58977A04" w14:textId="77777777" w:rsidR="0063539F" w:rsidRDefault="0063539F" w:rsidP="0063539F">
            <w:pPr>
              <w:pStyle w:val="TableHeading"/>
            </w:pPr>
            <w:r w:rsidRPr="00DC5550">
              <w:t xml:space="preserve">Purpose </w:t>
            </w:r>
          </w:p>
        </w:tc>
        <w:tc>
          <w:tcPr>
            <w:tcW w:w="647" w:type="pct"/>
            <w:shd w:val="clear" w:color="auto" w:fill="BFBFBF" w:themeFill="background1" w:themeFillShade="BF"/>
          </w:tcPr>
          <w:p w14:paraId="4630C238" w14:textId="77777777" w:rsidR="0063539F" w:rsidRDefault="0063539F" w:rsidP="0063539F">
            <w:pPr>
              <w:pStyle w:val="TableHeading"/>
            </w:pPr>
            <w:r w:rsidRPr="00DC5550">
              <w:t xml:space="preserve">Timing / frequency </w:t>
            </w:r>
          </w:p>
        </w:tc>
        <w:tc>
          <w:tcPr>
            <w:tcW w:w="553" w:type="pct"/>
            <w:shd w:val="clear" w:color="auto" w:fill="BFBFBF" w:themeFill="background1" w:themeFillShade="BF"/>
          </w:tcPr>
          <w:p w14:paraId="5797C538" w14:textId="77777777" w:rsidR="0063539F" w:rsidRDefault="0063539F" w:rsidP="0063539F">
            <w:pPr>
              <w:pStyle w:val="TableHeading"/>
            </w:pPr>
            <w:r w:rsidRPr="00DC5550">
              <w:t xml:space="preserve">Responsibility </w:t>
            </w:r>
          </w:p>
        </w:tc>
        <w:tc>
          <w:tcPr>
            <w:tcW w:w="1112" w:type="pct"/>
            <w:shd w:val="clear" w:color="auto" w:fill="BFBFBF" w:themeFill="background1" w:themeFillShade="BF"/>
          </w:tcPr>
          <w:p w14:paraId="7475DE3E" w14:textId="77777777" w:rsidR="0063539F" w:rsidRDefault="0063539F" w:rsidP="0063539F">
            <w:pPr>
              <w:pStyle w:val="TableHeading"/>
            </w:pPr>
            <w:r w:rsidRPr="00DC5550">
              <w:t xml:space="preserve">Indicative attendees </w:t>
            </w:r>
          </w:p>
        </w:tc>
      </w:tr>
      <w:tr w:rsidR="0063539F" w:rsidRPr="00DC5550" w14:paraId="7134AA25" w14:textId="77777777" w:rsidTr="0063539F">
        <w:trPr>
          <w:cantSplit/>
          <w:trHeight w:val="594"/>
        </w:trPr>
        <w:tc>
          <w:tcPr>
            <w:tcW w:w="608" w:type="pct"/>
          </w:tcPr>
          <w:p w14:paraId="54A40FE0" w14:textId="77777777" w:rsidR="0063539F" w:rsidRPr="00A713D9" w:rsidRDefault="0063539F" w:rsidP="0063539F">
            <w:pPr>
              <w:pStyle w:val="TableText"/>
              <w:rPr>
                <w:rFonts w:eastAsia="Times New Roman"/>
              </w:rPr>
            </w:pPr>
            <w:r w:rsidRPr="00A713D9">
              <w:t xml:space="preserve">Project Meetings – CEWO and MER Selected Area Provider </w:t>
            </w:r>
          </w:p>
        </w:tc>
        <w:tc>
          <w:tcPr>
            <w:tcW w:w="2080" w:type="pct"/>
          </w:tcPr>
          <w:p w14:paraId="3501D825" w14:textId="77777777" w:rsidR="0063539F" w:rsidRPr="00A713D9" w:rsidRDefault="0063539F" w:rsidP="0063539F">
            <w:pPr>
              <w:pStyle w:val="TableText"/>
              <w:rPr>
                <w:rFonts w:eastAsia="Times New Roman"/>
              </w:rPr>
            </w:pPr>
            <w:r w:rsidRPr="00A713D9">
              <w:rPr>
                <w:i/>
                <w:iCs/>
              </w:rPr>
              <w:t xml:space="preserve">Project progress and outcomes </w:t>
            </w:r>
          </w:p>
          <w:p w14:paraId="22CDE021" w14:textId="77777777" w:rsidR="0063539F" w:rsidRPr="00A713D9" w:rsidRDefault="0063539F" w:rsidP="0063539F">
            <w:pPr>
              <w:pStyle w:val="TableText"/>
              <w:rPr>
                <w:rFonts w:eastAsia="Times New Roman"/>
              </w:rPr>
            </w:pPr>
            <w:r w:rsidRPr="00A713D9">
              <w:t xml:space="preserve">Regular meetings between CEWO and the MER Selected Area Provider will serve to monitor project progress, ensure the project remains on track to deliver against the project outcomes, report early observations/outcomes and discuss and resolve project risks, issues and actions. </w:t>
            </w:r>
          </w:p>
        </w:tc>
        <w:tc>
          <w:tcPr>
            <w:tcW w:w="647" w:type="pct"/>
          </w:tcPr>
          <w:p w14:paraId="4F1C1FEA" w14:textId="77777777" w:rsidR="0063539F" w:rsidRPr="00A713D9" w:rsidRDefault="0063539F" w:rsidP="0063539F">
            <w:pPr>
              <w:pStyle w:val="TableText"/>
              <w:rPr>
                <w:szCs w:val="20"/>
              </w:rPr>
            </w:pPr>
            <w:r w:rsidRPr="00A713D9">
              <w:t xml:space="preserve">Fortnightly during </w:t>
            </w:r>
            <w:r w:rsidRPr="00A713D9">
              <w:rPr>
                <w:szCs w:val="20"/>
              </w:rPr>
              <w:t>Stage 1</w:t>
            </w:r>
          </w:p>
          <w:p w14:paraId="05012A41" w14:textId="77777777" w:rsidR="0063539F" w:rsidRPr="00A713D9" w:rsidRDefault="0063539F" w:rsidP="0063539F">
            <w:r w:rsidRPr="00A713D9">
              <w:rPr>
                <w:sz w:val="20"/>
              </w:rPr>
              <w:t>Monthly during  Stage 2</w:t>
            </w:r>
          </w:p>
        </w:tc>
        <w:tc>
          <w:tcPr>
            <w:tcW w:w="553" w:type="pct"/>
          </w:tcPr>
          <w:p w14:paraId="18BEB5B7" w14:textId="77777777" w:rsidR="0063539F" w:rsidRPr="00A713D9" w:rsidRDefault="0063539F" w:rsidP="0063539F">
            <w:pPr>
              <w:pStyle w:val="TableText"/>
              <w:rPr>
                <w:rFonts w:eastAsia="Times New Roman"/>
              </w:rPr>
            </w:pPr>
            <w:r w:rsidRPr="00A713D9">
              <w:t>SARDI</w:t>
            </w:r>
          </w:p>
        </w:tc>
        <w:tc>
          <w:tcPr>
            <w:tcW w:w="1112" w:type="pct"/>
          </w:tcPr>
          <w:p w14:paraId="674DE680" w14:textId="77777777" w:rsidR="0063539F" w:rsidRPr="00A713D9" w:rsidRDefault="0063539F" w:rsidP="0063539F">
            <w:pPr>
              <w:pStyle w:val="TableText"/>
              <w:rPr>
                <w:rFonts w:eastAsia="Times New Roman"/>
              </w:rPr>
            </w:pPr>
            <w:r w:rsidRPr="00A713D9">
              <w:t xml:space="preserve">CEWO </w:t>
            </w:r>
          </w:p>
          <w:p w14:paraId="32909F1B" w14:textId="77777777" w:rsidR="0063539F" w:rsidRPr="00A713D9" w:rsidRDefault="0063539F" w:rsidP="0063539F">
            <w:pPr>
              <w:pStyle w:val="TableText"/>
              <w:rPr>
                <w:rFonts w:eastAsia="Times New Roman"/>
              </w:rPr>
            </w:pPr>
            <w:r w:rsidRPr="00A713D9">
              <w:t xml:space="preserve">MER Lower Murray Selected Area Provider (Project Leader plus others as required) </w:t>
            </w:r>
          </w:p>
        </w:tc>
      </w:tr>
      <w:tr w:rsidR="0063539F" w:rsidRPr="00DC5550" w14:paraId="3A53454C" w14:textId="77777777" w:rsidTr="0063539F">
        <w:trPr>
          <w:cantSplit/>
          <w:trHeight w:val="1036"/>
        </w:trPr>
        <w:tc>
          <w:tcPr>
            <w:tcW w:w="608" w:type="pct"/>
          </w:tcPr>
          <w:p w14:paraId="0C703765" w14:textId="77777777" w:rsidR="0063539F" w:rsidRPr="00A713D9" w:rsidRDefault="0063539F" w:rsidP="0063539F">
            <w:pPr>
              <w:pStyle w:val="TableText"/>
            </w:pPr>
            <w:r>
              <w:t xml:space="preserve">Project Meetings and communications </w:t>
            </w:r>
            <w:r w:rsidRPr="00A713D9">
              <w:t xml:space="preserve">– </w:t>
            </w:r>
            <w:r>
              <w:t>internal Lower Murray team</w:t>
            </w:r>
          </w:p>
        </w:tc>
        <w:tc>
          <w:tcPr>
            <w:tcW w:w="2080" w:type="pct"/>
          </w:tcPr>
          <w:p w14:paraId="4809CB2C" w14:textId="77777777" w:rsidR="0063539F" w:rsidRPr="00887A51" w:rsidRDefault="0063539F" w:rsidP="0063539F">
            <w:pPr>
              <w:pStyle w:val="TableText"/>
              <w:rPr>
                <w:i/>
                <w:lang w:val="en-GB"/>
              </w:rPr>
            </w:pPr>
            <w:r w:rsidRPr="00887A51">
              <w:rPr>
                <w:i/>
                <w:lang w:val="en-GB"/>
              </w:rPr>
              <w:t>Internal project team communications to review and share project progress and early findings</w:t>
            </w:r>
          </w:p>
          <w:p w14:paraId="3AC43AA4" w14:textId="77777777" w:rsidR="0063539F" w:rsidRPr="00A713D9" w:rsidRDefault="0063539F" w:rsidP="0063539F">
            <w:pPr>
              <w:pStyle w:val="TableText"/>
              <w:rPr>
                <w:i/>
                <w:iCs/>
              </w:rPr>
            </w:pPr>
            <w:r>
              <w:rPr>
                <w:lang w:val="en-GB"/>
              </w:rPr>
              <w:t>Regular/frequent catch up with Lower Murray team task leaders and key scientists. </w:t>
            </w:r>
          </w:p>
        </w:tc>
        <w:tc>
          <w:tcPr>
            <w:tcW w:w="647" w:type="pct"/>
          </w:tcPr>
          <w:p w14:paraId="150A6F63" w14:textId="77777777" w:rsidR="0063539F" w:rsidRPr="00A713D9" w:rsidRDefault="0063539F" w:rsidP="0063539F">
            <w:pPr>
              <w:pStyle w:val="TableText"/>
            </w:pPr>
            <w:r>
              <w:t>Quarterly catch up plus 2 project team meetings per year</w:t>
            </w:r>
          </w:p>
        </w:tc>
        <w:tc>
          <w:tcPr>
            <w:tcW w:w="553" w:type="pct"/>
          </w:tcPr>
          <w:p w14:paraId="4C5FD938" w14:textId="77777777" w:rsidR="0063539F" w:rsidRPr="00A713D9" w:rsidRDefault="0063539F" w:rsidP="0063539F">
            <w:pPr>
              <w:pStyle w:val="TableText"/>
            </w:pPr>
            <w:r>
              <w:t>SARDI</w:t>
            </w:r>
          </w:p>
        </w:tc>
        <w:tc>
          <w:tcPr>
            <w:tcW w:w="1112" w:type="pct"/>
          </w:tcPr>
          <w:p w14:paraId="141D1249" w14:textId="77777777" w:rsidR="0063539F" w:rsidRPr="00A713D9" w:rsidRDefault="0063539F" w:rsidP="0063539F">
            <w:pPr>
              <w:pStyle w:val="TableText"/>
            </w:pPr>
            <w:r>
              <w:t>MER Lower Murray team (task Leaders/key scientists etc)</w:t>
            </w:r>
          </w:p>
        </w:tc>
      </w:tr>
      <w:tr w:rsidR="0063539F" w:rsidRPr="00DC5550" w14:paraId="42AC04EC" w14:textId="77777777" w:rsidTr="0063539F">
        <w:trPr>
          <w:cantSplit/>
          <w:trHeight w:val="1036"/>
        </w:trPr>
        <w:tc>
          <w:tcPr>
            <w:tcW w:w="608" w:type="pct"/>
          </w:tcPr>
          <w:p w14:paraId="27965917" w14:textId="77777777" w:rsidR="0063539F" w:rsidRPr="00A713D9" w:rsidRDefault="0063539F" w:rsidP="0063539F">
            <w:pPr>
              <w:pStyle w:val="TableText"/>
            </w:pPr>
            <w:r w:rsidRPr="00A713D9">
              <w:t xml:space="preserve">MER Project Steering Committee  meetings </w:t>
            </w:r>
          </w:p>
        </w:tc>
        <w:tc>
          <w:tcPr>
            <w:tcW w:w="2080" w:type="pct"/>
          </w:tcPr>
          <w:p w14:paraId="4DE49116" w14:textId="77777777" w:rsidR="0063539F" w:rsidRPr="00A713D9" w:rsidRDefault="0063539F" w:rsidP="0063539F">
            <w:pPr>
              <w:pStyle w:val="TableText"/>
              <w:rPr>
                <w:rFonts w:eastAsia="Times New Roman"/>
              </w:rPr>
            </w:pPr>
            <w:r w:rsidRPr="00A713D9">
              <w:rPr>
                <w:i/>
                <w:iCs/>
              </w:rPr>
              <w:t xml:space="preserve">Project direction, collaboration and consistency </w:t>
            </w:r>
          </w:p>
          <w:p w14:paraId="549EC8A4" w14:textId="77777777" w:rsidR="0063539F" w:rsidRPr="00A713D9" w:rsidRDefault="0063539F" w:rsidP="0063539F">
            <w:pPr>
              <w:pStyle w:val="TableText"/>
              <w:rPr>
                <w:i/>
                <w:iCs/>
              </w:rPr>
            </w:pPr>
            <w:r>
              <w:t xml:space="preserve">The whole-of-project </w:t>
            </w:r>
            <w:r w:rsidRPr="00A713D9">
              <w:t xml:space="preserve">Steering </w:t>
            </w:r>
            <w:r>
              <w:t xml:space="preserve">Committee will provide for exchanging information and intelligence that supports the implementation of the MER Program, through effective coordination and issues resolution. </w:t>
            </w:r>
            <w:r w:rsidRPr="00A713D9">
              <w:t xml:space="preserve">Consistency across all Selected Areas is essential. Regular meetings between the MER Provider Project Leaders (Basin-scale and Selected Areas) and CEWO will help achieve this. Such meetings will also provide an opportunity for the Project Leaders to collaborate and share knowledge and experiences. </w:t>
            </w:r>
          </w:p>
        </w:tc>
        <w:tc>
          <w:tcPr>
            <w:tcW w:w="647" w:type="pct"/>
          </w:tcPr>
          <w:p w14:paraId="6A8418A3" w14:textId="77777777" w:rsidR="0063539F" w:rsidRPr="00A713D9" w:rsidRDefault="0063539F" w:rsidP="0063539F">
            <w:pPr>
              <w:pStyle w:val="TableText"/>
            </w:pPr>
            <w:r w:rsidRPr="00A713D9">
              <w:t>Biannually from 2019</w:t>
            </w:r>
            <w:r>
              <w:rPr>
                <w:rFonts w:eastAsiaTheme="majorEastAsia"/>
              </w:rPr>
              <w:t>-</w:t>
            </w:r>
            <w:r w:rsidRPr="00A713D9">
              <w:t>20</w:t>
            </w:r>
          </w:p>
        </w:tc>
        <w:tc>
          <w:tcPr>
            <w:tcW w:w="553" w:type="pct"/>
          </w:tcPr>
          <w:p w14:paraId="68B215FB" w14:textId="77777777" w:rsidR="0063539F" w:rsidRPr="00A713D9" w:rsidRDefault="0063539F" w:rsidP="0063539F">
            <w:pPr>
              <w:pStyle w:val="TableText"/>
            </w:pPr>
            <w:r w:rsidRPr="00A713D9">
              <w:t xml:space="preserve">CEWO </w:t>
            </w:r>
          </w:p>
        </w:tc>
        <w:tc>
          <w:tcPr>
            <w:tcW w:w="1112" w:type="pct"/>
          </w:tcPr>
          <w:p w14:paraId="13022630" w14:textId="77777777" w:rsidR="0063539F" w:rsidRPr="00A713D9" w:rsidRDefault="0063539F" w:rsidP="0063539F">
            <w:pPr>
              <w:pStyle w:val="TableText"/>
              <w:rPr>
                <w:rFonts w:eastAsia="Times New Roman"/>
              </w:rPr>
            </w:pPr>
            <w:r w:rsidRPr="00A713D9">
              <w:t xml:space="preserve">CEWO </w:t>
            </w:r>
          </w:p>
          <w:p w14:paraId="547FB768" w14:textId="77777777" w:rsidR="0063539F" w:rsidRPr="00A713D9" w:rsidRDefault="0063539F" w:rsidP="0063539F">
            <w:pPr>
              <w:pStyle w:val="TableText"/>
            </w:pPr>
            <w:r w:rsidRPr="00A713D9">
              <w:t>MER Provider Project Leaders for each Selected Area and the Basin scale project</w:t>
            </w:r>
          </w:p>
        </w:tc>
      </w:tr>
      <w:tr w:rsidR="0063539F" w:rsidRPr="00DC5550" w14:paraId="060ACB04" w14:textId="77777777" w:rsidTr="0063539F">
        <w:trPr>
          <w:cantSplit/>
          <w:trHeight w:val="1036"/>
        </w:trPr>
        <w:tc>
          <w:tcPr>
            <w:tcW w:w="608" w:type="pct"/>
          </w:tcPr>
          <w:p w14:paraId="5C459A0A" w14:textId="77777777" w:rsidR="0063539F" w:rsidRPr="00A713D9" w:rsidRDefault="0063539F" w:rsidP="0063539F">
            <w:pPr>
              <w:pStyle w:val="TableText"/>
            </w:pPr>
          </w:p>
          <w:p w14:paraId="75335655" w14:textId="77777777" w:rsidR="0063539F" w:rsidRPr="00A713D9" w:rsidRDefault="0063539F" w:rsidP="0063539F">
            <w:pPr>
              <w:rPr>
                <w:sz w:val="20"/>
              </w:rPr>
            </w:pPr>
            <w:r w:rsidRPr="00A713D9">
              <w:rPr>
                <w:sz w:val="20"/>
              </w:rPr>
              <w:t>Thematic Working Group meetings</w:t>
            </w:r>
          </w:p>
        </w:tc>
        <w:tc>
          <w:tcPr>
            <w:tcW w:w="2080" w:type="pct"/>
          </w:tcPr>
          <w:p w14:paraId="4D83FFE0" w14:textId="5F4D04ED" w:rsidR="0063539F" w:rsidRPr="00A713D9" w:rsidRDefault="0063539F" w:rsidP="0063539F">
            <w:pPr>
              <w:pStyle w:val="TableText"/>
              <w:rPr>
                <w:rFonts w:eastAsia="Times New Roman"/>
              </w:rPr>
            </w:pPr>
            <w:r>
              <w:rPr>
                <w:i/>
                <w:iCs/>
              </w:rPr>
              <w:t>Theme</w:t>
            </w:r>
            <w:r w:rsidRPr="00A713D9">
              <w:rPr>
                <w:i/>
                <w:iCs/>
              </w:rPr>
              <w:t xml:space="preserve"> approach, methods and technical guidance </w:t>
            </w:r>
          </w:p>
          <w:p w14:paraId="5BFC1E19" w14:textId="0B29D3C0" w:rsidR="0063539F" w:rsidRDefault="0063539F" w:rsidP="0063539F">
            <w:pPr>
              <w:pStyle w:val="TableText"/>
            </w:pPr>
            <w:r>
              <w:t>Thematic working groups</w:t>
            </w:r>
            <w:r w:rsidR="00D22831">
              <w:t xml:space="preserve"> (TWG’s)</w:t>
            </w:r>
            <w:r>
              <w:t xml:space="preserve"> for hydrology, fish, vegetation,</w:t>
            </w:r>
          </w:p>
          <w:p w14:paraId="721B8A3C" w14:textId="77777777" w:rsidR="0063539F" w:rsidRDefault="0063539F" w:rsidP="0063539F">
            <w:pPr>
              <w:pStyle w:val="TableText"/>
            </w:pPr>
            <w:r>
              <w:t>stream metabolism and biodiversity will be organised and</w:t>
            </w:r>
          </w:p>
          <w:p w14:paraId="259301E1" w14:textId="77777777" w:rsidR="0063539F" w:rsidRDefault="0063539F" w:rsidP="0063539F">
            <w:pPr>
              <w:pStyle w:val="TableText"/>
            </w:pPr>
            <w:r>
              <w:t>attended by Basin Matter Leads and attended by the</w:t>
            </w:r>
          </w:p>
          <w:p w14:paraId="237D53FB" w14:textId="3E2FDF2A" w:rsidR="0063539F" w:rsidRPr="00A713D9" w:rsidRDefault="0063539F" w:rsidP="00D22831">
            <w:pPr>
              <w:pStyle w:val="TableText"/>
              <w:rPr>
                <w:rFonts w:eastAsia="Times New Roman"/>
              </w:rPr>
            </w:pPr>
            <w:r>
              <w:t>Selected Area Providers' thematic experts for the</w:t>
            </w:r>
            <w:r w:rsidR="00D22831">
              <w:t xml:space="preserve"> </w:t>
            </w:r>
            <w:r>
              <w:t>purposes of discussing progress and resolving issues in</w:t>
            </w:r>
            <w:r w:rsidR="00D22831">
              <w:t xml:space="preserve"> relation </w:t>
            </w:r>
            <w:r>
              <w:t>to ecological indicators evaluated at the Basin-scale. TWG’s will ensure c</w:t>
            </w:r>
            <w:r w:rsidRPr="00A713D9">
              <w:t xml:space="preserve">onsistency in monitoring and evaluation approach </w:t>
            </w:r>
            <w:r>
              <w:t xml:space="preserve">within themes </w:t>
            </w:r>
            <w:r w:rsidRPr="00A713D9">
              <w:t xml:space="preserve">across all Selected Areas. </w:t>
            </w:r>
            <w:r>
              <w:t xml:space="preserve"> </w:t>
            </w:r>
          </w:p>
        </w:tc>
        <w:tc>
          <w:tcPr>
            <w:tcW w:w="647" w:type="pct"/>
          </w:tcPr>
          <w:p w14:paraId="1A0B8C91" w14:textId="77777777" w:rsidR="0063539F" w:rsidRPr="00A713D9" w:rsidRDefault="0063539F" w:rsidP="0063539F">
            <w:pPr>
              <w:pStyle w:val="TableText"/>
              <w:rPr>
                <w:rFonts w:eastAsia="Times New Roman"/>
              </w:rPr>
            </w:pPr>
            <w:r w:rsidRPr="00A713D9">
              <w:t>Initial MER Project Inception workshop – 2</w:t>
            </w:r>
            <w:r w:rsidRPr="00D4672E">
              <w:t>–</w:t>
            </w:r>
            <w:r w:rsidRPr="00A713D9">
              <w:t xml:space="preserve">3 April 2019 </w:t>
            </w:r>
          </w:p>
          <w:p w14:paraId="481C5BFC" w14:textId="77777777" w:rsidR="0063539F" w:rsidRPr="00A713D9" w:rsidRDefault="0063539F" w:rsidP="0063539F">
            <w:pPr>
              <w:pStyle w:val="TableText"/>
              <w:rPr>
                <w:rFonts w:eastAsia="Times New Roman"/>
              </w:rPr>
            </w:pPr>
            <w:r w:rsidRPr="00A713D9">
              <w:t>Others as required (~1</w:t>
            </w:r>
            <w:r w:rsidRPr="00D4672E">
              <w:t>–</w:t>
            </w:r>
            <w:r w:rsidRPr="00A713D9">
              <w:t>2 per year)</w:t>
            </w:r>
          </w:p>
        </w:tc>
        <w:tc>
          <w:tcPr>
            <w:tcW w:w="553" w:type="pct"/>
          </w:tcPr>
          <w:p w14:paraId="0301AD10" w14:textId="702602DC" w:rsidR="0063539F" w:rsidRPr="00A713D9" w:rsidRDefault="0063539F" w:rsidP="0063539F">
            <w:pPr>
              <w:pStyle w:val="TableText"/>
              <w:rPr>
                <w:rFonts w:eastAsia="Times New Roman"/>
              </w:rPr>
            </w:pPr>
            <w:r w:rsidRPr="00A713D9">
              <w:t>MER Basin</w:t>
            </w:r>
            <w:r>
              <w:t xml:space="preserve"> Matter Leads</w:t>
            </w:r>
          </w:p>
        </w:tc>
        <w:tc>
          <w:tcPr>
            <w:tcW w:w="1112" w:type="pct"/>
          </w:tcPr>
          <w:p w14:paraId="72590278" w14:textId="77777777" w:rsidR="0063539F" w:rsidRPr="00A713D9" w:rsidRDefault="0063539F" w:rsidP="0063539F">
            <w:pPr>
              <w:pStyle w:val="TableText"/>
              <w:rPr>
                <w:rFonts w:eastAsia="Times New Roman"/>
              </w:rPr>
            </w:pPr>
            <w:r w:rsidRPr="00A713D9">
              <w:t xml:space="preserve">CEWO </w:t>
            </w:r>
          </w:p>
          <w:p w14:paraId="5BC0B69F" w14:textId="77777777" w:rsidR="0063539F" w:rsidRPr="00A713D9" w:rsidRDefault="0063539F" w:rsidP="0063539F">
            <w:pPr>
              <w:pStyle w:val="TableText"/>
              <w:rPr>
                <w:rFonts w:eastAsia="Times New Roman"/>
              </w:rPr>
            </w:pPr>
            <w:r w:rsidRPr="00A713D9">
              <w:t xml:space="preserve">MER Basin-scale Provider (Project Leader plus matter Leads) </w:t>
            </w:r>
          </w:p>
          <w:p w14:paraId="0B2ADA71" w14:textId="77777777" w:rsidR="0063539F" w:rsidRPr="00A713D9" w:rsidRDefault="0063539F" w:rsidP="0063539F">
            <w:pPr>
              <w:pStyle w:val="TableText"/>
              <w:rPr>
                <w:rFonts w:eastAsia="Times New Roman"/>
              </w:rPr>
            </w:pPr>
            <w:r w:rsidRPr="00A713D9">
              <w:t xml:space="preserve">MER Providers (Project Leader plus Task Leaders for fish, stream metabolism and vegetation) </w:t>
            </w:r>
          </w:p>
        </w:tc>
      </w:tr>
      <w:tr w:rsidR="0063539F" w:rsidRPr="00DC5550" w14:paraId="04055515" w14:textId="77777777" w:rsidTr="0063539F">
        <w:trPr>
          <w:cantSplit/>
          <w:trHeight w:val="484"/>
        </w:trPr>
        <w:tc>
          <w:tcPr>
            <w:tcW w:w="608" w:type="pct"/>
          </w:tcPr>
          <w:p w14:paraId="671B0123" w14:textId="77777777" w:rsidR="0063539F" w:rsidRPr="00A713D9" w:rsidRDefault="0063539F" w:rsidP="0063539F">
            <w:pPr>
              <w:pStyle w:val="TableText"/>
              <w:rPr>
                <w:rFonts w:eastAsia="Times New Roman"/>
              </w:rPr>
            </w:pPr>
            <w:r w:rsidRPr="00A713D9">
              <w:lastRenderedPageBreak/>
              <w:t xml:space="preserve">Selected Area Working Group meetings </w:t>
            </w:r>
          </w:p>
        </w:tc>
        <w:tc>
          <w:tcPr>
            <w:tcW w:w="2080" w:type="pct"/>
          </w:tcPr>
          <w:p w14:paraId="12078DC2" w14:textId="77777777" w:rsidR="0063539F" w:rsidRPr="00A713D9" w:rsidRDefault="0063539F" w:rsidP="0063539F">
            <w:pPr>
              <w:pStyle w:val="TableText"/>
              <w:rPr>
                <w:i/>
              </w:rPr>
            </w:pPr>
            <w:r w:rsidRPr="00A713D9">
              <w:rPr>
                <w:i/>
              </w:rPr>
              <w:t xml:space="preserve">Information and knowledge exchange </w:t>
            </w:r>
          </w:p>
          <w:p w14:paraId="46D6107C" w14:textId="77777777" w:rsidR="0063539F" w:rsidRPr="00A713D9" w:rsidRDefault="0063539F" w:rsidP="0063539F">
            <w:pPr>
              <w:pStyle w:val="TableText"/>
              <w:rPr>
                <w:rFonts w:eastAsia="Times New Roman"/>
              </w:rPr>
            </w:pPr>
            <w:r w:rsidRPr="00A713D9">
              <w:t xml:space="preserve">The Selected Area Working Group meetings will </w:t>
            </w:r>
            <w:r>
              <w:t>discuss issues and progress relating to the implementation of the MER plan.</w:t>
            </w:r>
            <w:r w:rsidRPr="00A713D9">
              <w:t xml:space="preserve"> </w:t>
            </w:r>
            <w:r>
              <w:t xml:space="preserve">SAWG meetings will also </w:t>
            </w:r>
            <w:r w:rsidRPr="00A713D9">
              <w:t xml:space="preserve">provide a forum for all parties involved in environmental water delivery to exchange knowledge, information and observations. </w:t>
            </w:r>
          </w:p>
        </w:tc>
        <w:tc>
          <w:tcPr>
            <w:tcW w:w="647" w:type="pct"/>
          </w:tcPr>
          <w:p w14:paraId="1D434A0D" w14:textId="77777777" w:rsidR="0063539F" w:rsidRPr="00A713D9" w:rsidRDefault="0063539F" w:rsidP="0063539F">
            <w:pPr>
              <w:pStyle w:val="TableText"/>
              <w:rPr>
                <w:rFonts w:eastAsia="Times New Roman"/>
              </w:rPr>
            </w:pPr>
            <w:r w:rsidRPr="00A713D9">
              <w:t xml:space="preserve">At least 2 times during Stage 1 </w:t>
            </w:r>
          </w:p>
          <w:p w14:paraId="397CA8DE" w14:textId="77777777" w:rsidR="0063539F" w:rsidRPr="00A713D9" w:rsidRDefault="0063539F" w:rsidP="0063539F">
            <w:pPr>
              <w:pStyle w:val="TableText"/>
              <w:rPr>
                <w:rFonts w:eastAsia="Times New Roman"/>
              </w:rPr>
            </w:pPr>
            <w:r w:rsidRPr="00A713D9">
              <w:t>3 times per year from 2019</w:t>
            </w:r>
            <w:r>
              <w:rPr>
                <w:rFonts w:eastAsiaTheme="majorEastAsia"/>
              </w:rPr>
              <w:t>-</w:t>
            </w:r>
            <w:r w:rsidRPr="00A713D9">
              <w:rPr>
                <w:rFonts w:eastAsiaTheme="majorEastAsia"/>
              </w:rPr>
              <w:t>20</w:t>
            </w:r>
            <w:r w:rsidRPr="00A713D9">
              <w:t xml:space="preserve"> </w:t>
            </w:r>
          </w:p>
        </w:tc>
        <w:tc>
          <w:tcPr>
            <w:tcW w:w="553" w:type="pct"/>
          </w:tcPr>
          <w:p w14:paraId="7E6725CF" w14:textId="77777777" w:rsidR="0063539F" w:rsidRPr="00A713D9" w:rsidRDefault="0063539F" w:rsidP="0063539F">
            <w:pPr>
              <w:pStyle w:val="TableText"/>
              <w:rPr>
                <w:rFonts w:eastAsia="Times New Roman"/>
              </w:rPr>
            </w:pPr>
            <w:r w:rsidRPr="00A713D9">
              <w:t xml:space="preserve">SARDI </w:t>
            </w:r>
          </w:p>
        </w:tc>
        <w:tc>
          <w:tcPr>
            <w:tcW w:w="1112" w:type="pct"/>
          </w:tcPr>
          <w:p w14:paraId="56227C3F" w14:textId="77777777" w:rsidR="0063539F" w:rsidRPr="00A713D9" w:rsidRDefault="0063539F" w:rsidP="0063539F">
            <w:pPr>
              <w:pStyle w:val="TableText"/>
              <w:rPr>
                <w:rFonts w:eastAsia="Times New Roman"/>
              </w:rPr>
            </w:pPr>
            <w:r w:rsidRPr="00A713D9">
              <w:t xml:space="preserve">Selected Area Working Group members </w:t>
            </w:r>
          </w:p>
        </w:tc>
      </w:tr>
      <w:tr w:rsidR="0063539F" w:rsidRPr="00DC5550" w14:paraId="6890606F" w14:textId="77777777" w:rsidTr="0063539F">
        <w:trPr>
          <w:cantSplit/>
          <w:trHeight w:val="844"/>
        </w:trPr>
        <w:tc>
          <w:tcPr>
            <w:tcW w:w="608" w:type="pct"/>
          </w:tcPr>
          <w:p w14:paraId="5B9DB216" w14:textId="77777777" w:rsidR="0063539F" w:rsidRPr="00A713D9" w:rsidRDefault="0063539F" w:rsidP="0063539F">
            <w:pPr>
              <w:pStyle w:val="TableText"/>
            </w:pPr>
            <w:r w:rsidRPr="00A713D9">
              <w:t xml:space="preserve">MER Providers </w:t>
            </w:r>
          </w:p>
          <w:p w14:paraId="4BC5DD51" w14:textId="77777777" w:rsidR="0063539F" w:rsidRPr="00A713D9" w:rsidRDefault="0063539F" w:rsidP="0063539F">
            <w:pPr>
              <w:rPr>
                <w:sz w:val="20"/>
              </w:rPr>
            </w:pPr>
            <w:r w:rsidRPr="00A713D9">
              <w:rPr>
                <w:sz w:val="20"/>
              </w:rPr>
              <w:t>Annual Forum</w:t>
            </w:r>
          </w:p>
        </w:tc>
        <w:tc>
          <w:tcPr>
            <w:tcW w:w="2080" w:type="pct"/>
          </w:tcPr>
          <w:p w14:paraId="00C858C7" w14:textId="77777777" w:rsidR="0063539F" w:rsidRPr="00A713D9" w:rsidRDefault="0063539F" w:rsidP="0063539F">
            <w:pPr>
              <w:pStyle w:val="TableText"/>
              <w:rPr>
                <w:rFonts w:eastAsia="Times New Roman"/>
              </w:rPr>
            </w:pPr>
            <w:r w:rsidRPr="00A713D9">
              <w:rPr>
                <w:i/>
                <w:iCs/>
              </w:rPr>
              <w:t xml:space="preserve">Technical collaboration </w:t>
            </w:r>
          </w:p>
          <w:p w14:paraId="2102706F" w14:textId="77777777" w:rsidR="0063539F" w:rsidRPr="00A713D9" w:rsidRDefault="0063539F" w:rsidP="0063539F">
            <w:pPr>
              <w:pStyle w:val="TableText"/>
              <w:rPr>
                <w:rFonts w:eastAsia="Times New Roman"/>
              </w:rPr>
            </w:pPr>
            <w:r>
              <w:t>A face-to-face annual workshop organised by the Basin-scale Provider and attended by representatives from across the Basin-scale and Selected Area Providers as well as the CEWO.</w:t>
            </w:r>
            <w:r w:rsidRPr="00A713D9">
              <w:t xml:space="preserve"> As MER activities proceed, adaptations will be required in response to practical experiences. Annual workshops will provide a forum to discuss lessons learned and collaborate on adapting the MER activities. The workshops will also help to build relationships between the MER Providers (both Basin and </w:t>
            </w:r>
            <w:r>
              <w:t>S</w:t>
            </w:r>
            <w:r w:rsidRPr="00A713D9">
              <w:t xml:space="preserve">elected </w:t>
            </w:r>
            <w:r>
              <w:t>A</w:t>
            </w:r>
            <w:r w:rsidRPr="00A713D9">
              <w:t xml:space="preserve">rea teams) and create opportunities for efficiencies. </w:t>
            </w:r>
          </w:p>
        </w:tc>
        <w:tc>
          <w:tcPr>
            <w:tcW w:w="647" w:type="pct"/>
          </w:tcPr>
          <w:p w14:paraId="75A01742" w14:textId="77777777" w:rsidR="0063539F" w:rsidRPr="00A713D9" w:rsidRDefault="0063539F" w:rsidP="0063539F">
            <w:pPr>
              <w:pStyle w:val="TableText"/>
              <w:rPr>
                <w:rFonts w:eastAsia="Times New Roman"/>
              </w:rPr>
            </w:pPr>
            <w:r w:rsidRPr="00A713D9">
              <w:t xml:space="preserve">Annually </w:t>
            </w:r>
          </w:p>
        </w:tc>
        <w:tc>
          <w:tcPr>
            <w:tcW w:w="553" w:type="pct"/>
          </w:tcPr>
          <w:p w14:paraId="19A92884" w14:textId="7D48AF6C" w:rsidR="0063539F" w:rsidRPr="00A713D9" w:rsidRDefault="0063539F" w:rsidP="0063539F">
            <w:pPr>
              <w:pStyle w:val="TableText"/>
              <w:rPr>
                <w:rFonts w:eastAsia="Times New Roman"/>
              </w:rPr>
            </w:pPr>
            <w:r>
              <w:t>Basin-scale Provider</w:t>
            </w:r>
          </w:p>
        </w:tc>
        <w:tc>
          <w:tcPr>
            <w:tcW w:w="1112" w:type="pct"/>
          </w:tcPr>
          <w:p w14:paraId="0984109F" w14:textId="77777777" w:rsidR="0063539F" w:rsidRPr="00A713D9" w:rsidRDefault="0063539F" w:rsidP="0063539F">
            <w:pPr>
              <w:pStyle w:val="TableText"/>
              <w:rPr>
                <w:rFonts w:eastAsia="Times New Roman"/>
              </w:rPr>
            </w:pPr>
            <w:r w:rsidRPr="00A713D9">
              <w:t xml:space="preserve">CEWO </w:t>
            </w:r>
          </w:p>
          <w:p w14:paraId="2A7E4DE0" w14:textId="77777777" w:rsidR="0063539F" w:rsidRPr="00A713D9" w:rsidRDefault="0063539F" w:rsidP="0063539F">
            <w:pPr>
              <w:pStyle w:val="TableText"/>
              <w:rPr>
                <w:rFonts w:eastAsia="Times New Roman"/>
              </w:rPr>
            </w:pPr>
            <w:r w:rsidRPr="00A713D9">
              <w:t xml:space="preserve">MER Basin-scale Provider (Project Leader plus Matter leads) </w:t>
            </w:r>
          </w:p>
          <w:p w14:paraId="4A7E40FF" w14:textId="77777777" w:rsidR="0063539F" w:rsidRPr="00A713D9" w:rsidRDefault="0063539F" w:rsidP="0063539F">
            <w:pPr>
              <w:pStyle w:val="TableText"/>
              <w:rPr>
                <w:rFonts w:eastAsia="Times New Roman"/>
              </w:rPr>
            </w:pPr>
            <w:r w:rsidRPr="00A713D9">
              <w:t>MER Selected Area Providers (Project Leader plus Task Leaders)</w:t>
            </w:r>
          </w:p>
        </w:tc>
      </w:tr>
      <w:tr w:rsidR="0063539F" w:rsidRPr="00DC5550" w14:paraId="7A698416" w14:textId="77777777" w:rsidTr="0063539F">
        <w:trPr>
          <w:cantSplit/>
          <w:trHeight w:val="844"/>
        </w:trPr>
        <w:tc>
          <w:tcPr>
            <w:tcW w:w="608" w:type="pct"/>
          </w:tcPr>
          <w:p w14:paraId="05D06E73" w14:textId="77777777" w:rsidR="0063539F" w:rsidRPr="00A713D9" w:rsidRDefault="0063539F" w:rsidP="0063539F">
            <w:pPr>
              <w:pStyle w:val="TableText"/>
            </w:pPr>
            <w:r w:rsidRPr="00A713D9">
              <w:t>Quarterly outcomes newsletter</w:t>
            </w:r>
          </w:p>
        </w:tc>
        <w:tc>
          <w:tcPr>
            <w:tcW w:w="2080" w:type="pct"/>
          </w:tcPr>
          <w:p w14:paraId="2829E960" w14:textId="5D552C92" w:rsidR="0063539F" w:rsidRPr="00A713D9" w:rsidRDefault="00D22831" w:rsidP="0063539F">
            <w:pPr>
              <w:pStyle w:val="TableText"/>
              <w:rPr>
                <w:rFonts w:eastAsia="Times New Roman"/>
              </w:rPr>
            </w:pPr>
            <w:r>
              <w:rPr>
                <w:i/>
                <w:iCs/>
              </w:rPr>
              <w:t>Communicating p</w:t>
            </w:r>
            <w:r w:rsidR="0063539F" w:rsidRPr="00A713D9">
              <w:rPr>
                <w:i/>
                <w:iCs/>
              </w:rPr>
              <w:t xml:space="preserve">roject </w:t>
            </w:r>
            <w:r>
              <w:rPr>
                <w:i/>
                <w:iCs/>
              </w:rPr>
              <w:t>outcomes</w:t>
            </w:r>
          </w:p>
          <w:p w14:paraId="6AEAD92B" w14:textId="767F5801" w:rsidR="0063539F" w:rsidRPr="00A713D9" w:rsidRDefault="0063539F" w:rsidP="00FF49D4">
            <w:pPr>
              <w:pStyle w:val="TableText"/>
              <w:rPr>
                <w:i/>
                <w:iCs/>
              </w:rPr>
            </w:pPr>
            <w:r w:rsidRPr="00806857">
              <w:t>Newsletters will be written in plain English for a public audience and will communicate MER activities, preliminary observations and findings relevant to environmental watering, and case studies about environments and people. It will contain opportunistic photos of outcomes from environmental watering and other visual aids relevant to demonstrating outcomes to the public. It will also include a description of the monitoring and research activities undertaken in this quarter.</w:t>
            </w:r>
            <w:r>
              <w:rPr>
                <w:i/>
              </w:rPr>
              <w:t xml:space="preserve"> </w:t>
            </w:r>
            <w:r w:rsidRPr="00A713D9">
              <w:t>Regular communication to CEWO by the MER Selected Area Provider will serve to</w:t>
            </w:r>
            <w:r>
              <w:t xml:space="preserve"> keep water managers up-to-date with the latest findings, observations and trends from the monitoring. </w:t>
            </w:r>
          </w:p>
        </w:tc>
        <w:tc>
          <w:tcPr>
            <w:tcW w:w="647" w:type="pct"/>
          </w:tcPr>
          <w:p w14:paraId="4E9A49E5" w14:textId="77777777" w:rsidR="0063539F" w:rsidRPr="00A713D9" w:rsidRDefault="0063539F" w:rsidP="0063539F">
            <w:pPr>
              <w:pStyle w:val="TableText"/>
              <w:rPr>
                <w:szCs w:val="20"/>
              </w:rPr>
            </w:pPr>
            <w:r w:rsidRPr="00A713D9">
              <w:rPr>
                <w:szCs w:val="20"/>
              </w:rPr>
              <w:t>Quarterly</w:t>
            </w:r>
          </w:p>
          <w:p w14:paraId="1011B906" w14:textId="77777777" w:rsidR="0063539F" w:rsidRPr="00A713D9" w:rsidRDefault="0063539F" w:rsidP="0063539F">
            <w:pPr>
              <w:pStyle w:val="TableText"/>
              <w:rPr>
                <w:szCs w:val="20"/>
              </w:rPr>
            </w:pPr>
            <w:r w:rsidRPr="00A713D9">
              <w:rPr>
                <w:szCs w:val="20"/>
              </w:rPr>
              <w:t>Due by end of March, June, September and December</w:t>
            </w:r>
          </w:p>
        </w:tc>
        <w:tc>
          <w:tcPr>
            <w:tcW w:w="553" w:type="pct"/>
          </w:tcPr>
          <w:p w14:paraId="12F3E510" w14:textId="77777777" w:rsidR="0063539F" w:rsidRPr="00A713D9" w:rsidRDefault="0063539F" w:rsidP="0063539F">
            <w:pPr>
              <w:pStyle w:val="TableText"/>
            </w:pPr>
            <w:r>
              <w:t>SARDI</w:t>
            </w:r>
          </w:p>
        </w:tc>
        <w:tc>
          <w:tcPr>
            <w:tcW w:w="1112" w:type="pct"/>
          </w:tcPr>
          <w:p w14:paraId="31A74E09" w14:textId="77777777" w:rsidR="0063539F" w:rsidRPr="00A713D9" w:rsidRDefault="0063539F" w:rsidP="0063539F">
            <w:pPr>
              <w:pStyle w:val="TableText"/>
            </w:pPr>
            <w:r>
              <w:t>N/A</w:t>
            </w:r>
          </w:p>
        </w:tc>
      </w:tr>
      <w:tr w:rsidR="0063539F" w:rsidRPr="00DC5550" w14:paraId="1F9A3ABC" w14:textId="77777777" w:rsidTr="0063539F">
        <w:trPr>
          <w:cantSplit/>
          <w:trHeight w:val="844"/>
        </w:trPr>
        <w:tc>
          <w:tcPr>
            <w:tcW w:w="608" w:type="pct"/>
          </w:tcPr>
          <w:p w14:paraId="3CFD3182" w14:textId="77777777" w:rsidR="0063539F" w:rsidRPr="00A713D9" w:rsidRDefault="0063539F" w:rsidP="0063539F">
            <w:pPr>
              <w:pStyle w:val="TableText"/>
            </w:pPr>
            <w:r w:rsidRPr="00A713D9">
              <w:t>Quarterly project progress report</w:t>
            </w:r>
          </w:p>
        </w:tc>
        <w:tc>
          <w:tcPr>
            <w:tcW w:w="2080" w:type="pct"/>
          </w:tcPr>
          <w:p w14:paraId="58612942" w14:textId="77777777" w:rsidR="0063539F" w:rsidRPr="00A713D9" w:rsidRDefault="0063539F" w:rsidP="0063539F">
            <w:pPr>
              <w:pStyle w:val="TableText"/>
              <w:rPr>
                <w:rFonts w:eastAsia="Times New Roman"/>
              </w:rPr>
            </w:pPr>
            <w:r w:rsidRPr="00A713D9">
              <w:rPr>
                <w:i/>
                <w:iCs/>
              </w:rPr>
              <w:t xml:space="preserve">Project progress and outcomes </w:t>
            </w:r>
          </w:p>
          <w:p w14:paraId="2278AB6F" w14:textId="77777777" w:rsidR="0063539F" w:rsidRPr="00A713D9" w:rsidRDefault="0063539F" w:rsidP="0063539F">
            <w:pPr>
              <w:pStyle w:val="TableText"/>
              <w:rPr>
                <w:i/>
                <w:iCs/>
              </w:rPr>
            </w:pPr>
            <w:r w:rsidRPr="00A713D9">
              <w:t>Regular reporting to CEWO by the MER Selected Area Provider to monitor project progress, ensure the project remains on track to deliver against the project outcomes, report early observations/outcomes,  and identify project risks, issues and actions.</w:t>
            </w:r>
          </w:p>
        </w:tc>
        <w:tc>
          <w:tcPr>
            <w:tcW w:w="647" w:type="pct"/>
          </w:tcPr>
          <w:p w14:paraId="0A558EBB" w14:textId="77777777" w:rsidR="0063539F" w:rsidRPr="00A713D9" w:rsidRDefault="0063539F" w:rsidP="0063539F">
            <w:pPr>
              <w:pStyle w:val="TableText"/>
              <w:rPr>
                <w:szCs w:val="20"/>
              </w:rPr>
            </w:pPr>
            <w:r w:rsidRPr="00A713D9">
              <w:rPr>
                <w:szCs w:val="20"/>
              </w:rPr>
              <w:t>Quarterly</w:t>
            </w:r>
          </w:p>
          <w:p w14:paraId="0F514167" w14:textId="77777777" w:rsidR="0063539F" w:rsidRPr="00A713D9" w:rsidRDefault="0063539F" w:rsidP="0063539F">
            <w:r w:rsidRPr="00A713D9">
              <w:rPr>
                <w:sz w:val="20"/>
              </w:rPr>
              <w:t>Due by end of March, June, September and December</w:t>
            </w:r>
          </w:p>
        </w:tc>
        <w:tc>
          <w:tcPr>
            <w:tcW w:w="553" w:type="pct"/>
          </w:tcPr>
          <w:p w14:paraId="3B46B900" w14:textId="77777777" w:rsidR="0063539F" w:rsidRPr="00A713D9" w:rsidRDefault="0063539F" w:rsidP="0063539F">
            <w:pPr>
              <w:pStyle w:val="TableText"/>
            </w:pPr>
            <w:r>
              <w:t>SARDI</w:t>
            </w:r>
          </w:p>
        </w:tc>
        <w:tc>
          <w:tcPr>
            <w:tcW w:w="1112" w:type="pct"/>
          </w:tcPr>
          <w:p w14:paraId="233411C3" w14:textId="77777777" w:rsidR="0063539F" w:rsidRPr="00A713D9" w:rsidRDefault="0063539F" w:rsidP="0063539F">
            <w:pPr>
              <w:pStyle w:val="TableText"/>
            </w:pPr>
            <w:r>
              <w:t>N/A</w:t>
            </w:r>
          </w:p>
        </w:tc>
      </w:tr>
      <w:tr w:rsidR="002835C9" w:rsidRPr="00DC5550" w14:paraId="04FA8125" w14:textId="77777777" w:rsidTr="0063539F">
        <w:trPr>
          <w:cantSplit/>
          <w:trHeight w:val="844"/>
        </w:trPr>
        <w:tc>
          <w:tcPr>
            <w:tcW w:w="608" w:type="pct"/>
          </w:tcPr>
          <w:p w14:paraId="526B8BEA" w14:textId="08BCFA74" w:rsidR="002835C9" w:rsidRPr="00657F1C" w:rsidRDefault="002835C9" w:rsidP="0063539F">
            <w:pPr>
              <w:pStyle w:val="TableText"/>
              <w:rPr>
                <w:szCs w:val="20"/>
              </w:rPr>
            </w:pPr>
            <w:r w:rsidRPr="00657F1C">
              <w:rPr>
                <w:szCs w:val="20"/>
              </w:rPr>
              <w:lastRenderedPageBreak/>
              <w:t>Project pictures and images</w:t>
            </w:r>
          </w:p>
        </w:tc>
        <w:tc>
          <w:tcPr>
            <w:tcW w:w="2080" w:type="pct"/>
          </w:tcPr>
          <w:p w14:paraId="4C7110D7" w14:textId="4DCF295F" w:rsidR="002835C9" w:rsidRPr="007C163A" w:rsidRDefault="002835C9" w:rsidP="0063539F">
            <w:pPr>
              <w:pStyle w:val="TableText"/>
              <w:rPr>
                <w:i/>
                <w:szCs w:val="20"/>
              </w:rPr>
            </w:pPr>
            <w:r w:rsidRPr="00AD57EB">
              <w:rPr>
                <w:i/>
                <w:szCs w:val="20"/>
              </w:rPr>
              <w:t>Hi</w:t>
            </w:r>
            <w:r w:rsidRPr="00AD18C0">
              <w:rPr>
                <w:i/>
                <w:szCs w:val="20"/>
              </w:rPr>
              <w:t>gh resolution pictures and images of the monitoring activities and outcomes</w:t>
            </w:r>
          </w:p>
          <w:p w14:paraId="02E37CBC" w14:textId="0CE728CC" w:rsidR="00657F1C" w:rsidRPr="00657F1C" w:rsidRDefault="002835C9" w:rsidP="009C3D21">
            <w:pPr>
              <w:pStyle w:val="TableText"/>
              <w:rPr>
                <w:szCs w:val="20"/>
              </w:rPr>
            </w:pPr>
            <w:r w:rsidRPr="007C163A">
              <w:rPr>
                <w:szCs w:val="20"/>
              </w:rPr>
              <w:t xml:space="preserve">High resolution pictures will be taken during field sampling (e.g. for </w:t>
            </w:r>
            <w:r w:rsidR="00657F1C" w:rsidRPr="007C163A">
              <w:rPr>
                <w:szCs w:val="20"/>
              </w:rPr>
              <w:t xml:space="preserve">stream </w:t>
            </w:r>
            <w:r w:rsidRPr="007C163A">
              <w:rPr>
                <w:szCs w:val="20"/>
              </w:rPr>
              <w:t>metabolism, fish, vegetation and microinvertebrates)</w:t>
            </w:r>
            <w:r w:rsidR="00657F1C" w:rsidRPr="002214B4">
              <w:rPr>
                <w:szCs w:val="20"/>
              </w:rPr>
              <w:t>, showing sampling methods/monitoring team in action, Lower Murray habitats and/or specimens</w:t>
            </w:r>
            <w:r w:rsidR="009C3D21">
              <w:rPr>
                <w:szCs w:val="20"/>
              </w:rPr>
              <w:t>. These images will be</w:t>
            </w:r>
            <w:r w:rsidRPr="002214B4">
              <w:rPr>
                <w:szCs w:val="20"/>
              </w:rPr>
              <w:t xml:space="preserve"> use</w:t>
            </w:r>
            <w:r w:rsidR="009C3D21">
              <w:rPr>
                <w:szCs w:val="20"/>
              </w:rPr>
              <w:t>d</w:t>
            </w:r>
            <w:r w:rsidRPr="002214B4">
              <w:rPr>
                <w:szCs w:val="20"/>
              </w:rPr>
              <w:t xml:space="preserve"> in communication material</w:t>
            </w:r>
            <w:r w:rsidR="00657F1C" w:rsidRPr="00644970">
              <w:rPr>
                <w:szCs w:val="20"/>
              </w:rPr>
              <w:t>s</w:t>
            </w:r>
            <w:r w:rsidRPr="00644970">
              <w:rPr>
                <w:szCs w:val="20"/>
              </w:rPr>
              <w:t xml:space="preserve"> (e.g. reports, hard copy items, newsletters and social media). For modelling indicators, high resolution images of graphs will be produced for reporting and other communication material</w:t>
            </w:r>
            <w:r w:rsidR="00657F1C" w:rsidRPr="00644970">
              <w:rPr>
                <w:szCs w:val="20"/>
              </w:rPr>
              <w:t>s</w:t>
            </w:r>
            <w:r w:rsidRPr="00644970">
              <w:rPr>
                <w:szCs w:val="20"/>
              </w:rPr>
              <w:t>. Pictures and images will be provided to CEWO.</w:t>
            </w:r>
          </w:p>
        </w:tc>
        <w:tc>
          <w:tcPr>
            <w:tcW w:w="647" w:type="pct"/>
          </w:tcPr>
          <w:p w14:paraId="6C34DAE9" w14:textId="5B7F2D8B" w:rsidR="002835C9" w:rsidRDefault="00657F1C" w:rsidP="0063539F">
            <w:pPr>
              <w:pStyle w:val="TableText"/>
              <w:rPr>
                <w:szCs w:val="20"/>
              </w:rPr>
            </w:pPr>
            <w:r>
              <w:rPr>
                <w:szCs w:val="20"/>
              </w:rPr>
              <w:t>Per sampling season</w:t>
            </w:r>
          </w:p>
        </w:tc>
        <w:tc>
          <w:tcPr>
            <w:tcW w:w="553" w:type="pct"/>
          </w:tcPr>
          <w:p w14:paraId="6E9E2311" w14:textId="77777777" w:rsidR="002835C9" w:rsidRDefault="002835C9" w:rsidP="002835C9">
            <w:pPr>
              <w:pStyle w:val="TableText"/>
            </w:pPr>
            <w:r>
              <w:t>SARDI</w:t>
            </w:r>
          </w:p>
          <w:p w14:paraId="42BF19B4" w14:textId="43B4348B" w:rsidR="002835C9" w:rsidRDefault="002835C9" w:rsidP="002835C9">
            <w:pPr>
              <w:pStyle w:val="TableText"/>
            </w:pPr>
            <w:r>
              <w:t>Lower Murray team</w:t>
            </w:r>
          </w:p>
        </w:tc>
        <w:tc>
          <w:tcPr>
            <w:tcW w:w="1112" w:type="pct"/>
          </w:tcPr>
          <w:p w14:paraId="205D4926" w14:textId="77777777" w:rsidR="002835C9" w:rsidRDefault="002835C9" w:rsidP="0063539F">
            <w:pPr>
              <w:pStyle w:val="TableText"/>
            </w:pPr>
            <w:r>
              <w:t>N/A</w:t>
            </w:r>
          </w:p>
          <w:p w14:paraId="3849DEF0" w14:textId="15B3735C" w:rsidR="002835C9" w:rsidRPr="002835C9" w:rsidRDefault="002835C9" w:rsidP="002835C9"/>
        </w:tc>
      </w:tr>
      <w:tr w:rsidR="0063539F" w:rsidRPr="00DC5550" w14:paraId="22549421" w14:textId="77777777" w:rsidTr="0063539F">
        <w:trPr>
          <w:cantSplit/>
          <w:trHeight w:val="844"/>
        </w:trPr>
        <w:tc>
          <w:tcPr>
            <w:tcW w:w="608" w:type="pct"/>
          </w:tcPr>
          <w:p w14:paraId="7ACC106A" w14:textId="77777777" w:rsidR="0063539F" w:rsidRDefault="0063539F" w:rsidP="0063539F">
            <w:pPr>
              <w:pStyle w:val="TableText"/>
            </w:pPr>
            <w:r>
              <w:t>Annual MER reports</w:t>
            </w:r>
          </w:p>
        </w:tc>
        <w:tc>
          <w:tcPr>
            <w:tcW w:w="2080" w:type="pct"/>
          </w:tcPr>
          <w:p w14:paraId="019EB5B6" w14:textId="77777777" w:rsidR="0063539F" w:rsidRDefault="0063539F" w:rsidP="0063539F">
            <w:pPr>
              <w:pStyle w:val="TableText"/>
              <w:rPr>
                <w:i/>
                <w:iCs/>
              </w:rPr>
            </w:pPr>
            <w:r>
              <w:rPr>
                <w:i/>
                <w:iCs/>
              </w:rPr>
              <w:t>Monitoring, evaluation and research annual reporting</w:t>
            </w:r>
          </w:p>
          <w:p w14:paraId="40ADBCB1" w14:textId="77777777" w:rsidR="0063539F" w:rsidRPr="003F07FF" w:rsidRDefault="0063539F" w:rsidP="0063539F">
            <w:pPr>
              <w:rPr>
                <w:sz w:val="20"/>
              </w:rPr>
            </w:pPr>
            <w:r>
              <w:rPr>
                <w:sz w:val="20"/>
              </w:rPr>
              <w:t xml:space="preserve">Lower Murray will produce a technical report and a summary report annually. The summary report will be prepared for a general public audience. </w:t>
            </w:r>
          </w:p>
        </w:tc>
        <w:tc>
          <w:tcPr>
            <w:tcW w:w="647" w:type="pct"/>
          </w:tcPr>
          <w:p w14:paraId="642CA745" w14:textId="77777777" w:rsidR="0063539F" w:rsidRPr="00A023C8" w:rsidRDefault="0063539F" w:rsidP="0063539F">
            <w:pPr>
              <w:pStyle w:val="TableText"/>
              <w:rPr>
                <w:szCs w:val="20"/>
              </w:rPr>
            </w:pPr>
            <w:r>
              <w:rPr>
                <w:szCs w:val="20"/>
              </w:rPr>
              <w:t>Annually</w:t>
            </w:r>
          </w:p>
        </w:tc>
        <w:tc>
          <w:tcPr>
            <w:tcW w:w="553" w:type="pct"/>
          </w:tcPr>
          <w:p w14:paraId="2019E69F" w14:textId="77777777" w:rsidR="0063539F" w:rsidRDefault="0063539F" w:rsidP="0063539F">
            <w:pPr>
              <w:pStyle w:val="TableText"/>
            </w:pPr>
            <w:r>
              <w:t>SARDI</w:t>
            </w:r>
          </w:p>
          <w:p w14:paraId="1CB13276" w14:textId="77777777" w:rsidR="0063539F" w:rsidRPr="003F07FF" w:rsidRDefault="0063539F" w:rsidP="0063539F">
            <w:r>
              <w:t>Lower Murray team</w:t>
            </w:r>
          </w:p>
        </w:tc>
        <w:tc>
          <w:tcPr>
            <w:tcW w:w="1112" w:type="pct"/>
          </w:tcPr>
          <w:p w14:paraId="54E9A465" w14:textId="77777777" w:rsidR="0063539F" w:rsidRPr="009356E4" w:rsidRDefault="0063539F" w:rsidP="0063539F">
            <w:pPr>
              <w:pStyle w:val="TableText"/>
            </w:pPr>
            <w:r>
              <w:t>N/A</w:t>
            </w:r>
          </w:p>
        </w:tc>
      </w:tr>
    </w:tbl>
    <w:p w14:paraId="53546AEE" w14:textId="77777777" w:rsidR="00DC5550" w:rsidRDefault="00DC5550" w:rsidP="00F02673"/>
    <w:p w14:paraId="3E78485D" w14:textId="77777777" w:rsidR="00521EC9" w:rsidRDefault="00521EC9">
      <w:pPr>
        <w:spacing w:after="200" w:line="276" w:lineRule="auto"/>
        <w:jc w:val="left"/>
        <w:rPr>
          <w:b/>
          <w:bCs/>
          <w:color w:val="auto"/>
          <w:sz w:val="20"/>
          <w:szCs w:val="18"/>
        </w:rPr>
      </w:pPr>
      <w:r>
        <w:br w:type="page"/>
      </w:r>
    </w:p>
    <w:p w14:paraId="36C5002B" w14:textId="424457D7" w:rsidR="00F85237" w:rsidRDefault="00D426B1" w:rsidP="00D426B1">
      <w:pPr>
        <w:pStyle w:val="Caption"/>
      </w:pPr>
      <w:bookmarkStart w:id="297" w:name="_Ref10212973"/>
      <w:bookmarkStart w:id="298" w:name="_Toc12630257"/>
      <w:r>
        <w:lastRenderedPageBreak/>
        <w:t xml:space="preserve">Table </w:t>
      </w:r>
      <w:r w:rsidR="00A8252A">
        <w:rPr>
          <w:noProof/>
        </w:rPr>
        <w:fldChar w:fldCharType="begin"/>
      </w:r>
      <w:r w:rsidR="00A8252A">
        <w:rPr>
          <w:noProof/>
        </w:rPr>
        <w:instrText xml:space="preserve"> STYLEREF 1 \s </w:instrText>
      </w:r>
      <w:r w:rsidR="00A8252A">
        <w:rPr>
          <w:noProof/>
        </w:rPr>
        <w:fldChar w:fldCharType="separate"/>
      </w:r>
      <w:r w:rsidR="00DF49CD">
        <w:rPr>
          <w:noProof/>
        </w:rPr>
        <w:t>8</w:t>
      </w:r>
      <w:r w:rsidR="00A8252A">
        <w:rPr>
          <w:noProof/>
        </w:rPr>
        <w:fldChar w:fldCharType="end"/>
      </w:r>
      <w:r w:rsidR="00F359A2">
        <w:t>.</w:t>
      </w:r>
      <w:r w:rsidR="00A8252A">
        <w:rPr>
          <w:noProof/>
        </w:rPr>
        <w:fldChar w:fldCharType="begin"/>
      </w:r>
      <w:r w:rsidR="00A8252A">
        <w:rPr>
          <w:noProof/>
        </w:rPr>
        <w:instrText xml:space="preserve"> SEQ Table \* ARABIC \s 1 </w:instrText>
      </w:r>
      <w:r w:rsidR="00A8252A">
        <w:rPr>
          <w:noProof/>
        </w:rPr>
        <w:fldChar w:fldCharType="separate"/>
      </w:r>
      <w:r w:rsidR="00DF49CD">
        <w:rPr>
          <w:noProof/>
        </w:rPr>
        <w:t>5</w:t>
      </w:r>
      <w:r w:rsidR="00A8252A">
        <w:rPr>
          <w:noProof/>
        </w:rPr>
        <w:fldChar w:fldCharType="end"/>
      </w:r>
      <w:bookmarkEnd w:id="297"/>
      <w:r>
        <w:t xml:space="preserve">. </w:t>
      </w:r>
      <w:r w:rsidR="00F85237" w:rsidRPr="0083048A">
        <w:t xml:space="preserve">Operational </w:t>
      </w:r>
      <w:r w:rsidR="00F85237">
        <w:t xml:space="preserve">engagement and </w:t>
      </w:r>
      <w:r w:rsidR="00F85237" w:rsidRPr="0083048A">
        <w:t>communication plan</w:t>
      </w:r>
      <w:r w:rsidR="00F85237">
        <w:t xml:space="preserve"> (additional activities</w:t>
      </w:r>
      <w:r w:rsidR="00E85B05">
        <w:t>*</w:t>
      </w:r>
      <w:r w:rsidR="00F85237">
        <w:t>)</w:t>
      </w:r>
      <w:bookmarkEnd w:id="2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0"/>
        <w:gridCol w:w="1487"/>
        <w:gridCol w:w="5786"/>
        <w:gridCol w:w="1989"/>
        <w:gridCol w:w="2048"/>
      </w:tblGrid>
      <w:tr w:rsidR="008261D3" w14:paraId="3A762250" w14:textId="77777777" w:rsidTr="005F5C7C">
        <w:trPr>
          <w:cantSplit/>
          <w:trHeight w:val="175"/>
          <w:tblHeader/>
        </w:trPr>
        <w:tc>
          <w:tcPr>
            <w:tcW w:w="1479" w:type="pct"/>
            <w:gridSpan w:val="2"/>
            <w:shd w:val="clear" w:color="auto" w:fill="D9D9D9" w:themeFill="background1" w:themeFillShade="D9"/>
          </w:tcPr>
          <w:p w14:paraId="2DD436AC" w14:textId="77777777" w:rsidR="008261D3" w:rsidRDefault="008261D3" w:rsidP="005F5C7C">
            <w:pPr>
              <w:pStyle w:val="TableHeading"/>
            </w:pPr>
            <w:r w:rsidRPr="00DC5550">
              <w:t xml:space="preserve">Activity </w:t>
            </w:r>
          </w:p>
        </w:tc>
        <w:tc>
          <w:tcPr>
            <w:tcW w:w="2074" w:type="pct"/>
            <w:shd w:val="clear" w:color="auto" w:fill="D9D9D9" w:themeFill="background1" w:themeFillShade="D9"/>
          </w:tcPr>
          <w:p w14:paraId="41422419" w14:textId="77777777" w:rsidR="008261D3" w:rsidRDefault="008261D3" w:rsidP="005F5C7C">
            <w:pPr>
              <w:pStyle w:val="TableHeading"/>
            </w:pPr>
            <w:r w:rsidRPr="00DC5550">
              <w:t xml:space="preserve">Purpose </w:t>
            </w:r>
            <w:r>
              <w:t>- details</w:t>
            </w:r>
          </w:p>
        </w:tc>
        <w:tc>
          <w:tcPr>
            <w:tcW w:w="713" w:type="pct"/>
            <w:shd w:val="clear" w:color="auto" w:fill="D9D9D9" w:themeFill="background1" w:themeFillShade="D9"/>
          </w:tcPr>
          <w:p w14:paraId="216FB517" w14:textId="77777777" w:rsidR="008261D3" w:rsidRDefault="008261D3" w:rsidP="005F5C7C">
            <w:pPr>
              <w:pStyle w:val="TableHeading"/>
            </w:pPr>
            <w:r w:rsidRPr="00DC5550">
              <w:t xml:space="preserve">Timing / frequency </w:t>
            </w:r>
          </w:p>
        </w:tc>
        <w:tc>
          <w:tcPr>
            <w:tcW w:w="734" w:type="pct"/>
            <w:shd w:val="clear" w:color="auto" w:fill="D9D9D9" w:themeFill="background1" w:themeFillShade="D9"/>
          </w:tcPr>
          <w:p w14:paraId="5582FD4F" w14:textId="77777777" w:rsidR="008261D3" w:rsidRDefault="008261D3" w:rsidP="005F5C7C">
            <w:pPr>
              <w:pStyle w:val="TableHeading"/>
            </w:pPr>
            <w:r w:rsidRPr="00DC5550">
              <w:t xml:space="preserve">Responsibility </w:t>
            </w:r>
          </w:p>
          <w:p w14:paraId="1D3CA441" w14:textId="77777777" w:rsidR="008261D3" w:rsidRDefault="008261D3" w:rsidP="005F5C7C">
            <w:pPr>
              <w:pStyle w:val="TableHeading"/>
            </w:pPr>
            <w:r>
              <w:t>(Attendees)</w:t>
            </w:r>
          </w:p>
        </w:tc>
      </w:tr>
      <w:tr w:rsidR="008261D3" w14:paraId="2381EDEF" w14:textId="77777777" w:rsidTr="005F5C7C">
        <w:trPr>
          <w:cantSplit/>
          <w:trHeight w:val="175"/>
        </w:trPr>
        <w:tc>
          <w:tcPr>
            <w:tcW w:w="946" w:type="pct"/>
            <w:shd w:val="clear" w:color="auto" w:fill="auto"/>
          </w:tcPr>
          <w:p w14:paraId="610F2297" w14:textId="77777777" w:rsidR="008261D3" w:rsidRPr="001831E6" w:rsidRDefault="008261D3" w:rsidP="005F5C7C">
            <w:pPr>
              <w:pStyle w:val="TableHeading"/>
              <w:rPr>
                <w:b w:val="0"/>
                <w:szCs w:val="20"/>
              </w:rPr>
            </w:pPr>
            <w:r w:rsidRPr="001831E6">
              <w:rPr>
                <w:b w:val="0"/>
                <w:szCs w:val="20"/>
              </w:rPr>
              <w:t>Activity 1 – Collaborate as an effective team</w:t>
            </w:r>
          </w:p>
        </w:tc>
        <w:tc>
          <w:tcPr>
            <w:tcW w:w="533" w:type="pct"/>
            <w:shd w:val="clear" w:color="auto" w:fill="auto"/>
          </w:tcPr>
          <w:p w14:paraId="1CAED84B" w14:textId="77777777" w:rsidR="008261D3" w:rsidRPr="00B60C4E" w:rsidRDefault="008261D3" w:rsidP="005F5C7C">
            <w:pPr>
              <w:pStyle w:val="TableHeading"/>
              <w:rPr>
                <w:b w:val="0"/>
                <w:szCs w:val="20"/>
              </w:rPr>
            </w:pPr>
            <w:r>
              <w:rPr>
                <w:b w:val="0"/>
                <w:szCs w:val="20"/>
              </w:rPr>
              <w:t>Interact with Basin-scale team and other Selected Area teams</w:t>
            </w:r>
          </w:p>
        </w:tc>
        <w:tc>
          <w:tcPr>
            <w:tcW w:w="2074" w:type="pct"/>
            <w:shd w:val="clear" w:color="auto" w:fill="auto"/>
          </w:tcPr>
          <w:p w14:paraId="7AAC7C20" w14:textId="77777777" w:rsidR="008261D3" w:rsidRPr="001E0FE4" w:rsidRDefault="008261D3" w:rsidP="005F5C7C">
            <w:pPr>
              <w:pStyle w:val="TableHeading"/>
              <w:rPr>
                <w:b w:val="0"/>
                <w:i/>
                <w:szCs w:val="20"/>
              </w:rPr>
            </w:pPr>
            <w:r w:rsidRPr="001E0FE4">
              <w:rPr>
                <w:b w:val="0"/>
                <w:i/>
                <w:szCs w:val="20"/>
              </w:rPr>
              <w:t>Collaborate effectively – Both Basin- and Area- scales for MER Project</w:t>
            </w:r>
          </w:p>
          <w:p w14:paraId="4622D162" w14:textId="77777777" w:rsidR="008261D3" w:rsidRDefault="008261D3" w:rsidP="005F5C7C">
            <w:pPr>
              <w:pStyle w:val="TableHeading"/>
              <w:rPr>
                <w:b w:val="0"/>
                <w:szCs w:val="20"/>
              </w:rPr>
            </w:pPr>
            <w:r>
              <w:rPr>
                <w:b w:val="0"/>
                <w:szCs w:val="20"/>
              </w:rPr>
              <w:t xml:space="preserve">Interact with Basin Engagement and Communication team </w:t>
            </w:r>
            <w:r w:rsidRPr="001831E6">
              <w:rPr>
                <w:b w:val="0"/>
                <w:szCs w:val="20"/>
              </w:rPr>
              <w:t xml:space="preserve"> </w:t>
            </w:r>
          </w:p>
          <w:p w14:paraId="40C77CE2" w14:textId="77777777" w:rsidR="008261D3" w:rsidRDefault="008261D3" w:rsidP="005F5C7C">
            <w:pPr>
              <w:pStyle w:val="TableHeading"/>
              <w:rPr>
                <w:b w:val="0"/>
                <w:szCs w:val="20"/>
              </w:rPr>
            </w:pPr>
          </w:p>
          <w:p w14:paraId="400ED39A" w14:textId="77777777" w:rsidR="008261D3" w:rsidRDefault="008261D3" w:rsidP="005F5C7C">
            <w:pPr>
              <w:pStyle w:val="TableHeading"/>
              <w:rPr>
                <w:b w:val="0"/>
                <w:szCs w:val="20"/>
              </w:rPr>
            </w:pPr>
            <w:r>
              <w:rPr>
                <w:b w:val="0"/>
                <w:szCs w:val="20"/>
              </w:rPr>
              <w:t xml:space="preserve">Collaborative activities with other Selected Areas </w:t>
            </w:r>
          </w:p>
          <w:p w14:paraId="13D88B32" w14:textId="77777777" w:rsidR="008261D3" w:rsidRDefault="008261D3" w:rsidP="005F5C7C">
            <w:pPr>
              <w:pStyle w:val="TableHeading"/>
              <w:rPr>
                <w:b w:val="0"/>
                <w:szCs w:val="20"/>
              </w:rPr>
            </w:pPr>
          </w:p>
          <w:p w14:paraId="7560C53E" w14:textId="77777777" w:rsidR="008261D3" w:rsidRPr="00B60C4E" w:rsidRDefault="008261D3" w:rsidP="005F5C7C">
            <w:pPr>
              <w:pStyle w:val="TableHeading"/>
              <w:rPr>
                <w:b w:val="0"/>
                <w:i/>
                <w:szCs w:val="20"/>
              </w:rPr>
            </w:pPr>
            <w:r>
              <w:rPr>
                <w:b w:val="0"/>
                <w:szCs w:val="20"/>
              </w:rPr>
              <w:t>Presenting MER outcomes to CEWO, MDBA etc</w:t>
            </w:r>
          </w:p>
        </w:tc>
        <w:tc>
          <w:tcPr>
            <w:tcW w:w="713" w:type="pct"/>
            <w:shd w:val="clear" w:color="auto" w:fill="auto"/>
          </w:tcPr>
          <w:p w14:paraId="1C7BD1B0" w14:textId="77777777" w:rsidR="008261D3" w:rsidRDefault="008261D3" w:rsidP="005F5C7C">
            <w:pPr>
              <w:pStyle w:val="TableHeading"/>
              <w:rPr>
                <w:b w:val="0"/>
                <w:szCs w:val="20"/>
              </w:rPr>
            </w:pPr>
            <w:r>
              <w:rPr>
                <w:b w:val="0"/>
                <w:szCs w:val="20"/>
              </w:rPr>
              <w:t>Regularly</w:t>
            </w:r>
          </w:p>
          <w:p w14:paraId="552811A5" w14:textId="77777777" w:rsidR="008261D3" w:rsidRDefault="008261D3" w:rsidP="005F5C7C">
            <w:pPr>
              <w:pStyle w:val="TableHeading"/>
              <w:rPr>
                <w:b w:val="0"/>
                <w:szCs w:val="20"/>
              </w:rPr>
            </w:pPr>
          </w:p>
          <w:p w14:paraId="7D39D66E" w14:textId="77777777" w:rsidR="008261D3" w:rsidRDefault="008261D3" w:rsidP="005F5C7C">
            <w:pPr>
              <w:pStyle w:val="TableHeading"/>
              <w:rPr>
                <w:b w:val="0"/>
                <w:szCs w:val="20"/>
              </w:rPr>
            </w:pPr>
          </w:p>
          <w:p w14:paraId="2EE444F4" w14:textId="77777777" w:rsidR="008261D3" w:rsidRDefault="008261D3" w:rsidP="005F5C7C">
            <w:pPr>
              <w:pStyle w:val="TableHeading"/>
              <w:rPr>
                <w:b w:val="0"/>
                <w:szCs w:val="20"/>
              </w:rPr>
            </w:pPr>
            <w:r>
              <w:rPr>
                <w:b w:val="0"/>
                <w:szCs w:val="20"/>
              </w:rPr>
              <w:t>Annual event</w:t>
            </w:r>
          </w:p>
          <w:p w14:paraId="06361C63" w14:textId="77777777" w:rsidR="008261D3" w:rsidRDefault="008261D3" w:rsidP="005F5C7C">
            <w:pPr>
              <w:pStyle w:val="TableHeading"/>
              <w:rPr>
                <w:b w:val="0"/>
                <w:szCs w:val="20"/>
              </w:rPr>
            </w:pPr>
          </w:p>
          <w:p w14:paraId="64EBA9FA" w14:textId="77777777" w:rsidR="008261D3" w:rsidRPr="00F1468F" w:rsidRDefault="008261D3" w:rsidP="005F5C7C">
            <w:pPr>
              <w:pStyle w:val="TableHeading"/>
              <w:rPr>
                <w:b w:val="0"/>
                <w:szCs w:val="20"/>
              </w:rPr>
            </w:pPr>
            <w:r>
              <w:rPr>
                <w:b w:val="0"/>
                <w:szCs w:val="20"/>
              </w:rPr>
              <w:t>Annually</w:t>
            </w:r>
          </w:p>
        </w:tc>
        <w:tc>
          <w:tcPr>
            <w:tcW w:w="734" w:type="pct"/>
            <w:shd w:val="clear" w:color="auto" w:fill="auto"/>
          </w:tcPr>
          <w:p w14:paraId="3FE4B583" w14:textId="77777777" w:rsidR="008261D3" w:rsidRDefault="008261D3" w:rsidP="005F5C7C">
            <w:pPr>
              <w:pStyle w:val="TableHeading"/>
              <w:rPr>
                <w:b w:val="0"/>
                <w:szCs w:val="20"/>
              </w:rPr>
            </w:pPr>
            <w:r>
              <w:rPr>
                <w:b w:val="0"/>
                <w:szCs w:val="20"/>
              </w:rPr>
              <w:t>SARDI</w:t>
            </w:r>
          </w:p>
          <w:p w14:paraId="44142653" w14:textId="77777777" w:rsidR="008261D3" w:rsidRDefault="008261D3" w:rsidP="005F5C7C">
            <w:pPr>
              <w:pStyle w:val="TableHeading"/>
              <w:rPr>
                <w:b w:val="0"/>
                <w:szCs w:val="20"/>
              </w:rPr>
            </w:pPr>
            <w:r>
              <w:rPr>
                <w:b w:val="0"/>
                <w:szCs w:val="20"/>
              </w:rPr>
              <w:t>(Basin-scale and other Selected Area teams, Lower Murray team)</w:t>
            </w:r>
          </w:p>
          <w:p w14:paraId="540F1FC8" w14:textId="77777777" w:rsidR="008261D3" w:rsidRDefault="008261D3" w:rsidP="005F5C7C">
            <w:pPr>
              <w:pStyle w:val="TableHeading"/>
              <w:rPr>
                <w:b w:val="0"/>
                <w:szCs w:val="20"/>
              </w:rPr>
            </w:pPr>
          </w:p>
          <w:p w14:paraId="63432F7E" w14:textId="77777777" w:rsidR="008261D3" w:rsidRPr="00F1468F" w:rsidRDefault="008261D3" w:rsidP="005F5C7C">
            <w:pPr>
              <w:pStyle w:val="TableHeading"/>
              <w:rPr>
                <w:b w:val="0"/>
                <w:szCs w:val="20"/>
              </w:rPr>
            </w:pPr>
            <w:r>
              <w:rPr>
                <w:b w:val="0"/>
                <w:szCs w:val="20"/>
              </w:rPr>
              <w:t>SARDI Project Leader</w:t>
            </w:r>
          </w:p>
        </w:tc>
      </w:tr>
      <w:tr w:rsidR="008261D3" w14:paraId="5675A7C7" w14:textId="77777777" w:rsidTr="005F5C7C">
        <w:trPr>
          <w:cantSplit/>
          <w:trHeight w:val="175"/>
        </w:trPr>
        <w:tc>
          <w:tcPr>
            <w:tcW w:w="946" w:type="pct"/>
            <w:vMerge w:val="restart"/>
            <w:shd w:val="clear" w:color="auto" w:fill="auto"/>
          </w:tcPr>
          <w:p w14:paraId="4A91B8A6" w14:textId="77777777" w:rsidR="008261D3" w:rsidRPr="00B60C4E" w:rsidRDefault="008261D3" w:rsidP="005F5C7C">
            <w:pPr>
              <w:pStyle w:val="TableHeading"/>
              <w:rPr>
                <w:b w:val="0"/>
                <w:szCs w:val="20"/>
              </w:rPr>
            </w:pPr>
            <w:r w:rsidRPr="001831E6">
              <w:rPr>
                <w:b w:val="0"/>
                <w:szCs w:val="20"/>
              </w:rPr>
              <w:t>Activity 2 –</w:t>
            </w:r>
            <w:r>
              <w:rPr>
                <w:b w:val="0"/>
                <w:szCs w:val="20"/>
              </w:rPr>
              <w:t xml:space="preserve"> Engagement and Communications i</w:t>
            </w:r>
            <w:r w:rsidRPr="001831E6">
              <w:rPr>
                <w:b w:val="0"/>
                <w:szCs w:val="20"/>
              </w:rPr>
              <w:t>nfrastructure</w:t>
            </w:r>
          </w:p>
        </w:tc>
        <w:tc>
          <w:tcPr>
            <w:tcW w:w="533" w:type="pct"/>
            <w:shd w:val="clear" w:color="auto" w:fill="auto"/>
          </w:tcPr>
          <w:p w14:paraId="53659571" w14:textId="77777777" w:rsidR="008261D3" w:rsidRPr="00DC5550" w:rsidRDefault="008261D3" w:rsidP="005F5C7C">
            <w:pPr>
              <w:pStyle w:val="TableHeading"/>
            </w:pPr>
            <w:r w:rsidRPr="00B60C4E">
              <w:rPr>
                <w:b w:val="0"/>
                <w:szCs w:val="20"/>
              </w:rPr>
              <w:t>Website</w:t>
            </w:r>
          </w:p>
        </w:tc>
        <w:tc>
          <w:tcPr>
            <w:tcW w:w="2074" w:type="pct"/>
            <w:shd w:val="clear" w:color="auto" w:fill="auto"/>
          </w:tcPr>
          <w:p w14:paraId="7B22E16B" w14:textId="77777777" w:rsidR="008261D3" w:rsidRPr="00B60C4E" w:rsidRDefault="008261D3" w:rsidP="005F5C7C">
            <w:pPr>
              <w:pStyle w:val="TableHeading"/>
              <w:rPr>
                <w:b w:val="0"/>
                <w:i/>
                <w:szCs w:val="20"/>
              </w:rPr>
            </w:pPr>
            <w:r w:rsidRPr="00B60C4E">
              <w:rPr>
                <w:b w:val="0"/>
                <w:i/>
                <w:szCs w:val="20"/>
              </w:rPr>
              <w:t>Project information, progress and outcomes</w:t>
            </w:r>
          </w:p>
          <w:p w14:paraId="042ED01E" w14:textId="77777777" w:rsidR="008261D3" w:rsidRDefault="008261D3" w:rsidP="005F5C7C">
            <w:pPr>
              <w:pStyle w:val="TableHeading"/>
              <w:rPr>
                <w:b w:val="0"/>
                <w:szCs w:val="20"/>
              </w:rPr>
            </w:pPr>
            <w:r w:rsidRPr="00F1468F">
              <w:rPr>
                <w:b w:val="0"/>
                <w:szCs w:val="20"/>
              </w:rPr>
              <w:t>Set up an MER website for the Lower Murray Selected Area and link to Basin Flow-MER website to better inform interested communities with knowledge of the project.</w:t>
            </w:r>
            <w:r>
              <w:rPr>
                <w:b w:val="0"/>
                <w:szCs w:val="20"/>
              </w:rPr>
              <w:t xml:space="preserve"> </w:t>
            </w:r>
          </w:p>
          <w:p w14:paraId="12F2C753" w14:textId="77777777" w:rsidR="008261D3" w:rsidRPr="00DC5550" w:rsidRDefault="008261D3" w:rsidP="005F5C7C">
            <w:pPr>
              <w:pStyle w:val="TableHeading"/>
            </w:pPr>
            <w:r>
              <w:rPr>
                <w:b w:val="0"/>
                <w:szCs w:val="20"/>
              </w:rPr>
              <w:t>Calendar of events: regular updates.</w:t>
            </w:r>
          </w:p>
        </w:tc>
        <w:tc>
          <w:tcPr>
            <w:tcW w:w="713" w:type="pct"/>
            <w:shd w:val="clear" w:color="auto" w:fill="auto"/>
          </w:tcPr>
          <w:p w14:paraId="06D56604" w14:textId="77777777" w:rsidR="008261D3" w:rsidRDefault="008261D3" w:rsidP="005F5C7C">
            <w:pPr>
              <w:pStyle w:val="TableHeading"/>
              <w:rPr>
                <w:b w:val="0"/>
                <w:szCs w:val="20"/>
              </w:rPr>
            </w:pPr>
            <w:r w:rsidRPr="00F1468F">
              <w:rPr>
                <w:b w:val="0"/>
                <w:szCs w:val="20"/>
              </w:rPr>
              <w:t>Ongoing</w:t>
            </w:r>
          </w:p>
          <w:p w14:paraId="43B75708" w14:textId="77777777" w:rsidR="008261D3" w:rsidRPr="00DC5550" w:rsidRDefault="008261D3" w:rsidP="005F5C7C">
            <w:pPr>
              <w:pStyle w:val="TableHeading"/>
            </w:pPr>
            <w:r>
              <w:rPr>
                <w:b w:val="0"/>
                <w:szCs w:val="20"/>
              </w:rPr>
              <w:t>At least two stories per year, and an aboriginal story.</w:t>
            </w:r>
          </w:p>
        </w:tc>
        <w:tc>
          <w:tcPr>
            <w:tcW w:w="734" w:type="pct"/>
            <w:shd w:val="clear" w:color="auto" w:fill="auto"/>
          </w:tcPr>
          <w:p w14:paraId="6B92B4DB" w14:textId="77777777" w:rsidR="008261D3" w:rsidRDefault="008261D3" w:rsidP="005F5C7C">
            <w:pPr>
              <w:pStyle w:val="TableHeading"/>
              <w:rPr>
                <w:b w:val="0"/>
                <w:szCs w:val="20"/>
              </w:rPr>
            </w:pPr>
            <w:r w:rsidRPr="00F1468F">
              <w:rPr>
                <w:b w:val="0"/>
                <w:szCs w:val="20"/>
              </w:rPr>
              <w:t>SARDI</w:t>
            </w:r>
          </w:p>
          <w:p w14:paraId="7631256C" w14:textId="77777777" w:rsidR="008261D3" w:rsidRPr="00DC5550" w:rsidRDefault="008261D3" w:rsidP="005F5C7C">
            <w:pPr>
              <w:pStyle w:val="TableHeading"/>
            </w:pPr>
            <w:r>
              <w:rPr>
                <w:b w:val="0"/>
                <w:szCs w:val="20"/>
              </w:rPr>
              <w:t>(Supported by PIRSA Communication Unit and Basin Flow-MER Engagement and Communication team)</w:t>
            </w:r>
          </w:p>
        </w:tc>
      </w:tr>
      <w:tr w:rsidR="008261D3" w14:paraId="02F2CFFA" w14:textId="77777777" w:rsidTr="005F5C7C">
        <w:trPr>
          <w:cantSplit/>
          <w:trHeight w:val="175"/>
        </w:trPr>
        <w:tc>
          <w:tcPr>
            <w:tcW w:w="946" w:type="pct"/>
            <w:vMerge/>
            <w:shd w:val="clear" w:color="auto" w:fill="auto"/>
          </w:tcPr>
          <w:p w14:paraId="7AB26DC2" w14:textId="77777777" w:rsidR="008261D3" w:rsidRPr="001159D7" w:rsidRDefault="008261D3" w:rsidP="005F5C7C">
            <w:pPr>
              <w:pStyle w:val="TableHeading"/>
              <w:rPr>
                <w:b w:val="0"/>
                <w:szCs w:val="20"/>
              </w:rPr>
            </w:pPr>
          </w:p>
        </w:tc>
        <w:tc>
          <w:tcPr>
            <w:tcW w:w="533" w:type="pct"/>
            <w:shd w:val="clear" w:color="auto" w:fill="auto"/>
          </w:tcPr>
          <w:p w14:paraId="2A299DF8" w14:textId="77777777" w:rsidR="008261D3" w:rsidRPr="001159D7" w:rsidRDefault="008261D3" w:rsidP="005F5C7C">
            <w:pPr>
              <w:pStyle w:val="TableHeading"/>
              <w:rPr>
                <w:b w:val="0"/>
              </w:rPr>
            </w:pPr>
            <w:r w:rsidRPr="001159D7">
              <w:rPr>
                <w:b w:val="0"/>
                <w:szCs w:val="20"/>
              </w:rPr>
              <w:t xml:space="preserve">Social media </w:t>
            </w:r>
          </w:p>
        </w:tc>
        <w:tc>
          <w:tcPr>
            <w:tcW w:w="2074" w:type="pct"/>
            <w:shd w:val="clear" w:color="auto" w:fill="auto"/>
          </w:tcPr>
          <w:p w14:paraId="199DFB8D" w14:textId="77777777" w:rsidR="008261D3" w:rsidRPr="001159D7" w:rsidRDefault="008261D3" w:rsidP="005F5C7C">
            <w:pPr>
              <w:pStyle w:val="TableText"/>
              <w:rPr>
                <w:rFonts w:eastAsia="Times New Roman"/>
                <w:szCs w:val="20"/>
              </w:rPr>
            </w:pPr>
            <w:r w:rsidRPr="001159D7">
              <w:rPr>
                <w:i/>
                <w:iCs/>
                <w:szCs w:val="20"/>
              </w:rPr>
              <w:t xml:space="preserve">Project progress and outcomes </w:t>
            </w:r>
          </w:p>
          <w:p w14:paraId="5CC81C80" w14:textId="77777777" w:rsidR="008261D3" w:rsidRPr="001159D7" w:rsidRDefault="008261D3" w:rsidP="005F5C7C">
            <w:pPr>
              <w:pStyle w:val="TableHeading"/>
              <w:rPr>
                <w:b w:val="0"/>
              </w:rPr>
            </w:pPr>
            <w:r w:rsidRPr="001159D7">
              <w:rPr>
                <w:b w:val="0"/>
                <w:szCs w:val="20"/>
              </w:rPr>
              <w:t>Communicate findings/learnings and progress to</w:t>
            </w:r>
            <w:r>
              <w:rPr>
                <w:b w:val="0"/>
                <w:szCs w:val="20"/>
              </w:rPr>
              <w:t xml:space="preserve"> interested communities e.g. via </w:t>
            </w:r>
            <w:r w:rsidRPr="001159D7">
              <w:rPr>
                <w:b w:val="0"/>
                <w:szCs w:val="20"/>
              </w:rPr>
              <w:t>Twitter, Facebook</w:t>
            </w:r>
            <w:r>
              <w:rPr>
                <w:b w:val="0"/>
                <w:szCs w:val="20"/>
              </w:rPr>
              <w:t>, You tube clips</w:t>
            </w:r>
            <w:r w:rsidRPr="001159D7">
              <w:rPr>
                <w:b w:val="0"/>
                <w:szCs w:val="20"/>
              </w:rPr>
              <w:t xml:space="preserve"> and</w:t>
            </w:r>
            <w:r>
              <w:rPr>
                <w:b w:val="0"/>
                <w:szCs w:val="20"/>
              </w:rPr>
              <w:t>/or</w:t>
            </w:r>
            <w:r w:rsidRPr="001159D7">
              <w:rPr>
                <w:b w:val="0"/>
                <w:szCs w:val="20"/>
              </w:rPr>
              <w:t xml:space="preserve"> other forms of social media. </w:t>
            </w:r>
          </w:p>
        </w:tc>
        <w:tc>
          <w:tcPr>
            <w:tcW w:w="713" w:type="pct"/>
            <w:shd w:val="clear" w:color="auto" w:fill="auto"/>
          </w:tcPr>
          <w:p w14:paraId="03FA30E5" w14:textId="77777777" w:rsidR="008261D3" w:rsidRPr="001159D7" w:rsidRDefault="008261D3" w:rsidP="005F5C7C">
            <w:pPr>
              <w:pStyle w:val="TableHeading"/>
              <w:rPr>
                <w:b w:val="0"/>
              </w:rPr>
            </w:pPr>
            <w:r>
              <w:rPr>
                <w:b w:val="0"/>
                <w:szCs w:val="20"/>
              </w:rPr>
              <w:t>Quarterly</w:t>
            </w:r>
          </w:p>
        </w:tc>
        <w:tc>
          <w:tcPr>
            <w:tcW w:w="734" w:type="pct"/>
            <w:shd w:val="clear" w:color="auto" w:fill="auto"/>
          </w:tcPr>
          <w:p w14:paraId="3032853A" w14:textId="77777777" w:rsidR="008261D3" w:rsidRDefault="008261D3" w:rsidP="005F5C7C">
            <w:pPr>
              <w:pStyle w:val="TableHeading"/>
              <w:rPr>
                <w:b w:val="0"/>
                <w:szCs w:val="20"/>
              </w:rPr>
            </w:pPr>
            <w:r w:rsidRPr="001159D7">
              <w:rPr>
                <w:b w:val="0"/>
                <w:szCs w:val="20"/>
              </w:rPr>
              <w:t>SARDI</w:t>
            </w:r>
          </w:p>
          <w:p w14:paraId="1D2DD937" w14:textId="77777777" w:rsidR="008261D3" w:rsidRPr="001159D7" w:rsidRDefault="008261D3" w:rsidP="005F5C7C">
            <w:pPr>
              <w:pStyle w:val="TableHeading"/>
              <w:rPr>
                <w:b w:val="0"/>
              </w:rPr>
            </w:pPr>
            <w:r>
              <w:rPr>
                <w:b w:val="0"/>
              </w:rPr>
              <w:t>(S</w:t>
            </w:r>
            <w:r w:rsidRPr="002726DF">
              <w:rPr>
                <w:b w:val="0"/>
              </w:rPr>
              <w:t>upported by</w:t>
            </w:r>
            <w:r>
              <w:rPr>
                <w:b w:val="0"/>
              </w:rPr>
              <w:t xml:space="preserve"> PIRSA Communication Unit and</w:t>
            </w:r>
            <w:r w:rsidRPr="002726DF">
              <w:rPr>
                <w:b w:val="0"/>
              </w:rPr>
              <w:t xml:space="preserve"> Basin Flow-MER Engagement and Communication team)</w:t>
            </w:r>
          </w:p>
        </w:tc>
      </w:tr>
      <w:tr w:rsidR="008261D3" w14:paraId="697EC74E" w14:textId="77777777" w:rsidTr="005F5C7C">
        <w:trPr>
          <w:cantSplit/>
          <w:trHeight w:val="175"/>
        </w:trPr>
        <w:tc>
          <w:tcPr>
            <w:tcW w:w="946" w:type="pct"/>
            <w:vMerge/>
            <w:shd w:val="clear" w:color="auto" w:fill="auto"/>
          </w:tcPr>
          <w:p w14:paraId="382157C1" w14:textId="77777777" w:rsidR="008261D3" w:rsidRDefault="008261D3" w:rsidP="005F5C7C">
            <w:pPr>
              <w:pStyle w:val="TableHeading"/>
              <w:rPr>
                <w:b w:val="0"/>
                <w:szCs w:val="20"/>
              </w:rPr>
            </w:pPr>
          </w:p>
        </w:tc>
        <w:tc>
          <w:tcPr>
            <w:tcW w:w="533" w:type="pct"/>
            <w:shd w:val="clear" w:color="auto" w:fill="auto"/>
          </w:tcPr>
          <w:p w14:paraId="723047DA" w14:textId="77777777" w:rsidR="008261D3" w:rsidRPr="001159D7" w:rsidRDefault="008261D3" w:rsidP="005F5C7C">
            <w:pPr>
              <w:pStyle w:val="TableHeading"/>
              <w:rPr>
                <w:b w:val="0"/>
                <w:szCs w:val="20"/>
              </w:rPr>
            </w:pPr>
            <w:r>
              <w:rPr>
                <w:b w:val="0"/>
                <w:szCs w:val="20"/>
              </w:rPr>
              <w:t>Hard copy items or products</w:t>
            </w:r>
          </w:p>
        </w:tc>
        <w:tc>
          <w:tcPr>
            <w:tcW w:w="2074" w:type="pct"/>
            <w:shd w:val="clear" w:color="auto" w:fill="auto"/>
          </w:tcPr>
          <w:p w14:paraId="414164A4" w14:textId="77777777" w:rsidR="008261D3" w:rsidRDefault="008261D3" w:rsidP="005F5C7C">
            <w:pPr>
              <w:pStyle w:val="TableText"/>
              <w:rPr>
                <w:i/>
                <w:iCs/>
                <w:szCs w:val="20"/>
              </w:rPr>
            </w:pPr>
            <w:r>
              <w:rPr>
                <w:i/>
                <w:iCs/>
                <w:szCs w:val="20"/>
              </w:rPr>
              <w:t>Project information</w:t>
            </w:r>
          </w:p>
          <w:p w14:paraId="04BEB788" w14:textId="77777777" w:rsidR="008261D3" w:rsidRDefault="008261D3" w:rsidP="005F5C7C">
            <w:pPr>
              <w:rPr>
                <w:sz w:val="20"/>
              </w:rPr>
            </w:pPr>
            <w:r w:rsidRPr="005F701E">
              <w:rPr>
                <w:sz w:val="20"/>
              </w:rPr>
              <w:t>Communication products such as post cards, fact sheets, guides and other hard copy items to better inform interested communities with knowledge of the project.</w:t>
            </w:r>
          </w:p>
          <w:p w14:paraId="2393889E" w14:textId="77777777" w:rsidR="008261D3" w:rsidRDefault="008261D3" w:rsidP="005F5C7C">
            <w:pPr>
              <w:rPr>
                <w:sz w:val="20"/>
              </w:rPr>
            </w:pPr>
            <w:r>
              <w:rPr>
                <w:sz w:val="20"/>
              </w:rPr>
              <w:t xml:space="preserve">Powerpoint slides for communication of key outcomes to the general public – one for the top outcome/finding for each indicator each year (at a minimum). Each slide will include an image or graph, supported by key statistics/facts in the notes section </w:t>
            </w:r>
          </w:p>
          <w:p w14:paraId="6DECCF51" w14:textId="77777777" w:rsidR="008261D3" w:rsidRPr="003923E4" w:rsidRDefault="008261D3" w:rsidP="005F5C7C">
            <w:pPr>
              <w:rPr>
                <w:sz w:val="20"/>
              </w:rPr>
            </w:pPr>
            <w:r>
              <w:rPr>
                <w:sz w:val="20"/>
              </w:rPr>
              <w:t>Other ‘innovative’ products, e.g. building</w:t>
            </w:r>
            <w:r w:rsidRPr="003923E4">
              <w:rPr>
                <w:sz w:val="20"/>
              </w:rPr>
              <w:t xml:space="preserve"> </w:t>
            </w:r>
            <w:r>
              <w:rPr>
                <w:sz w:val="20"/>
              </w:rPr>
              <w:t xml:space="preserve">a </w:t>
            </w:r>
            <w:r w:rsidRPr="003923E4">
              <w:rPr>
                <w:sz w:val="20"/>
              </w:rPr>
              <w:t>small 3D model of the river, to show things like fish migration, salt import/export etc</w:t>
            </w:r>
          </w:p>
        </w:tc>
        <w:tc>
          <w:tcPr>
            <w:tcW w:w="713" w:type="pct"/>
            <w:shd w:val="clear" w:color="auto" w:fill="auto"/>
          </w:tcPr>
          <w:p w14:paraId="30DA3FED" w14:textId="77777777" w:rsidR="008261D3" w:rsidRPr="001159D7" w:rsidRDefault="008261D3" w:rsidP="005F5C7C">
            <w:pPr>
              <w:pStyle w:val="TableHeading"/>
              <w:rPr>
                <w:b w:val="0"/>
                <w:szCs w:val="20"/>
              </w:rPr>
            </w:pPr>
            <w:r>
              <w:rPr>
                <w:b w:val="0"/>
                <w:szCs w:val="20"/>
              </w:rPr>
              <w:t>Annually</w:t>
            </w:r>
          </w:p>
        </w:tc>
        <w:tc>
          <w:tcPr>
            <w:tcW w:w="734" w:type="pct"/>
            <w:shd w:val="clear" w:color="auto" w:fill="auto"/>
          </w:tcPr>
          <w:p w14:paraId="3FD33759" w14:textId="77777777" w:rsidR="008261D3" w:rsidRDefault="008261D3" w:rsidP="005F5C7C">
            <w:pPr>
              <w:pStyle w:val="TableHeading"/>
              <w:rPr>
                <w:b w:val="0"/>
                <w:szCs w:val="20"/>
              </w:rPr>
            </w:pPr>
            <w:r>
              <w:rPr>
                <w:b w:val="0"/>
                <w:szCs w:val="20"/>
              </w:rPr>
              <w:t>SARDI</w:t>
            </w:r>
          </w:p>
          <w:p w14:paraId="24FF196A" w14:textId="77777777" w:rsidR="008261D3" w:rsidRPr="001159D7" w:rsidRDefault="008261D3" w:rsidP="005F5C7C">
            <w:pPr>
              <w:pStyle w:val="TableHeading"/>
              <w:rPr>
                <w:b w:val="0"/>
                <w:szCs w:val="20"/>
              </w:rPr>
            </w:pPr>
            <w:r>
              <w:rPr>
                <w:b w:val="0"/>
                <w:szCs w:val="20"/>
              </w:rPr>
              <w:t>(Supported by PIRSA Communication Unit and Basin Flow-MER Engagement and Communication team)</w:t>
            </w:r>
          </w:p>
        </w:tc>
      </w:tr>
      <w:tr w:rsidR="008261D3" w14:paraId="118C13D4" w14:textId="77777777" w:rsidTr="005F5C7C">
        <w:trPr>
          <w:cantSplit/>
          <w:trHeight w:val="175"/>
        </w:trPr>
        <w:tc>
          <w:tcPr>
            <w:tcW w:w="946" w:type="pct"/>
            <w:shd w:val="clear" w:color="auto" w:fill="auto"/>
          </w:tcPr>
          <w:p w14:paraId="3FB0E655" w14:textId="77777777" w:rsidR="008261D3" w:rsidRPr="00DA7D42" w:rsidRDefault="008261D3" w:rsidP="005F5C7C">
            <w:pPr>
              <w:pStyle w:val="TableHeading"/>
              <w:rPr>
                <w:b w:val="0"/>
                <w:szCs w:val="20"/>
              </w:rPr>
            </w:pPr>
            <w:r w:rsidRPr="00510F32">
              <w:rPr>
                <w:b w:val="0"/>
                <w:szCs w:val="20"/>
              </w:rPr>
              <w:t xml:space="preserve">Activity 3 – Capacity building for </w:t>
            </w:r>
            <w:r>
              <w:rPr>
                <w:b w:val="0"/>
                <w:szCs w:val="20"/>
              </w:rPr>
              <w:t>Lower Murray</w:t>
            </w:r>
            <w:r w:rsidRPr="00510F32">
              <w:rPr>
                <w:b w:val="0"/>
                <w:szCs w:val="20"/>
              </w:rPr>
              <w:t xml:space="preserve"> team</w:t>
            </w:r>
          </w:p>
        </w:tc>
        <w:tc>
          <w:tcPr>
            <w:tcW w:w="533" w:type="pct"/>
            <w:shd w:val="clear" w:color="auto" w:fill="auto"/>
          </w:tcPr>
          <w:p w14:paraId="00813368" w14:textId="77777777" w:rsidR="008261D3" w:rsidRPr="001831E6" w:rsidRDefault="008261D3" w:rsidP="005F5C7C">
            <w:pPr>
              <w:pStyle w:val="TableHeading"/>
              <w:rPr>
                <w:b w:val="0"/>
                <w:szCs w:val="20"/>
              </w:rPr>
            </w:pPr>
            <w:r>
              <w:rPr>
                <w:b w:val="0"/>
                <w:szCs w:val="20"/>
              </w:rPr>
              <w:t>Engagement and communication training</w:t>
            </w:r>
          </w:p>
        </w:tc>
        <w:tc>
          <w:tcPr>
            <w:tcW w:w="2074" w:type="pct"/>
            <w:shd w:val="clear" w:color="auto" w:fill="auto"/>
          </w:tcPr>
          <w:p w14:paraId="779DDF2A" w14:textId="77777777" w:rsidR="008261D3" w:rsidRDefault="008261D3" w:rsidP="005F5C7C">
            <w:pPr>
              <w:pStyle w:val="TableHeading"/>
              <w:rPr>
                <w:b w:val="0"/>
                <w:i/>
                <w:szCs w:val="20"/>
              </w:rPr>
            </w:pPr>
            <w:r>
              <w:rPr>
                <w:b w:val="0"/>
                <w:i/>
                <w:szCs w:val="20"/>
              </w:rPr>
              <w:t>Capacity building to improve skills in communication and engagement for the Lower Murray team.</w:t>
            </w:r>
          </w:p>
          <w:p w14:paraId="7E874BE9" w14:textId="77777777" w:rsidR="008261D3" w:rsidRPr="00510F32" w:rsidRDefault="008261D3" w:rsidP="005F5C7C">
            <w:pPr>
              <w:pStyle w:val="TableHeading"/>
              <w:rPr>
                <w:b w:val="0"/>
                <w:i/>
                <w:szCs w:val="20"/>
              </w:rPr>
            </w:pPr>
            <w:r>
              <w:rPr>
                <w:b w:val="0"/>
              </w:rPr>
              <w:t xml:space="preserve">A training course </w:t>
            </w:r>
          </w:p>
        </w:tc>
        <w:tc>
          <w:tcPr>
            <w:tcW w:w="713" w:type="pct"/>
            <w:shd w:val="clear" w:color="auto" w:fill="auto"/>
          </w:tcPr>
          <w:p w14:paraId="2778268D" w14:textId="77777777" w:rsidR="008261D3" w:rsidRDefault="008261D3" w:rsidP="005F5C7C">
            <w:pPr>
              <w:pStyle w:val="TableHeading"/>
              <w:rPr>
                <w:b w:val="0"/>
                <w:szCs w:val="20"/>
              </w:rPr>
            </w:pPr>
            <w:r>
              <w:rPr>
                <w:b w:val="0"/>
                <w:szCs w:val="20"/>
              </w:rPr>
              <w:t>First year</w:t>
            </w:r>
          </w:p>
          <w:p w14:paraId="476BC145" w14:textId="77777777" w:rsidR="008261D3" w:rsidRDefault="008261D3" w:rsidP="005F5C7C">
            <w:pPr>
              <w:pStyle w:val="TableHeading"/>
              <w:rPr>
                <w:b w:val="0"/>
                <w:szCs w:val="20"/>
              </w:rPr>
            </w:pPr>
            <w:r>
              <w:rPr>
                <w:b w:val="0"/>
                <w:szCs w:val="20"/>
              </w:rPr>
              <w:t>Training Day</w:t>
            </w:r>
          </w:p>
        </w:tc>
        <w:tc>
          <w:tcPr>
            <w:tcW w:w="734" w:type="pct"/>
            <w:shd w:val="clear" w:color="auto" w:fill="auto"/>
          </w:tcPr>
          <w:p w14:paraId="0BE249F0" w14:textId="77777777" w:rsidR="008261D3" w:rsidRDefault="008261D3" w:rsidP="005F5C7C">
            <w:pPr>
              <w:pStyle w:val="TableHeading"/>
              <w:rPr>
                <w:b w:val="0"/>
                <w:szCs w:val="20"/>
              </w:rPr>
            </w:pPr>
            <w:r>
              <w:rPr>
                <w:b w:val="0"/>
                <w:szCs w:val="20"/>
              </w:rPr>
              <w:t>SARDI</w:t>
            </w:r>
          </w:p>
          <w:p w14:paraId="033B35D0" w14:textId="77777777" w:rsidR="008261D3" w:rsidRPr="00F1468F" w:rsidRDefault="008261D3" w:rsidP="005F5C7C">
            <w:pPr>
              <w:pStyle w:val="TableHeading"/>
              <w:rPr>
                <w:b w:val="0"/>
                <w:szCs w:val="20"/>
              </w:rPr>
            </w:pPr>
            <w:r>
              <w:rPr>
                <w:b w:val="0"/>
                <w:szCs w:val="20"/>
              </w:rPr>
              <w:t>(Lower Murray team; s</w:t>
            </w:r>
            <w:r w:rsidRPr="00586038">
              <w:rPr>
                <w:b w:val="0"/>
                <w:szCs w:val="20"/>
              </w:rPr>
              <w:t>upported by Basin Flow-MER Engagement and Communication team)</w:t>
            </w:r>
          </w:p>
        </w:tc>
      </w:tr>
      <w:tr w:rsidR="008261D3" w14:paraId="63710209" w14:textId="77777777" w:rsidTr="005F5C7C">
        <w:trPr>
          <w:cantSplit/>
          <w:trHeight w:val="175"/>
        </w:trPr>
        <w:tc>
          <w:tcPr>
            <w:tcW w:w="946" w:type="pct"/>
            <w:shd w:val="clear" w:color="auto" w:fill="auto"/>
          </w:tcPr>
          <w:p w14:paraId="45E16663" w14:textId="77777777" w:rsidR="008261D3" w:rsidRPr="00DA7D42" w:rsidRDefault="008261D3" w:rsidP="005F5C7C">
            <w:pPr>
              <w:pStyle w:val="TableHeading"/>
              <w:rPr>
                <w:b w:val="0"/>
                <w:szCs w:val="20"/>
              </w:rPr>
            </w:pPr>
            <w:r w:rsidRPr="00181E85">
              <w:rPr>
                <w:b w:val="0"/>
                <w:szCs w:val="20"/>
              </w:rPr>
              <w:t>Activity 4 – Strong and meaningful Aboriginal engagement</w:t>
            </w:r>
          </w:p>
        </w:tc>
        <w:tc>
          <w:tcPr>
            <w:tcW w:w="533" w:type="pct"/>
            <w:shd w:val="clear" w:color="auto" w:fill="auto"/>
          </w:tcPr>
          <w:p w14:paraId="7321C18C" w14:textId="77777777" w:rsidR="008261D3" w:rsidRPr="001831E6" w:rsidRDefault="008261D3" w:rsidP="005F5C7C">
            <w:pPr>
              <w:pStyle w:val="TableHeading"/>
              <w:rPr>
                <w:b w:val="0"/>
                <w:szCs w:val="20"/>
              </w:rPr>
            </w:pPr>
            <w:r>
              <w:rPr>
                <w:b w:val="0"/>
                <w:szCs w:val="20"/>
              </w:rPr>
              <w:t>Targeted engagement with A</w:t>
            </w:r>
            <w:r w:rsidRPr="001831E6">
              <w:rPr>
                <w:b w:val="0"/>
                <w:szCs w:val="20"/>
              </w:rPr>
              <w:t>boriginal groups</w:t>
            </w:r>
          </w:p>
        </w:tc>
        <w:tc>
          <w:tcPr>
            <w:tcW w:w="2074" w:type="pct"/>
            <w:shd w:val="clear" w:color="auto" w:fill="auto"/>
          </w:tcPr>
          <w:p w14:paraId="710B130A" w14:textId="77777777" w:rsidR="008261D3" w:rsidRPr="00381D7D" w:rsidRDefault="008261D3" w:rsidP="005F5C7C">
            <w:pPr>
              <w:pStyle w:val="TableHeading"/>
              <w:rPr>
                <w:b w:val="0"/>
                <w:i/>
                <w:szCs w:val="20"/>
              </w:rPr>
            </w:pPr>
            <w:r w:rsidRPr="00381D7D">
              <w:rPr>
                <w:b w:val="0"/>
                <w:i/>
                <w:szCs w:val="20"/>
              </w:rPr>
              <w:t xml:space="preserve">Collaboration and information exchange </w:t>
            </w:r>
          </w:p>
          <w:p w14:paraId="50E65826" w14:textId="77777777" w:rsidR="008261D3" w:rsidRPr="00381D7D" w:rsidRDefault="008261D3" w:rsidP="005F5C7C">
            <w:pPr>
              <w:pStyle w:val="TableHeading"/>
              <w:rPr>
                <w:b w:val="0"/>
                <w:szCs w:val="20"/>
              </w:rPr>
            </w:pPr>
            <w:r>
              <w:rPr>
                <w:b w:val="0"/>
                <w:szCs w:val="20"/>
              </w:rPr>
              <w:t>Better engage A</w:t>
            </w:r>
            <w:r w:rsidRPr="00381D7D">
              <w:rPr>
                <w:b w:val="0"/>
                <w:szCs w:val="20"/>
              </w:rPr>
              <w:t>boriginal groups with the MER Project in the Lower Murray Selected Area. To be planned with</w:t>
            </w:r>
            <w:r>
              <w:rPr>
                <w:b w:val="0"/>
                <w:szCs w:val="20"/>
              </w:rPr>
              <w:t xml:space="preserve"> support from</w:t>
            </w:r>
            <w:r w:rsidRPr="00381D7D">
              <w:rPr>
                <w:b w:val="0"/>
                <w:szCs w:val="20"/>
              </w:rPr>
              <w:t xml:space="preserve"> </w:t>
            </w:r>
            <w:r>
              <w:rPr>
                <w:b w:val="0"/>
                <w:szCs w:val="20"/>
              </w:rPr>
              <w:t xml:space="preserve">CEWO, </w:t>
            </w:r>
            <w:r w:rsidRPr="00381D7D">
              <w:rPr>
                <w:b w:val="0"/>
                <w:szCs w:val="20"/>
              </w:rPr>
              <w:t>DEW and Brad Moggridge. Activities may include:</w:t>
            </w:r>
          </w:p>
          <w:p w14:paraId="2FD08AD7" w14:textId="026DEF25" w:rsidR="008261D3" w:rsidRPr="00381D7D" w:rsidRDefault="008261D3" w:rsidP="005F5C7C">
            <w:pPr>
              <w:pStyle w:val="TableHeading"/>
              <w:numPr>
                <w:ilvl w:val="0"/>
                <w:numId w:val="54"/>
              </w:numPr>
              <w:rPr>
                <w:b w:val="0"/>
                <w:szCs w:val="20"/>
              </w:rPr>
            </w:pPr>
            <w:r w:rsidRPr="00381D7D">
              <w:rPr>
                <w:b w:val="0"/>
                <w:szCs w:val="20"/>
              </w:rPr>
              <w:t>Project Leader</w:t>
            </w:r>
            <w:r>
              <w:rPr>
                <w:b w:val="0"/>
                <w:szCs w:val="20"/>
              </w:rPr>
              <w:t>, with CEWO LEO,</w:t>
            </w:r>
            <w:r w:rsidRPr="00381D7D">
              <w:rPr>
                <w:b w:val="0"/>
                <w:szCs w:val="20"/>
              </w:rPr>
              <w:t xml:space="preserve"> attending and presenting at Aboriginal group meetings (FPRMM, MACAI and NRA).</w:t>
            </w:r>
          </w:p>
          <w:p w14:paraId="6E6B1632" w14:textId="77777777" w:rsidR="008261D3" w:rsidRPr="00381D7D" w:rsidRDefault="008261D3" w:rsidP="005F5C7C">
            <w:pPr>
              <w:pStyle w:val="TableHeading"/>
              <w:numPr>
                <w:ilvl w:val="0"/>
                <w:numId w:val="54"/>
              </w:numPr>
              <w:rPr>
                <w:b w:val="0"/>
                <w:szCs w:val="20"/>
              </w:rPr>
            </w:pPr>
            <w:r>
              <w:rPr>
                <w:b w:val="0"/>
                <w:szCs w:val="20"/>
              </w:rPr>
              <w:t>Working with B</w:t>
            </w:r>
            <w:r w:rsidRPr="00381D7D">
              <w:rPr>
                <w:b w:val="0"/>
                <w:szCs w:val="20"/>
              </w:rPr>
              <w:t>r</w:t>
            </w:r>
            <w:r>
              <w:rPr>
                <w:b w:val="0"/>
                <w:szCs w:val="20"/>
              </w:rPr>
              <w:t>a</w:t>
            </w:r>
            <w:r w:rsidRPr="00381D7D">
              <w:rPr>
                <w:b w:val="0"/>
                <w:szCs w:val="20"/>
              </w:rPr>
              <w:t>d Moggridge and DEW-</w:t>
            </w:r>
            <w:r>
              <w:rPr>
                <w:b w:val="0"/>
                <w:szCs w:val="20"/>
              </w:rPr>
              <w:t>NR SA</w:t>
            </w:r>
            <w:r w:rsidRPr="00381D7D">
              <w:rPr>
                <w:b w:val="0"/>
                <w:szCs w:val="20"/>
              </w:rPr>
              <w:t>MDB on processes to improve engagement</w:t>
            </w:r>
          </w:p>
          <w:p w14:paraId="1D3F6FEE" w14:textId="7D120285" w:rsidR="008261D3" w:rsidRPr="00381D7D" w:rsidRDefault="008261D3" w:rsidP="005F5C7C">
            <w:pPr>
              <w:pStyle w:val="TableHeading"/>
              <w:numPr>
                <w:ilvl w:val="0"/>
                <w:numId w:val="54"/>
              </w:numPr>
              <w:rPr>
                <w:b w:val="0"/>
                <w:szCs w:val="20"/>
              </w:rPr>
            </w:pPr>
            <w:r w:rsidRPr="00381D7D">
              <w:rPr>
                <w:b w:val="0"/>
                <w:szCs w:val="20"/>
              </w:rPr>
              <w:t>Development of a targeted aboriginal engagement project</w:t>
            </w:r>
            <w:r w:rsidR="006623BF">
              <w:rPr>
                <w:b w:val="0"/>
                <w:szCs w:val="20"/>
              </w:rPr>
              <w:t>(</w:t>
            </w:r>
            <w:r>
              <w:rPr>
                <w:b w:val="0"/>
                <w:szCs w:val="20"/>
              </w:rPr>
              <w:t>s</w:t>
            </w:r>
            <w:r w:rsidR="006623BF">
              <w:rPr>
                <w:b w:val="0"/>
                <w:szCs w:val="20"/>
              </w:rPr>
              <w:t>)</w:t>
            </w:r>
            <w:r w:rsidRPr="00381D7D">
              <w:rPr>
                <w:b w:val="0"/>
                <w:szCs w:val="20"/>
              </w:rPr>
              <w:t xml:space="preserve"> </w:t>
            </w:r>
            <w:r>
              <w:rPr>
                <w:b w:val="0"/>
                <w:szCs w:val="20"/>
              </w:rPr>
              <w:t xml:space="preserve">in consultation with key groups, and </w:t>
            </w:r>
            <w:r w:rsidRPr="00381D7D">
              <w:rPr>
                <w:b w:val="0"/>
                <w:szCs w:val="20"/>
              </w:rPr>
              <w:t xml:space="preserve">to be </w:t>
            </w:r>
            <w:r>
              <w:rPr>
                <w:b w:val="0"/>
                <w:szCs w:val="20"/>
              </w:rPr>
              <w:t xml:space="preserve">implemented following </w:t>
            </w:r>
            <w:r w:rsidRPr="00381D7D">
              <w:rPr>
                <w:b w:val="0"/>
                <w:szCs w:val="20"/>
              </w:rPr>
              <w:t>processes</w:t>
            </w:r>
            <w:r>
              <w:rPr>
                <w:b w:val="0"/>
                <w:szCs w:val="20"/>
              </w:rPr>
              <w:t xml:space="preserve">/protocols developed for the project. The project is expected to provide opportunities for aboriginal groups to be directly involved in project monitoring, research and/or evaluation activities. </w:t>
            </w:r>
          </w:p>
        </w:tc>
        <w:tc>
          <w:tcPr>
            <w:tcW w:w="713" w:type="pct"/>
            <w:shd w:val="clear" w:color="auto" w:fill="auto"/>
          </w:tcPr>
          <w:p w14:paraId="25B5C95D" w14:textId="77777777" w:rsidR="008261D3" w:rsidRPr="00381D7D" w:rsidRDefault="008261D3" w:rsidP="005F5C7C">
            <w:pPr>
              <w:pStyle w:val="TableHeading"/>
              <w:rPr>
                <w:b w:val="0"/>
                <w:szCs w:val="20"/>
              </w:rPr>
            </w:pPr>
            <w:r w:rsidRPr="00381D7D">
              <w:rPr>
                <w:b w:val="0"/>
                <w:szCs w:val="20"/>
              </w:rPr>
              <w:t>Attend and present at three meetings annually</w:t>
            </w:r>
          </w:p>
          <w:p w14:paraId="49FACEB3" w14:textId="77777777" w:rsidR="008261D3" w:rsidRPr="00381D7D" w:rsidRDefault="008261D3" w:rsidP="005F5C7C">
            <w:pPr>
              <w:pStyle w:val="TableHeading"/>
              <w:rPr>
                <w:b w:val="0"/>
                <w:szCs w:val="20"/>
              </w:rPr>
            </w:pPr>
          </w:p>
          <w:p w14:paraId="35D881AB" w14:textId="77777777" w:rsidR="008261D3" w:rsidRPr="00381D7D" w:rsidRDefault="008261D3" w:rsidP="005F5C7C">
            <w:pPr>
              <w:pStyle w:val="TableHeading"/>
              <w:rPr>
                <w:b w:val="0"/>
                <w:szCs w:val="20"/>
              </w:rPr>
            </w:pPr>
          </w:p>
          <w:p w14:paraId="4DF35264" w14:textId="77777777" w:rsidR="008261D3" w:rsidRPr="00381D7D" w:rsidRDefault="008261D3" w:rsidP="005F5C7C">
            <w:pPr>
              <w:pStyle w:val="TableHeading"/>
              <w:rPr>
                <w:b w:val="0"/>
                <w:szCs w:val="20"/>
              </w:rPr>
            </w:pPr>
            <w:r w:rsidRPr="00381D7D">
              <w:rPr>
                <w:b w:val="0"/>
                <w:szCs w:val="20"/>
              </w:rPr>
              <w:t>Targeted project TBA</w:t>
            </w:r>
          </w:p>
        </w:tc>
        <w:tc>
          <w:tcPr>
            <w:tcW w:w="734" w:type="pct"/>
            <w:shd w:val="clear" w:color="auto" w:fill="auto"/>
          </w:tcPr>
          <w:p w14:paraId="0AAC94EE" w14:textId="77777777" w:rsidR="008261D3" w:rsidRPr="00381D7D" w:rsidRDefault="008261D3" w:rsidP="005F5C7C">
            <w:pPr>
              <w:pStyle w:val="TableHeading"/>
              <w:rPr>
                <w:b w:val="0"/>
                <w:szCs w:val="20"/>
              </w:rPr>
            </w:pPr>
            <w:r w:rsidRPr="00381D7D">
              <w:rPr>
                <w:b w:val="0"/>
                <w:szCs w:val="20"/>
              </w:rPr>
              <w:t>SARDI</w:t>
            </w:r>
          </w:p>
          <w:p w14:paraId="19DA36B2" w14:textId="77777777" w:rsidR="008261D3" w:rsidRPr="00381D7D" w:rsidRDefault="008261D3" w:rsidP="005F5C7C">
            <w:pPr>
              <w:pStyle w:val="TableHeading"/>
              <w:rPr>
                <w:b w:val="0"/>
                <w:szCs w:val="20"/>
              </w:rPr>
            </w:pPr>
            <w:r w:rsidRPr="00381D7D">
              <w:rPr>
                <w:b w:val="0"/>
                <w:szCs w:val="20"/>
              </w:rPr>
              <w:t xml:space="preserve">(supported by </w:t>
            </w:r>
            <w:r>
              <w:rPr>
                <w:b w:val="0"/>
                <w:szCs w:val="20"/>
              </w:rPr>
              <w:t xml:space="preserve">CEWO LEO, </w:t>
            </w:r>
            <w:r w:rsidRPr="00381D7D">
              <w:rPr>
                <w:b w:val="0"/>
                <w:szCs w:val="20"/>
              </w:rPr>
              <w:t>DEW-NR SAMDB</w:t>
            </w:r>
            <w:r>
              <w:rPr>
                <w:b w:val="0"/>
                <w:szCs w:val="20"/>
              </w:rPr>
              <w:t xml:space="preserve"> and</w:t>
            </w:r>
            <w:r w:rsidRPr="00381D7D">
              <w:rPr>
                <w:b w:val="0"/>
                <w:szCs w:val="20"/>
              </w:rPr>
              <w:t xml:space="preserve"> Basin Flow-MER Engagement and Communication team; aboriginal groups)</w:t>
            </w:r>
          </w:p>
        </w:tc>
      </w:tr>
      <w:tr w:rsidR="008261D3" w14:paraId="73767149" w14:textId="77777777" w:rsidTr="005F5C7C">
        <w:trPr>
          <w:cantSplit/>
          <w:trHeight w:val="175"/>
        </w:trPr>
        <w:tc>
          <w:tcPr>
            <w:tcW w:w="946" w:type="pct"/>
            <w:vMerge w:val="restart"/>
            <w:shd w:val="clear" w:color="auto" w:fill="auto"/>
          </w:tcPr>
          <w:p w14:paraId="0167F607" w14:textId="77777777" w:rsidR="008261D3" w:rsidRPr="00DA7D42" w:rsidRDefault="008261D3" w:rsidP="005F5C7C">
            <w:pPr>
              <w:pStyle w:val="TableHeading"/>
              <w:rPr>
                <w:b w:val="0"/>
                <w:szCs w:val="20"/>
              </w:rPr>
            </w:pPr>
            <w:r w:rsidRPr="00181E85">
              <w:rPr>
                <w:b w:val="0"/>
                <w:szCs w:val="20"/>
              </w:rPr>
              <w:lastRenderedPageBreak/>
              <w:t xml:space="preserve">Activity </w:t>
            </w:r>
            <w:r>
              <w:rPr>
                <w:b w:val="0"/>
                <w:szCs w:val="20"/>
              </w:rPr>
              <w:t>5</w:t>
            </w:r>
            <w:r w:rsidRPr="00181E85">
              <w:rPr>
                <w:b w:val="0"/>
                <w:szCs w:val="20"/>
              </w:rPr>
              <w:t xml:space="preserve"> –</w:t>
            </w:r>
            <w:r>
              <w:rPr>
                <w:b w:val="0"/>
                <w:szCs w:val="20"/>
              </w:rPr>
              <w:t xml:space="preserve"> Engaging recreational fishing and regional communities</w:t>
            </w:r>
          </w:p>
        </w:tc>
        <w:tc>
          <w:tcPr>
            <w:tcW w:w="533" w:type="pct"/>
            <w:shd w:val="clear" w:color="auto" w:fill="auto"/>
          </w:tcPr>
          <w:p w14:paraId="0C562D75" w14:textId="77777777" w:rsidR="008261D3" w:rsidRPr="001831E6" w:rsidRDefault="008261D3" w:rsidP="005F5C7C">
            <w:pPr>
              <w:pStyle w:val="TableHeading"/>
              <w:rPr>
                <w:b w:val="0"/>
                <w:szCs w:val="20"/>
              </w:rPr>
            </w:pPr>
            <w:r w:rsidRPr="001831E6">
              <w:rPr>
                <w:b w:val="0"/>
                <w:szCs w:val="20"/>
              </w:rPr>
              <w:t>Targeted engagement with recreational fishers</w:t>
            </w:r>
          </w:p>
        </w:tc>
        <w:tc>
          <w:tcPr>
            <w:tcW w:w="2074" w:type="pct"/>
            <w:shd w:val="clear" w:color="auto" w:fill="auto"/>
          </w:tcPr>
          <w:p w14:paraId="611A9CD9" w14:textId="77777777" w:rsidR="008261D3" w:rsidRPr="00F1468F" w:rsidRDefault="008261D3" w:rsidP="005F5C7C">
            <w:pPr>
              <w:pStyle w:val="TableHeading"/>
              <w:rPr>
                <w:b w:val="0"/>
                <w:i/>
                <w:szCs w:val="20"/>
              </w:rPr>
            </w:pPr>
            <w:r w:rsidRPr="00F1468F">
              <w:rPr>
                <w:b w:val="0"/>
                <w:i/>
                <w:szCs w:val="20"/>
              </w:rPr>
              <w:t xml:space="preserve">Collaboration and information exchange </w:t>
            </w:r>
          </w:p>
          <w:p w14:paraId="7E907FA6" w14:textId="1E708F1E" w:rsidR="008261D3" w:rsidRPr="001831E6" w:rsidRDefault="008261D3" w:rsidP="009C3D21">
            <w:pPr>
              <w:pStyle w:val="TableHeading"/>
              <w:rPr>
                <w:b w:val="0"/>
                <w:szCs w:val="20"/>
              </w:rPr>
            </w:pPr>
            <w:r w:rsidRPr="00F1468F">
              <w:rPr>
                <w:b w:val="0"/>
                <w:szCs w:val="20"/>
              </w:rPr>
              <w:t>Better engage recreational fishers with the MER Project in the Lower Murray Selected Area. Seek support from PIRSA Fisheries and Aquaculture and South Australian Recreational Fishing Council representative (Inland Fishery).</w:t>
            </w:r>
          </w:p>
        </w:tc>
        <w:tc>
          <w:tcPr>
            <w:tcW w:w="713" w:type="pct"/>
            <w:shd w:val="clear" w:color="auto" w:fill="auto"/>
          </w:tcPr>
          <w:p w14:paraId="087E0FF3" w14:textId="77777777" w:rsidR="008261D3" w:rsidRDefault="008261D3" w:rsidP="005F5C7C">
            <w:pPr>
              <w:pStyle w:val="TableHeading"/>
              <w:rPr>
                <w:b w:val="0"/>
                <w:szCs w:val="20"/>
              </w:rPr>
            </w:pPr>
            <w:r>
              <w:rPr>
                <w:b w:val="0"/>
                <w:szCs w:val="20"/>
              </w:rPr>
              <w:t>Targeted events during MER Project</w:t>
            </w:r>
          </w:p>
          <w:p w14:paraId="67368E81" w14:textId="77777777" w:rsidR="008261D3" w:rsidRPr="001831E6" w:rsidRDefault="008261D3" w:rsidP="005F5C7C">
            <w:pPr>
              <w:pStyle w:val="TableHeading"/>
              <w:rPr>
                <w:b w:val="0"/>
                <w:szCs w:val="20"/>
              </w:rPr>
            </w:pPr>
          </w:p>
        </w:tc>
        <w:tc>
          <w:tcPr>
            <w:tcW w:w="734" w:type="pct"/>
            <w:shd w:val="clear" w:color="auto" w:fill="auto"/>
          </w:tcPr>
          <w:p w14:paraId="3305D1AA" w14:textId="77777777" w:rsidR="008261D3" w:rsidRDefault="008261D3" w:rsidP="005F5C7C">
            <w:pPr>
              <w:pStyle w:val="TableHeading"/>
              <w:rPr>
                <w:b w:val="0"/>
                <w:szCs w:val="20"/>
              </w:rPr>
            </w:pPr>
            <w:r w:rsidRPr="00F1468F">
              <w:rPr>
                <w:b w:val="0"/>
                <w:szCs w:val="20"/>
              </w:rPr>
              <w:t>SARDI</w:t>
            </w:r>
          </w:p>
          <w:p w14:paraId="014948B1" w14:textId="77777777" w:rsidR="008261D3" w:rsidRPr="001831E6" w:rsidRDefault="008261D3" w:rsidP="005F5C7C">
            <w:pPr>
              <w:pStyle w:val="TableHeading"/>
              <w:rPr>
                <w:b w:val="0"/>
                <w:szCs w:val="20"/>
              </w:rPr>
            </w:pPr>
            <w:r>
              <w:rPr>
                <w:b w:val="0"/>
                <w:szCs w:val="20"/>
              </w:rPr>
              <w:t>(Supported by PIRSA Fisheries and Aquaculture and  SA Recreational Fishing Council; representative recreational fishers)</w:t>
            </w:r>
          </w:p>
        </w:tc>
      </w:tr>
      <w:tr w:rsidR="008261D3" w14:paraId="58ED6564" w14:textId="77777777" w:rsidTr="005F5C7C">
        <w:trPr>
          <w:cantSplit/>
          <w:trHeight w:val="175"/>
        </w:trPr>
        <w:tc>
          <w:tcPr>
            <w:tcW w:w="946" w:type="pct"/>
            <w:vMerge/>
            <w:shd w:val="clear" w:color="auto" w:fill="auto"/>
          </w:tcPr>
          <w:p w14:paraId="21E4E633" w14:textId="77777777" w:rsidR="008261D3" w:rsidRPr="00181E85" w:rsidRDefault="008261D3" w:rsidP="005F5C7C">
            <w:pPr>
              <w:pStyle w:val="TableHeading"/>
              <w:rPr>
                <w:b w:val="0"/>
                <w:szCs w:val="20"/>
              </w:rPr>
            </w:pPr>
          </w:p>
        </w:tc>
        <w:tc>
          <w:tcPr>
            <w:tcW w:w="533" w:type="pct"/>
            <w:shd w:val="clear" w:color="auto" w:fill="auto"/>
          </w:tcPr>
          <w:p w14:paraId="655FE819" w14:textId="77777777" w:rsidR="008261D3" w:rsidRPr="001831E6" w:rsidRDefault="008261D3" w:rsidP="005F5C7C">
            <w:pPr>
              <w:pStyle w:val="TableHeading"/>
              <w:rPr>
                <w:b w:val="0"/>
                <w:szCs w:val="20"/>
              </w:rPr>
            </w:pPr>
            <w:r>
              <w:rPr>
                <w:b w:val="0"/>
                <w:szCs w:val="20"/>
              </w:rPr>
              <w:t>Community Forum</w:t>
            </w:r>
          </w:p>
        </w:tc>
        <w:tc>
          <w:tcPr>
            <w:tcW w:w="2074" w:type="pct"/>
            <w:shd w:val="clear" w:color="auto" w:fill="auto"/>
          </w:tcPr>
          <w:p w14:paraId="2B58026A" w14:textId="77777777" w:rsidR="008261D3" w:rsidRPr="00A713D9" w:rsidRDefault="008261D3" w:rsidP="005F5C7C">
            <w:pPr>
              <w:pStyle w:val="TableText"/>
              <w:rPr>
                <w:rFonts w:eastAsia="Times New Roman"/>
                <w:i/>
                <w:iCs/>
              </w:rPr>
            </w:pPr>
            <w:r>
              <w:rPr>
                <w:i/>
                <w:iCs/>
              </w:rPr>
              <w:t>Present the outcomes and learnings from on the Lower Murray</w:t>
            </w:r>
            <w:r w:rsidRPr="00A713D9">
              <w:rPr>
                <w:i/>
                <w:iCs/>
              </w:rPr>
              <w:t xml:space="preserve"> MER Project</w:t>
            </w:r>
          </w:p>
          <w:p w14:paraId="6A617598" w14:textId="77777777" w:rsidR="008261D3" w:rsidRDefault="008261D3" w:rsidP="005F5C7C">
            <w:pPr>
              <w:pStyle w:val="TableHeading"/>
              <w:rPr>
                <w:b w:val="0"/>
                <w:i/>
                <w:szCs w:val="20"/>
              </w:rPr>
            </w:pPr>
            <w:r>
              <w:rPr>
                <w:b w:val="0"/>
                <w:i/>
                <w:szCs w:val="20"/>
              </w:rPr>
              <w:t>E.g. Fish and Flow Science Forum, Science in the Pub etc.</w:t>
            </w:r>
          </w:p>
          <w:p w14:paraId="37E9474C" w14:textId="77777777" w:rsidR="008261D3" w:rsidRPr="00F1468F" w:rsidRDefault="008261D3" w:rsidP="005F5C7C">
            <w:pPr>
              <w:pStyle w:val="TableHeading"/>
              <w:rPr>
                <w:b w:val="0"/>
                <w:i/>
                <w:szCs w:val="20"/>
              </w:rPr>
            </w:pPr>
          </w:p>
        </w:tc>
        <w:tc>
          <w:tcPr>
            <w:tcW w:w="713" w:type="pct"/>
            <w:shd w:val="clear" w:color="auto" w:fill="auto"/>
          </w:tcPr>
          <w:p w14:paraId="0B610ADA" w14:textId="77777777" w:rsidR="008261D3" w:rsidRPr="00A713D9" w:rsidRDefault="008261D3" w:rsidP="005F5C7C">
            <w:pPr>
              <w:pStyle w:val="TableText"/>
              <w:rPr>
                <w:szCs w:val="20"/>
              </w:rPr>
            </w:pPr>
            <w:r>
              <w:rPr>
                <w:szCs w:val="20"/>
              </w:rPr>
              <w:t>At least t</w:t>
            </w:r>
            <w:r w:rsidRPr="00A713D9">
              <w:rPr>
                <w:szCs w:val="20"/>
              </w:rPr>
              <w:t xml:space="preserve">wo </w:t>
            </w:r>
            <w:r>
              <w:rPr>
                <w:szCs w:val="20"/>
              </w:rPr>
              <w:t>during MER Project</w:t>
            </w:r>
          </w:p>
          <w:p w14:paraId="24E9F150" w14:textId="77777777" w:rsidR="008261D3" w:rsidRDefault="008261D3" w:rsidP="005F5C7C">
            <w:pPr>
              <w:pStyle w:val="TableHeading"/>
              <w:rPr>
                <w:b w:val="0"/>
                <w:szCs w:val="20"/>
              </w:rPr>
            </w:pPr>
          </w:p>
        </w:tc>
        <w:tc>
          <w:tcPr>
            <w:tcW w:w="734" w:type="pct"/>
            <w:shd w:val="clear" w:color="auto" w:fill="auto"/>
          </w:tcPr>
          <w:p w14:paraId="3DDB52AB" w14:textId="77777777" w:rsidR="008261D3" w:rsidRDefault="008261D3" w:rsidP="005F5C7C">
            <w:pPr>
              <w:pStyle w:val="TableHeading"/>
              <w:rPr>
                <w:b w:val="0"/>
                <w:szCs w:val="20"/>
              </w:rPr>
            </w:pPr>
            <w:r>
              <w:rPr>
                <w:b w:val="0"/>
                <w:szCs w:val="20"/>
              </w:rPr>
              <w:t>SARDI</w:t>
            </w:r>
          </w:p>
          <w:p w14:paraId="21FF4456" w14:textId="77777777" w:rsidR="008261D3" w:rsidRPr="00F1468F" w:rsidRDefault="008261D3" w:rsidP="005F5C7C">
            <w:pPr>
              <w:pStyle w:val="TableHeading"/>
              <w:rPr>
                <w:b w:val="0"/>
                <w:szCs w:val="20"/>
              </w:rPr>
            </w:pPr>
            <w:r>
              <w:rPr>
                <w:b w:val="0"/>
                <w:szCs w:val="20"/>
              </w:rPr>
              <w:t>(S</w:t>
            </w:r>
            <w:r w:rsidRPr="00E47CDA">
              <w:rPr>
                <w:b w:val="0"/>
                <w:szCs w:val="20"/>
              </w:rPr>
              <w:t>upported by CEWO and SAWG; b</w:t>
            </w:r>
            <w:r w:rsidRPr="00E47CDA">
              <w:rPr>
                <w:b w:val="0"/>
              </w:rPr>
              <w:t>roader range of interested parties and regional community)</w:t>
            </w:r>
          </w:p>
        </w:tc>
      </w:tr>
      <w:tr w:rsidR="008261D3" w14:paraId="3579922C" w14:textId="77777777" w:rsidTr="005F5C7C">
        <w:trPr>
          <w:cantSplit/>
          <w:trHeight w:val="175"/>
        </w:trPr>
        <w:tc>
          <w:tcPr>
            <w:tcW w:w="946" w:type="pct"/>
            <w:shd w:val="clear" w:color="auto" w:fill="auto"/>
          </w:tcPr>
          <w:p w14:paraId="2657987A" w14:textId="19F7627A" w:rsidR="008261D3" w:rsidRPr="00181E85" w:rsidRDefault="008261D3" w:rsidP="005F5C7C">
            <w:pPr>
              <w:pStyle w:val="TableHeading"/>
              <w:rPr>
                <w:b w:val="0"/>
                <w:szCs w:val="20"/>
              </w:rPr>
            </w:pPr>
            <w:r w:rsidRPr="00181E85">
              <w:rPr>
                <w:b w:val="0"/>
                <w:szCs w:val="20"/>
              </w:rPr>
              <w:t>Activity 6 – Practitioner Forum/workshops/gatherings</w:t>
            </w:r>
          </w:p>
        </w:tc>
        <w:tc>
          <w:tcPr>
            <w:tcW w:w="533" w:type="pct"/>
            <w:shd w:val="clear" w:color="auto" w:fill="auto"/>
          </w:tcPr>
          <w:p w14:paraId="0981506C" w14:textId="77777777" w:rsidR="008261D3" w:rsidRPr="001831E6" w:rsidRDefault="008261D3" w:rsidP="005F5C7C">
            <w:pPr>
              <w:pStyle w:val="TableHeading"/>
              <w:rPr>
                <w:b w:val="0"/>
                <w:szCs w:val="20"/>
              </w:rPr>
            </w:pPr>
            <w:r>
              <w:rPr>
                <w:b w:val="0"/>
                <w:szCs w:val="20"/>
              </w:rPr>
              <w:t>Participate and contribute to Practitioner Forum</w:t>
            </w:r>
          </w:p>
        </w:tc>
        <w:tc>
          <w:tcPr>
            <w:tcW w:w="2074" w:type="pct"/>
            <w:shd w:val="clear" w:color="auto" w:fill="auto"/>
          </w:tcPr>
          <w:p w14:paraId="40F6F961" w14:textId="77777777" w:rsidR="008261D3" w:rsidRDefault="008261D3" w:rsidP="005F5C7C">
            <w:pPr>
              <w:pStyle w:val="TableHeading"/>
              <w:rPr>
                <w:b w:val="0"/>
                <w:i/>
                <w:szCs w:val="20"/>
              </w:rPr>
            </w:pPr>
            <w:r>
              <w:rPr>
                <w:b w:val="0"/>
                <w:i/>
                <w:szCs w:val="20"/>
              </w:rPr>
              <w:t>Improved engagement with practitioners of environmental water management and river operators.</w:t>
            </w:r>
          </w:p>
          <w:p w14:paraId="5DC9D647" w14:textId="77777777" w:rsidR="008261D3" w:rsidRPr="005D015E" w:rsidRDefault="008261D3" w:rsidP="005F5C7C">
            <w:pPr>
              <w:pStyle w:val="TableHeading"/>
              <w:rPr>
                <w:b w:val="0"/>
                <w:szCs w:val="20"/>
              </w:rPr>
            </w:pPr>
            <w:r w:rsidRPr="005D015E">
              <w:rPr>
                <w:b w:val="0"/>
                <w:szCs w:val="20"/>
              </w:rPr>
              <w:t>Attend annual forum and present MER outcomes and learnings to support environmental water planning and adaptive management</w:t>
            </w:r>
          </w:p>
        </w:tc>
        <w:tc>
          <w:tcPr>
            <w:tcW w:w="713" w:type="pct"/>
            <w:shd w:val="clear" w:color="auto" w:fill="auto"/>
          </w:tcPr>
          <w:p w14:paraId="232E4C0B" w14:textId="77777777" w:rsidR="008261D3" w:rsidRDefault="008261D3" w:rsidP="005F5C7C">
            <w:pPr>
              <w:pStyle w:val="TableHeading"/>
              <w:rPr>
                <w:b w:val="0"/>
                <w:szCs w:val="20"/>
              </w:rPr>
            </w:pPr>
            <w:r>
              <w:rPr>
                <w:b w:val="0"/>
                <w:szCs w:val="20"/>
              </w:rPr>
              <w:t>Annually</w:t>
            </w:r>
          </w:p>
        </w:tc>
        <w:tc>
          <w:tcPr>
            <w:tcW w:w="734" w:type="pct"/>
            <w:shd w:val="clear" w:color="auto" w:fill="auto"/>
          </w:tcPr>
          <w:p w14:paraId="42280B34" w14:textId="77777777" w:rsidR="008261D3" w:rsidRDefault="008261D3" w:rsidP="005F5C7C">
            <w:pPr>
              <w:pStyle w:val="TableHeading"/>
              <w:rPr>
                <w:b w:val="0"/>
                <w:szCs w:val="20"/>
              </w:rPr>
            </w:pPr>
            <w:r>
              <w:rPr>
                <w:b w:val="0"/>
                <w:szCs w:val="20"/>
              </w:rPr>
              <w:t>Basin-scale Provider</w:t>
            </w:r>
          </w:p>
          <w:p w14:paraId="15428F21" w14:textId="77777777" w:rsidR="008261D3" w:rsidRPr="00F1468F" w:rsidRDefault="008261D3" w:rsidP="005F5C7C">
            <w:pPr>
              <w:pStyle w:val="TableHeading"/>
              <w:rPr>
                <w:b w:val="0"/>
                <w:szCs w:val="20"/>
              </w:rPr>
            </w:pPr>
            <w:r>
              <w:rPr>
                <w:b w:val="0"/>
                <w:szCs w:val="20"/>
              </w:rPr>
              <w:t>(Selected Area teams, at least 2  from Lower Murray)</w:t>
            </w:r>
          </w:p>
        </w:tc>
      </w:tr>
    </w:tbl>
    <w:p w14:paraId="6F2F2EC5" w14:textId="39E1FFDE" w:rsidR="00DC5550" w:rsidRPr="004A47FA" w:rsidRDefault="00E85B05" w:rsidP="00F02673">
      <w:pPr>
        <w:rPr>
          <w:sz w:val="18"/>
          <w:szCs w:val="18"/>
        </w:rPr>
      </w:pPr>
      <w:r w:rsidRPr="004A47FA">
        <w:rPr>
          <w:sz w:val="18"/>
          <w:szCs w:val="18"/>
        </w:rPr>
        <w:t xml:space="preserve">*Subject to funding approval </w:t>
      </w:r>
      <w:r w:rsidR="004A47FA" w:rsidRPr="004A47FA">
        <w:rPr>
          <w:sz w:val="18"/>
          <w:szCs w:val="18"/>
        </w:rPr>
        <w:t xml:space="preserve">by CEWO </w:t>
      </w:r>
      <w:r w:rsidRPr="004A47FA">
        <w:rPr>
          <w:sz w:val="18"/>
          <w:szCs w:val="18"/>
        </w:rPr>
        <w:t>f</w:t>
      </w:r>
      <w:r w:rsidR="004A47FA" w:rsidRPr="004A47FA">
        <w:rPr>
          <w:sz w:val="18"/>
          <w:szCs w:val="18"/>
        </w:rPr>
        <w:t>or Engagement and Communication funding.</w:t>
      </w:r>
      <w:r w:rsidR="00DC5550" w:rsidRPr="004A47FA">
        <w:rPr>
          <w:sz w:val="18"/>
          <w:szCs w:val="18"/>
        </w:rPr>
        <w:br w:type="page"/>
      </w:r>
    </w:p>
    <w:p w14:paraId="00222F7C" w14:textId="77777777" w:rsidR="00DC5550" w:rsidRDefault="00DC5550" w:rsidP="00475425">
      <w:pPr>
        <w:pStyle w:val="Heading2"/>
        <w:rPr>
          <w:highlight w:val="yellow"/>
        </w:rPr>
        <w:sectPr w:rsidR="00DC5550" w:rsidSect="003F6444">
          <w:pgSz w:w="16840" w:h="11900" w:orient="landscape" w:code="9"/>
          <w:pgMar w:top="1440" w:right="1440" w:bottom="1440" w:left="1440" w:header="709" w:footer="709" w:gutter="0"/>
          <w:cols w:space="708"/>
          <w:docGrid w:linePitch="360"/>
        </w:sectPr>
      </w:pPr>
    </w:p>
    <w:p w14:paraId="3A845B86" w14:textId="77777777" w:rsidR="00DC5550" w:rsidRDefault="00DC5550" w:rsidP="00475425">
      <w:pPr>
        <w:pStyle w:val="Heading2"/>
      </w:pPr>
      <w:bookmarkStart w:id="299" w:name="_Ref10119735"/>
      <w:bookmarkStart w:id="300" w:name="_Toc22196739"/>
      <w:r w:rsidRPr="00DC5550">
        <w:lastRenderedPageBreak/>
        <w:t>Se</w:t>
      </w:r>
      <w:r>
        <w:t xml:space="preserve">lected </w:t>
      </w:r>
      <w:r w:rsidR="005D39BE">
        <w:t>Area Working Group</w:t>
      </w:r>
      <w:bookmarkEnd w:id="299"/>
      <w:bookmarkEnd w:id="300"/>
    </w:p>
    <w:p w14:paraId="02B7F55B" w14:textId="77777777" w:rsidR="00663625" w:rsidRPr="00E2798E" w:rsidRDefault="007D6195" w:rsidP="00475425">
      <w:pPr>
        <w:pStyle w:val="Heading3"/>
        <w:rPr>
          <w:rStyle w:val="Heading4Char"/>
          <w:b/>
          <w:bCs/>
          <w:iCs w:val="0"/>
          <w:u w:val="none"/>
        </w:rPr>
      </w:pPr>
      <w:bookmarkStart w:id="301" w:name="_Toc22196740"/>
      <w:r w:rsidRPr="00E2798E">
        <w:rPr>
          <w:rStyle w:val="Heading4Char"/>
          <w:b/>
          <w:bCs/>
          <w:iCs w:val="0"/>
          <w:u w:val="none"/>
        </w:rPr>
        <w:t>Purpose</w:t>
      </w:r>
      <w:bookmarkEnd w:id="301"/>
    </w:p>
    <w:p w14:paraId="3257C52E" w14:textId="20B8D333" w:rsidR="009E5C77" w:rsidRDefault="009E5C77" w:rsidP="009E5C77">
      <w:r w:rsidRPr="00A973FF">
        <w:t xml:space="preserve">The Selected Area Working Group for the Lower Murray will provide a forum for the exchange of information and intelligence that supports the implementation of the </w:t>
      </w:r>
      <w:r w:rsidRPr="0059562E">
        <w:t>MER</w:t>
      </w:r>
      <w:r w:rsidRPr="00A973FF">
        <w:t xml:space="preserve"> Project, through effective coordination of environmental watering and monitoring</w:t>
      </w:r>
      <w:r>
        <w:t xml:space="preserve">, </w:t>
      </w:r>
      <w:r w:rsidRPr="00A973FF">
        <w:t>evaluation</w:t>
      </w:r>
      <w:r>
        <w:t xml:space="preserve"> and research</w:t>
      </w:r>
      <w:r w:rsidRPr="00A973FF">
        <w:t>.</w:t>
      </w:r>
    </w:p>
    <w:p w14:paraId="1BDD9C64" w14:textId="77777777" w:rsidR="00663625" w:rsidRPr="00E2798E" w:rsidRDefault="007D6195" w:rsidP="00475425">
      <w:pPr>
        <w:pStyle w:val="Heading3"/>
        <w:rPr>
          <w:rStyle w:val="Heading4Char"/>
          <w:b/>
          <w:bCs/>
          <w:iCs w:val="0"/>
          <w:u w:val="none"/>
        </w:rPr>
      </w:pPr>
      <w:bookmarkStart w:id="302" w:name="_Toc22196741"/>
      <w:r w:rsidRPr="00E2798E">
        <w:rPr>
          <w:rStyle w:val="Heading4Char"/>
          <w:b/>
          <w:bCs/>
          <w:iCs w:val="0"/>
          <w:u w:val="none"/>
        </w:rPr>
        <w:t>Authority</w:t>
      </w:r>
      <w:bookmarkEnd w:id="302"/>
    </w:p>
    <w:p w14:paraId="1B3645B8" w14:textId="77777777" w:rsidR="009E5C77" w:rsidRDefault="009E5C77" w:rsidP="009E5C77">
      <w:r w:rsidRPr="00A973FF">
        <w:t xml:space="preserve">The </w:t>
      </w:r>
      <w:r>
        <w:t>Selected Area</w:t>
      </w:r>
      <w:r w:rsidRPr="00A973FF">
        <w:t xml:space="preserve"> Working Group will be organised, operated and Chaired by </w:t>
      </w:r>
      <w:r>
        <w:t xml:space="preserve">Project Leader, A/Professor Qifeng Ye </w:t>
      </w:r>
      <w:r w:rsidRPr="00A973FF">
        <w:t>(</w:t>
      </w:r>
      <w:r>
        <w:t>MER</w:t>
      </w:r>
      <w:r w:rsidRPr="00A973FF">
        <w:t xml:space="preserve"> Provider), under the Terms of Reference approved by </w:t>
      </w:r>
      <w:r>
        <w:t>CEWO</w:t>
      </w:r>
      <w:r w:rsidRPr="00A973FF">
        <w:t>.</w:t>
      </w:r>
    </w:p>
    <w:p w14:paraId="0C1D633D" w14:textId="77777777" w:rsidR="009E5C77" w:rsidRDefault="009E5C77" w:rsidP="009E5C77">
      <w:r w:rsidRPr="00A973FF">
        <w:t xml:space="preserve">The Working Group has no executive powers, supervisory functions or decision-making authority in relation to the </w:t>
      </w:r>
      <w:r w:rsidRPr="0059562E">
        <w:t>MER</w:t>
      </w:r>
      <w:r w:rsidRPr="00A973FF">
        <w:t xml:space="preserve"> Project. It is an operational group tasked with a general support and advisory role.</w:t>
      </w:r>
    </w:p>
    <w:p w14:paraId="78CD5B9C" w14:textId="77777777" w:rsidR="00663625" w:rsidRPr="00E2798E" w:rsidRDefault="007D6195" w:rsidP="00475425">
      <w:pPr>
        <w:pStyle w:val="Heading3"/>
        <w:rPr>
          <w:rStyle w:val="Heading4Char"/>
          <w:b/>
          <w:bCs/>
          <w:iCs w:val="0"/>
          <w:u w:val="none"/>
        </w:rPr>
      </w:pPr>
      <w:bookmarkStart w:id="303" w:name="_Toc22196742"/>
      <w:r w:rsidRPr="00E2798E">
        <w:rPr>
          <w:rStyle w:val="Heading4Char"/>
          <w:b/>
          <w:bCs/>
          <w:iCs w:val="0"/>
          <w:u w:val="none"/>
        </w:rPr>
        <w:t>Objectives</w:t>
      </w:r>
      <w:bookmarkEnd w:id="303"/>
    </w:p>
    <w:p w14:paraId="6A5BBF27" w14:textId="77777777" w:rsidR="00381D7D" w:rsidRDefault="00381D7D" w:rsidP="00381D7D">
      <w:r w:rsidRPr="00A973FF">
        <w:t xml:space="preserve">The </w:t>
      </w:r>
      <w:r w:rsidRPr="00A430C7">
        <w:t xml:space="preserve">Selected Area Working Group </w:t>
      </w:r>
      <w:r w:rsidRPr="00A973FF">
        <w:t>will facilitate:</w:t>
      </w:r>
    </w:p>
    <w:p w14:paraId="5CC12D22" w14:textId="77777777" w:rsidR="00381D7D" w:rsidRPr="00A21FD0" w:rsidRDefault="00381D7D" w:rsidP="00381D7D">
      <w:pPr>
        <w:pStyle w:val="ListBullet"/>
      </w:pPr>
      <w:r>
        <w:t>E</w:t>
      </w:r>
      <w:r w:rsidRPr="00A21FD0">
        <w:t>ffective coordination between environmental water delivery partners and other relevant monitoring and evaluation projects</w:t>
      </w:r>
    </w:p>
    <w:p w14:paraId="79ED55C1" w14:textId="77777777" w:rsidR="00381D7D" w:rsidRPr="00A21FD0" w:rsidRDefault="00381D7D" w:rsidP="00381D7D">
      <w:pPr>
        <w:pStyle w:val="ListBullet"/>
      </w:pPr>
      <w:r>
        <w:t>C</w:t>
      </w:r>
      <w:r w:rsidRPr="00A21FD0">
        <w:t>ommunication to environmental water managers of any information that would improve environmental water management</w:t>
      </w:r>
    </w:p>
    <w:p w14:paraId="20FFB63D" w14:textId="77777777" w:rsidR="00381D7D" w:rsidRPr="00A21FD0" w:rsidRDefault="00381D7D" w:rsidP="00381D7D">
      <w:pPr>
        <w:pStyle w:val="ListBullet"/>
      </w:pPr>
      <w:r>
        <w:t>E</w:t>
      </w:r>
      <w:r w:rsidRPr="00A21FD0">
        <w:t xml:space="preserve">xchange of information and intelligence relevant to improving the implementation of the </w:t>
      </w:r>
      <w:r w:rsidRPr="0059562E">
        <w:t>MER</w:t>
      </w:r>
      <w:r w:rsidRPr="00A21FD0">
        <w:t xml:space="preserve"> Project a</w:t>
      </w:r>
      <w:r>
        <w:t>nd</w:t>
      </w:r>
      <w:r w:rsidRPr="00A21FD0">
        <w:t xml:space="preserve"> the efficacy of environmental watering activities</w:t>
      </w:r>
      <w:r>
        <w:t>,</w:t>
      </w:r>
      <w:r w:rsidRPr="00A21FD0">
        <w:t xml:space="preserve"> to support adaptive management on both </w:t>
      </w:r>
      <w:r>
        <w:t xml:space="preserve">a </w:t>
      </w:r>
      <w:r w:rsidRPr="00A21FD0">
        <w:t>short-term (preliminary observations during watering events) and longer-term (evaluation outcomes)</w:t>
      </w:r>
      <w:r>
        <w:t xml:space="preserve"> basis</w:t>
      </w:r>
    </w:p>
    <w:p w14:paraId="0CFF1602" w14:textId="77777777" w:rsidR="00381D7D" w:rsidRPr="00A21FD0" w:rsidRDefault="00381D7D" w:rsidP="00381D7D">
      <w:pPr>
        <w:pStyle w:val="ListBullet"/>
      </w:pPr>
      <w:r>
        <w:t>T</w:t>
      </w:r>
      <w:r w:rsidRPr="00A21FD0">
        <w:t xml:space="preserve">he identification, communication and management of any issues, risks or opportunities relevant to the </w:t>
      </w:r>
      <w:r w:rsidRPr="0059562E">
        <w:t>MER</w:t>
      </w:r>
      <w:r w:rsidRPr="00A21FD0">
        <w:t xml:space="preserve"> Project.</w:t>
      </w:r>
    </w:p>
    <w:p w14:paraId="6E05A3BF" w14:textId="77777777" w:rsidR="00663625" w:rsidRPr="00E2798E" w:rsidRDefault="007D6195" w:rsidP="00475425">
      <w:pPr>
        <w:pStyle w:val="Heading3"/>
        <w:rPr>
          <w:rStyle w:val="Heading4Char"/>
          <w:b/>
          <w:bCs/>
          <w:iCs w:val="0"/>
          <w:u w:val="none"/>
        </w:rPr>
      </w:pPr>
      <w:bookmarkStart w:id="304" w:name="_Toc22196743"/>
      <w:r w:rsidRPr="00E2798E">
        <w:rPr>
          <w:rStyle w:val="Heading4Char"/>
          <w:b/>
          <w:bCs/>
          <w:iCs w:val="0"/>
          <w:u w:val="none"/>
        </w:rPr>
        <w:t>Membership</w:t>
      </w:r>
      <w:bookmarkEnd w:id="304"/>
    </w:p>
    <w:p w14:paraId="712FB760" w14:textId="77777777" w:rsidR="00381D7D" w:rsidRDefault="00381D7D" w:rsidP="00381D7D">
      <w:bookmarkStart w:id="305" w:name="_Ref10123610"/>
      <w:bookmarkStart w:id="306" w:name="_Toc381086845"/>
      <w:bookmarkStart w:id="307" w:name="_Toc381380600"/>
      <w:r w:rsidRPr="00A973FF">
        <w:t xml:space="preserve">The </w:t>
      </w:r>
      <w:r w:rsidRPr="00A430C7">
        <w:t xml:space="preserve">Selected Area </w:t>
      </w:r>
      <w:r w:rsidRPr="00A973FF">
        <w:t xml:space="preserve">Working Group includes </w:t>
      </w:r>
      <w:r>
        <w:t xml:space="preserve">organisations </w:t>
      </w:r>
      <w:r w:rsidRPr="00A973FF">
        <w:t>involved in environmental water planning and delivery</w:t>
      </w:r>
      <w:r>
        <w:t>, which are directly or</w:t>
      </w:r>
      <w:r w:rsidRPr="00A973FF">
        <w:t xml:space="preserve"> indirectly responsible for </w:t>
      </w:r>
      <w:r>
        <w:t>the successful delivery of</w:t>
      </w:r>
      <w:r w:rsidRPr="00A973FF">
        <w:t xml:space="preserve"> the </w:t>
      </w:r>
      <w:r w:rsidRPr="000F53E7">
        <w:t>Lower Murray</w:t>
      </w:r>
      <w:r>
        <w:t xml:space="preserve"> Selected Area</w:t>
      </w:r>
      <w:r w:rsidRPr="00A973FF">
        <w:t xml:space="preserve"> </w:t>
      </w:r>
      <w:r w:rsidRPr="0059562E">
        <w:t>MER</w:t>
      </w:r>
      <w:r w:rsidRPr="00A973FF">
        <w:t xml:space="preserve"> Project</w:t>
      </w:r>
      <w:r>
        <w:t xml:space="preserve">. </w:t>
      </w:r>
    </w:p>
    <w:p w14:paraId="4E9ADD2D" w14:textId="77777777" w:rsidR="00381D7D" w:rsidRDefault="00381D7D" w:rsidP="00381D7D">
      <w:r w:rsidRPr="00A973FF">
        <w:t xml:space="preserve">The Working Group comprises the following members who have been nominated by the </w:t>
      </w:r>
      <w:r>
        <w:t>Project Leader</w:t>
      </w:r>
      <w:r w:rsidRPr="00A973FF">
        <w:t xml:space="preserve"> and agreed to by </w:t>
      </w:r>
      <w:r>
        <w:t>CEWO</w:t>
      </w:r>
      <w:r w:rsidRPr="00A973FF">
        <w:t>:</w:t>
      </w:r>
    </w:p>
    <w:p w14:paraId="6AECC913" w14:textId="0E74F85C" w:rsidR="00443EDA" w:rsidRDefault="0083048A" w:rsidP="00704F9F">
      <w:pPr>
        <w:pStyle w:val="TableCaption"/>
      </w:pPr>
      <w:bookmarkStart w:id="308" w:name="_Ref10205628"/>
      <w:bookmarkStart w:id="309" w:name="_Toc12630258"/>
      <w:r>
        <w:t xml:space="preserve">Table </w:t>
      </w:r>
      <w:r w:rsidR="00A8252A">
        <w:rPr>
          <w:noProof/>
        </w:rPr>
        <w:fldChar w:fldCharType="begin"/>
      </w:r>
      <w:r w:rsidR="00A8252A">
        <w:rPr>
          <w:noProof/>
        </w:rPr>
        <w:instrText xml:space="preserve"> STYLEREF 1 \s </w:instrText>
      </w:r>
      <w:r w:rsidR="00A8252A">
        <w:rPr>
          <w:noProof/>
        </w:rPr>
        <w:fldChar w:fldCharType="separate"/>
      </w:r>
      <w:r w:rsidR="00DF49CD">
        <w:rPr>
          <w:noProof/>
        </w:rPr>
        <w:t>8</w:t>
      </w:r>
      <w:r w:rsidR="00A8252A">
        <w:rPr>
          <w:noProof/>
        </w:rPr>
        <w:fldChar w:fldCharType="end"/>
      </w:r>
      <w:r w:rsidR="00F359A2">
        <w:t>.</w:t>
      </w:r>
      <w:r w:rsidR="00A8252A">
        <w:rPr>
          <w:noProof/>
        </w:rPr>
        <w:fldChar w:fldCharType="begin"/>
      </w:r>
      <w:r w:rsidR="00A8252A">
        <w:rPr>
          <w:noProof/>
        </w:rPr>
        <w:instrText xml:space="preserve"> SEQ Table \* ARABIC \s 1 </w:instrText>
      </w:r>
      <w:r w:rsidR="00A8252A">
        <w:rPr>
          <w:noProof/>
        </w:rPr>
        <w:fldChar w:fldCharType="separate"/>
      </w:r>
      <w:r w:rsidR="00DF49CD">
        <w:rPr>
          <w:noProof/>
        </w:rPr>
        <w:t>6</w:t>
      </w:r>
      <w:r w:rsidR="00A8252A">
        <w:rPr>
          <w:noProof/>
        </w:rPr>
        <w:fldChar w:fldCharType="end"/>
      </w:r>
      <w:bookmarkEnd w:id="305"/>
      <w:bookmarkEnd w:id="308"/>
      <w:r w:rsidR="00E2798E">
        <w:t>.</w:t>
      </w:r>
      <w:r w:rsidR="00E2798E">
        <w:tab/>
      </w:r>
      <w:r w:rsidR="005D39BE" w:rsidRPr="0083048A">
        <w:t>Membership of the Selected Area Working Group</w:t>
      </w:r>
      <w:bookmarkEnd w:id="306"/>
      <w:bookmarkEnd w:id="307"/>
      <w:bookmarkEnd w:id="30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93"/>
        <w:gridCol w:w="3969"/>
        <w:gridCol w:w="3402"/>
      </w:tblGrid>
      <w:tr w:rsidR="009E5C77" w:rsidRPr="00A2729E" w14:paraId="0E8A1C01" w14:textId="77777777" w:rsidTr="009C3D21">
        <w:trPr>
          <w:cantSplit/>
          <w:tblHeader/>
        </w:trPr>
        <w:tc>
          <w:tcPr>
            <w:tcW w:w="2093" w:type="dxa"/>
            <w:shd w:val="clear" w:color="auto" w:fill="BFBFBF"/>
            <w:tcMar>
              <w:top w:w="0" w:type="dxa"/>
              <w:left w:w="108" w:type="dxa"/>
              <w:bottom w:w="0" w:type="dxa"/>
              <w:right w:w="108" w:type="dxa"/>
            </w:tcMar>
            <w:hideMark/>
          </w:tcPr>
          <w:p w14:paraId="2F7CA284" w14:textId="77777777" w:rsidR="009E5C77" w:rsidRPr="00A2729E" w:rsidRDefault="009E5C77" w:rsidP="0026623C">
            <w:pPr>
              <w:pStyle w:val="TableHeading"/>
              <w:spacing w:line="276" w:lineRule="auto"/>
              <w:rPr>
                <w:rFonts w:cstheme="minorHAnsi"/>
                <w:szCs w:val="20"/>
              </w:rPr>
            </w:pPr>
            <w:r w:rsidRPr="00A2729E">
              <w:rPr>
                <w:rFonts w:cstheme="minorHAnsi"/>
                <w:szCs w:val="20"/>
              </w:rPr>
              <w:t>Name</w:t>
            </w:r>
          </w:p>
        </w:tc>
        <w:tc>
          <w:tcPr>
            <w:tcW w:w="3969" w:type="dxa"/>
            <w:shd w:val="clear" w:color="auto" w:fill="BFBFBF"/>
            <w:tcMar>
              <w:top w:w="0" w:type="dxa"/>
              <w:left w:w="108" w:type="dxa"/>
              <w:bottom w:w="0" w:type="dxa"/>
              <w:right w:w="108" w:type="dxa"/>
            </w:tcMar>
            <w:hideMark/>
          </w:tcPr>
          <w:p w14:paraId="5B736769" w14:textId="77777777" w:rsidR="009E5C77" w:rsidRPr="00A2729E" w:rsidRDefault="009E5C77" w:rsidP="0026623C">
            <w:pPr>
              <w:pStyle w:val="TableHeading"/>
              <w:spacing w:line="276" w:lineRule="auto"/>
              <w:rPr>
                <w:rFonts w:cstheme="minorHAnsi"/>
                <w:szCs w:val="20"/>
              </w:rPr>
            </w:pPr>
            <w:r w:rsidRPr="00A2729E">
              <w:rPr>
                <w:rFonts w:cstheme="minorHAnsi"/>
                <w:szCs w:val="20"/>
              </w:rPr>
              <w:t>Agency/position</w:t>
            </w:r>
          </w:p>
        </w:tc>
        <w:tc>
          <w:tcPr>
            <w:tcW w:w="3402" w:type="dxa"/>
            <w:shd w:val="clear" w:color="auto" w:fill="BFBFBF"/>
            <w:tcMar>
              <w:top w:w="0" w:type="dxa"/>
              <w:left w:w="108" w:type="dxa"/>
              <w:bottom w:w="0" w:type="dxa"/>
              <w:right w:w="108" w:type="dxa"/>
            </w:tcMar>
            <w:hideMark/>
          </w:tcPr>
          <w:p w14:paraId="75530F97" w14:textId="77777777" w:rsidR="009E5C77" w:rsidRPr="00A2729E" w:rsidRDefault="009E5C77" w:rsidP="0026623C">
            <w:pPr>
              <w:pStyle w:val="TableHeading"/>
              <w:spacing w:line="276" w:lineRule="auto"/>
              <w:rPr>
                <w:rFonts w:cstheme="minorHAnsi"/>
                <w:szCs w:val="20"/>
              </w:rPr>
            </w:pPr>
            <w:r w:rsidRPr="00A2729E">
              <w:rPr>
                <w:rFonts w:cstheme="minorHAnsi"/>
                <w:szCs w:val="20"/>
              </w:rPr>
              <w:t>Role</w:t>
            </w:r>
          </w:p>
        </w:tc>
      </w:tr>
      <w:tr w:rsidR="009E5C77" w:rsidRPr="00A2729E" w14:paraId="2C161658" w14:textId="77777777" w:rsidTr="009C3D21">
        <w:trPr>
          <w:cantSplit/>
        </w:trPr>
        <w:tc>
          <w:tcPr>
            <w:tcW w:w="2093" w:type="dxa"/>
            <w:tcMar>
              <w:top w:w="0" w:type="dxa"/>
              <w:left w:w="108" w:type="dxa"/>
              <w:bottom w:w="0" w:type="dxa"/>
              <w:right w:w="108" w:type="dxa"/>
            </w:tcMar>
            <w:hideMark/>
          </w:tcPr>
          <w:p w14:paraId="6361077C"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Qifeng Ye</w:t>
            </w:r>
          </w:p>
        </w:tc>
        <w:tc>
          <w:tcPr>
            <w:tcW w:w="3969" w:type="dxa"/>
            <w:tcMar>
              <w:top w:w="0" w:type="dxa"/>
              <w:left w:w="108" w:type="dxa"/>
              <w:bottom w:w="0" w:type="dxa"/>
              <w:right w:w="108" w:type="dxa"/>
            </w:tcMar>
            <w:hideMark/>
          </w:tcPr>
          <w:p w14:paraId="1C6917EF" w14:textId="5BC8443A" w:rsidR="009E5C77" w:rsidRPr="00A2729E" w:rsidRDefault="009E5C77" w:rsidP="00895587">
            <w:pPr>
              <w:pStyle w:val="TableText"/>
              <w:spacing w:line="276" w:lineRule="auto"/>
              <w:rPr>
                <w:rFonts w:cstheme="minorHAnsi"/>
                <w:szCs w:val="20"/>
                <w:lang w:val="en-US"/>
              </w:rPr>
            </w:pPr>
            <w:r w:rsidRPr="00A2729E">
              <w:rPr>
                <w:rFonts w:cstheme="minorHAnsi"/>
                <w:b/>
                <w:bCs/>
                <w:szCs w:val="20"/>
                <w:lang w:val="en-US"/>
              </w:rPr>
              <w:t>SARDI</w:t>
            </w:r>
            <w:r w:rsidRPr="00A2729E">
              <w:rPr>
                <w:rFonts w:cstheme="minorHAnsi"/>
                <w:szCs w:val="20"/>
                <w:lang w:val="en-US"/>
              </w:rPr>
              <w:t xml:space="preserve"> – Lower Murray Selected Area lead organisation </w:t>
            </w:r>
          </w:p>
        </w:tc>
        <w:tc>
          <w:tcPr>
            <w:tcW w:w="3402" w:type="dxa"/>
            <w:tcMar>
              <w:top w:w="0" w:type="dxa"/>
              <w:left w:w="108" w:type="dxa"/>
              <w:bottom w:w="0" w:type="dxa"/>
              <w:right w:w="108" w:type="dxa"/>
            </w:tcMar>
            <w:hideMark/>
          </w:tcPr>
          <w:p w14:paraId="06C7F748"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Working Group Chair</w:t>
            </w:r>
          </w:p>
          <w:p w14:paraId="40663543"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Project Leader – MER Lower Murray</w:t>
            </w:r>
          </w:p>
        </w:tc>
      </w:tr>
      <w:tr w:rsidR="009E5C77" w:rsidRPr="00A2729E" w14:paraId="6556691D" w14:textId="77777777" w:rsidTr="009C3D21">
        <w:trPr>
          <w:cantSplit/>
        </w:trPr>
        <w:tc>
          <w:tcPr>
            <w:tcW w:w="2093" w:type="dxa"/>
            <w:tcMar>
              <w:top w:w="0" w:type="dxa"/>
              <w:left w:w="108" w:type="dxa"/>
              <w:bottom w:w="0" w:type="dxa"/>
              <w:right w:w="108" w:type="dxa"/>
            </w:tcMar>
          </w:tcPr>
          <w:p w14:paraId="666400FD" w14:textId="77777777" w:rsidR="009E5C77" w:rsidRPr="00A2729E" w:rsidRDefault="009E5C77" w:rsidP="0026623C">
            <w:pPr>
              <w:pStyle w:val="TableText"/>
              <w:spacing w:line="276" w:lineRule="auto"/>
              <w:rPr>
                <w:rFonts w:cstheme="minorHAnsi"/>
                <w:szCs w:val="20"/>
                <w:lang w:val="en-US"/>
              </w:rPr>
            </w:pPr>
            <w:r>
              <w:rPr>
                <w:rFonts w:cstheme="minorHAnsi"/>
                <w:szCs w:val="20"/>
                <w:lang w:val="en-US"/>
              </w:rPr>
              <w:t>George Giatas</w:t>
            </w:r>
          </w:p>
        </w:tc>
        <w:tc>
          <w:tcPr>
            <w:tcW w:w="3969" w:type="dxa"/>
            <w:tcMar>
              <w:top w:w="0" w:type="dxa"/>
              <w:left w:w="108" w:type="dxa"/>
              <w:bottom w:w="0" w:type="dxa"/>
              <w:right w:w="108" w:type="dxa"/>
            </w:tcMar>
          </w:tcPr>
          <w:p w14:paraId="2586CDA4" w14:textId="2CEE4953" w:rsidR="009E5C77" w:rsidRPr="00A2729E" w:rsidRDefault="009E5C77" w:rsidP="00895587">
            <w:pPr>
              <w:pStyle w:val="TableText"/>
              <w:spacing w:line="276" w:lineRule="auto"/>
              <w:rPr>
                <w:rFonts w:cstheme="minorHAnsi"/>
                <w:b/>
                <w:bCs/>
                <w:szCs w:val="20"/>
                <w:lang w:val="en-US"/>
              </w:rPr>
            </w:pPr>
            <w:r w:rsidRPr="00A2729E">
              <w:rPr>
                <w:rFonts w:cstheme="minorHAnsi"/>
                <w:b/>
                <w:bCs/>
                <w:szCs w:val="20"/>
                <w:lang w:val="en-US"/>
              </w:rPr>
              <w:t>SARDI</w:t>
            </w:r>
            <w:r w:rsidRPr="00A2729E">
              <w:rPr>
                <w:rFonts w:cstheme="minorHAnsi"/>
                <w:szCs w:val="20"/>
                <w:lang w:val="en-US"/>
              </w:rPr>
              <w:t xml:space="preserve"> – Lower Murray Selected Area lead organisation</w:t>
            </w:r>
          </w:p>
        </w:tc>
        <w:tc>
          <w:tcPr>
            <w:tcW w:w="3402" w:type="dxa"/>
            <w:tcMar>
              <w:top w:w="0" w:type="dxa"/>
              <w:left w:w="108" w:type="dxa"/>
              <w:bottom w:w="0" w:type="dxa"/>
              <w:right w:w="108" w:type="dxa"/>
            </w:tcMar>
          </w:tcPr>
          <w:p w14:paraId="3F8BDD5A"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Working Group member</w:t>
            </w:r>
          </w:p>
          <w:p w14:paraId="73B79830"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 xml:space="preserve">Project </w:t>
            </w:r>
            <w:r>
              <w:rPr>
                <w:rFonts w:cstheme="minorHAnsi"/>
                <w:szCs w:val="20"/>
                <w:lang w:val="en-US"/>
              </w:rPr>
              <w:t>Officer</w:t>
            </w:r>
            <w:r w:rsidRPr="00A2729E">
              <w:rPr>
                <w:rFonts w:cstheme="minorHAnsi"/>
                <w:szCs w:val="20"/>
                <w:lang w:val="en-US"/>
              </w:rPr>
              <w:t xml:space="preserve"> – MER Lower Murray</w:t>
            </w:r>
          </w:p>
        </w:tc>
      </w:tr>
      <w:tr w:rsidR="009E5C77" w:rsidRPr="00A2729E" w14:paraId="1A9C5D7E" w14:textId="77777777" w:rsidTr="009C3D21">
        <w:trPr>
          <w:cantSplit/>
        </w:trPr>
        <w:tc>
          <w:tcPr>
            <w:tcW w:w="2093" w:type="dxa"/>
            <w:tcMar>
              <w:top w:w="0" w:type="dxa"/>
              <w:left w:w="108" w:type="dxa"/>
              <w:bottom w:w="0" w:type="dxa"/>
              <w:right w:w="108" w:type="dxa"/>
            </w:tcMar>
            <w:hideMark/>
          </w:tcPr>
          <w:p w14:paraId="3F0B6B28"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Rod Oliver</w:t>
            </w:r>
          </w:p>
        </w:tc>
        <w:tc>
          <w:tcPr>
            <w:tcW w:w="3969" w:type="dxa"/>
            <w:tcMar>
              <w:top w:w="0" w:type="dxa"/>
              <w:left w:w="108" w:type="dxa"/>
              <w:bottom w:w="0" w:type="dxa"/>
              <w:right w:w="108" w:type="dxa"/>
            </w:tcMar>
            <w:hideMark/>
          </w:tcPr>
          <w:p w14:paraId="341AAD68" w14:textId="4C7FD057" w:rsidR="009E5C77" w:rsidRPr="00A2729E" w:rsidRDefault="009E5C77" w:rsidP="00895587">
            <w:pPr>
              <w:pStyle w:val="TableText"/>
              <w:spacing w:line="276" w:lineRule="auto"/>
              <w:rPr>
                <w:rFonts w:cstheme="minorHAnsi"/>
                <w:szCs w:val="20"/>
                <w:lang w:val="en-US"/>
              </w:rPr>
            </w:pPr>
            <w:r w:rsidRPr="00A2729E">
              <w:rPr>
                <w:rFonts w:cstheme="minorHAnsi"/>
                <w:b/>
                <w:bCs/>
                <w:szCs w:val="20"/>
                <w:lang w:val="en-US"/>
              </w:rPr>
              <w:t xml:space="preserve">University of Adelaide – </w:t>
            </w:r>
            <w:r w:rsidRPr="00A2729E">
              <w:rPr>
                <w:rFonts w:cstheme="minorHAnsi"/>
                <w:szCs w:val="20"/>
                <w:lang w:val="en-US"/>
              </w:rPr>
              <w:t>Lower Murray Selected Area consortium partner</w:t>
            </w:r>
          </w:p>
        </w:tc>
        <w:tc>
          <w:tcPr>
            <w:tcW w:w="3402" w:type="dxa"/>
            <w:tcMar>
              <w:top w:w="0" w:type="dxa"/>
              <w:left w:w="108" w:type="dxa"/>
              <w:bottom w:w="0" w:type="dxa"/>
              <w:right w:w="108" w:type="dxa"/>
            </w:tcMar>
            <w:hideMark/>
          </w:tcPr>
          <w:p w14:paraId="7E7B3A61"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Working Group member</w:t>
            </w:r>
          </w:p>
          <w:p w14:paraId="587BA601" w14:textId="551C591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 xml:space="preserve">Task Leader – </w:t>
            </w:r>
            <w:r w:rsidRPr="00475635">
              <w:rPr>
                <w:rFonts w:cstheme="minorHAnsi"/>
                <w:i/>
                <w:szCs w:val="20"/>
                <w:lang w:val="en-US"/>
              </w:rPr>
              <w:t>Stream Metabolism</w:t>
            </w:r>
            <w:r w:rsidR="00E21BB6" w:rsidRPr="00475635">
              <w:rPr>
                <w:rFonts w:cstheme="minorHAnsi"/>
                <w:i/>
                <w:szCs w:val="20"/>
                <w:lang w:val="en-US"/>
              </w:rPr>
              <w:t xml:space="preserve"> and Water Quality</w:t>
            </w:r>
          </w:p>
        </w:tc>
      </w:tr>
      <w:tr w:rsidR="009E5C77" w:rsidRPr="00A2729E" w14:paraId="449A45F3" w14:textId="77777777" w:rsidTr="009C3D21">
        <w:trPr>
          <w:cantSplit/>
        </w:trPr>
        <w:tc>
          <w:tcPr>
            <w:tcW w:w="2093" w:type="dxa"/>
            <w:tcMar>
              <w:top w:w="0" w:type="dxa"/>
              <w:left w:w="108" w:type="dxa"/>
              <w:bottom w:w="0" w:type="dxa"/>
              <w:right w:w="108" w:type="dxa"/>
            </w:tcMar>
            <w:hideMark/>
          </w:tcPr>
          <w:p w14:paraId="7BBB582D" w14:textId="77777777" w:rsidR="009E5C77" w:rsidRPr="00A2729E" w:rsidRDefault="009E5C77" w:rsidP="0026623C">
            <w:pPr>
              <w:pStyle w:val="TableText"/>
              <w:spacing w:line="276" w:lineRule="auto"/>
              <w:rPr>
                <w:rFonts w:cstheme="minorHAnsi"/>
                <w:color w:val="222222"/>
                <w:szCs w:val="20"/>
                <w:shd w:val="clear" w:color="auto" w:fill="FFFFFF"/>
                <w:lang w:val="en-US"/>
              </w:rPr>
            </w:pPr>
            <w:r w:rsidRPr="00A2729E">
              <w:rPr>
                <w:rFonts w:cstheme="minorHAnsi"/>
                <w:color w:val="222222"/>
                <w:szCs w:val="20"/>
                <w:shd w:val="clear" w:color="auto" w:fill="FFFFFF"/>
                <w:lang w:val="en-US"/>
              </w:rPr>
              <w:lastRenderedPageBreak/>
              <w:t>Matt Gibbs</w:t>
            </w:r>
          </w:p>
        </w:tc>
        <w:tc>
          <w:tcPr>
            <w:tcW w:w="3969" w:type="dxa"/>
            <w:tcMar>
              <w:top w:w="0" w:type="dxa"/>
              <w:left w:w="108" w:type="dxa"/>
              <w:bottom w:w="0" w:type="dxa"/>
              <w:right w:w="108" w:type="dxa"/>
            </w:tcMar>
            <w:hideMark/>
          </w:tcPr>
          <w:p w14:paraId="5D32B965" w14:textId="5E68759E" w:rsidR="009E5C77" w:rsidRPr="00A2729E" w:rsidRDefault="009E5C77" w:rsidP="00895587">
            <w:pPr>
              <w:pStyle w:val="TableText"/>
              <w:spacing w:line="276" w:lineRule="auto"/>
              <w:rPr>
                <w:rFonts w:cstheme="minorHAnsi"/>
                <w:szCs w:val="20"/>
                <w:lang w:val="en-US"/>
              </w:rPr>
            </w:pPr>
            <w:r w:rsidRPr="00A2729E">
              <w:rPr>
                <w:rFonts w:cstheme="minorHAnsi"/>
                <w:b/>
                <w:bCs/>
                <w:szCs w:val="20"/>
                <w:lang w:val="en-US"/>
              </w:rPr>
              <w:t>University of Adelaide/DEW</w:t>
            </w:r>
            <w:r w:rsidRPr="00A2729E">
              <w:rPr>
                <w:rFonts w:cstheme="minorHAnsi"/>
                <w:szCs w:val="20"/>
                <w:lang w:val="en-US"/>
              </w:rPr>
              <w:t xml:space="preserve"> – Lower Murray Selected Area consortium partner</w:t>
            </w:r>
          </w:p>
        </w:tc>
        <w:tc>
          <w:tcPr>
            <w:tcW w:w="3402" w:type="dxa"/>
            <w:tcMar>
              <w:top w:w="0" w:type="dxa"/>
              <w:left w:w="108" w:type="dxa"/>
              <w:bottom w:w="0" w:type="dxa"/>
              <w:right w:w="108" w:type="dxa"/>
            </w:tcMar>
            <w:hideMark/>
          </w:tcPr>
          <w:p w14:paraId="7DFF4C0D"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Working Group member</w:t>
            </w:r>
          </w:p>
          <w:p w14:paraId="4615924C" w14:textId="068BE6D1"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 xml:space="preserve">Task Leader – </w:t>
            </w:r>
            <w:r w:rsidRPr="00475635">
              <w:rPr>
                <w:rFonts w:cstheme="minorHAnsi"/>
                <w:i/>
                <w:szCs w:val="20"/>
                <w:lang w:val="en-US"/>
              </w:rPr>
              <w:t>Hydrology</w:t>
            </w:r>
            <w:r w:rsidR="00E21BB6" w:rsidRPr="00475635">
              <w:rPr>
                <w:rFonts w:cstheme="minorHAnsi"/>
                <w:i/>
                <w:szCs w:val="20"/>
                <w:lang w:val="en-US"/>
              </w:rPr>
              <w:t xml:space="preserve"> (Channel)</w:t>
            </w:r>
            <w:r w:rsidR="00E21BB6">
              <w:rPr>
                <w:rFonts w:cstheme="minorHAnsi"/>
                <w:szCs w:val="20"/>
                <w:lang w:val="en-US"/>
              </w:rPr>
              <w:t xml:space="preserve"> and </w:t>
            </w:r>
            <w:r w:rsidR="00E21BB6" w:rsidRPr="00475635">
              <w:rPr>
                <w:rFonts w:cstheme="minorHAnsi"/>
                <w:i/>
                <w:szCs w:val="20"/>
                <w:lang w:val="en-US"/>
              </w:rPr>
              <w:t>Hydraulic Regime</w:t>
            </w:r>
          </w:p>
        </w:tc>
      </w:tr>
      <w:tr w:rsidR="009E5C77" w:rsidRPr="00A2729E" w14:paraId="361BBE3B" w14:textId="77777777" w:rsidTr="009C3D21">
        <w:trPr>
          <w:cantSplit/>
        </w:trPr>
        <w:tc>
          <w:tcPr>
            <w:tcW w:w="2093" w:type="dxa"/>
            <w:tcMar>
              <w:top w:w="0" w:type="dxa"/>
              <w:left w:w="108" w:type="dxa"/>
              <w:bottom w:w="0" w:type="dxa"/>
              <w:right w:w="108" w:type="dxa"/>
            </w:tcMar>
            <w:hideMark/>
          </w:tcPr>
          <w:p w14:paraId="6D7A5B09" w14:textId="77777777" w:rsidR="009E5C77" w:rsidRPr="00A2729E" w:rsidRDefault="009E5C77" w:rsidP="0026623C">
            <w:pPr>
              <w:pStyle w:val="TableText"/>
              <w:spacing w:line="276" w:lineRule="auto"/>
              <w:rPr>
                <w:rFonts w:cstheme="minorHAnsi"/>
                <w:color w:val="222222"/>
                <w:szCs w:val="20"/>
                <w:shd w:val="clear" w:color="auto" w:fill="FFFFFF"/>
                <w:lang w:val="en-US"/>
              </w:rPr>
            </w:pPr>
            <w:r w:rsidRPr="00A2729E">
              <w:rPr>
                <w:rFonts w:cstheme="minorHAnsi"/>
                <w:color w:val="222222"/>
                <w:szCs w:val="20"/>
                <w:shd w:val="clear" w:color="auto" w:fill="FFFFFF"/>
                <w:lang w:val="en-US"/>
              </w:rPr>
              <w:t>Brenton Zampatti</w:t>
            </w:r>
          </w:p>
        </w:tc>
        <w:tc>
          <w:tcPr>
            <w:tcW w:w="3969" w:type="dxa"/>
            <w:tcMar>
              <w:top w:w="0" w:type="dxa"/>
              <w:left w:w="108" w:type="dxa"/>
              <w:bottom w:w="0" w:type="dxa"/>
              <w:right w:w="108" w:type="dxa"/>
            </w:tcMar>
            <w:hideMark/>
          </w:tcPr>
          <w:p w14:paraId="0A03475B" w14:textId="68750A55" w:rsidR="009E5C77" w:rsidRPr="00A2729E" w:rsidRDefault="009E5C77" w:rsidP="00895587">
            <w:pPr>
              <w:pStyle w:val="TableText"/>
              <w:spacing w:line="276" w:lineRule="auto"/>
              <w:rPr>
                <w:rFonts w:cstheme="minorHAnsi"/>
                <w:szCs w:val="20"/>
                <w:lang w:val="en-US"/>
              </w:rPr>
            </w:pPr>
            <w:r w:rsidRPr="00A2729E">
              <w:rPr>
                <w:rFonts w:cstheme="minorHAnsi"/>
                <w:b/>
                <w:bCs/>
                <w:szCs w:val="20"/>
                <w:lang w:val="en-US"/>
              </w:rPr>
              <w:t>SARDI</w:t>
            </w:r>
            <w:r w:rsidRPr="00A2729E">
              <w:rPr>
                <w:rFonts w:cstheme="minorHAnsi"/>
                <w:szCs w:val="20"/>
                <w:lang w:val="en-US"/>
              </w:rPr>
              <w:t xml:space="preserve"> – Lower Murray Selected Area lead organisation</w:t>
            </w:r>
          </w:p>
        </w:tc>
        <w:tc>
          <w:tcPr>
            <w:tcW w:w="3402" w:type="dxa"/>
            <w:tcMar>
              <w:top w:w="0" w:type="dxa"/>
              <w:left w:w="108" w:type="dxa"/>
              <w:bottom w:w="0" w:type="dxa"/>
              <w:right w:w="108" w:type="dxa"/>
            </w:tcMar>
            <w:hideMark/>
          </w:tcPr>
          <w:p w14:paraId="3AD534DE"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Working Group member</w:t>
            </w:r>
          </w:p>
          <w:p w14:paraId="2059F514" w14:textId="6746E738"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 xml:space="preserve">Task Leader – </w:t>
            </w:r>
            <w:r w:rsidRPr="00475635">
              <w:rPr>
                <w:rFonts w:cstheme="minorHAnsi"/>
                <w:i/>
                <w:szCs w:val="20"/>
                <w:lang w:val="en-US"/>
              </w:rPr>
              <w:t>Fish</w:t>
            </w:r>
            <w:r w:rsidR="00C36F44" w:rsidRPr="00475635">
              <w:rPr>
                <w:rFonts w:cstheme="minorHAnsi"/>
                <w:i/>
                <w:szCs w:val="20"/>
                <w:lang w:val="en-US"/>
              </w:rPr>
              <w:t xml:space="preserve"> (Channel)</w:t>
            </w:r>
            <w:r w:rsidR="00C36F44">
              <w:rPr>
                <w:rFonts w:cstheme="minorHAnsi"/>
                <w:szCs w:val="20"/>
                <w:lang w:val="en-US"/>
              </w:rPr>
              <w:t xml:space="preserve">, </w:t>
            </w:r>
            <w:r w:rsidR="008C1585" w:rsidRPr="008C1585">
              <w:rPr>
                <w:rFonts w:cstheme="minorHAnsi"/>
                <w:i/>
                <w:szCs w:val="20"/>
                <w:lang w:val="en-US"/>
              </w:rPr>
              <w:t>Flow-cued Spawning Fish Recruitment</w:t>
            </w:r>
            <w:r w:rsidR="00C36F44" w:rsidRPr="008C1585">
              <w:rPr>
                <w:rFonts w:cstheme="minorHAnsi"/>
                <w:i/>
                <w:szCs w:val="20"/>
                <w:lang w:val="en-US"/>
              </w:rPr>
              <w:t xml:space="preserve"> </w:t>
            </w:r>
            <w:r w:rsidR="00C36F44">
              <w:rPr>
                <w:rFonts w:cstheme="minorHAnsi"/>
                <w:szCs w:val="20"/>
                <w:lang w:val="en-US"/>
              </w:rPr>
              <w:t xml:space="preserve">and </w:t>
            </w:r>
            <w:r w:rsidR="00C36F44" w:rsidRPr="00475635">
              <w:rPr>
                <w:rFonts w:cstheme="minorHAnsi"/>
                <w:i/>
                <w:szCs w:val="20"/>
                <w:lang w:val="en-US"/>
              </w:rPr>
              <w:t>Murray Cod Recruitment</w:t>
            </w:r>
          </w:p>
        </w:tc>
      </w:tr>
      <w:tr w:rsidR="009E5C77" w:rsidRPr="00A2729E" w14:paraId="4E117ACE" w14:textId="77777777" w:rsidTr="009C3D21">
        <w:trPr>
          <w:cantSplit/>
        </w:trPr>
        <w:tc>
          <w:tcPr>
            <w:tcW w:w="2093" w:type="dxa"/>
            <w:tcMar>
              <w:top w:w="0" w:type="dxa"/>
              <w:left w:w="108" w:type="dxa"/>
              <w:bottom w:w="0" w:type="dxa"/>
              <w:right w:w="108" w:type="dxa"/>
            </w:tcMar>
            <w:hideMark/>
          </w:tcPr>
          <w:p w14:paraId="615DBF97" w14:textId="77777777" w:rsidR="009E5C77" w:rsidRPr="00A2729E" w:rsidRDefault="009E5C77" w:rsidP="0026623C">
            <w:pPr>
              <w:pStyle w:val="TableText"/>
              <w:spacing w:line="276" w:lineRule="auto"/>
              <w:rPr>
                <w:rFonts w:cstheme="minorHAnsi"/>
                <w:color w:val="222222"/>
                <w:szCs w:val="20"/>
                <w:shd w:val="clear" w:color="auto" w:fill="FFFFFF"/>
                <w:lang w:val="en-US"/>
              </w:rPr>
            </w:pPr>
            <w:r w:rsidRPr="00A2729E">
              <w:rPr>
                <w:rFonts w:cstheme="minorHAnsi"/>
                <w:color w:val="222222"/>
                <w:szCs w:val="20"/>
                <w:shd w:val="clear" w:color="auto" w:fill="FFFFFF"/>
                <w:lang w:val="en-US"/>
              </w:rPr>
              <w:t>Deborah Furst</w:t>
            </w:r>
          </w:p>
        </w:tc>
        <w:tc>
          <w:tcPr>
            <w:tcW w:w="3969" w:type="dxa"/>
            <w:tcMar>
              <w:top w:w="0" w:type="dxa"/>
              <w:left w:w="108" w:type="dxa"/>
              <w:bottom w:w="0" w:type="dxa"/>
              <w:right w:w="108" w:type="dxa"/>
            </w:tcMar>
            <w:hideMark/>
          </w:tcPr>
          <w:p w14:paraId="648BDBBF" w14:textId="6D1A5A35" w:rsidR="009E5C77" w:rsidRPr="00A2729E" w:rsidRDefault="009E5C77" w:rsidP="00895587">
            <w:pPr>
              <w:pStyle w:val="TableText"/>
              <w:spacing w:line="276" w:lineRule="auto"/>
              <w:rPr>
                <w:rFonts w:cstheme="minorHAnsi"/>
                <w:b/>
                <w:bCs/>
                <w:szCs w:val="20"/>
                <w:lang w:val="en-US"/>
              </w:rPr>
            </w:pPr>
            <w:r w:rsidRPr="00A2729E">
              <w:rPr>
                <w:rFonts w:cstheme="minorHAnsi"/>
                <w:b/>
                <w:bCs/>
                <w:szCs w:val="20"/>
                <w:lang w:val="en-US"/>
              </w:rPr>
              <w:t>University of Adelaide</w:t>
            </w:r>
            <w:r w:rsidRPr="00A2729E">
              <w:rPr>
                <w:rFonts w:cstheme="minorHAnsi"/>
                <w:szCs w:val="20"/>
                <w:lang w:val="en-US"/>
              </w:rPr>
              <w:t xml:space="preserve"> ‒ Lower Murray Selected Area consortium partner</w:t>
            </w:r>
          </w:p>
        </w:tc>
        <w:tc>
          <w:tcPr>
            <w:tcW w:w="3402" w:type="dxa"/>
            <w:tcMar>
              <w:top w:w="0" w:type="dxa"/>
              <w:left w:w="108" w:type="dxa"/>
              <w:bottom w:w="0" w:type="dxa"/>
              <w:right w:w="108" w:type="dxa"/>
            </w:tcMar>
            <w:hideMark/>
          </w:tcPr>
          <w:p w14:paraId="647A0AB2"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Working Group member</w:t>
            </w:r>
          </w:p>
          <w:p w14:paraId="38F9467A" w14:textId="62743066"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 xml:space="preserve">Task Leader – </w:t>
            </w:r>
            <w:r w:rsidRPr="00475635">
              <w:rPr>
                <w:rFonts w:cstheme="minorHAnsi"/>
                <w:i/>
                <w:szCs w:val="20"/>
                <w:lang w:val="en-US"/>
              </w:rPr>
              <w:t>Microinvertebrate</w:t>
            </w:r>
            <w:r w:rsidR="00C36F44" w:rsidRPr="00475635">
              <w:rPr>
                <w:rFonts w:cstheme="minorHAnsi"/>
                <w:i/>
                <w:szCs w:val="20"/>
                <w:lang w:val="en-US"/>
              </w:rPr>
              <w:t xml:space="preserve"> Assemblage</w:t>
            </w:r>
          </w:p>
        </w:tc>
      </w:tr>
      <w:tr w:rsidR="009E5C77" w:rsidRPr="00A2729E" w14:paraId="54820AA0" w14:textId="77777777" w:rsidTr="009C3D21">
        <w:trPr>
          <w:cantSplit/>
        </w:trPr>
        <w:tc>
          <w:tcPr>
            <w:tcW w:w="2093" w:type="dxa"/>
            <w:tcMar>
              <w:top w:w="0" w:type="dxa"/>
              <w:left w:w="108" w:type="dxa"/>
              <w:bottom w:w="0" w:type="dxa"/>
              <w:right w:w="108" w:type="dxa"/>
            </w:tcMar>
          </w:tcPr>
          <w:p w14:paraId="0FA10B6D"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Justin Brookes</w:t>
            </w:r>
          </w:p>
        </w:tc>
        <w:tc>
          <w:tcPr>
            <w:tcW w:w="3969" w:type="dxa"/>
            <w:tcMar>
              <w:top w:w="0" w:type="dxa"/>
              <w:left w:w="108" w:type="dxa"/>
              <w:bottom w:w="0" w:type="dxa"/>
              <w:right w:w="108" w:type="dxa"/>
            </w:tcMar>
          </w:tcPr>
          <w:p w14:paraId="30401F3A" w14:textId="2703A2B5" w:rsidR="009E5C77" w:rsidRPr="00A2729E" w:rsidRDefault="009E5C77" w:rsidP="00895587">
            <w:pPr>
              <w:pStyle w:val="TableText"/>
              <w:spacing w:line="276" w:lineRule="auto"/>
              <w:rPr>
                <w:rFonts w:cstheme="minorHAnsi"/>
                <w:szCs w:val="20"/>
                <w:lang w:val="en-US"/>
              </w:rPr>
            </w:pPr>
            <w:r w:rsidRPr="00A2729E">
              <w:rPr>
                <w:rFonts w:cstheme="minorHAnsi"/>
                <w:b/>
                <w:bCs/>
                <w:szCs w:val="20"/>
                <w:lang w:val="en-US"/>
              </w:rPr>
              <w:t xml:space="preserve">University of Adelaide – </w:t>
            </w:r>
            <w:r w:rsidRPr="00A2729E">
              <w:rPr>
                <w:rFonts w:cstheme="minorHAnsi"/>
                <w:szCs w:val="20"/>
                <w:lang w:val="en-US"/>
              </w:rPr>
              <w:t>Lower Murray Selected Area consortium partner</w:t>
            </w:r>
            <w:r w:rsidRPr="00A2729E" w:rsidDel="00444001">
              <w:rPr>
                <w:rFonts w:cstheme="minorHAnsi"/>
                <w:b/>
                <w:bCs/>
                <w:szCs w:val="20"/>
                <w:lang w:val="en-US"/>
              </w:rPr>
              <w:t xml:space="preserve"> </w:t>
            </w:r>
          </w:p>
        </w:tc>
        <w:tc>
          <w:tcPr>
            <w:tcW w:w="3402" w:type="dxa"/>
            <w:tcMar>
              <w:top w:w="0" w:type="dxa"/>
              <w:left w:w="108" w:type="dxa"/>
              <w:bottom w:w="0" w:type="dxa"/>
              <w:right w:w="108" w:type="dxa"/>
            </w:tcMar>
          </w:tcPr>
          <w:p w14:paraId="26FACA9D"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Working Group member</w:t>
            </w:r>
          </w:p>
          <w:p w14:paraId="7E3BBB01" w14:textId="71A9C8C3" w:rsidR="009E5C77" w:rsidRPr="00A2729E" w:rsidRDefault="009E5C77" w:rsidP="0026623C">
            <w:pPr>
              <w:spacing w:line="276" w:lineRule="auto"/>
              <w:rPr>
                <w:rFonts w:eastAsia="Calibri" w:cstheme="minorHAnsi"/>
                <w:sz w:val="20"/>
              </w:rPr>
            </w:pPr>
            <w:r w:rsidRPr="00A2729E">
              <w:rPr>
                <w:rFonts w:cstheme="minorHAnsi"/>
                <w:sz w:val="20"/>
                <w:lang w:val="en-US"/>
              </w:rPr>
              <w:t xml:space="preserve">Task Leader – </w:t>
            </w:r>
            <w:r w:rsidRPr="00475635">
              <w:rPr>
                <w:rFonts w:cstheme="minorHAnsi"/>
                <w:i/>
                <w:sz w:val="20"/>
                <w:lang w:val="en-US"/>
              </w:rPr>
              <w:t>Matter Transport</w:t>
            </w:r>
            <w:r w:rsidR="00C36F44" w:rsidRPr="00475635">
              <w:rPr>
                <w:rFonts w:cstheme="minorHAnsi"/>
                <w:i/>
                <w:sz w:val="20"/>
                <w:lang w:val="en-US"/>
              </w:rPr>
              <w:t xml:space="preserve"> and Coorong Habitat</w:t>
            </w:r>
            <w:r w:rsidRPr="00A2729E" w:rsidDel="00444001">
              <w:rPr>
                <w:rFonts w:cstheme="minorHAnsi"/>
                <w:sz w:val="20"/>
              </w:rPr>
              <w:t xml:space="preserve"> </w:t>
            </w:r>
          </w:p>
        </w:tc>
      </w:tr>
      <w:tr w:rsidR="009E5C77" w:rsidRPr="00A2729E" w14:paraId="577D1745" w14:textId="77777777" w:rsidTr="009C3D21">
        <w:trPr>
          <w:cantSplit/>
        </w:trPr>
        <w:tc>
          <w:tcPr>
            <w:tcW w:w="2093" w:type="dxa"/>
            <w:tcMar>
              <w:top w:w="0" w:type="dxa"/>
              <w:left w:w="108" w:type="dxa"/>
              <w:bottom w:w="0" w:type="dxa"/>
              <w:right w:w="108" w:type="dxa"/>
            </w:tcMar>
          </w:tcPr>
          <w:p w14:paraId="1BDE804F"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Jason Nicol</w:t>
            </w:r>
          </w:p>
        </w:tc>
        <w:tc>
          <w:tcPr>
            <w:tcW w:w="3969" w:type="dxa"/>
            <w:tcMar>
              <w:top w:w="0" w:type="dxa"/>
              <w:left w:w="108" w:type="dxa"/>
              <w:bottom w:w="0" w:type="dxa"/>
              <w:right w:w="108" w:type="dxa"/>
            </w:tcMar>
          </w:tcPr>
          <w:p w14:paraId="41ED048E" w14:textId="5185D28B" w:rsidR="009E5C77" w:rsidRPr="00A2729E" w:rsidRDefault="009E5C77" w:rsidP="00895587">
            <w:pPr>
              <w:pStyle w:val="TableText"/>
              <w:spacing w:line="276" w:lineRule="auto"/>
              <w:rPr>
                <w:rFonts w:cstheme="minorHAnsi"/>
                <w:b/>
                <w:bCs/>
                <w:szCs w:val="20"/>
                <w:lang w:val="en-US"/>
              </w:rPr>
            </w:pPr>
            <w:r w:rsidRPr="00A2729E">
              <w:rPr>
                <w:rFonts w:cstheme="minorHAnsi"/>
                <w:b/>
                <w:bCs/>
                <w:szCs w:val="20"/>
                <w:lang w:val="en-US"/>
              </w:rPr>
              <w:t>SARDI</w:t>
            </w:r>
            <w:r w:rsidRPr="00A2729E">
              <w:rPr>
                <w:rFonts w:cstheme="minorHAnsi"/>
                <w:szCs w:val="20"/>
                <w:lang w:val="en-US"/>
              </w:rPr>
              <w:t xml:space="preserve"> – Lower Murray Selected Area lead organisation</w:t>
            </w:r>
            <w:r w:rsidRPr="00A2729E" w:rsidDel="00444001">
              <w:rPr>
                <w:rFonts w:cstheme="minorHAnsi"/>
                <w:b/>
                <w:bCs/>
                <w:szCs w:val="20"/>
                <w:lang w:val="en-US"/>
              </w:rPr>
              <w:t xml:space="preserve"> </w:t>
            </w:r>
          </w:p>
        </w:tc>
        <w:tc>
          <w:tcPr>
            <w:tcW w:w="3402" w:type="dxa"/>
            <w:tcMar>
              <w:top w:w="0" w:type="dxa"/>
              <w:left w:w="108" w:type="dxa"/>
              <w:bottom w:w="0" w:type="dxa"/>
              <w:right w:w="108" w:type="dxa"/>
            </w:tcMar>
          </w:tcPr>
          <w:p w14:paraId="3CD49BB8"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Working Group member</w:t>
            </w:r>
          </w:p>
          <w:p w14:paraId="4366BD68" w14:textId="0B39071C" w:rsidR="009E5C77" w:rsidRPr="00A2729E" w:rsidRDefault="009E5C77" w:rsidP="0026623C">
            <w:pPr>
              <w:spacing w:line="276" w:lineRule="auto"/>
              <w:rPr>
                <w:rFonts w:eastAsia="Calibri" w:cstheme="minorHAnsi"/>
                <w:sz w:val="20"/>
              </w:rPr>
            </w:pPr>
            <w:r w:rsidRPr="00A2729E">
              <w:rPr>
                <w:rFonts w:cstheme="minorHAnsi"/>
                <w:sz w:val="20"/>
                <w:lang w:val="en-US"/>
              </w:rPr>
              <w:t xml:space="preserve">Task Leader – </w:t>
            </w:r>
            <w:r w:rsidR="00C36F44" w:rsidRPr="00475635">
              <w:rPr>
                <w:rFonts w:cstheme="minorHAnsi"/>
                <w:i/>
                <w:sz w:val="20"/>
                <w:lang w:val="en-US"/>
              </w:rPr>
              <w:t xml:space="preserve">Littoral </w:t>
            </w:r>
            <w:r w:rsidRPr="00475635">
              <w:rPr>
                <w:rFonts w:cstheme="minorHAnsi"/>
                <w:i/>
                <w:sz w:val="20"/>
                <w:lang w:val="en-US"/>
              </w:rPr>
              <w:t>Vegetation</w:t>
            </w:r>
            <w:r w:rsidR="00C36F44" w:rsidRPr="00475635">
              <w:rPr>
                <w:rFonts w:cstheme="minorHAnsi"/>
                <w:i/>
                <w:sz w:val="20"/>
                <w:lang w:val="en-US"/>
              </w:rPr>
              <w:t xml:space="preserve"> Diversity and Productivity</w:t>
            </w:r>
            <w:r w:rsidRPr="00A2729E" w:rsidDel="00444001">
              <w:rPr>
                <w:rFonts w:cstheme="minorHAnsi"/>
                <w:sz w:val="20"/>
              </w:rPr>
              <w:t xml:space="preserve"> </w:t>
            </w:r>
          </w:p>
        </w:tc>
      </w:tr>
      <w:tr w:rsidR="009E5C77" w:rsidRPr="00A2729E" w14:paraId="2C6839C8" w14:textId="77777777" w:rsidTr="009C3D21">
        <w:trPr>
          <w:cantSplit/>
        </w:trPr>
        <w:tc>
          <w:tcPr>
            <w:tcW w:w="2093" w:type="dxa"/>
            <w:tcMar>
              <w:top w:w="0" w:type="dxa"/>
              <w:left w:w="108" w:type="dxa"/>
              <w:bottom w:w="0" w:type="dxa"/>
              <w:right w:w="108" w:type="dxa"/>
            </w:tcMar>
          </w:tcPr>
          <w:p w14:paraId="74F29FC2" w14:textId="77777777" w:rsidR="009E5C77" w:rsidRPr="00A2729E" w:rsidRDefault="009E5C77" w:rsidP="0026623C">
            <w:pPr>
              <w:pStyle w:val="TableText"/>
              <w:spacing w:line="276" w:lineRule="auto"/>
              <w:rPr>
                <w:rFonts w:cstheme="minorHAnsi"/>
                <w:color w:val="auto"/>
                <w:szCs w:val="20"/>
                <w:lang w:val="en-US"/>
              </w:rPr>
            </w:pPr>
            <w:r>
              <w:rPr>
                <w:rFonts w:cstheme="minorHAnsi"/>
                <w:color w:val="auto"/>
                <w:szCs w:val="20"/>
                <w:lang w:val="en-US"/>
              </w:rPr>
              <w:t>Chris Bice</w:t>
            </w:r>
          </w:p>
        </w:tc>
        <w:tc>
          <w:tcPr>
            <w:tcW w:w="3969" w:type="dxa"/>
            <w:tcMar>
              <w:top w:w="0" w:type="dxa"/>
              <w:left w:w="108" w:type="dxa"/>
              <w:bottom w:w="0" w:type="dxa"/>
              <w:right w:w="108" w:type="dxa"/>
            </w:tcMar>
          </w:tcPr>
          <w:p w14:paraId="1AE7D2AF" w14:textId="15EB01B4" w:rsidR="009E5C77" w:rsidRPr="00A2729E" w:rsidRDefault="009E5C77" w:rsidP="00895587">
            <w:pPr>
              <w:pStyle w:val="TableText"/>
              <w:spacing w:line="276" w:lineRule="auto"/>
              <w:rPr>
                <w:rFonts w:cstheme="minorHAnsi"/>
                <w:b/>
                <w:bCs/>
                <w:szCs w:val="20"/>
                <w:lang w:val="en-US"/>
              </w:rPr>
            </w:pPr>
            <w:r w:rsidRPr="00A2729E">
              <w:rPr>
                <w:rFonts w:cstheme="minorHAnsi"/>
                <w:b/>
                <w:bCs/>
                <w:szCs w:val="20"/>
                <w:lang w:val="en-US"/>
              </w:rPr>
              <w:t>SARDI</w:t>
            </w:r>
            <w:r w:rsidRPr="00A2729E">
              <w:rPr>
                <w:rFonts w:cstheme="minorHAnsi"/>
                <w:szCs w:val="20"/>
                <w:lang w:val="en-US"/>
              </w:rPr>
              <w:t xml:space="preserve"> – Lower Murray Selected Area lead organisation</w:t>
            </w:r>
          </w:p>
        </w:tc>
        <w:tc>
          <w:tcPr>
            <w:tcW w:w="3402" w:type="dxa"/>
            <w:tcMar>
              <w:top w:w="0" w:type="dxa"/>
              <w:left w:w="108" w:type="dxa"/>
              <w:bottom w:w="0" w:type="dxa"/>
              <w:right w:w="108" w:type="dxa"/>
            </w:tcMar>
          </w:tcPr>
          <w:p w14:paraId="4A8A4B21"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Working Group member</w:t>
            </w:r>
          </w:p>
          <w:p w14:paraId="36711CBC"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 xml:space="preserve">Task Leader – </w:t>
            </w:r>
            <w:r>
              <w:rPr>
                <w:rFonts w:cstheme="minorHAnsi"/>
                <w:szCs w:val="20"/>
                <w:lang w:val="en-US"/>
              </w:rPr>
              <w:t>Research</w:t>
            </w:r>
          </w:p>
        </w:tc>
      </w:tr>
      <w:tr w:rsidR="009E5C77" w:rsidRPr="00A2729E" w14:paraId="4E2CBBDD" w14:textId="77777777" w:rsidTr="009C3D21">
        <w:trPr>
          <w:cantSplit/>
        </w:trPr>
        <w:tc>
          <w:tcPr>
            <w:tcW w:w="2093" w:type="dxa"/>
            <w:tcMar>
              <w:top w:w="0" w:type="dxa"/>
              <w:left w:w="108" w:type="dxa"/>
              <w:bottom w:w="0" w:type="dxa"/>
              <w:right w:w="108" w:type="dxa"/>
            </w:tcMar>
            <w:hideMark/>
          </w:tcPr>
          <w:p w14:paraId="357D6D32" w14:textId="77777777" w:rsidR="009E5C77" w:rsidRPr="00A2729E" w:rsidRDefault="009E5C77" w:rsidP="0026623C">
            <w:pPr>
              <w:pStyle w:val="TableText"/>
              <w:spacing w:line="276" w:lineRule="auto"/>
              <w:rPr>
                <w:rFonts w:cstheme="minorHAnsi"/>
                <w:color w:val="auto"/>
                <w:szCs w:val="20"/>
                <w:lang w:val="en-US"/>
              </w:rPr>
            </w:pPr>
            <w:r w:rsidRPr="00A2729E">
              <w:rPr>
                <w:rFonts w:cstheme="minorHAnsi"/>
                <w:color w:val="auto"/>
                <w:szCs w:val="20"/>
                <w:lang w:val="en-US"/>
              </w:rPr>
              <w:t>Michelle Campbell</w:t>
            </w:r>
          </w:p>
        </w:tc>
        <w:tc>
          <w:tcPr>
            <w:tcW w:w="3969" w:type="dxa"/>
            <w:tcMar>
              <w:top w:w="0" w:type="dxa"/>
              <w:left w:w="108" w:type="dxa"/>
              <w:bottom w:w="0" w:type="dxa"/>
              <w:right w:w="108" w:type="dxa"/>
            </w:tcMar>
            <w:hideMark/>
          </w:tcPr>
          <w:p w14:paraId="27D2F234" w14:textId="77777777" w:rsidR="009E5C77" w:rsidRPr="00A2729E" w:rsidRDefault="009E5C77" w:rsidP="0026623C">
            <w:pPr>
              <w:pStyle w:val="TableText"/>
              <w:spacing w:line="276" w:lineRule="auto"/>
              <w:rPr>
                <w:rFonts w:cstheme="minorHAnsi"/>
                <w:b/>
                <w:bCs/>
                <w:szCs w:val="20"/>
                <w:lang w:val="en-US"/>
              </w:rPr>
            </w:pPr>
            <w:r w:rsidRPr="00A2729E">
              <w:rPr>
                <w:rFonts w:cstheme="minorHAnsi"/>
                <w:b/>
                <w:bCs/>
                <w:szCs w:val="20"/>
                <w:lang w:val="en-US"/>
              </w:rPr>
              <w:t xml:space="preserve">CEWO </w:t>
            </w:r>
            <w:r w:rsidRPr="00A2729E">
              <w:rPr>
                <w:rFonts w:cstheme="minorHAnsi"/>
                <w:bCs/>
                <w:szCs w:val="20"/>
                <w:lang w:val="en-US"/>
              </w:rPr>
              <w:t>– Local Engagement Officer (MER Project Contact)</w:t>
            </w:r>
          </w:p>
        </w:tc>
        <w:tc>
          <w:tcPr>
            <w:tcW w:w="3402" w:type="dxa"/>
            <w:tcMar>
              <w:top w:w="0" w:type="dxa"/>
              <w:left w:w="108" w:type="dxa"/>
              <w:bottom w:w="0" w:type="dxa"/>
              <w:right w:w="108" w:type="dxa"/>
            </w:tcMar>
            <w:hideMark/>
          </w:tcPr>
          <w:p w14:paraId="62A282F7"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Working Group member</w:t>
            </w:r>
          </w:p>
          <w:p w14:paraId="0F8721EA"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CEWO MER Project Contact</w:t>
            </w:r>
          </w:p>
        </w:tc>
      </w:tr>
      <w:tr w:rsidR="009E5C77" w:rsidRPr="00A2729E" w14:paraId="63348AD1" w14:textId="77777777" w:rsidTr="009C3D21">
        <w:trPr>
          <w:cantSplit/>
        </w:trPr>
        <w:tc>
          <w:tcPr>
            <w:tcW w:w="2093" w:type="dxa"/>
            <w:shd w:val="clear" w:color="auto" w:fill="auto"/>
            <w:tcMar>
              <w:top w:w="0" w:type="dxa"/>
              <w:left w:w="108" w:type="dxa"/>
              <w:bottom w:w="0" w:type="dxa"/>
              <w:right w:w="108" w:type="dxa"/>
            </w:tcMar>
            <w:hideMark/>
          </w:tcPr>
          <w:p w14:paraId="252FED6C" w14:textId="77777777" w:rsidR="009E5C77" w:rsidRPr="00A2729E" w:rsidRDefault="009E5C77" w:rsidP="0026623C">
            <w:pPr>
              <w:pStyle w:val="TableText"/>
              <w:spacing w:line="276" w:lineRule="auto"/>
              <w:rPr>
                <w:rFonts w:cstheme="minorHAnsi"/>
                <w:color w:val="auto"/>
                <w:szCs w:val="20"/>
                <w:lang w:val="en-US"/>
              </w:rPr>
            </w:pPr>
            <w:r w:rsidRPr="00A2729E">
              <w:rPr>
                <w:rFonts w:cstheme="minorHAnsi"/>
                <w:color w:val="auto"/>
                <w:szCs w:val="20"/>
                <w:lang w:val="en-US"/>
              </w:rPr>
              <w:t>Alana Wilkes</w:t>
            </w:r>
          </w:p>
        </w:tc>
        <w:tc>
          <w:tcPr>
            <w:tcW w:w="3969" w:type="dxa"/>
            <w:shd w:val="clear" w:color="auto" w:fill="auto"/>
            <w:tcMar>
              <w:top w:w="0" w:type="dxa"/>
              <w:left w:w="108" w:type="dxa"/>
              <w:bottom w:w="0" w:type="dxa"/>
              <w:right w:w="108" w:type="dxa"/>
            </w:tcMar>
            <w:hideMark/>
          </w:tcPr>
          <w:p w14:paraId="3AB3FD6F" w14:textId="77777777" w:rsidR="009E5C77" w:rsidRPr="00A2729E" w:rsidRDefault="009E5C77" w:rsidP="0026623C">
            <w:pPr>
              <w:pStyle w:val="TableText"/>
              <w:spacing w:line="276" w:lineRule="auto"/>
              <w:rPr>
                <w:rFonts w:cstheme="minorHAnsi"/>
                <w:b/>
                <w:bCs/>
                <w:szCs w:val="20"/>
                <w:lang w:val="en-US"/>
              </w:rPr>
            </w:pPr>
            <w:r w:rsidRPr="00A2729E">
              <w:rPr>
                <w:rFonts w:cstheme="minorHAnsi"/>
                <w:b/>
                <w:bCs/>
                <w:szCs w:val="20"/>
                <w:lang w:val="en-US"/>
              </w:rPr>
              <w:t xml:space="preserve">CEWO </w:t>
            </w:r>
            <w:r w:rsidRPr="00A2729E">
              <w:rPr>
                <w:rFonts w:cstheme="minorHAnsi"/>
                <w:bCs/>
                <w:szCs w:val="20"/>
                <w:lang w:val="en-US"/>
              </w:rPr>
              <w:t>– Southern Basin Section (MER Project Contact)</w:t>
            </w:r>
          </w:p>
        </w:tc>
        <w:tc>
          <w:tcPr>
            <w:tcW w:w="3402" w:type="dxa"/>
            <w:shd w:val="clear" w:color="auto" w:fill="auto"/>
            <w:tcMar>
              <w:top w:w="0" w:type="dxa"/>
              <w:left w:w="108" w:type="dxa"/>
              <w:bottom w:w="0" w:type="dxa"/>
              <w:right w:w="108" w:type="dxa"/>
            </w:tcMar>
            <w:hideMark/>
          </w:tcPr>
          <w:p w14:paraId="260E63D1"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Working Group member</w:t>
            </w:r>
          </w:p>
          <w:p w14:paraId="11181043"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 xml:space="preserve">CEWO MER Project Contact </w:t>
            </w:r>
          </w:p>
        </w:tc>
      </w:tr>
      <w:tr w:rsidR="009E5C77" w:rsidRPr="00A2729E" w14:paraId="6082B120" w14:textId="77777777" w:rsidTr="009C3D21">
        <w:trPr>
          <w:cantSplit/>
        </w:trPr>
        <w:tc>
          <w:tcPr>
            <w:tcW w:w="2093" w:type="dxa"/>
            <w:shd w:val="clear" w:color="auto" w:fill="auto"/>
            <w:tcMar>
              <w:top w:w="0" w:type="dxa"/>
              <w:left w:w="108" w:type="dxa"/>
              <w:bottom w:w="0" w:type="dxa"/>
              <w:right w:w="108" w:type="dxa"/>
            </w:tcMar>
          </w:tcPr>
          <w:p w14:paraId="71BE61C5" w14:textId="77777777" w:rsidR="009E5C77" w:rsidRPr="00A2729E" w:rsidRDefault="009E5C77" w:rsidP="0026623C">
            <w:pPr>
              <w:pStyle w:val="TableText"/>
              <w:spacing w:line="276" w:lineRule="auto"/>
              <w:rPr>
                <w:rFonts w:cstheme="minorHAnsi"/>
                <w:color w:val="auto"/>
                <w:szCs w:val="20"/>
                <w:lang w:val="en-US"/>
              </w:rPr>
            </w:pPr>
            <w:r w:rsidRPr="00A2729E">
              <w:rPr>
                <w:rFonts w:cstheme="minorHAnsi"/>
                <w:color w:val="auto"/>
                <w:szCs w:val="20"/>
                <w:lang w:val="en-US"/>
              </w:rPr>
              <w:t>Anthony Moore</w:t>
            </w:r>
          </w:p>
        </w:tc>
        <w:tc>
          <w:tcPr>
            <w:tcW w:w="3969" w:type="dxa"/>
            <w:shd w:val="clear" w:color="auto" w:fill="auto"/>
            <w:tcMar>
              <w:top w:w="0" w:type="dxa"/>
              <w:left w:w="108" w:type="dxa"/>
              <w:bottom w:w="0" w:type="dxa"/>
              <w:right w:w="108" w:type="dxa"/>
            </w:tcMar>
          </w:tcPr>
          <w:p w14:paraId="2FB9A759" w14:textId="77777777" w:rsidR="009E5C77" w:rsidRPr="00A2729E" w:rsidRDefault="009E5C77" w:rsidP="0026623C">
            <w:pPr>
              <w:pStyle w:val="TableText"/>
              <w:spacing w:line="276" w:lineRule="auto"/>
              <w:rPr>
                <w:rFonts w:cstheme="minorHAnsi"/>
                <w:b/>
                <w:bCs/>
                <w:szCs w:val="20"/>
                <w:lang w:val="en-US"/>
              </w:rPr>
            </w:pPr>
            <w:r w:rsidRPr="00A2729E">
              <w:rPr>
                <w:rFonts w:cstheme="minorHAnsi"/>
                <w:b/>
                <w:bCs/>
                <w:szCs w:val="20"/>
                <w:lang w:val="en-US"/>
              </w:rPr>
              <w:t xml:space="preserve">CEWO </w:t>
            </w:r>
            <w:r w:rsidRPr="00A2729E">
              <w:rPr>
                <w:rFonts w:cstheme="minorHAnsi"/>
                <w:bCs/>
                <w:szCs w:val="20"/>
                <w:lang w:val="en-US"/>
              </w:rPr>
              <w:t>– Southern Basin Section (MER Project Contact)</w:t>
            </w:r>
          </w:p>
        </w:tc>
        <w:tc>
          <w:tcPr>
            <w:tcW w:w="3402" w:type="dxa"/>
            <w:shd w:val="clear" w:color="auto" w:fill="auto"/>
            <w:tcMar>
              <w:top w:w="0" w:type="dxa"/>
              <w:left w:w="108" w:type="dxa"/>
              <w:bottom w:w="0" w:type="dxa"/>
              <w:right w:w="108" w:type="dxa"/>
            </w:tcMar>
          </w:tcPr>
          <w:p w14:paraId="0055C0A7"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Working Group member</w:t>
            </w:r>
          </w:p>
          <w:p w14:paraId="74CC666F"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CEWO MER Project Contact</w:t>
            </w:r>
          </w:p>
        </w:tc>
      </w:tr>
      <w:tr w:rsidR="009E5C77" w:rsidRPr="00A2729E" w14:paraId="3532FB74" w14:textId="77777777" w:rsidTr="009C3D21">
        <w:trPr>
          <w:cantSplit/>
        </w:trPr>
        <w:tc>
          <w:tcPr>
            <w:tcW w:w="2093" w:type="dxa"/>
            <w:tcMar>
              <w:top w:w="0" w:type="dxa"/>
              <w:left w:w="108" w:type="dxa"/>
              <w:bottom w:w="0" w:type="dxa"/>
              <w:right w:w="108" w:type="dxa"/>
            </w:tcMar>
            <w:hideMark/>
          </w:tcPr>
          <w:p w14:paraId="10D20A25" w14:textId="3D2ACAFB"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Janet Pritchard/</w:t>
            </w:r>
            <w:r w:rsidR="0093053B">
              <w:rPr>
                <w:rFonts w:cstheme="minorHAnsi"/>
                <w:szCs w:val="20"/>
                <w:lang w:val="en-US"/>
              </w:rPr>
              <w:t>Gill Whiting/</w:t>
            </w:r>
            <w:r w:rsidRPr="00A2729E">
              <w:rPr>
                <w:rFonts w:cstheme="minorHAnsi"/>
                <w:szCs w:val="20"/>
                <w:lang w:val="en-US"/>
              </w:rPr>
              <w:t>Andrew Lowes/Adam Sluggett</w:t>
            </w:r>
          </w:p>
        </w:tc>
        <w:tc>
          <w:tcPr>
            <w:tcW w:w="3969" w:type="dxa"/>
            <w:tcMar>
              <w:top w:w="0" w:type="dxa"/>
              <w:left w:w="108" w:type="dxa"/>
              <w:bottom w:w="0" w:type="dxa"/>
              <w:right w:w="108" w:type="dxa"/>
            </w:tcMar>
            <w:hideMark/>
          </w:tcPr>
          <w:p w14:paraId="64DBE809" w14:textId="77777777" w:rsidR="009E5C77" w:rsidRPr="00A2729E" w:rsidRDefault="009E5C77" w:rsidP="0026623C">
            <w:pPr>
              <w:rPr>
                <w:rFonts w:cstheme="minorHAnsi"/>
                <w:i/>
                <w:iCs/>
                <w:sz w:val="20"/>
              </w:rPr>
            </w:pPr>
            <w:r w:rsidRPr="00A2729E">
              <w:rPr>
                <w:rFonts w:cstheme="minorHAnsi"/>
                <w:b/>
                <w:bCs/>
                <w:sz w:val="20"/>
                <w:lang w:val="en-US"/>
              </w:rPr>
              <w:t xml:space="preserve">MDBA </w:t>
            </w:r>
            <w:r w:rsidRPr="00A2729E">
              <w:rPr>
                <w:rFonts w:cstheme="minorHAnsi"/>
                <w:bCs/>
                <w:sz w:val="20"/>
                <w:lang w:val="en-US"/>
              </w:rPr>
              <w:t xml:space="preserve">– </w:t>
            </w:r>
            <w:r w:rsidRPr="00A2729E">
              <w:rPr>
                <w:rFonts w:cstheme="minorHAnsi"/>
                <w:i/>
                <w:iCs/>
                <w:sz w:val="20"/>
              </w:rPr>
              <w:t>SCBEWC and The Living Murray Initiative</w:t>
            </w:r>
            <w:r w:rsidRPr="00A2729E">
              <w:rPr>
                <w:rFonts w:cstheme="minorHAnsi"/>
                <w:iCs/>
                <w:sz w:val="20"/>
              </w:rPr>
              <w:t xml:space="preserve">, </w:t>
            </w:r>
            <w:r w:rsidRPr="00A2729E">
              <w:rPr>
                <w:rFonts w:cstheme="minorHAnsi"/>
                <w:sz w:val="20"/>
              </w:rPr>
              <w:t>Environmental Management Division</w:t>
            </w:r>
          </w:p>
          <w:p w14:paraId="63617CC1" w14:textId="77777777" w:rsidR="009E5C77" w:rsidRPr="00A2729E" w:rsidRDefault="009E5C77" w:rsidP="0026623C">
            <w:pPr>
              <w:pStyle w:val="TableText"/>
              <w:spacing w:line="276" w:lineRule="auto"/>
              <w:rPr>
                <w:rFonts w:cstheme="minorHAnsi"/>
                <w:b/>
                <w:bCs/>
                <w:szCs w:val="20"/>
                <w:lang w:val="en-US"/>
              </w:rPr>
            </w:pPr>
          </w:p>
        </w:tc>
        <w:tc>
          <w:tcPr>
            <w:tcW w:w="3402" w:type="dxa"/>
            <w:tcMar>
              <w:top w:w="0" w:type="dxa"/>
              <w:left w:w="108" w:type="dxa"/>
              <w:bottom w:w="0" w:type="dxa"/>
              <w:right w:w="108" w:type="dxa"/>
            </w:tcMar>
            <w:hideMark/>
          </w:tcPr>
          <w:p w14:paraId="2DFBF000"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Working Group member</w:t>
            </w:r>
          </w:p>
        </w:tc>
      </w:tr>
      <w:tr w:rsidR="009E5C77" w:rsidRPr="00A2729E" w14:paraId="6DB6313F" w14:textId="77777777" w:rsidTr="009C3D21">
        <w:trPr>
          <w:cantSplit/>
        </w:trPr>
        <w:tc>
          <w:tcPr>
            <w:tcW w:w="2093" w:type="dxa"/>
            <w:tcMar>
              <w:top w:w="0" w:type="dxa"/>
              <w:left w:w="108" w:type="dxa"/>
              <w:bottom w:w="0" w:type="dxa"/>
              <w:right w:w="108" w:type="dxa"/>
            </w:tcMar>
            <w:hideMark/>
          </w:tcPr>
          <w:p w14:paraId="7FE5679B" w14:textId="6BC8A306" w:rsidR="009E5C77" w:rsidRPr="00A2729E" w:rsidRDefault="009E5C77" w:rsidP="0093053B">
            <w:pPr>
              <w:pStyle w:val="TableText"/>
              <w:spacing w:line="276" w:lineRule="auto"/>
              <w:rPr>
                <w:rFonts w:cstheme="minorHAnsi"/>
                <w:szCs w:val="20"/>
                <w:lang w:val="en-US"/>
              </w:rPr>
            </w:pPr>
            <w:r w:rsidRPr="00A2729E">
              <w:rPr>
                <w:rFonts w:cstheme="minorHAnsi"/>
                <w:szCs w:val="20"/>
                <w:lang w:val="en-US"/>
              </w:rPr>
              <w:t>Jacqui Hickey/Sarah Commens/Tom Zouch</w:t>
            </w:r>
          </w:p>
        </w:tc>
        <w:tc>
          <w:tcPr>
            <w:tcW w:w="3969" w:type="dxa"/>
            <w:tcMar>
              <w:top w:w="0" w:type="dxa"/>
              <w:left w:w="108" w:type="dxa"/>
              <w:bottom w:w="0" w:type="dxa"/>
              <w:right w:w="108" w:type="dxa"/>
            </w:tcMar>
            <w:hideMark/>
          </w:tcPr>
          <w:p w14:paraId="1EC496AD" w14:textId="77777777" w:rsidR="009E5C77" w:rsidRPr="00A2729E" w:rsidRDefault="009E5C77" w:rsidP="0026623C">
            <w:pPr>
              <w:pStyle w:val="TableText"/>
              <w:spacing w:line="276" w:lineRule="auto"/>
              <w:rPr>
                <w:rFonts w:cstheme="minorHAnsi"/>
                <w:b/>
                <w:bCs/>
                <w:szCs w:val="20"/>
                <w:lang w:val="en-US"/>
              </w:rPr>
            </w:pPr>
            <w:r w:rsidRPr="00A2729E">
              <w:rPr>
                <w:rFonts w:cstheme="minorHAnsi"/>
                <w:b/>
                <w:bCs/>
                <w:szCs w:val="20"/>
                <w:lang w:val="en-US"/>
              </w:rPr>
              <w:t xml:space="preserve">MDBA </w:t>
            </w:r>
            <w:r w:rsidRPr="00A2729E">
              <w:rPr>
                <w:rFonts w:cstheme="minorHAnsi"/>
                <w:bCs/>
                <w:szCs w:val="20"/>
                <w:lang w:val="en-US"/>
              </w:rPr>
              <w:t>– River Murray Operations</w:t>
            </w:r>
          </w:p>
        </w:tc>
        <w:tc>
          <w:tcPr>
            <w:tcW w:w="3402" w:type="dxa"/>
            <w:tcMar>
              <w:top w:w="0" w:type="dxa"/>
              <w:left w:w="108" w:type="dxa"/>
              <w:bottom w:w="0" w:type="dxa"/>
              <w:right w:w="108" w:type="dxa"/>
            </w:tcMar>
            <w:hideMark/>
          </w:tcPr>
          <w:p w14:paraId="76D53DF1"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Working Group member</w:t>
            </w:r>
          </w:p>
        </w:tc>
      </w:tr>
      <w:tr w:rsidR="009E5C77" w:rsidRPr="00A2729E" w14:paraId="3DA12BD2" w14:textId="77777777" w:rsidTr="009C3D21">
        <w:trPr>
          <w:cantSplit/>
        </w:trPr>
        <w:tc>
          <w:tcPr>
            <w:tcW w:w="2093" w:type="dxa"/>
            <w:tcMar>
              <w:top w:w="0" w:type="dxa"/>
              <w:left w:w="108" w:type="dxa"/>
              <w:bottom w:w="0" w:type="dxa"/>
              <w:right w:w="108" w:type="dxa"/>
            </w:tcMar>
          </w:tcPr>
          <w:p w14:paraId="018C30E8"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Michelle Bald</w:t>
            </w:r>
          </w:p>
          <w:p w14:paraId="7A3CE0DC"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Rebecca Quin</w:t>
            </w:r>
          </w:p>
        </w:tc>
        <w:tc>
          <w:tcPr>
            <w:tcW w:w="3969" w:type="dxa"/>
            <w:tcMar>
              <w:top w:w="0" w:type="dxa"/>
              <w:left w:w="108" w:type="dxa"/>
              <w:bottom w:w="0" w:type="dxa"/>
              <w:right w:w="108" w:type="dxa"/>
            </w:tcMar>
          </w:tcPr>
          <w:p w14:paraId="0C8B5B0D" w14:textId="6FFAFE67" w:rsidR="009E5C77" w:rsidRPr="00A2729E" w:rsidRDefault="009E5C77" w:rsidP="00895587">
            <w:pPr>
              <w:pStyle w:val="TableText"/>
              <w:spacing w:line="276" w:lineRule="auto"/>
              <w:rPr>
                <w:rFonts w:cstheme="minorHAnsi"/>
                <w:b/>
                <w:bCs/>
                <w:szCs w:val="20"/>
                <w:lang w:val="en-US"/>
              </w:rPr>
            </w:pPr>
            <w:r w:rsidRPr="00A2729E">
              <w:rPr>
                <w:rFonts w:cstheme="minorHAnsi"/>
                <w:b/>
                <w:bCs/>
                <w:szCs w:val="20"/>
                <w:lang w:val="en-US"/>
              </w:rPr>
              <w:t>DEW</w:t>
            </w:r>
            <w:r w:rsidRPr="00A2729E">
              <w:rPr>
                <w:rFonts w:cstheme="minorHAnsi"/>
                <w:szCs w:val="20"/>
                <w:lang w:val="en-US"/>
              </w:rPr>
              <w:t xml:space="preserve"> </w:t>
            </w:r>
            <w:r w:rsidRPr="00A2729E">
              <w:rPr>
                <w:rFonts w:cstheme="minorHAnsi"/>
                <w:b/>
                <w:bCs/>
                <w:szCs w:val="20"/>
                <w:lang w:val="en-US"/>
              </w:rPr>
              <w:t xml:space="preserve">– </w:t>
            </w:r>
            <w:r w:rsidRPr="00A2729E">
              <w:rPr>
                <w:rFonts w:cstheme="minorHAnsi"/>
                <w:szCs w:val="20"/>
                <w:lang w:val="en-US"/>
              </w:rPr>
              <w:t>LMR Selected Area consortium partner (Stage 1)</w:t>
            </w:r>
          </w:p>
        </w:tc>
        <w:tc>
          <w:tcPr>
            <w:tcW w:w="3402" w:type="dxa"/>
            <w:tcMar>
              <w:top w:w="0" w:type="dxa"/>
              <w:left w:w="108" w:type="dxa"/>
              <w:bottom w:w="0" w:type="dxa"/>
              <w:right w:w="108" w:type="dxa"/>
            </w:tcMar>
          </w:tcPr>
          <w:p w14:paraId="5930BBCA"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rPr>
              <w:t>Working Group member</w:t>
            </w:r>
          </w:p>
        </w:tc>
      </w:tr>
      <w:tr w:rsidR="009E5C77" w:rsidRPr="00A2729E" w14:paraId="0B6F4349" w14:textId="77777777" w:rsidTr="009C3D21">
        <w:trPr>
          <w:cantSplit/>
        </w:trPr>
        <w:tc>
          <w:tcPr>
            <w:tcW w:w="2093" w:type="dxa"/>
            <w:tcMar>
              <w:top w:w="0" w:type="dxa"/>
              <w:left w:w="108" w:type="dxa"/>
              <w:bottom w:w="0" w:type="dxa"/>
              <w:right w:w="108" w:type="dxa"/>
            </w:tcMar>
          </w:tcPr>
          <w:p w14:paraId="6B1ADF4B"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 xml:space="preserve">Tony Herbert / </w:t>
            </w:r>
          </w:p>
          <w:p w14:paraId="00F52F72"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Jan Whittle</w:t>
            </w:r>
          </w:p>
        </w:tc>
        <w:tc>
          <w:tcPr>
            <w:tcW w:w="3969" w:type="dxa"/>
            <w:tcMar>
              <w:top w:w="0" w:type="dxa"/>
              <w:left w:w="108" w:type="dxa"/>
              <w:bottom w:w="0" w:type="dxa"/>
              <w:right w:w="108" w:type="dxa"/>
            </w:tcMar>
          </w:tcPr>
          <w:p w14:paraId="5929CACE" w14:textId="0AFE97BA" w:rsidR="009E5C77" w:rsidRPr="00A2729E" w:rsidRDefault="009E5C77" w:rsidP="00895587">
            <w:pPr>
              <w:pStyle w:val="TableText"/>
              <w:spacing w:line="276" w:lineRule="auto"/>
              <w:rPr>
                <w:rFonts w:cstheme="minorHAnsi"/>
                <w:b/>
                <w:bCs/>
                <w:szCs w:val="20"/>
                <w:lang w:val="en-US"/>
              </w:rPr>
            </w:pPr>
            <w:r w:rsidRPr="00A2729E">
              <w:rPr>
                <w:rFonts w:cstheme="minorHAnsi"/>
                <w:b/>
                <w:bCs/>
                <w:szCs w:val="20"/>
                <w:lang w:val="en-US"/>
              </w:rPr>
              <w:t>DEW</w:t>
            </w:r>
            <w:r w:rsidRPr="00A2729E">
              <w:rPr>
                <w:rFonts w:cstheme="minorHAnsi"/>
                <w:szCs w:val="20"/>
                <w:lang w:val="en-US"/>
              </w:rPr>
              <w:t xml:space="preserve"> – LMR Selected Area consortium partner (Stage 1)</w:t>
            </w:r>
          </w:p>
        </w:tc>
        <w:tc>
          <w:tcPr>
            <w:tcW w:w="3402" w:type="dxa"/>
            <w:tcMar>
              <w:top w:w="0" w:type="dxa"/>
              <w:left w:w="108" w:type="dxa"/>
              <w:bottom w:w="0" w:type="dxa"/>
              <w:right w:w="108" w:type="dxa"/>
            </w:tcMar>
          </w:tcPr>
          <w:p w14:paraId="335628FD"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Working Group member</w:t>
            </w:r>
          </w:p>
        </w:tc>
      </w:tr>
      <w:tr w:rsidR="009E5C77" w:rsidRPr="00A2729E" w14:paraId="28AC55C1" w14:textId="77777777" w:rsidTr="009C3D21">
        <w:trPr>
          <w:cantSplit/>
        </w:trPr>
        <w:tc>
          <w:tcPr>
            <w:tcW w:w="2093" w:type="dxa"/>
            <w:tcMar>
              <w:top w:w="0" w:type="dxa"/>
              <w:left w:w="108" w:type="dxa"/>
              <w:bottom w:w="0" w:type="dxa"/>
              <w:right w:w="108" w:type="dxa"/>
            </w:tcMar>
            <w:hideMark/>
          </w:tcPr>
          <w:p w14:paraId="46750509"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Tracey Steggles</w:t>
            </w:r>
          </w:p>
        </w:tc>
        <w:tc>
          <w:tcPr>
            <w:tcW w:w="3969" w:type="dxa"/>
            <w:tcMar>
              <w:top w:w="0" w:type="dxa"/>
              <w:left w:w="108" w:type="dxa"/>
              <w:bottom w:w="0" w:type="dxa"/>
              <w:right w:w="108" w:type="dxa"/>
            </w:tcMar>
            <w:hideMark/>
          </w:tcPr>
          <w:p w14:paraId="124F08FB" w14:textId="640F7A08" w:rsidR="009E5C77" w:rsidRPr="00A2729E" w:rsidRDefault="009E5C77" w:rsidP="00895587">
            <w:pPr>
              <w:pStyle w:val="TableText"/>
              <w:spacing w:line="276" w:lineRule="auto"/>
              <w:rPr>
                <w:rFonts w:cstheme="minorHAnsi"/>
                <w:szCs w:val="20"/>
                <w:lang w:val="en-US"/>
              </w:rPr>
            </w:pPr>
            <w:r w:rsidRPr="00A2729E">
              <w:rPr>
                <w:rFonts w:cstheme="minorHAnsi"/>
                <w:b/>
                <w:bCs/>
                <w:szCs w:val="20"/>
                <w:lang w:val="en-US"/>
              </w:rPr>
              <w:t>DEW</w:t>
            </w:r>
            <w:r w:rsidRPr="00A2729E">
              <w:rPr>
                <w:rFonts w:cstheme="minorHAnsi"/>
                <w:szCs w:val="20"/>
                <w:lang w:val="en-US"/>
              </w:rPr>
              <w:t xml:space="preserve"> – Lower Murray Selected Area consortium partner (Stage 1)</w:t>
            </w:r>
          </w:p>
        </w:tc>
        <w:tc>
          <w:tcPr>
            <w:tcW w:w="3402" w:type="dxa"/>
            <w:tcMar>
              <w:top w:w="0" w:type="dxa"/>
              <w:left w:w="108" w:type="dxa"/>
              <w:bottom w:w="0" w:type="dxa"/>
              <w:right w:w="108" w:type="dxa"/>
            </w:tcMar>
            <w:hideMark/>
          </w:tcPr>
          <w:p w14:paraId="7D184F6F"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Working Group member</w:t>
            </w:r>
          </w:p>
        </w:tc>
      </w:tr>
      <w:tr w:rsidR="009E5C77" w:rsidRPr="00A2729E" w14:paraId="6250592A" w14:textId="77777777" w:rsidTr="009C3D21">
        <w:trPr>
          <w:cantSplit/>
        </w:trPr>
        <w:tc>
          <w:tcPr>
            <w:tcW w:w="2093" w:type="dxa"/>
            <w:tcMar>
              <w:top w:w="0" w:type="dxa"/>
              <w:left w:w="108" w:type="dxa"/>
              <w:bottom w:w="0" w:type="dxa"/>
              <w:right w:w="108" w:type="dxa"/>
            </w:tcMar>
            <w:hideMark/>
          </w:tcPr>
          <w:p w14:paraId="76628D79"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Jarrod Eaton</w:t>
            </w:r>
          </w:p>
        </w:tc>
        <w:tc>
          <w:tcPr>
            <w:tcW w:w="3969" w:type="dxa"/>
            <w:tcMar>
              <w:top w:w="0" w:type="dxa"/>
              <w:left w:w="108" w:type="dxa"/>
              <w:bottom w:w="0" w:type="dxa"/>
              <w:right w:w="108" w:type="dxa"/>
            </w:tcMar>
            <w:hideMark/>
          </w:tcPr>
          <w:p w14:paraId="3DDA5C49" w14:textId="77777777" w:rsidR="009E5C77" w:rsidRPr="00A2729E" w:rsidRDefault="009E5C77" w:rsidP="0026623C">
            <w:pPr>
              <w:pStyle w:val="TableText"/>
              <w:spacing w:line="276" w:lineRule="auto"/>
              <w:rPr>
                <w:rFonts w:cstheme="minorHAnsi"/>
                <w:szCs w:val="20"/>
                <w:lang w:val="en-US"/>
              </w:rPr>
            </w:pPr>
            <w:r w:rsidRPr="00A2729E">
              <w:rPr>
                <w:rFonts w:cstheme="minorHAnsi"/>
                <w:b/>
                <w:bCs/>
                <w:szCs w:val="20"/>
                <w:lang w:val="en-US"/>
              </w:rPr>
              <w:t xml:space="preserve">DEW </w:t>
            </w:r>
            <w:r w:rsidRPr="00A2729E">
              <w:rPr>
                <w:rFonts w:cstheme="minorHAnsi"/>
                <w:szCs w:val="20"/>
                <w:lang w:val="en-US"/>
              </w:rPr>
              <w:t xml:space="preserve">– Lower Murray Selected Area MER </w:t>
            </w:r>
          </w:p>
        </w:tc>
        <w:tc>
          <w:tcPr>
            <w:tcW w:w="3402" w:type="dxa"/>
            <w:tcMar>
              <w:top w:w="0" w:type="dxa"/>
              <w:left w:w="108" w:type="dxa"/>
              <w:bottom w:w="0" w:type="dxa"/>
              <w:right w:w="108" w:type="dxa"/>
            </w:tcMar>
            <w:hideMark/>
          </w:tcPr>
          <w:p w14:paraId="7D1323C6"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Working Group member</w:t>
            </w:r>
          </w:p>
        </w:tc>
      </w:tr>
      <w:tr w:rsidR="009E5C77" w:rsidRPr="00A2729E" w14:paraId="5DD19FAA" w14:textId="77777777" w:rsidTr="009C3D21">
        <w:trPr>
          <w:cantSplit/>
        </w:trPr>
        <w:tc>
          <w:tcPr>
            <w:tcW w:w="2093" w:type="dxa"/>
            <w:tcMar>
              <w:top w:w="0" w:type="dxa"/>
              <w:left w:w="108" w:type="dxa"/>
              <w:bottom w:w="0" w:type="dxa"/>
              <w:right w:w="108" w:type="dxa"/>
            </w:tcMar>
          </w:tcPr>
          <w:p w14:paraId="3F799260" w14:textId="77777777" w:rsidR="009E5C77" w:rsidRPr="00A2729E" w:rsidRDefault="009E5C77" w:rsidP="0026623C">
            <w:pPr>
              <w:pStyle w:val="TableText"/>
              <w:spacing w:line="276" w:lineRule="auto"/>
              <w:rPr>
                <w:rFonts w:cstheme="minorHAnsi"/>
                <w:color w:val="222222"/>
                <w:szCs w:val="20"/>
                <w:shd w:val="clear" w:color="auto" w:fill="FFFFFF"/>
                <w:lang w:val="en-US"/>
              </w:rPr>
            </w:pPr>
            <w:r w:rsidRPr="00A2729E">
              <w:rPr>
                <w:rFonts w:cstheme="minorHAnsi"/>
                <w:color w:val="222222"/>
                <w:szCs w:val="20"/>
                <w:shd w:val="clear" w:color="auto" w:fill="FFFFFF"/>
                <w:lang w:val="en-US"/>
              </w:rPr>
              <w:t>Tumi Bjornsson/</w:t>
            </w:r>
          </w:p>
          <w:p w14:paraId="35F138DA" w14:textId="77777777" w:rsidR="009E5C77" w:rsidRPr="00A2729E" w:rsidRDefault="009E5C77" w:rsidP="0026623C">
            <w:pPr>
              <w:rPr>
                <w:rFonts w:cstheme="minorHAnsi"/>
                <w:sz w:val="20"/>
                <w:lang w:val="en-US"/>
              </w:rPr>
            </w:pPr>
            <w:r w:rsidRPr="00A2729E">
              <w:rPr>
                <w:rFonts w:cstheme="minorHAnsi"/>
                <w:sz w:val="20"/>
                <w:lang w:val="en-US"/>
              </w:rPr>
              <w:t>Andrew Rettig</w:t>
            </w:r>
          </w:p>
        </w:tc>
        <w:tc>
          <w:tcPr>
            <w:tcW w:w="3969" w:type="dxa"/>
            <w:tcMar>
              <w:top w:w="0" w:type="dxa"/>
              <w:left w:w="108" w:type="dxa"/>
              <w:bottom w:w="0" w:type="dxa"/>
              <w:right w:w="108" w:type="dxa"/>
            </w:tcMar>
          </w:tcPr>
          <w:p w14:paraId="021EE415" w14:textId="40C97F57" w:rsidR="009E5C77" w:rsidRPr="00A2729E" w:rsidRDefault="009E5C77" w:rsidP="00895587">
            <w:pPr>
              <w:pStyle w:val="TableText"/>
              <w:spacing w:line="276" w:lineRule="auto"/>
              <w:rPr>
                <w:rFonts w:cstheme="minorHAnsi"/>
                <w:b/>
                <w:bCs/>
                <w:szCs w:val="20"/>
                <w:lang w:val="en-US"/>
              </w:rPr>
            </w:pPr>
            <w:r w:rsidRPr="00A2729E">
              <w:rPr>
                <w:rFonts w:cstheme="minorHAnsi"/>
                <w:b/>
                <w:bCs/>
                <w:szCs w:val="20"/>
                <w:lang w:val="en-US"/>
              </w:rPr>
              <w:t>DEW</w:t>
            </w:r>
            <w:r w:rsidRPr="00A2729E">
              <w:rPr>
                <w:rFonts w:cstheme="minorHAnsi"/>
                <w:szCs w:val="20"/>
                <w:lang w:val="en-US"/>
              </w:rPr>
              <w:t xml:space="preserve"> – LMR Selected Area consortium partner (Stage 1)</w:t>
            </w:r>
          </w:p>
        </w:tc>
        <w:tc>
          <w:tcPr>
            <w:tcW w:w="3402" w:type="dxa"/>
            <w:tcMar>
              <w:top w:w="0" w:type="dxa"/>
              <w:left w:w="108" w:type="dxa"/>
              <w:bottom w:w="0" w:type="dxa"/>
              <w:right w:w="108" w:type="dxa"/>
            </w:tcMar>
          </w:tcPr>
          <w:p w14:paraId="7620A7C8"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Working Group member</w:t>
            </w:r>
          </w:p>
        </w:tc>
      </w:tr>
      <w:tr w:rsidR="009E5C77" w:rsidRPr="00A2729E" w14:paraId="1C3DAAE5" w14:textId="77777777" w:rsidTr="009C3D21">
        <w:trPr>
          <w:cantSplit/>
        </w:trPr>
        <w:tc>
          <w:tcPr>
            <w:tcW w:w="2093" w:type="dxa"/>
            <w:tcMar>
              <w:top w:w="0" w:type="dxa"/>
              <w:left w:w="108" w:type="dxa"/>
              <w:bottom w:w="0" w:type="dxa"/>
              <w:right w:w="108" w:type="dxa"/>
            </w:tcMar>
            <w:hideMark/>
          </w:tcPr>
          <w:p w14:paraId="4DE71ED7" w14:textId="77777777" w:rsidR="009E5C77" w:rsidRPr="00A2729E" w:rsidRDefault="009E5C77" w:rsidP="0026623C">
            <w:pPr>
              <w:pStyle w:val="TableText"/>
              <w:spacing w:line="276" w:lineRule="auto"/>
              <w:rPr>
                <w:rFonts w:cstheme="minorHAnsi"/>
                <w:color w:val="222222"/>
                <w:szCs w:val="20"/>
                <w:shd w:val="clear" w:color="auto" w:fill="FFFFFF"/>
                <w:lang w:val="en-US"/>
              </w:rPr>
            </w:pPr>
            <w:r w:rsidRPr="00A2729E">
              <w:rPr>
                <w:rFonts w:cstheme="minorHAnsi"/>
                <w:color w:val="222222"/>
                <w:szCs w:val="20"/>
                <w:shd w:val="clear" w:color="auto" w:fill="FFFFFF"/>
                <w:lang w:val="en-US"/>
              </w:rPr>
              <w:t>Keith Rowling</w:t>
            </w:r>
          </w:p>
        </w:tc>
        <w:tc>
          <w:tcPr>
            <w:tcW w:w="3969" w:type="dxa"/>
            <w:tcMar>
              <w:top w:w="0" w:type="dxa"/>
              <w:left w:w="108" w:type="dxa"/>
              <w:bottom w:w="0" w:type="dxa"/>
              <w:right w:w="108" w:type="dxa"/>
            </w:tcMar>
            <w:hideMark/>
          </w:tcPr>
          <w:p w14:paraId="3696EF07" w14:textId="77777777" w:rsidR="009E5C77" w:rsidRPr="00A2729E" w:rsidRDefault="009E5C77" w:rsidP="0026623C">
            <w:pPr>
              <w:pStyle w:val="TableText"/>
              <w:spacing w:line="276" w:lineRule="auto"/>
              <w:rPr>
                <w:rFonts w:cstheme="minorHAnsi"/>
                <w:b/>
                <w:bCs/>
                <w:szCs w:val="20"/>
                <w:lang w:val="en-US"/>
              </w:rPr>
            </w:pPr>
            <w:r w:rsidRPr="00A2729E">
              <w:rPr>
                <w:rFonts w:cstheme="minorHAnsi"/>
                <w:b/>
                <w:bCs/>
                <w:szCs w:val="20"/>
                <w:lang w:val="en-US"/>
              </w:rPr>
              <w:t>PIRSA Fisheries and Aquaculture</w:t>
            </w:r>
          </w:p>
        </w:tc>
        <w:tc>
          <w:tcPr>
            <w:tcW w:w="3402" w:type="dxa"/>
            <w:tcMar>
              <w:top w:w="0" w:type="dxa"/>
              <w:left w:w="108" w:type="dxa"/>
              <w:bottom w:w="0" w:type="dxa"/>
              <w:right w:w="108" w:type="dxa"/>
            </w:tcMar>
            <w:hideMark/>
          </w:tcPr>
          <w:p w14:paraId="575CBFF9"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Working Group member</w:t>
            </w:r>
          </w:p>
        </w:tc>
      </w:tr>
      <w:tr w:rsidR="009E5C77" w:rsidRPr="00A2729E" w14:paraId="559689F9" w14:textId="77777777" w:rsidTr="009C3D21">
        <w:trPr>
          <w:cantSplit/>
        </w:trPr>
        <w:tc>
          <w:tcPr>
            <w:tcW w:w="2093" w:type="dxa"/>
            <w:tcMar>
              <w:top w:w="0" w:type="dxa"/>
              <w:left w:w="108" w:type="dxa"/>
              <w:bottom w:w="0" w:type="dxa"/>
              <w:right w:w="108" w:type="dxa"/>
            </w:tcMar>
          </w:tcPr>
          <w:p w14:paraId="04D1DB34"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lastRenderedPageBreak/>
              <w:t>Darren Willis/</w:t>
            </w:r>
          </w:p>
          <w:p w14:paraId="01D2FC5D"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Rebecca Turner</w:t>
            </w:r>
          </w:p>
        </w:tc>
        <w:tc>
          <w:tcPr>
            <w:tcW w:w="3969" w:type="dxa"/>
            <w:tcMar>
              <w:top w:w="0" w:type="dxa"/>
              <w:left w:w="108" w:type="dxa"/>
              <w:bottom w:w="0" w:type="dxa"/>
              <w:right w:w="108" w:type="dxa"/>
            </w:tcMar>
          </w:tcPr>
          <w:p w14:paraId="16281E2E" w14:textId="77777777" w:rsidR="009E5C77" w:rsidRPr="00A2729E" w:rsidRDefault="009E5C77" w:rsidP="0026623C">
            <w:pPr>
              <w:pStyle w:val="TableText"/>
              <w:spacing w:line="276" w:lineRule="auto"/>
              <w:rPr>
                <w:rFonts w:cstheme="minorHAnsi"/>
                <w:b/>
                <w:bCs/>
                <w:szCs w:val="20"/>
                <w:lang w:val="en-US"/>
              </w:rPr>
            </w:pPr>
            <w:r w:rsidRPr="00A2729E">
              <w:rPr>
                <w:rFonts w:cstheme="minorHAnsi"/>
                <w:b/>
                <w:bCs/>
                <w:szCs w:val="20"/>
                <w:lang w:val="en-US"/>
              </w:rPr>
              <w:t>DEW/SAMDB NRMB</w:t>
            </w:r>
          </w:p>
        </w:tc>
        <w:tc>
          <w:tcPr>
            <w:tcW w:w="3402" w:type="dxa"/>
            <w:tcMar>
              <w:top w:w="0" w:type="dxa"/>
              <w:left w:w="108" w:type="dxa"/>
              <w:bottom w:w="0" w:type="dxa"/>
              <w:right w:w="108" w:type="dxa"/>
            </w:tcMar>
          </w:tcPr>
          <w:p w14:paraId="1C1A8C81"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Working Group member</w:t>
            </w:r>
          </w:p>
          <w:p w14:paraId="418CE769" w14:textId="77777777" w:rsidR="009E5C77" w:rsidRPr="00A2729E" w:rsidRDefault="009E5C77" w:rsidP="0026623C">
            <w:pPr>
              <w:pStyle w:val="TableText"/>
              <w:spacing w:line="276" w:lineRule="auto"/>
              <w:rPr>
                <w:rFonts w:cstheme="minorHAnsi"/>
                <w:szCs w:val="20"/>
                <w:lang w:val="en-US"/>
              </w:rPr>
            </w:pPr>
          </w:p>
        </w:tc>
      </w:tr>
      <w:tr w:rsidR="009E5C77" w:rsidRPr="00A2729E" w14:paraId="66FDF4B6" w14:textId="77777777" w:rsidTr="009C3D21">
        <w:trPr>
          <w:cantSplit/>
        </w:trPr>
        <w:tc>
          <w:tcPr>
            <w:tcW w:w="2093" w:type="dxa"/>
            <w:tcMar>
              <w:top w:w="0" w:type="dxa"/>
              <w:left w:w="108" w:type="dxa"/>
              <w:bottom w:w="0" w:type="dxa"/>
              <w:right w:w="108" w:type="dxa"/>
            </w:tcMar>
            <w:hideMark/>
          </w:tcPr>
          <w:p w14:paraId="0B3805B4" w14:textId="77777777" w:rsidR="009E5C77" w:rsidRPr="00A2729E" w:rsidRDefault="009E5C77" w:rsidP="0026623C">
            <w:pPr>
              <w:pStyle w:val="TableText"/>
              <w:spacing w:line="276" w:lineRule="auto"/>
              <w:rPr>
                <w:rFonts w:cstheme="minorHAnsi"/>
                <w:szCs w:val="20"/>
                <w:lang w:val="en-US"/>
              </w:rPr>
            </w:pPr>
          </w:p>
        </w:tc>
        <w:tc>
          <w:tcPr>
            <w:tcW w:w="3969" w:type="dxa"/>
            <w:tcMar>
              <w:top w:w="0" w:type="dxa"/>
              <w:left w:w="108" w:type="dxa"/>
              <w:bottom w:w="0" w:type="dxa"/>
              <w:right w:w="108" w:type="dxa"/>
            </w:tcMar>
            <w:hideMark/>
          </w:tcPr>
          <w:p w14:paraId="7F3F819C" w14:textId="77777777" w:rsidR="009E5C77" w:rsidRPr="00A2729E" w:rsidRDefault="009E5C77" w:rsidP="0026623C">
            <w:pPr>
              <w:pStyle w:val="TableText"/>
              <w:spacing w:line="276" w:lineRule="auto"/>
              <w:rPr>
                <w:rFonts w:cstheme="minorHAnsi"/>
                <w:szCs w:val="20"/>
                <w:lang w:val="en-US"/>
              </w:rPr>
            </w:pPr>
          </w:p>
        </w:tc>
        <w:tc>
          <w:tcPr>
            <w:tcW w:w="3402" w:type="dxa"/>
            <w:tcMar>
              <w:top w:w="0" w:type="dxa"/>
              <w:left w:w="108" w:type="dxa"/>
              <w:bottom w:w="0" w:type="dxa"/>
              <w:right w:w="108" w:type="dxa"/>
            </w:tcMar>
            <w:hideMark/>
          </w:tcPr>
          <w:p w14:paraId="425C38DB" w14:textId="77777777" w:rsidR="009E5C77" w:rsidRPr="00A2729E" w:rsidRDefault="009E5C77" w:rsidP="0026623C">
            <w:pPr>
              <w:pStyle w:val="TableText"/>
              <w:spacing w:line="276" w:lineRule="auto"/>
              <w:rPr>
                <w:rFonts w:cstheme="minorHAnsi"/>
                <w:szCs w:val="20"/>
                <w:lang w:val="en-US"/>
              </w:rPr>
            </w:pPr>
          </w:p>
        </w:tc>
      </w:tr>
      <w:tr w:rsidR="009E5C77" w:rsidRPr="00A2729E" w14:paraId="05AE3AA7" w14:textId="77777777" w:rsidTr="009C3D21">
        <w:trPr>
          <w:cantSplit/>
          <w:trHeight w:val="371"/>
        </w:trPr>
        <w:tc>
          <w:tcPr>
            <w:tcW w:w="2093" w:type="dxa"/>
            <w:tcMar>
              <w:top w:w="0" w:type="dxa"/>
              <w:left w:w="108" w:type="dxa"/>
              <w:bottom w:w="0" w:type="dxa"/>
              <w:right w:w="108" w:type="dxa"/>
            </w:tcMar>
            <w:hideMark/>
          </w:tcPr>
          <w:p w14:paraId="37A1CB13" w14:textId="77777777" w:rsidR="009E5C77" w:rsidRPr="00A2729E" w:rsidRDefault="009E5C77" w:rsidP="0026623C">
            <w:pPr>
              <w:pStyle w:val="TableText"/>
              <w:spacing w:line="276" w:lineRule="auto"/>
              <w:rPr>
                <w:rFonts w:cstheme="minorHAnsi"/>
                <w:szCs w:val="20"/>
                <w:lang w:val="en-US"/>
              </w:rPr>
            </w:pPr>
            <w:r w:rsidRPr="00A2729E">
              <w:rPr>
                <w:rFonts w:cstheme="minorHAnsi"/>
                <w:color w:val="222222"/>
                <w:szCs w:val="20"/>
                <w:shd w:val="clear" w:color="auto" w:fill="FFFFFF"/>
                <w:lang w:val="en-US"/>
              </w:rPr>
              <w:t>Gary Fyfe</w:t>
            </w:r>
          </w:p>
        </w:tc>
        <w:tc>
          <w:tcPr>
            <w:tcW w:w="3969" w:type="dxa"/>
            <w:tcMar>
              <w:top w:w="0" w:type="dxa"/>
              <w:left w:w="108" w:type="dxa"/>
              <w:bottom w:w="0" w:type="dxa"/>
              <w:right w:w="108" w:type="dxa"/>
            </w:tcMar>
            <w:hideMark/>
          </w:tcPr>
          <w:p w14:paraId="54F87364" w14:textId="77777777" w:rsidR="009E5C77" w:rsidRPr="00A2729E" w:rsidRDefault="009E5C77" w:rsidP="0026623C">
            <w:pPr>
              <w:pStyle w:val="TableText"/>
              <w:spacing w:line="276" w:lineRule="auto"/>
              <w:rPr>
                <w:rFonts w:cstheme="minorHAnsi"/>
                <w:b/>
                <w:bCs/>
                <w:szCs w:val="20"/>
                <w:lang w:val="en-US"/>
              </w:rPr>
            </w:pPr>
            <w:r w:rsidRPr="00A2729E">
              <w:rPr>
                <w:rFonts w:cstheme="minorHAnsi"/>
                <w:b/>
                <w:bCs/>
                <w:szCs w:val="20"/>
                <w:lang w:val="en-US"/>
              </w:rPr>
              <w:t>SA Water</w:t>
            </w:r>
          </w:p>
        </w:tc>
        <w:tc>
          <w:tcPr>
            <w:tcW w:w="3402" w:type="dxa"/>
            <w:tcMar>
              <w:top w:w="0" w:type="dxa"/>
              <w:left w:w="108" w:type="dxa"/>
              <w:bottom w:w="0" w:type="dxa"/>
              <w:right w:w="108" w:type="dxa"/>
            </w:tcMar>
            <w:hideMark/>
          </w:tcPr>
          <w:p w14:paraId="5A6F94D9" w14:textId="77777777" w:rsidR="009E5C77" w:rsidRPr="00A2729E" w:rsidRDefault="009E5C77" w:rsidP="0026623C">
            <w:pPr>
              <w:pStyle w:val="TableText"/>
              <w:spacing w:line="276" w:lineRule="auto"/>
              <w:rPr>
                <w:rFonts w:cstheme="minorHAnsi"/>
                <w:szCs w:val="20"/>
                <w:lang w:val="en-US"/>
              </w:rPr>
            </w:pPr>
            <w:r w:rsidRPr="00A2729E">
              <w:rPr>
                <w:rFonts w:cstheme="minorHAnsi"/>
                <w:szCs w:val="20"/>
                <w:lang w:val="en-US"/>
              </w:rPr>
              <w:t>Working Group member</w:t>
            </w:r>
          </w:p>
        </w:tc>
      </w:tr>
    </w:tbl>
    <w:p w14:paraId="5804A285" w14:textId="77777777" w:rsidR="00443EDA" w:rsidRPr="00E2798E" w:rsidRDefault="007D6195" w:rsidP="00475425">
      <w:pPr>
        <w:pStyle w:val="Heading3"/>
        <w:rPr>
          <w:rStyle w:val="Heading4Char"/>
          <w:b/>
          <w:bCs/>
          <w:iCs w:val="0"/>
          <w:u w:val="none"/>
        </w:rPr>
      </w:pPr>
      <w:bookmarkStart w:id="310" w:name="_Toc22196744"/>
      <w:r w:rsidRPr="00E2798E">
        <w:rPr>
          <w:rStyle w:val="Heading4Char"/>
          <w:b/>
          <w:bCs/>
          <w:iCs w:val="0"/>
          <w:u w:val="none"/>
        </w:rPr>
        <w:t>Terms of reference</w:t>
      </w:r>
      <w:bookmarkEnd w:id="310"/>
    </w:p>
    <w:p w14:paraId="0648095A" w14:textId="77777777" w:rsidR="009E5C77" w:rsidRPr="00A973FF" w:rsidRDefault="009E5C77" w:rsidP="009E5C77">
      <w:r w:rsidRPr="00A973FF">
        <w:t xml:space="preserve">The </w:t>
      </w:r>
      <w:r>
        <w:t>Selected Area</w:t>
      </w:r>
      <w:r w:rsidRPr="00A973FF">
        <w:t xml:space="preserve"> Working Group </w:t>
      </w:r>
      <w:r>
        <w:t>is</w:t>
      </w:r>
      <w:r w:rsidRPr="00A973FF">
        <w:t xml:space="preserve"> responsible for </w:t>
      </w:r>
      <w:r>
        <w:t>providing</w:t>
      </w:r>
      <w:r w:rsidRPr="00A973FF">
        <w:t xml:space="preserve"> strategic direction </w:t>
      </w:r>
      <w:r>
        <w:t>for</w:t>
      </w:r>
      <w:r w:rsidRPr="00A973FF">
        <w:t xml:space="preserve"> the </w:t>
      </w:r>
      <w:r w:rsidRPr="0059562E">
        <w:t>MER</w:t>
      </w:r>
      <w:r w:rsidRPr="00A973FF">
        <w:t xml:space="preserve"> Project and exchanging information and intelligence to support </w:t>
      </w:r>
      <w:r>
        <w:t xml:space="preserve">project delivery </w:t>
      </w:r>
      <w:r w:rsidRPr="00A973FF">
        <w:t>and adaptive management. It will:</w:t>
      </w:r>
    </w:p>
    <w:p w14:paraId="149B7FD0" w14:textId="77777777" w:rsidR="009E5C77" w:rsidRPr="00A973FF" w:rsidRDefault="009E5C77" w:rsidP="009E5C77">
      <w:pPr>
        <w:pStyle w:val="ListBullet"/>
      </w:pPr>
      <w:r>
        <w:t>A</w:t>
      </w:r>
      <w:r w:rsidRPr="00A973FF">
        <w:t xml:space="preserve">ctively support and promote the </w:t>
      </w:r>
      <w:r w:rsidRPr="0059562E">
        <w:t>MER</w:t>
      </w:r>
      <w:r w:rsidRPr="00A973FF">
        <w:t xml:space="preserve"> Project within partner organisations</w:t>
      </w:r>
    </w:p>
    <w:p w14:paraId="2C83184B" w14:textId="77777777" w:rsidR="009E5C77" w:rsidRPr="00A973FF" w:rsidRDefault="009E5C77" w:rsidP="009E5C77">
      <w:pPr>
        <w:pStyle w:val="ListBullet"/>
      </w:pPr>
      <w:r>
        <w:t>R</w:t>
      </w:r>
      <w:r w:rsidRPr="00A973FF">
        <w:t>eview key project documentation</w:t>
      </w:r>
      <w:r w:rsidRPr="000E2444">
        <w:t xml:space="preserve"> </w:t>
      </w:r>
      <w:r w:rsidRPr="00A973FF">
        <w:t>where appropriate, including evaluation reports</w:t>
      </w:r>
    </w:p>
    <w:p w14:paraId="3C47C4E5" w14:textId="77777777" w:rsidR="009E5C77" w:rsidRPr="00A973FF" w:rsidRDefault="009E5C77" w:rsidP="009E5C77">
      <w:pPr>
        <w:pStyle w:val="ListBullet"/>
      </w:pPr>
      <w:r>
        <w:t>E</w:t>
      </w:r>
      <w:r w:rsidRPr="00A973FF">
        <w:t xml:space="preserve">xchange operational intelligence relevant to the </w:t>
      </w:r>
      <w:r w:rsidRPr="0059562E">
        <w:t>MER</w:t>
      </w:r>
      <w:r w:rsidRPr="00A973FF">
        <w:t xml:space="preserve"> Project, including intelligence on upcoming watering or monitoring activities</w:t>
      </w:r>
    </w:p>
    <w:p w14:paraId="28596241" w14:textId="77777777" w:rsidR="009E5C77" w:rsidRPr="00A973FF" w:rsidRDefault="009E5C77" w:rsidP="009E5C77">
      <w:pPr>
        <w:pStyle w:val="ListBullet"/>
      </w:pPr>
      <w:r>
        <w:t>E</w:t>
      </w:r>
      <w:r w:rsidRPr="00A973FF">
        <w:t>xchange intelligence relevant to adaptive management of environmental water, including operational observations</w:t>
      </w:r>
      <w:r>
        <w:t xml:space="preserve"> and</w:t>
      </w:r>
      <w:r w:rsidRPr="00A973FF">
        <w:t xml:space="preserve"> monitoring and evaluation outcomes</w:t>
      </w:r>
    </w:p>
    <w:p w14:paraId="081B2205" w14:textId="77777777" w:rsidR="009E5C77" w:rsidRPr="00A973FF" w:rsidRDefault="009E5C77" w:rsidP="009E5C77">
      <w:pPr>
        <w:pStyle w:val="ListBullet"/>
      </w:pPr>
      <w:r>
        <w:t>C</w:t>
      </w:r>
      <w:r w:rsidRPr="00A973FF">
        <w:t xml:space="preserve">onsider stakeholder expectations of the </w:t>
      </w:r>
      <w:r w:rsidRPr="0059562E">
        <w:t>MER</w:t>
      </w:r>
      <w:r w:rsidRPr="00A973FF">
        <w:t xml:space="preserve"> Project</w:t>
      </w:r>
      <w:r w:rsidRPr="000E2444">
        <w:t xml:space="preserve"> </w:t>
      </w:r>
      <w:r w:rsidRPr="00A973FF">
        <w:t>where appropriate</w:t>
      </w:r>
    </w:p>
    <w:p w14:paraId="13F4DB75" w14:textId="77777777" w:rsidR="009E5C77" w:rsidRPr="00A973FF" w:rsidRDefault="009E5C77" w:rsidP="009E5C77">
      <w:pPr>
        <w:pStyle w:val="ListBullet"/>
      </w:pPr>
      <w:r>
        <w:t>E</w:t>
      </w:r>
      <w:r w:rsidRPr="00A973FF">
        <w:t xml:space="preserve">xchange intelligence on any </w:t>
      </w:r>
      <w:r>
        <w:t>actual or perceived</w:t>
      </w:r>
      <w:r w:rsidRPr="00A973FF">
        <w:t xml:space="preserve"> risks to the </w:t>
      </w:r>
      <w:r w:rsidRPr="0059562E">
        <w:t>MER</w:t>
      </w:r>
      <w:r w:rsidRPr="00A973FF">
        <w:t xml:space="preserve"> Project</w:t>
      </w:r>
    </w:p>
    <w:p w14:paraId="3393CF7A" w14:textId="77777777" w:rsidR="009E5C77" w:rsidRPr="00A973FF" w:rsidRDefault="009E5C77" w:rsidP="009E5C77">
      <w:pPr>
        <w:pStyle w:val="ListBullet"/>
      </w:pPr>
      <w:r>
        <w:t>C</w:t>
      </w:r>
      <w:r w:rsidRPr="00A973FF">
        <w:t xml:space="preserve">ommunicate key messages of the </w:t>
      </w:r>
      <w:r w:rsidRPr="0059562E">
        <w:t>MER</w:t>
      </w:r>
      <w:r w:rsidRPr="00A973FF">
        <w:t xml:space="preserve"> Project to organisations involved in environmental water planning and delivery</w:t>
      </w:r>
    </w:p>
    <w:p w14:paraId="488B4918" w14:textId="77777777" w:rsidR="009E5C77" w:rsidRPr="00A973FF" w:rsidRDefault="009E5C77" w:rsidP="009E5C77">
      <w:pPr>
        <w:pStyle w:val="ListBullet"/>
      </w:pPr>
      <w:r>
        <w:t>D</w:t>
      </w:r>
      <w:r w:rsidRPr="00A973FF">
        <w:t xml:space="preserve">ocument key discussion points and outcomes of </w:t>
      </w:r>
      <w:r w:rsidRPr="00A973FF">
        <w:rPr>
          <w:lang w:val="en-US"/>
        </w:rPr>
        <w:t>Working Group</w:t>
      </w:r>
      <w:r w:rsidRPr="00A973FF">
        <w:t xml:space="preserve"> meetings and distribute these to members in the form of minutes.</w:t>
      </w:r>
    </w:p>
    <w:p w14:paraId="24FA3E38" w14:textId="3936A665" w:rsidR="001D5811" w:rsidRPr="001D5811" w:rsidRDefault="001D5811" w:rsidP="00F02673">
      <w:pPr>
        <w:rPr>
          <w:b/>
          <w:u w:val="single"/>
        </w:rPr>
      </w:pPr>
      <w:r w:rsidRPr="001D5811">
        <w:rPr>
          <w:b/>
          <w:u w:val="single"/>
        </w:rPr>
        <w:t>Meetings</w:t>
      </w:r>
    </w:p>
    <w:p w14:paraId="256816AC" w14:textId="55E8F19A" w:rsidR="009E5C77" w:rsidRDefault="009E5C77" w:rsidP="009E5C77">
      <w:r w:rsidRPr="00A973FF">
        <w:t>Working Group meetings will be held at l</w:t>
      </w:r>
      <w:r>
        <w:t>east twice during Stage 1 (2018</w:t>
      </w:r>
      <w:r w:rsidR="00BD42BE">
        <w:rPr>
          <w:rFonts w:eastAsiaTheme="majorEastAsia"/>
        </w:rPr>
        <w:t>-</w:t>
      </w:r>
      <w:r w:rsidRPr="00A973FF">
        <w:t>1</w:t>
      </w:r>
      <w:r>
        <w:t>9</w:t>
      </w:r>
      <w:r w:rsidRPr="00A973FF">
        <w:t xml:space="preserve">) and </w:t>
      </w:r>
      <w:r>
        <w:t>three times per year in Stage 2 (from 2019</w:t>
      </w:r>
      <w:r w:rsidR="00BD42BE">
        <w:rPr>
          <w:rFonts w:eastAsiaTheme="majorEastAsia"/>
        </w:rPr>
        <w:t>-</w:t>
      </w:r>
      <w:r>
        <w:rPr>
          <w:rFonts w:eastAsiaTheme="majorEastAsia"/>
        </w:rPr>
        <w:t>20</w:t>
      </w:r>
      <w:r>
        <w:t>)</w:t>
      </w:r>
      <w:r w:rsidRPr="00A973FF">
        <w:t xml:space="preserve">. Meetings will be held primarily at SARDI Aquatic Sciences, 2 Hamra Avenue, West Beach, </w:t>
      </w:r>
      <w:r>
        <w:t>South Australia</w:t>
      </w:r>
      <w:r w:rsidRPr="00A973FF">
        <w:t xml:space="preserve">. </w:t>
      </w:r>
    </w:p>
    <w:p w14:paraId="201B34F6" w14:textId="77777777" w:rsidR="001D5811" w:rsidRPr="001D5811" w:rsidRDefault="001D5811" w:rsidP="00F02673">
      <w:pPr>
        <w:rPr>
          <w:b/>
          <w:u w:val="single"/>
        </w:rPr>
      </w:pPr>
      <w:r w:rsidRPr="001D5811">
        <w:rPr>
          <w:b/>
          <w:u w:val="single"/>
        </w:rPr>
        <w:t>Minutes and agendas</w:t>
      </w:r>
    </w:p>
    <w:p w14:paraId="4FD0E1C3" w14:textId="77777777" w:rsidR="009E5C77" w:rsidRPr="006900AB" w:rsidRDefault="009E5C77" w:rsidP="009E5C77">
      <w:r w:rsidRPr="006900AB">
        <w:t xml:space="preserve">The MER Provider will prepare and distribute meeting agendas and minutes. Agendas and minutes from the previous meeting and any papers for consideration will be distributed no later than five days prior to the meeting (where practical). Meeting minutes and action items will be distributed within two weeks of the meeting. Immediate actions may be circulated earlier. </w:t>
      </w:r>
    </w:p>
    <w:p w14:paraId="6EB00FBE" w14:textId="77777777" w:rsidR="001D5811" w:rsidRPr="006900AB" w:rsidRDefault="001D5811" w:rsidP="00F02673">
      <w:pPr>
        <w:rPr>
          <w:b/>
          <w:u w:val="single"/>
        </w:rPr>
      </w:pPr>
      <w:r w:rsidRPr="006900AB">
        <w:rPr>
          <w:b/>
          <w:u w:val="single"/>
        </w:rPr>
        <w:t>Agenda items</w:t>
      </w:r>
    </w:p>
    <w:p w14:paraId="3199EACA" w14:textId="77777777" w:rsidR="00443EDA" w:rsidRPr="006900AB" w:rsidRDefault="00703C81" w:rsidP="00F02673">
      <w:r w:rsidRPr="006900AB">
        <w:t>T</w:t>
      </w:r>
      <w:r w:rsidR="00311ADC" w:rsidRPr="006900AB">
        <w:t>he standard agenda items for the Working Group</w:t>
      </w:r>
      <w:r w:rsidRPr="006900AB">
        <w:t xml:space="preserve"> are listed below</w:t>
      </w:r>
      <w:r w:rsidR="00311ADC" w:rsidRPr="006900AB">
        <w:t xml:space="preserve">. Members can submit additional items to be included on </w:t>
      </w:r>
      <w:r w:rsidR="005254AC" w:rsidRPr="006900AB">
        <w:t xml:space="preserve">the </w:t>
      </w:r>
      <w:r w:rsidR="00311ADC" w:rsidRPr="006900AB">
        <w:t xml:space="preserve">agenda at the discretion of the Chair. </w:t>
      </w:r>
    </w:p>
    <w:p w14:paraId="78D11588" w14:textId="0EA73BC0" w:rsidR="00443EDA" w:rsidRPr="006900AB" w:rsidRDefault="0083048A" w:rsidP="00165D7C">
      <w:pPr>
        <w:pStyle w:val="Caption"/>
      </w:pPr>
      <w:bookmarkStart w:id="311" w:name="_Ref381343867"/>
      <w:bookmarkStart w:id="312" w:name="_Toc391539154"/>
      <w:bookmarkStart w:id="313" w:name="_Toc391553317"/>
      <w:bookmarkStart w:id="314" w:name="_Toc396899646"/>
      <w:bookmarkStart w:id="315" w:name="_Toc396899741"/>
      <w:bookmarkStart w:id="316" w:name="_Toc12630259"/>
      <w:bookmarkStart w:id="317" w:name="_Toc381086846"/>
      <w:bookmarkStart w:id="318" w:name="_Toc381380601"/>
      <w:r w:rsidRPr="006900AB">
        <w:t xml:space="preserve">Table </w:t>
      </w:r>
      <w:r w:rsidR="00A8252A">
        <w:rPr>
          <w:noProof/>
        </w:rPr>
        <w:fldChar w:fldCharType="begin"/>
      </w:r>
      <w:r w:rsidR="00A8252A">
        <w:rPr>
          <w:noProof/>
        </w:rPr>
        <w:instrText xml:space="preserve"> STYLEREF 1 \s </w:instrText>
      </w:r>
      <w:r w:rsidR="00A8252A">
        <w:rPr>
          <w:noProof/>
        </w:rPr>
        <w:fldChar w:fldCharType="separate"/>
      </w:r>
      <w:r w:rsidR="00DF49CD">
        <w:rPr>
          <w:noProof/>
        </w:rPr>
        <w:t>8</w:t>
      </w:r>
      <w:r w:rsidR="00A8252A">
        <w:rPr>
          <w:noProof/>
        </w:rPr>
        <w:fldChar w:fldCharType="end"/>
      </w:r>
      <w:r w:rsidR="00F359A2">
        <w:t>.</w:t>
      </w:r>
      <w:r w:rsidR="00A8252A">
        <w:rPr>
          <w:noProof/>
        </w:rPr>
        <w:fldChar w:fldCharType="begin"/>
      </w:r>
      <w:r w:rsidR="00A8252A">
        <w:rPr>
          <w:noProof/>
        </w:rPr>
        <w:instrText xml:space="preserve"> SEQ Table \* ARABIC \s 1 </w:instrText>
      </w:r>
      <w:r w:rsidR="00A8252A">
        <w:rPr>
          <w:noProof/>
        </w:rPr>
        <w:fldChar w:fldCharType="separate"/>
      </w:r>
      <w:r w:rsidR="00DF49CD">
        <w:rPr>
          <w:noProof/>
        </w:rPr>
        <w:t>7</w:t>
      </w:r>
      <w:r w:rsidR="00A8252A">
        <w:rPr>
          <w:noProof/>
        </w:rPr>
        <w:fldChar w:fldCharType="end"/>
      </w:r>
      <w:bookmarkEnd w:id="311"/>
      <w:r w:rsidRPr="006900AB">
        <w:t>.</w:t>
      </w:r>
      <w:r w:rsidR="00E2798E" w:rsidRPr="006900AB">
        <w:tab/>
      </w:r>
      <w:r w:rsidRPr="006900AB">
        <w:t xml:space="preserve">Standard agenda </w:t>
      </w:r>
      <w:r w:rsidR="005254AC" w:rsidRPr="006900AB">
        <w:t xml:space="preserve">items and responsibilities </w:t>
      </w:r>
      <w:r w:rsidRPr="006900AB">
        <w:t>for the Working Group</w:t>
      </w:r>
      <w:bookmarkEnd w:id="312"/>
      <w:bookmarkEnd w:id="313"/>
      <w:bookmarkEnd w:id="314"/>
      <w:bookmarkEnd w:id="315"/>
      <w:bookmarkEnd w:id="316"/>
      <w:r w:rsidRPr="006900AB">
        <w:t xml:space="preserve"> </w:t>
      </w:r>
      <w:bookmarkEnd w:id="317"/>
      <w:bookmarkEnd w:id="3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1"/>
        <w:gridCol w:w="4509"/>
      </w:tblGrid>
      <w:tr w:rsidR="00311ADC" w:rsidRPr="006900AB" w14:paraId="1FB749D3" w14:textId="77777777" w:rsidTr="00A62A49">
        <w:trPr>
          <w:tblHeader/>
        </w:trPr>
        <w:tc>
          <w:tcPr>
            <w:tcW w:w="4714" w:type="dxa"/>
            <w:shd w:val="clear" w:color="auto" w:fill="BFBFBF" w:themeFill="background1" w:themeFillShade="BF"/>
          </w:tcPr>
          <w:p w14:paraId="0833ED8F" w14:textId="77777777" w:rsidR="00443EDA" w:rsidRPr="006900AB" w:rsidRDefault="00311ADC" w:rsidP="00E2798E">
            <w:pPr>
              <w:pStyle w:val="TableHeading"/>
            </w:pPr>
            <w:r w:rsidRPr="006900AB">
              <w:t>Item</w:t>
            </w:r>
          </w:p>
        </w:tc>
        <w:tc>
          <w:tcPr>
            <w:tcW w:w="4714" w:type="dxa"/>
            <w:shd w:val="clear" w:color="auto" w:fill="BFBFBF" w:themeFill="background1" w:themeFillShade="BF"/>
          </w:tcPr>
          <w:p w14:paraId="4B2D30D5" w14:textId="77777777" w:rsidR="00443EDA" w:rsidRPr="006900AB" w:rsidRDefault="00311ADC" w:rsidP="00E2798E">
            <w:pPr>
              <w:pStyle w:val="TableHeading"/>
            </w:pPr>
            <w:r w:rsidRPr="006900AB">
              <w:t>Responsibility</w:t>
            </w:r>
          </w:p>
        </w:tc>
      </w:tr>
      <w:tr w:rsidR="00311ADC" w:rsidRPr="006900AB" w14:paraId="1E772D75" w14:textId="77777777" w:rsidTr="00A62A49">
        <w:tc>
          <w:tcPr>
            <w:tcW w:w="4714" w:type="dxa"/>
          </w:tcPr>
          <w:p w14:paraId="5597F373" w14:textId="77777777" w:rsidR="00443EDA" w:rsidRPr="006900AB" w:rsidRDefault="00311ADC" w:rsidP="00E2798E">
            <w:pPr>
              <w:pStyle w:val="TableText"/>
            </w:pPr>
            <w:r w:rsidRPr="006900AB">
              <w:t>Review and accept minutes from last meeting</w:t>
            </w:r>
          </w:p>
        </w:tc>
        <w:tc>
          <w:tcPr>
            <w:tcW w:w="4714" w:type="dxa"/>
          </w:tcPr>
          <w:p w14:paraId="41636DC6" w14:textId="770D0E55" w:rsidR="00443EDA" w:rsidRPr="006900AB" w:rsidRDefault="00311ADC" w:rsidP="00E2798E">
            <w:pPr>
              <w:pStyle w:val="TableText"/>
            </w:pPr>
            <w:r w:rsidRPr="006900AB">
              <w:t>M</w:t>
            </w:r>
            <w:r w:rsidR="00A511E5" w:rsidRPr="006900AB">
              <w:t>ER</w:t>
            </w:r>
            <w:r w:rsidRPr="006900AB">
              <w:t xml:space="preserve"> Provider </w:t>
            </w:r>
            <w:r w:rsidR="005254AC" w:rsidRPr="006900AB">
              <w:t>(</w:t>
            </w:r>
            <w:r w:rsidRPr="006900AB">
              <w:t>Chair</w:t>
            </w:r>
            <w:r w:rsidR="005254AC" w:rsidRPr="006900AB">
              <w:t>)</w:t>
            </w:r>
          </w:p>
        </w:tc>
      </w:tr>
      <w:tr w:rsidR="00311ADC" w:rsidRPr="006900AB" w14:paraId="1D572531" w14:textId="77777777" w:rsidTr="00A62A49">
        <w:tc>
          <w:tcPr>
            <w:tcW w:w="4714" w:type="dxa"/>
          </w:tcPr>
          <w:p w14:paraId="5D17A3E4" w14:textId="77777777" w:rsidR="00443EDA" w:rsidRPr="006900AB" w:rsidRDefault="00311ADC" w:rsidP="00E2798E">
            <w:pPr>
              <w:pStyle w:val="TableText"/>
            </w:pPr>
            <w:r w:rsidRPr="006900AB">
              <w:t>Update on action items from last meeting</w:t>
            </w:r>
          </w:p>
        </w:tc>
        <w:tc>
          <w:tcPr>
            <w:tcW w:w="4714" w:type="dxa"/>
          </w:tcPr>
          <w:p w14:paraId="6EF7391E" w14:textId="77777777" w:rsidR="00443EDA" w:rsidRPr="006900AB" w:rsidRDefault="00311ADC" w:rsidP="00E2798E">
            <w:pPr>
              <w:pStyle w:val="TableText"/>
            </w:pPr>
            <w:r w:rsidRPr="006900AB">
              <w:t>Chair and members</w:t>
            </w:r>
          </w:p>
        </w:tc>
      </w:tr>
      <w:tr w:rsidR="00311ADC" w:rsidRPr="006900AB" w14:paraId="22B137C2" w14:textId="77777777" w:rsidTr="00A62A49">
        <w:tc>
          <w:tcPr>
            <w:tcW w:w="4714" w:type="dxa"/>
          </w:tcPr>
          <w:p w14:paraId="333A94DB" w14:textId="77777777" w:rsidR="00443EDA" w:rsidRPr="006900AB" w:rsidRDefault="00311ADC" w:rsidP="00E2798E">
            <w:pPr>
              <w:pStyle w:val="TableText"/>
            </w:pPr>
            <w:r w:rsidRPr="006900AB">
              <w:t>Update on planned watering activities</w:t>
            </w:r>
          </w:p>
        </w:tc>
        <w:tc>
          <w:tcPr>
            <w:tcW w:w="4714" w:type="dxa"/>
          </w:tcPr>
          <w:p w14:paraId="696D570B" w14:textId="77777777" w:rsidR="00443EDA" w:rsidRPr="006900AB" w:rsidRDefault="00311ADC" w:rsidP="00E2798E">
            <w:pPr>
              <w:pStyle w:val="TableText"/>
            </w:pPr>
            <w:r w:rsidRPr="006900AB">
              <w:t>Delivery partners, environmental water planning organisations</w:t>
            </w:r>
          </w:p>
        </w:tc>
      </w:tr>
      <w:tr w:rsidR="00311ADC" w:rsidRPr="006900AB" w14:paraId="000CE00D" w14:textId="77777777" w:rsidTr="00A62A49">
        <w:tc>
          <w:tcPr>
            <w:tcW w:w="4714" w:type="dxa"/>
          </w:tcPr>
          <w:p w14:paraId="03B4E380" w14:textId="77777777" w:rsidR="00443EDA" w:rsidRPr="006900AB" w:rsidRDefault="00311ADC" w:rsidP="00E2798E">
            <w:pPr>
              <w:pStyle w:val="TableText"/>
            </w:pPr>
            <w:r w:rsidRPr="006900AB">
              <w:t>Update on planned monitoring activities</w:t>
            </w:r>
          </w:p>
        </w:tc>
        <w:tc>
          <w:tcPr>
            <w:tcW w:w="4714" w:type="dxa"/>
          </w:tcPr>
          <w:p w14:paraId="4D8846B1" w14:textId="4AEBB7A8" w:rsidR="00443EDA" w:rsidRPr="006900AB" w:rsidRDefault="00311ADC" w:rsidP="00E2798E">
            <w:pPr>
              <w:pStyle w:val="TableText"/>
            </w:pPr>
            <w:r w:rsidRPr="006900AB">
              <w:t>M</w:t>
            </w:r>
            <w:r w:rsidR="00A511E5" w:rsidRPr="006900AB">
              <w:t>ER</w:t>
            </w:r>
            <w:r w:rsidRPr="006900AB">
              <w:t xml:space="preserve"> Provide</w:t>
            </w:r>
            <w:r w:rsidRPr="00AB1CDE">
              <w:t xml:space="preserve">r </w:t>
            </w:r>
            <w:r w:rsidRPr="006900AB">
              <w:t>lead</w:t>
            </w:r>
          </w:p>
        </w:tc>
      </w:tr>
      <w:tr w:rsidR="00311ADC" w:rsidRPr="006900AB" w14:paraId="0364506D" w14:textId="77777777" w:rsidTr="00A62A49">
        <w:tc>
          <w:tcPr>
            <w:tcW w:w="4714" w:type="dxa"/>
          </w:tcPr>
          <w:p w14:paraId="08FC0DD8" w14:textId="77777777" w:rsidR="00443EDA" w:rsidRPr="006900AB" w:rsidRDefault="00311ADC" w:rsidP="00E2798E">
            <w:pPr>
              <w:pStyle w:val="TableText"/>
            </w:pPr>
            <w:r w:rsidRPr="006900AB">
              <w:t>Update on monitoring observations and evaluation outcomes to support adaptive management</w:t>
            </w:r>
          </w:p>
        </w:tc>
        <w:tc>
          <w:tcPr>
            <w:tcW w:w="4714" w:type="dxa"/>
          </w:tcPr>
          <w:p w14:paraId="48ABD702" w14:textId="4FF18DB5" w:rsidR="00443EDA" w:rsidRPr="006900AB" w:rsidRDefault="00311ADC" w:rsidP="00E2798E">
            <w:pPr>
              <w:pStyle w:val="TableText"/>
            </w:pPr>
            <w:r w:rsidRPr="006900AB">
              <w:t>M</w:t>
            </w:r>
            <w:r w:rsidR="00A511E5" w:rsidRPr="006900AB">
              <w:t>ER</w:t>
            </w:r>
            <w:r w:rsidRPr="006900AB">
              <w:t xml:space="preserve"> Provider lead</w:t>
            </w:r>
          </w:p>
        </w:tc>
      </w:tr>
      <w:tr w:rsidR="00311ADC" w:rsidRPr="006900AB" w14:paraId="23264D29" w14:textId="77777777" w:rsidTr="00A62A49">
        <w:tc>
          <w:tcPr>
            <w:tcW w:w="4714" w:type="dxa"/>
          </w:tcPr>
          <w:p w14:paraId="3A6E07B1" w14:textId="77777777" w:rsidR="00443EDA" w:rsidRPr="006900AB" w:rsidRDefault="00311ADC" w:rsidP="00E2798E">
            <w:pPr>
              <w:pStyle w:val="TableText"/>
            </w:pPr>
            <w:r w:rsidRPr="006900AB">
              <w:lastRenderedPageBreak/>
              <w:t>Update on community engagement</w:t>
            </w:r>
          </w:p>
        </w:tc>
        <w:tc>
          <w:tcPr>
            <w:tcW w:w="4714" w:type="dxa"/>
          </w:tcPr>
          <w:p w14:paraId="2A29DD94" w14:textId="00D64541" w:rsidR="00443EDA" w:rsidRPr="006900AB" w:rsidRDefault="00311ADC" w:rsidP="00E2798E">
            <w:pPr>
              <w:pStyle w:val="TableText"/>
            </w:pPr>
            <w:r w:rsidRPr="006900AB">
              <w:t>M</w:t>
            </w:r>
            <w:r w:rsidR="00A511E5" w:rsidRPr="006900AB">
              <w:t>ER</w:t>
            </w:r>
            <w:r w:rsidRPr="006900AB">
              <w:t xml:space="preserve"> Provider lead</w:t>
            </w:r>
          </w:p>
        </w:tc>
      </w:tr>
      <w:tr w:rsidR="00311ADC" w:rsidRPr="006900AB" w14:paraId="10F07D4E" w14:textId="77777777" w:rsidTr="00A62A49">
        <w:tc>
          <w:tcPr>
            <w:tcW w:w="4714" w:type="dxa"/>
          </w:tcPr>
          <w:p w14:paraId="0F6AE1EF" w14:textId="77777777" w:rsidR="00443EDA" w:rsidRPr="006900AB" w:rsidRDefault="00311ADC" w:rsidP="00E2798E">
            <w:pPr>
              <w:pStyle w:val="TableText"/>
            </w:pPr>
            <w:r w:rsidRPr="006900AB">
              <w:t>Other business</w:t>
            </w:r>
          </w:p>
        </w:tc>
        <w:tc>
          <w:tcPr>
            <w:tcW w:w="4714" w:type="dxa"/>
          </w:tcPr>
          <w:p w14:paraId="126A3E9B" w14:textId="77777777" w:rsidR="00443EDA" w:rsidRPr="006900AB" w:rsidRDefault="00311ADC" w:rsidP="00E2798E">
            <w:pPr>
              <w:pStyle w:val="TableText"/>
            </w:pPr>
            <w:r w:rsidRPr="006900AB">
              <w:t>All</w:t>
            </w:r>
          </w:p>
        </w:tc>
      </w:tr>
      <w:tr w:rsidR="00311ADC" w:rsidRPr="006900AB" w14:paraId="02DB5048" w14:textId="77777777" w:rsidTr="00A62A49">
        <w:tc>
          <w:tcPr>
            <w:tcW w:w="4714" w:type="dxa"/>
          </w:tcPr>
          <w:p w14:paraId="7503C744" w14:textId="77777777" w:rsidR="00443EDA" w:rsidRPr="006900AB" w:rsidRDefault="00311ADC" w:rsidP="00E2798E">
            <w:pPr>
              <w:pStyle w:val="TableText"/>
            </w:pPr>
            <w:r w:rsidRPr="006900AB">
              <w:t>Confirmation of next meeting</w:t>
            </w:r>
          </w:p>
        </w:tc>
        <w:tc>
          <w:tcPr>
            <w:tcW w:w="4714" w:type="dxa"/>
          </w:tcPr>
          <w:p w14:paraId="2D0062CE" w14:textId="372B82B0" w:rsidR="00443EDA" w:rsidRPr="006900AB" w:rsidRDefault="00311ADC" w:rsidP="00E2798E">
            <w:pPr>
              <w:pStyle w:val="TableText"/>
            </w:pPr>
            <w:r w:rsidRPr="006900AB">
              <w:t>M</w:t>
            </w:r>
            <w:r w:rsidR="00A511E5" w:rsidRPr="006900AB">
              <w:t>ER</w:t>
            </w:r>
            <w:r w:rsidRPr="006900AB">
              <w:t xml:space="preserve"> Provider </w:t>
            </w:r>
            <w:r w:rsidR="005254AC" w:rsidRPr="006900AB">
              <w:t>(</w:t>
            </w:r>
            <w:r w:rsidRPr="006900AB">
              <w:t>Chair</w:t>
            </w:r>
            <w:r w:rsidR="005254AC" w:rsidRPr="006900AB">
              <w:t>)</w:t>
            </w:r>
          </w:p>
        </w:tc>
      </w:tr>
    </w:tbl>
    <w:p w14:paraId="32A38CA9" w14:textId="77777777" w:rsidR="00443EDA" w:rsidRPr="006900AB" w:rsidRDefault="00443EDA" w:rsidP="00F02673"/>
    <w:p w14:paraId="4757F335" w14:textId="77777777" w:rsidR="001D5811" w:rsidRPr="006900AB" w:rsidRDefault="001D5811" w:rsidP="00F02673">
      <w:pPr>
        <w:rPr>
          <w:b/>
          <w:u w:val="single"/>
        </w:rPr>
      </w:pPr>
      <w:r w:rsidRPr="006900AB">
        <w:rPr>
          <w:b/>
          <w:u w:val="single"/>
        </w:rPr>
        <w:t>Grievances</w:t>
      </w:r>
    </w:p>
    <w:p w14:paraId="141A117F" w14:textId="77777777" w:rsidR="00443EDA" w:rsidRDefault="00DC46AA" w:rsidP="00F02673">
      <w:r w:rsidRPr="006900AB">
        <w:t xml:space="preserve">Grievances identified within the Working Group will be mediated by the Chair. Where a grievance is deemed significant, a member or members of the Working Group may be removed from the Working Group, at the discretion of </w:t>
      </w:r>
      <w:r w:rsidR="009F591A" w:rsidRPr="006900AB">
        <w:t>CEWO</w:t>
      </w:r>
      <w:r w:rsidRPr="006900AB">
        <w:t>.</w:t>
      </w:r>
    </w:p>
    <w:p w14:paraId="471DF56D" w14:textId="77777777" w:rsidR="00DC5550" w:rsidRPr="00DC46AA" w:rsidRDefault="00DC5550" w:rsidP="00F02673">
      <w:pPr>
        <w:rPr>
          <w:rFonts w:eastAsiaTheme="majorEastAsia" w:cstheme="majorBidi"/>
          <w:color w:val="auto"/>
          <w:sz w:val="26"/>
          <w:szCs w:val="26"/>
          <w:highlight w:val="yellow"/>
        </w:rPr>
      </w:pPr>
      <w:r w:rsidRPr="00DC46AA">
        <w:rPr>
          <w:highlight w:val="yellow"/>
        </w:rPr>
        <w:br w:type="page"/>
      </w:r>
    </w:p>
    <w:p w14:paraId="728E7553" w14:textId="77777777" w:rsidR="00430220" w:rsidRDefault="00430220" w:rsidP="00D513C3">
      <w:pPr>
        <w:pStyle w:val="Heading1"/>
        <w:sectPr w:rsidR="00430220" w:rsidSect="003F6444">
          <w:pgSz w:w="11900" w:h="16840" w:code="9"/>
          <w:pgMar w:top="1440" w:right="1440" w:bottom="1440" w:left="1440" w:header="709" w:footer="709" w:gutter="0"/>
          <w:cols w:space="708"/>
          <w:docGrid w:linePitch="360"/>
        </w:sectPr>
      </w:pPr>
      <w:bookmarkStart w:id="319" w:name="_Ref10213461"/>
      <w:bookmarkStart w:id="320" w:name="_Ref384727335"/>
    </w:p>
    <w:p w14:paraId="6EFCAAA3" w14:textId="53655C30" w:rsidR="00D513C3" w:rsidRPr="00C67ED2" w:rsidRDefault="00D513C3" w:rsidP="00D513C3">
      <w:pPr>
        <w:pStyle w:val="Heading1"/>
      </w:pPr>
      <w:bookmarkStart w:id="321" w:name="_Toc22196745"/>
      <w:r>
        <w:lastRenderedPageBreak/>
        <w:t>Reporting</w:t>
      </w:r>
      <w:bookmarkEnd w:id="319"/>
      <w:bookmarkEnd w:id="321"/>
      <w:r w:rsidRPr="00C67ED2">
        <w:t xml:space="preserve"> </w:t>
      </w:r>
      <w:bookmarkEnd w:id="320"/>
    </w:p>
    <w:p w14:paraId="060EA03F" w14:textId="5449D1BD" w:rsidR="0053379F" w:rsidRDefault="0053379F" w:rsidP="0053379F">
      <w:bookmarkStart w:id="322" w:name="_Ref381086227"/>
      <w:bookmarkStart w:id="323" w:name="_Toc381086844"/>
      <w:bookmarkStart w:id="324" w:name="_Toc381380599"/>
      <w:bookmarkStart w:id="325" w:name="_Toc391539147"/>
      <w:bookmarkStart w:id="326" w:name="_Toc391553310"/>
      <w:bookmarkStart w:id="327" w:name="_Toc396899639"/>
      <w:bookmarkStart w:id="328" w:name="_Toc396899734"/>
      <w:bookmarkStart w:id="329" w:name="_Toc384985551"/>
      <w:bookmarkStart w:id="330" w:name="_Ref381301957"/>
      <w:bookmarkStart w:id="331" w:name="_Ref381302006"/>
      <w:r w:rsidRPr="00DC5550">
        <w:t xml:space="preserve">The timetable </w:t>
      </w:r>
      <w:r>
        <w:t xml:space="preserve">for reporting </w:t>
      </w:r>
      <w:r w:rsidRPr="00DC5550">
        <w:t>to CEWO is described in the table below</w:t>
      </w:r>
      <w:r>
        <w:t>, relating to core activities for the MER Project</w:t>
      </w:r>
      <w:r w:rsidRPr="00DC5550">
        <w:t>.</w:t>
      </w:r>
      <w:r>
        <w:t xml:space="preserve"> Additional information exchange through communication and engagement activities will be provided (see</w:t>
      </w:r>
      <w:r w:rsidR="00071F7F">
        <w:t xml:space="preserve"> </w:t>
      </w:r>
      <w:r w:rsidR="00071F7F">
        <w:fldChar w:fldCharType="begin"/>
      </w:r>
      <w:r w:rsidR="00071F7F">
        <w:instrText xml:space="preserve"> REF _Ref381086260 \h </w:instrText>
      </w:r>
      <w:r w:rsidR="00071F7F">
        <w:fldChar w:fldCharType="separate"/>
      </w:r>
      <w:r w:rsidR="00DF49CD">
        <w:t xml:space="preserve">Table </w:t>
      </w:r>
      <w:r w:rsidR="00DF49CD">
        <w:rPr>
          <w:noProof/>
        </w:rPr>
        <w:t>8</w:t>
      </w:r>
      <w:r w:rsidR="00DF49CD">
        <w:t>.</w:t>
      </w:r>
      <w:r w:rsidR="00DF49CD">
        <w:rPr>
          <w:noProof/>
        </w:rPr>
        <w:t>4</w:t>
      </w:r>
      <w:r w:rsidR="00071F7F">
        <w:fldChar w:fldCharType="end"/>
      </w:r>
      <w:r w:rsidR="00134C30">
        <w:t xml:space="preserve"> and</w:t>
      </w:r>
      <w:r w:rsidR="00D426B1">
        <w:t xml:space="preserve"> </w:t>
      </w:r>
      <w:r w:rsidR="007217DC">
        <w:rPr>
          <w:highlight w:val="yellow"/>
        </w:rPr>
        <w:fldChar w:fldCharType="begin"/>
      </w:r>
      <w:r w:rsidR="007217DC">
        <w:instrText xml:space="preserve"> REF _Ref10212973 \h </w:instrText>
      </w:r>
      <w:r w:rsidR="007217DC">
        <w:rPr>
          <w:highlight w:val="yellow"/>
        </w:rPr>
      </w:r>
      <w:r w:rsidR="007217DC">
        <w:rPr>
          <w:highlight w:val="yellow"/>
        </w:rPr>
        <w:fldChar w:fldCharType="separate"/>
      </w:r>
      <w:r w:rsidR="00DF49CD">
        <w:t xml:space="preserve">Table </w:t>
      </w:r>
      <w:r w:rsidR="00DF49CD">
        <w:rPr>
          <w:noProof/>
        </w:rPr>
        <w:t>8</w:t>
      </w:r>
      <w:r w:rsidR="00DF49CD">
        <w:t>.</w:t>
      </w:r>
      <w:r w:rsidR="00DF49CD">
        <w:rPr>
          <w:noProof/>
        </w:rPr>
        <w:t>5</w:t>
      </w:r>
      <w:r w:rsidR="007217DC">
        <w:rPr>
          <w:highlight w:val="yellow"/>
        </w:rPr>
        <w:fldChar w:fldCharType="end"/>
      </w:r>
      <w:r>
        <w:t xml:space="preserve">). </w:t>
      </w:r>
    </w:p>
    <w:p w14:paraId="4D959AE3" w14:textId="3B38D58F" w:rsidR="00AC3AC0" w:rsidRDefault="00AC3AC0" w:rsidP="00165D7C">
      <w:pPr>
        <w:pStyle w:val="Caption"/>
      </w:pPr>
      <w:bookmarkStart w:id="332" w:name="_Ref10213008"/>
      <w:bookmarkStart w:id="333" w:name="_Toc12630260"/>
      <w:r>
        <w:t xml:space="preserve">Table </w:t>
      </w:r>
      <w:r w:rsidR="00A8252A">
        <w:rPr>
          <w:noProof/>
        </w:rPr>
        <w:fldChar w:fldCharType="begin"/>
      </w:r>
      <w:r w:rsidR="00A8252A">
        <w:rPr>
          <w:noProof/>
        </w:rPr>
        <w:instrText xml:space="preserve"> STYLEREF 1 \s </w:instrText>
      </w:r>
      <w:r w:rsidR="00A8252A">
        <w:rPr>
          <w:noProof/>
        </w:rPr>
        <w:fldChar w:fldCharType="separate"/>
      </w:r>
      <w:r w:rsidR="00DF49CD">
        <w:rPr>
          <w:noProof/>
        </w:rPr>
        <w:t>9</w:t>
      </w:r>
      <w:r w:rsidR="00A8252A">
        <w:rPr>
          <w:noProof/>
        </w:rPr>
        <w:fldChar w:fldCharType="end"/>
      </w:r>
      <w:r w:rsidR="00F359A2">
        <w:t>.</w:t>
      </w:r>
      <w:r w:rsidR="00A8252A">
        <w:rPr>
          <w:noProof/>
        </w:rPr>
        <w:fldChar w:fldCharType="begin"/>
      </w:r>
      <w:r w:rsidR="00A8252A">
        <w:rPr>
          <w:noProof/>
        </w:rPr>
        <w:instrText xml:space="preserve"> SEQ Table \* ARABIC \s 1 </w:instrText>
      </w:r>
      <w:r w:rsidR="00A8252A">
        <w:rPr>
          <w:noProof/>
        </w:rPr>
        <w:fldChar w:fldCharType="separate"/>
      </w:r>
      <w:r w:rsidR="00DF49CD">
        <w:rPr>
          <w:noProof/>
        </w:rPr>
        <w:t>1</w:t>
      </w:r>
      <w:r w:rsidR="00A8252A">
        <w:rPr>
          <w:noProof/>
        </w:rPr>
        <w:fldChar w:fldCharType="end"/>
      </w:r>
      <w:bookmarkEnd w:id="322"/>
      <w:bookmarkEnd w:id="332"/>
      <w:r w:rsidRPr="002D348D">
        <w:t>.</w:t>
      </w:r>
      <w:r>
        <w:tab/>
      </w:r>
      <w:r w:rsidRPr="0083048A">
        <w:t>Summary of engagement, reporting and information transfer activities</w:t>
      </w:r>
      <w:bookmarkEnd w:id="323"/>
      <w:bookmarkEnd w:id="324"/>
      <w:bookmarkEnd w:id="333"/>
      <w:r w:rsidRPr="002D348D">
        <w:t xml:space="preserve"> </w:t>
      </w:r>
      <w:bookmarkEnd w:id="325"/>
      <w:bookmarkEnd w:id="326"/>
      <w:bookmarkEnd w:id="327"/>
      <w:bookmarkEnd w:id="3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2"/>
        <w:gridCol w:w="1903"/>
        <w:gridCol w:w="1593"/>
        <w:gridCol w:w="1861"/>
        <w:gridCol w:w="1579"/>
        <w:gridCol w:w="3122"/>
        <w:gridCol w:w="1760"/>
      </w:tblGrid>
      <w:tr w:rsidR="0053379F" w:rsidRPr="00DC5550" w14:paraId="78C7DA33" w14:textId="77777777" w:rsidTr="0051229B">
        <w:trPr>
          <w:cantSplit/>
          <w:trHeight w:val="285"/>
          <w:tblHeader/>
        </w:trPr>
        <w:tc>
          <w:tcPr>
            <w:tcW w:w="764" w:type="pct"/>
            <w:shd w:val="clear" w:color="auto" w:fill="BFBFBF" w:themeFill="background1" w:themeFillShade="BF"/>
          </w:tcPr>
          <w:p w14:paraId="6F125CF1" w14:textId="77777777" w:rsidR="0053379F" w:rsidRDefault="0053379F" w:rsidP="004F7823">
            <w:pPr>
              <w:pStyle w:val="TableHeading"/>
            </w:pPr>
            <w:bookmarkStart w:id="334" w:name="_Ref381343753"/>
            <w:bookmarkStart w:id="335" w:name="_Toc381380594"/>
            <w:bookmarkEnd w:id="329"/>
            <w:bookmarkEnd w:id="330"/>
            <w:bookmarkEnd w:id="331"/>
            <w:r w:rsidRPr="00DC5550">
              <w:t xml:space="preserve">What </w:t>
            </w:r>
          </w:p>
        </w:tc>
        <w:tc>
          <w:tcPr>
            <w:tcW w:w="682" w:type="pct"/>
            <w:shd w:val="clear" w:color="auto" w:fill="BFBFBF" w:themeFill="background1" w:themeFillShade="BF"/>
          </w:tcPr>
          <w:p w14:paraId="2E84718D" w14:textId="77777777" w:rsidR="0053379F" w:rsidRDefault="0053379F" w:rsidP="004F7823">
            <w:pPr>
              <w:pStyle w:val="TableHeading"/>
            </w:pPr>
            <w:r w:rsidRPr="00DC5550">
              <w:t xml:space="preserve">Frequency </w:t>
            </w:r>
          </w:p>
        </w:tc>
        <w:tc>
          <w:tcPr>
            <w:tcW w:w="571" w:type="pct"/>
            <w:shd w:val="clear" w:color="auto" w:fill="BFBFBF" w:themeFill="background1" w:themeFillShade="BF"/>
          </w:tcPr>
          <w:p w14:paraId="2A050C8F" w14:textId="77777777" w:rsidR="0053379F" w:rsidRDefault="0053379F" w:rsidP="004F7823">
            <w:pPr>
              <w:pStyle w:val="TableHeading"/>
            </w:pPr>
            <w:r w:rsidRPr="00DC5550">
              <w:t xml:space="preserve">Timing / due date </w:t>
            </w:r>
          </w:p>
        </w:tc>
        <w:tc>
          <w:tcPr>
            <w:tcW w:w="667" w:type="pct"/>
            <w:shd w:val="clear" w:color="auto" w:fill="BFBFBF" w:themeFill="background1" w:themeFillShade="BF"/>
          </w:tcPr>
          <w:p w14:paraId="1EBF97BA" w14:textId="77777777" w:rsidR="0053379F" w:rsidRDefault="0053379F" w:rsidP="004F7823">
            <w:pPr>
              <w:pStyle w:val="TableHeading"/>
            </w:pPr>
            <w:r w:rsidRPr="00DC5550">
              <w:t xml:space="preserve">Responsibility </w:t>
            </w:r>
          </w:p>
        </w:tc>
        <w:tc>
          <w:tcPr>
            <w:tcW w:w="566" w:type="pct"/>
            <w:shd w:val="clear" w:color="auto" w:fill="BFBFBF" w:themeFill="background1" w:themeFillShade="BF"/>
          </w:tcPr>
          <w:p w14:paraId="372C82E1" w14:textId="77777777" w:rsidR="0053379F" w:rsidRDefault="0053379F" w:rsidP="004F7823">
            <w:pPr>
              <w:pStyle w:val="TableHeading"/>
            </w:pPr>
            <w:r w:rsidRPr="00DC5550">
              <w:t xml:space="preserve">Receiver </w:t>
            </w:r>
          </w:p>
        </w:tc>
        <w:tc>
          <w:tcPr>
            <w:tcW w:w="1119" w:type="pct"/>
            <w:shd w:val="clear" w:color="auto" w:fill="BFBFBF" w:themeFill="background1" w:themeFillShade="BF"/>
          </w:tcPr>
          <w:p w14:paraId="41A5B014" w14:textId="77777777" w:rsidR="0053379F" w:rsidRDefault="0053379F" w:rsidP="004F7823">
            <w:pPr>
              <w:pStyle w:val="TableHeading"/>
            </w:pPr>
            <w:r w:rsidRPr="00DC5550">
              <w:t xml:space="preserve">Description and high level requirements </w:t>
            </w:r>
          </w:p>
        </w:tc>
        <w:tc>
          <w:tcPr>
            <w:tcW w:w="631" w:type="pct"/>
            <w:shd w:val="clear" w:color="auto" w:fill="BFBFBF" w:themeFill="background1" w:themeFillShade="BF"/>
          </w:tcPr>
          <w:p w14:paraId="0C60CDE7" w14:textId="77777777" w:rsidR="0053379F" w:rsidRDefault="0053379F" w:rsidP="004F7823">
            <w:pPr>
              <w:pStyle w:val="TableHeading"/>
            </w:pPr>
            <w:r w:rsidRPr="00DC5550">
              <w:t xml:space="preserve">Inputs </w:t>
            </w:r>
          </w:p>
        </w:tc>
      </w:tr>
      <w:tr w:rsidR="0053379F" w:rsidRPr="00EF2C8E" w14:paraId="5F9EFE0A" w14:textId="77777777" w:rsidTr="0051229B">
        <w:trPr>
          <w:cantSplit/>
          <w:trHeight w:val="814"/>
        </w:trPr>
        <w:tc>
          <w:tcPr>
            <w:tcW w:w="764" w:type="pct"/>
          </w:tcPr>
          <w:p w14:paraId="260ADB14" w14:textId="77777777" w:rsidR="0053379F" w:rsidRPr="00EF2C8E" w:rsidRDefault="0053379F" w:rsidP="004F7823">
            <w:pPr>
              <w:pStyle w:val="TableText"/>
            </w:pPr>
            <w:r>
              <w:t xml:space="preserve">Selected Area </w:t>
            </w:r>
            <w:r w:rsidRPr="00EF2C8E">
              <w:t xml:space="preserve">MER Plan </w:t>
            </w:r>
          </w:p>
        </w:tc>
        <w:tc>
          <w:tcPr>
            <w:tcW w:w="682" w:type="pct"/>
          </w:tcPr>
          <w:p w14:paraId="09834E2F" w14:textId="77777777" w:rsidR="0053379F" w:rsidRPr="00EF2C8E" w:rsidRDefault="0053379F" w:rsidP="004F7823">
            <w:pPr>
              <w:pStyle w:val="TableText"/>
            </w:pPr>
            <w:r w:rsidRPr="00EF2C8E">
              <w:t xml:space="preserve">One-off </w:t>
            </w:r>
          </w:p>
        </w:tc>
        <w:tc>
          <w:tcPr>
            <w:tcW w:w="571" w:type="pct"/>
          </w:tcPr>
          <w:p w14:paraId="0D5B123B" w14:textId="77777777" w:rsidR="0053379F" w:rsidRPr="00EF2C8E" w:rsidRDefault="0053379F" w:rsidP="004F7823">
            <w:pPr>
              <w:pStyle w:val="TableText"/>
            </w:pPr>
            <w:r w:rsidRPr="00EF2C8E">
              <w:t xml:space="preserve">Draft – 21 June 2019 </w:t>
            </w:r>
          </w:p>
          <w:p w14:paraId="79D71AE7" w14:textId="77777777" w:rsidR="0053379F" w:rsidRPr="00EF2C8E" w:rsidRDefault="0053379F" w:rsidP="004F7823">
            <w:pPr>
              <w:pStyle w:val="TableText"/>
            </w:pPr>
            <w:r w:rsidRPr="00EF2C8E">
              <w:t xml:space="preserve">Final – 30 June 2019 </w:t>
            </w:r>
          </w:p>
        </w:tc>
        <w:tc>
          <w:tcPr>
            <w:tcW w:w="667" w:type="pct"/>
          </w:tcPr>
          <w:p w14:paraId="4C2FF5F8" w14:textId="77777777" w:rsidR="0053379F" w:rsidRPr="00EF2C8E" w:rsidRDefault="0053379F" w:rsidP="004F7823">
            <w:pPr>
              <w:pStyle w:val="TableText"/>
            </w:pPr>
            <w:r w:rsidRPr="00EF2C8E">
              <w:t xml:space="preserve">MER Providers </w:t>
            </w:r>
          </w:p>
        </w:tc>
        <w:tc>
          <w:tcPr>
            <w:tcW w:w="566" w:type="pct"/>
          </w:tcPr>
          <w:p w14:paraId="66FC1437" w14:textId="77777777" w:rsidR="0053379F" w:rsidRPr="00EF2C8E" w:rsidRDefault="0053379F" w:rsidP="004F7823">
            <w:pPr>
              <w:pStyle w:val="TableText"/>
            </w:pPr>
            <w:r w:rsidRPr="00EF2C8E">
              <w:t xml:space="preserve">CEWO </w:t>
            </w:r>
          </w:p>
        </w:tc>
        <w:tc>
          <w:tcPr>
            <w:tcW w:w="1119" w:type="pct"/>
          </w:tcPr>
          <w:p w14:paraId="6FA07C1C" w14:textId="70B7D2DE" w:rsidR="0053379F" w:rsidRPr="00EF2C8E" w:rsidRDefault="0053379F" w:rsidP="00BD42BE">
            <w:pPr>
              <w:pStyle w:val="TableText"/>
            </w:pPr>
            <w:r w:rsidRPr="00EF2C8E">
              <w:t>A plan for monitoring, evaluation and research in each Selected Area over the three-year period from 2019</w:t>
            </w:r>
            <w:r w:rsidR="00BD42BE">
              <w:rPr>
                <w:rFonts w:eastAsiaTheme="majorEastAsia"/>
              </w:rPr>
              <w:t>-</w:t>
            </w:r>
            <w:r w:rsidRPr="00EF2C8E">
              <w:rPr>
                <w:rFonts w:eastAsiaTheme="majorEastAsia"/>
              </w:rPr>
              <w:t>20</w:t>
            </w:r>
            <w:r w:rsidRPr="00EF2C8E">
              <w:t xml:space="preserve"> to 2021</w:t>
            </w:r>
            <w:r w:rsidR="00BD42BE">
              <w:rPr>
                <w:rFonts w:eastAsiaTheme="majorEastAsia"/>
              </w:rPr>
              <w:t>-</w:t>
            </w:r>
            <w:r w:rsidRPr="00EF2C8E">
              <w:t>22.</w:t>
            </w:r>
          </w:p>
        </w:tc>
        <w:tc>
          <w:tcPr>
            <w:tcW w:w="631" w:type="pct"/>
          </w:tcPr>
          <w:p w14:paraId="7AC64138" w14:textId="77777777" w:rsidR="0053379F" w:rsidRPr="00160005" w:rsidRDefault="0053379F" w:rsidP="004F7823">
            <w:pPr>
              <w:pStyle w:val="TableText"/>
              <w:rPr>
                <w:szCs w:val="20"/>
              </w:rPr>
            </w:pPr>
            <w:r w:rsidRPr="00160005">
              <w:rPr>
                <w:szCs w:val="20"/>
              </w:rPr>
              <w:t>LTIM M&amp;E Plan,</w:t>
            </w:r>
          </w:p>
          <w:p w14:paraId="22C0F5B6" w14:textId="77777777" w:rsidR="0053379F" w:rsidRPr="00160005" w:rsidRDefault="0053379F" w:rsidP="004F7823">
            <w:pPr>
              <w:rPr>
                <w:sz w:val="20"/>
              </w:rPr>
            </w:pPr>
            <w:r w:rsidRPr="00160005">
              <w:rPr>
                <w:sz w:val="20"/>
              </w:rPr>
              <w:t>LTIM reports, BWS, LTWP, and input from researchers and managers</w:t>
            </w:r>
          </w:p>
        </w:tc>
      </w:tr>
      <w:tr w:rsidR="0053379F" w:rsidRPr="00EF2C8E" w14:paraId="2CB0877A" w14:textId="77777777" w:rsidTr="0051229B">
        <w:trPr>
          <w:cantSplit/>
          <w:trHeight w:val="814"/>
        </w:trPr>
        <w:tc>
          <w:tcPr>
            <w:tcW w:w="764" w:type="pct"/>
          </w:tcPr>
          <w:p w14:paraId="7184A4F0" w14:textId="77777777" w:rsidR="0053379F" w:rsidRPr="00EF2C8E" w:rsidRDefault="0053379F" w:rsidP="004F7823">
            <w:pPr>
              <w:rPr>
                <w:sz w:val="20"/>
              </w:rPr>
            </w:pPr>
            <w:r w:rsidRPr="00EF2C8E">
              <w:rPr>
                <w:sz w:val="20"/>
              </w:rPr>
              <w:t>Selected Area evaluation report</w:t>
            </w:r>
          </w:p>
        </w:tc>
        <w:tc>
          <w:tcPr>
            <w:tcW w:w="682" w:type="pct"/>
          </w:tcPr>
          <w:p w14:paraId="08B88D31" w14:textId="77777777" w:rsidR="0053379F" w:rsidRPr="00EF2C8E" w:rsidRDefault="0053379F" w:rsidP="004F7823">
            <w:pPr>
              <w:pStyle w:val="TableText"/>
            </w:pPr>
            <w:r w:rsidRPr="00EF2C8E">
              <w:t xml:space="preserve">Annual </w:t>
            </w:r>
          </w:p>
        </w:tc>
        <w:tc>
          <w:tcPr>
            <w:tcW w:w="571" w:type="pct"/>
          </w:tcPr>
          <w:p w14:paraId="21D5FCE9" w14:textId="1E94A892" w:rsidR="00936DF0" w:rsidRPr="00EF2C8E" w:rsidRDefault="00936DF0" w:rsidP="00936DF0">
            <w:pPr>
              <w:pStyle w:val="TableText"/>
            </w:pPr>
            <w:r w:rsidRPr="00EF2C8E">
              <w:t xml:space="preserve">Draft – 30 </w:t>
            </w:r>
            <w:r w:rsidR="0039109F">
              <w:t>Nov</w:t>
            </w:r>
          </w:p>
          <w:p w14:paraId="295445C5" w14:textId="7C235A0F" w:rsidR="00936DF0" w:rsidRPr="00EF2C8E" w:rsidRDefault="00936DF0" w:rsidP="00936DF0">
            <w:pPr>
              <w:pStyle w:val="TableText"/>
            </w:pPr>
            <w:r w:rsidRPr="00EF2C8E">
              <w:t xml:space="preserve">Final – </w:t>
            </w:r>
            <w:r w:rsidR="0093053B">
              <w:t>30</w:t>
            </w:r>
            <w:r w:rsidRPr="00EF2C8E">
              <w:t xml:space="preserve"> Dec</w:t>
            </w:r>
          </w:p>
          <w:p w14:paraId="21056937" w14:textId="116E0BE5" w:rsidR="00936DF0" w:rsidRPr="00EF2C8E" w:rsidRDefault="00936DF0" w:rsidP="00936DF0">
            <w:pPr>
              <w:pStyle w:val="TableText"/>
            </w:pPr>
            <w:r w:rsidRPr="00EF2C8E">
              <w:t>First report – 20</w:t>
            </w:r>
            <w:r w:rsidR="0093053B">
              <w:t>20</w:t>
            </w:r>
            <w:r w:rsidRPr="00EF2C8E">
              <w:t xml:space="preserve"> </w:t>
            </w:r>
          </w:p>
          <w:p w14:paraId="1FF3D866" w14:textId="0720D56C" w:rsidR="0053379F" w:rsidRPr="00EF2C8E" w:rsidRDefault="00936DF0" w:rsidP="0093053B">
            <w:pPr>
              <w:pStyle w:val="TableText"/>
            </w:pPr>
            <w:r w:rsidRPr="00EF2C8E">
              <w:t>Final report – 202</w:t>
            </w:r>
            <w:r w:rsidR="0093053B">
              <w:t>2</w:t>
            </w:r>
            <w:r w:rsidRPr="00EF2C8E">
              <w:t xml:space="preserve"> </w:t>
            </w:r>
          </w:p>
        </w:tc>
        <w:tc>
          <w:tcPr>
            <w:tcW w:w="667" w:type="pct"/>
          </w:tcPr>
          <w:p w14:paraId="68C18DB4" w14:textId="77777777" w:rsidR="0053379F" w:rsidRPr="00EF2C8E" w:rsidRDefault="0053379F" w:rsidP="004F7823">
            <w:pPr>
              <w:pStyle w:val="TableText"/>
            </w:pPr>
            <w:r w:rsidRPr="00EF2C8E">
              <w:t xml:space="preserve">MER Providers </w:t>
            </w:r>
          </w:p>
        </w:tc>
        <w:tc>
          <w:tcPr>
            <w:tcW w:w="566" w:type="pct"/>
          </w:tcPr>
          <w:p w14:paraId="64662B9F" w14:textId="77777777" w:rsidR="0053379F" w:rsidRPr="00EF2C8E" w:rsidRDefault="0053379F" w:rsidP="004F7823">
            <w:pPr>
              <w:pStyle w:val="TableText"/>
            </w:pPr>
            <w:r w:rsidRPr="00EF2C8E">
              <w:t xml:space="preserve">CEWO </w:t>
            </w:r>
          </w:p>
        </w:tc>
        <w:tc>
          <w:tcPr>
            <w:tcW w:w="1119" w:type="pct"/>
          </w:tcPr>
          <w:p w14:paraId="3EA46EEB" w14:textId="77777777" w:rsidR="0053379F" w:rsidRPr="00EF2C8E" w:rsidRDefault="0053379F" w:rsidP="004F7823">
            <w:pPr>
              <w:pStyle w:val="TableText"/>
            </w:pPr>
            <w:r w:rsidRPr="00EF2C8E">
              <w:t>A cumulative evaluation of the outcomes of Commonwealth environmental water at each Selected Area, prepared in accordance with the MER Plan. The report must be prepared in plain English with simple science and be suitable for publication on CEWO website.</w:t>
            </w:r>
          </w:p>
        </w:tc>
        <w:tc>
          <w:tcPr>
            <w:tcW w:w="631" w:type="pct"/>
          </w:tcPr>
          <w:p w14:paraId="45400663" w14:textId="77777777" w:rsidR="0053379F" w:rsidRPr="00EF2C8E" w:rsidRDefault="0053379F" w:rsidP="004F7823">
            <w:pPr>
              <w:pStyle w:val="TableText"/>
            </w:pPr>
            <w:r w:rsidRPr="00EF2C8E">
              <w:t xml:space="preserve">MER Plan </w:t>
            </w:r>
          </w:p>
          <w:p w14:paraId="4441D5B6" w14:textId="77777777" w:rsidR="0053379F" w:rsidRPr="00EF2C8E" w:rsidRDefault="0053379F" w:rsidP="004F7823">
            <w:pPr>
              <w:pStyle w:val="TableText"/>
            </w:pPr>
            <w:r w:rsidRPr="00EF2C8E">
              <w:t xml:space="preserve">Monitoring data for the Selected Area </w:t>
            </w:r>
          </w:p>
        </w:tc>
      </w:tr>
      <w:tr w:rsidR="0053379F" w:rsidRPr="00EF2C8E" w14:paraId="3278B937" w14:textId="77777777" w:rsidTr="0051229B">
        <w:trPr>
          <w:cantSplit/>
          <w:trHeight w:val="564"/>
        </w:trPr>
        <w:tc>
          <w:tcPr>
            <w:tcW w:w="764" w:type="pct"/>
          </w:tcPr>
          <w:p w14:paraId="0B4A1D6E" w14:textId="3E5AE864" w:rsidR="0053379F" w:rsidRPr="00EF2C8E" w:rsidRDefault="0053379F" w:rsidP="00BD42BE">
            <w:pPr>
              <w:pStyle w:val="TableText"/>
            </w:pPr>
            <w:r w:rsidRPr="00EF2C8E">
              <w:t>Progress reports – 2019</w:t>
            </w:r>
            <w:r w:rsidR="00BD42BE">
              <w:rPr>
                <w:rFonts w:eastAsiaTheme="majorEastAsia"/>
              </w:rPr>
              <w:t>-</w:t>
            </w:r>
            <w:r w:rsidRPr="00EF2C8E">
              <w:t xml:space="preserve">20 onwards </w:t>
            </w:r>
          </w:p>
        </w:tc>
        <w:tc>
          <w:tcPr>
            <w:tcW w:w="682" w:type="pct"/>
          </w:tcPr>
          <w:p w14:paraId="3557AABA" w14:textId="77777777" w:rsidR="0053379F" w:rsidRPr="00EF2C8E" w:rsidRDefault="0053379F" w:rsidP="004F7823">
            <w:pPr>
              <w:pStyle w:val="TableText"/>
            </w:pPr>
            <w:r w:rsidRPr="00EF2C8E">
              <w:t xml:space="preserve">Quarterly </w:t>
            </w:r>
          </w:p>
        </w:tc>
        <w:tc>
          <w:tcPr>
            <w:tcW w:w="571" w:type="pct"/>
          </w:tcPr>
          <w:p w14:paraId="7F3D6A06" w14:textId="77777777" w:rsidR="0053379F" w:rsidRPr="00EF2C8E" w:rsidRDefault="0053379F" w:rsidP="004F7823">
            <w:pPr>
              <w:pStyle w:val="TableText"/>
            </w:pPr>
            <w:r w:rsidRPr="00EF2C8E">
              <w:t xml:space="preserve">Sep, Dec, Mar and Jun (last business day of month) for the duration of the MER Project </w:t>
            </w:r>
          </w:p>
        </w:tc>
        <w:tc>
          <w:tcPr>
            <w:tcW w:w="667" w:type="pct"/>
          </w:tcPr>
          <w:p w14:paraId="72195AD1" w14:textId="77777777" w:rsidR="0053379F" w:rsidRPr="00EF2C8E" w:rsidRDefault="0053379F" w:rsidP="004F7823">
            <w:pPr>
              <w:pStyle w:val="TableText"/>
            </w:pPr>
            <w:r w:rsidRPr="00EF2C8E">
              <w:t xml:space="preserve">MER Providers </w:t>
            </w:r>
          </w:p>
        </w:tc>
        <w:tc>
          <w:tcPr>
            <w:tcW w:w="566" w:type="pct"/>
          </w:tcPr>
          <w:p w14:paraId="51BE00D5" w14:textId="77777777" w:rsidR="0053379F" w:rsidRPr="00EF2C8E" w:rsidRDefault="0053379F" w:rsidP="004F7823">
            <w:pPr>
              <w:pStyle w:val="TableText"/>
            </w:pPr>
            <w:r w:rsidRPr="00EF2C8E">
              <w:t xml:space="preserve">CEWO </w:t>
            </w:r>
          </w:p>
        </w:tc>
        <w:tc>
          <w:tcPr>
            <w:tcW w:w="1119" w:type="pct"/>
          </w:tcPr>
          <w:p w14:paraId="0132BD6E" w14:textId="77777777" w:rsidR="0053379F" w:rsidRPr="00EF2C8E" w:rsidRDefault="0053379F" w:rsidP="004F7823">
            <w:pPr>
              <w:pStyle w:val="TableText"/>
            </w:pPr>
            <w:r w:rsidRPr="00EF2C8E">
              <w:t>A written progress report, summarising tasks completed since the last report, tasks planned for the upcoming period, emerging issues etc.</w:t>
            </w:r>
          </w:p>
        </w:tc>
        <w:tc>
          <w:tcPr>
            <w:tcW w:w="631" w:type="pct"/>
          </w:tcPr>
          <w:p w14:paraId="1299D478" w14:textId="3894B582" w:rsidR="0053379F" w:rsidRPr="00EF2C8E" w:rsidRDefault="0053379F" w:rsidP="000E285D">
            <w:pPr>
              <w:pStyle w:val="TableText"/>
            </w:pPr>
            <w:r w:rsidRPr="00EF2C8E">
              <w:t>Progress report template</w:t>
            </w:r>
            <w:r w:rsidR="002206D5">
              <w:t xml:space="preserve"> (Appendix </w:t>
            </w:r>
            <w:r w:rsidR="000E285D">
              <w:t>C</w:t>
            </w:r>
            <w:r w:rsidR="002206D5">
              <w:t>)</w:t>
            </w:r>
            <w:r w:rsidRPr="00EF2C8E">
              <w:t xml:space="preserve"> </w:t>
            </w:r>
          </w:p>
        </w:tc>
      </w:tr>
      <w:tr w:rsidR="0053379F" w:rsidRPr="00EF2C8E" w14:paraId="0714472A" w14:textId="77777777" w:rsidTr="0051229B">
        <w:trPr>
          <w:cantSplit/>
          <w:trHeight w:val="564"/>
        </w:trPr>
        <w:tc>
          <w:tcPr>
            <w:tcW w:w="764" w:type="pct"/>
          </w:tcPr>
          <w:p w14:paraId="5C664C1B" w14:textId="19C423DC" w:rsidR="0053379F" w:rsidRPr="00EF2C8E" w:rsidRDefault="00936DF0" w:rsidP="004F7823">
            <w:pPr>
              <w:pStyle w:val="TableText"/>
            </w:pPr>
            <w:r w:rsidRPr="00EF2C8E">
              <w:lastRenderedPageBreak/>
              <w:t>Quarterly outcomes newsletter</w:t>
            </w:r>
          </w:p>
        </w:tc>
        <w:tc>
          <w:tcPr>
            <w:tcW w:w="682" w:type="pct"/>
          </w:tcPr>
          <w:p w14:paraId="5B829730" w14:textId="77777777" w:rsidR="0053379F" w:rsidRPr="00EF2C8E" w:rsidRDefault="0053379F" w:rsidP="004F7823">
            <w:pPr>
              <w:pStyle w:val="TableText"/>
            </w:pPr>
            <w:r w:rsidRPr="00EF2C8E">
              <w:t>Quarterly</w:t>
            </w:r>
          </w:p>
        </w:tc>
        <w:tc>
          <w:tcPr>
            <w:tcW w:w="571" w:type="pct"/>
          </w:tcPr>
          <w:p w14:paraId="3BEEF9D5" w14:textId="77777777" w:rsidR="0053379F" w:rsidRPr="00EF2C8E" w:rsidRDefault="0053379F" w:rsidP="004F7823">
            <w:pPr>
              <w:pStyle w:val="TableText"/>
            </w:pPr>
            <w:r w:rsidRPr="00EF2C8E">
              <w:t>Sep, Dec, Mar and Jun (last business day of month) for the duration of the MER Project</w:t>
            </w:r>
          </w:p>
        </w:tc>
        <w:tc>
          <w:tcPr>
            <w:tcW w:w="667" w:type="pct"/>
          </w:tcPr>
          <w:p w14:paraId="59F341B6" w14:textId="77777777" w:rsidR="0053379F" w:rsidRPr="00EF2C8E" w:rsidRDefault="0053379F" w:rsidP="004F7823">
            <w:pPr>
              <w:pStyle w:val="TableText"/>
            </w:pPr>
            <w:r w:rsidRPr="00EF2C8E">
              <w:t xml:space="preserve">MER Providers </w:t>
            </w:r>
          </w:p>
        </w:tc>
        <w:tc>
          <w:tcPr>
            <w:tcW w:w="566" w:type="pct"/>
          </w:tcPr>
          <w:p w14:paraId="642CBB15" w14:textId="77777777" w:rsidR="0053379F" w:rsidRPr="00EF2C8E" w:rsidRDefault="0053379F" w:rsidP="004F7823">
            <w:pPr>
              <w:pStyle w:val="TableText"/>
            </w:pPr>
            <w:r w:rsidRPr="00EF2C8E">
              <w:t xml:space="preserve">CEWO </w:t>
            </w:r>
          </w:p>
        </w:tc>
        <w:tc>
          <w:tcPr>
            <w:tcW w:w="1119" w:type="pct"/>
          </w:tcPr>
          <w:p w14:paraId="26277F51" w14:textId="023BEB24" w:rsidR="0053379F" w:rsidRPr="00B31D94" w:rsidRDefault="0053379F" w:rsidP="00B31D94">
            <w:pPr>
              <w:pStyle w:val="TableText"/>
              <w:rPr>
                <w:szCs w:val="20"/>
              </w:rPr>
            </w:pPr>
            <w:r w:rsidRPr="00EF2C8E">
              <w:t xml:space="preserve">Newsletters for MER Project written for </w:t>
            </w:r>
            <w:r w:rsidR="00B31D94">
              <w:t xml:space="preserve">a </w:t>
            </w:r>
            <w:r w:rsidRPr="00EF2C8E">
              <w:t>public</w:t>
            </w:r>
            <w:r w:rsidR="00B31D94">
              <w:t xml:space="preserve"> </w:t>
            </w:r>
            <w:r w:rsidR="00B31D94" w:rsidRPr="00B31D94">
              <w:rPr>
                <w:szCs w:val="20"/>
              </w:rPr>
              <w:t>audience will communicate MER activities, preliminary observations and findings relevant to environmental watering, and case studies about environments and people. It will contain opportunistic photos of outcomes from environmental watering and other visual aids relevant to demonstrating outcomes to the public. It will also include a description of the monitoring and research activities undertaken in this quarter.</w:t>
            </w:r>
            <w:r w:rsidR="00B31D94" w:rsidRPr="00B31D94">
              <w:rPr>
                <w:i/>
                <w:szCs w:val="20"/>
              </w:rPr>
              <w:t xml:space="preserve"> </w:t>
            </w:r>
          </w:p>
        </w:tc>
        <w:tc>
          <w:tcPr>
            <w:tcW w:w="631" w:type="pct"/>
          </w:tcPr>
          <w:p w14:paraId="544C1D7E" w14:textId="77777777" w:rsidR="0053379F" w:rsidRPr="00EF2C8E" w:rsidRDefault="0053379F" w:rsidP="004F7823">
            <w:pPr>
              <w:pStyle w:val="TableText"/>
            </w:pPr>
            <w:r w:rsidRPr="00EF2C8E">
              <w:t>MER data, learnings, outcomes, photos, etc.</w:t>
            </w:r>
          </w:p>
        </w:tc>
      </w:tr>
      <w:tr w:rsidR="0053379F" w:rsidRPr="00EF2C8E" w14:paraId="3ABA7F43" w14:textId="77777777" w:rsidTr="0051229B">
        <w:trPr>
          <w:cantSplit/>
          <w:trHeight w:val="454"/>
        </w:trPr>
        <w:tc>
          <w:tcPr>
            <w:tcW w:w="764" w:type="pct"/>
          </w:tcPr>
          <w:p w14:paraId="2FFAC850" w14:textId="77777777" w:rsidR="0053379F" w:rsidRPr="00EF2C8E" w:rsidRDefault="0053379F" w:rsidP="004F7823">
            <w:pPr>
              <w:pStyle w:val="TableText"/>
            </w:pPr>
            <w:r w:rsidRPr="00EF2C8E">
              <w:t xml:space="preserve">Monitoring data entry </w:t>
            </w:r>
          </w:p>
        </w:tc>
        <w:tc>
          <w:tcPr>
            <w:tcW w:w="682" w:type="pct"/>
          </w:tcPr>
          <w:p w14:paraId="42E3656D" w14:textId="77777777" w:rsidR="0053379F" w:rsidRPr="00EF2C8E" w:rsidRDefault="0053379F" w:rsidP="004F7823">
            <w:pPr>
              <w:pStyle w:val="TableText"/>
              <w:rPr>
                <w:szCs w:val="20"/>
              </w:rPr>
            </w:pPr>
            <w:r w:rsidRPr="00EF2C8E">
              <w:rPr>
                <w:szCs w:val="20"/>
              </w:rPr>
              <w:t xml:space="preserve">Monthly </w:t>
            </w:r>
          </w:p>
          <w:p w14:paraId="28B6E190" w14:textId="77777777" w:rsidR="0053379F" w:rsidRPr="00EF2C8E" w:rsidRDefault="0053379F" w:rsidP="004F7823">
            <w:r w:rsidRPr="00EF2C8E">
              <w:rPr>
                <w:sz w:val="20"/>
              </w:rPr>
              <w:t>Or as appropriate for indicators agreed by CEWO</w:t>
            </w:r>
          </w:p>
        </w:tc>
        <w:tc>
          <w:tcPr>
            <w:tcW w:w="571" w:type="pct"/>
          </w:tcPr>
          <w:p w14:paraId="0AF8186C" w14:textId="77777777" w:rsidR="0053379F" w:rsidRPr="00EF2C8E" w:rsidRDefault="0053379F" w:rsidP="004F7823">
            <w:pPr>
              <w:pStyle w:val="TableText"/>
            </w:pPr>
            <w:r w:rsidRPr="00EF2C8E">
              <w:t xml:space="preserve">Monthly (or appropriate frequency agreed by CEWO) for the duration of the MER Project </w:t>
            </w:r>
          </w:p>
        </w:tc>
        <w:tc>
          <w:tcPr>
            <w:tcW w:w="667" w:type="pct"/>
          </w:tcPr>
          <w:p w14:paraId="6ACDA92B" w14:textId="77777777" w:rsidR="0053379F" w:rsidRPr="00EF2C8E" w:rsidRDefault="0053379F" w:rsidP="004F7823">
            <w:pPr>
              <w:pStyle w:val="TableText"/>
            </w:pPr>
            <w:r w:rsidRPr="00EF2C8E">
              <w:t xml:space="preserve">MER Providers </w:t>
            </w:r>
          </w:p>
        </w:tc>
        <w:tc>
          <w:tcPr>
            <w:tcW w:w="566" w:type="pct"/>
          </w:tcPr>
          <w:p w14:paraId="6EDFD0D4" w14:textId="77777777" w:rsidR="0053379F" w:rsidRPr="00EF2C8E" w:rsidRDefault="0053379F" w:rsidP="004F7823">
            <w:pPr>
              <w:pStyle w:val="TableText"/>
            </w:pPr>
            <w:r w:rsidRPr="00EF2C8E">
              <w:t xml:space="preserve">Monitoring Data Management System </w:t>
            </w:r>
          </w:p>
        </w:tc>
        <w:tc>
          <w:tcPr>
            <w:tcW w:w="1119" w:type="pct"/>
          </w:tcPr>
          <w:p w14:paraId="1B5B38BF" w14:textId="77777777" w:rsidR="0053379F" w:rsidRPr="00EF2C8E" w:rsidRDefault="0053379F" w:rsidP="004F7823">
            <w:pPr>
              <w:pStyle w:val="TableText"/>
            </w:pPr>
            <w:r w:rsidRPr="00EF2C8E">
              <w:t>Processed monitoring data uploaded to the Monitoring Data Management System in accordance with data management protocols, as outlined in the MER Plans.</w:t>
            </w:r>
          </w:p>
        </w:tc>
        <w:tc>
          <w:tcPr>
            <w:tcW w:w="631" w:type="pct"/>
          </w:tcPr>
          <w:p w14:paraId="159CC83D" w14:textId="77777777" w:rsidR="0053379F" w:rsidRPr="00EF2C8E" w:rsidRDefault="0053379F" w:rsidP="004F7823">
            <w:pPr>
              <w:pStyle w:val="TableText"/>
            </w:pPr>
            <w:r w:rsidRPr="00EF2C8E">
              <w:t>Data management protocols</w:t>
            </w:r>
          </w:p>
        </w:tc>
      </w:tr>
      <w:tr w:rsidR="0053379F" w:rsidRPr="00EF2C8E" w14:paraId="4EBBF368" w14:textId="77777777" w:rsidTr="0051229B">
        <w:trPr>
          <w:cantSplit/>
          <w:trHeight w:val="454"/>
        </w:trPr>
        <w:tc>
          <w:tcPr>
            <w:tcW w:w="764" w:type="pct"/>
          </w:tcPr>
          <w:p w14:paraId="1FB10289" w14:textId="77777777" w:rsidR="0053379F" w:rsidRPr="00EF2C8E" w:rsidRDefault="0053379F" w:rsidP="004F7823">
            <w:pPr>
              <w:pStyle w:val="TableText"/>
            </w:pPr>
            <w:r w:rsidRPr="00EF2C8E">
              <w:t>Information exchange</w:t>
            </w:r>
          </w:p>
        </w:tc>
        <w:tc>
          <w:tcPr>
            <w:tcW w:w="682" w:type="pct"/>
          </w:tcPr>
          <w:p w14:paraId="64BB0966" w14:textId="77777777" w:rsidR="0053379F" w:rsidRPr="00EF2C8E" w:rsidRDefault="0053379F" w:rsidP="004F7823">
            <w:pPr>
              <w:pStyle w:val="TableText"/>
              <w:rPr>
                <w:szCs w:val="20"/>
              </w:rPr>
            </w:pPr>
            <w:r w:rsidRPr="00EF2C8E">
              <w:rPr>
                <w:szCs w:val="20"/>
              </w:rPr>
              <w:t>At least three times via Selected Area Working Group, and</w:t>
            </w:r>
          </w:p>
          <w:p w14:paraId="766480C4" w14:textId="77777777" w:rsidR="0053379F" w:rsidRPr="00EF2C8E" w:rsidRDefault="0053379F" w:rsidP="004F7823">
            <w:r w:rsidRPr="00EF2C8E">
              <w:rPr>
                <w:sz w:val="20"/>
              </w:rPr>
              <w:t>as appropriate during the MER Project to support delivery of environmental water</w:t>
            </w:r>
          </w:p>
        </w:tc>
        <w:tc>
          <w:tcPr>
            <w:tcW w:w="571" w:type="pct"/>
          </w:tcPr>
          <w:p w14:paraId="08ACE2EE" w14:textId="77777777" w:rsidR="0053379F" w:rsidRPr="00EF2C8E" w:rsidRDefault="0053379F" w:rsidP="004F7823">
            <w:pPr>
              <w:pStyle w:val="TableText"/>
            </w:pPr>
            <w:r w:rsidRPr="00EF2C8E">
              <w:t>As appropriate</w:t>
            </w:r>
          </w:p>
        </w:tc>
        <w:tc>
          <w:tcPr>
            <w:tcW w:w="667" w:type="pct"/>
          </w:tcPr>
          <w:p w14:paraId="6B8A8486" w14:textId="77777777" w:rsidR="0053379F" w:rsidRPr="00EF2C8E" w:rsidRDefault="0053379F" w:rsidP="004F7823">
            <w:pPr>
              <w:pStyle w:val="TableText"/>
            </w:pPr>
            <w:r w:rsidRPr="00EF2C8E">
              <w:t>MER Providers</w:t>
            </w:r>
          </w:p>
        </w:tc>
        <w:tc>
          <w:tcPr>
            <w:tcW w:w="566" w:type="pct"/>
          </w:tcPr>
          <w:p w14:paraId="3C0AEE22" w14:textId="77777777" w:rsidR="0053379F" w:rsidRPr="00EF2C8E" w:rsidRDefault="0053379F" w:rsidP="004F7823">
            <w:pPr>
              <w:pStyle w:val="TableText"/>
            </w:pPr>
            <w:r w:rsidRPr="00EF2C8E">
              <w:t>CEWO and other delivery partners</w:t>
            </w:r>
          </w:p>
        </w:tc>
        <w:tc>
          <w:tcPr>
            <w:tcW w:w="1119" w:type="pct"/>
          </w:tcPr>
          <w:p w14:paraId="0A5E6619" w14:textId="77777777" w:rsidR="0053379F" w:rsidRPr="00EF2C8E" w:rsidRDefault="0053379F" w:rsidP="004F7823">
            <w:pPr>
              <w:pStyle w:val="TableText"/>
            </w:pPr>
            <w:r w:rsidRPr="00EF2C8E">
              <w:t>Information exchange on project activities (monitoring undertaken, observations, evaluation) and any information that is available to MER Providers that would support the delivery of environmental water. This could be written and/or verbal. The Selected Area Working Group is an appropriate forum.</w:t>
            </w:r>
          </w:p>
        </w:tc>
        <w:tc>
          <w:tcPr>
            <w:tcW w:w="631" w:type="pct"/>
          </w:tcPr>
          <w:p w14:paraId="627F7518" w14:textId="77777777" w:rsidR="0053379F" w:rsidRPr="00EF2C8E" w:rsidRDefault="0053379F" w:rsidP="004F7823">
            <w:pPr>
              <w:pStyle w:val="TableText"/>
            </w:pPr>
            <w:r w:rsidRPr="00EF2C8E">
              <w:t>MER data, learnings, outcomes, etc.</w:t>
            </w:r>
          </w:p>
        </w:tc>
      </w:tr>
      <w:bookmarkEnd w:id="334"/>
      <w:bookmarkEnd w:id="335"/>
    </w:tbl>
    <w:p w14:paraId="2391DD77" w14:textId="77777777" w:rsidR="00430220" w:rsidRDefault="00430220" w:rsidP="00475425">
      <w:pPr>
        <w:pStyle w:val="Heading1"/>
        <w:sectPr w:rsidR="00430220" w:rsidSect="0051229B">
          <w:pgSz w:w="16840" w:h="11900" w:orient="landscape" w:code="9"/>
          <w:pgMar w:top="1440" w:right="1440" w:bottom="1440" w:left="1440" w:header="709" w:footer="709" w:gutter="0"/>
          <w:cols w:space="708"/>
          <w:docGrid w:linePitch="360"/>
        </w:sectPr>
      </w:pPr>
    </w:p>
    <w:p w14:paraId="635D2A97" w14:textId="5E37F3D3" w:rsidR="004C54BE" w:rsidRPr="008F2F9E" w:rsidRDefault="004C54BE" w:rsidP="00475425">
      <w:pPr>
        <w:pStyle w:val="Heading1"/>
      </w:pPr>
      <w:bookmarkStart w:id="336" w:name="_Toc22196746"/>
      <w:r w:rsidRPr="008F2F9E">
        <w:lastRenderedPageBreak/>
        <w:t>Project management</w:t>
      </w:r>
      <w:bookmarkEnd w:id="336"/>
    </w:p>
    <w:p w14:paraId="0837D473" w14:textId="4A459584" w:rsidR="004C54BE" w:rsidRPr="008F2F9E" w:rsidRDefault="004C54BE" w:rsidP="00475425">
      <w:pPr>
        <w:pStyle w:val="Heading2"/>
      </w:pPr>
      <w:bookmarkStart w:id="337" w:name="_Toc22196747"/>
      <w:r w:rsidRPr="008F2F9E">
        <w:t>Project governance</w:t>
      </w:r>
      <w:r w:rsidR="00C54376">
        <w:t xml:space="preserve"> and personnel</w:t>
      </w:r>
      <w:bookmarkEnd w:id="337"/>
    </w:p>
    <w:p w14:paraId="5C6488A9" w14:textId="77777777" w:rsidR="006018FE" w:rsidRDefault="006018FE" w:rsidP="006018FE">
      <w:r w:rsidRPr="00825E1C">
        <w:t>The</w:t>
      </w:r>
      <w:r w:rsidRPr="00C35012">
        <w:rPr>
          <w:b/>
        </w:rPr>
        <w:t xml:space="preserve"> </w:t>
      </w:r>
      <w:r>
        <w:rPr>
          <w:b/>
        </w:rPr>
        <w:t>P</w:t>
      </w:r>
      <w:r w:rsidRPr="00C35012">
        <w:rPr>
          <w:b/>
        </w:rPr>
        <w:t xml:space="preserve">roject </w:t>
      </w:r>
      <w:r>
        <w:rPr>
          <w:b/>
        </w:rPr>
        <w:t>L</w:t>
      </w:r>
      <w:r w:rsidRPr="00C35012">
        <w:rPr>
          <w:b/>
        </w:rPr>
        <w:t>eader</w:t>
      </w:r>
      <w:r w:rsidRPr="004D0E5A">
        <w:t xml:space="preserve">, </w:t>
      </w:r>
      <w:r>
        <w:t>A/Professor</w:t>
      </w:r>
      <w:r w:rsidRPr="004D0E5A">
        <w:t xml:space="preserve"> Qifeng Ye, SARDI Aquatic Sciences, lead</w:t>
      </w:r>
      <w:r>
        <w:t>s</w:t>
      </w:r>
      <w:r w:rsidRPr="004D0E5A">
        <w:t xml:space="preserve"> the development</w:t>
      </w:r>
      <w:r>
        <w:t xml:space="preserve"> </w:t>
      </w:r>
      <w:r w:rsidRPr="004D0E5A">
        <w:t>and</w:t>
      </w:r>
      <w:r>
        <w:t xml:space="preserve"> implementation of the MER Plan</w:t>
      </w:r>
      <w:r w:rsidRPr="004D0E5A">
        <w:t>, oversee</w:t>
      </w:r>
      <w:r>
        <w:t>s</w:t>
      </w:r>
      <w:r w:rsidRPr="004D0E5A">
        <w:t xml:space="preserve"> the </w:t>
      </w:r>
      <w:r w:rsidRPr="00D60383">
        <w:t>MER</w:t>
      </w:r>
      <w:r>
        <w:t xml:space="preserve"> P</w:t>
      </w:r>
      <w:r w:rsidRPr="004D0E5A">
        <w:t>roject and ensure</w:t>
      </w:r>
      <w:r>
        <w:t>s</w:t>
      </w:r>
      <w:r w:rsidRPr="004D0E5A">
        <w:t xml:space="preserve"> project</w:t>
      </w:r>
      <w:r>
        <w:t xml:space="preserve"> </w:t>
      </w:r>
      <w:r w:rsidRPr="004D0E5A">
        <w:t>performance, coordination, reporting and communication.</w:t>
      </w:r>
      <w:r>
        <w:t xml:space="preserve"> The Project Leader will report to </w:t>
      </w:r>
      <w:r w:rsidRPr="00AF61E8">
        <w:rPr>
          <w:b/>
        </w:rPr>
        <w:t>CEWO Project Manager(s)</w:t>
      </w:r>
      <w:r>
        <w:t xml:space="preserve">, and be the contact for </w:t>
      </w:r>
      <w:r w:rsidRPr="007D6195">
        <w:t xml:space="preserve">any communication between the project delivery team and </w:t>
      </w:r>
      <w:r>
        <w:t>CEWO.</w:t>
      </w:r>
    </w:p>
    <w:p w14:paraId="17DBA68B" w14:textId="5AF254F2" w:rsidR="006018FE" w:rsidRDefault="006018FE" w:rsidP="006018FE">
      <w:r>
        <w:t xml:space="preserve">The Project Leader will be supported by </w:t>
      </w:r>
      <w:r w:rsidRPr="00D433D9">
        <w:rPr>
          <w:b/>
        </w:rPr>
        <w:t>Project Officer</w:t>
      </w:r>
      <w:r>
        <w:t xml:space="preserve"> George Giatas (SARDI) and following </w:t>
      </w:r>
      <w:r w:rsidRPr="00D433D9">
        <w:rPr>
          <w:b/>
        </w:rPr>
        <w:t>Task Leaders</w:t>
      </w:r>
      <w:r>
        <w:t xml:space="preserve"> for the delivery of M</w:t>
      </w:r>
      <w:r w:rsidR="00314CFD">
        <w:t>ER Project in the Lower Murray (</w:t>
      </w:r>
      <w:r w:rsidR="00314CFD">
        <w:fldChar w:fldCharType="begin"/>
      </w:r>
      <w:r w:rsidR="00314CFD">
        <w:instrText xml:space="preserve"> REF _Ref10795492 \h </w:instrText>
      </w:r>
      <w:r w:rsidR="00314CFD">
        <w:fldChar w:fldCharType="separate"/>
      </w:r>
      <w:r w:rsidR="00DF49CD">
        <w:t xml:space="preserve">Table </w:t>
      </w:r>
      <w:r w:rsidR="00DF49CD">
        <w:rPr>
          <w:noProof/>
        </w:rPr>
        <w:t>10</w:t>
      </w:r>
      <w:r w:rsidR="00DF49CD">
        <w:t>.</w:t>
      </w:r>
      <w:r w:rsidR="00DF49CD">
        <w:rPr>
          <w:noProof/>
        </w:rPr>
        <w:t>1</w:t>
      </w:r>
      <w:r w:rsidR="00314CFD">
        <w:fldChar w:fldCharType="end"/>
      </w:r>
      <w:r w:rsidR="00314CFD">
        <w:t>)</w:t>
      </w:r>
      <w:r>
        <w:t>, including:</w:t>
      </w:r>
    </w:p>
    <w:p w14:paraId="6090F298" w14:textId="77777777" w:rsidR="006018FE" w:rsidRPr="00A32404" w:rsidRDefault="006018FE" w:rsidP="006018FE">
      <w:pPr>
        <w:pStyle w:val="ListBullet"/>
      </w:pPr>
      <w:r>
        <w:t>Matt Gibbs (University of Adelaide)</w:t>
      </w:r>
    </w:p>
    <w:p w14:paraId="33B791BA" w14:textId="77777777" w:rsidR="006018FE" w:rsidRDefault="006018FE" w:rsidP="006018FE">
      <w:pPr>
        <w:pStyle w:val="ListBullet"/>
      </w:pPr>
      <w:r w:rsidRPr="00A32404">
        <w:t>Rod Oliver (</w:t>
      </w:r>
      <w:r>
        <w:t>University of Adelaide</w:t>
      </w:r>
      <w:r w:rsidRPr="00A32404">
        <w:t>)</w:t>
      </w:r>
    </w:p>
    <w:p w14:paraId="245E649D" w14:textId="2492D162" w:rsidR="006018FE" w:rsidRPr="00A32404" w:rsidRDefault="006018FE" w:rsidP="006018FE">
      <w:pPr>
        <w:pStyle w:val="ListBullet"/>
      </w:pPr>
      <w:r>
        <w:t xml:space="preserve">Justin Brookes </w:t>
      </w:r>
      <w:r w:rsidRPr="00A32404">
        <w:t>(</w:t>
      </w:r>
      <w:r>
        <w:t>In</w:t>
      </w:r>
      <w:r w:rsidR="005075C8">
        <w:t xml:space="preserve"> </w:t>
      </w:r>
      <w:r>
        <w:t>Fusion</w:t>
      </w:r>
      <w:r w:rsidR="005075C8">
        <w:t xml:space="preserve"> Consulting</w:t>
      </w:r>
      <w:r>
        <w:t>/</w:t>
      </w:r>
      <w:r w:rsidRPr="00A32404">
        <w:t>University of Adelaide)</w:t>
      </w:r>
    </w:p>
    <w:p w14:paraId="54469EEB" w14:textId="77777777" w:rsidR="006018FE" w:rsidRDefault="006018FE" w:rsidP="006018FE">
      <w:pPr>
        <w:pStyle w:val="ListBullet"/>
      </w:pPr>
      <w:r>
        <w:t>Jason Nicol (SARDI)</w:t>
      </w:r>
    </w:p>
    <w:p w14:paraId="344B8CF1" w14:textId="34A9415B" w:rsidR="006018FE" w:rsidRDefault="006018FE" w:rsidP="006018FE">
      <w:pPr>
        <w:pStyle w:val="ListBullet"/>
      </w:pPr>
      <w:r>
        <w:t>Debora</w:t>
      </w:r>
      <w:r w:rsidR="00AF38BC">
        <w:t>h</w:t>
      </w:r>
      <w:r>
        <w:t xml:space="preserve"> Furst  (University of Adelaide)</w:t>
      </w:r>
    </w:p>
    <w:p w14:paraId="516ABEC9" w14:textId="77777777" w:rsidR="006018FE" w:rsidRDefault="006018FE" w:rsidP="006018FE">
      <w:pPr>
        <w:pStyle w:val="ListBullet"/>
      </w:pPr>
      <w:r>
        <w:t>Brenton Zampatti (SARDI)</w:t>
      </w:r>
    </w:p>
    <w:p w14:paraId="0725F892" w14:textId="77777777" w:rsidR="006018FE" w:rsidRDefault="006018FE" w:rsidP="006018FE">
      <w:pPr>
        <w:pStyle w:val="ListBullet"/>
      </w:pPr>
      <w:r>
        <w:t>Chris Bice (SARDI)</w:t>
      </w:r>
    </w:p>
    <w:p w14:paraId="56BD9A75" w14:textId="42B0993B" w:rsidR="006018FE" w:rsidRPr="00626D80" w:rsidRDefault="006018FE" w:rsidP="006018FE">
      <w:r w:rsidRPr="00825E1C">
        <w:t>The</w:t>
      </w:r>
      <w:r>
        <w:rPr>
          <w:b/>
        </w:rPr>
        <w:t xml:space="preserve"> Project Officer </w:t>
      </w:r>
      <w:r>
        <w:t>will assist with coordinating monitoring and reporting activities, provide executive support for Selected Area Working Group meetings and project meetings, support project communication and engagement (where appropriate), and be responsible for data management, uploads to MDMS and liaison with CEWO data managers.</w:t>
      </w:r>
    </w:p>
    <w:p w14:paraId="42DB54CB" w14:textId="77777777" w:rsidR="006018FE" w:rsidRDefault="006018FE" w:rsidP="006018FE">
      <w:r>
        <w:rPr>
          <w:b/>
        </w:rPr>
        <w:t>Task</w:t>
      </w:r>
      <w:r w:rsidRPr="000C47D4">
        <w:rPr>
          <w:b/>
        </w:rPr>
        <w:t xml:space="preserve"> Leaders</w:t>
      </w:r>
      <w:r>
        <w:t xml:space="preserve"> will be responsible for leading the technical delivery teams that will undertake indicator monitoring, evaluation and research activities and contribute to annual reports for the Lower Murray Selected Area. </w:t>
      </w:r>
    </w:p>
    <w:p w14:paraId="03CF7D70" w14:textId="4FE25C3E" w:rsidR="00A262D8" w:rsidRPr="00571217" w:rsidRDefault="00A262D8" w:rsidP="00A262D8">
      <w:r w:rsidRPr="00890947">
        <w:t>Furthermore, a</w:t>
      </w:r>
      <w:r>
        <w:rPr>
          <w:b/>
        </w:rPr>
        <w:t xml:space="preserve"> </w:t>
      </w:r>
      <w:r w:rsidRPr="0073575E">
        <w:rPr>
          <w:b/>
        </w:rPr>
        <w:t xml:space="preserve">Communication </w:t>
      </w:r>
      <w:r>
        <w:rPr>
          <w:b/>
        </w:rPr>
        <w:t xml:space="preserve">Coordinator </w:t>
      </w:r>
      <w:r w:rsidRPr="005E0151">
        <w:t>(SARDI</w:t>
      </w:r>
      <w:r w:rsidR="00B31D94">
        <w:t>, ~0.1</w:t>
      </w:r>
      <w:r w:rsidR="00917F5E">
        <w:t>2</w:t>
      </w:r>
      <w:r w:rsidR="00B31D94">
        <w:t xml:space="preserve"> FTE</w:t>
      </w:r>
      <w:r w:rsidRPr="005E0151">
        <w:t xml:space="preserve">) (if supported </w:t>
      </w:r>
      <w:r w:rsidRPr="00890947">
        <w:t xml:space="preserve">by CEWO </w:t>
      </w:r>
      <w:r w:rsidR="00917F5E">
        <w:t xml:space="preserve">Contingency Funding for </w:t>
      </w:r>
      <w:r w:rsidRPr="00890947">
        <w:t>Engagement and Communication) will provide</w:t>
      </w:r>
      <w:r>
        <w:t xml:space="preserve"> additional</w:t>
      </w:r>
      <w:r w:rsidRPr="00890947">
        <w:t xml:space="preserve"> support for engagement</w:t>
      </w:r>
      <w:r w:rsidRPr="00571217">
        <w:t xml:space="preserve"> and communi</w:t>
      </w:r>
      <w:r>
        <w:t>cation activities in the Lower Murray Selected Area and interact/collaborate with CEWO LEO and Basin-scale Flow-MER engagement and communication leadership team, to promote the MER Project and effectively engage with key stakeholders, Aboriginal groups, recreational fishing community and general public. Further support to this role will be provided by PIRSA Communication Unit.</w:t>
      </w:r>
    </w:p>
    <w:p w14:paraId="7C9D394F" w14:textId="77777777" w:rsidR="006018FE" w:rsidRPr="0039058E" w:rsidRDefault="006018FE" w:rsidP="006018FE">
      <w:pPr>
        <w:rPr>
          <w:highlight w:val="yellow"/>
        </w:rPr>
      </w:pPr>
      <w:r>
        <w:t xml:space="preserve">The </w:t>
      </w:r>
      <w:r w:rsidRPr="0039058E">
        <w:rPr>
          <w:b/>
        </w:rPr>
        <w:t>Project Leader</w:t>
      </w:r>
      <w:r>
        <w:t xml:space="preserve"> will be part of a high level </w:t>
      </w:r>
      <w:r w:rsidRPr="0039058E">
        <w:rPr>
          <w:b/>
        </w:rPr>
        <w:t>Steering Committee</w:t>
      </w:r>
      <w:r w:rsidRPr="0039058E">
        <w:t>, which is the whole-of-project committee</w:t>
      </w:r>
      <w:r>
        <w:t xml:space="preserve"> for the CEWO MER Program. This committee will be</w:t>
      </w:r>
      <w:r w:rsidRPr="0039058E">
        <w:t xml:space="preserve"> </w:t>
      </w:r>
      <w:r>
        <w:t xml:space="preserve">chaired by CEWO director and </w:t>
      </w:r>
      <w:r w:rsidRPr="0039058E">
        <w:t xml:space="preserve">attended by Provider representatives </w:t>
      </w:r>
      <w:r>
        <w:t xml:space="preserve">(both Basin- and Selected Area scales) </w:t>
      </w:r>
      <w:r w:rsidRPr="0039058E">
        <w:t>for the purposes of contributing to a forum for the exchange of information and intelligence that supports the implementation of the CEWO MER Program, through effective coordination and issues resolution.</w:t>
      </w:r>
    </w:p>
    <w:p w14:paraId="4FE1CBB4" w14:textId="449F8361" w:rsidR="00D52C44" w:rsidRDefault="006018FE" w:rsidP="006018FE">
      <w:r w:rsidRPr="00825E1C">
        <w:t xml:space="preserve">The </w:t>
      </w:r>
      <w:r w:rsidRPr="00825E1C">
        <w:rPr>
          <w:b/>
        </w:rPr>
        <w:t>Selected Area Working Group</w:t>
      </w:r>
      <w:r>
        <w:t xml:space="preserve"> involves key stakeholders in the Lower Murray, with membership approved by CEWO and meetings chaired by the </w:t>
      </w:r>
      <w:r w:rsidRPr="003D7B3B">
        <w:rPr>
          <w:b/>
        </w:rPr>
        <w:t>Project Leader</w:t>
      </w:r>
      <w:r>
        <w:t>. This group will provide</w:t>
      </w:r>
      <w:r w:rsidRPr="00825E1C">
        <w:t xml:space="preserve"> a forum for the exchange of information and intelligence that supports the implementation of the MER Project, through effective coordination of environmental watering and monitoring, evaluation and research. </w:t>
      </w:r>
      <w:r>
        <w:t xml:space="preserve">More details are provided Section </w:t>
      </w:r>
      <w:r>
        <w:fldChar w:fldCharType="begin"/>
      </w:r>
      <w:r>
        <w:instrText xml:space="preserve"> REF _Ref10119735 \r \h </w:instrText>
      </w:r>
      <w:r>
        <w:fldChar w:fldCharType="separate"/>
      </w:r>
      <w:r w:rsidR="00DF49CD">
        <w:t>8.3</w:t>
      </w:r>
      <w:r>
        <w:fldChar w:fldCharType="end"/>
      </w:r>
      <w:r>
        <w:t>.</w:t>
      </w:r>
      <w:r w:rsidR="00D52C44">
        <w:t xml:space="preserve"> </w:t>
      </w:r>
    </w:p>
    <w:p w14:paraId="25F84C32" w14:textId="77777777" w:rsidR="002F4754" w:rsidRDefault="002F4754">
      <w:pPr>
        <w:spacing w:after="200" w:line="276" w:lineRule="auto"/>
        <w:jc w:val="left"/>
        <w:rPr>
          <w:b/>
          <w:bCs/>
          <w:color w:val="auto"/>
          <w:sz w:val="20"/>
          <w:szCs w:val="18"/>
        </w:rPr>
      </w:pPr>
      <w:bookmarkStart w:id="338" w:name="_Ref10119708"/>
      <w:bookmarkStart w:id="339" w:name="_Toc381086847"/>
      <w:bookmarkStart w:id="340" w:name="_Toc381380602"/>
      <w:bookmarkStart w:id="341" w:name="_Toc384985618"/>
      <w:bookmarkStart w:id="342" w:name="_Toc391539157"/>
      <w:bookmarkStart w:id="343" w:name="_Toc391553320"/>
      <w:bookmarkStart w:id="344" w:name="_Toc396899649"/>
      <w:bookmarkStart w:id="345" w:name="_Toc396899744"/>
      <w:r>
        <w:br w:type="page"/>
      </w:r>
    </w:p>
    <w:p w14:paraId="24509B86" w14:textId="7E216DED" w:rsidR="00D52C44" w:rsidRDefault="00D52C44" w:rsidP="00165D7C">
      <w:pPr>
        <w:pStyle w:val="Caption"/>
      </w:pPr>
      <w:bookmarkStart w:id="346" w:name="_Ref10795492"/>
      <w:bookmarkStart w:id="347" w:name="_Toc12630261"/>
      <w:r>
        <w:lastRenderedPageBreak/>
        <w:t xml:space="preserve">Table </w:t>
      </w:r>
      <w:r w:rsidR="00A8252A">
        <w:rPr>
          <w:noProof/>
        </w:rPr>
        <w:fldChar w:fldCharType="begin"/>
      </w:r>
      <w:r w:rsidR="00A8252A">
        <w:rPr>
          <w:noProof/>
        </w:rPr>
        <w:instrText xml:space="preserve"> STYLEREF 1 \s </w:instrText>
      </w:r>
      <w:r w:rsidR="00A8252A">
        <w:rPr>
          <w:noProof/>
        </w:rPr>
        <w:fldChar w:fldCharType="separate"/>
      </w:r>
      <w:r w:rsidR="00DF49CD">
        <w:rPr>
          <w:noProof/>
        </w:rPr>
        <w:t>10</w:t>
      </w:r>
      <w:r w:rsidR="00A8252A">
        <w:rPr>
          <w:noProof/>
        </w:rPr>
        <w:fldChar w:fldCharType="end"/>
      </w:r>
      <w:r w:rsidR="00F359A2">
        <w:t>.</w:t>
      </w:r>
      <w:r w:rsidR="00A8252A">
        <w:rPr>
          <w:noProof/>
        </w:rPr>
        <w:fldChar w:fldCharType="begin"/>
      </w:r>
      <w:r w:rsidR="00A8252A">
        <w:rPr>
          <w:noProof/>
        </w:rPr>
        <w:instrText xml:space="preserve"> SEQ Table \* ARABIC \s 1 </w:instrText>
      </w:r>
      <w:r w:rsidR="00A8252A">
        <w:rPr>
          <w:noProof/>
        </w:rPr>
        <w:fldChar w:fldCharType="separate"/>
      </w:r>
      <w:r w:rsidR="00DF49CD">
        <w:rPr>
          <w:noProof/>
        </w:rPr>
        <w:t>1</w:t>
      </w:r>
      <w:r w:rsidR="00A8252A">
        <w:rPr>
          <w:noProof/>
        </w:rPr>
        <w:fldChar w:fldCharType="end"/>
      </w:r>
      <w:bookmarkEnd w:id="338"/>
      <w:bookmarkEnd w:id="346"/>
      <w:r>
        <w:t>.</w:t>
      </w:r>
      <w:r w:rsidR="00F02673">
        <w:tab/>
      </w:r>
      <w:r>
        <w:t xml:space="preserve">Project and </w:t>
      </w:r>
      <w:r w:rsidR="006F0400">
        <w:t>task</w:t>
      </w:r>
      <w:r w:rsidR="00B328A3">
        <w:t xml:space="preserve"> </w:t>
      </w:r>
      <w:r>
        <w:t>l</w:t>
      </w:r>
      <w:r w:rsidRPr="0083048A">
        <w:t>eaders</w:t>
      </w:r>
      <w:r>
        <w:t xml:space="preserve"> and delivery team</w:t>
      </w:r>
      <w:bookmarkEnd w:id="339"/>
      <w:bookmarkEnd w:id="340"/>
      <w:bookmarkEnd w:id="341"/>
      <w:bookmarkEnd w:id="342"/>
      <w:bookmarkEnd w:id="343"/>
      <w:bookmarkEnd w:id="344"/>
      <w:bookmarkEnd w:id="345"/>
      <w:r w:rsidR="00352A8B">
        <w:t xml:space="preserve"> for Category 1 and 3 indicators</w:t>
      </w:r>
      <w:r w:rsidR="00C46532">
        <w:t xml:space="preserve">, research and key </w:t>
      </w:r>
      <w:r w:rsidR="002F4754">
        <w:t>activities</w:t>
      </w:r>
      <w:r w:rsidR="00C46532">
        <w:t xml:space="preserve"> in the Lower Murray</w:t>
      </w:r>
      <w:r w:rsidR="00352A8B">
        <w:t>.</w:t>
      </w:r>
      <w:bookmarkEnd w:id="347"/>
    </w:p>
    <w:tbl>
      <w:tblPr>
        <w:tblW w:w="0" w:type="auto"/>
        <w:tblLook w:val="04A0" w:firstRow="1" w:lastRow="0" w:firstColumn="1" w:lastColumn="0" w:noHBand="0" w:noVBand="1"/>
      </w:tblPr>
      <w:tblGrid>
        <w:gridCol w:w="2062"/>
        <w:gridCol w:w="2231"/>
        <w:gridCol w:w="2184"/>
        <w:gridCol w:w="2533"/>
      </w:tblGrid>
      <w:tr w:rsidR="006018FE" w:rsidRPr="00FA0651" w14:paraId="20CD916D" w14:textId="77777777" w:rsidTr="008D0C2B">
        <w:trPr>
          <w:tblHeader/>
        </w:trPr>
        <w:tc>
          <w:tcPr>
            <w:tcW w:w="2062" w:type="dxa"/>
            <w:tcBorders>
              <w:top w:val="single" w:sz="4" w:space="0" w:color="auto"/>
              <w:left w:val="single" w:sz="4" w:space="0" w:color="auto"/>
              <w:bottom w:val="single" w:sz="4" w:space="0" w:color="auto"/>
              <w:right w:val="single" w:sz="4" w:space="0" w:color="auto"/>
            </w:tcBorders>
            <w:shd w:val="clear" w:color="auto" w:fill="BFBFBF"/>
            <w:hideMark/>
          </w:tcPr>
          <w:p w14:paraId="28CD7816" w14:textId="77777777" w:rsidR="006018FE" w:rsidRPr="00FA0651" w:rsidRDefault="006018FE" w:rsidP="008D0C2B">
            <w:pPr>
              <w:pStyle w:val="TableHeading"/>
              <w:rPr>
                <w:color w:val="auto"/>
              </w:rPr>
            </w:pPr>
            <w:r>
              <w:rPr>
                <w:color w:val="auto"/>
              </w:rPr>
              <w:t>Matters</w:t>
            </w:r>
            <w:r w:rsidRPr="00FA0651">
              <w:rPr>
                <w:color w:val="auto"/>
              </w:rPr>
              <w:t>/activities</w:t>
            </w:r>
          </w:p>
        </w:tc>
        <w:tc>
          <w:tcPr>
            <w:tcW w:w="2231" w:type="dxa"/>
            <w:tcBorders>
              <w:top w:val="single" w:sz="4" w:space="0" w:color="auto"/>
              <w:left w:val="single" w:sz="4" w:space="0" w:color="auto"/>
              <w:bottom w:val="single" w:sz="4" w:space="0" w:color="auto"/>
              <w:right w:val="single" w:sz="4" w:space="0" w:color="auto"/>
            </w:tcBorders>
            <w:shd w:val="clear" w:color="auto" w:fill="BFBFBF"/>
            <w:hideMark/>
          </w:tcPr>
          <w:p w14:paraId="6D84AF4B" w14:textId="4E6FB333" w:rsidR="006018FE" w:rsidRPr="00FA0651" w:rsidRDefault="006018FE" w:rsidP="00AF38BC">
            <w:pPr>
              <w:pStyle w:val="TableHeading"/>
              <w:rPr>
                <w:color w:val="auto"/>
              </w:rPr>
            </w:pPr>
            <w:r w:rsidRPr="00FA0651">
              <w:rPr>
                <w:color w:val="auto"/>
              </w:rPr>
              <w:t>Indicators (</w:t>
            </w:r>
            <w:r>
              <w:rPr>
                <w:color w:val="auto"/>
              </w:rPr>
              <w:t>C</w:t>
            </w:r>
            <w:r w:rsidRPr="00FA0651">
              <w:rPr>
                <w:color w:val="auto"/>
              </w:rPr>
              <w:t>at</w:t>
            </w:r>
            <w:r>
              <w:rPr>
                <w:color w:val="auto"/>
              </w:rPr>
              <w:t>.</w:t>
            </w:r>
            <w:r w:rsidRPr="00FA0651">
              <w:rPr>
                <w:color w:val="auto"/>
              </w:rPr>
              <w:t>)</w:t>
            </w:r>
          </w:p>
        </w:tc>
        <w:tc>
          <w:tcPr>
            <w:tcW w:w="2184" w:type="dxa"/>
            <w:tcBorders>
              <w:top w:val="single" w:sz="4" w:space="0" w:color="auto"/>
              <w:left w:val="single" w:sz="4" w:space="0" w:color="auto"/>
              <w:bottom w:val="single" w:sz="4" w:space="0" w:color="auto"/>
              <w:right w:val="single" w:sz="4" w:space="0" w:color="auto"/>
            </w:tcBorders>
            <w:shd w:val="clear" w:color="auto" w:fill="BFBFBF"/>
            <w:hideMark/>
          </w:tcPr>
          <w:p w14:paraId="1645BF25" w14:textId="77777777" w:rsidR="006018FE" w:rsidRPr="00FA0651" w:rsidRDefault="006018FE" w:rsidP="008D0C2B">
            <w:pPr>
              <w:pStyle w:val="TableHeading"/>
              <w:rPr>
                <w:color w:val="auto"/>
              </w:rPr>
            </w:pPr>
            <w:r>
              <w:rPr>
                <w:color w:val="auto"/>
              </w:rPr>
              <w:t>Task</w:t>
            </w:r>
            <w:r w:rsidRPr="00FA0651">
              <w:rPr>
                <w:color w:val="auto"/>
              </w:rPr>
              <w:t xml:space="preserve"> Leader</w:t>
            </w:r>
          </w:p>
        </w:tc>
        <w:tc>
          <w:tcPr>
            <w:tcW w:w="2533" w:type="dxa"/>
            <w:tcBorders>
              <w:top w:val="single" w:sz="4" w:space="0" w:color="auto"/>
              <w:left w:val="single" w:sz="4" w:space="0" w:color="auto"/>
              <w:bottom w:val="single" w:sz="4" w:space="0" w:color="auto"/>
              <w:right w:val="single" w:sz="4" w:space="0" w:color="auto"/>
            </w:tcBorders>
            <w:shd w:val="clear" w:color="auto" w:fill="BFBFBF"/>
            <w:hideMark/>
          </w:tcPr>
          <w:p w14:paraId="0CC29B54" w14:textId="77777777" w:rsidR="006018FE" w:rsidRPr="00FA0651" w:rsidRDefault="006018FE" w:rsidP="008D0C2B">
            <w:pPr>
              <w:pStyle w:val="TableHeading"/>
              <w:rPr>
                <w:color w:val="auto"/>
              </w:rPr>
            </w:pPr>
            <w:r w:rsidRPr="00FA0651">
              <w:rPr>
                <w:color w:val="auto"/>
              </w:rPr>
              <w:t>Delivery Team</w:t>
            </w:r>
          </w:p>
        </w:tc>
      </w:tr>
      <w:tr w:rsidR="006018FE" w:rsidRPr="00FA0651" w14:paraId="225B9A7A" w14:textId="77777777" w:rsidTr="008D0C2B">
        <w:trPr>
          <w:trHeight w:val="694"/>
        </w:trPr>
        <w:tc>
          <w:tcPr>
            <w:tcW w:w="2062" w:type="dxa"/>
            <w:tcBorders>
              <w:top w:val="single" w:sz="4" w:space="0" w:color="auto"/>
              <w:left w:val="single" w:sz="4" w:space="0" w:color="auto"/>
              <w:bottom w:val="single" w:sz="4" w:space="0" w:color="auto"/>
              <w:right w:val="single" w:sz="4" w:space="0" w:color="auto"/>
            </w:tcBorders>
            <w:hideMark/>
          </w:tcPr>
          <w:p w14:paraId="0950C703" w14:textId="77777777" w:rsidR="006018FE" w:rsidRPr="00FA0651" w:rsidRDefault="006018FE" w:rsidP="008D0C2B">
            <w:pPr>
              <w:pStyle w:val="TableText"/>
              <w:rPr>
                <w:color w:val="auto"/>
              </w:rPr>
            </w:pPr>
            <w:r w:rsidRPr="00FA0651">
              <w:rPr>
                <w:color w:val="auto"/>
              </w:rPr>
              <w:t>Project leadership and management</w:t>
            </w:r>
          </w:p>
        </w:tc>
        <w:tc>
          <w:tcPr>
            <w:tcW w:w="2231" w:type="dxa"/>
            <w:tcBorders>
              <w:top w:val="single" w:sz="4" w:space="0" w:color="auto"/>
              <w:left w:val="single" w:sz="4" w:space="0" w:color="auto"/>
              <w:bottom w:val="single" w:sz="4" w:space="0" w:color="auto"/>
              <w:right w:val="single" w:sz="4" w:space="0" w:color="auto"/>
            </w:tcBorders>
            <w:hideMark/>
          </w:tcPr>
          <w:p w14:paraId="7AEF6B58" w14:textId="77777777" w:rsidR="006018FE" w:rsidRPr="00FA0651" w:rsidRDefault="006018FE" w:rsidP="008D0C2B">
            <w:pPr>
              <w:pStyle w:val="TableText"/>
              <w:rPr>
                <w:color w:val="auto"/>
              </w:rPr>
            </w:pPr>
            <w:r w:rsidRPr="00FA0651">
              <w:rPr>
                <w:color w:val="auto"/>
              </w:rPr>
              <w:t>N/A</w:t>
            </w:r>
          </w:p>
        </w:tc>
        <w:tc>
          <w:tcPr>
            <w:tcW w:w="2184" w:type="dxa"/>
            <w:tcBorders>
              <w:top w:val="single" w:sz="4" w:space="0" w:color="auto"/>
              <w:left w:val="single" w:sz="4" w:space="0" w:color="auto"/>
              <w:bottom w:val="single" w:sz="4" w:space="0" w:color="auto"/>
              <w:right w:val="single" w:sz="4" w:space="0" w:color="auto"/>
            </w:tcBorders>
            <w:hideMark/>
          </w:tcPr>
          <w:p w14:paraId="4DF60415" w14:textId="77777777" w:rsidR="006018FE" w:rsidRPr="00FA0651" w:rsidRDefault="006018FE" w:rsidP="008D0C2B">
            <w:pPr>
              <w:pStyle w:val="TableText"/>
              <w:rPr>
                <w:color w:val="auto"/>
              </w:rPr>
            </w:pPr>
            <w:r w:rsidRPr="00FA0651">
              <w:rPr>
                <w:color w:val="auto"/>
              </w:rPr>
              <w:t>Qifeng Ye, SARDI</w:t>
            </w:r>
          </w:p>
        </w:tc>
        <w:tc>
          <w:tcPr>
            <w:tcW w:w="2533" w:type="dxa"/>
            <w:tcBorders>
              <w:top w:val="single" w:sz="4" w:space="0" w:color="auto"/>
              <w:left w:val="single" w:sz="4" w:space="0" w:color="auto"/>
              <w:bottom w:val="single" w:sz="4" w:space="0" w:color="auto"/>
              <w:right w:val="single" w:sz="4" w:space="0" w:color="auto"/>
            </w:tcBorders>
            <w:hideMark/>
          </w:tcPr>
          <w:p w14:paraId="72076FDE" w14:textId="77777777" w:rsidR="006018FE" w:rsidRPr="006A5D17" w:rsidRDefault="006018FE" w:rsidP="008D0C2B">
            <w:pPr>
              <w:pStyle w:val="TableText"/>
              <w:rPr>
                <w:color w:val="auto"/>
              </w:rPr>
            </w:pPr>
            <w:r>
              <w:rPr>
                <w:color w:val="auto"/>
              </w:rPr>
              <w:t>George Giatas, SARDI</w:t>
            </w:r>
          </w:p>
        </w:tc>
      </w:tr>
      <w:tr w:rsidR="006018FE" w:rsidRPr="00FA0651" w14:paraId="730AC7C0" w14:textId="77777777" w:rsidTr="008D0C2B">
        <w:tc>
          <w:tcPr>
            <w:tcW w:w="2062" w:type="dxa"/>
            <w:tcBorders>
              <w:top w:val="single" w:sz="4" w:space="0" w:color="auto"/>
              <w:left w:val="single" w:sz="4" w:space="0" w:color="auto"/>
              <w:bottom w:val="single" w:sz="4" w:space="0" w:color="auto"/>
              <w:right w:val="single" w:sz="4" w:space="0" w:color="auto"/>
            </w:tcBorders>
            <w:hideMark/>
          </w:tcPr>
          <w:p w14:paraId="2F41F37E" w14:textId="77777777" w:rsidR="006018FE" w:rsidRPr="00FA0651" w:rsidRDefault="006018FE" w:rsidP="008D0C2B">
            <w:pPr>
              <w:pStyle w:val="TableText"/>
              <w:rPr>
                <w:color w:val="auto"/>
              </w:rPr>
            </w:pPr>
            <w:r w:rsidRPr="00FA0651">
              <w:rPr>
                <w:color w:val="auto"/>
              </w:rPr>
              <w:t>Hydrology</w:t>
            </w:r>
          </w:p>
        </w:tc>
        <w:tc>
          <w:tcPr>
            <w:tcW w:w="2231" w:type="dxa"/>
            <w:tcBorders>
              <w:top w:val="single" w:sz="4" w:space="0" w:color="auto"/>
              <w:left w:val="single" w:sz="4" w:space="0" w:color="auto"/>
              <w:bottom w:val="single" w:sz="4" w:space="0" w:color="auto"/>
              <w:right w:val="single" w:sz="4" w:space="0" w:color="auto"/>
            </w:tcBorders>
            <w:hideMark/>
          </w:tcPr>
          <w:p w14:paraId="1026F2F5" w14:textId="1D4EBD6C" w:rsidR="006018FE" w:rsidRPr="00FA0651" w:rsidRDefault="006018FE" w:rsidP="008D0C2B">
            <w:pPr>
              <w:pStyle w:val="TableText"/>
              <w:rPr>
                <w:color w:val="auto"/>
              </w:rPr>
            </w:pPr>
            <w:r w:rsidRPr="00007327">
              <w:rPr>
                <w:i/>
                <w:color w:val="auto"/>
              </w:rPr>
              <w:t xml:space="preserve">Hydrology (Channel) </w:t>
            </w:r>
            <w:r w:rsidRPr="00FA0651">
              <w:rPr>
                <w:color w:val="auto"/>
              </w:rPr>
              <w:t>(</w:t>
            </w:r>
            <w:r>
              <w:rPr>
                <w:color w:val="auto"/>
              </w:rPr>
              <w:t>1</w:t>
            </w:r>
            <w:r w:rsidRPr="00FA0651">
              <w:rPr>
                <w:color w:val="auto"/>
              </w:rPr>
              <w:t>)</w:t>
            </w:r>
          </w:p>
          <w:p w14:paraId="41434DBD" w14:textId="6E881E16" w:rsidR="006018FE" w:rsidRPr="00FA0651" w:rsidRDefault="006018FE" w:rsidP="008D0C2B">
            <w:pPr>
              <w:pStyle w:val="TableText"/>
              <w:rPr>
                <w:color w:val="auto"/>
              </w:rPr>
            </w:pPr>
            <w:r w:rsidRPr="00007327">
              <w:rPr>
                <w:i/>
                <w:color w:val="auto"/>
              </w:rPr>
              <w:t xml:space="preserve">Hydraulic </w:t>
            </w:r>
            <w:r w:rsidR="00AF38BC" w:rsidRPr="00007327">
              <w:rPr>
                <w:i/>
                <w:color w:val="auto"/>
              </w:rPr>
              <w:t>R</w:t>
            </w:r>
            <w:r w:rsidRPr="00007327">
              <w:rPr>
                <w:i/>
                <w:color w:val="auto"/>
              </w:rPr>
              <w:t>egime</w:t>
            </w:r>
            <w:r w:rsidRPr="00FA0651">
              <w:rPr>
                <w:color w:val="auto"/>
              </w:rPr>
              <w:t>(</w:t>
            </w:r>
            <w:r>
              <w:rPr>
                <w:color w:val="auto"/>
              </w:rPr>
              <w:t>3</w:t>
            </w:r>
            <w:r w:rsidRPr="00FA0651">
              <w:rPr>
                <w:color w:val="auto"/>
              </w:rPr>
              <w:t>)</w:t>
            </w:r>
          </w:p>
        </w:tc>
        <w:tc>
          <w:tcPr>
            <w:tcW w:w="2184" w:type="dxa"/>
            <w:tcBorders>
              <w:top w:val="single" w:sz="4" w:space="0" w:color="auto"/>
              <w:left w:val="single" w:sz="4" w:space="0" w:color="auto"/>
              <w:bottom w:val="single" w:sz="4" w:space="0" w:color="auto"/>
              <w:right w:val="single" w:sz="4" w:space="0" w:color="auto"/>
            </w:tcBorders>
            <w:hideMark/>
          </w:tcPr>
          <w:p w14:paraId="4E0A0FFF" w14:textId="77777777" w:rsidR="006018FE" w:rsidRPr="00FA0651" w:rsidRDefault="006018FE" w:rsidP="008D0C2B">
            <w:pPr>
              <w:pStyle w:val="TableText"/>
              <w:rPr>
                <w:color w:val="auto"/>
              </w:rPr>
            </w:pPr>
            <w:r>
              <w:rPr>
                <w:color w:val="auto"/>
              </w:rPr>
              <w:t>Matt Gibbs, UoA/DEW</w:t>
            </w:r>
          </w:p>
        </w:tc>
        <w:tc>
          <w:tcPr>
            <w:tcW w:w="2533" w:type="dxa"/>
            <w:tcBorders>
              <w:top w:val="single" w:sz="4" w:space="0" w:color="auto"/>
              <w:left w:val="single" w:sz="4" w:space="0" w:color="auto"/>
              <w:bottom w:val="single" w:sz="4" w:space="0" w:color="auto"/>
              <w:right w:val="single" w:sz="4" w:space="0" w:color="auto"/>
            </w:tcBorders>
            <w:hideMark/>
          </w:tcPr>
          <w:p w14:paraId="73147649" w14:textId="77777777" w:rsidR="006018FE" w:rsidRPr="00FA0651" w:rsidRDefault="006018FE" w:rsidP="008D0C2B">
            <w:pPr>
              <w:pStyle w:val="TableText"/>
              <w:rPr>
                <w:color w:val="auto"/>
              </w:rPr>
            </w:pPr>
            <w:r w:rsidRPr="00FA0651">
              <w:rPr>
                <w:color w:val="auto"/>
              </w:rPr>
              <w:t>DEW representatives</w:t>
            </w:r>
          </w:p>
        </w:tc>
      </w:tr>
      <w:tr w:rsidR="006018FE" w:rsidRPr="00FA0651" w14:paraId="546AD15F" w14:textId="77777777" w:rsidTr="008D0C2B">
        <w:trPr>
          <w:trHeight w:val="417"/>
        </w:trPr>
        <w:tc>
          <w:tcPr>
            <w:tcW w:w="2062" w:type="dxa"/>
            <w:tcBorders>
              <w:top w:val="single" w:sz="4" w:space="0" w:color="auto"/>
              <w:left w:val="single" w:sz="4" w:space="0" w:color="auto"/>
              <w:bottom w:val="single" w:sz="4" w:space="0" w:color="auto"/>
              <w:right w:val="single" w:sz="4" w:space="0" w:color="auto"/>
            </w:tcBorders>
            <w:hideMark/>
          </w:tcPr>
          <w:p w14:paraId="7F9E0D0D" w14:textId="77777777" w:rsidR="006018FE" w:rsidRPr="00FA0651" w:rsidRDefault="006018FE" w:rsidP="008D0C2B">
            <w:pPr>
              <w:pStyle w:val="TableText"/>
              <w:rPr>
                <w:color w:val="auto"/>
              </w:rPr>
            </w:pPr>
            <w:r>
              <w:rPr>
                <w:color w:val="auto"/>
              </w:rPr>
              <w:t>Ecosystem function</w:t>
            </w:r>
          </w:p>
        </w:tc>
        <w:tc>
          <w:tcPr>
            <w:tcW w:w="2231" w:type="dxa"/>
            <w:tcBorders>
              <w:top w:val="single" w:sz="4" w:space="0" w:color="auto"/>
              <w:left w:val="single" w:sz="4" w:space="0" w:color="auto"/>
              <w:bottom w:val="single" w:sz="4" w:space="0" w:color="auto"/>
              <w:right w:val="single" w:sz="4" w:space="0" w:color="auto"/>
            </w:tcBorders>
            <w:hideMark/>
          </w:tcPr>
          <w:p w14:paraId="6D67B91C" w14:textId="19B04714" w:rsidR="006018FE" w:rsidRPr="00FA0651" w:rsidRDefault="006018FE" w:rsidP="008D0C2B">
            <w:pPr>
              <w:pStyle w:val="TableText"/>
              <w:rPr>
                <w:color w:val="auto"/>
              </w:rPr>
            </w:pPr>
            <w:r w:rsidRPr="00007327">
              <w:rPr>
                <w:i/>
                <w:color w:val="auto"/>
              </w:rPr>
              <w:t xml:space="preserve">Stream </w:t>
            </w:r>
            <w:r w:rsidR="00AF38BC" w:rsidRPr="00007327">
              <w:rPr>
                <w:i/>
                <w:color w:val="auto"/>
              </w:rPr>
              <w:t>M</w:t>
            </w:r>
            <w:r w:rsidRPr="00007327">
              <w:rPr>
                <w:i/>
                <w:color w:val="auto"/>
              </w:rPr>
              <w:t xml:space="preserve">etabolism and </w:t>
            </w:r>
            <w:r w:rsidR="00AF38BC" w:rsidRPr="00007327">
              <w:rPr>
                <w:i/>
                <w:color w:val="auto"/>
              </w:rPr>
              <w:t>W</w:t>
            </w:r>
            <w:r w:rsidRPr="00007327">
              <w:rPr>
                <w:i/>
                <w:color w:val="auto"/>
              </w:rPr>
              <w:t xml:space="preserve">ater </w:t>
            </w:r>
            <w:r w:rsidR="00AF38BC" w:rsidRPr="00007327">
              <w:rPr>
                <w:i/>
                <w:color w:val="auto"/>
              </w:rPr>
              <w:t>Q</w:t>
            </w:r>
            <w:r w:rsidRPr="00007327">
              <w:rPr>
                <w:i/>
                <w:color w:val="auto"/>
              </w:rPr>
              <w:t>uality</w:t>
            </w:r>
            <w:r w:rsidRPr="00FA0651">
              <w:rPr>
                <w:color w:val="auto"/>
              </w:rPr>
              <w:t xml:space="preserve"> (</w:t>
            </w:r>
            <w:r>
              <w:rPr>
                <w:color w:val="auto"/>
              </w:rPr>
              <w:t>1</w:t>
            </w:r>
            <w:r w:rsidRPr="00FA0651">
              <w:rPr>
                <w:color w:val="auto"/>
              </w:rPr>
              <w:t xml:space="preserve">) </w:t>
            </w:r>
          </w:p>
          <w:p w14:paraId="3F355E15" w14:textId="77777777" w:rsidR="006018FE" w:rsidRPr="00FA0651" w:rsidRDefault="006018FE" w:rsidP="008D0C2B">
            <w:pPr>
              <w:pStyle w:val="TableText"/>
              <w:rPr>
                <w:color w:val="auto"/>
              </w:rPr>
            </w:pPr>
          </w:p>
        </w:tc>
        <w:tc>
          <w:tcPr>
            <w:tcW w:w="2184" w:type="dxa"/>
            <w:tcBorders>
              <w:top w:val="single" w:sz="4" w:space="0" w:color="auto"/>
              <w:left w:val="single" w:sz="4" w:space="0" w:color="auto"/>
              <w:bottom w:val="single" w:sz="4" w:space="0" w:color="auto"/>
              <w:right w:val="single" w:sz="4" w:space="0" w:color="auto"/>
            </w:tcBorders>
            <w:hideMark/>
          </w:tcPr>
          <w:p w14:paraId="7D672FA8" w14:textId="77777777" w:rsidR="006018FE" w:rsidRPr="00FA0651" w:rsidRDefault="006018FE" w:rsidP="008D0C2B">
            <w:pPr>
              <w:pStyle w:val="TableText"/>
              <w:rPr>
                <w:color w:val="auto"/>
              </w:rPr>
            </w:pPr>
            <w:r>
              <w:rPr>
                <w:color w:val="auto"/>
              </w:rPr>
              <w:t>Rod Oliver, UoA</w:t>
            </w:r>
          </w:p>
        </w:tc>
        <w:tc>
          <w:tcPr>
            <w:tcW w:w="2533" w:type="dxa"/>
            <w:tcBorders>
              <w:top w:val="single" w:sz="4" w:space="0" w:color="auto"/>
              <w:left w:val="single" w:sz="4" w:space="0" w:color="auto"/>
              <w:bottom w:val="single" w:sz="4" w:space="0" w:color="auto"/>
              <w:right w:val="single" w:sz="4" w:space="0" w:color="auto"/>
            </w:tcBorders>
            <w:hideMark/>
          </w:tcPr>
          <w:p w14:paraId="7A9C2CAD" w14:textId="77777777" w:rsidR="006018FE" w:rsidRPr="00A32404" w:rsidRDefault="006018FE" w:rsidP="008D0C2B">
            <w:pPr>
              <w:pStyle w:val="TableText"/>
              <w:rPr>
                <w:color w:val="auto"/>
                <w:szCs w:val="20"/>
              </w:rPr>
            </w:pPr>
            <w:r w:rsidRPr="00A32404">
              <w:rPr>
                <w:color w:val="auto"/>
                <w:szCs w:val="20"/>
              </w:rPr>
              <w:t>Z</w:t>
            </w:r>
            <w:r w:rsidRPr="00A32404">
              <w:rPr>
                <w:szCs w:val="20"/>
              </w:rPr>
              <w:t>ygmunt Lorenz</w:t>
            </w:r>
            <w:r>
              <w:rPr>
                <w:szCs w:val="20"/>
              </w:rPr>
              <w:t>, UoA</w:t>
            </w:r>
          </w:p>
        </w:tc>
      </w:tr>
      <w:tr w:rsidR="006018FE" w:rsidRPr="00FA0651" w14:paraId="0AD3526A" w14:textId="77777777" w:rsidTr="008D0C2B">
        <w:tc>
          <w:tcPr>
            <w:tcW w:w="2062" w:type="dxa"/>
            <w:tcBorders>
              <w:top w:val="single" w:sz="4" w:space="0" w:color="auto"/>
              <w:left w:val="single" w:sz="4" w:space="0" w:color="auto"/>
              <w:bottom w:val="single" w:sz="4" w:space="0" w:color="auto"/>
              <w:right w:val="single" w:sz="4" w:space="0" w:color="auto"/>
            </w:tcBorders>
          </w:tcPr>
          <w:p w14:paraId="20EF1257" w14:textId="77777777" w:rsidR="006018FE" w:rsidRPr="00FA0651" w:rsidRDefault="006018FE" w:rsidP="008D0C2B">
            <w:pPr>
              <w:pStyle w:val="TableText"/>
              <w:rPr>
                <w:color w:val="auto"/>
              </w:rPr>
            </w:pPr>
            <w:r>
              <w:rPr>
                <w:color w:val="auto"/>
              </w:rPr>
              <w:t>Ecosystem function</w:t>
            </w:r>
          </w:p>
        </w:tc>
        <w:tc>
          <w:tcPr>
            <w:tcW w:w="2231" w:type="dxa"/>
            <w:tcBorders>
              <w:top w:val="single" w:sz="4" w:space="0" w:color="auto"/>
              <w:left w:val="single" w:sz="4" w:space="0" w:color="auto"/>
              <w:bottom w:val="single" w:sz="4" w:space="0" w:color="auto"/>
              <w:right w:val="single" w:sz="4" w:space="0" w:color="auto"/>
            </w:tcBorders>
          </w:tcPr>
          <w:p w14:paraId="0E9F4B81" w14:textId="0DF34A00" w:rsidR="006018FE" w:rsidRDefault="006018FE" w:rsidP="00AF38BC">
            <w:pPr>
              <w:pStyle w:val="TableText"/>
              <w:rPr>
                <w:color w:val="auto"/>
              </w:rPr>
            </w:pPr>
            <w:r w:rsidRPr="00007327">
              <w:rPr>
                <w:rFonts w:eastAsiaTheme="minorHAnsi" w:cstheme="minorBidi"/>
                <w:i/>
                <w:color w:val="auto"/>
                <w:szCs w:val="20"/>
              </w:rPr>
              <w:t>M</w:t>
            </w:r>
            <w:r w:rsidRPr="00007327">
              <w:rPr>
                <w:i/>
                <w:color w:val="auto"/>
              </w:rPr>
              <w:t xml:space="preserve">atter </w:t>
            </w:r>
            <w:r w:rsidR="00AF38BC" w:rsidRPr="00007327">
              <w:rPr>
                <w:i/>
                <w:color w:val="auto"/>
              </w:rPr>
              <w:t>T</w:t>
            </w:r>
            <w:r w:rsidRPr="00007327">
              <w:rPr>
                <w:i/>
                <w:color w:val="auto"/>
              </w:rPr>
              <w:t xml:space="preserve">ransport and Coorong </w:t>
            </w:r>
            <w:r w:rsidR="00AF38BC" w:rsidRPr="00007327">
              <w:rPr>
                <w:i/>
                <w:color w:val="auto"/>
              </w:rPr>
              <w:t>H</w:t>
            </w:r>
            <w:r w:rsidRPr="00007327">
              <w:rPr>
                <w:i/>
                <w:color w:val="auto"/>
              </w:rPr>
              <w:t>abitat</w:t>
            </w:r>
            <w:r>
              <w:rPr>
                <w:color w:val="auto"/>
              </w:rPr>
              <w:t xml:space="preserve"> </w:t>
            </w:r>
            <w:r w:rsidRPr="00FA0651">
              <w:rPr>
                <w:color w:val="auto"/>
              </w:rPr>
              <w:t>(</w:t>
            </w:r>
            <w:r>
              <w:rPr>
                <w:color w:val="auto"/>
              </w:rPr>
              <w:t>3</w:t>
            </w:r>
            <w:r w:rsidRPr="00FA0651">
              <w:rPr>
                <w:color w:val="auto"/>
              </w:rPr>
              <w:t>)</w:t>
            </w:r>
          </w:p>
        </w:tc>
        <w:tc>
          <w:tcPr>
            <w:tcW w:w="2184" w:type="dxa"/>
            <w:tcBorders>
              <w:top w:val="single" w:sz="4" w:space="0" w:color="auto"/>
              <w:left w:val="single" w:sz="4" w:space="0" w:color="auto"/>
              <w:bottom w:val="single" w:sz="4" w:space="0" w:color="auto"/>
              <w:right w:val="single" w:sz="4" w:space="0" w:color="auto"/>
            </w:tcBorders>
          </w:tcPr>
          <w:p w14:paraId="10205AAC" w14:textId="135E31DE" w:rsidR="006018FE" w:rsidRPr="00FA0651" w:rsidRDefault="006018FE" w:rsidP="008D0C2B">
            <w:pPr>
              <w:pStyle w:val="TableText"/>
              <w:rPr>
                <w:color w:val="auto"/>
              </w:rPr>
            </w:pPr>
            <w:r>
              <w:rPr>
                <w:color w:val="auto"/>
              </w:rPr>
              <w:t>Justin Brookes, In</w:t>
            </w:r>
            <w:r w:rsidR="005075C8">
              <w:rPr>
                <w:color w:val="auto"/>
              </w:rPr>
              <w:t xml:space="preserve"> </w:t>
            </w:r>
            <w:r>
              <w:rPr>
                <w:color w:val="auto"/>
              </w:rPr>
              <w:t>Fusion</w:t>
            </w:r>
            <w:r w:rsidR="005075C8">
              <w:rPr>
                <w:color w:val="auto"/>
              </w:rPr>
              <w:t xml:space="preserve"> Consulting</w:t>
            </w:r>
            <w:r>
              <w:rPr>
                <w:color w:val="auto"/>
              </w:rPr>
              <w:t>/UoA</w:t>
            </w:r>
          </w:p>
        </w:tc>
        <w:tc>
          <w:tcPr>
            <w:tcW w:w="2533" w:type="dxa"/>
            <w:tcBorders>
              <w:top w:val="single" w:sz="4" w:space="0" w:color="auto"/>
              <w:left w:val="single" w:sz="4" w:space="0" w:color="auto"/>
              <w:bottom w:val="single" w:sz="4" w:space="0" w:color="auto"/>
              <w:right w:val="single" w:sz="4" w:space="0" w:color="auto"/>
            </w:tcBorders>
          </w:tcPr>
          <w:p w14:paraId="444344E9" w14:textId="77777777" w:rsidR="006018FE" w:rsidRPr="003110EE" w:rsidRDefault="006018FE" w:rsidP="00F359A2">
            <w:pPr>
              <w:pStyle w:val="TableText"/>
              <w:spacing w:before="0" w:after="160"/>
              <w:rPr>
                <w:color w:val="auto"/>
                <w:szCs w:val="20"/>
              </w:rPr>
            </w:pPr>
            <w:r w:rsidRPr="003110EE">
              <w:rPr>
                <w:color w:val="auto"/>
                <w:szCs w:val="20"/>
              </w:rPr>
              <w:t>Matt Hipsey, Univ. WA</w:t>
            </w:r>
          </w:p>
          <w:p w14:paraId="63B782F9" w14:textId="0869C410" w:rsidR="006018FE" w:rsidRDefault="006018FE" w:rsidP="008D0C2B">
            <w:pPr>
              <w:rPr>
                <w:sz w:val="20"/>
              </w:rPr>
            </w:pPr>
            <w:r>
              <w:rPr>
                <w:sz w:val="20"/>
              </w:rPr>
              <w:t>Matt Gibbs, UoA/DEW</w:t>
            </w:r>
          </w:p>
          <w:p w14:paraId="12286C9E" w14:textId="77777777" w:rsidR="006018FE" w:rsidRDefault="006018FE" w:rsidP="008D0C2B">
            <w:pPr>
              <w:rPr>
                <w:sz w:val="20"/>
              </w:rPr>
            </w:pPr>
            <w:r>
              <w:rPr>
                <w:sz w:val="20"/>
              </w:rPr>
              <w:t>Jason Nicol, SARDI</w:t>
            </w:r>
          </w:p>
          <w:p w14:paraId="33DB9AED" w14:textId="77777777" w:rsidR="006018FE" w:rsidRPr="003110EE" w:rsidRDefault="006018FE" w:rsidP="008D0C2B">
            <w:pPr>
              <w:rPr>
                <w:sz w:val="20"/>
              </w:rPr>
            </w:pPr>
            <w:r>
              <w:rPr>
                <w:sz w:val="20"/>
              </w:rPr>
              <w:t>Qifeng Ye, SARDI</w:t>
            </w:r>
          </w:p>
        </w:tc>
      </w:tr>
      <w:tr w:rsidR="006018FE" w:rsidRPr="00FA0651" w14:paraId="2BFFD61B" w14:textId="77777777" w:rsidTr="008D0C2B">
        <w:tc>
          <w:tcPr>
            <w:tcW w:w="2062" w:type="dxa"/>
            <w:tcBorders>
              <w:top w:val="single" w:sz="4" w:space="0" w:color="auto"/>
              <w:left w:val="single" w:sz="4" w:space="0" w:color="auto"/>
              <w:bottom w:val="single" w:sz="4" w:space="0" w:color="auto"/>
              <w:right w:val="single" w:sz="4" w:space="0" w:color="auto"/>
            </w:tcBorders>
          </w:tcPr>
          <w:p w14:paraId="680D5797" w14:textId="77777777" w:rsidR="006018FE" w:rsidRDefault="006018FE" w:rsidP="008D0C2B">
            <w:pPr>
              <w:pStyle w:val="TableText"/>
              <w:rPr>
                <w:color w:val="auto"/>
              </w:rPr>
            </w:pPr>
            <w:r>
              <w:rPr>
                <w:color w:val="auto"/>
              </w:rPr>
              <w:t>Ecosystem function</w:t>
            </w:r>
          </w:p>
        </w:tc>
        <w:tc>
          <w:tcPr>
            <w:tcW w:w="2231" w:type="dxa"/>
            <w:tcBorders>
              <w:top w:val="single" w:sz="4" w:space="0" w:color="auto"/>
              <w:left w:val="single" w:sz="4" w:space="0" w:color="auto"/>
              <w:bottom w:val="single" w:sz="4" w:space="0" w:color="auto"/>
              <w:right w:val="single" w:sz="4" w:space="0" w:color="auto"/>
            </w:tcBorders>
          </w:tcPr>
          <w:p w14:paraId="62E626B4" w14:textId="496A92DA" w:rsidR="006018FE" w:rsidRDefault="006018FE" w:rsidP="008D0C2B">
            <w:pPr>
              <w:pStyle w:val="TableText"/>
              <w:rPr>
                <w:color w:val="auto"/>
              </w:rPr>
            </w:pPr>
            <w:r w:rsidRPr="00007327">
              <w:rPr>
                <w:rFonts w:eastAsiaTheme="minorHAnsi"/>
                <w:i/>
              </w:rPr>
              <w:t>Microinvertebrate</w:t>
            </w:r>
            <w:r w:rsidR="00AF38BC" w:rsidRPr="00007327">
              <w:rPr>
                <w:rFonts w:eastAsiaTheme="minorHAnsi"/>
                <w:i/>
              </w:rPr>
              <w:t xml:space="preserve"> Assemblage</w:t>
            </w:r>
            <w:r>
              <w:rPr>
                <w:rFonts w:eastAsiaTheme="minorHAnsi"/>
              </w:rPr>
              <w:t xml:space="preserve"> (3)</w:t>
            </w:r>
          </w:p>
        </w:tc>
        <w:tc>
          <w:tcPr>
            <w:tcW w:w="2184" w:type="dxa"/>
            <w:tcBorders>
              <w:top w:val="single" w:sz="4" w:space="0" w:color="auto"/>
              <w:left w:val="single" w:sz="4" w:space="0" w:color="auto"/>
              <w:bottom w:val="single" w:sz="4" w:space="0" w:color="auto"/>
              <w:right w:val="single" w:sz="4" w:space="0" w:color="auto"/>
            </w:tcBorders>
          </w:tcPr>
          <w:p w14:paraId="3267A1FB" w14:textId="77777777" w:rsidR="006018FE" w:rsidRDefault="006018FE" w:rsidP="008D0C2B">
            <w:pPr>
              <w:pStyle w:val="TableText"/>
              <w:rPr>
                <w:color w:val="auto"/>
              </w:rPr>
            </w:pPr>
            <w:r>
              <w:t>Deborah Furst, UoA</w:t>
            </w:r>
          </w:p>
        </w:tc>
        <w:tc>
          <w:tcPr>
            <w:tcW w:w="2533" w:type="dxa"/>
            <w:tcBorders>
              <w:top w:val="single" w:sz="4" w:space="0" w:color="auto"/>
              <w:left w:val="single" w:sz="4" w:space="0" w:color="auto"/>
              <w:bottom w:val="single" w:sz="4" w:space="0" w:color="auto"/>
              <w:right w:val="single" w:sz="4" w:space="0" w:color="auto"/>
            </w:tcBorders>
          </w:tcPr>
          <w:p w14:paraId="4CBDE4D0" w14:textId="77777777" w:rsidR="006018FE" w:rsidRDefault="006018FE" w:rsidP="008D0C2B">
            <w:pPr>
              <w:pStyle w:val="TableText"/>
              <w:rPr>
                <w:color w:val="auto"/>
              </w:rPr>
            </w:pPr>
            <w:r>
              <w:t>Russell Shiel, WRM/UoA</w:t>
            </w:r>
          </w:p>
        </w:tc>
      </w:tr>
      <w:tr w:rsidR="006018FE" w:rsidRPr="00FA0651" w14:paraId="764E5D79" w14:textId="77777777" w:rsidTr="008D0C2B">
        <w:tc>
          <w:tcPr>
            <w:tcW w:w="2062" w:type="dxa"/>
            <w:tcBorders>
              <w:top w:val="single" w:sz="4" w:space="0" w:color="auto"/>
              <w:left w:val="single" w:sz="4" w:space="0" w:color="auto"/>
              <w:bottom w:val="single" w:sz="4" w:space="0" w:color="auto"/>
              <w:right w:val="single" w:sz="4" w:space="0" w:color="auto"/>
            </w:tcBorders>
          </w:tcPr>
          <w:p w14:paraId="10C59BC9" w14:textId="77777777" w:rsidR="006018FE" w:rsidRDefault="006018FE" w:rsidP="008D0C2B">
            <w:pPr>
              <w:pStyle w:val="TableText"/>
              <w:rPr>
                <w:color w:val="auto"/>
              </w:rPr>
            </w:pPr>
            <w:r>
              <w:rPr>
                <w:color w:val="auto"/>
              </w:rPr>
              <w:t>Vegetation</w:t>
            </w:r>
          </w:p>
        </w:tc>
        <w:tc>
          <w:tcPr>
            <w:tcW w:w="2231" w:type="dxa"/>
            <w:tcBorders>
              <w:top w:val="single" w:sz="4" w:space="0" w:color="auto"/>
              <w:left w:val="single" w:sz="4" w:space="0" w:color="auto"/>
              <w:bottom w:val="single" w:sz="4" w:space="0" w:color="auto"/>
              <w:right w:val="single" w:sz="4" w:space="0" w:color="auto"/>
            </w:tcBorders>
          </w:tcPr>
          <w:p w14:paraId="07F6168F" w14:textId="18909F85" w:rsidR="006018FE" w:rsidRDefault="006018FE" w:rsidP="00AF38BC">
            <w:pPr>
              <w:pStyle w:val="TableText"/>
              <w:rPr>
                <w:color w:val="auto"/>
              </w:rPr>
            </w:pPr>
            <w:r w:rsidRPr="00007327">
              <w:rPr>
                <w:i/>
                <w:color w:val="auto"/>
              </w:rPr>
              <w:t xml:space="preserve">Littoral </w:t>
            </w:r>
            <w:r w:rsidR="00AF38BC" w:rsidRPr="00007327">
              <w:rPr>
                <w:i/>
                <w:color w:val="auto"/>
              </w:rPr>
              <w:t>V</w:t>
            </w:r>
            <w:r w:rsidRPr="00007327">
              <w:rPr>
                <w:i/>
                <w:color w:val="auto"/>
              </w:rPr>
              <w:t>egetation</w:t>
            </w:r>
            <w:r w:rsidR="00AF38BC" w:rsidRPr="00007327">
              <w:rPr>
                <w:i/>
                <w:color w:val="auto"/>
              </w:rPr>
              <w:t xml:space="preserve"> Diversity and Productivity</w:t>
            </w:r>
            <w:r>
              <w:rPr>
                <w:color w:val="auto"/>
              </w:rPr>
              <w:t xml:space="preserve"> (3)</w:t>
            </w:r>
          </w:p>
        </w:tc>
        <w:tc>
          <w:tcPr>
            <w:tcW w:w="2184" w:type="dxa"/>
            <w:tcBorders>
              <w:top w:val="single" w:sz="4" w:space="0" w:color="auto"/>
              <w:left w:val="single" w:sz="4" w:space="0" w:color="auto"/>
              <w:bottom w:val="single" w:sz="4" w:space="0" w:color="auto"/>
              <w:right w:val="single" w:sz="4" w:space="0" w:color="auto"/>
            </w:tcBorders>
          </w:tcPr>
          <w:p w14:paraId="06CC29B2" w14:textId="77777777" w:rsidR="006018FE" w:rsidRPr="00FA0651" w:rsidRDefault="006018FE" w:rsidP="008D0C2B">
            <w:pPr>
              <w:pStyle w:val="TableText"/>
              <w:rPr>
                <w:color w:val="auto"/>
              </w:rPr>
            </w:pPr>
            <w:r>
              <w:rPr>
                <w:color w:val="auto"/>
              </w:rPr>
              <w:t>Jason Nicol, SARDI</w:t>
            </w:r>
          </w:p>
        </w:tc>
        <w:tc>
          <w:tcPr>
            <w:tcW w:w="2533" w:type="dxa"/>
            <w:tcBorders>
              <w:top w:val="single" w:sz="4" w:space="0" w:color="auto"/>
              <w:left w:val="single" w:sz="4" w:space="0" w:color="auto"/>
              <w:bottom w:val="single" w:sz="4" w:space="0" w:color="auto"/>
              <w:right w:val="single" w:sz="4" w:space="0" w:color="auto"/>
            </w:tcBorders>
          </w:tcPr>
          <w:p w14:paraId="6168388D" w14:textId="77777777" w:rsidR="006018FE" w:rsidRDefault="006018FE" w:rsidP="008D0C2B">
            <w:pPr>
              <w:pStyle w:val="TableText"/>
              <w:rPr>
                <w:color w:val="auto"/>
              </w:rPr>
            </w:pPr>
            <w:r>
              <w:rPr>
                <w:color w:val="auto"/>
              </w:rPr>
              <w:t>Kate Frahn (SARDI)</w:t>
            </w:r>
          </w:p>
        </w:tc>
      </w:tr>
      <w:tr w:rsidR="006018FE" w:rsidRPr="00FA0651" w14:paraId="5BE814EF" w14:textId="77777777" w:rsidTr="008D0C2B">
        <w:tc>
          <w:tcPr>
            <w:tcW w:w="2062" w:type="dxa"/>
            <w:tcBorders>
              <w:top w:val="single" w:sz="4" w:space="0" w:color="auto"/>
              <w:left w:val="single" w:sz="4" w:space="0" w:color="auto"/>
              <w:bottom w:val="single" w:sz="4" w:space="0" w:color="auto"/>
              <w:right w:val="single" w:sz="4" w:space="0" w:color="auto"/>
            </w:tcBorders>
            <w:hideMark/>
          </w:tcPr>
          <w:p w14:paraId="3764EC82" w14:textId="77777777" w:rsidR="006018FE" w:rsidRPr="00FA0651" w:rsidRDefault="006018FE" w:rsidP="008D0C2B">
            <w:pPr>
              <w:pStyle w:val="TableText"/>
              <w:rPr>
                <w:color w:val="auto"/>
              </w:rPr>
            </w:pPr>
            <w:r>
              <w:rPr>
                <w:color w:val="auto"/>
              </w:rPr>
              <w:t xml:space="preserve">Fish </w:t>
            </w:r>
          </w:p>
        </w:tc>
        <w:tc>
          <w:tcPr>
            <w:tcW w:w="2231" w:type="dxa"/>
            <w:tcBorders>
              <w:top w:val="single" w:sz="4" w:space="0" w:color="auto"/>
              <w:left w:val="single" w:sz="4" w:space="0" w:color="auto"/>
              <w:bottom w:val="single" w:sz="4" w:space="0" w:color="auto"/>
              <w:right w:val="single" w:sz="4" w:space="0" w:color="auto"/>
            </w:tcBorders>
            <w:hideMark/>
          </w:tcPr>
          <w:p w14:paraId="35D21350" w14:textId="1FAB2BEF" w:rsidR="006018FE" w:rsidRPr="00007327" w:rsidRDefault="006018FE" w:rsidP="008D0C2B">
            <w:pPr>
              <w:pStyle w:val="TableText"/>
              <w:rPr>
                <w:i/>
                <w:color w:val="auto"/>
              </w:rPr>
            </w:pPr>
            <w:r w:rsidRPr="00007327">
              <w:rPr>
                <w:i/>
                <w:color w:val="auto"/>
              </w:rPr>
              <w:t xml:space="preserve">Fish (Channel) </w:t>
            </w:r>
            <w:r w:rsidRPr="00475635">
              <w:rPr>
                <w:color w:val="auto"/>
              </w:rPr>
              <w:t>(1)</w:t>
            </w:r>
            <w:r w:rsidRPr="00007327">
              <w:rPr>
                <w:i/>
                <w:color w:val="auto"/>
              </w:rPr>
              <w:t xml:space="preserve"> </w:t>
            </w:r>
          </w:p>
          <w:p w14:paraId="573BC6F7" w14:textId="02287FE4" w:rsidR="006018FE" w:rsidRPr="00007327" w:rsidRDefault="006018FE" w:rsidP="008D0C2B">
            <w:pPr>
              <w:pStyle w:val="TableText"/>
              <w:rPr>
                <w:rFonts w:eastAsiaTheme="minorHAnsi" w:cstheme="minorBidi"/>
                <w:i/>
                <w:color w:val="auto"/>
                <w:szCs w:val="20"/>
              </w:rPr>
            </w:pPr>
            <w:r w:rsidRPr="00007327">
              <w:rPr>
                <w:rFonts w:eastAsiaTheme="minorHAnsi" w:cstheme="minorBidi"/>
                <w:i/>
                <w:color w:val="auto"/>
                <w:szCs w:val="20"/>
              </w:rPr>
              <w:t xml:space="preserve">Murray </w:t>
            </w:r>
            <w:r w:rsidR="00AF38BC" w:rsidRPr="00007327">
              <w:rPr>
                <w:rFonts w:eastAsiaTheme="minorHAnsi" w:cstheme="minorBidi"/>
                <w:i/>
                <w:color w:val="auto"/>
                <w:szCs w:val="20"/>
              </w:rPr>
              <w:t>C</w:t>
            </w:r>
            <w:r w:rsidRPr="00007327">
              <w:rPr>
                <w:rFonts w:eastAsiaTheme="minorHAnsi" w:cstheme="minorBidi"/>
                <w:i/>
                <w:color w:val="auto"/>
                <w:szCs w:val="20"/>
              </w:rPr>
              <w:t xml:space="preserve">od </w:t>
            </w:r>
            <w:r w:rsidR="00AF38BC" w:rsidRPr="00007327">
              <w:rPr>
                <w:rFonts w:eastAsiaTheme="minorHAnsi" w:cstheme="minorBidi"/>
                <w:i/>
                <w:color w:val="auto"/>
                <w:szCs w:val="20"/>
              </w:rPr>
              <w:t>R</w:t>
            </w:r>
            <w:r w:rsidRPr="00007327">
              <w:rPr>
                <w:rFonts w:eastAsiaTheme="minorHAnsi" w:cstheme="minorBidi"/>
                <w:i/>
                <w:color w:val="auto"/>
                <w:szCs w:val="20"/>
              </w:rPr>
              <w:t xml:space="preserve">ecruitment </w:t>
            </w:r>
            <w:r w:rsidRPr="00475635">
              <w:rPr>
                <w:rFonts w:eastAsiaTheme="minorHAnsi" w:cstheme="minorBidi"/>
                <w:color w:val="auto"/>
                <w:szCs w:val="20"/>
              </w:rPr>
              <w:t>(3)</w:t>
            </w:r>
          </w:p>
          <w:p w14:paraId="2B4CE8F1" w14:textId="7BDE7A41" w:rsidR="006018FE" w:rsidRPr="00FA0651" w:rsidRDefault="008C1585" w:rsidP="00AF38BC">
            <w:pPr>
              <w:pStyle w:val="TableText"/>
              <w:rPr>
                <w:color w:val="auto"/>
              </w:rPr>
            </w:pPr>
            <w:r w:rsidRPr="008C1585">
              <w:rPr>
                <w:rFonts w:eastAsiaTheme="minorHAnsi" w:cstheme="minorBidi"/>
                <w:i/>
                <w:color w:val="auto"/>
                <w:szCs w:val="20"/>
              </w:rPr>
              <w:t>Flow-cued Spawning Fish Recruitment</w:t>
            </w:r>
            <w:r w:rsidR="006018FE" w:rsidRPr="00007327">
              <w:rPr>
                <w:i/>
                <w:color w:val="auto"/>
              </w:rPr>
              <w:t xml:space="preserve"> </w:t>
            </w:r>
            <w:r w:rsidR="006018FE" w:rsidRPr="00475635">
              <w:rPr>
                <w:color w:val="auto"/>
              </w:rPr>
              <w:t>(3)</w:t>
            </w:r>
          </w:p>
        </w:tc>
        <w:tc>
          <w:tcPr>
            <w:tcW w:w="2184" w:type="dxa"/>
            <w:tcBorders>
              <w:top w:val="single" w:sz="4" w:space="0" w:color="auto"/>
              <w:left w:val="single" w:sz="4" w:space="0" w:color="auto"/>
              <w:bottom w:val="single" w:sz="4" w:space="0" w:color="auto"/>
              <w:right w:val="single" w:sz="4" w:space="0" w:color="auto"/>
            </w:tcBorders>
            <w:hideMark/>
          </w:tcPr>
          <w:p w14:paraId="40913F04" w14:textId="77777777" w:rsidR="006018FE" w:rsidRPr="00FA0651" w:rsidRDefault="006018FE" w:rsidP="008D0C2B">
            <w:pPr>
              <w:pStyle w:val="TableText"/>
              <w:rPr>
                <w:color w:val="auto"/>
              </w:rPr>
            </w:pPr>
            <w:r w:rsidRPr="00FA0651">
              <w:rPr>
                <w:color w:val="auto"/>
              </w:rPr>
              <w:t>Brenton Zampatti, SARDI</w:t>
            </w:r>
          </w:p>
        </w:tc>
        <w:tc>
          <w:tcPr>
            <w:tcW w:w="2533" w:type="dxa"/>
            <w:tcBorders>
              <w:top w:val="single" w:sz="4" w:space="0" w:color="auto"/>
              <w:left w:val="single" w:sz="4" w:space="0" w:color="auto"/>
              <w:bottom w:val="single" w:sz="4" w:space="0" w:color="auto"/>
              <w:right w:val="single" w:sz="4" w:space="0" w:color="auto"/>
            </w:tcBorders>
            <w:hideMark/>
          </w:tcPr>
          <w:p w14:paraId="1F2B51A6" w14:textId="77777777" w:rsidR="006018FE" w:rsidRPr="00FA0651" w:rsidRDefault="006018FE" w:rsidP="008D0C2B">
            <w:pPr>
              <w:pStyle w:val="TableText"/>
              <w:rPr>
                <w:color w:val="auto"/>
              </w:rPr>
            </w:pPr>
            <w:r>
              <w:rPr>
                <w:color w:val="auto"/>
              </w:rPr>
              <w:t xml:space="preserve">George Giatas, Qifeng Ye, Chris Bice and other </w:t>
            </w:r>
            <w:r w:rsidRPr="00FA0651">
              <w:rPr>
                <w:color w:val="auto"/>
              </w:rPr>
              <w:t>SARDI</w:t>
            </w:r>
            <w:r>
              <w:rPr>
                <w:color w:val="auto"/>
              </w:rPr>
              <w:t xml:space="preserve"> researchers</w:t>
            </w:r>
          </w:p>
        </w:tc>
      </w:tr>
      <w:tr w:rsidR="006018FE" w:rsidRPr="00FA0651" w14:paraId="13A8AFC7" w14:textId="77777777" w:rsidTr="008D0C2B">
        <w:tc>
          <w:tcPr>
            <w:tcW w:w="2062" w:type="dxa"/>
            <w:tcBorders>
              <w:top w:val="single" w:sz="4" w:space="0" w:color="auto"/>
              <w:left w:val="single" w:sz="4" w:space="0" w:color="auto"/>
              <w:bottom w:val="single" w:sz="4" w:space="0" w:color="auto"/>
              <w:right w:val="single" w:sz="4" w:space="0" w:color="auto"/>
            </w:tcBorders>
          </w:tcPr>
          <w:p w14:paraId="71780789" w14:textId="77777777" w:rsidR="006018FE" w:rsidRPr="00FA0651" w:rsidRDefault="006018FE" w:rsidP="008D0C2B">
            <w:pPr>
              <w:pStyle w:val="TableText"/>
              <w:rPr>
                <w:color w:val="auto"/>
              </w:rPr>
            </w:pPr>
            <w:r>
              <w:rPr>
                <w:color w:val="auto"/>
              </w:rPr>
              <w:t>Research</w:t>
            </w:r>
          </w:p>
        </w:tc>
        <w:tc>
          <w:tcPr>
            <w:tcW w:w="2231" w:type="dxa"/>
            <w:tcBorders>
              <w:top w:val="single" w:sz="4" w:space="0" w:color="auto"/>
              <w:left w:val="single" w:sz="4" w:space="0" w:color="auto"/>
              <w:bottom w:val="single" w:sz="4" w:space="0" w:color="auto"/>
              <w:right w:val="single" w:sz="4" w:space="0" w:color="auto"/>
            </w:tcBorders>
          </w:tcPr>
          <w:p w14:paraId="24C6167F" w14:textId="77777777" w:rsidR="006018FE" w:rsidRPr="00FA0651" w:rsidRDefault="006018FE" w:rsidP="008D0C2B">
            <w:pPr>
              <w:pStyle w:val="TableText"/>
              <w:rPr>
                <w:rFonts w:eastAsiaTheme="minorHAnsi"/>
              </w:rPr>
            </w:pPr>
            <w:r>
              <w:rPr>
                <w:color w:val="auto"/>
              </w:rPr>
              <w:t>Integrated research</w:t>
            </w:r>
          </w:p>
        </w:tc>
        <w:tc>
          <w:tcPr>
            <w:tcW w:w="2184" w:type="dxa"/>
            <w:tcBorders>
              <w:top w:val="single" w:sz="4" w:space="0" w:color="auto"/>
              <w:left w:val="single" w:sz="4" w:space="0" w:color="auto"/>
              <w:bottom w:val="single" w:sz="4" w:space="0" w:color="auto"/>
              <w:right w:val="single" w:sz="4" w:space="0" w:color="auto"/>
            </w:tcBorders>
          </w:tcPr>
          <w:p w14:paraId="5E59C633" w14:textId="77777777" w:rsidR="006018FE" w:rsidRPr="00FA0651" w:rsidRDefault="006018FE" w:rsidP="008D0C2B">
            <w:pPr>
              <w:pStyle w:val="TableText"/>
            </w:pPr>
            <w:r>
              <w:t>Chris Bice, SARDI</w:t>
            </w:r>
          </w:p>
        </w:tc>
        <w:tc>
          <w:tcPr>
            <w:tcW w:w="2533" w:type="dxa"/>
            <w:tcBorders>
              <w:top w:val="single" w:sz="4" w:space="0" w:color="auto"/>
              <w:left w:val="single" w:sz="4" w:space="0" w:color="auto"/>
              <w:bottom w:val="single" w:sz="4" w:space="0" w:color="auto"/>
              <w:right w:val="single" w:sz="4" w:space="0" w:color="auto"/>
            </w:tcBorders>
          </w:tcPr>
          <w:p w14:paraId="351577FB" w14:textId="77777777" w:rsidR="006018FE" w:rsidRPr="00FA0651" w:rsidRDefault="006018FE" w:rsidP="008D0C2B">
            <w:pPr>
              <w:pStyle w:val="TableText"/>
            </w:pPr>
            <w:r>
              <w:t>Lower Murray team</w:t>
            </w:r>
          </w:p>
        </w:tc>
      </w:tr>
      <w:tr w:rsidR="006018FE" w:rsidRPr="00FA0651" w14:paraId="7D5D555D" w14:textId="77777777" w:rsidTr="008D0C2B">
        <w:tc>
          <w:tcPr>
            <w:tcW w:w="2062" w:type="dxa"/>
            <w:tcBorders>
              <w:top w:val="single" w:sz="4" w:space="0" w:color="auto"/>
              <w:left w:val="single" w:sz="4" w:space="0" w:color="auto"/>
              <w:bottom w:val="single" w:sz="4" w:space="0" w:color="auto"/>
              <w:right w:val="single" w:sz="4" w:space="0" w:color="auto"/>
            </w:tcBorders>
            <w:hideMark/>
          </w:tcPr>
          <w:p w14:paraId="496C25BB" w14:textId="77777777" w:rsidR="006018FE" w:rsidRPr="00A32404" w:rsidRDefault="006018FE" w:rsidP="008D0C2B">
            <w:pPr>
              <w:pStyle w:val="TableText"/>
              <w:rPr>
                <w:color w:val="auto"/>
                <w:szCs w:val="20"/>
              </w:rPr>
            </w:pPr>
            <w:r>
              <w:rPr>
                <w:color w:val="auto"/>
                <w:szCs w:val="20"/>
              </w:rPr>
              <w:t>Synthesis and e</w:t>
            </w:r>
            <w:r w:rsidRPr="00A32404">
              <w:rPr>
                <w:color w:val="auto"/>
                <w:szCs w:val="20"/>
              </w:rPr>
              <w:t>valuation</w:t>
            </w:r>
          </w:p>
        </w:tc>
        <w:tc>
          <w:tcPr>
            <w:tcW w:w="2231" w:type="dxa"/>
            <w:tcBorders>
              <w:top w:val="single" w:sz="4" w:space="0" w:color="auto"/>
              <w:left w:val="single" w:sz="4" w:space="0" w:color="auto"/>
              <w:bottom w:val="single" w:sz="4" w:space="0" w:color="auto"/>
              <w:right w:val="single" w:sz="4" w:space="0" w:color="auto"/>
            </w:tcBorders>
            <w:hideMark/>
          </w:tcPr>
          <w:p w14:paraId="54F058DD" w14:textId="77777777" w:rsidR="006018FE" w:rsidRPr="00A32404" w:rsidRDefault="006018FE" w:rsidP="008D0C2B">
            <w:pPr>
              <w:pStyle w:val="TableText"/>
              <w:rPr>
                <w:color w:val="auto"/>
                <w:szCs w:val="20"/>
              </w:rPr>
            </w:pPr>
            <w:r w:rsidRPr="00A32404">
              <w:rPr>
                <w:color w:val="auto"/>
                <w:szCs w:val="20"/>
              </w:rPr>
              <w:t>N/A</w:t>
            </w:r>
          </w:p>
        </w:tc>
        <w:tc>
          <w:tcPr>
            <w:tcW w:w="2184" w:type="dxa"/>
            <w:tcBorders>
              <w:top w:val="single" w:sz="4" w:space="0" w:color="auto"/>
              <w:left w:val="single" w:sz="4" w:space="0" w:color="auto"/>
              <w:bottom w:val="single" w:sz="4" w:space="0" w:color="auto"/>
              <w:right w:val="single" w:sz="4" w:space="0" w:color="auto"/>
            </w:tcBorders>
            <w:hideMark/>
          </w:tcPr>
          <w:p w14:paraId="238DFFA3" w14:textId="77777777" w:rsidR="006018FE" w:rsidRPr="00A32404" w:rsidRDefault="006018FE" w:rsidP="008D0C2B">
            <w:pPr>
              <w:pStyle w:val="TableText"/>
              <w:rPr>
                <w:szCs w:val="20"/>
              </w:rPr>
            </w:pPr>
            <w:r>
              <w:rPr>
                <w:szCs w:val="20"/>
              </w:rPr>
              <w:t>Qifeng Ye, SARDI</w:t>
            </w:r>
          </w:p>
        </w:tc>
        <w:tc>
          <w:tcPr>
            <w:tcW w:w="2533" w:type="dxa"/>
            <w:tcBorders>
              <w:top w:val="single" w:sz="4" w:space="0" w:color="auto"/>
              <w:left w:val="single" w:sz="4" w:space="0" w:color="auto"/>
              <w:bottom w:val="single" w:sz="4" w:space="0" w:color="auto"/>
              <w:right w:val="single" w:sz="4" w:space="0" w:color="auto"/>
            </w:tcBorders>
            <w:hideMark/>
          </w:tcPr>
          <w:p w14:paraId="6F32BAAF" w14:textId="77777777" w:rsidR="004C5577" w:rsidRDefault="006018FE" w:rsidP="008D0C2B">
            <w:pPr>
              <w:pStyle w:val="TableText"/>
              <w:rPr>
                <w:szCs w:val="20"/>
              </w:rPr>
            </w:pPr>
            <w:r>
              <w:rPr>
                <w:szCs w:val="20"/>
              </w:rPr>
              <w:t>George Giatas (SARDI)</w:t>
            </w:r>
          </w:p>
          <w:p w14:paraId="1994D287" w14:textId="36CABF28" w:rsidR="006018FE" w:rsidRPr="00A32404" w:rsidRDefault="004C5577" w:rsidP="008D0C2B">
            <w:pPr>
              <w:pStyle w:val="TableText"/>
              <w:rPr>
                <w:szCs w:val="20"/>
              </w:rPr>
            </w:pPr>
            <w:r>
              <w:rPr>
                <w:szCs w:val="20"/>
              </w:rPr>
              <w:t>Task Leaders</w:t>
            </w:r>
            <w:r w:rsidR="006018FE">
              <w:rPr>
                <w:szCs w:val="20"/>
              </w:rPr>
              <w:t xml:space="preserve"> </w:t>
            </w:r>
          </w:p>
        </w:tc>
      </w:tr>
      <w:tr w:rsidR="006018FE" w:rsidRPr="00FA0651" w14:paraId="12E579C4" w14:textId="77777777" w:rsidTr="008D0C2B">
        <w:tc>
          <w:tcPr>
            <w:tcW w:w="2062" w:type="dxa"/>
            <w:tcBorders>
              <w:top w:val="single" w:sz="4" w:space="0" w:color="auto"/>
              <w:left w:val="single" w:sz="4" w:space="0" w:color="auto"/>
              <w:bottom w:val="single" w:sz="4" w:space="0" w:color="auto"/>
              <w:right w:val="single" w:sz="4" w:space="0" w:color="auto"/>
            </w:tcBorders>
            <w:hideMark/>
          </w:tcPr>
          <w:p w14:paraId="00A0C634" w14:textId="64A8C18C" w:rsidR="006018FE" w:rsidRPr="00A32404" w:rsidRDefault="006018FE" w:rsidP="008D0C2B">
            <w:pPr>
              <w:pStyle w:val="TableText"/>
              <w:rPr>
                <w:color w:val="auto"/>
                <w:szCs w:val="20"/>
              </w:rPr>
            </w:pPr>
            <w:r>
              <w:rPr>
                <w:color w:val="auto"/>
                <w:szCs w:val="20"/>
              </w:rPr>
              <w:t>Engagement and c</w:t>
            </w:r>
            <w:r w:rsidR="00A262D8">
              <w:rPr>
                <w:color w:val="auto"/>
                <w:szCs w:val="20"/>
              </w:rPr>
              <w:t>ommunication</w:t>
            </w:r>
            <w:r w:rsidRPr="00A32404">
              <w:rPr>
                <w:color w:val="auto"/>
                <w:szCs w:val="20"/>
              </w:rPr>
              <w:t xml:space="preserve"> </w:t>
            </w:r>
          </w:p>
        </w:tc>
        <w:tc>
          <w:tcPr>
            <w:tcW w:w="2231" w:type="dxa"/>
            <w:tcBorders>
              <w:top w:val="single" w:sz="4" w:space="0" w:color="auto"/>
              <w:left w:val="single" w:sz="4" w:space="0" w:color="auto"/>
              <w:bottom w:val="single" w:sz="4" w:space="0" w:color="auto"/>
              <w:right w:val="single" w:sz="4" w:space="0" w:color="auto"/>
            </w:tcBorders>
            <w:hideMark/>
          </w:tcPr>
          <w:p w14:paraId="32E05E48" w14:textId="77777777" w:rsidR="006018FE" w:rsidRPr="00A32404" w:rsidRDefault="006018FE" w:rsidP="008D0C2B">
            <w:pPr>
              <w:pStyle w:val="TableText"/>
              <w:rPr>
                <w:color w:val="auto"/>
                <w:szCs w:val="20"/>
              </w:rPr>
            </w:pPr>
            <w:r w:rsidRPr="00A32404">
              <w:rPr>
                <w:color w:val="auto"/>
                <w:szCs w:val="20"/>
              </w:rPr>
              <w:t>N/A</w:t>
            </w:r>
          </w:p>
        </w:tc>
        <w:tc>
          <w:tcPr>
            <w:tcW w:w="2184" w:type="dxa"/>
            <w:tcBorders>
              <w:top w:val="single" w:sz="4" w:space="0" w:color="auto"/>
              <w:left w:val="single" w:sz="4" w:space="0" w:color="auto"/>
              <w:bottom w:val="single" w:sz="4" w:space="0" w:color="auto"/>
              <w:right w:val="single" w:sz="4" w:space="0" w:color="auto"/>
            </w:tcBorders>
            <w:hideMark/>
          </w:tcPr>
          <w:p w14:paraId="648DBC22" w14:textId="77777777" w:rsidR="006018FE" w:rsidRPr="00A32404" w:rsidRDefault="006018FE" w:rsidP="008D0C2B">
            <w:pPr>
              <w:rPr>
                <w:sz w:val="20"/>
              </w:rPr>
            </w:pPr>
            <w:r w:rsidRPr="00A32404">
              <w:rPr>
                <w:sz w:val="20"/>
              </w:rPr>
              <w:t>Qifeng Ye, SARDI</w:t>
            </w:r>
          </w:p>
        </w:tc>
        <w:tc>
          <w:tcPr>
            <w:tcW w:w="2533" w:type="dxa"/>
            <w:tcBorders>
              <w:top w:val="single" w:sz="4" w:space="0" w:color="auto"/>
              <w:left w:val="single" w:sz="4" w:space="0" w:color="auto"/>
              <w:bottom w:val="single" w:sz="4" w:space="0" w:color="auto"/>
              <w:right w:val="single" w:sz="4" w:space="0" w:color="auto"/>
            </w:tcBorders>
            <w:hideMark/>
          </w:tcPr>
          <w:p w14:paraId="2C7750BD" w14:textId="006F1915" w:rsidR="006018FE" w:rsidRDefault="006018FE" w:rsidP="008D0C2B">
            <w:pPr>
              <w:rPr>
                <w:sz w:val="20"/>
              </w:rPr>
            </w:pPr>
            <w:r>
              <w:rPr>
                <w:sz w:val="20"/>
              </w:rPr>
              <w:t xml:space="preserve">Communication </w:t>
            </w:r>
            <w:r w:rsidR="002F4754">
              <w:rPr>
                <w:sz w:val="20"/>
              </w:rPr>
              <w:t xml:space="preserve">Coordinator </w:t>
            </w:r>
            <w:r>
              <w:rPr>
                <w:sz w:val="20"/>
              </w:rPr>
              <w:t>(SARDI)</w:t>
            </w:r>
          </w:p>
          <w:p w14:paraId="186A3722" w14:textId="070CCC5F" w:rsidR="004C5577" w:rsidRDefault="006018FE" w:rsidP="008D0C2B">
            <w:pPr>
              <w:rPr>
                <w:sz w:val="20"/>
              </w:rPr>
            </w:pPr>
            <w:r>
              <w:rPr>
                <w:sz w:val="20"/>
              </w:rPr>
              <w:t>Supported by</w:t>
            </w:r>
            <w:r w:rsidR="004C5577">
              <w:rPr>
                <w:sz w:val="20"/>
              </w:rPr>
              <w:t>:</w:t>
            </w:r>
            <w:r>
              <w:rPr>
                <w:sz w:val="20"/>
              </w:rPr>
              <w:t xml:space="preserve"> </w:t>
            </w:r>
          </w:p>
          <w:p w14:paraId="423A86B7" w14:textId="28F6A023" w:rsidR="006018FE" w:rsidRDefault="006018FE" w:rsidP="008D0C2B">
            <w:pPr>
              <w:rPr>
                <w:sz w:val="20"/>
              </w:rPr>
            </w:pPr>
            <w:r>
              <w:rPr>
                <w:sz w:val="20"/>
              </w:rPr>
              <w:t>Flow-MER Engagement and Communication Team</w:t>
            </w:r>
          </w:p>
          <w:p w14:paraId="05BE2F31" w14:textId="77777777" w:rsidR="004C5577" w:rsidRDefault="004C5577" w:rsidP="004C5577">
            <w:pPr>
              <w:rPr>
                <w:sz w:val="20"/>
              </w:rPr>
            </w:pPr>
            <w:r w:rsidRPr="00A32404">
              <w:rPr>
                <w:sz w:val="20"/>
              </w:rPr>
              <w:t>Rebecca Turner, SAMDB NRM/DEW</w:t>
            </w:r>
            <w:r>
              <w:rPr>
                <w:sz w:val="20"/>
              </w:rPr>
              <w:t xml:space="preserve"> </w:t>
            </w:r>
          </w:p>
          <w:p w14:paraId="41025E39" w14:textId="37513DD7" w:rsidR="002F4754" w:rsidRPr="00A32404" w:rsidRDefault="002F4754" w:rsidP="008D0C2B">
            <w:pPr>
              <w:rPr>
                <w:color w:val="auto"/>
                <w:sz w:val="20"/>
                <w:highlight w:val="yellow"/>
              </w:rPr>
            </w:pPr>
            <w:r>
              <w:rPr>
                <w:sz w:val="20"/>
              </w:rPr>
              <w:t>PIRSA Communication Unit</w:t>
            </w:r>
          </w:p>
        </w:tc>
      </w:tr>
    </w:tbl>
    <w:p w14:paraId="046DD46A" w14:textId="77777777" w:rsidR="00A262D8" w:rsidRPr="000A32E0" w:rsidRDefault="00A262D8" w:rsidP="00A262D8">
      <w:pPr>
        <w:pStyle w:val="Heading2"/>
      </w:pPr>
      <w:bookmarkStart w:id="348" w:name="_Ref10130615"/>
      <w:bookmarkStart w:id="349" w:name="_Toc22196748"/>
      <w:r w:rsidRPr="000A32E0">
        <w:t>Risk assessment</w:t>
      </w:r>
      <w:bookmarkEnd w:id="348"/>
      <w:bookmarkEnd w:id="349"/>
    </w:p>
    <w:p w14:paraId="51356FD4" w14:textId="77777777" w:rsidR="001056DF" w:rsidRPr="008F2F9E" w:rsidRDefault="001056DF" w:rsidP="006018FE">
      <w:r>
        <w:t>O</w:t>
      </w:r>
      <w:r w:rsidRPr="008F2F9E">
        <w:t xml:space="preserve">nly the risks for which the </w:t>
      </w:r>
      <w:r>
        <w:t xml:space="preserve">MER Provider for the Lower Murray Selected Area </w:t>
      </w:r>
      <w:r w:rsidRPr="008F2F9E">
        <w:t>is fully</w:t>
      </w:r>
      <w:r>
        <w:t xml:space="preserve"> or partly</w:t>
      </w:r>
      <w:r w:rsidRPr="008F2F9E">
        <w:t xml:space="preserve"> responsible ha</w:t>
      </w:r>
      <w:r>
        <w:t>ve</w:t>
      </w:r>
      <w:r w:rsidRPr="008F2F9E">
        <w:t xml:space="preserve"> been assessed</w:t>
      </w:r>
      <w:r>
        <w:t xml:space="preserve"> in this section</w:t>
      </w:r>
      <w:r w:rsidRPr="008F2F9E">
        <w:t xml:space="preserve">. There may be other risks to this project that </w:t>
      </w:r>
      <w:r>
        <w:t>CEWO is solely responsible for managing.</w:t>
      </w:r>
      <w:r w:rsidRPr="008F2F9E">
        <w:t xml:space="preserve"> This Plan does not assess those risks.</w:t>
      </w:r>
    </w:p>
    <w:p w14:paraId="092E0F35" w14:textId="531EF921" w:rsidR="008F2F9E" w:rsidRPr="008F2F9E" w:rsidRDefault="006018FE" w:rsidP="00F02673">
      <w:r>
        <w:fldChar w:fldCharType="begin"/>
      </w:r>
      <w:r>
        <w:instrText xml:space="preserve"> REF _Ref10119845 \h </w:instrText>
      </w:r>
      <w:r>
        <w:fldChar w:fldCharType="separate"/>
      </w:r>
      <w:r w:rsidR="00DF49CD" w:rsidRPr="00147F9C">
        <w:t xml:space="preserve">Table </w:t>
      </w:r>
      <w:r w:rsidR="00DF49CD">
        <w:rPr>
          <w:noProof/>
        </w:rPr>
        <w:t>10</w:t>
      </w:r>
      <w:r w:rsidR="00DF49CD">
        <w:t>.</w:t>
      </w:r>
      <w:r w:rsidR="00DF49CD">
        <w:rPr>
          <w:noProof/>
        </w:rPr>
        <w:t>2</w:t>
      </w:r>
      <w:r>
        <w:fldChar w:fldCharType="end"/>
      </w:r>
      <w:r>
        <w:t xml:space="preserve"> </w:t>
      </w:r>
      <w:r w:rsidR="008F2F9E" w:rsidRPr="008F2F9E">
        <w:t>identifies risks to the project</w:t>
      </w:r>
      <w:r w:rsidR="00977882">
        <w:t>, including</w:t>
      </w:r>
      <w:r w:rsidR="008F2F9E" w:rsidRPr="008F2F9E">
        <w:t>:</w:t>
      </w:r>
    </w:p>
    <w:p w14:paraId="421D481E" w14:textId="77777777" w:rsidR="001056DF" w:rsidRDefault="001056DF" w:rsidP="001056DF">
      <w:pPr>
        <w:pStyle w:val="ListBullet"/>
      </w:pPr>
      <w:bookmarkStart w:id="350" w:name="_Ref381086461"/>
      <w:bookmarkStart w:id="351" w:name="_Toc381086848"/>
      <w:bookmarkStart w:id="352" w:name="_Toc381380603"/>
      <w:r w:rsidRPr="008F2F9E">
        <w:t>Communication risks – risks to the project if communication is ineffective or inadequate</w:t>
      </w:r>
    </w:p>
    <w:p w14:paraId="78648947" w14:textId="2E1AB0E6" w:rsidR="001056DF" w:rsidRDefault="001056DF" w:rsidP="001056DF">
      <w:pPr>
        <w:pStyle w:val="ListBullet"/>
      </w:pPr>
      <w:r w:rsidRPr="008F2F9E">
        <w:lastRenderedPageBreak/>
        <w:t xml:space="preserve">Project risks – risks to the ability of the project team to undertake all </w:t>
      </w:r>
      <w:r>
        <w:t xml:space="preserve">of </w:t>
      </w:r>
      <w:r w:rsidRPr="008F2F9E">
        <w:t>the required tasks to an acceptable standard within the timeframe and budget of the project</w:t>
      </w:r>
      <w:r w:rsidR="004C5577">
        <w:t xml:space="preserve"> and </w:t>
      </w:r>
      <w:r w:rsidR="006D6AA4">
        <w:t xml:space="preserve">to </w:t>
      </w:r>
      <w:r w:rsidR="004C5577">
        <w:t>meet project objectives.</w:t>
      </w:r>
    </w:p>
    <w:p w14:paraId="43F35597" w14:textId="77777777" w:rsidR="001056DF" w:rsidRDefault="001056DF" w:rsidP="001056DF">
      <w:pPr>
        <w:pStyle w:val="ListBullet"/>
      </w:pPr>
      <w:r w:rsidRPr="008F2F9E">
        <w:t>Environmental risks – risks to the environment from carrying out monitoring tasks</w:t>
      </w:r>
    </w:p>
    <w:p w14:paraId="692751CD" w14:textId="77777777" w:rsidR="001056DF" w:rsidRDefault="001056DF" w:rsidP="001056DF">
      <w:pPr>
        <w:pStyle w:val="ListBullet"/>
      </w:pPr>
      <w:r w:rsidRPr="008F2F9E">
        <w:t>Health and safety risks – risks to the health and safety of the project team members as a result of their involvement in the project</w:t>
      </w:r>
    </w:p>
    <w:p w14:paraId="247A1E69" w14:textId="77777777" w:rsidR="001056DF" w:rsidRDefault="001056DF" w:rsidP="001056DF">
      <w:pPr>
        <w:pStyle w:val="ListBullet"/>
      </w:pPr>
      <w:r w:rsidRPr="008F2F9E">
        <w:t>Political risks – risks of political issues being raised because of the project design, delivery or outcomes.</w:t>
      </w:r>
    </w:p>
    <w:p w14:paraId="7BED5C10" w14:textId="3C3B4999" w:rsidR="001056DF" w:rsidRPr="008F2F9E" w:rsidRDefault="001056DF" w:rsidP="001056DF">
      <w:r w:rsidRPr="008F2F9E">
        <w:t xml:space="preserve">An assessment of the likelihood and consequence of these risks </w:t>
      </w:r>
      <w:r w:rsidR="007D019C">
        <w:t>has been</w:t>
      </w:r>
      <w:r w:rsidRPr="008F2F9E">
        <w:t xml:space="preserve"> made</w:t>
      </w:r>
      <w:r w:rsidR="007D019C">
        <w:t xml:space="preserve"> (</w:t>
      </w:r>
      <w:r w:rsidR="007D019C">
        <w:fldChar w:fldCharType="begin"/>
      </w:r>
      <w:r w:rsidR="007D019C">
        <w:instrText xml:space="preserve"> REF _Ref12023712 \h </w:instrText>
      </w:r>
      <w:r w:rsidR="007D019C">
        <w:fldChar w:fldCharType="separate"/>
      </w:r>
      <w:r w:rsidR="00DF49CD">
        <w:t xml:space="preserve">Table </w:t>
      </w:r>
      <w:r w:rsidR="00DF49CD">
        <w:rPr>
          <w:noProof/>
        </w:rPr>
        <w:t>10</w:t>
      </w:r>
      <w:r w:rsidR="00DF49CD">
        <w:t>.</w:t>
      </w:r>
      <w:r w:rsidR="00DF49CD">
        <w:rPr>
          <w:noProof/>
        </w:rPr>
        <w:t>3</w:t>
      </w:r>
      <w:r w:rsidR="007D019C">
        <w:fldChar w:fldCharType="end"/>
      </w:r>
      <w:r w:rsidR="00F359A2">
        <w:t xml:space="preserve"> and </w:t>
      </w:r>
      <w:r w:rsidR="00F359A2">
        <w:fldChar w:fldCharType="begin"/>
      </w:r>
      <w:r w:rsidR="00F359A2">
        <w:instrText xml:space="preserve"> REF _Ref12630140 \h </w:instrText>
      </w:r>
      <w:r w:rsidR="00F359A2">
        <w:fldChar w:fldCharType="separate"/>
      </w:r>
      <w:r w:rsidR="00DF49CD">
        <w:t xml:space="preserve">Table </w:t>
      </w:r>
      <w:r w:rsidR="00DF49CD">
        <w:rPr>
          <w:noProof/>
        </w:rPr>
        <w:t>10</w:t>
      </w:r>
      <w:r w:rsidR="00DF49CD">
        <w:t>.</w:t>
      </w:r>
      <w:r w:rsidR="00DF49CD">
        <w:rPr>
          <w:noProof/>
        </w:rPr>
        <w:t>4</w:t>
      </w:r>
      <w:r w:rsidR="00F359A2">
        <w:fldChar w:fldCharType="end"/>
      </w:r>
      <w:r w:rsidR="007D019C">
        <w:t>)</w:t>
      </w:r>
      <w:r w:rsidRPr="008F2F9E">
        <w:t>. A combination of these two assessments is used to make an overall assessment of risk to the project and its partners. A strategy for mitigation is proposed. The order of preference of how to mitigate the risks is:</w:t>
      </w:r>
    </w:p>
    <w:p w14:paraId="5BF1BB4F" w14:textId="77777777" w:rsidR="001056DF" w:rsidRPr="000367FD" w:rsidRDefault="001056DF" w:rsidP="001056DF">
      <w:pPr>
        <w:pStyle w:val="ListNumber"/>
        <w:numPr>
          <w:ilvl w:val="0"/>
          <w:numId w:val="8"/>
        </w:numPr>
      </w:pPr>
      <w:r w:rsidRPr="000367FD">
        <w:t>Avoiding the risk by deciding not to start or continue with the activity that gives rise to the risk</w:t>
      </w:r>
    </w:p>
    <w:p w14:paraId="63ABBC4F" w14:textId="77777777" w:rsidR="001056DF" w:rsidRDefault="001056DF" w:rsidP="001056DF">
      <w:pPr>
        <w:pStyle w:val="ListNumber"/>
      </w:pPr>
      <w:r w:rsidRPr="00757B4D">
        <w:t xml:space="preserve">Accepting or </w:t>
      </w:r>
      <w:r>
        <w:t xml:space="preserve">reducing </w:t>
      </w:r>
      <w:r w:rsidRPr="00757B4D">
        <w:t>the risk in order to pursue an opportunity</w:t>
      </w:r>
    </w:p>
    <w:p w14:paraId="4E641125" w14:textId="77777777" w:rsidR="001056DF" w:rsidRDefault="001056DF" w:rsidP="001056DF">
      <w:pPr>
        <w:pStyle w:val="ListNumber"/>
      </w:pPr>
      <w:r w:rsidRPr="00757B4D">
        <w:t>Removing the risk source</w:t>
      </w:r>
    </w:p>
    <w:p w14:paraId="6FF2883D" w14:textId="77777777" w:rsidR="001056DF" w:rsidRDefault="001056DF" w:rsidP="001056DF">
      <w:pPr>
        <w:pStyle w:val="ListNumber"/>
      </w:pPr>
      <w:r w:rsidRPr="00757B4D">
        <w:t>Changing the likelihood</w:t>
      </w:r>
    </w:p>
    <w:p w14:paraId="46617728" w14:textId="77777777" w:rsidR="001056DF" w:rsidRDefault="001056DF" w:rsidP="001056DF">
      <w:pPr>
        <w:pStyle w:val="ListNumber"/>
      </w:pPr>
      <w:r w:rsidRPr="00757B4D">
        <w:t>Changing the consequences</w:t>
      </w:r>
    </w:p>
    <w:p w14:paraId="2425220F" w14:textId="77777777" w:rsidR="001056DF" w:rsidRDefault="001056DF" w:rsidP="001056DF">
      <w:pPr>
        <w:pStyle w:val="ListNumber"/>
      </w:pPr>
      <w:r w:rsidRPr="00757B4D">
        <w:t>Sharing the risk with another party or parties (including contracts and risk ﬁnancing)</w:t>
      </w:r>
    </w:p>
    <w:p w14:paraId="3F985BD6" w14:textId="77777777" w:rsidR="001056DF" w:rsidRDefault="001056DF" w:rsidP="001056DF">
      <w:pPr>
        <w:pStyle w:val="ListNumber"/>
      </w:pPr>
      <w:r w:rsidRPr="00757B4D">
        <w:t>Retaining the risk by informed decision</w:t>
      </w:r>
      <w:r>
        <w:t>.</w:t>
      </w:r>
    </w:p>
    <w:p w14:paraId="0F86DEE2" w14:textId="77777777" w:rsidR="006018FE" w:rsidRDefault="006018FE" w:rsidP="006018FE">
      <w:pPr>
        <w:pStyle w:val="ListNumber"/>
        <w:numPr>
          <w:ilvl w:val="0"/>
          <w:numId w:val="0"/>
        </w:numPr>
        <w:ind w:left="714"/>
      </w:pPr>
    </w:p>
    <w:p w14:paraId="02ADD1EA" w14:textId="76024477" w:rsidR="00443EDA" w:rsidRDefault="0083048A" w:rsidP="00704F9F">
      <w:pPr>
        <w:pStyle w:val="TableCaption"/>
        <w:rPr>
          <w:szCs w:val="22"/>
        </w:rPr>
      </w:pPr>
      <w:bookmarkStart w:id="353" w:name="_Ref10119845"/>
      <w:bookmarkStart w:id="354" w:name="_Toc12630262"/>
      <w:r w:rsidRPr="00147F9C">
        <w:t xml:space="preserve">Table </w:t>
      </w:r>
      <w:r w:rsidR="00A8252A">
        <w:rPr>
          <w:noProof/>
        </w:rPr>
        <w:fldChar w:fldCharType="begin"/>
      </w:r>
      <w:r w:rsidR="00A8252A">
        <w:rPr>
          <w:noProof/>
        </w:rPr>
        <w:instrText xml:space="preserve"> STYLEREF 1 \s </w:instrText>
      </w:r>
      <w:r w:rsidR="00A8252A">
        <w:rPr>
          <w:noProof/>
        </w:rPr>
        <w:fldChar w:fldCharType="separate"/>
      </w:r>
      <w:r w:rsidR="00DF49CD">
        <w:rPr>
          <w:noProof/>
        </w:rPr>
        <w:t>10</w:t>
      </w:r>
      <w:r w:rsidR="00A8252A">
        <w:rPr>
          <w:noProof/>
        </w:rPr>
        <w:fldChar w:fldCharType="end"/>
      </w:r>
      <w:r w:rsidR="00F359A2">
        <w:t>.</w:t>
      </w:r>
      <w:r w:rsidR="00A8252A">
        <w:rPr>
          <w:noProof/>
        </w:rPr>
        <w:fldChar w:fldCharType="begin"/>
      </w:r>
      <w:r w:rsidR="00A8252A">
        <w:rPr>
          <w:noProof/>
        </w:rPr>
        <w:instrText xml:space="preserve"> SEQ Table \* ARABIC \s 1 </w:instrText>
      </w:r>
      <w:r w:rsidR="00A8252A">
        <w:rPr>
          <w:noProof/>
        </w:rPr>
        <w:fldChar w:fldCharType="separate"/>
      </w:r>
      <w:r w:rsidR="00DF49CD">
        <w:rPr>
          <w:noProof/>
        </w:rPr>
        <w:t>2</w:t>
      </w:r>
      <w:r w:rsidR="00A8252A">
        <w:rPr>
          <w:noProof/>
        </w:rPr>
        <w:fldChar w:fldCharType="end"/>
      </w:r>
      <w:bookmarkEnd w:id="350"/>
      <w:bookmarkEnd w:id="353"/>
      <w:r w:rsidR="00C702B6">
        <w:rPr>
          <w:szCs w:val="22"/>
        </w:rPr>
        <w:t>.</w:t>
      </w:r>
      <w:r w:rsidR="00C702B6">
        <w:rPr>
          <w:szCs w:val="22"/>
        </w:rPr>
        <w:tab/>
      </w:r>
      <w:r w:rsidR="00147F9C" w:rsidRPr="00147F9C">
        <w:t>Project</w:t>
      </w:r>
      <w:r w:rsidR="000A32E0" w:rsidRPr="00147F9C">
        <w:t xml:space="preserve"> risks, their level of </w:t>
      </w:r>
      <w:r w:rsidR="00147F9C" w:rsidRPr="00147F9C">
        <w:t xml:space="preserve">significance, </w:t>
      </w:r>
      <w:r w:rsidR="000A32E0" w:rsidRPr="00147F9C">
        <w:t>and a proposed mitigation strategy</w:t>
      </w:r>
      <w:bookmarkEnd w:id="351"/>
      <w:bookmarkEnd w:id="352"/>
      <w:bookmarkEnd w:id="354"/>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34"/>
        <w:gridCol w:w="1418"/>
        <w:gridCol w:w="1134"/>
        <w:gridCol w:w="2835"/>
      </w:tblGrid>
      <w:tr w:rsidR="003C6FE1" w:rsidRPr="00134BAD" w14:paraId="656E8B77" w14:textId="77777777" w:rsidTr="00661DFF">
        <w:trPr>
          <w:cantSplit/>
          <w:tblHeader/>
        </w:trPr>
        <w:tc>
          <w:tcPr>
            <w:tcW w:w="2972" w:type="dxa"/>
            <w:shd w:val="clear" w:color="auto" w:fill="BFBFBF" w:themeFill="background1" w:themeFillShade="BF"/>
          </w:tcPr>
          <w:p w14:paraId="53EF6620" w14:textId="77777777" w:rsidR="003C6FE1" w:rsidRDefault="003C6FE1" w:rsidP="003F3E85">
            <w:pPr>
              <w:pStyle w:val="TableHeading"/>
            </w:pPr>
            <w:r w:rsidRPr="00134BAD">
              <w:t>Risk</w:t>
            </w:r>
          </w:p>
        </w:tc>
        <w:tc>
          <w:tcPr>
            <w:tcW w:w="1134" w:type="dxa"/>
            <w:shd w:val="clear" w:color="auto" w:fill="BFBFBF" w:themeFill="background1" w:themeFillShade="BF"/>
          </w:tcPr>
          <w:p w14:paraId="222DB843" w14:textId="77777777" w:rsidR="003C6FE1" w:rsidRDefault="003C6FE1" w:rsidP="003F3E85">
            <w:pPr>
              <w:pStyle w:val="TableHeading"/>
            </w:pPr>
            <w:r w:rsidRPr="00134BAD">
              <w:t>Likelihood</w:t>
            </w:r>
          </w:p>
        </w:tc>
        <w:tc>
          <w:tcPr>
            <w:tcW w:w="1418" w:type="dxa"/>
            <w:shd w:val="clear" w:color="auto" w:fill="BFBFBF" w:themeFill="background1" w:themeFillShade="BF"/>
          </w:tcPr>
          <w:p w14:paraId="4F02A5A0" w14:textId="77777777" w:rsidR="003C6FE1" w:rsidRDefault="003C6FE1" w:rsidP="003F3E85">
            <w:pPr>
              <w:pStyle w:val="TableHeading"/>
            </w:pPr>
            <w:r>
              <w:t>Consequence</w:t>
            </w:r>
          </w:p>
        </w:tc>
        <w:tc>
          <w:tcPr>
            <w:tcW w:w="1134" w:type="dxa"/>
            <w:shd w:val="clear" w:color="auto" w:fill="BFBFBF" w:themeFill="background1" w:themeFillShade="BF"/>
          </w:tcPr>
          <w:p w14:paraId="3398C950" w14:textId="77777777" w:rsidR="003C6FE1" w:rsidRDefault="003C6FE1" w:rsidP="003F3E85">
            <w:pPr>
              <w:pStyle w:val="TableHeading"/>
            </w:pPr>
            <w:r>
              <w:t>Level</w:t>
            </w:r>
          </w:p>
        </w:tc>
        <w:tc>
          <w:tcPr>
            <w:tcW w:w="2835" w:type="dxa"/>
            <w:shd w:val="clear" w:color="auto" w:fill="BFBFBF" w:themeFill="background1" w:themeFillShade="BF"/>
          </w:tcPr>
          <w:p w14:paraId="076FC1E8" w14:textId="77777777" w:rsidR="003C6FE1" w:rsidRDefault="003C6FE1" w:rsidP="003F3E85">
            <w:pPr>
              <w:pStyle w:val="TableHeading"/>
            </w:pPr>
            <w:r>
              <w:t>Mitigation</w:t>
            </w:r>
          </w:p>
        </w:tc>
      </w:tr>
      <w:tr w:rsidR="003C6FE1" w:rsidRPr="00134BAD" w14:paraId="2F3A1C0A" w14:textId="77777777" w:rsidTr="00661DFF">
        <w:trPr>
          <w:cantSplit/>
        </w:trPr>
        <w:tc>
          <w:tcPr>
            <w:tcW w:w="2972" w:type="dxa"/>
            <w:shd w:val="clear" w:color="auto" w:fill="D9D9D9" w:themeFill="background1" w:themeFillShade="D9"/>
          </w:tcPr>
          <w:p w14:paraId="5CE9382F" w14:textId="77777777" w:rsidR="003C6FE1" w:rsidRDefault="003C6FE1" w:rsidP="003F3E85">
            <w:pPr>
              <w:pStyle w:val="TableText"/>
            </w:pPr>
            <w:r>
              <w:t>Communication Risks</w:t>
            </w:r>
          </w:p>
        </w:tc>
        <w:tc>
          <w:tcPr>
            <w:tcW w:w="1134" w:type="dxa"/>
            <w:shd w:val="clear" w:color="auto" w:fill="D9D9D9" w:themeFill="background1" w:themeFillShade="D9"/>
          </w:tcPr>
          <w:p w14:paraId="7A1D48C0" w14:textId="77777777" w:rsidR="003C6FE1" w:rsidRDefault="003C6FE1" w:rsidP="003F3E85">
            <w:pPr>
              <w:pStyle w:val="TableText"/>
            </w:pPr>
          </w:p>
        </w:tc>
        <w:tc>
          <w:tcPr>
            <w:tcW w:w="1418" w:type="dxa"/>
            <w:shd w:val="clear" w:color="auto" w:fill="D9D9D9" w:themeFill="background1" w:themeFillShade="D9"/>
          </w:tcPr>
          <w:p w14:paraId="507CDA3F" w14:textId="77777777" w:rsidR="003C6FE1" w:rsidRDefault="003C6FE1" w:rsidP="003F3E85">
            <w:pPr>
              <w:pStyle w:val="TableText"/>
            </w:pPr>
          </w:p>
        </w:tc>
        <w:tc>
          <w:tcPr>
            <w:tcW w:w="1134" w:type="dxa"/>
            <w:shd w:val="clear" w:color="auto" w:fill="D9D9D9" w:themeFill="background1" w:themeFillShade="D9"/>
          </w:tcPr>
          <w:p w14:paraId="60CD7D53" w14:textId="77777777" w:rsidR="003C6FE1" w:rsidRDefault="003C6FE1" w:rsidP="003F3E85">
            <w:pPr>
              <w:pStyle w:val="TableText"/>
            </w:pPr>
          </w:p>
        </w:tc>
        <w:tc>
          <w:tcPr>
            <w:tcW w:w="2835" w:type="dxa"/>
            <w:shd w:val="clear" w:color="auto" w:fill="D9D9D9" w:themeFill="background1" w:themeFillShade="D9"/>
          </w:tcPr>
          <w:p w14:paraId="464DBC35" w14:textId="77777777" w:rsidR="003C6FE1" w:rsidRDefault="003C6FE1" w:rsidP="003F3E85">
            <w:pPr>
              <w:pStyle w:val="TableText"/>
            </w:pPr>
          </w:p>
        </w:tc>
      </w:tr>
      <w:tr w:rsidR="003C6FE1" w:rsidRPr="00134BAD" w14:paraId="46294BB2" w14:textId="77777777" w:rsidTr="00DC5B00">
        <w:trPr>
          <w:cantSplit/>
        </w:trPr>
        <w:tc>
          <w:tcPr>
            <w:tcW w:w="2972" w:type="dxa"/>
          </w:tcPr>
          <w:p w14:paraId="63527CDA" w14:textId="77777777" w:rsidR="003C6FE1" w:rsidRDefault="003C6FE1" w:rsidP="003F3E85">
            <w:pPr>
              <w:pStyle w:val="TableText"/>
            </w:pPr>
            <w:r w:rsidRPr="005C58CE">
              <w:t>Tight timeframes for consultation</w:t>
            </w:r>
            <w:r>
              <w:t xml:space="preserve"> on the development of the MER Plan. S</w:t>
            </w:r>
            <w:r w:rsidRPr="005C58CE">
              <w:t>takeholders</w:t>
            </w:r>
            <w:r>
              <w:t xml:space="preserve"> may not all </w:t>
            </w:r>
            <w:r w:rsidRPr="005C58CE">
              <w:t xml:space="preserve">feel </w:t>
            </w:r>
            <w:r>
              <w:t xml:space="preserve">that </w:t>
            </w:r>
            <w:r w:rsidRPr="005C58CE">
              <w:t xml:space="preserve">they have had </w:t>
            </w:r>
            <w:r>
              <w:t>the</w:t>
            </w:r>
            <w:r w:rsidRPr="005C58CE">
              <w:t xml:space="preserve"> opportunity to be </w:t>
            </w:r>
            <w:r>
              <w:t xml:space="preserve">adequately </w:t>
            </w:r>
            <w:r w:rsidRPr="005C58CE">
              <w:t>involved.</w:t>
            </w:r>
            <w:r>
              <w:t xml:space="preserve"> </w:t>
            </w:r>
            <w:r w:rsidRPr="005C58CE">
              <w:t>T</w:t>
            </w:r>
            <w:r>
              <w:t>he</w:t>
            </w:r>
            <w:r w:rsidRPr="005C58CE">
              <w:t xml:space="preserve"> project team </w:t>
            </w:r>
            <w:r>
              <w:t>may not be</w:t>
            </w:r>
            <w:r w:rsidRPr="005C58CE">
              <w:t xml:space="preserve"> aware of all </w:t>
            </w:r>
            <w:r>
              <w:t xml:space="preserve">of </w:t>
            </w:r>
            <w:r w:rsidRPr="005C58CE">
              <w:t>the key issues</w:t>
            </w:r>
            <w:r>
              <w:t>.</w:t>
            </w:r>
          </w:p>
        </w:tc>
        <w:tc>
          <w:tcPr>
            <w:tcW w:w="1134" w:type="dxa"/>
          </w:tcPr>
          <w:p w14:paraId="6E8CB380" w14:textId="77777777" w:rsidR="003C6FE1" w:rsidRDefault="003C6FE1" w:rsidP="003F3E85">
            <w:pPr>
              <w:pStyle w:val="TableText"/>
            </w:pPr>
            <w:r>
              <w:t>Possible</w:t>
            </w:r>
          </w:p>
        </w:tc>
        <w:tc>
          <w:tcPr>
            <w:tcW w:w="1418" w:type="dxa"/>
          </w:tcPr>
          <w:p w14:paraId="26CF1C74" w14:textId="77777777" w:rsidR="003C6FE1" w:rsidRDefault="003C6FE1" w:rsidP="003F3E85">
            <w:pPr>
              <w:pStyle w:val="TableText"/>
            </w:pPr>
            <w:r>
              <w:t>Moderate</w:t>
            </w:r>
          </w:p>
        </w:tc>
        <w:tc>
          <w:tcPr>
            <w:tcW w:w="1134" w:type="dxa"/>
            <w:shd w:val="clear" w:color="auto" w:fill="FFFF00"/>
          </w:tcPr>
          <w:p w14:paraId="728357CB" w14:textId="77777777" w:rsidR="003C6FE1" w:rsidRDefault="003C6FE1" w:rsidP="003F3E85">
            <w:pPr>
              <w:pStyle w:val="TableText"/>
            </w:pPr>
            <w:r>
              <w:t>Moderate</w:t>
            </w:r>
          </w:p>
        </w:tc>
        <w:tc>
          <w:tcPr>
            <w:tcW w:w="2835" w:type="dxa"/>
          </w:tcPr>
          <w:p w14:paraId="33CBF5CA" w14:textId="77777777" w:rsidR="003C6FE1" w:rsidRDefault="003C6FE1" w:rsidP="003F3E85">
            <w:pPr>
              <w:pStyle w:val="TableText"/>
            </w:pPr>
            <w:r w:rsidRPr="005C58CE">
              <w:t>Provide more than one opportunity for engagement</w:t>
            </w:r>
            <w:r>
              <w:t>.</w:t>
            </w:r>
          </w:p>
          <w:p w14:paraId="32A127B7" w14:textId="77777777" w:rsidR="003C6FE1" w:rsidRDefault="003C6FE1" w:rsidP="003F3E85">
            <w:pPr>
              <w:pStyle w:val="TableText"/>
            </w:pPr>
            <w:r w:rsidRPr="005C58CE">
              <w:t>Personally invite key stakeholders</w:t>
            </w:r>
            <w:r>
              <w:t xml:space="preserve"> to contribute advice and review methodologies.</w:t>
            </w:r>
          </w:p>
          <w:p w14:paraId="6B7D6F72" w14:textId="77777777" w:rsidR="003C6FE1" w:rsidRPr="009766BB" w:rsidRDefault="003C6FE1" w:rsidP="003F3E85">
            <w:pPr>
              <w:rPr>
                <w:sz w:val="20"/>
              </w:rPr>
            </w:pPr>
            <w:r>
              <w:rPr>
                <w:sz w:val="20"/>
              </w:rPr>
              <w:t>Build on LTIM priorities and is largely an extension of LTIM.</w:t>
            </w:r>
          </w:p>
        </w:tc>
      </w:tr>
      <w:tr w:rsidR="003C6FE1" w:rsidRPr="00134BAD" w14:paraId="30B0D01D" w14:textId="77777777" w:rsidTr="00DC5B00">
        <w:trPr>
          <w:cantSplit/>
        </w:trPr>
        <w:tc>
          <w:tcPr>
            <w:tcW w:w="2972" w:type="dxa"/>
          </w:tcPr>
          <w:p w14:paraId="3949B911" w14:textId="77777777" w:rsidR="003C6FE1" w:rsidRDefault="003C6FE1" w:rsidP="003F3E85">
            <w:pPr>
              <w:pStyle w:val="TableText"/>
            </w:pPr>
            <w:r w:rsidRPr="005C58CE">
              <w:t>Failure to engage key stakeholders</w:t>
            </w:r>
            <w:r>
              <w:t>. The p</w:t>
            </w:r>
            <w:r w:rsidRPr="005C58CE">
              <w:t xml:space="preserve">roject </w:t>
            </w:r>
            <w:r>
              <w:t>t</w:t>
            </w:r>
            <w:r w:rsidRPr="005C58CE">
              <w:t xml:space="preserve">eam </w:t>
            </w:r>
            <w:r>
              <w:t xml:space="preserve">is </w:t>
            </w:r>
            <w:r w:rsidRPr="005C58CE">
              <w:t xml:space="preserve">not aware of key issues and </w:t>
            </w:r>
            <w:r>
              <w:t>intelligence.</w:t>
            </w:r>
          </w:p>
        </w:tc>
        <w:tc>
          <w:tcPr>
            <w:tcW w:w="1134" w:type="dxa"/>
          </w:tcPr>
          <w:p w14:paraId="5C4D8D00" w14:textId="77777777" w:rsidR="003C6FE1" w:rsidRDefault="003C6FE1" w:rsidP="003F3E85">
            <w:pPr>
              <w:pStyle w:val="TableText"/>
            </w:pPr>
            <w:r>
              <w:t>Unlikely</w:t>
            </w:r>
          </w:p>
        </w:tc>
        <w:tc>
          <w:tcPr>
            <w:tcW w:w="1418" w:type="dxa"/>
          </w:tcPr>
          <w:p w14:paraId="26273250" w14:textId="77777777" w:rsidR="003C6FE1" w:rsidRDefault="003C6FE1" w:rsidP="003F3E85">
            <w:pPr>
              <w:pStyle w:val="TableText"/>
            </w:pPr>
            <w:r>
              <w:t>Minor</w:t>
            </w:r>
          </w:p>
        </w:tc>
        <w:tc>
          <w:tcPr>
            <w:tcW w:w="1134" w:type="dxa"/>
            <w:shd w:val="clear" w:color="auto" w:fill="92D050"/>
          </w:tcPr>
          <w:p w14:paraId="48C1DD76" w14:textId="77777777" w:rsidR="003C6FE1" w:rsidRDefault="003C6FE1" w:rsidP="003F3E85">
            <w:pPr>
              <w:pStyle w:val="TableText"/>
            </w:pPr>
            <w:r>
              <w:t>Low</w:t>
            </w:r>
          </w:p>
        </w:tc>
        <w:tc>
          <w:tcPr>
            <w:tcW w:w="2835" w:type="dxa"/>
          </w:tcPr>
          <w:p w14:paraId="5059CCC3" w14:textId="77777777" w:rsidR="003C6FE1" w:rsidRDefault="003C6FE1" w:rsidP="003F3E85">
            <w:pPr>
              <w:pStyle w:val="TableText"/>
            </w:pPr>
            <w:r w:rsidRPr="005C58CE">
              <w:t>Form</w:t>
            </w:r>
            <w:r>
              <w:t xml:space="preserve"> the</w:t>
            </w:r>
            <w:r w:rsidRPr="005C58CE">
              <w:t xml:space="preserve"> </w:t>
            </w:r>
            <w:r>
              <w:t>Selected Area Working Group.</w:t>
            </w:r>
            <w:r w:rsidRPr="005C58CE">
              <w:t xml:space="preserve"> </w:t>
            </w:r>
          </w:p>
          <w:p w14:paraId="201126F7" w14:textId="77777777" w:rsidR="003C6FE1" w:rsidRDefault="003C6FE1" w:rsidP="003F3E85">
            <w:pPr>
              <w:pStyle w:val="TableText"/>
            </w:pPr>
            <w:r w:rsidRPr="005C58CE">
              <w:t>Communicate widely</w:t>
            </w:r>
            <w:r>
              <w:t xml:space="preserve"> with infrastructure support.</w:t>
            </w:r>
          </w:p>
          <w:p w14:paraId="4D108834" w14:textId="77777777" w:rsidR="003C6FE1" w:rsidRPr="009766BB" w:rsidRDefault="003C6FE1" w:rsidP="003F3E85">
            <w:pPr>
              <w:rPr>
                <w:sz w:val="20"/>
              </w:rPr>
            </w:pPr>
            <w:r w:rsidRPr="009766BB">
              <w:rPr>
                <w:sz w:val="20"/>
              </w:rPr>
              <w:t>Improve engagement and communication with additional funding support from CEWO.</w:t>
            </w:r>
          </w:p>
          <w:p w14:paraId="0E460EC2" w14:textId="77777777" w:rsidR="003C6FE1" w:rsidRDefault="003C6FE1" w:rsidP="003F3E85">
            <w:pPr>
              <w:pStyle w:val="TableText"/>
            </w:pPr>
          </w:p>
        </w:tc>
      </w:tr>
      <w:tr w:rsidR="003C6FE1" w:rsidRPr="00134BAD" w14:paraId="2D3E6AFA" w14:textId="77777777" w:rsidTr="00DC5B00">
        <w:trPr>
          <w:cantSplit/>
        </w:trPr>
        <w:tc>
          <w:tcPr>
            <w:tcW w:w="2972" w:type="dxa"/>
          </w:tcPr>
          <w:p w14:paraId="0A2CC5C0" w14:textId="77777777" w:rsidR="003C6FE1" w:rsidRDefault="003C6FE1" w:rsidP="003F3E85">
            <w:pPr>
              <w:pStyle w:val="TableText"/>
            </w:pPr>
            <w:r w:rsidRPr="005C58CE">
              <w:t xml:space="preserve">Failure to be clear about what people can influence, and to what degree. Stakeholders spend time trying to influence </w:t>
            </w:r>
            <w:r>
              <w:t>non-negotiable issues.</w:t>
            </w:r>
          </w:p>
        </w:tc>
        <w:tc>
          <w:tcPr>
            <w:tcW w:w="1134" w:type="dxa"/>
          </w:tcPr>
          <w:p w14:paraId="72AB08B9" w14:textId="77777777" w:rsidR="003C6FE1" w:rsidRDefault="003C6FE1" w:rsidP="003F3E85">
            <w:pPr>
              <w:pStyle w:val="TableText"/>
            </w:pPr>
            <w:r>
              <w:t>Unlikely</w:t>
            </w:r>
          </w:p>
        </w:tc>
        <w:tc>
          <w:tcPr>
            <w:tcW w:w="1418" w:type="dxa"/>
          </w:tcPr>
          <w:p w14:paraId="267AA755" w14:textId="77777777" w:rsidR="003C6FE1" w:rsidRDefault="003C6FE1" w:rsidP="003F3E85">
            <w:pPr>
              <w:pStyle w:val="TableText"/>
            </w:pPr>
            <w:r>
              <w:t>Minor</w:t>
            </w:r>
          </w:p>
        </w:tc>
        <w:tc>
          <w:tcPr>
            <w:tcW w:w="1134" w:type="dxa"/>
            <w:shd w:val="clear" w:color="auto" w:fill="92D050"/>
          </w:tcPr>
          <w:p w14:paraId="4A7220C0" w14:textId="77777777" w:rsidR="003C6FE1" w:rsidRDefault="003C6FE1" w:rsidP="003F3E85">
            <w:pPr>
              <w:pStyle w:val="TableText"/>
            </w:pPr>
            <w:r>
              <w:t>Low</w:t>
            </w:r>
          </w:p>
        </w:tc>
        <w:tc>
          <w:tcPr>
            <w:tcW w:w="2835" w:type="dxa"/>
          </w:tcPr>
          <w:p w14:paraId="175F3A6C" w14:textId="77777777" w:rsidR="003C6FE1" w:rsidRDefault="003C6FE1" w:rsidP="003F3E85">
            <w:pPr>
              <w:pStyle w:val="TableText"/>
            </w:pPr>
            <w:r w:rsidRPr="005C58CE">
              <w:t>Continually reinforce the scope of the project</w:t>
            </w:r>
            <w:r>
              <w:t>.</w:t>
            </w:r>
            <w:r w:rsidRPr="005C58CE">
              <w:t xml:space="preserve"> </w:t>
            </w:r>
          </w:p>
          <w:p w14:paraId="3B50FE74" w14:textId="77777777" w:rsidR="003C6FE1" w:rsidRDefault="003C6FE1" w:rsidP="003F3E85">
            <w:pPr>
              <w:pStyle w:val="TableText"/>
            </w:pPr>
            <w:r>
              <w:t>Clear Terms of</w:t>
            </w:r>
            <w:r w:rsidRPr="005C58CE">
              <w:t xml:space="preserve"> Reference for </w:t>
            </w:r>
            <w:r>
              <w:t>the Selected Area Working Group.</w:t>
            </w:r>
          </w:p>
        </w:tc>
      </w:tr>
      <w:tr w:rsidR="003C6FE1" w:rsidRPr="00134BAD" w14:paraId="06E0EC9B" w14:textId="77777777" w:rsidTr="00DC5B00">
        <w:trPr>
          <w:cantSplit/>
        </w:trPr>
        <w:tc>
          <w:tcPr>
            <w:tcW w:w="2972" w:type="dxa"/>
          </w:tcPr>
          <w:p w14:paraId="4E9AD38F" w14:textId="77777777" w:rsidR="003C6FE1" w:rsidRDefault="003C6FE1" w:rsidP="003F3E85">
            <w:pPr>
              <w:pStyle w:val="TableText"/>
            </w:pPr>
            <w:r w:rsidRPr="005C58CE">
              <w:lastRenderedPageBreak/>
              <w:t>Perception by stakeholders that project has not been successful because outcomes are not what they expected</w:t>
            </w:r>
            <w:r>
              <w:t>.</w:t>
            </w:r>
          </w:p>
        </w:tc>
        <w:tc>
          <w:tcPr>
            <w:tcW w:w="1134" w:type="dxa"/>
          </w:tcPr>
          <w:p w14:paraId="24B2ED84" w14:textId="77777777" w:rsidR="003C6FE1" w:rsidRDefault="003C6FE1" w:rsidP="003F3E85">
            <w:pPr>
              <w:pStyle w:val="TableText"/>
            </w:pPr>
            <w:r>
              <w:t>Possible</w:t>
            </w:r>
          </w:p>
        </w:tc>
        <w:tc>
          <w:tcPr>
            <w:tcW w:w="1418" w:type="dxa"/>
          </w:tcPr>
          <w:p w14:paraId="7F4EAF40" w14:textId="77777777" w:rsidR="003C6FE1" w:rsidRDefault="003C6FE1" w:rsidP="003F3E85">
            <w:pPr>
              <w:pStyle w:val="TableText"/>
            </w:pPr>
            <w:r>
              <w:t>Moderate</w:t>
            </w:r>
          </w:p>
        </w:tc>
        <w:tc>
          <w:tcPr>
            <w:tcW w:w="1134" w:type="dxa"/>
            <w:shd w:val="clear" w:color="auto" w:fill="FFFF00"/>
          </w:tcPr>
          <w:p w14:paraId="08A62356" w14:textId="77777777" w:rsidR="003C6FE1" w:rsidRDefault="003C6FE1" w:rsidP="003F3E85">
            <w:pPr>
              <w:pStyle w:val="TableText"/>
            </w:pPr>
            <w:r>
              <w:t>Moderate</w:t>
            </w:r>
          </w:p>
        </w:tc>
        <w:tc>
          <w:tcPr>
            <w:tcW w:w="2835" w:type="dxa"/>
          </w:tcPr>
          <w:p w14:paraId="68A66219" w14:textId="77777777" w:rsidR="003C6FE1" w:rsidRDefault="003C6FE1" w:rsidP="003F3E85">
            <w:pPr>
              <w:pStyle w:val="TableText"/>
            </w:pPr>
            <w:r w:rsidRPr="005C58CE">
              <w:t xml:space="preserve">Clearly communicate the role, scope and expected outcomes of </w:t>
            </w:r>
            <w:r>
              <w:t xml:space="preserve">the </w:t>
            </w:r>
            <w:r w:rsidRPr="005C58CE">
              <w:t xml:space="preserve">project and how issues will be </w:t>
            </w:r>
            <w:r>
              <w:t>managed.</w:t>
            </w:r>
          </w:p>
          <w:p w14:paraId="520E3A57" w14:textId="77777777" w:rsidR="003C6FE1" w:rsidRPr="000C4741" w:rsidRDefault="003C6FE1" w:rsidP="003F3E85">
            <w:pPr>
              <w:rPr>
                <w:sz w:val="20"/>
              </w:rPr>
            </w:pPr>
            <w:r w:rsidRPr="000C4741">
              <w:rPr>
                <w:sz w:val="20"/>
              </w:rPr>
              <w:t>Ongoing engagement with key stakeholders via Selected Area Working Group meetings and other processes.</w:t>
            </w:r>
          </w:p>
        </w:tc>
      </w:tr>
      <w:tr w:rsidR="003C6FE1" w:rsidRPr="00134BAD" w14:paraId="432D5E5B" w14:textId="77777777" w:rsidTr="00661DFF">
        <w:trPr>
          <w:cantSplit/>
        </w:trPr>
        <w:tc>
          <w:tcPr>
            <w:tcW w:w="2972" w:type="dxa"/>
            <w:shd w:val="clear" w:color="auto" w:fill="D9D9D9" w:themeFill="background1" w:themeFillShade="D9"/>
          </w:tcPr>
          <w:p w14:paraId="7DE1B758" w14:textId="77777777" w:rsidR="003C6FE1" w:rsidRDefault="003C6FE1" w:rsidP="003F3E85">
            <w:pPr>
              <w:pStyle w:val="TableText"/>
            </w:pPr>
            <w:r>
              <w:t>Project Risks</w:t>
            </w:r>
          </w:p>
        </w:tc>
        <w:tc>
          <w:tcPr>
            <w:tcW w:w="1134" w:type="dxa"/>
            <w:shd w:val="clear" w:color="auto" w:fill="D9D9D9" w:themeFill="background1" w:themeFillShade="D9"/>
          </w:tcPr>
          <w:p w14:paraId="57439E48" w14:textId="77777777" w:rsidR="003C6FE1" w:rsidRDefault="003C6FE1" w:rsidP="003F3E85">
            <w:pPr>
              <w:pStyle w:val="TableText"/>
            </w:pPr>
          </w:p>
        </w:tc>
        <w:tc>
          <w:tcPr>
            <w:tcW w:w="1418" w:type="dxa"/>
            <w:shd w:val="clear" w:color="auto" w:fill="D9D9D9" w:themeFill="background1" w:themeFillShade="D9"/>
          </w:tcPr>
          <w:p w14:paraId="581C1EF9" w14:textId="77777777" w:rsidR="003C6FE1" w:rsidRDefault="003C6FE1" w:rsidP="003F3E85">
            <w:pPr>
              <w:pStyle w:val="TableText"/>
            </w:pPr>
          </w:p>
        </w:tc>
        <w:tc>
          <w:tcPr>
            <w:tcW w:w="1134" w:type="dxa"/>
            <w:shd w:val="clear" w:color="auto" w:fill="D9D9D9" w:themeFill="background1" w:themeFillShade="D9"/>
          </w:tcPr>
          <w:p w14:paraId="49DD2919" w14:textId="77777777" w:rsidR="003C6FE1" w:rsidRDefault="003C6FE1" w:rsidP="003F3E85">
            <w:pPr>
              <w:pStyle w:val="TableText"/>
            </w:pPr>
          </w:p>
        </w:tc>
        <w:tc>
          <w:tcPr>
            <w:tcW w:w="2835" w:type="dxa"/>
            <w:shd w:val="clear" w:color="auto" w:fill="D9D9D9" w:themeFill="background1" w:themeFillShade="D9"/>
          </w:tcPr>
          <w:p w14:paraId="447E7A79" w14:textId="77777777" w:rsidR="003C6FE1" w:rsidRDefault="003C6FE1" w:rsidP="003F3E85">
            <w:pPr>
              <w:pStyle w:val="TableText"/>
            </w:pPr>
          </w:p>
        </w:tc>
      </w:tr>
      <w:tr w:rsidR="003C6FE1" w:rsidRPr="00134BAD" w14:paraId="3631CB26" w14:textId="77777777" w:rsidTr="00DC5B00">
        <w:trPr>
          <w:cantSplit/>
        </w:trPr>
        <w:tc>
          <w:tcPr>
            <w:tcW w:w="2972" w:type="dxa"/>
          </w:tcPr>
          <w:p w14:paraId="3E89A033" w14:textId="77777777" w:rsidR="003C6FE1" w:rsidRDefault="003C6FE1" w:rsidP="003F3E85">
            <w:pPr>
              <w:pStyle w:val="TableText"/>
            </w:pPr>
            <w:r w:rsidRPr="00DF36DD">
              <w:t xml:space="preserve">Category 1 methods </w:t>
            </w:r>
            <w:r>
              <w:t>may</w:t>
            </w:r>
            <w:r w:rsidRPr="00DF36DD">
              <w:t xml:space="preserve"> not enable ecological </w:t>
            </w:r>
            <w:r>
              <w:t xml:space="preserve">effects of CEW to be adequately evaluated </w:t>
            </w:r>
            <w:r w:rsidRPr="00866CD0">
              <w:t>in the Lower Murray Selected Area</w:t>
            </w:r>
          </w:p>
        </w:tc>
        <w:tc>
          <w:tcPr>
            <w:tcW w:w="1134" w:type="dxa"/>
          </w:tcPr>
          <w:p w14:paraId="40D3A7E2" w14:textId="77777777" w:rsidR="003C6FE1" w:rsidRPr="00D66A26" w:rsidRDefault="003C6FE1" w:rsidP="003F3E85">
            <w:pPr>
              <w:pStyle w:val="TableText"/>
            </w:pPr>
            <w:r>
              <w:t>Possible</w:t>
            </w:r>
          </w:p>
        </w:tc>
        <w:tc>
          <w:tcPr>
            <w:tcW w:w="1418" w:type="dxa"/>
          </w:tcPr>
          <w:p w14:paraId="12DC5D66" w14:textId="77777777" w:rsidR="003C6FE1" w:rsidRPr="00D66A26" w:rsidRDefault="003C6FE1" w:rsidP="003F3E85">
            <w:pPr>
              <w:pStyle w:val="TableText"/>
            </w:pPr>
            <w:r>
              <w:t>Moderate</w:t>
            </w:r>
          </w:p>
        </w:tc>
        <w:tc>
          <w:tcPr>
            <w:tcW w:w="1134" w:type="dxa"/>
            <w:shd w:val="clear" w:color="auto" w:fill="FFFF00"/>
          </w:tcPr>
          <w:p w14:paraId="2AF7D2CB" w14:textId="77777777" w:rsidR="003C6FE1" w:rsidRPr="00D66A26" w:rsidRDefault="003C6FE1" w:rsidP="003F3E85">
            <w:pPr>
              <w:pStyle w:val="TableText"/>
            </w:pPr>
            <w:r>
              <w:rPr>
                <w:szCs w:val="20"/>
              </w:rPr>
              <w:t>Moderate</w:t>
            </w:r>
          </w:p>
        </w:tc>
        <w:tc>
          <w:tcPr>
            <w:tcW w:w="2835" w:type="dxa"/>
          </w:tcPr>
          <w:p w14:paraId="005E8D31" w14:textId="77777777" w:rsidR="003C6FE1" w:rsidRPr="00E30AE9" w:rsidDel="00866CD0" w:rsidRDefault="003C6FE1" w:rsidP="003F3E85">
            <w:pPr>
              <w:pStyle w:val="TableText"/>
              <w:rPr>
                <w:szCs w:val="20"/>
              </w:rPr>
            </w:pPr>
            <w:r w:rsidRPr="00E30AE9">
              <w:rPr>
                <w:szCs w:val="20"/>
              </w:rPr>
              <w:t xml:space="preserve">Clarify the purpose of Category 1 indicators, which is to follow standard methods for data collection to support Basin-scale evaluation to be conducted by Basin-scale Provider. </w:t>
            </w:r>
          </w:p>
          <w:p w14:paraId="465B434D" w14:textId="77777777" w:rsidR="003C6FE1" w:rsidRDefault="003C6FE1" w:rsidP="003F3E85">
            <w:pPr>
              <w:pStyle w:val="TableText"/>
            </w:pPr>
            <w:r w:rsidRPr="00E30AE9">
              <w:rPr>
                <w:szCs w:val="20"/>
              </w:rPr>
              <w:t xml:space="preserve">Evaluate annual outcomes and adapt approach if required (for Category 1 indicator applicable for Lower Murray Selected Area </w:t>
            </w:r>
            <w:r w:rsidRPr="00E30AE9">
              <w:t>evaluation</w:t>
            </w:r>
            <w:r w:rsidRPr="00E30AE9">
              <w:rPr>
                <w:szCs w:val="20"/>
              </w:rPr>
              <w:t>)</w:t>
            </w:r>
          </w:p>
        </w:tc>
      </w:tr>
      <w:tr w:rsidR="003C6FE1" w:rsidRPr="00134BAD" w14:paraId="0C7319CF" w14:textId="77777777" w:rsidTr="00DC5B00">
        <w:trPr>
          <w:cantSplit/>
        </w:trPr>
        <w:tc>
          <w:tcPr>
            <w:tcW w:w="2972" w:type="dxa"/>
          </w:tcPr>
          <w:p w14:paraId="2F4B416E" w14:textId="77777777" w:rsidR="003C6FE1" w:rsidRDefault="003C6FE1" w:rsidP="003F3E85">
            <w:pPr>
              <w:pStyle w:val="TableText"/>
            </w:pPr>
            <w:r>
              <w:t xml:space="preserve">Category 3 methods do not enable ecological effects of CEW to be adequately evaluated </w:t>
            </w:r>
            <w:r w:rsidRPr="00866CD0">
              <w:t>in the Lower Murray Selected Area</w:t>
            </w:r>
          </w:p>
        </w:tc>
        <w:tc>
          <w:tcPr>
            <w:tcW w:w="1134" w:type="dxa"/>
          </w:tcPr>
          <w:p w14:paraId="7519DD84" w14:textId="77777777" w:rsidR="003C6FE1" w:rsidRPr="00D66A26" w:rsidRDefault="003C6FE1" w:rsidP="003F3E85">
            <w:pPr>
              <w:pStyle w:val="TableText"/>
            </w:pPr>
            <w:r>
              <w:t>Possible</w:t>
            </w:r>
          </w:p>
        </w:tc>
        <w:tc>
          <w:tcPr>
            <w:tcW w:w="1418" w:type="dxa"/>
          </w:tcPr>
          <w:p w14:paraId="7C5418DF" w14:textId="77777777" w:rsidR="003C6FE1" w:rsidRPr="00D66A26" w:rsidRDefault="003C6FE1" w:rsidP="003F3E85">
            <w:pPr>
              <w:pStyle w:val="TableText"/>
            </w:pPr>
            <w:r>
              <w:t>Moderate</w:t>
            </w:r>
          </w:p>
        </w:tc>
        <w:tc>
          <w:tcPr>
            <w:tcW w:w="1134" w:type="dxa"/>
            <w:shd w:val="clear" w:color="auto" w:fill="FFFF00"/>
          </w:tcPr>
          <w:p w14:paraId="414B1008" w14:textId="77777777" w:rsidR="003C6FE1" w:rsidRPr="00D66A26" w:rsidRDefault="003C6FE1" w:rsidP="003F3E85">
            <w:pPr>
              <w:pStyle w:val="TableText"/>
            </w:pPr>
            <w:r>
              <w:t>Moderate</w:t>
            </w:r>
          </w:p>
        </w:tc>
        <w:tc>
          <w:tcPr>
            <w:tcW w:w="2835" w:type="dxa"/>
          </w:tcPr>
          <w:p w14:paraId="77B2E7D5" w14:textId="77777777" w:rsidR="003C6FE1" w:rsidRDefault="003C6FE1" w:rsidP="003F3E85">
            <w:pPr>
              <w:pStyle w:val="TableText"/>
            </w:pPr>
            <w:r>
              <w:t>These indicators are designed by matter experts who have extensive experience in ecological research in the Lower Murray, and building learnings from LTIM.</w:t>
            </w:r>
          </w:p>
          <w:p w14:paraId="2574C9EC" w14:textId="77777777" w:rsidR="003C6FE1" w:rsidRDefault="003C6FE1" w:rsidP="003F3E85">
            <w:pPr>
              <w:pStyle w:val="TableText"/>
            </w:pPr>
            <w:r>
              <w:t>Evaluate annual outcomes and adapt approach if required.</w:t>
            </w:r>
          </w:p>
        </w:tc>
      </w:tr>
      <w:tr w:rsidR="003C6FE1" w:rsidRPr="00134BAD" w14:paraId="25728009" w14:textId="77777777" w:rsidTr="00DC5B00">
        <w:trPr>
          <w:cantSplit/>
        </w:trPr>
        <w:tc>
          <w:tcPr>
            <w:tcW w:w="2972" w:type="dxa"/>
          </w:tcPr>
          <w:p w14:paraId="36B1E115" w14:textId="77777777" w:rsidR="003C6FE1" w:rsidRDefault="003C6FE1" w:rsidP="003F3E85">
            <w:pPr>
              <w:pStyle w:val="TableText"/>
            </w:pPr>
            <w:r>
              <w:t xml:space="preserve">For Category 3 </w:t>
            </w:r>
            <w:r w:rsidRPr="00007327">
              <w:rPr>
                <w:i/>
              </w:rPr>
              <w:t>Hydraulic regime</w:t>
            </w:r>
          </w:p>
          <w:p w14:paraId="6114B606" w14:textId="77777777" w:rsidR="003C6FE1" w:rsidRPr="00BA697A" w:rsidRDefault="003C6FE1" w:rsidP="003F3E85">
            <w:pPr>
              <w:pStyle w:val="TableText"/>
            </w:pPr>
            <w:r>
              <w:t>Permission is not given to obtain data for the hydrodynamic models from the DEW, SA Water and Bureau of Meteorology.</w:t>
            </w:r>
          </w:p>
        </w:tc>
        <w:tc>
          <w:tcPr>
            <w:tcW w:w="1134" w:type="dxa"/>
          </w:tcPr>
          <w:p w14:paraId="7297E463" w14:textId="77777777" w:rsidR="003C6FE1" w:rsidRDefault="003C6FE1" w:rsidP="003F3E85">
            <w:pPr>
              <w:pStyle w:val="TableText"/>
            </w:pPr>
            <w:r>
              <w:t>Rare</w:t>
            </w:r>
          </w:p>
        </w:tc>
        <w:tc>
          <w:tcPr>
            <w:tcW w:w="1418" w:type="dxa"/>
          </w:tcPr>
          <w:p w14:paraId="48218C7F" w14:textId="77777777" w:rsidR="003C6FE1" w:rsidRDefault="003C6FE1" w:rsidP="003F3E85">
            <w:pPr>
              <w:pStyle w:val="TableText"/>
            </w:pPr>
            <w:r>
              <w:t>Minor</w:t>
            </w:r>
          </w:p>
        </w:tc>
        <w:tc>
          <w:tcPr>
            <w:tcW w:w="1134" w:type="dxa"/>
            <w:shd w:val="clear" w:color="auto" w:fill="92D050"/>
          </w:tcPr>
          <w:p w14:paraId="4A17B895" w14:textId="77777777" w:rsidR="003C6FE1" w:rsidRDefault="003C6FE1" w:rsidP="003F3E85">
            <w:pPr>
              <w:pStyle w:val="TableText"/>
            </w:pPr>
            <w:r w:rsidRPr="00D66A26">
              <w:t>Low</w:t>
            </w:r>
          </w:p>
        </w:tc>
        <w:tc>
          <w:tcPr>
            <w:tcW w:w="2835" w:type="dxa"/>
          </w:tcPr>
          <w:p w14:paraId="0B10FACF" w14:textId="77777777" w:rsidR="003C6FE1" w:rsidRDefault="003C6FE1" w:rsidP="003F3E85">
            <w:pPr>
              <w:pStyle w:val="TableText"/>
            </w:pPr>
            <w:r>
              <w:t>The task</w:t>
            </w:r>
            <w:r w:rsidRPr="00D66A26">
              <w:t xml:space="preserve"> leader is in a joint position with DEW as the Principal Hydrologist. Permission to use validation data will be actively sought from relevant organisations prior to use. </w:t>
            </w:r>
            <w:r>
              <w:t xml:space="preserve">Essential information such discharge and water level is freely available through DEW’s open data policy. </w:t>
            </w:r>
            <w:r w:rsidRPr="00D66A26">
              <w:t>Additionally</w:t>
            </w:r>
            <w:r>
              <w:t xml:space="preserve"> data such as</w:t>
            </w:r>
            <w:r w:rsidRPr="00D66A26">
              <w:t xml:space="preserve"> velocity measurements are not essential;</w:t>
            </w:r>
            <w:r>
              <w:t xml:space="preserve"> as models are well established and previously validated, and</w:t>
            </w:r>
            <w:r w:rsidRPr="00D66A26">
              <w:t xml:space="preserve"> a modelled comparison between with and without </w:t>
            </w:r>
            <w:r>
              <w:t xml:space="preserve">Commonwealth </w:t>
            </w:r>
            <w:r w:rsidRPr="00D66A26">
              <w:t xml:space="preserve">environmental watering can still be provided. </w:t>
            </w:r>
          </w:p>
        </w:tc>
      </w:tr>
      <w:tr w:rsidR="003C6FE1" w:rsidRPr="00134BAD" w14:paraId="3EF829F6" w14:textId="77777777" w:rsidTr="00DC5B00">
        <w:trPr>
          <w:cantSplit/>
        </w:trPr>
        <w:tc>
          <w:tcPr>
            <w:tcW w:w="2972" w:type="dxa"/>
          </w:tcPr>
          <w:p w14:paraId="34A6B2E3" w14:textId="77777777" w:rsidR="003C6FE1" w:rsidRDefault="003C6FE1" w:rsidP="003F3E85">
            <w:pPr>
              <w:pStyle w:val="TableText"/>
            </w:pPr>
            <w:r>
              <w:lastRenderedPageBreak/>
              <w:t xml:space="preserve">For </w:t>
            </w:r>
            <w:r w:rsidRPr="00CD62E1">
              <w:rPr>
                <w:i/>
              </w:rPr>
              <w:t xml:space="preserve">Matter Transport and </w:t>
            </w:r>
            <w:r w:rsidRPr="00007327">
              <w:rPr>
                <w:i/>
              </w:rPr>
              <w:t>Coorong Habitat</w:t>
            </w:r>
          </w:p>
          <w:p w14:paraId="7A296B3A" w14:textId="77777777" w:rsidR="003C6FE1" w:rsidRDefault="003C6FE1" w:rsidP="003F3E85">
            <w:pPr>
              <w:pStyle w:val="TableText"/>
            </w:pPr>
            <w:r>
              <w:t>Permission is not given to obtain data for matter transport modelling for the Murray River, Coorong, Lower Lakes and Murray Mouth from relevant agencies.</w:t>
            </w:r>
          </w:p>
          <w:p w14:paraId="22039C30" w14:textId="77777777" w:rsidR="003C6FE1" w:rsidRDefault="003C6FE1" w:rsidP="003F3E85"/>
          <w:p w14:paraId="7F8BAAAF" w14:textId="77777777" w:rsidR="003C6FE1" w:rsidRDefault="003C6FE1" w:rsidP="003F3E85">
            <w:pPr>
              <w:rPr>
                <w:b/>
                <w:sz w:val="20"/>
              </w:rPr>
            </w:pPr>
          </w:p>
          <w:p w14:paraId="2C200631" w14:textId="77777777" w:rsidR="003C6FE1" w:rsidRDefault="003C6FE1" w:rsidP="003F3E85">
            <w:pPr>
              <w:rPr>
                <w:b/>
                <w:sz w:val="20"/>
              </w:rPr>
            </w:pPr>
          </w:p>
          <w:p w14:paraId="639A6123" w14:textId="77777777" w:rsidR="003C6FE1" w:rsidRPr="00095808" w:rsidRDefault="003C6FE1" w:rsidP="003F3E85"/>
        </w:tc>
        <w:tc>
          <w:tcPr>
            <w:tcW w:w="1134" w:type="dxa"/>
          </w:tcPr>
          <w:p w14:paraId="348D65AA" w14:textId="77777777" w:rsidR="003C6FE1" w:rsidRDefault="003C6FE1" w:rsidP="003F3E85">
            <w:pPr>
              <w:pStyle w:val="TableText"/>
            </w:pPr>
            <w:r>
              <w:t>Rare</w:t>
            </w:r>
          </w:p>
        </w:tc>
        <w:tc>
          <w:tcPr>
            <w:tcW w:w="1418" w:type="dxa"/>
          </w:tcPr>
          <w:p w14:paraId="2F81FE74" w14:textId="77777777" w:rsidR="003C6FE1" w:rsidRDefault="003C6FE1" w:rsidP="003F3E85">
            <w:pPr>
              <w:pStyle w:val="TableText"/>
            </w:pPr>
            <w:r>
              <w:t>Moderate</w:t>
            </w:r>
          </w:p>
        </w:tc>
        <w:tc>
          <w:tcPr>
            <w:tcW w:w="1134" w:type="dxa"/>
            <w:shd w:val="clear" w:color="auto" w:fill="92D050"/>
          </w:tcPr>
          <w:p w14:paraId="290B7DDC" w14:textId="77777777" w:rsidR="003C6FE1" w:rsidRDefault="003C6FE1" w:rsidP="003F3E85">
            <w:pPr>
              <w:pStyle w:val="TableText"/>
            </w:pPr>
            <w:r>
              <w:t>Low</w:t>
            </w:r>
          </w:p>
        </w:tc>
        <w:tc>
          <w:tcPr>
            <w:tcW w:w="2835" w:type="dxa"/>
          </w:tcPr>
          <w:p w14:paraId="38E832F8" w14:textId="77777777" w:rsidR="003C6FE1" w:rsidRDefault="003C6FE1" w:rsidP="003F3E85">
            <w:pPr>
              <w:pStyle w:val="TableText"/>
            </w:pPr>
            <w:r>
              <w:t xml:space="preserve">Essential information such discharge, water level and salinity data is freely available through DEW’s open data policy. </w:t>
            </w:r>
            <w:r w:rsidRPr="00D66A26">
              <w:t>Additionally</w:t>
            </w:r>
            <w:r>
              <w:t xml:space="preserve"> data such as</w:t>
            </w:r>
            <w:r w:rsidRPr="00D66A26">
              <w:t xml:space="preserve"> </w:t>
            </w:r>
            <w:r>
              <w:t>other water quality</w:t>
            </w:r>
            <w:r w:rsidRPr="00D66A26">
              <w:t xml:space="preserve"> </w:t>
            </w:r>
            <w:r>
              <w:t>parameters or ecological monitoring are useful but not</w:t>
            </w:r>
            <w:r w:rsidRPr="00D66A26">
              <w:t xml:space="preserve"> essential;</w:t>
            </w:r>
            <w:r>
              <w:t xml:space="preserve"> as models are well established and previously validated, and</w:t>
            </w:r>
            <w:r w:rsidRPr="00D66A26">
              <w:t xml:space="preserve"> a modelled comparison between with and without </w:t>
            </w:r>
            <w:r>
              <w:t xml:space="preserve">Commonwealth </w:t>
            </w:r>
            <w:r w:rsidRPr="00D66A26">
              <w:t>environmental watering can still be provided.</w:t>
            </w:r>
            <w:r>
              <w:t xml:space="preserve">  </w:t>
            </w:r>
          </w:p>
        </w:tc>
      </w:tr>
      <w:tr w:rsidR="003C6FE1" w:rsidRPr="00134BAD" w14:paraId="4CBCBC73" w14:textId="77777777" w:rsidTr="00DC5B00">
        <w:trPr>
          <w:cantSplit/>
          <w:trHeight w:val="815"/>
        </w:trPr>
        <w:tc>
          <w:tcPr>
            <w:tcW w:w="2972" w:type="dxa"/>
          </w:tcPr>
          <w:p w14:paraId="516EA259" w14:textId="77777777" w:rsidR="003C6FE1" w:rsidRPr="00BA697A" w:rsidRDefault="003C6FE1" w:rsidP="003F3E85">
            <w:pPr>
              <w:pStyle w:val="TableText"/>
            </w:pPr>
            <w:r>
              <w:t xml:space="preserve">Not receiving timely and reliable MDBA hydro data </w:t>
            </w:r>
            <w:r w:rsidRPr="005A1AFF">
              <w:rPr>
                <w:rFonts w:eastAsiaTheme="minorHAnsi"/>
                <w:szCs w:val="20"/>
                <w:lang w:val="en-US"/>
              </w:rPr>
              <w:t xml:space="preserve">(including timing, volumes and source) </w:t>
            </w:r>
            <w:r>
              <w:rPr>
                <w:rFonts w:eastAsiaTheme="minorHAnsi"/>
                <w:szCs w:val="20"/>
                <w:lang w:val="en-US"/>
              </w:rPr>
              <w:t xml:space="preserve">flow, CEW and other environmental water to the Lower Murray </w:t>
            </w:r>
            <w:r>
              <w:t xml:space="preserve">for modelling, reporting and evaluation.   </w:t>
            </w:r>
          </w:p>
        </w:tc>
        <w:tc>
          <w:tcPr>
            <w:tcW w:w="1134" w:type="dxa"/>
          </w:tcPr>
          <w:p w14:paraId="1C572453" w14:textId="77777777" w:rsidR="003C6FE1" w:rsidRPr="0032449E" w:rsidRDefault="003C6FE1" w:rsidP="003F3E85">
            <w:pPr>
              <w:spacing w:before="40" w:after="40"/>
              <w:rPr>
                <w:sz w:val="20"/>
              </w:rPr>
            </w:pPr>
            <w:r>
              <w:rPr>
                <w:sz w:val="20"/>
              </w:rPr>
              <w:t>Possible</w:t>
            </w:r>
          </w:p>
        </w:tc>
        <w:tc>
          <w:tcPr>
            <w:tcW w:w="1418" w:type="dxa"/>
          </w:tcPr>
          <w:p w14:paraId="56193E85" w14:textId="77777777" w:rsidR="003C6FE1" w:rsidRDefault="003C6FE1" w:rsidP="003F3E85">
            <w:pPr>
              <w:pStyle w:val="TableText"/>
            </w:pPr>
            <w:r>
              <w:t>Minor</w:t>
            </w:r>
          </w:p>
        </w:tc>
        <w:tc>
          <w:tcPr>
            <w:tcW w:w="1134" w:type="dxa"/>
            <w:shd w:val="clear" w:color="auto" w:fill="FFFF00"/>
          </w:tcPr>
          <w:p w14:paraId="21806144" w14:textId="77777777" w:rsidR="003C6FE1" w:rsidRDefault="003C6FE1" w:rsidP="003F3E85">
            <w:pPr>
              <w:pStyle w:val="TableText"/>
            </w:pPr>
            <w:r>
              <w:t>Moderate</w:t>
            </w:r>
          </w:p>
        </w:tc>
        <w:tc>
          <w:tcPr>
            <w:tcW w:w="2835" w:type="dxa"/>
          </w:tcPr>
          <w:p w14:paraId="55202539" w14:textId="77777777" w:rsidR="003C6FE1" w:rsidRDefault="003C6FE1" w:rsidP="003F3E85">
            <w:pPr>
              <w:rPr>
                <w:rFonts w:eastAsiaTheme="minorHAnsi"/>
                <w:sz w:val="20"/>
                <w:lang w:val="en-US"/>
              </w:rPr>
            </w:pPr>
            <w:r w:rsidRPr="00E30AE9">
              <w:rPr>
                <w:rFonts w:eastAsiaTheme="minorHAnsi"/>
                <w:sz w:val="20"/>
                <w:lang w:val="en-US"/>
              </w:rPr>
              <w:t xml:space="preserve">Project Leader and Lower Murray Hydrologist will work with CEWO Project Manager(s), who will help obtain data from MDBA through a formal request with a clear timeline. </w:t>
            </w:r>
          </w:p>
          <w:p w14:paraId="4D40EC66" w14:textId="77777777" w:rsidR="003C6FE1" w:rsidRPr="00E30AE9" w:rsidRDefault="003C6FE1" w:rsidP="003F3E85">
            <w:pPr>
              <w:rPr>
                <w:rFonts w:eastAsiaTheme="minorHAnsi"/>
                <w:sz w:val="20"/>
                <w:lang w:val="en-US"/>
              </w:rPr>
            </w:pPr>
            <w:r w:rsidRPr="00E30AE9">
              <w:rPr>
                <w:sz w:val="20"/>
                <w:lang w:val="en-US"/>
              </w:rPr>
              <w:t xml:space="preserve">Lower Murray Hydrologist will work with MDBA modeler(s), facilitated by CEWO, to ensure appropriate modelling approach is used and assumptions are clearly identified and communicated. </w:t>
            </w:r>
          </w:p>
          <w:p w14:paraId="4EB9E616" w14:textId="77777777" w:rsidR="003C6FE1" w:rsidRPr="00E30AE9" w:rsidRDefault="003C6FE1" w:rsidP="003F3E85">
            <w:pPr>
              <w:pStyle w:val="TableText"/>
              <w:rPr>
                <w:lang w:val="en-US"/>
              </w:rPr>
            </w:pPr>
            <w:r w:rsidRPr="00E30AE9">
              <w:rPr>
                <w:rFonts w:eastAsiaTheme="minorHAnsi"/>
                <w:szCs w:val="20"/>
                <w:lang w:val="en-US"/>
              </w:rPr>
              <w:t xml:space="preserve">Regular communication between CEWO manager(s) and Project Leader to allow timeline adjustment for reporting in case of delayed data. </w:t>
            </w:r>
          </w:p>
        </w:tc>
      </w:tr>
      <w:tr w:rsidR="003C6FE1" w:rsidRPr="00134BAD" w14:paraId="30D4709D" w14:textId="77777777" w:rsidTr="00DC5B00">
        <w:trPr>
          <w:cantSplit/>
          <w:trHeight w:val="815"/>
        </w:trPr>
        <w:tc>
          <w:tcPr>
            <w:tcW w:w="2972" w:type="dxa"/>
          </w:tcPr>
          <w:p w14:paraId="7F96552D" w14:textId="77777777" w:rsidR="003C6FE1" w:rsidRDefault="003C6FE1" w:rsidP="003F3E85">
            <w:pPr>
              <w:pStyle w:val="TableText"/>
              <w:rPr>
                <w:rFonts w:eastAsiaTheme="minorHAnsi"/>
                <w:szCs w:val="20"/>
                <w:lang w:val="en-US"/>
              </w:rPr>
            </w:pPr>
            <w:r w:rsidRPr="00BA697A">
              <w:t xml:space="preserve">Unexpected delays to </w:t>
            </w:r>
            <w:r>
              <w:t xml:space="preserve">the </w:t>
            </w:r>
            <w:r w:rsidRPr="00BA697A">
              <w:t xml:space="preserve">project (e.g. </w:t>
            </w:r>
            <w:r>
              <w:t>due to weather</w:t>
            </w:r>
            <w:r>
              <w:rPr>
                <w:rFonts w:eastAsiaTheme="minorHAnsi"/>
                <w:szCs w:val="20"/>
                <w:lang w:val="en-US"/>
              </w:rPr>
              <w:t>)</w:t>
            </w:r>
          </w:p>
          <w:p w14:paraId="454E918A" w14:textId="77777777" w:rsidR="003C6FE1" w:rsidRPr="003D6D79" w:rsidRDefault="003C6FE1" w:rsidP="003F3E85">
            <w:pPr>
              <w:pStyle w:val="TableText"/>
            </w:pPr>
          </w:p>
        </w:tc>
        <w:tc>
          <w:tcPr>
            <w:tcW w:w="1134" w:type="dxa"/>
          </w:tcPr>
          <w:p w14:paraId="72322E13" w14:textId="77777777" w:rsidR="003C6FE1" w:rsidRDefault="003C6FE1" w:rsidP="003F3E85">
            <w:pPr>
              <w:pStyle w:val="TableText"/>
            </w:pPr>
            <w:r>
              <w:t>Rare</w:t>
            </w:r>
          </w:p>
        </w:tc>
        <w:tc>
          <w:tcPr>
            <w:tcW w:w="1418" w:type="dxa"/>
          </w:tcPr>
          <w:p w14:paraId="0A1E9208" w14:textId="77777777" w:rsidR="003C6FE1" w:rsidRDefault="003C6FE1" w:rsidP="003F3E85">
            <w:pPr>
              <w:pStyle w:val="TableText"/>
            </w:pPr>
            <w:r>
              <w:t>Minor</w:t>
            </w:r>
          </w:p>
        </w:tc>
        <w:tc>
          <w:tcPr>
            <w:tcW w:w="1134" w:type="dxa"/>
            <w:shd w:val="clear" w:color="auto" w:fill="92D050"/>
          </w:tcPr>
          <w:p w14:paraId="51D4EB96" w14:textId="77777777" w:rsidR="003C6FE1" w:rsidRDefault="003C6FE1" w:rsidP="003F3E85">
            <w:pPr>
              <w:pStyle w:val="TableText"/>
            </w:pPr>
            <w:r>
              <w:t>Low</w:t>
            </w:r>
          </w:p>
        </w:tc>
        <w:tc>
          <w:tcPr>
            <w:tcW w:w="2835" w:type="dxa"/>
          </w:tcPr>
          <w:p w14:paraId="705EB98C" w14:textId="35D75C7D" w:rsidR="003C6FE1" w:rsidRDefault="003C6FE1" w:rsidP="003F3E85">
            <w:pPr>
              <w:pStyle w:val="TableText"/>
              <w:rPr>
                <w:rFonts w:eastAsiaTheme="minorHAnsi"/>
                <w:szCs w:val="20"/>
                <w:lang w:val="en-US"/>
              </w:rPr>
            </w:pPr>
            <w:r>
              <w:t xml:space="preserve">Regular reporting mechanisms identified in </w:t>
            </w:r>
            <w:r>
              <w:rPr>
                <w:highlight w:val="yellow"/>
              </w:rPr>
              <w:fldChar w:fldCharType="begin"/>
            </w:r>
            <w:r>
              <w:instrText xml:space="preserve"> REF _Ref10213008 \h </w:instrText>
            </w:r>
            <w:r w:rsidR="00DC5B00">
              <w:rPr>
                <w:highlight w:val="yellow"/>
              </w:rPr>
              <w:instrText xml:space="preserve"> \* MERGEFORMAT </w:instrText>
            </w:r>
            <w:r>
              <w:rPr>
                <w:highlight w:val="yellow"/>
              </w:rPr>
            </w:r>
            <w:r>
              <w:rPr>
                <w:highlight w:val="yellow"/>
              </w:rPr>
              <w:fldChar w:fldCharType="separate"/>
            </w:r>
            <w:r w:rsidR="00DF49CD">
              <w:t xml:space="preserve">Table </w:t>
            </w:r>
            <w:r w:rsidR="00DF49CD">
              <w:rPr>
                <w:noProof/>
              </w:rPr>
              <w:t>9.1</w:t>
            </w:r>
            <w:r>
              <w:rPr>
                <w:highlight w:val="yellow"/>
              </w:rPr>
              <w:fldChar w:fldCharType="end"/>
            </w:r>
            <w:r>
              <w:t>.</w:t>
            </w:r>
          </w:p>
          <w:p w14:paraId="7D012AD0" w14:textId="77777777" w:rsidR="003C6FE1" w:rsidRDefault="003C6FE1" w:rsidP="003F3E85">
            <w:r w:rsidRPr="003D6D79">
              <w:rPr>
                <w:rFonts w:eastAsiaTheme="minorHAnsi"/>
                <w:sz w:val="20"/>
                <w:lang w:val="en-US"/>
              </w:rPr>
              <w:t>Regular communication between CEWO manager(s) and Project Leader to allow timeline adjustment for reporting due to unforeseen events.</w:t>
            </w:r>
          </w:p>
        </w:tc>
      </w:tr>
      <w:tr w:rsidR="003C6FE1" w:rsidRPr="00134BAD" w14:paraId="4E0FC93D" w14:textId="77777777" w:rsidTr="00DC5B00">
        <w:trPr>
          <w:cantSplit/>
        </w:trPr>
        <w:tc>
          <w:tcPr>
            <w:tcW w:w="2972" w:type="dxa"/>
          </w:tcPr>
          <w:p w14:paraId="60F10509" w14:textId="77777777" w:rsidR="003C6FE1" w:rsidRDefault="003C6FE1" w:rsidP="003F3E85">
            <w:pPr>
              <w:pStyle w:val="TableText"/>
            </w:pPr>
            <w:r>
              <w:t>No environmental watering events occur in any one year.</w:t>
            </w:r>
          </w:p>
        </w:tc>
        <w:tc>
          <w:tcPr>
            <w:tcW w:w="1134" w:type="dxa"/>
          </w:tcPr>
          <w:p w14:paraId="195B077C" w14:textId="77777777" w:rsidR="003C6FE1" w:rsidRDefault="003C6FE1" w:rsidP="003F3E85">
            <w:pPr>
              <w:pStyle w:val="TableText"/>
            </w:pPr>
            <w:r>
              <w:t>Rare</w:t>
            </w:r>
          </w:p>
        </w:tc>
        <w:tc>
          <w:tcPr>
            <w:tcW w:w="1418" w:type="dxa"/>
          </w:tcPr>
          <w:p w14:paraId="543AD206" w14:textId="77777777" w:rsidR="003C6FE1" w:rsidRDefault="003C6FE1" w:rsidP="003F3E85">
            <w:pPr>
              <w:pStyle w:val="TableText"/>
            </w:pPr>
            <w:r>
              <w:t>Moderate</w:t>
            </w:r>
          </w:p>
        </w:tc>
        <w:tc>
          <w:tcPr>
            <w:tcW w:w="1134" w:type="dxa"/>
            <w:shd w:val="clear" w:color="auto" w:fill="92D050"/>
          </w:tcPr>
          <w:p w14:paraId="6F980FEF" w14:textId="77777777" w:rsidR="003C6FE1" w:rsidRDefault="003C6FE1" w:rsidP="003F3E85">
            <w:pPr>
              <w:pStyle w:val="TableText"/>
            </w:pPr>
            <w:r>
              <w:t>Low</w:t>
            </w:r>
          </w:p>
        </w:tc>
        <w:tc>
          <w:tcPr>
            <w:tcW w:w="2835" w:type="dxa"/>
          </w:tcPr>
          <w:p w14:paraId="37A84946" w14:textId="77777777" w:rsidR="003C6FE1" w:rsidRDefault="003C6FE1" w:rsidP="003F3E85">
            <w:pPr>
              <w:pStyle w:val="TableText"/>
            </w:pPr>
            <w:r>
              <w:t>Clarify expectation and accept that monitoring results in any one year may not demonstrate an impact of environmental watering, but will still learn ecological response to flows to inform future environmental water and flow management.</w:t>
            </w:r>
          </w:p>
        </w:tc>
      </w:tr>
      <w:tr w:rsidR="003C6FE1" w:rsidRPr="00134BAD" w14:paraId="2AAF8352" w14:textId="77777777" w:rsidTr="00DC5B00">
        <w:trPr>
          <w:cantSplit/>
        </w:trPr>
        <w:tc>
          <w:tcPr>
            <w:tcW w:w="2972" w:type="dxa"/>
          </w:tcPr>
          <w:p w14:paraId="4EA7F596" w14:textId="77777777" w:rsidR="003C6FE1" w:rsidRDefault="003C6FE1" w:rsidP="003F3E85">
            <w:pPr>
              <w:pStyle w:val="TableText"/>
            </w:pPr>
            <w:r>
              <w:lastRenderedPageBreak/>
              <w:t>Failure of individual Task Leaders or project participants to deliver on their requirements.</w:t>
            </w:r>
          </w:p>
        </w:tc>
        <w:tc>
          <w:tcPr>
            <w:tcW w:w="1134" w:type="dxa"/>
          </w:tcPr>
          <w:p w14:paraId="1C855FD3" w14:textId="77777777" w:rsidR="003C6FE1" w:rsidRDefault="003C6FE1" w:rsidP="003F3E85">
            <w:pPr>
              <w:pStyle w:val="TableText"/>
            </w:pPr>
            <w:r>
              <w:t>Unlikely</w:t>
            </w:r>
          </w:p>
        </w:tc>
        <w:tc>
          <w:tcPr>
            <w:tcW w:w="1418" w:type="dxa"/>
          </w:tcPr>
          <w:p w14:paraId="43B9DD72" w14:textId="77777777" w:rsidR="003C6FE1" w:rsidRDefault="003C6FE1" w:rsidP="003F3E85">
            <w:pPr>
              <w:pStyle w:val="TableText"/>
            </w:pPr>
            <w:r>
              <w:t>Moderate</w:t>
            </w:r>
          </w:p>
        </w:tc>
        <w:tc>
          <w:tcPr>
            <w:tcW w:w="1134" w:type="dxa"/>
            <w:shd w:val="clear" w:color="auto" w:fill="FFFF00"/>
          </w:tcPr>
          <w:p w14:paraId="4C71364E" w14:textId="77777777" w:rsidR="003C6FE1" w:rsidRDefault="003C6FE1" w:rsidP="003F3E85">
            <w:pPr>
              <w:pStyle w:val="TableText"/>
            </w:pPr>
            <w:r>
              <w:t>Moderate</w:t>
            </w:r>
          </w:p>
        </w:tc>
        <w:tc>
          <w:tcPr>
            <w:tcW w:w="2835" w:type="dxa"/>
          </w:tcPr>
          <w:p w14:paraId="2E3D2AA6" w14:textId="77777777" w:rsidR="003C6FE1" w:rsidRDefault="003C6FE1" w:rsidP="003F3E85">
            <w:pPr>
              <w:pStyle w:val="TableText"/>
            </w:pPr>
            <w:r>
              <w:t>Sub-contracts include a clause linking payments to delivery of milestones.</w:t>
            </w:r>
          </w:p>
          <w:p w14:paraId="7B99F3C0" w14:textId="6F50F1FC" w:rsidR="003C6FE1" w:rsidRDefault="003C6FE1" w:rsidP="003F3E85">
            <w:pPr>
              <w:pStyle w:val="TableText"/>
            </w:pPr>
            <w:r>
              <w:t xml:space="preserve">Reporting outlined in </w:t>
            </w:r>
            <w:r>
              <w:fldChar w:fldCharType="begin"/>
            </w:r>
            <w:r>
              <w:instrText xml:space="preserve"> REF _Ref10213008 \h </w:instrText>
            </w:r>
            <w:r w:rsidR="00DC5B00">
              <w:instrText xml:space="preserve"> \* MERGEFORMAT </w:instrText>
            </w:r>
            <w:r>
              <w:fldChar w:fldCharType="separate"/>
            </w:r>
            <w:r w:rsidR="00DF49CD">
              <w:t xml:space="preserve">Table </w:t>
            </w:r>
            <w:r w:rsidR="00DF49CD">
              <w:rPr>
                <w:noProof/>
              </w:rPr>
              <w:t>9.1</w:t>
            </w:r>
            <w:r>
              <w:fldChar w:fldCharType="end"/>
            </w:r>
            <w:r>
              <w:t>.</w:t>
            </w:r>
          </w:p>
          <w:p w14:paraId="5C28F799" w14:textId="77777777" w:rsidR="003C6FE1" w:rsidRDefault="003C6FE1" w:rsidP="003F3E85">
            <w:pPr>
              <w:pStyle w:val="TableText"/>
            </w:pPr>
            <w:r>
              <w:t xml:space="preserve">Regular communication between Project Leader and Task Leaders to review of project progress.  </w:t>
            </w:r>
          </w:p>
        </w:tc>
      </w:tr>
      <w:tr w:rsidR="003C6FE1" w:rsidRPr="00134BAD" w14:paraId="0B75C79D" w14:textId="77777777" w:rsidTr="00DC5B00">
        <w:trPr>
          <w:cantSplit/>
        </w:trPr>
        <w:tc>
          <w:tcPr>
            <w:tcW w:w="2972" w:type="dxa"/>
          </w:tcPr>
          <w:p w14:paraId="2A4DB95B" w14:textId="77777777" w:rsidR="003C6FE1" w:rsidRDefault="003C6FE1" w:rsidP="003F3E85">
            <w:pPr>
              <w:pStyle w:val="TableText"/>
            </w:pPr>
            <w:r>
              <w:t>Loss of key staff.</w:t>
            </w:r>
          </w:p>
        </w:tc>
        <w:tc>
          <w:tcPr>
            <w:tcW w:w="1134" w:type="dxa"/>
          </w:tcPr>
          <w:p w14:paraId="02CCA65D" w14:textId="77777777" w:rsidR="003C6FE1" w:rsidRDefault="003C6FE1" w:rsidP="003F3E85">
            <w:pPr>
              <w:pStyle w:val="TableText"/>
            </w:pPr>
            <w:r>
              <w:t>Unlikely</w:t>
            </w:r>
          </w:p>
        </w:tc>
        <w:tc>
          <w:tcPr>
            <w:tcW w:w="1418" w:type="dxa"/>
          </w:tcPr>
          <w:p w14:paraId="0016EA26" w14:textId="77777777" w:rsidR="003C6FE1" w:rsidRDefault="003C6FE1" w:rsidP="003F3E85">
            <w:pPr>
              <w:pStyle w:val="TableText"/>
            </w:pPr>
            <w:r>
              <w:t>Major</w:t>
            </w:r>
          </w:p>
        </w:tc>
        <w:tc>
          <w:tcPr>
            <w:tcW w:w="1134" w:type="dxa"/>
            <w:shd w:val="clear" w:color="auto" w:fill="FFFF00"/>
          </w:tcPr>
          <w:p w14:paraId="0A21554E" w14:textId="77777777" w:rsidR="003C6FE1" w:rsidRDefault="003C6FE1" w:rsidP="003F3E85">
            <w:pPr>
              <w:pStyle w:val="TableText"/>
            </w:pPr>
            <w:r>
              <w:t>Moderate</w:t>
            </w:r>
          </w:p>
        </w:tc>
        <w:tc>
          <w:tcPr>
            <w:tcW w:w="2835" w:type="dxa"/>
          </w:tcPr>
          <w:p w14:paraId="3BD23CDD" w14:textId="77777777" w:rsidR="003C6FE1" w:rsidRDefault="003C6FE1" w:rsidP="003F3E85">
            <w:pPr>
              <w:pStyle w:val="TableText"/>
            </w:pPr>
            <w:r>
              <w:t>Seek replacement from within the employing organisation. If a suitable individual cannot be found, seek an appropriate replacement from across the consortium partners, then externally.</w:t>
            </w:r>
          </w:p>
        </w:tc>
      </w:tr>
      <w:tr w:rsidR="003C6FE1" w:rsidRPr="00134BAD" w14:paraId="155EF51A" w14:textId="77777777" w:rsidTr="00661DFF">
        <w:trPr>
          <w:cantSplit/>
        </w:trPr>
        <w:tc>
          <w:tcPr>
            <w:tcW w:w="2972" w:type="dxa"/>
            <w:shd w:val="clear" w:color="auto" w:fill="D9D9D9" w:themeFill="background1" w:themeFillShade="D9"/>
          </w:tcPr>
          <w:p w14:paraId="40777B3F" w14:textId="77777777" w:rsidR="003C6FE1" w:rsidRDefault="003C6FE1" w:rsidP="003F3E85">
            <w:pPr>
              <w:pStyle w:val="TableText"/>
            </w:pPr>
            <w:r>
              <w:t>Environmental Risks</w:t>
            </w:r>
          </w:p>
        </w:tc>
        <w:tc>
          <w:tcPr>
            <w:tcW w:w="1134" w:type="dxa"/>
            <w:shd w:val="clear" w:color="auto" w:fill="D9D9D9" w:themeFill="background1" w:themeFillShade="D9"/>
          </w:tcPr>
          <w:p w14:paraId="42BFF5FB" w14:textId="77777777" w:rsidR="003C6FE1" w:rsidRDefault="003C6FE1" w:rsidP="003F3E85">
            <w:pPr>
              <w:pStyle w:val="TableText"/>
            </w:pPr>
          </w:p>
        </w:tc>
        <w:tc>
          <w:tcPr>
            <w:tcW w:w="1418" w:type="dxa"/>
            <w:shd w:val="clear" w:color="auto" w:fill="D9D9D9" w:themeFill="background1" w:themeFillShade="D9"/>
          </w:tcPr>
          <w:p w14:paraId="594C6CB5" w14:textId="77777777" w:rsidR="003C6FE1" w:rsidRDefault="003C6FE1" w:rsidP="003F3E85">
            <w:pPr>
              <w:pStyle w:val="TableText"/>
            </w:pPr>
          </w:p>
        </w:tc>
        <w:tc>
          <w:tcPr>
            <w:tcW w:w="1134" w:type="dxa"/>
            <w:shd w:val="clear" w:color="auto" w:fill="D9D9D9" w:themeFill="background1" w:themeFillShade="D9"/>
          </w:tcPr>
          <w:p w14:paraId="63F34361" w14:textId="77777777" w:rsidR="003C6FE1" w:rsidRDefault="003C6FE1" w:rsidP="003F3E85">
            <w:pPr>
              <w:pStyle w:val="TableText"/>
            </w:pPr>
          </w:p>
        </w:tc>
        <w:tc>
          <w:tcPr>
            <w:tcW w:w="2835" w:type="dxa"/>
            <w:shd w:val="clear" w:color="auto" w:fill="D9D9D9" w:themeFill="background1" w:themeFillShade="D9"/>
          </w:tcPr>
          <w:p w14:paraId="066CC219" w14:textId="77777777" w:rsidR="003C6FE1" w:rsidRDefault="003C6FE1" w:rsidP="003F3E85">
            <w:pPr>
              <w:pStyle w:val="TableText"/>
            </w:pPr>
          </w:p>
        </w:tc>
      </w:tr>
      <w:tr w:rsidR="003C6FE1" w:rsidRPr="00134BAD" w14:paraId="0F213419" w14:textId="77777777" w:rsidTr="00DC5B00">
        <w:trPr>
          <w:cantSplit/>
        </w:trPr>
        <w:tc>
          <w:tcPr>
            <w:tcW w:w="2972" w:type="dxa"/>
          </w:tcPr>
          <w:p w14:paraId="76EDACE0" w14:textId="77777777" w:rsidR="003C6FE1" w:rsidRDefault="003C6FE1" w:rsidP="003F3E85">
            <w:pPr>
              <w:pStyle w:val="TableText"/>
            </w:pPr>
            <w:r>
              <w:t>Damage to environmental assets from field or laboratory work.</w:t>
            </w:r>
          </w:p>
        </w:tc>
        <w:tc>
          <w:tcPr>
            <w:tcW w:w="1134" w:type="dxa"/>
          </w:tcPr>
          <w:p w14:paraId="170E03B1" w14:textId="77777777" w:rsidR="003C6FE1" w:rsidRDefault="003C6FE1" w:rsidP="003F3E85">
            <w:pPr>
              <w:pStyle w:val="TableText"/>
            </w:pPr>
            <w:r>
              <w:t>Rare</w:t>
            </w:r>
          </w:p>
        </w:tc>
        <w:tc>
          <w:tcPr>
            <w:tcW w:w="1418" w:type="dxa"/>
          </w:tcPr>
          <w:p w14:paraId="0FB04996" w14:textId="77777777" w:rsidR="003C6FE1" w:rsidRDefault="003C6FE1" w:rsidP="003F3E85">
            <w:pPr>
              <w:pStyle w:val="TableText"/>
            </w:pPr>
            <w:r>
              <w:t>Major</w:t>
            </w:r>
          </w:p>
        </w:tc>
        <w:tc>
          <w:tcPr>
            <w:tcW w:w="1134" w:type="dxa"/>
            <w:shd w:val="clear" w:color="auto" w:fill="FFFF00"/>
          </w:tcPr>
          <w:p w14:paraId="7903C060" w14:textId="77777777" w:rsidR="003C6FE1" w:rsidRDefault="003C6FE1" w:rsidP="003F3E85">
            <w:pPr>
              <w:pStyle w:val="TableText"/>
            </w:pPr>
            <w:r>
              <w:t>Moderate</w:t>
            </w:r>
          </w:p>
        </w:tc>
        <w:tc>
          <w:tcPr>
            <w:tcW w:w="2835" w:type="dxa"/>
          </w:tcPr>
          <w:p w14:paraId="1FF82E9E" w14:textId="77777777" w:rsidR="003C6FE1" w:rsidRPr="00F02673" w:rsidRDefault="003C6FE1" w:rsidP="003F3E85">
            <w:pPr>
              <w:pStyle w:val="TableText"/>
            </w:pPr>
            <w:r>
              <w:t>Seek environmental approvals for any field or laboratory work that may put environmental assets at risk.</w:t>
            </w:r>
          </w:p>
        </w:tc>
      </w:tr>
      <w:tr w:rsidR="003C6FE1" w:rsidRPr="00134BAD" w14:paraId="6CA1005B" w14:textId="77777777" w:rsidTr="00661DFF">
        <w:trPr>
          <w:cantSplit/>
        </w:trPr>
        <w:tc>
          <w:tcPr>
            <w:tcW w:w="2972" w:type="dxa"/>
            <w:shd w:val="clear" w:color="auto" w:fill="D9D9D9" w:themeFill="background1" w:themeFillShade="D9"/>
          </w:tcPr>
          <w:p w14:paraId="07D86E9D" w14:textId="77777777" w:rsidR="003C6FE1" w:rsidRDefault="003C6FE1" w:rsidP="003F3E85">
            <w:pPr>
              <w:pStyle w:val="TableText"/>
            </w:pPr>
            <w:r>
              <w:t>Health and Safety Risks</w:t>
            </w:r>
          </w:p>
        </w:tc>
        <w:tc>
          <w:tcPr>
            <w:tcW w:w="1134" w:type="dxa"/>
            <w:shd w:val="clear" w:color="auto" w:fill="D9D9D9" w:themeFill="background1" w:themeFillShade="D9"/>
          </w:tcPr>
          <w:p w14:paraId="1518341C" w14:textId="77777777" w:rsidR="003C6FE1" w:rsidRDefault="003C6FE1" w:rsidP="003F3E85">
            <w:pPr>
              <w:pStyle w:val="TableText"/>
            </w:pPr>
          </w:p>
        </w:tc>
        <w:tc>
          <w:tcPr>
            <w:tcW w:w="1418" w:type="dxa"/>
            <w:shd w:val="clear" w:color="auto" w:fill="D9D9D9" w:themeFill="background1" w:themeFillShade="D9"/>
          </w:tcPr>
          <w:p w14:paraId="5C93DD0D" w14:textId="77777777" w:rsidR="003C6FE1" w:rsidRDefault="003C6FE1" w:rsidP="003F3E85">
            <w:pPr>
              <w:pStyle w:val="TableText"/>
            </w:pPr>
          </w:p>
        </w:tc>
        <w:tc>
          <w:tcPr>
            <w:tcW w:w="1134" w:type="dxa"/>
            <w:shd w:val="clear" w:color="auto" w:fill="D9D9D9" w:themeFill="background1" w:themeFillShade="D9"/>
          </w:tcPr>
          <w:p w14:paraId="2F94357C" w14:textId="77777777" w:rsidR="003C6FE1" w:rsidRDefault="003C6FE1" w:rsidP="003F3E85">
            <w:pPr>
              <w:pStyle w:val="TableText"/>
            </w:pPr>
          </w:p>
        </w:tc>
        <w:tc>
          <w:tcPr>
            <w:tcW w:w="2835" w:type="dxa"/>
            <w:shd w:val="clear" w:color="auto" w:fill="D9D9D9" w:themeFill="background1" w:themeFillShade="D9"/>
          </w:tcPr>
          <w:p w14:paraId="63D48FE4" w14:textId="77777777" w:rsidR="003C6FE1" w:rsidRDefault="003C6FE1" w:rsidP="003F3E85">
            <w:pPr>
              <w:pStyle w:val="TableText"/>
            </w:pPr>
          </w:p>
        </w:tc>
      </w:tr>
      <w:tr w:rsidR="003C6FE1" w:rsidRPr="00134BAD" w14:paraId="569238CD" w14:textId="77777777" w:rsidTr="00DC5B00">
        <w:trPr>
          <w:cantSplit/>
        </w:trPr>
        <w:tc>
          <w:tcPr>
            <w:tcW w:w="2972" w:type="dxa"/>
          </w:tcPr>
          <w:p w14:paraId="77979DCA" w14:textId="77777777" w:rsidR="003C6FE1" w:rsidRDefault="003C6FE1" w:rsidP="003F3E85">
            <w:pPr>
              <w:pStyle w:val="TableText"/>
            </w:pPr>
            <w:r>
              <w:t>Injury resulting from field or laboratory work.</w:t>
            </w:r>
          </w:p>
        </w:tc>
        <w:tc>
          <w:tcPr>
            <w:tcW w:w="1134" w:type="dxa"/>
          </w:tcPr>
          <w:p w14:paraId="0E8D3C9B" w14:textId="77777777" w:rsidR="003C6FE1" w:rsidRDefault="003C6FE1" w:rsidP="003F3E85">
            <w:pPr>
              <w:pStyle w:val="TableText"/>
            </w:pPr>
            <w:r>
              <w:t>Rare</w:t>
            </w:r>
          </w:p>
        </w:tc>
        <w:tc>
          <w:tcPr>
            <w:tcW w:w="1418" w:type="dxa"/>
          </w:tcPr>
          <w:p w14:paraId="5B5AC147" w14:textId="77777777" w:rsidR="003C6FE1" w:rsidRDefault="003C6FE1" w:rsidP="003F3E85">
            <w:pPr>
              <w:pStyle w:val="TableText"/>
            </w:pPr>
            <w:r>
              <w:t>Major</w:t>
            </w:r>
          </w:p>
        </w:tc>
        <w:tc>
          <w:tcPr>
            <w:tcW w:w="1134" w:type="dxa"/>
            <w:shd w:val="clear" w:color="auto" w:fill="FFFF00"/>
          </w:tcPr>
          <w:p w14:paraId="43B598C2" w14:textId="77777777" w:rsidR="003C6FE1" w:rsidRDefault="003C6FE1" w:rsidP="003F3E85">
            <w:pPr>
              <w:pStyle w:val="TableText"/>
            </w:pPr>
            <w:r>
              <w:t>Moderate</w:t>
            </w:r>
          </w:p>
        </w:tc>
        <w:tc>
          <w:tcPr>
            <w:tcW w:w="2835" w:type="dxa"/>
          </w:tcPr>
          <w:p w14:paraId="28B22DC2" w14:textId="77777777" w:rsidR="003C6FE1" w:rsidRDefault="003C6FE1" w:rsidP="003F3E85">
            <w:pPr>
              <w:pStyle w:val="TableText"/>
            </w:pPr>
            <w:r>
              <w:t>Staff are required to follow the health and safety rules and guidelines of their host organisation.</w:t>
            </w:r>
          </w:p>
        </w:tc>
      </w:tr>
      <w:tr w:rsidR="003C6FE1" w:rsidRPr="00134BAD" w14:paraId="3CF9435D" w14:textId="77777777" w:rsidTr="00661DFF">
        <w:trPr>
          <w:cantSplit/>
        </w:trPr>
        <w:tc>
          <w:tcPr>
            <w:tcW w:w="2972" w:type="dxa"/>
            <w:shd w:val="clear" w:color="auto" w:fill="D9D9D9" w:themeFill="background1" w:themeFillShade="D9"/>
          </w:tcPr>
          <w:p w14:paraId="4299FBB2" w14:textId="77777777" w:rsidR="003C6FE1" w:rsidRDefault="003C6FE1" w:rsidP="003F3E85">
            <w:pPr>
              <w:pStyle w:val="TableText"/>
            </w:pPr>
            <w:r>
              <w:t>Political Risks</w:t>
            </w:r>
          </w:p>
        </w:tc>
        <w:tc>
          <w:tcPr>
            <w:tcW w:w="1134" w:type="dxa"/>
            <w:shd w:val="clear" w:color="auto" w:fill="D9D9D9" w:themeFill="background1" w:themeFillShade="D9"/>
          </w:tcPr>
          <w:p w14:paraId="2859B2BC" w14:textId="77777777" w:rsidR="003C6FE1" w:rsidRDefault="003C6FE1" w:rsidP="003F3E85">
            <w:pPr>
              <w:pStyle w:val="TableText"/>
            </w:pPr>
          </w:p>
        </w:tc>
        <w:tc>
          <w:tcPr>
            <w:tcW w:w="1418" w:type="dxa"/>
            <w:shd w:val="clear" w:color="auto" w:fill="D9D9D9" w:themeFill="background1" w:themeFillShade="D9"/>
          </w:tcPr>
          <w:p w14:paraId="142A8C53" w14:textId="77777777" w:rsidR="003C6FE1" w:rsidRDefault="003C6FE1" w:rsidP="003F3E85">
            <w:pPr>
              <w:pStyle w:val="TableText"/>
            </w:pPr>
          </w:p>
        </w:tc>
        <w:tc>
          <w:tcPr>
            <w:tcW w:w="1134" w:type="dxa"/>
            <w:shd w:val="clear" w:color="auto" w:fill="D9D9D9" w:themeFill="background1" w:themeFillShade="D9"/>
          </w:tcPr>
          <w:p w14:paraId="3F55FE34" w14:textId="77777777" w:rsidR="003C6FE1" w:rsidRDefault="003C6FE1" w:rsidP="003F3E85">
            <w:pPr>
              <w:pStyle w:val="TableText"/>
            </w:pPr>
          </w:p>
        </w:tc>
        <w:tc>
          <w:tcPr>
            <w:tcW w:w="2835" w:type="dxa"/>
            <w:shd w:val="clear" w:color="auto" w:fill="D9D9D9" w:themeFill="background1" w:themeFillShade="D9"/>
          </w:tcPr>
          <w:p w14:paraId="6105F79E" w14:textId="77777777" w:rsidR="003C6FE1" w:rsidRDefault="003C6FE1" w:rsidP="003F3E85">
            <w:pPr>
              <w:pStyle w:val="TableText"/>
            </w:pPr>
          </w:p>
        </w:tc>
      </w:tr>
      <w:tr w:rsidR="003C6FE1" w:rsidRPr="00134BAD" w14:paraId="0F3E9142" w14:textId="77777777" w:rsidTr="00DC5B00">
        <w:trPr>
          <w:cantSplit/>
        </w:trPr>
        <w:tc>
          <w:tcPr>
            <w:tcW w:w="2972" w:type="dxa"/>
          </w:tcPr>
          <w:p w14:paraId="419A0DE4" w14:textId="4EAC77E6" w:rsidR="003C6FE1" w:rsidRDefault="003C6FE1" w:rsidP="003F3E85">
            <w:pPr>
              <w:pStyle w:val="TableText"/>
            </w:pPr>
            <w:r>
              <w:t>Evaluation does not adequately meet the objectives of the Federal and State Government.</w:t>
            </w:r>
          </w:p>
        </w:tc>
        <w:tc>
          <w:tcPr>
            <w:tcW w:w="1134" w:type="dxa"/>
          </w:tcPr>
          <w:p w14:paraId="4E13CC21" w14:textId="77777777" w:rsidR="003C6FE1" w:rsidRDefault="003C6FE1" w:rsidP="003F3E85">
            <w:pPr>
              <w:pStyle w:val="TableText"/>
            </w:pPr>
            <w:r>
              <w:t>Rare</w:t>
            </w:r>
          </w:p>
        </w:tc>
        <w:tc>
          <w:tcPr>
            <w:tcW w:w="1418" w:type="dxa"/>
          </w:tcPr>
          <w:p w14:paraId="688AE1D5" w14:textId="77777777" w:rsidR="003C6FE1" w:rsidRDefault="003C6FE1" w:rsidP="003F3E85">
            <w:pPr>
              <w:pStyle w:val="TableText"/>
            </w:pPr>
            <w:r>
              <w:t>Major</w:t>
            </w:r>
          </w:p>
        </w:tc>
        <w:tc>
          <w:tcPr>
            <w:tcW w:w="1134" w:type="dxa"/>
            <w:shd w:val="clear" w:color="auto" w:fill="FFFF00"/>
          </w:tcPr>
          <w:p w14:paraId="33068C09" w14:textId="77777777" w:rsidR="003C6FE1" w:rsidRPr="00B33976" w:rsidRDefault="003C6FE1" w:rsidP="003F3E85">
            <w:pPr>
              <w:pStyle w:val="TableText"/>
              <w:rPr>
                <w:highlight w:val="yellow"/>
              </w:rPr>
            </w:pPr>
            <w:r>
              <w:t>Moderate</w:t>
            </w:r>
          </w:p>
        </w:tc>
        <w:tc>
          <w:tcPr>
            <w:tcW w:w="2835" w:type="dxa"/>
          </w:tcPr>
          <w:p w14:paraId="1D36FF14" w14:textId="6DD104AF" w:rsidR="003C6FE1" w:rsidRPr="00EF551F" w:rsidRDefault="003C6FE1" w:rsidP="003F3E85">
            <w:pPr>
              <w:pStyle w:val="TableText"/>
            </w:pPr>
            <w:r w:rsidRPr="00EF551F">
              <w:t>Key agencies are represented on t</w:t>
            </w:r>
            <w:r>
              <w:t>he Selected Area Working group (</w:t>
            </w:r>
            <w:r>
              <w:fldChar w:fldCharType="begin"/>
            </w:r>
            <w:r>
              <w:instrText xml:space="preserve"> REF _Ref10205628 \h </w:instrText>
            </w:r>
            <w:r>
              <w:fldChar w:fldCharType="separate"/>
            </w:r>
            <w:r w:rsidR="00DF49CD">
              <w:t xml:space="preserve">Table </w:t>
            </w:r>
            <w:r w:rsidR="00DF49CD">
              <w:rPr>
                <w:noProof/>
              </w:rPr>
              <w:t>8</w:t>
            </w:r>
            <w:r w:rsidR="00DF49CD">
              <w:t>.</w:t>
            </w:r>
            <w:r w:rsidR="00DF49CD">
              <w:rPr>
                <w:noProof/>
              </w:rPr>
              <w:t>6</w:t>
            </w:r>
            <w:r>
              <w:fldChar w:fldCharType="end"/>
            </w:r>
            <w:r>
              <w:t>).</w:t>
            </w:r>
          </w:p>
          <w:p w14:paraId="61E45285" w14:textId="57EC9FA7" w:rsidR="003C6FE1" w:rsidRPr="00B33976" w:rsidRDefault="003C6FE1" w:rsidP="003F3E85">
            <w:pPr>
              <w:pStyle w:val="TableText"/>
              <w:rPr>
                <w:highlight w:val="yellow"/>
              </w:rPr>
            </w:pPr>
            <w:r w:rsidRPr="00EF551F">
              <w:t xml:space="preserve">Regular communication and reporting, </w:t>
            </w:r>
            <w:r w:rsidRPr="007217DC">
              <w:t xml:space="preserve">see </w:t>
            </w:r>
            <w:r>
              <w:fldChar w:fldCharType="begin"/>
            </w:r>
            <w:r>
              <w:instrText xml:space="preserve"> REF _Ref381086260 \h </w:instrText>
            </w:r>
            <w:r>
              <w:fldChar w:fldCharType="separate"/>
            </w:r>
            <w:r w:rsidR="00DF49CD">
              <w:t xml:space="preserve">Table </w:t>
            </w:r>
            <w:r w:rsidR="00DF49CD">
              <w:rPr>
                <w:noProof/>
              </w:rPr>
              <w:t>8</w:t>
            </w:r>
            <w:r w:rsidR="00DF49CD">
              <w:t>.</w:t>
            </w:r>
            <w:r w:rsidR="00DF49CD">
              <w:rPr>
                <w:noProof/>
              </w:rPr>
              <w:t>4</w:t>
            </w:r>
            <w:r>
              <w:fldChar w:fldCharType="end"/>
            </w:r>
            <w:r>
              <w:t xml:space="preserve"> and </w:t>
            </w:r>
            <w:r>
              <w:fldChar w:fldCharType="begin"/>
            </w:r>
            <w:r>
              <w:instrText xml:space="preserve"> REF _Ref10213008 \h </w:instrText>
            </w:r>
            <w:r>
              <w:fldChar w:fldCharType="separate"/>
            </w:r>
            <w:r w:rsidR="00DF49CD">
              <w:t xml:space="preserve">Table </w:t>
            </w:r>
            <w:r w:rsidR="00DF49CD">
              <w:rPr>
                <w:noProof/>
              </w:rPr>
              <w:t>9</w:t>
            </w:r>
            <w:r w:rsidR="00DF49CD">
              <w:t>.</w:t>
            </w:r>
            <w:r w:rsidR="00DF49CD">
              <w:rPr>
                <w:noProof/>
              </w:rPr>
              <w:t>1</w:t>
            </w:r>
            <w:r>
              <w:fldChar w:fldCharType="end"/>
            </w:r>
            <w:r w:rsidRPr="007217DC">
              <w:t>.</w:t>
            </w:r>
          </w:p>
        </w:tc>
      </w:tr>
      <w:tr w:rsidR="003C6FE1" w:rsidRPr="00134BAD" w14:paraId="1BAFACA8" w14:textId="77777777" w:rsidTr="00DC5B00">
        <w:trPr>
          <w:cantSplit/>
        </w:trPr>
        <w:tc>
          <w:tcPr>
            <w:tcW w:w="2972" w:type="dxa"/>
          </w:tcPr>
          <w:p w14:paraId="6E575BC1" w14:textId="77777777" w:rsidR="003C6FE1" w:rsidRDefault="003C6FE1" w:rsidP="003F3E85">
            <w:pPr>
              <w:pStyle w:val="TableText"/>
            </w:pPr>
            <w:r>
              <w:t>Criticism of methodology by scientists not involved in project delivery.</w:t>
            </w:r>
          </w:p>
        </w:tc>
        <w:tc>
          <w:tcPr>
            <w:tcW w:w="1134" w:type="dxa"/>
          </w:tcPr>
          <w:p w14:paraId="2867DF98" w14:textId="77777777" w:rsidR="003C6FE1" w:rsidRDefault="003C6FE1" w:rsidP="003F3E85">
            <w:pPr>
              <w:pStyle w:val="TableText"/>
            </w:pPr>
            <w:r>
              <w:t>Rare</w:t>
            </w:r>
          </w:p>
        </w:tc>
        <w:tc>
          <w:tcPr>
            <w:tcW w:w="1418" w:type="dxa"/>
          </w:tcPr>
          <w:p w14:paraId="33F99406" w14:textId="556A7C52" w:rsidR="003C6FE1" w:rsidRDefault="003C6FE1" w:rsidP="003F3E85">
            <w:pPr>
              <w:pStyle w:val="TableText"/>
            </w:pPr>
            <w:r>
              <w:t>Moderate</w:t>
            </w:r>
          </w:p>
        </w:tc>
        <w:tc>
          <w:tcPr>
            <w:tcW w:w="1134" w:type="dxa"/>
            <w:shd w:val="clear" w:color="auto" w:fill="92D050"/>
          </w:tcPr>
          <w:p w14:paraId="08B080CD" w14:textId="355F7D8A" w:rsidR="003C6FE1" w:rsidRDefault="003C6FE1" w:rsidP="003F3E85">
            <w:pPr>
              <w:pStyle w:val="TableText"/>
            </w:pPr>
            <w:r>
              <w:t>Low</w:t>
            </w:r>
          </w:p>
        </w:tc>
        <w:tc>
          <w:tcPr>
            <w:tcW w:w="2835" w:type="dxa"/>
          </w:tcPr>
          <w:p w14:paraId="7649EB0C" w14:textId="77777777" w:rsidR="003C6FE1" w:rsidRDefault="003C6FE1" w:rsidP="003F3E85">
            <w:pPr>
              <w:pStyle w:val="TableText"/>
              <w:rPr>
                <w:color w:val="auto"/>
              </w:rPr>
            </w:pPr>
            <w:r>
              <w:rPr>
                <w:color w:val="auto"/>
              </w:rPr>
              <w:t>Most of the methods have been tested in LTIM and other monitoring/research projects in the Lower Murray.</w:t>
            </w:r>
          </w:p>
          <w:p w14:paraId="0CCB1C81" w14:textId="77777777" w:rsidR="003C6FE1" w:rsidRDefault="003C6FE1" w:rsidP="003F3E85">
            <w:pPr>
              <w:pStyle w:val="TableText"/>
            </w:pPr>
            <w:r>
              <w:rPr>
                <w:color w:val="auto"/>
              </w:rPr>
              <w:t>Implement publication review process.</w:t>
            </w:r>
          </w:p>
          <w:p w14:paraId="67113F20" w14:textId="77777777" w:rsidR="003C6FE1" w:rsidRPr="00B33976" w:rsidRDefault="003C6FE1" w:rsidP="003F3E85">
            <w:pPr>
              <w:pStyle w:val="TableText"/>
            </w:pPr>
            <w:r>
              <w:t xml:space="preserve">Refer criticisms to CEWO and </w:t>
            </w:r>
            <w:r w:rsidRPr="00D60383">
              <w:t>MER</w:t>
            </w:r>
            <w:r>
              <w:t xml:space="preserve"> Basin-scale Provider.</w:t>
            </w:r>
          </w:p>
        </w:tc>
      </w:tr>
      <w:tr w:rsidR="003C6FE1" w:rsidRPr="00134BAD" w14:paraId="33865A07" w14:textId="77777777" w:rsidTr="00DC5B00">
        <w:trPr>
          <w:cantSplit/>
        </w:trPr>
        <w:tc>
          <w:tcPr>
            <w:tcW w:w="2972" w:type="dxa"/>
          </w:tcPr>
          <w:p w14:paraId="3D7F7070" w14:textId="77777777" w:rsidR="003C6FE1" w:rsidRDefault="003C6FE1" w:rsidP="003F3E85">
            <w:pPr>
              <w:pStyle w:val="TableText"/>
            </w:pPr>
            <w:r>
              <w:t xml:space="preserve">Media criticism of the investment made into the </w:t>
            </w:r>
            <w:r w:rsidRPr="00D60383">
              <w:t>MER</w:t>
            </w:r>
            <w:r>
              <w:t xml:space="preserve"> Project (too low or too high).</w:t>
            </w:r>
          </w:p>
        </w:tc>
        <w:tc>
          <w:tcPr>
            <w:tcW w:w="1134" w:type="dxa"/>
          </w:tcPr>
          <w:p w14:paraId="5D09567F" w14:textId="77777777" w:rsidR="003C6FE1" w:rsidRDefault="003C6FE1" w:rsidP="003F3E85">
            <w:pPr>
              <w:pStyle w:val="TableText"/>
            </w:pPr>
            <w:r>
              <w:t>Rare</w:t>
            </w:r>
          </w:p>
        </w:tc>
        <w:tc>
          <w:tcPr>
            <w:tcW w:w="1418" w:type="dxa"/>
          </w:tcPr>
          <w:p w14:paraId="4A482FDC" w14:textId="77777777" w:rsidR="003C6FE1" w:rsidRDefault="003C6FE1" w:rsidP="003F3E85">
            <w:pPr>
              <w:pStyle w:val="TableText"/>
            </w:pPr>
            <w:r>
              <w:t>Moderate</w:t>
            </w:r>
          </w:p>
        </w:tc>
        <w:tc>
          <w:tcPr>
            <w:tcW w:w="1134" w:type="dxa"/>
            <w:shd w:val="clear" w:color="auto" w:fill="92D050"/>
          </w:tcPr>
          <w:p w14:paraId="4E60F013" w14:textId="77777777" w:rsidR="003C6FE1" w:rsidRDefault="003C6FE1" w:rsidP="003F3E85">
            <w:pPr>
              <w:pStyle w:val="TableText"/>
            </w:pPr>
            <w:r>
              <w:t>Low</w:t>
            </w:r>
          </w:p>
        </w:tc>
        <w:tc>
          <w:tcPr>
            <w:tcW w:w="2835" w:type="dxa"/>
          </w:tcPr>
          <w:p w14:paraId="77E6EAFB" w14:textId="77777777" w:rsidR="003C6FE1" w:rsidRDefault="003C6FE1" w:rsidP="003F3E85">
            <w:pPr>
              <w:pStyle w:val="TableText"/>
            </w:pPr>
            <w:r>
              <w:t>Improve engagement and communication to demonstrate the purpose, value and outcomes of the project.</w:t>
            </w:r>
          </w:p>
          <w:p w14:paraId="70D19677" w14:textId="77777777" w:rsidR="003C6FE1" w:rsidRDefault="003C6FE1" w:rsidP="003F3E85">
            <w:pPr>
              <w:pStyle w:val="TableText"/>
            </w:pPr>
            <w:r>
              <w:t>Refer criticisms to CEWO.</w:t>
            </w:r>
          </w:p>
        </w:tc>
      </w:tr>
    </w:tbl>
    <w:p w14:paraId="1D4B5507" w14:textId="622FD9BC" w:rsidR="00D2564A" w:rsidRDefault="00D2564A" w:rsidP="00F02673"/>
    <w:p w14:paraId="60C0FA4E" w14:textId="77777777" w:rsidR="00D2564A" w:rsidRDefault="00D2564A">
      <w:pPr>
        <w:spacing w:after="200" w:line="276" w:lineRule="auto"/>
        <w:jc w:val="left"/>
      </w:pPr>
      <w:r>
        <w:br w:type="page"/>
      </w:r>
    </w:p>
    <w:p w14:paraId="6C85C051" w14:textId="04228143" w:rsidR="00D2564A" w:rsidRDefault="00D2564A" w:rsidP="00D2564A">
      <w:pPr>
        <w:pStyle w:val="Caption"/>
      </w:pPr>
      <w:bookmarkStart w:id="355" w:name="_Ref12023712"/>
      <w:bookmarkStart w:id="356" w:name="_Toc12630263"/>
      <w:r>
        <w:lastRenderedPageBreak/>
        <w:t xml:space="preserve">Table </w:t>
      </w:r>
      <w:r w:rsidR="00A8252A">
        <w:rPr>
          <w:noProof/>
        </w:rPr>
        <w:fldChar w:fldCharType="begin"/>
      </w:r>
      <w:r w:rsidR="00A8252A">
        <w:rPr>
          <w:noProof/>
        </w:rPr>
        <w:instrText xml:space="preserve"> STYLEREF 1 \s </w:instrText>
      </w:r>
      <w:r w:rsidR="00A8252A">
        <w:rPr>
          <w:noProof/>
        </w:rPr>
        <w:fldChar w:fldCharType="separate"/>
      </w:r>
      <w:r w:rsidR="00DF49CD">
        <w:rPr>
          <w:noProof/>
        </w:rPr>
        <w:t>10</w:t>
      </w:r>
      <w:r w:rsidR="00A8252A">
        <w:rPr>
          <w:noProof/>
        </w:rPr>
        <w:fldChar w:fldCharType="end"/>
      </w:r>
      <w:r w:rsidR="00F359A2">
        <w:t>.</w:t>
      </w:r>
      <w:r w:rsidR="00A8252A">
        <w:rPr>
          <w:noProof/>
        </w:rPr>
        <w:fldChar w:fldCharType="begin"/>
      </w:r>
      <w:r w:rsidR="00A8252A">
        <w:rPr>
          <w:noProof/>
        </w:rPr>
        <w:instrText xml:space="preserve"> SEQ Table \* ARABIC \s 1 </w:instrText>
      </w:r>
      <w:r w:rsidR="00A8252A">
        <w:rPr>
          <w:noProof/>
        </w:rPr>
        <w:fldChar w:fldCharType="separate"/>
      </w:r>
      <w:r w:rsidR="00DF49CD">
        <w:rPr>
          <w:noProof/>
        </w:rPr>
        <w:t>3</w:t>
      </w:r>
      <w:r w:rsidR="00A8252A">
        <w:rPr>
          <w:noProof/>
        </w:rPr>
        <w:fldChar w:fldCharType="end"/>
      </w:r>
      <w:bookmarkEnd w:id="355"/>
      <w:r>
        <w:t xml:space="preserve">. </w:t>
      </w:r>
      <w:r w:rsidR="00DC5B00">
        <w:t>Criteria</w:t>
      </w:r>
      <w:r>
        <w:t xml:space="preserve"> for assessing the </w:t>
      </w:r>
      <w:r w:rsidRPr="00D2564A">
        <w:t xml:space="preserve">risks for which the MER Provider for the Lower Murray Selected Area is fully or partly responsible </w:t>
      </w:r>
      <w:r>
        <w:t>for.</w:t>
      </w:r>
      <w:bookmarkEnd w:id="3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7262"/>
      </w:tblGrid>
      <w:tr w:rsidR="00DC5B00" w:rsidRPr="00BE5C55" w14:paraId="6BA0C3A6" w14:textId="389744D2" w:rsidTr="00DC5B00">
        <w:tc>
          <w:tcPr>
            <w:tcW w:w="5000" w:type="pct"/>
            <w:gridSpan w:val="2"/>
            <w:shd w:val="clear" w:color="auto" w:fill="D9D9D9" w:themeFill="background1" w:themeFillShade="D9"/>
          </w:tcPr>
          <w:p w14:paraId="2ED9911D" w14:textId="7F570D0A" w:rsidR="00DC5B00" w:rsidRPr="00BE5C55" w:rsidRDefault="00DC5B00" w:rsidP="00071ED8">
            <w:pPr>
              <w:pStyle w:val="NoSpacing"/>
              <w:spacing w:before="80" w:after="80"/>
              <w:rPr>
                <w:rFonts w:ascii="Arial Narrow" w:hAnsi="Arial Narrow"/>
                <w:sz w:val="18"/>
                <w:szCs w:val="18"/>
              </w:rPr>
            </w:pPr>
            <w:r w:rsidRPr="00BE5C55">
              <w:rPr>
                <w:rFonts w:ascii="Arial Narrow" w:hAnsi="Arial Narrow"/>
                <w:b/>
                <w:sz w:val="18"/>
                <w:szCs w:val="18"/>
              </w:rPr>
              <w:t>Likelihood</w:t>
            </w:r>
            <w:r>
              <w:rPr>
                <w:rFonts w:ascii="Arial Narrow" w:hAnsi="Arial Narrow"/>
                <w:b/>
                <w:sz w:val="18"/>
                <w:szCs w:val="18"/>
              </w:rPr>
              <w:t xml:space="preserve"> </w:t>
            </w:r>
          </w:p>
        </w:tc>
      </w:tr>
      <w:tr w:rsidR="00DC5B00" w:rsidRPr="00BE5C55" w14:paraId="34C88D93" w14:textId="62A3FBF3" w:rsidTr="00DC5B00">
        <w:tc>
          <w:tcPr>
            <w:tcW w:w="970" w:type="pct"/>
          </w:tcPr>
          <w:p w14:paraId="76A8AD73" w14:textId="77777777" w:rsidR="00DC5B00" w:rsidRPr="00BE5C55" w:rsidRDefault="00DC5B00" w:rsidP="00EB5197">
            <w:pPr>
              <w:spacing w:before="80" w:after="80"/>
              <w:rPr>
                <w:rFonts w:ascii="Arial Narrow" w:hAnsi="Arial Narrow"/>
                <w:b/>
                <w:sz w:val="18"/>
                <w:szCs w:val="18"/>
              </w:rPr>
            </w:pPr>
            <w:r w:rsidRPr="00BE5C55">
              <w:rPr>
                <w:rFonts w:ascii="Arial Narrow" w:hAnsi="Arial Narrow"/>
                <w:b/>
                <w:sz w:val="18"/>
                <w:szCs w:val="18"/>
              </w:rPr>
              <w:t>Almost Certain</w:t>
            </w:r>
          </w:p>
        </w:tc>
        <w:tc>
          <w:tcPr>
            <w:tcW w:w="4030" w:type="pct"/>
          </w:tcPr>
          <w:p w14:paraId="4013058B" w14:textId="77777777" w:rsidR="00DC5B00" w:rsidRPr="00BE5C55" w:rsidRDefault="00DC5B00" w:rsidP="00EB5197">
            <w:pPr>
              <w:spacing w:before="80" w:after="80"/>
              <w:rPr>
                <w:rFonts w:ascii="Arial Narrow" w:hAnsi="Arial Narrow"/>
                <w:sz w:val="18"/>
                <w:szCs w:val="18"/>
              </w:rPr>
            </w:pPr>
            <w:r w:rsidRPr="00BE5C55">
              <w:rPr>
                <w:rFonts w:ascii="Arial Narrow" w:hAnsi="Arial Narrow" w:cs="Arial"/>
                <w:bCs/>
                <w:sz w:val="18"/>
                <w:szCs w:val="18"/>
              </w:rPr>
              <w:t>Almost certain to occur in most circumstances.</w:t>
            </w:r>
          </w:p>
        </w:tc>
      </w:tr>
      <w:tr w:rsidR="00DC5B00" w:rsidRPr="00BE5C55" w14:paraId="16D6A7EC" w14:textId="14C7AFF1" w:rsidTr="00DC5B00">
        <w:tc>
          <w:tcPr>
            <w:tcW w:w="970" w:type="pct"/>
          </w:tcPr>
          <w:p w14:paraId="70186ECE" w14:textId="77777777" w:rsidR="00DC5B00" w:rsidRPr="00BE5C55" w:rsidRDefault="00DC5B00" w:rsidP="00EB5197">
            <w:pPr>
              <w:spacing w:before="80" w:after="80"/>
              <w:rPr>
                <w:rFonts w:ascii="Arial Narrow" w:hAnsi="Arial Narrow"/>
                <w:b/>
                <w:sz w:val="18"/>
                <w:szCs w:val="18"/>
              </w:rPr>
            </w:pPr>
            <w:r w:rsidRPr="00BE5C55">
              <w:rPr>
                <w:rFonts w:ascii="Arial Narrow" w:hAnsi="Arial Narrow"/>
                <w:b/>
                <w:sz w:val="18"/>
                <w:szCs w:val="18"/>
              </w:rPr>
              <w:t>Likely</w:t>
            </w:r>
          </w:p>
        </w:tc>
        <w:tc>
          <w:tcPr>
            <w:tcW w:w="4030" w:type="pct"/>
          </w:tcPr>
          <w:p w14:paraId="745FB604" w14:textId="77777777" w:rsidR="00DC5B00" w:rsidRPr="00BE5C55" w:rsidRDefault="00DC5B00" w:rsidP="00EB5197">
            <w:pPr>
              <w:spacing w:before="80" w:after="80"/>
              <w:rPr>
                <w:rFonts w:ascii="Arial Narrow" w:hAnsi="Arial Narrow"/>
                <w:sz w:val="18"/>
                <w:szCs w:val="18"/>
              </w:rPr>
            </w:pPr>
            <w:r w:rsidRPr="00BE5C55">
              <w:rPr>
                <w:rFonts w:ascii="Arial Narrow" w:hAnsi="Arial Narrow" w:cs="Arial"/>
                <w:bCs/>
                <w:sz w:val="18"/>
                <w:szCs w:val="18"/>
              </w:rPr>
              <w:t>Is likely to occur in most circumstances.</w:t>
            </w:r>
          </w:p>
        </w:tc>
      </w:tr>
      <w:tr w:rsidR="00DC5B00" w:rsidRPr="00BE5C55" w14:paraId="4FF1508E" w14:textId="0C886727" w:rsidTr="00DC5B00">
        <w:tc>
          <w:tcPr>
            <w:tcW w:w="970" w:type="pct"/>
          </w:tcPr>
          <w:p w14:paraId="00FEB132" w14:textId="77777777" w:rsidR="00DC5B00" w:rsidRPr="00BE5C55" w:rsidRDefault="00DC5B00" w:rsidP="00EB5197">
            <w:pPr>
              <w:spacing w:before="80" w:after="80"/>
              <w:rPr>
                <w:rFonts w:ascii="Arial Narrow" w:hAnsi="Arial Narrow"/>
                <w:b/>
                <w:sz w:val="18"/>
                <w:szCs w:val="18"/>
              </w:rPr>
            </w:pPr>
            <w:r w:rsidRPr="00BE5C55">
              <w:rPr>
                <w:rFonts w:ascii="Arial Narrow" w:hAnsi="Arial Narrow"/>
                <w:b/>
                <w:sz w:val="18"/>
                <w:szCs w:val="18"/>
              </w:rPr>
              <w:t>Possible</w:t>
            </w:r>
          </w:p>
        </w:tc>
        <w:tc>
          <w:tcPr>
            <w:tcW w:w="4030" w:type="pct"/>
          </w:tcPr>
          <w:p w14:paraId="45E07B91" w14:textId="77777777" w:rsidR="00DC5B00" w:rsidRPr="00BE5C55" w:rsidRDefault="00DC5B00" w:rsidP="00EB5197">
            <w:pPr>
              <w:spacing w:before="80" w:after="80"/>
              <w:rPr>
                <w:rFonts w:ascii="Arial Narrow" w:hAnsi="Arial Narrow"/>
                <w:sz w:val="18"/>
                <w:szCs w:val="18"/>
              </w:rPr>
            </w:pPr>
            <w:r w:rsidRPr="00BE5C55">
              <w:rPr>
                <w:rFonts w:ascii="Arial Narrow" w:hAnsi="Arial Narrow" w:cs="Arial"/>
                <w:bCs/>
                <w:sz w:val="18"/>
                <w:szCs w:val="18"/>
              </w:rPr>
              <w:t>Possible to occur in most circumstances.</w:t>
            </w:r>
          </w:p>
        </w:tc>
      </w:tr>
      <w:tr w:rsidR="00DC5B00" w:rsidRPr="00BE5C55" w14:paraId="20A69763" w14:textId="16E6FB43" w:rsidTr="00DC5B00">
        <w:tc>
          <w:tcPr>
            <w:tcW w:w="970" w:type="pct"/>
          </w:tcPr>
          <w:p w14:paraId="5E6279BB" w14:textId="77777777" w:rsidR="00DC5B00" w:rsidRPr="00BE5C55" w:rsidRDefault="00DC5B00" w:rsidP="00EB5197">
            <w:pPr>
              <w:spacing w:before="80" w:after="80"/>
              <w:rPr>
                <w:rFonts w:ascii="Arial Narrow" w:hAnsi="Arial Narrow"/>
                <w:b/>
                <w:sz w:val="18"/>
                <w:szCs w:val="18"/>
              </w:rPr>
            </w:pPr>
            <w:r w:rsidRPr="00BE5C55">
              <w:rPr>
                <w:rFonts w:ascii="Arial Narrow" w:hAnsi="Arial Narrow"/>
                <w:b/>
                <w:sz w:val="18"/>
                <w:szCs w:val="18"/>
              </w:rPr>
              <w:t>Unlikely</w:t>
            </w:r>
          </w:p>
        </w:tc>
        <w:tc>
          <w:tcPr>
            <w:tcW w:w="4030" w:type="pct"/>
          </w:tcPr>
          <w:p w14:paraId="02E4DAB2" w14:textId="77777777" w:rsidR="00DC5B00" w:rsidRPr="00BE5C55" w:rsidRDefault="00DC5B00" w:rsidP="00EB5197">
            <w:pPr>
              <w:spacing w:before="80" w:after="80"/>
              <w:rPr>
                <w:rFonts w:ascii="Arial Narrow" w:hAnsi="Arial Narrow"/>
                <w:sz w:val="18"/>
                <w:szCs w:val="18"/>
              </w:rPr>
            </w:pPr>
            <w:r w:rsidRPr="00BE5C55">
              <w:rPr>
                <w:rFonts w:ascii="Arial Narrow" w:hAnsi="Arial Narrow" w:cs="Arial"/>
                <w:bCs/>
                <w:sz w:val="18"/>
                <w:szCs w:val="18"/>
              </w:rPr>
              <w:t>Unlikely to occur in most circumstances.</w:t>
            </w:r>
          </w:p>
        </w:tc>
      </w:tr>
      <w:tr w:rsidR="00DC5B00" w:rsidRPr="00BE5C55" w14:paraId="23D62A09" w14:textId="1A85BB55" w:rsidTr="00DC5B00">
        <w:tc>
          <w:tcPr>
            <w:tcW w:w="970" w:type="pct"/>
          </w:tcPr>
          <w:p w14:paraId="29969CCC" w14:textId="77777777" w:rsidR="00DC5B00" w:rsidRPr="00BE5C55" w:rsidRDefault="00DC5B00" w:rsidP="00EB5197">
            <w:pPr>
              <w:spacing w:before="80" w:after="80"/>
              <w:rPr>
                <w:rFonts w:ascii="Arial Narrow" w:hAnsi="Arial Narrow"/>
                <w:b/>
                <w:sz w:val="18"/>
                <w:szCs w:val="18"/>
              </w:rPr>
            </w:pPr>
            <w:r w:rsidRPr="00BE5C55">
              <w:rPr>
                <w:rFonts w:ascii="Arial Narrow" w:hAnsi="Arial Narrow"/>
                <w:b/>
                <w:sz w:val="18"/>
                <w:szCs w:val="18"/>
              </w:rPr>
              <w:t>Rare</w:t>
            </w:r>
          </w:p>
        </w:tc>
        <w:tc>
          <w:tcPr>
            <w:tcW w:w="4030" w:type="pct"/>
          </w:tcPr>
          <w:p w14:paraId="1209FA5B" w14:textId="77777777" w:rsidR="00DC5B00" w:rsidRPr="00BE5C55" w:rsidRDefault="00DC5B00" w:rsidP="00EB5197">
            <w:pPr>
              <w:pStyle w:val="BalloonText"/>
              <w:spacing w:before="80" w:after="80"/>
              <w:rPr>
                <w:rFonts w:ascii="Arial Narrow" w:hAnsi="Arial Narrow" w:cs="Arial"/>
                <w:bCs/>
                <w:sz w:val="18"/>
                <w:szCs w:val="18"/>
              </w:rPr>
            </w:pPr>
            <w:r w:rsidRPr="00BE5C55">
              <w:rPr>
                <w:rFonts w:ascii="Arial Narrow" w:hAnsi="Arial Narrow" w:cs="Arial"/>
                <w:bCs/>
                <w:sz w:val="18"/>
                <w:szCs w:val="18"/>
              </w:rPr>
              <w:t>May occur but only in rare and exceptional circumstances.</w:t>
            </w:r>
          </w:p>
        </w:tc>
      </w:tr>
    </w:tbl>
    <w:p w14:paraId="61D1F7D9" w14:textId="77777777" w:rsidR="00D2564A" w:rsidRDefault="00D2564A" w:rsidP="00D2564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703"/>
        <w:gridCol w:w="1278"/>
        <w:gridCol w:w="1416"/>
        <w:gridCol w:w="1696"/>
        <w:gridCol w:w="1647"/>
      </w:tblGrid>
      <w:tr w:rsidR="00071ED8" w:rsidRPr="00EB5197" w14:paraId="23455ADA" w14:textId="77777777" w:rsidTr="00444691">
        <w:tc>
          <w:tcPr>
            <w:tcW w:w="705" w:type="pct"/>
            <w:vMerge w:val="restart"/>
            <w:shd w:val="clear" w:color="auto" w:fill="D9D9D9" w:themeFill="background1" w:themeFillShade="D9"/>
          </w:tcPr>
          <w:p w14:paraId="1B34CE92" w14:textId="688988EE" w:rsidR="00071ED8" w:rsidRPr="00EB5197" w:rsidRDefault="00071ED8" w:rsidP="00071ED8">
            <w:pPr>
              <w:spacing w:before="80" w:after="80"/>
              <w:rPr>
                <w:rFonts w:ascii="Arial Narrow" w:hAnsi="Arial Narrow" w:cs="Arial"/>
                <w:b/>
                <w:bCs/>
                <w:sz w:val="18"/>
                <w:szCs w:val="18"/>
              </w:rPr>
            </w:pPr>
            <w:r>
              <w:rPr>
                <w:rFonts w:ascii="Arial Narrow" w:hAnsi="Arial Narrow"/>
                <w:b/>
                <w:sz w:val="18"/>
                <w:szCs w:val="18"/>
              </w:rPr>
              <w:t>Consequence</w:t>
            </w:r>
          </w:p>
        </w:tc>
        <w:tc>
          <w:tcPr>
            <w:tcW w:w="4295" w:type="pct"/>
            <w:gridSpan w:val="5"/>
            <w:shd w:val="clear" w:color="auto" w:fill="D9D9D9" w:themeFill="background1" w:themeFillShade="D9"/>
          </w:tcPr>
          <w:p w14:paraId="53E56AF7" w14:textId="73989607" w:rsidR="00071ED8" w:rsidRPr="00071ED8" w:rsidRDefault="00071ED8" w:rsidP="00071ED8">
            <w:pPr>
              <w:spacing w:before="80" w:after="80"/>
              <w:jc w:val="center"/>
              <w:rPr>
                <w:rFonts w:ascii="Arial Narrow" w:hAnsi="Arial Narrow" w:cs="Arial"/>
                <w:b/>
                <w:bCs/>
                <w:sz w:val="18"/>
                <w:szCs w:val="18"/>
              </w:rPr>
            </w:pPr>
            <w:r w:rsidRPr="00071ED8">
              <w:rPr>
                <w:rFonts w:ascii="Arial Narrow" w:hAnsi="Arial Narrow" w:cs="Arial"/>
                <w:b/>
                <w:bCs/>
                <w:sz w:val="18"/>
                <w:szCs w:val="18"/>
              </w:rPr>
              <w:t>Risk</w:t>
            </w:r>
          </w:p>
        </w:tc>
      </w:tr>
      <w:tr w:rsidR="00C92086" w:rsidRPr="00EB5197" w14:paraId="021575E3" w14:textId="77777777" w:rsidTr="00127CDB">
        <w:tc>
          <w:tcPr>
            <w:tcW w:w="705" w:type="pct"/>
            <w:vMerge/>
            <w:shd w:val="clear" w:color="auto" w:fill="D9D9D9" w:themeFill="background1" w:themeFillShade="D9"/>
          </w:tcPr>
          <w:p w14:paraId="4FE766E9" w14:textId="77777777" w:rsidR="00071ED8" w:rsidRPr="00EB5197" w:rsidRDefault="00071ED8" w:rsidP="002A5892">
            <w:pPr>
              <w:spacing w:before="80" w:after="80"/>
              <w:rPr>
                <w:rFonts w:ascii="Arial Narrow" w:hAnsi="Arial Narrow"/>
                <w:b/>
                <w:sz w:val="18"/>
                <w:szCs w:val="18"/>
              </w:rPr>
            </w:pPr>
          </w:p>
        </w:tc>
        <w:tc>
          <w:tcPr>
            <w:tcW w:w="945" w:type="pct"/>
            <w:shd w:val="clear" w:color="auto" w:fill="D9D9D9" w:themeFill="background1" w:themeFillShade="D9"/>
          </w:tcPr>
          <w:p w14:paraId="7B63E5F6" w14:textId="4429CCA0" w:rsidR="00071ED8" w:rsidRPr="00071ED8" w:rsidRDefault="00071ED8" w:rsidP="002A5892">
            <w:pPr>
              <w:spacing w:before="80" w:after="80"/>
              <w:rPr>
                <w:rFonts w:ascii="Arial Narrow" w:hAnsi="Arial Narrow" w:cs="Arial"/>
                <w:bCs/>
                <w:sz w:val="18"/>
                <w:szCs w:val="18"/>
              </w:rPr>
            </w:pPr>
            <w:r w:rsidRPr="00071ED8">
              <w:rPr>
                <w:rFonts w:ascii="Arial Narrow" w:hAnsi="Arial Narrow" w:cs="Arial"/>
                <w:bCs/>
                <w:sz w:val="18"/>
                <w:szCs w:val="18"/>
              </w:rPr>
              <w:t>Communication</w:t>
            </w:r>
          </w:p>
        </w:tc>
        <w:tc>
          <w:tcPr>
            <w:tcW w:w="709" w:type="pct"/>
            <w:shd w:val="clear" w:color="auto" w:fill="D9D9D9" w:themeFill="background1" w:themeFillShade="D9"/>
          </w:tcPr>
          <w:p w14:paraId="427A0F18" w14:textId="6543FCA2" w:rsidR="00071ED8" w:rsidRPr="00071ED8" w:rsidRDefault="00071ED8" w:rsidP="002A5892">
            <w:pPr>
              <w:spacing w:before="80" w:after="80"/>
              <w:rPr>
                <w:rFonts w:ascii="Arial Narrow" w:hAnsi="Arial Narrow" w:cs="Arial"/>
                <w:bCs/>
                <w:sz w:val="18"/>
                <w:szCs w:val="18"/>
              </w:rPr>
            </w:pPr>
            <w:r w:rsidRPr="00071ED8">
              <w:rPr>
                <w:rFonts w:ascii="Arial Narrow" w:hAnsi="Arial Narrow" w:cs="Arial"/>
                <w:bCs/>
                <w:sz w:val="18"/>
                <w:szCs w:val="18"/>
              </w:rPr>
              <w:t>Project</w:t>
            </w:r>
          </w:p>
        </w:tc>
        <w:tc>
          <w:tcPr>
            <w:tcW w:w="786" w:type="pct"/>
            <w:shd w:val="clear" w:color="auto" w:fill="D9D9D9" w:themeFill="background1" w:themeFillShade="D9"/>
          </w:tcPr>
          <w:p w14:paraId="5FA1E7F4" w14:textId="7C3FCA49" w:rsidR="00071ED8" w:rsidRPr="00071ED8" w:rsidRDefault="00071ED8" w:rsidP="002A5892">
            <w:pPr>
              <w:spacing w:before="80" w:after="80"/>
              <w:rPr>
                <w:rFonts w:ascii="Arial Narrow" w:hAnsi="Arial Narrow" w:cs="Arial"/>
                <w:bCs/>
                <w:sz w:val="18"/>
                <w:szCs w:val="18"/>
              </w:rPr>
            </w:pPr>
            <w:r w:rsidRPr="00071ED8">
              <w:rPr>
                <w:rFonts w:ascii="Arial Narrow" w:hAnsi="Arial Narrow" w:cs="Arial"/>
                <w:bCs/>
                <w:sz w:val="18"/>
                <w:szCs w:val="18"/>
              </w:rPr>
              <w:t>Environmental</w:t>
            </w:r>
          </w:p>
        </w:tc>
        <w:tc>
          <w:tcPr>
            <w:tcW w:w="941" w:type="pct"/>
            <w:shd w:val="clear" w:color="auto" w:fill="D9D9D9" w:themeFill="background1" w:themeFillShade="D9"/>
          </w:tcPr>
          <w:p w14:paraId="614C6C7B" w14:textId="364040E4" w:rsidR="00071ED8" w:rsidRPr="00071ED8" w:rsidRDefault="00071ED8" w:rsidP="002A5892">
            <w:pPr>
              <w:spacing w:before="80" w:after="80"/>
              <w:rPr>
                <w:rFonts w:ascii="Arial Narrow" w:hAnsi="Arial Narrow" w:cs="Arial"/>
                <w:bCs/>
                <w:sz w:val="18"/>
                <w:szCs w:val="18"/>
              </w:rPr>
            </w:pPr>
            <w:r w:rsidRPr="00071ED8">
              <w:rPr>
                <w:rFonts w:ascii="Arial Narrow" w:hAnsi="Arial Narrow" w:cs="Arial"/>
                <w:bCs/>
                <w:sz w:val="18"/>
                <w:szCs w:val="18"/>
              </w:rPr>
              <w:t>Health and safety</w:t>
            </w:r>
          </w:p>
        </w:tc>
        <w:tc>
          <w:tcPr>
            <w:tcW w:w="915" w:type="pct"/>
            <w:shd w:val="clear" w:color="auto" w:fill="D9D9D9" w:themeFill="background1" w:themeFillShade="D9"/>
          </w:tcPr>
          <w:p w14:paraId="4BEA99A7" w14:textId="5A0633BB" w:rsidR="00071ED8" w:rsidRPr="00071ED8" w:rsidRDefault="00071ED8" w:rsidP="002A5892">
            <w:pPr>
              <w:spacing w:before="80" w:after="80"/>
              <w:rPr>
                <w:rFonts w:ascii="Arial Narrow" w:hAnsi="Arial Narrow" w:cs="Arial"/>
                <w:bCs/>
                <w:sz w:val="18"/>
                <w:szCs w:val="18"/>
              </w:rPr>
            </w:pPr>
            <w:r w:rsidRPr="00071ED8">
              <w:rPr>
                <w:rFonts w:ascii="Arial Narrow" w:hAnsi="Arial Narrow" w:cs="Arial"/>
                <w:bCs/>
                <w:sz w:val="18"/>
                <w:szCs w:val="18"/>
              </w:rPr>
              <w:t>Political</w:t>
            </w:r>
          </w:p>
        </w:tc>
      </w:tr>
      <w:tr w:rsidR="00C92086" w:rsidRPr="00EB5197" w14:paraId="2674B8E9" w14:textId="77777777" w:rsidTr="00127CDB">
        <w:tc>
          <w:tcPr>
            <w:tcW w:w="705" w:type="pct"/>
          </w:tcPr>
          <w:p w14:paraId="799BC0F8" w14:textId="4B2BE956" w:rsidR="002A5892" w:rsidRPr="00EB5197" w:rsidRDefault="002A5892" w:rsidP="002A5892">
            <w:pPr>
              <w:spacing w:before="80" w:after="80"/>
              <w:rPr>
                <w:rFonts w:ascii="Arial Narrow" w:hAnsi="Arial Narrow"/>
                <w:b/>
                <w:sz w:val="18"/>
                <w:szCs w:val="18"/>
              </w:rPr>
            </w:pPr>
            <w:r w:rsidRPr="00EB5197">
              <w:rPr>
                <w:rFonts w:ascii="Arial Narrow" w:hAnsi="Arial Narrow"/>
                <w:b/>
                <w:sz w:val="18"/>
                <w:szCs w:val="18"/>
              </w:rPr>
              <w:t>Critical</w:t>
            </w:r>
          </w:p>
        </w:tc>
        <w:tc>
          <w:tcPr>
            <w:tcW w:w="945" w:type="pct"/>
          </w:tcPr>
          <w:p w14:paraId="4974A26C" w14:textId="23D2C4FD" w:rsidR="002A5892" w:rsidRPr="00EB5197" w:rsidRDefault="00CA7037" w:rsidP="00CA7037">
            <w:pPr>
              <w:spacing w:before="80" w:after="80"/>
              <w:rPr>
                <w:rFonts w:ascii="Arial Narrow" w:hAnsi="Arial Narrow"/>
                <w:sz w:val="18"/>
                <w:szCs w:val="18"/>
              </w:rPr>
            </w:pPr>
            <w:r>
              <w:rPr>
                <w:rFonts w:ascii="Arial Narrow" w:hAnsi="Arial Narrow"/>
                <w:sz w:val="18"/>
                <w:szCs w:val="18"/>
              </w:rPr>
              <w:t>Complete l</w:t>
            </w:r>
            <w:r w:rsidR="0001547C">
              <w:rPr>
                <w:rFonts w:ascii="Arial Narrow" w:hAnsi="Arial Narrow"/>
                <w:sz w:val="18"/>
                <w:szCs w:val="18"/>
              </w:rPr>
              <w:t xml:space="preserve">ack of awareness </w:t>
            </w:r>
            <w:r>
              <w:rPr>
                <w:rFonts w:ascii="Arial Narrow" w:hAnsi="Arial Narrow"/>
                <w:sz w:val="18"/>
                <w:szCs w:val="18"/>
              </w:rPr>
              <w:t>and/</w:t>
            </w:r>
            <w:r w:rsidR="0001547C">
              <w:rPr>
                <w:rFonts w:ascii="Arial Narrow" w:hAnsi="Arial Narrow"/>
                <w:sz w:val="18"/>
                <w:szCs w:val="18"/>
              </w:rPr>
              <w:t>or support for the project and outcomes</w:t>
            </w:r>
            <w:r>
              <w:rPr>
                <w:rFonts w:ascii="Arial Narrow" w:hAnsi="Arial Narrow"/>
                <w:sz w:val="18"/>
                <w:szCs w:val="18"/>
              </w:rPr>
              <w:t xml:space="preserve">. No uptake </w:t>
            </w:r>
            <w:r w:rsidR="0001547C">
              <w:rPr>
                <w:rFonts w:ascii="Arial Narrow" w:hAnsi="Arial Narrow"/>
                <w:sz w:val="18"/>
                <w:szCs w:val="18"/>
              </w:rPr>
              <w:t xml:space="preserve">of </w:t>
            </w:r>
            <w:r>
              <w:rPr>
                <w:rFonts w:ascii="Arial Narrow" w:hAnsi="Arial Narrow"/>
                <w:sz w:val="18"/>
                <w:szCs w:val="18"/>
              </w:rPr>
              <w:t>project</w:t>
            </w:r>
            <w:r w:rsidR="0001547C">
              <w:rPr>
                <w:rFonts w:ascii="Arial Narrow" w:hAnsi="Arial Narrow"/>
                <w:sz w:val="18"/>
                <w:szCs w:val="18"/>
              </w:rPr>
              <w:t xml:space="preserve"> learnings</w:t>
            </w:r>
            <w:r>
              <w:rPr>
                <w:rFonts w:ascii="Arial Narrow" w:hAnsi="Arial Narrow"/>
                <w:sz w:val="18"/>
                <w:szCs w:val="18"/>
              </w:rPr>
              <w:t>.</w:t>
            </w:r>
          </w:p>
        </w:tc>
        <w:tc>
          <w:tcPr>
            <w:tcW w:w="709" w:type="pct"/>
          </w:tcPr>
          <w:p w14:paraId="2B2736BC" w14:textId="3A897B2E" w:rsidR="002A5892" w:rsidRPr="00EB5197" w:rsidRDefault="002A5892" w:rsidP="002A5892">
            <w:pPr>
              <w:spacing w:before="80" w:after="80"/>
              <w:rPr>
                <w:rFonts w:ascii="Arial Narrow" w:hAnsi="Arial Narrow"/>
                <w:sz w:val="18"/>
                <w:szCs w:val="18"/>
              </w:rPr>
            </w:pPr>
            <w:r w:rsidRPr="00EB5197">
              <w:rPr>
                <w:rFonts w:ascii="Arial Narrow" w:hAnsi="Arial Narrow"/>
                <w:sz w:val="18"/>
                <w:szCs w:val="18"/>
              </w:rPr>
              <w:t>Failure on the delivery of project objectives.</w:t>
            </w:r>
          </w:p>
        </w:tc>
        <w:tc>
          <w:tcPr>
            <w:tcW w:w="786" w:type="pct"/>
          </w:tcPr>
          <w:p w14:paraId="4FFA5704" w14:textId="22FB18F0" w:rsidR="002A5892" w:rsidRPr="00EB5197" w:rsidRDefault="006431CF" w:rsidP="002A5892">
            <w:pPr>
              <w:spacing w:before="80" w:after="80"/>
              <w:rPr>
                <w:rFonts w:ascii="Arial Narrow" w:hAnsi="Arial Narrow"/>
                <w:sz w:val="18"/>
                <w:szCs w:val="18"/>
              </w:rPr>
            </w:pPr>
            <w:r>
              <w:rPr>
                <w:rFonts w:ascii="Arial Narrow" w:hAnsi="Arial Narrow"/>
                <w:sz w:val="18"/>
                <w:szCs w:val="18"/>
              </w:rPr>
              <w:t>Long-term, irreversible damage to the environment.</w:t>
            </w:r>
          </w:p>
        </w:tc>
        <w:tc>
          <w:tcPr>
            <w:tcW w:w="941" w:type="pct"/>
          </w:tcPr>
          <w:p w14:paraId="5EA50807" w14:textId="1EC9D94A" w:rsidR="002A5892" w:rsidRPr="00EB5197" w:rsidRDefault="002A5892" w:rsidP="002A5892">
            <w:pPr>
              <w:spacing w:before="80" w:after="80"/>
              <w:rPr>
                <w:rFonts w:ascii="Arial Narrow" w:hAnsi="Arial Narrow"/>
                <w:sz w:val="18"/>
                <w:szCs w:val="18"/>
              </w:rPr>
            </w:pPr>
            <w:r w:rsidRPr="00BE5C55">
              <w:rPr>
                <w:rFonts w:ascii="Arial Narrow" w:hAnsi="Arial Narrow"/>
                <w:sz w:val="18"/>
                <w:szCs w:val="18"/>
              </w:rPr>
              <w:t>Fatality or irreversible severe disability or impairment, where a worker is unable to return to the workplace.</w:t>
            </w:r>
          </w:p>
        </w:tc>
        <w:tc>
          <w:tcPr>
            <w:tcW w:w="915" w:type="pct"/>
          </w:tcPr>
          <w:p w14:paraId="6746E965" w14:textId="090CB1C5" w:rsidR="002A5892" w:rsidRPr="00EB5197" w:rsidRDefault="00071ED8" w:rsidP="00071ED8">
            <w:pPr>
              <w:spacing w:before="80" w:after="80"/>
              <w:rPr>
                <w:rFonts w:ascii="Arial Narrow" w:hAnsi="Arial Narrow"/>
                <w:sz w:val="18"/>
                <w:szCs w:val="18"/>
              </w:rPr>
            </w:pPr>
            <w:r>
              <w:rPr>
                <w:rFonts w:ascii="Arial Narrow" w:hAnsi="Arial Narrow"/>
                <w:sz w:val="18"/>
                <w:szCs w:val="18"/>
              </w:rPr>
              <w:t>The project would cease due to political sensitivities or lack of credibility.</w:t>
            </w:r>
          </w:p>
        </w:tc>
      </w:tr>
      <w:tr w:rsidR="00C92086" w:rsidRPr="00EB5197" w14:paraId="06C06CAE" w14:textId="77777777" w:rsidTr="00127CDB">
        <w:tc>
          <w:tcPr>
            <w:tcW w:w="705" w:type="pct"/>
          </w:tcPr>
          <w:p w14:paraId="36BB1DDC" w14:textId="77777777" w:rsidR="002A5892" w:rsidRPr="00EB5197" w:rsidRDefault="002A5892" w:rsidP="002A5892">
            <w:pPr>
              <w:spacing w:before="80" w:after="80"/>
              <w:rPr>
                <w:rFonts w:ascii="Arial Narrow" w:hAnsi="Arial Narrow" w:cs="Arial"/>
                <w:b/>
                <w:bCs/>
                <w:sz w:val="18"/>
                <w:szCs w:val="18"/>
              </w:rPr>
            </w:pPr>
            <w:r w:rsidRPr="00EB5197">
              <w:rPr>
                <w:rFonts w:ascii="Arial Narrow" w:hAnsi="Arial Narrow"/>
                <w:b/>
                <w:sz w:val="18"/>
                <w:szCs w:val="18"/>
              </w:rPr>
              <w:t>Major</w:t>
            </w:r>
          </w:p>
        </w:tc>
        <w:tc>
          <w:tcPr>
            <w:tcW w:w="945" w:type="pct"/>
          </w:tcPr>
          <w:p w14:paraId="6A220171" w14:textId="29585C2B" w:rsidR="002A5892" w:rsidRPr="00EB5197" w:rsidRDefault="00C523D1" w:rsidP="00CA7037">
            <w:pPr>
              <w:spacing w:before="80" w:after="80"/>
              <w:rPr>
                <w:rFonts w:ascii="Arial Narrow" w:hAnsi="Arial Narrow"/>
                <w:sz w:val="18"/>
                <w:szCs w:val="18"/>
              </w:rPr>
            </w:pPr>
            <w:r>
              <w:rPr>
                <w:rFonts w:ascii="Arial Narrow" w:hAnsi="Arial Narrow"/>
                <w:sz w:val="18"/>
                <w:szCs w:val="18"/>
              </w:rPr>
              <w:t>Limited awareness and</w:t>
            </w:r>
            <w:r w:rsidR="00CA7037">
              <w:rPr>
                <w:rFonts w:ascii="Arial Narrow" w:hAnsi="Arial Narrow"/>
                <w:sz w:val="18"/>
                <w:szCs w:val="18"/>
              </w:rPr>
              <w:t>/</w:t>
            </w:r>
            <w:r w:rsidR="00127CDB">
              <w:rPr>
                <w:rFonts w:ascii="Arial Narrow" w:hAnsi="Arial Narrow"/>
                <w:sz w:val="18"/>
                <w:szCs w:val="18"/>
              </w:rPr>
              <w:t>or support</w:t>
            </w:r>
            <w:r>
              <w:rPr>
                <w:rFonts w:ascii="Arial Narrow" w:hAnsi="Arial Narrow"/>
                <w:sz w:val="18"/>
                <w:szCs w:val="18"/>
              </w:rPr>
              <w:t xml:space="preserve"> for the project and outcomes</w:t>
            </w:r>
            <w:r w:rsidR="00CA7037">
              <w:rPr>
                <w:rFonts w:ascii="Arial Narrow" w:hAnsi="Arial Narrow"/>
                <w:sz w:val="18"/>
                <w:szCs w:val="18"/>
              </w:rPr>
              <w:t>. P</w:t>
            </w:r>
            <w:r>
              <w:rPr>
                <w:rFonts w:ascii="Arial Narrow" w:hAnsi="Arial Narrow"/>
                <w:sz w:val="18"/>
                <w:szCs w:val="18"/>
              </w:rPr>
              <w:t xml:space="preserve">artial update of </w:t>
            </w:r>
            <w:r w:rsidR="00CA7037">
              <w:rPr>
                <w:rFonts w:ascii="Arial Narrow" w:hAnsi="Arial Narrow"/>
                <w:sz w:val="18"/>
                <w:szCs w:val="18"/>
              </w:rPr>
              <w:t>project</w:t>
            </w:r>
            <w:r>
              <w:rPr>
                <w:rFonts w:ascii="Arial Narrow" w:hAnsi="Arial Narrow"/>
                <w:sz w:val="18"/>
                <w:szCs w:val="18"/>
              </w:rPr>
              <w:t xml:space="preserve"> learnings</w:t>
            </w:r>
            <w:r w:rsidR="00CA7037">
              <w:rPr>
                <w:rFonts w:ascii="Arial Narrow" w:hAnsi="Arial Narrow"/>
                <w:sz w:val="18"/>
                <w:szCs w:val="18"/>
              </w:rPr>
              <w:t>.</w:t>
            </w:r>
          </w:p>
        </w:tc>
        <w:tc>
          <w:tcPr>
            <w:tcW w:w="709" w:type="pct"/>
          </w:tcPr>
          <w:p w14:paraId="2CA1BA1D" w14:textId="47476A8D" w:rsidR="002A5892" w:rsidRPr="00EB5197" w:rsidRDefault="002A5892" w:rsidP="002A5892">
            <w:pPr>
              <w:spacing w:before="80" w:after="80"/>
              <w:rPr>
                <w:rFonts w:ascii="Arial Narrow" w:hAnsi="Arial Narrow"/>
                <w:sz w:val="18"/>
                <w:szCs w:val="18"/>
              </w:rPr>
            </w:pPr>
            <w:r w:rsidRPr="00EB5197">
              <w:rPr>
                <w:rFonts w:ascii="Arial Narrow" w:hAnsi="Arial Narrow"/>
                <w:sz w:val="18"/>
                <w:szCs w:val="18"/>
              </w:rPr>
              <w:t>Major impact on the delivery of project objectives.</w:t>
            </w:r>
          </w:p>
        </w:tc>
        <w:tc>
          <w:tcPr>
            <w:tcW w:w="786" w:type="pct"/>
          </w:tcPr>
          <w:p w14:paraId="7496E7C3" w14:textId="3B255E0D" w:rsidR="002A5892" w:rsidRPr="00EB5197" w:rsidRDefault="002A5892" w:rsidP="00071ED8">
            <w:pPr>
              <w:spacing w:before="80" w:after="80"/>
              <w:rPr>
                <w:rFonts w:ascii="Arial Narrow" w:hAnsi="Arial Narrow"/>
                <w:sz w:val="18"/>
                <w:szCs w:val="18"/>
              </w:rPr>
            </w:pPr>
            <w:r>
              <w:rPr>
                <w:rFonts w:ascii="Arial Narrow" w:hAnsi="Arial Narrow"/>
                <w:sz w:val="18"/>
                <w:szCs w:val="18"/>
              </w:rPr>
              <w:t>Long-term</w:t>
            </w:r>
            <w:r w:rsidR="006431CF">
              <w:rPr>
                <w:rFonts w:ascii="Arial Narrow" w:hAnsi="Arial Narrow"/>
                <w:sz w:val="18"/>
                <w:szCs w:val="18"/>
              </w:rPr>
              <w:t xml:space="preserve"> damage to</w:t>
            </w:r>
            <w:r>
              <w:rPr>
                <w:rFonts w:ascii="Arial Narrow" w:hAnsi="Arial Narrow"/>
                <w:sz w:val="18"/>
                <w:szCs w:val="18"/>
              </w:rPr>
              <w:t xml:space="preserve"> the environment</w:t>
            </w:r>
            <w:r w:rsidR="006431CF">
              <w:rPr>
                <w:rFonts w:ascii="Arial Narrow" w:hAnsi="Arial Narrow"/>
                <w:sz w:val="18"/>
                <w:szCs w:val="18"/>
              </w:rPr>
              <w:t xml:space="preserve"> that would require considerable </w:t>
            </w:r>
            <w:r w:rsidR="00071ED8">
              <w:rPr>
                <w:rFonts w:ascii="Arial Narrow" w:hAnsi="Arial Narrow"/>
                <w:sz w:val="18"/>
                <w:szCs w:val="18"/>
              </w:rPr>
              <w:t>rehabilitation</w:t>
            </w:r>
            <w:r>
              <w:rPr>
                <w:rFonts w:ascii="Arial Narrow" w:hAnsi="Arial Narrow"/>
                <w:sz w:val="18"/>
                <w:szCs w:val="18"/>
              </w:rPr>
              <w:t>.</w:t>
            </w:r>
          </w:p>
        </w:tc>
        <w:tc>
          <w:tcPr>
            <w:tcW w:w="941" w:type="pct"/>
          </w:tcPr>
          <w:p w14:paraId="1D825A61" w14:textId="40A1BE87" w:rsidR="002A5892" w:rsidRPr="00EB5197" w:rsidRDefault="002A5892" w:rsidP="002A5892">
            <w:pPr>
              <w:spacing w:before="80" w:after="80"/>
              <w:rPr>
                <w:rFonts w:ascii="Arial Narrow" w:hAnsi="Arial Narrow"/>
                <w:sz w:val="18"/>
                <w:szCs w:val="18"/>
              </w:rPr>
            </w:pPr>
            <w:r w:rsidRPr="00BE5C55">
              <w:rPr>
                <w:rFonts w:ascii="Arial Narrow" w:hAnsi="Arial Narrow"/>
                <w:sz w:val="18"/>
                <w:szCs w:val="18"/>
              </w:rPr>
              <w:t xml:space="preserve">Lost Time Injury (LTI) - Extensive injuries, where a worker sustains permanent partial disability or time lost from work of one day/ shift or more. </w:t>
            </w:r>
          </w:p>
        </w:tc>
        <w:tc>
          <w:tcPr>
            <w:tcW w:w="915" w:type="pct"/>
          </w:tcPr>
          <w:p w14:paraId="43755165" w14:textId="0AFB59EC" w:rsidR="002A5892" w:rsidRPr="00EB5197" w:rsidRDefault="006D6AA4" w:rsidP="004432BD">
            <w:pPr>
              <w:spacing w:before="80" w:after="80"/>
              <w:rPr>
                <w:rFonts w:ascii="Arial Narrow" w:hAnsi="Arial Narrow" w:cs="Arial"/>
                <w:bCs/>
                <w:sz w:val="18"/>
                <w:szCs w:val="18"/>
              </w:rPr>
            </w:pPr>
            <w:r>
              <w:rPr>
                <w:rFonts w:ascii="Arial Narrow" w:hAnsi="Arial Narrow" w:cs="Arial"/>
                <w:bCs/>
                <w:sz w:val="18"/>
                <w:szCs w:val="18"/>
              </w:rPr>
              <w:t xml:space="preserve">Major impact on the credibility of the project and </w:t>
            </w:r>
            <w:r w:rsidR="004432BD">
              <w:rPr>
                <w:rFonts w:ascii="Arial Narrow" w:hAnsi="Arial Narrow" w:cs="Arial"/>
                <w:bCs/>
                <w:sz w:val="18"/>
                <w:szCs w:val="18"/>
              </w:rPr>
              <w:t xml:space="preserve">the ability to inform </w:t>
            </w:r>
            <w:r>
              <w:rPr>
                <w:rFonts w:ascii="Arial Narrow" w:hAnsi="Arial Narrow" w:cs="Arial"/>
                <w:bCs/>
                <w:sz w:val="18"/>
                <w:szCs w:val="18"/>
              </w:rPr>
              <w:t>e</w:t>
            </w:r>
            <w:r w:rsidR="004432BD">
              <w:rPr>
                <w:rFonts w:ascii="Arial Narrow" w:hAnsi="Arial Narrow" w:cs="Arial"/>
                <w:bCs/>
                <w:sz w:val="18"/>
                <w:szCs w:val="18"/>
              </w:rPr>
              <w:t>nvironmental water management</w:t>
            </w:r>
            <w:r>
              <w:rPr>
                <w:rFonts w:ascii="Arial Narrow" w:hAnsi="Arial Narrow" w:cs="Arial"/>
                <w:bCs/>
                <w:sz w:val="18"/>
                <w:szCs w:val="18"/>
              </w:rPr>
              <w:t>.</w:t>
            </w:r>
          </w:p>
        </w:tc>
      </w:tr>
      <w:tr w:rsidR="00C92086" w:rsidRPr="00EB5197" w14:paraId="2FFEB3C6" w14:textId="77777777" w:rsidTr="00127CDB">
        <w:tc>
          <w:tcPr>
            <w:tcW w:w="705" w:type="pct"/>
          </w:tcPr>
          <w:p w14:paraId="1F1612A6" w14:textId="77777777" w:rsidR="002A5892" w:rsidRPr="00EB5197" w:rsidRDefault="002A5892" w:rsidP="002A5892">
            <w:pPr>
              <w:spacing w:before="80" w:after="80"/>
              <w:rPr>
                <w:rFonts w:ascii="Arial Narrow" w:hAnsi="Arial Narrow" w:cs="Arial"/>
                <w:b/>
                <w:bCs/>
                <w:sz w:val="18"/>
                <w:szCs w:val="18"/>
              </w:rPr>
            </w:pPr>
            <w:r w:rsidRPr="00EB5197">
              <w:rPr>
                <w:rFonts w:ascii="Arial Narrow" w:hAnsi="Arial Narrow"/>
                <w:b/>
                <w:sz w:val="18"/>
                <w:szCs w:val="18"/>
              </w:rPr>
              <w:t>Moderate</w:t>
            </w:r>
          </w:p>
        </w:tc>
        <w:tc>
          <w:tcPr>
            <w:tcW w:w="945" w:type="pct"/>
          </w:tcPr>
          <w:p w14:paraId="1430D32D" w14:textId="7426D40F" w:rsidR="002A5892" w:rsidRPr="00EB5197" w:rsidRDefault="00C523D1" w:rsidP="00CA7037">
            <w:pPr>
              <w:spacing w:before="80" w:after="80"/>
              <w:rPr>
                <w:rFonts w:ascii="Arial Narrow" w:hAnsi="Arial Narrow"/>
                <w:sz w:val="18"/>
                <w:szCs w:val="18"/>
              </w:rPr>
            </w:pPr>
            <w:r>
              <w:rPr>
                <w:rFonts w:ascii="Arial Narrow" w:hAnsi="Arial Narrow"/>
                <w:sz w:val="18"/>
                <w:szCs w:val="18"/>
              </w:rPr>
              <w:t>Reasonable awareness and</w:t>
            </w:r>
            <w:r w:rsidR="00CA7037">
              <w:rPr>
                <w:rFonts w:ascii="Arial Narrow" w:hAnsi="Arial Narrow"/>
                <w:sz w:val="18"/>
                <w:szCs w:val="18"/>
              </w:rPr>
              <w:t>/or</w:t>
            </w:r>
            <w:r>
              <w:rPr>
                <w:rFonts w:ascii="Arial Narrow" w:hAnsi="Arial Narrow"/>
                <w:sz w:val="18"/>
                <w:szCs w:val="18"/>
              </w:rPr>
              <w:t xml:space="preserve"> support for the project and outcomes</w:t>
            </w:r>
            <w:r w:rsidR="00CA7037">
              <w:rPr>
                <w:rFonts w:ascii="Arial Narrow" w:hAnsi="Arial Narrow"/>
                <w:sz w:val="18"/>
                <w:szCs w:val="18"/>
              </w:rPr>
              <w:t>. S</w:t>
            </w:r>
            <w:r>
              <w:rPr>
                <w:rFonts w:ascii="Arial Narrow" w:hAnsi="Arial Narrow"/>
                <w:sz w:val="18"/>
                <w:szCs w:val="18"/>
              </w:rPr>
              <w:t xml:space="preserve">ufficient update of </w:t>
            </w:r>
            <w:r w:rsidR="00CA7037">
              <w:rPr>
                <w:rFonts w:ascii="Arial Narrow" w:hAnsi="Arial Narrow"/>
                <w:sz w:val="18"/>
                <w:szCs w:val="18"/>
              </w:rPr>
              <w:t>project</w:t>
            </w:r>
            <w:r>
              <w:rPr>
                <w:rFonts w:ascii="Arial Narrow" w:hAnsi="Arial Narrow"/>
                <w:sz w:val="18"/>
                <w:szCs w:val="18"/>
              </w:rPr>
              <w:t xml:space="preserve"> learnings</w:t>
            </w:r>
            <w:r w:rsidR="00CA7037">
              <w:rPr>
                <w:rFonts w:ascii="Arial Narrow" w:hAnsi="Arial Narrow"/>
                <w:sz w:val="18"/>
                <w:szCs w:val="18"/>
              </w:rPr>
              <w:t>.</w:t>
            </w:r>
          </w:p>
        </w:tc>
        <w:tc>
          <w:tcPr>
            <w:tcW w:w="709" w:type="pct"/>
          </w:tcPr>
          <w:p w14:paraId="35472638" w14:textId="19CF9112" w:rsidR="002A5892" w:rsidRPr="00EB5197" w:rsidRDefault="002A5892" w:rsidP="002A5892">
            <w:pPr>
              <w:spacing w:before="80" w:after="80"/>
              <w:rPr>
                <w:rFonts w:ascii="Arial Narrow" w:hAnsi="Arial Narrow"/>
                <w:sz w:val="18"/>
                <w:szCs w:val="18"/>
              </w:rPr>
            </w:pPr>
            <w:r w:rsidRPr="00EB5197">
              <w:rPr>
                <w:rFonts w:ascii="Arial Narrow" w:hAnsi="Arial Narrow"/>
                <w:sz w:val="18"/>
                <w:szCs w:val="18"/>
              </w:rPr>
              <w:t>Moderate impact on the delivery of project objectives.</w:t>
            </w:r>
          </w:p>
        </w:tc>
        <w:tc>
          <w:tcPr>
            <w:tcW w:w="786" w:type="pct"/>
          </w:tcPr>
          <w:p w14:paraId="062736AF" w14:textId="4E8C1904" w:rsidR="002A5892" w:rsidRPr="00EB5197" w:rsidRDefault="002A5892" w:rsidP="006431CF">
            <w:pPr>
              <w:spacing w:before="80" w:after="80"/>
              <w:rPr>
                <w:rFonts w:ascii="Arial Narrow" w:hAnsi="Arial Narrow"/>
                <w:sz w:val="18"/>
                <w:szCs w:val="18"/>
              </w:rPr>
            </w:pPr>
            <w:r>
              <w:rPr>
                <w:rFonts w:ascii="Arial Narrow" w:hAnsi="Arial Narrow"/>
                <w:sz w:val="18"/>
                <w:szCs w:val="18"/>
              </w:rPr>
              <w:t xml:space="preserve">Short-term, widespread </w:t>
            </w:r>
            <w:r w:rsidR="006431CF">
              <w:rPr>
                <w:rFonts w:ascii="Arial Narrow" w:hAnsi="Arial Narrow"/>
                <w:sz w:val="18"/>
                <w:szCs w:val="18"/>
              </w:rPr>
              <w:t>damage to</w:t>
            </w:r>
            <w:r>
              <w:rPr>
                <w:rFonts w:ascii="Arial Narrow" w:hAnsi="Arial Narrow"/>
                <w:sz w:val="18"/>
                <w:szCs w:val="18"/>
              </w:rPr>
              <w:t xml:space="preserve"> the environment.</w:t>
            </w:r>
          </w:p>
        </w:tc>
        <w:tc>
          <w:tcPr>
            <w:tcW w:w="941" w:type="pct"/>
          </w:tcPr>
          <w:p w14:paraId="10070E64" w14:textId="1817284C" w:rsidR="002A5892" w:rsidRPr="00EB5197" w:rsidRDefault="002A5892" w:rsidP="002A5892">
            <w:pPr>
              <w:spacing w:before="80" w:after="80"/>
              <w:rPr>
                <w:rFonts w:ascii="Arial Narrow" w:hAnsi="Arial Narrow"/>
                <w:sz w:val="18"/>
                <w:szCs w:val="18"/>
              </w:rPr>
            </w:pPr>
            <w:r w:rsidRPr="00BE5C55">
              <w:rPr>
                <w:rFonts w:ascii="Arial Narrow" w:hAnsi="Arial Narrow"/>
                <w:sz w:val="18"/>
                <w:szCs w:val="18"/>
              </w:rPr>
              <w:t xml:space="preserve">Medical Treatment Injury (MTI) - Significant non-permanent injury with limited period of disability, where medical treatment is required from a health practitioner.  </w:t>
            </w:r>
          </w:p>
        </w:tc>
        <w:tc>
          <w:tcPr>
            <w:tcW w:w="915" w:type="pct"/>
          </w:tcPr>
          <w:p w14:paraId="2CD63010" w14:textId="4D9B8139" w:rsidR="002A5892" w:rsidRPr="00EB5197" w:rsidRDefault="006D6AA4" w:rsidP="006D6AA4">
            <w:pPr>
              <w:spacing w:before="80" w:after="80"/>
              <w:rPr>
                <w:rFonts w:ascii="Arial Narrow" w:hAnsi="Arial Narrow" w:cs="Arial"/>
                <w:bCs/>
                <w:sz w:val="18"/>
                <w:szCs w:val="18"/>
              </w:rPr>
            </w:pPr>
            <w:r>
              <w:rPr>
                <w:rFonts w:ascii="Arial Narrow" w:hAnsi="Arial Narrow" w:cs="Arial"/>
                <w:bCs/>
                <w:sz w:val="18"/>
                <w:szCs w:val="18"/>
              </w:rPr>
              <w:t>Moderate impact on the credibility of the project and the ability to inform environmental water management</w:t>
            </w:r>
          </w:p>
        </w:tc>
      </w:tr>
      <w:tr w:rsidR="00C92086" w:rsidRPr="00EB5197" w14:paraId="0F6B5D04" w14:textId="77777777" w:rsidTr="00127CDB">
        <w:tc>
          <w:tcPr>
            <w:tcW w:w="705" w:type="pct"/>
          </w:tcPr>
          <w:p w14:paraId="5943843A" w14:textId="77777777" w:rsidR="002A5892" w:rsidRPr="00EB5197" w:rsidRDefault="002A5892" w:rsidP="002A5892">
            <w:pPr>
              <w:spacing w:before="80" w:after="80"/>
              <w:rPr>
                <w:rFonts w:ascii="Arial Narrow" w:hAnsi="Arial Narrow" w:cs="Arial"/>
                <w:b/>
                <w:bCs/>
                <w:sz w:val="18"/>
                <w:szCs w:val="18"/>
              </w:rPr>
            </w:pPr>
            <w:r w:rsidRPr="00EB5197">
              <w:rPr>
                <w:rFonts w:ascii="Arial Narrow" w:hAnsi="Arial Narrow"/>
                <w:b/>
                <w:sz w:val="18"/>
                <w:szCs w:val="18"/>
              </w:rPr>
              <w:t>Minor</w:t>
            </w:r>
          </w:p>
        </w:tc>
        <w:tc>
          <w:tcPr>
            <w:tcW w:w="945" w:type="pct"/>
          </w:tcPr>
          <w:p w14:paraId="2A3B6481" w14:textId="3831CAF4" w:rsidR="002A5892" w:rsidRPr="00EB5197" w:rsidRDefault="00C523D1" w:rsidP="00CA7037">
            <w:pPr>
              <w:spacing w:before="80" w:after="80"/>
              <w:rPr>
                <w:rFonts w:ascii="Arial Narrow" w:hAnsi="Arial Narrow"/>
                <w:sz w:val="18"/>
                <w:szCs w:val="18"/>
              </w:rPr>
            </w:pPr>
            <w:r>
              <w:rPr>
                <w:rFonts w:ascii="Arial Narrow" w:hAnsi="Arial Narrow"/>
                <w:sz w:val="18"/>
                <w:szCs w:val="18"/>
              </w:rPr>
              <w:t>Good awareness and</w:t>
            </w:r>
            <w:r w:rsidR="00CA7037">
              <w:rPr>
                <w:rFonts w:ascii="Arial Narrow" w:hAnsi="Arial Narrow"/>
                <w:sz w:val="18"/>
                <w:szCs w:val="18"/>
              </w:rPr>
              <w:t>/or</w:t>
            </w:r>
            <w:r>
              <w:rPr>
                <w:rFonts w:ascii="Arial Narrow" w:hAnsi="Arial Narrow"/>
                <w:sz w:val="18"/>
                <w:szCs w:val="18"/>
              </w:rPr>
              <w:t xml:space="preserve"> support for the project and outcomes</w:t>
            </w:r>
            <w:r w:rsidR="00CA7037">
              <w:rPr>
                <w:rFonts w:ascii="Arial Narrow" w:hAnsi="Arial Narrow"/>
                <w:sz w:val="18"/>
                <w:szCs w:val="18"/>
              </w:rPr>
              <w:t xml:space="preserve">. </w:t>
            </w:r>
            <w:r w:rsidR="00127CDB">
              <w:rPr>
                <w:rFonts w:ascii="Arial Narrow" w:hAnsi="Arial Narrow"/>
                <w:sz w:val="18"/>
                <w:szCs w:val="18"/>
              </w:rPr>
              <w:t>Effective update</w:t>
            </w:r>
            <w:r>
              <w:rPr>
                <w:rFonts w:ascii="Arial Narrow" w:hAnsi="Arial Narrow"/>
                <w:sz w:val="18"/>
                <w:szCs w:val="18"/>
              </w:rPr>
              <w:t xml:space="preserve"> of </w:t>
            </w:r>
            <w:r w:rsidR="00CA7037">
              <w:rPr>
                <w:rFonts w:ascii="Arial Narrow" w:hAnsi="Arial Narrow"/>
                <w:sz w:val="18"/>
                <w:szCs w:val="18"/>
              </w:rPr>
              <w:t>project</w:t>
            </w:r>
            <w:r>
              <w:rPr>
                <w:rFonts w:ascii="Arial Narrow" w:hAnsi="Arial Narrow"/>
                <w:sz w:val="18"/>
                <w:szCs w:val="18"/>
              </w:rPr>
              <w:t xml:space="preserve"> learnings</w:t>
            </w:r>
            <w:r w:rsidR="00CA7037">
              <w:rPr>
                <w:rFonts w:ascii="Arial Narrow" w:hAnsi="Arial Narrow"/>
                <w:sz w:val="18"/>
                <w:szCs w:val="18"/>
              </w:rPr>
              <w:t>.</w:t>
            </w:r>
          </w:p>
        </w:tc>
        <w:tc>
          <w:tcPr>
            <w:tcW w:w="709" w:type="pct"/>
          </w:tcPr>
          <w:p w14:paraId="4F3AB520" w14:textId="4AFD1DF4" w:rsidR="002A5892" w:rsidRPr="00EB5197" w:rsidRDefault="002A5892" w:rsidP="002A5892">
            <w:pPr>
              <w:spacing w:before="80" w:after="80"/>
              <w:rPr>
                <w:rFonts w:ascii="Arial Narrow" w:hAnsi="Arial Narrow"/>
                <w:sz w:val="18"/>
                <w:szCs w:val="18"/>
              </w:rPr>
            </w:pPr>
            <w:r w:rsidRPr="00EB5197">
              <w:rPr>
                <w:rFonts w:ascii="Arial Narrow" w:hAnsi="Arial Narrow"/>
                <w:sz w:val="18"/>
                <w:szCs w:val="18"/>
              </w:rPr>
              <w:t>Minor impact on the delivery of project objectives.</w:t>
            </w:r>
          </w:p>
        </w:tc>
        <w:tc>
          <w:tcPr>
            <w:tcW w:w="786" w:type="pct"/>
          </w:tcPr>
          <w:p w14:paraId="5013EE63" w14:textId="2BDFED4E" w:rsidR="002A5892" w:rsidRPr="00EB5197" w:rsidRDefault="002A5892" w:rsidP="002A5892">
            <w:pPr>
              <w:spacing w:before="80" w:after="80"/>
              <w:rPr>
                <w:rFonts w:ascii="Arial Narrow" w:hAnsi="Arial Narrow"/>
                <w:sz w:val="18"/>
                <w:szCs w:val="18"/>
              </w:rPr>
            </w:pPr>
            <w:r>
              <w:rPr>
                <w:rFonts w:ascii="Arial Narrow" w:hAnsi="Arial Narrow"/>
                <w:sz w:val="18"/>
                <w:szCs w:val="18"/>
              </w:rPr>
              <w:t>Short-term, localised impact on the environment.</w:t>
            </w:r>
          </w:p>
        </w:tc>
        <w:tc>
          <w:tcPr>
            <w:tcW w:w="941" w:type="pct"/>
          </w:tcPr>
          <w:p w14:paraId="50A65862" w14:textId="4B71AAA0" w:rsidR="002A5892" w:rsidRPr="00EB5197" w:rsidRDefault="002A5892" w:rsidP="002A5892">
            <w:pPr>
              <w:spacing w:before="80" w:after="80"/>
              <w:rPr>
                <w:rFonts w:ascii="Arial Narrow" w:hAnsi="Arial Narrow"/>
                <w:sz w:val="18"/>
                <w:szCs w:val="18"/>
              </w:rPr>
            </w:pPr>
            <w:r w:rsidRPr="00BE5C55">
              <w:rPr>
                <w:rFonts w:ascii="Arial Narrow" w:hAnsi="Arial Narrow"/>
                <w:sz w:val="18"/>
                <w:szCs w:val="18"/>
              </w:rPr>
              <w:t>First Aid Injury (FAI) – Insignificant non-permanent injury/ illness, where treatment is administered by a first aider.</w:t>
            </w:r>
          </w:p>
        </w:tc>
        <w:tc>
          <w:tcPr>
            <w:tcW w:w="915" w:type="pct"/>
          </w:tcPr>
          <w:p w14:paraId="0E3481FC" w14:textId="47094343" w:rsidR="002A5892" w:rsidRPr="00EB5197" w:rsidRDefault="00071ED8" w:rsidP="006D6AA4">
            <w:pPr>
              <w:spacing w:before="80" w:after="80"/>
              <w:rPr>
                <w:rFonts w:ascii="Arial Narrow" w:hAnsi="Arial Narrow" w:cs="Arial"/>
                <w:bCs/>
                <w:sz w:val="18"/>
                <w:szCs w:val="18"/>
              </w:rPr>
            </w:pPr>
            <w:r>
              <w:rPr>
                <w:rFonts w:ascii="Arial Narrow" w:hAnsi="Arial Narrow" w:cs="Arial"/>
                <w:bCs/>
                <w:sz w:val="18"/>
                <w:szCs w:val="18"/>
              </w:rPr>
              <w:t xml:space="preserve">Minor impact on the credibility of the project and </w:t>
            </w:r>
            <w:r w:rsidR="006D6AA4">
              <w:rPr>
                <w:rFonts w:ascii="Arial Narrow" w:hAnsi="Arial Narrow" w:cs="Arial"/>
                <w:bCs/>
                <w:sz w:val="18"/>
                <w:szCs w:val="18"/>
              </w:rPr>
              <w:t xml:space="preserve">the ability to inform </w:t>
            </w:r>
            <w:r>
              <w:rPr>
                <w:rFonts w:ascii="Arial Narrow" w:hAnsi="Arial Narrow" w:cs="Arial"/>
                <w:bCs/>
                <w:sz w:val="18"/>
                <w:szCs w:val="18"/>
              </w:rPr>
              <w:t xml:space="preserve">environmental water </w:t>
            </w:r>
            <w:r w:rsidR="006D6AA4">
              <w:rPr>
                <w:rFonts w:ascii="Arial Narrow" w:hAnsi="Arial Narrow" w:cs="Arial"/>
                <w:bCs/>
                <w:sz w:val="18"/>
                <w:szCs w:val="18"/>
              </w:rPr>
              <w:t>management</w:t>
            </w:r>
            <w:r>
              <w:rPr>
                <w:rFonts w:ascii="Arial Narrow" w:hAnsi="Arial Narrow" w:cs="Arial"/>
                <w:bCs/>
                <w:sz w:val="18"/>
                <w:szCs w:val="18"/>
              </w:rPr>
              <w:t>.</w:t>
            </w:r>
          </w:p>
        </w:tc>
      </w:tr>
      <w:tr w:rsidR="00C92086" w:rsidRPr="00EB5197" w14:paraId="11A2280D" w14:textId="77777777" w:rsidTr="00127CDB">
        <w:tc>
          <w:tcPr>
            <w:tcW w:w="705" w:type="pct"/>
          </w:tcPr>
          <w:p w14:paraId="24DC2C56" w14:textId="77777777" w:rsidR="002A5892" w:rsidRPr="00EB5197" w:rsidRDefault="002A5892" w:rsidP="002A5892">
            <w:pPr>
              <w:pStyle w:val="BalloonText"/>
              <w:spacing w:before="80" w:after="80"/>
              <w:rPr>
                <w:rFonts w:ascii="Arial Narrow" w:hAnsi="Arial Narrow" w:cs="Arial"/>
                <w:b/>
                <w:bCs/>
                <w:sz w:val="18"/>
                <w:szCs w:val="18"/>
              </w:rPr>
            </w:pPr>
            <w:r w:rsidRPr="00EB5197">
              <w:rPr>
                <w:rFonts w:ascii="Arial Narrow" w:hAnsi="Arial Narrow"/>
                <w:b/>
                <w:sz w:val="18"/>
                <w:szCs w:val="18"/>
              </w:rPr>
              <w:t>Insignificant</w:t>
            </w:r>
          </w:p>
        </w:tc>
        <w:tc>
          <w:tcPr>
            <w:tcW w:w="945" w:type="pct"/>
          </w:tcPr>
          <w:p w14:paraId="55B857E3" w14:textId="46E9367E" w:rsidR="002A5892" w:rsidRPr="00EB5197" w:rsidRDefault="0001547C" w:rsidP="00CA7037">
            <w:pPr>
              <w:pStyle w:val="BalloonText"/>
              <w:spacing w:before="80" w:after="80"/>
              <w:rPr>
                <w:rFonts w:ascii="Arial Narrow" w:hAnsi="Arial Narrow"/>
                <w:sz w:val="18"/>
                <w:szCs w:val="18"/>
              </w:rPr>
            </w:pPr>
            <w:r>
              <w:rPr>
                <w:rFonts w:ascii="Arial Narrow" w:hAnsi="Arial Narrow"/>
                <w:sz w:val="18"/>
                <w:szCs w:val="18"/>
              </w:rPr>
              <w:t>Full awareness and</w:t>
            </w:r>
            <w:r w:rsidR="00CA7037">
              <w:rPr>
                <w:rFonts w:ascii="Arial Narrow" w:hAnsi="Arial Narrow"/>
                <w:sz w:val="18"/>
                <w:szCs w:val="18"/>
              </w:rPr>
              <w:t>/or</w:t>
            </w:r>
            <w:r>
              <w:rPr>
                <w:rFonts w:ascii="Arial Narrow" w:hAnsi="Arial Narrow"/>
                <w:sz w:val="18"/>
                <w:szCs w:val="18"/>
              </w:rPr>
              <w:t xml:space="preserve"> strong support for the project and outcomes</w:t>
            </w:r>
            <w:r w:rsidR="00CA7037">
              <w:rPr>
                <w:rFonts w:ascii="Arial Narrow" w:hAnsi="Arial Narrow"/>
                <w:sz w:val="18"/>
                <w:szCs w:val="18"/>
              </w:rPr>
              <w:t>. M</w:t>
            </w:r>
            <w:r>
              <w:rPr>
                <w:rFonts w:ascii="Arial Narrow" w:hAnsi="Arial Narrow"/>
                <w:sz w:val="18"/>
                <w:szCs w:val="18"/>
              </w:rPr>
              <w:t xml:space="preserve">aximum update of </w:t>
            </w:r>
            <w:r w:rsidR="00CA7037">
              <w:rPr>
                <w:rFonts w:ascii="Arial Narrow" w:hAnsi="Arial Narrow"/>
                <w:sz w:val="18"/>
                <w:szCs w:val="18"/>
              </w:rPr>
              <w:t>project</w:t>
            </w:r>
            <w:r>
              <w:rPr>
                <w:rFonts w:ascii="Arial Narrow" w:hAnsi="Arial Narrow"/>
                <w:sz w:val="18"/>
                <w:szCs w:val="18"/>
              </w:rPr>
              <w:t xml:space="preserve"> learnings</w:t>
            </w:r>
            <w:r w:rsidR="00CA7037">
              <w:rPr>
                <w:rFonts w:ascii="Arial Narrow" w:hAnsi="Arial Narrow"/>
                <w:sz w:val="18"/>
                <w:szCs w:val="18"/>
              </w:rPr>
              <w:t>.</w:t>
            </w:r>
          </w:p>
        </w:tc>
        <w:tc>
          <w:tcPr>
            <w:tcW w:w="709" w:type="pct"/>
          </w:tcPr>
          <w:p w14:paraId="26A1F633" w14:textId="6B72FF3E" w:rsidR="002A5892" w:rsidRPr="00EB5197" w:rsidRDefault="002A5892" w:rsidP="002A5892">
            <w:pPr>
              <w:pStyle w:val="BalloonText"/>
              <w:spacing w:before="80" w:after="80"/>
              <w:rPr>
                <w:rFonts w:ascii="Arial Narrow" w:hAnsi="Arial Narrow"/>
                <w:sz w:val="18"/>
                <w:szCs w:val="18"/>
              </w:rPr>
            </w:pPr>
            <w:r w:rsidRPr="00EB5197">
              <w:rPr>
                <w:rFonts w:ascii="Arial Narrow" w:hAnsi="Arial Narrow"/>
                <w:sz w:val="18"/>
                <w:szCs w:val="18"/>
              </w:rPr>
              <w:t>Little or minimal impact on the delivery of project objectives.</w:t>
            </w:r>
          </w:p>
        </w:tc>
        <w:tc>
          <w:tcPr>
            <w:tcW w:w="786" w:type="pct"/>
          </w:tcPr>
          <w:p w14:paraId="37415553" w14:textId="77777777" w:rsidR="002A5892" w:rsidRDefault="002A5892" w:rsidP="002A5892">
            <w:pPr>
              <w:pStyle w:val="BalloonText"/>
              <w:spacing w:before="80" w:after="80"/>
              <w:rPr>
                <w:rFonts w:ascii="Arial Narrow" w:hAnsi="Arial Narrow"/>
                <w:sz w:val="18"/>
                <w:szCs w:val="18"/>
              </w:rPr>
            </w:pPr>
            <w:r w:rsidRPr="00EB5197">
              <w:rPr>
                <w:rFonts w:ascii="Arial Narrow" w:hAnsi="Arial Narrow"/>
                <w:sz w:val="18"/>
                <w:szCs w:val="18"/>
              </w:rPr>
              <w:t>Little or minimal impact on the</w:t>
            </w:r>
            <w:r>
              <w:rPr>
                <w:rFonts w:ascii="Arial Narrow" w:hAnsi="Arial Narrow"/>
                <w:sz w:val="18"/>
                <w:szCs w:val="18"/>
              </w:rPr>
              <w:t xml:space="preserve"> environment</w:t>
            </w:r>
          </w:p>
          <w:p w14:paraId="393F799F" w14:textId="3FDDB3A3" w:rsidR="006D6AA4" w:rsidRPr="00EB5197" w:rsidRDefault="006D6AA4" w:rsidP="002A5892">
            <w:pPr>
              <w:pStyle w:val="BalloonText"/>
              <w:spacing w:before="80" w:after="80"/>
              <w:rPr>
                <w:rFonts w:ascii="Arial Narrow" w:hAnsi="Arial Narrow"/>
                <w:sz w:val="18"/>
                <w:szCs w:val="18"/>
              </w:rPr>
            </w:pPr>
          </w:p>
        </w:tc>
        <w:tc>
          <w:tcPr>
            <w:tcW w:w="941" w:type="pct"/>
          </w:tcPr>
          <w:p w14:paraId="530AA91A" w14:textId="62AB8CBF" w:rsidR="002A5892" w:rsidRPr="00EB5197" w:rsidRDefault="002A5892" w:rsidP="002A5892">
            <w:pPr>
              <w:pStyle w:val="BalloonText"/>
              <w:spacing w:before="80" w:after="80"/>
              <w:rPr>
                <w:rFonts w:ascii="Arial Narrow" w:hAnsi="Arial Narrow"/>
                <w:sz w:val="18"/>
                <w:szCs w:val="18"/>
              </w:rPr>
            </w:pPr>
            <w:r w:rsidRPr="00BE5C55">
              <w:rPr>
                <w:rFonts w:ascii="Arial Narrow" w:hAnsi="Arial Narrow"/>
                <w:sz w:val="18"/>
                <w:szCs w:val="18"/>
              </w:rPr>
              <w:t>Report Only – No injury/ illness</w:t>
            </w:r>
          </w:p>
        </w:tc>
        <w:tc>
          <w:tcPr>
            <w:tcW w:w="915" w:type="pct"/>
          </w:tcPr>
          <w:p w14:paraId="2D9D9677" w14:textId="7BDC5A0F" w:rsidR="002A5892" w:rsidRPr="00EB5197" w:rsidRDefault="00071ED8" w:rsidP="006D6AA4">
            <w:pPr>
              <w:pStyle w:val="BalloonText"/>
              <w:spacing w:before="80" w:after="80"/>
              <w:rPr>
                <w:rFonts w:ascii="Arial Narrow" w:hAnsi="Arial Narrow" w:cs="Arial"/>
                <w:bCs/>
                <w:sz w:val="18"/>
                <w:szCs w:val="18"/>
              </w:rPr>
            </w:pPr>
            <w:r>
              <w:rPr>
                <w:rFonts w:ascii="Arial Narrow" w:hAnsi="Arial Narrow" w:cs="Arial"/>
                <w:bCs/>
                <w:sz w:val="18"/>
                <w:szCs w:val="18"/>
              </w:rPr>
              <w:t>Little or minimal impact on the credibility of the project and</w:t>
            </w:r>
            <w:r w:rsidR="006D6AA4">
              <w:rPr>
                <w:rFonts w:ascii="Arial Narrow" w:hAnsi="Arial Narrow" w:cs="Arial"/>
                <w:bCs/>
                <w:sz w:val="18"/>
                <w:szCs w:val="18"/>
              </w:rPr>
              <w:t xml:space="preserve"> the ability to inform</w:t>
            </w:r>
            <w:r>
              <w:rPr>
                <w:rFonts w:ascii="Arial Narrow" w:hAnsi="Arial Narrow" w:cs="Arial"/>
                <w:bCs/>
                <w:sz w:val="18"/>
                <w:szCs w:val="18"/>
              </w:rPr>
              <w:t xml:space="preserve"> environmental water </w:t>
            </w:r>
            <w:r w:rsidR="006D6AA4">
              <w:rPr>
                <w:rFonts w:ascii="Arial Narrow" w:hAnsi="Arial Narrow" w:cs="Arial"/>
                <w:bCs/>
                <w:sz w:val="18"/>
                <w:szCs w:val="18"/>
              </w:rPr>
              <w:t>management</w:t>
            </w:r>
            <w:r>
              <w:rPr>
                <w:rFonts w:ascii="Arial Narrow" w:hAnsi="Arial Narrow" w:cs="Arial"/>
                <w:bCs/>
                <w:sz w:val="18"/>
                <w:szCs w:val="18"/>
              </w:rPr>
              <w:t>.</w:t>
            </w:r>
          </w:p>
        </w:tc>
      </w:tr>
    </w:tbl>
    <w:p w14:paraId="16C1B75D" w14:textId="4553B11A" w:rsidR="00F359A2" w:rsidRDefault="00F359A2" w:rsidP="00D2564A"/>
    <w:p w14:paraId="36BE0372" w14:textId="77777777" w:rsidR="00F359A2" w:rsidRDefault="00F359A2">
      <w:pPr>
        <w:spacing w:after="200" w:line="276" w:lineRule="auto"/>
        <w:jc w:val="left"/>
      </w:pPr>
      <w:r>
        <w:br w:type="page"/>
      </w:r>
    </w:p>
    <w:p w14:paraId="63204817" w14:textId="2E364307" w:rsidR="00DC5B00" w:rsidRPr="00D2564A" w:rsidRDefault="00F359A2" w:rsidP="00F359A2">
      <w:pPr>
        <w:pStyle w:val="Caption"/>
      </w:pPr>
      <w:bookmarkStart w:id="357" w:name="_Ref12630140"/>
      <w:bookmarkStart w:id="358" w:name="_Toc12630264"/>
      <w:r>
        <w:lastRenderedPageBreak/>
        <w:t xml:space="preserve">Table </w:t>
      </w:r>
      <w:r w:rsidR="00A8252A">
        <w:rPr>
          <w:noProof/>
        </w:rPr>
        <w:fldChar w:fldCharType="begin"/>
      </w:r>
      <w:r w:rsidR="00A8252A">
        <w:rPr>
          <w:noProof/>
        </w:rPr>
        <w:instrText xml:space="preserve"> STYLEREF 1 \s </w:instrText>
      </w:r>
      <w:r w:rsidR="00A8252A">
        <w:rPr>
          <w:noProof/>
        </w:rPr>
        <w:fldChar w:fldCharType="separate"/>
      </w:r>
      <w:r w:rsidR="00DF49CD">
        <w:rPr>
          <w:noProof/>
        </w:rPr>
        <w:t>10</w:t>
      </w:r>
      <w:r w:rsidR="00A8252A">
        <w:rPr>
          <w:noProof/>
        </w:rPr>
        <w:fldChar w:fldCharType="end"/>
      </w:r>
      <w:r>
        <w:t>.</w:t>
      </w:r>
      <w:r w:rsidR="00A8252A">
        <w:rPr>
          <w:noProof/>
        </w:rPr>
        <w:fldChar w:fldCharType="begin"/>
      </w:r>
      <w:r w:rsidR="00A8252A">
        <w:rPr>
          <w:noProof/>
        </w:rPr>
        <w:instrText xml:space="preserve"> SEQ Table \* ARABIC \s 1 </w:instrText>
      </w:r>
      <w:r w:rsidR="00A8252A">
        <w:rPr>
          <w:noProof/>
        </w:rPr>
        <w:fldChar w:fldCharType="separate"/>
      </w:r>
      <w:r w:rsidR="00DF49CD">
        <w:rPr>
          <w:noProof/>
        </w:rPr>
        <w:t>4</w:t>
      </w:r>
      <w:r w:rsidR="00A8252A">
        <w:rPr>
          <w:noProof/>
        </w:rPr>
        <w:fldChar w:fldCharType="end"/>
      </w:r>
      <w:bookmarkEnd w:id="357"/>
      <w:r>
        <w:t>. Risk assessment matrix for assessing the risks of the MER Project in the Lower Murray.</w:t>
      </w:r>
      <w:bookmarkEnd w:id="358"/>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9"/>
        <w:gridCol w:w="1290"/>
        <w:gridCol w:w="1436"/>
        <w:gridCol w:w="1369"/>
        <w:gridCol w:w="1240"/>
        <w:gridCol w:w="1386"/>
        <w:gridCol w:w="1745"/>
      </w:tblGrid>
      <w:tr w:rsidR="00D2564A" w:rsidRPr="00BE5C55" w14:paraId="7FBF9474" w14:textId="77777777" w:rsidTr="00D2564A">
        <w:trPr>
          <w:cantSplit/>
          <w:trHeight w:val="375"/>
          <w:jc w:val="center"/>
        </w:trPr>
        <w:tc>
          <w:tcPr>
            <w:tcW w:w="1008" w:type="pct"/>
            <w:gridSpan w:val="2"/>
            <w:tcBorders>
              <w:top w:val="nil"/>
              <w:left w:val="nil"/>
              <w:bottom w:val="single" w:sz="4" w:space="0" w:color="auto"/>
              <w:right w:val="single" w:sz="4" w:space="0" w:color="auto"/>
            </w:tcBorders>
          </w:tcPr>
          <w:p w14:paraId="0FD15FEC" w14:textId="77777777" w:rsidR="00D2564A" w:rsidRPr="00D2564A" w:rsidRDefault="00D2564A" w:rsidP="00D2564A">
            <w:pPr>
              <w:rPr>
                <w:rFonts w:ascii="Arial Narrow" w:eastAsiaTheme="majorEastAsia" w:hAnsi="Arial Narrow"/>
                <w:b/>
                <w:sz w:val="18"/>
                <w:szCs w:val="18"/>
                <w:lang w:val="en-US"/>
              </w:rPr>
            </w:pPr>
          </w:p>
        </w:tc>
        <w:tc>
          <w:tcPr>
            <w:tcW w:w="3992"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59A298" w14:textId="511FC032" w:rsidR="00D2564A" w:rsidRPr="00D2564A" w:rsidRDefault="00444691" w:rsidP="00D2564A">
            <w:pPr>
              <w:jc w:val="center"/>
              <w:rPr>
                <w:rFonts w:ascii="Arial Narrow" w:hAnsi="Arial Narrow"/>
                <w:b/>
                <w:color w:val="auto"/>
                <w:sz w:val="18"/>
                <w:szCs w:val="18"/>
                <w:lang w:val="en-US"/>
              </w:rPr>
            </w:pPr>
            <w:r>
              <w:rPr>
                <w:rFonts w:ascii="Arial Narrow" w:hAnsi="Arial Narrow"/>
                <w:b/>
                <w:color w:val="auto"/>
                <w:sz w:val="18"/>
                <w:szCs w:val="18"/>
                <w:lang w:val="en-US"/>
              </w:rPr>
              <w:t>Consequence</w:t>
            </w:r>
          </w:p>
        </w:tc>
      </w:tr>
      <w:tr w:rsidR="00D2564A" w:rsidRPr="00BE5C55" w14:paraId="0B217B3C" w14:textId="77777777" w:rsidTr="00D2564A">
        <w:trPr>
          <w:cantSplit/>
          <w:trHeight w:val="330"/>
          <w:jc w:val="center"/>
        </w:trPr>
        <w:tc>
          <w:tcPr>
            <w:tcW w:w="290" w:type="pct"/>
            <w:vMerge w:val="restart"/>
            <w:tcBorders>
              <w:top w:val="single" w:sz="4" w:space="0" w:color="auto"/>
              <w:left w:val="single" w:sz="4" w:space="0" w:color="auto"/>
              <w:right w:val="single" w:sz="4" w:space="0" w:color="auto"/>
            </w:tcBorders>
            <w:shd w:val="clear" w:color="auto" w:fill="D9D9D9" w:themeFill="background1" w:themeFillShade="D9"/>
            <w:textDirection w:val="btLr"/>
            <w:vAlign w:val="center"/>
          </w:tcPr>
          <w:p w14:paraId="73AF346D" w14:textId="388DCB82" w:rsidR="00D2564A" w:rsidRPr="00BE5C55" w:rsidRDefault="00D2564A" w:rsidP="00F359A2">
            <w:pPr>
              <w:spacing w:before="60" w:after="60"/>
              <w:ind w:left="113" w:right="113"/>
              <w:jc w:val="center"/>
              <w:rPr>
                <w:rFonts w:ascii="Arial Narrow" w:eastAsia="Arial Unicode MS" w:hAnsi="Arial Narrow" w:cs="Arial"/>
                <w:b/>
                <w:bCs/>
                <w:sz w:val="18"/>
                <w:szCs w:val="18"/>
                <w:lang w:val="en-US"/>
              </w:rPr>
            </w:pPr>
            <w:r w:rsidRPr="00BE5C55">
              <w:rPr>
                <w:rFonts w:ascii="Arial Narrow" w:eastAsia="Arial Unicode MS" w:hAnsi="Arial Narrow" w:cs="Arial"/>
                <w:b/>
                <w:bCs/>
                <w:sz w:val="18"/>
                <w:szCs w:val="18"/>
                <w:lang w:val="en-US"/>
              </w:rPr>
              <w:t>Likeli</w:t>
            </w:r>
            <w:r w:rsidR="00F359A2">
              <w:rPr>
                <w:rFonts w:ascii="Arial Narrow" w:eastAsia="Arial Unicode MS" w:hAnsi="Arial Narrow" w:cs="Arial"/>
                <w:b/>
                <w:bCs/>
                <w:sz w:val="18"/>
                <w:szCs w:val="18"/>
                <w:lang w:val="en-US"/>
              </w:rPr>
              <w:t>h</w:t>
            </w:r>
            <w:r w:rsidRPr="00BE5C55">
              <w:rPr>
                <w:rFonts w:ascii="Arial Narrow" w:eastAsia="Arial Unicode MS" w:hAnsi="Arial Narrow" w:cs="Arial"/>
                <w:b/>
                <w:bCs/>
                <w:sz w:val="18"/>
                <w:szCs w:val="18"/>
                <w:lang w:val="en-US"/>
              </w:rPr>
              <w:t>ood</w:t>
            </w:r>
          </w:p>
        </w:tc>
        <w:tc>
          <w:tcPr>
            <w:tcW w:w="717" w:type="pct"/>
            <w:tcBorders>
              <w:top w:val="single" w:sz="4" w:space="0" w:color="auto"/>
              <w:left w:val="single" w:sz="4" w:space="0" w:color="auto"/>
              <w:bottom w:val="single" w:sz="4" w:space="0" w:color="auto"/>
              <w:right w:val="single" w:sz="4" w:space="0" w:color="auto"/>
            </w:tcBorders>
            <w:vAlign w:val="center"/>
          </w:tcPr>
          <w:p w14:paraId="237B3768" w14:textId="77777777" w:rsidR="00D2564A" w:rsidRPr="00BE5C55" w:rsidRDefault="00D2564A" w:rsidP="00112561">
            <w:pPr>
              <w:spacing w:before="60" w:after="60"/>
              <w:rPr>
                <w:rFonts w:ascii="Arial Narrow" w:eastAsia="Arial Unicode MS" w:hAnsi="Arial Narrow" w:cs="Arial"/>
                <w:b/>
                <w:bCs/>
                <w:sz w:val="18"/>
                <w:szCs w:val="18"/>
                <w:lang w:val="en-US"/>
              </w:rPr>
            </w:pPr>
          </w:p>
        </w:tc>
        <w:tc>
          <w:tcPr>
            <w:tcW w:w="799" w:type="pct"/>
            <w:tcBorders>
              <w:top w:val="single" w:sz="4" w:space="0" w:color="auto"/>
              <w:left w:val="single" w:sz="4" w:space="0" w:color="auto"/>
              <w:bottom w:val="single" w:sz="4" w:space="0" w:color="auto"/>
              <w:right w:val="single" w:sz="4" w:space="0" w:color="auto"/>
            </w:tcBorders>
          </w:tcPr>
          <w:p w14:paraId="4909435C"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Insignificant</w:t>
            </w:r>
          </w:p>
        </w:tc>
        <w:tc>
          <w:tcPr>
            <w:tcW w:w="762" w:type="pct"/>
            <w:tcBorders>
              <w:top w:val="single" w:sz="4" w:space="0" w:color="auto"/>
              <w:left w:val="single" w:sz="4" w:space="0" w:color="auto"/>
              <w:bottom w:val="single" w:sz="4" w:space="0" w:color="auto"/>
              <w:right w:val="single" w:sz="4" w:space="0" w:color="auto"/>
            </w:tcBorders>
          </w:tcPr>
          <w:p w14:paraId="0369EB34"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Minor</w:t>
            </w:r>
          </w:p>
        </w:tc>
        <w:tc>
          <w:tcPr>
            <w:tcW w:w="690" w:type="pct"/>
            <w:tcBorders>
              <w:top w:val="single" w:sz="4" w:space="0" w:color="auto"/>
              <w:left w:val="single" w:sz="4" w:space="0" w:color="auto"/>
              <w:bottom w:val="single" w:sz="4" w:space="0" w:color="auto"/>
              <w:right w:val="single" w:sz="4" w:space="0" w:color="auto"/>
            </w:tcBorders>
          </w:tcPr>
          <w:p w14:paraId="1170E802"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Moderate</w:t>
            </w:r>
          </w:p>
        </w:tc>
        <w:tc>
          <w:tcPr>
            <w:tcW w:w="771" w:type="pct"/>
            <w:tcBorders>
              <w:top w:val="single" w:sz="4" w:space="0" w:color="auto"/>
              <w:left w:val="single" w:sz="4" w:space="0" w:color="auto"/>
              <w:bottom w:val="single" w:sz="4" w:space="0" w:color="auto"/>
              <w:right w:val="single" w:sz="4" w:space="0" w:color="auto"/>
            </w:tcBorders>
          </w:tcPr>
          <w:p w14:paraId="33815E75"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Major</w:t>
            </w:r>
          </w:p>
        </w:tc>
        <w:tc>
          <w:tcPr>
            <w:tcW w:w="971" w:type="pct"/>
            <w:tcBorders>
              <w:top w:val="single" w:sz="4" w:space="0" w:color="auto"/>
              <w:left w:val="single" w:sz="4" w:space="0" w:color="auto"/>
              <w:bottom w:val="single" w:sz="4" w:space="0" w:color="auto"/>
              <w:right w:val="single" w:sz="4" w:space="0" w:color="auto"/>
            </w:tcBorders>
          </w:tcPr>
          <w:p w14:paraId="05117E28"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Critical</w:t>
            </w:r>
          </w:p>
        </w:tc>
      </w:tr>
      <w:tr w:rsidR="00D2564A" w:rsidRPr="00BE5C55" w14:paraId="27EED0C0" w14:textId="77777777" w:rsidTr="00D2564A">
        <w:trPr>
          <w:trHeight w:val="179"/>
          <w:jc w:val="center"/>
        </w:trPr>
        <w:tc>
          <w:tcPr>
            <w:tcW w:w="290" w:type="pct"/>
            <w:vMerge/>
            <w:tcBorders>
              <w:left w:val="single" w:sz="4" w:space="0" w:color="auto"/>
              <w:right w:val="single" w:sz="4" w:space="0" w:color="auto"/>
            </w:tcBorders>
            <w:shd w:val="clear" w:color="auto" w:fill="D9D9D9" w:themeFill="background1" w:themeFillShade="D9"/>
          </w:tcPr>
          <w:p w14:paraId="1E8150D7" w14:textId="77777777" w:rsidR="00D2564A" w:rsidRPr="00BE5C55" w:rsidRDefault="00D2564A" w:rsidP="00112561">
            <w:pPr>
              <w:spacing w:before="60" w:after="60"/>
              <w:rPr>
                <w:rFonts w:ascii="Arial Narrow" w:hAnsi="Arial Narrow" w:cs="Arial"/>
                <w:b/>
                <w:sz w:val="18"/>
                <w:szCs w:val="18"/>
                <w:lang w:val="en-US"/>
              </w:rPr>
            </w:pPr>
          </w:p>
        </w:tc>
        <w:tc>
          <w:tcPr>
            <w:tcW w:w="717" w:type="pct"/>
            <w:tcBorders>
              <w:top w:val="single" w:sz="4" w:space="0" w:color="auto"/>
              <w:left w:val="single" w:sz="4" w:space="0" w:color="auto"/>
              <w:bottom w:val="single" w:sz="4" w:space="0" w:color="auto"/>
              <w:right w:val="single" w:sz="4" w:space="0" w:color="auto"/>
            </w:tcBorders>
            <w:vAlign w:val="center"/>
          </w:tcPr>
          <w:p w14:paraId="620709BE"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Almost Certain</w:t>
            </w:r>
          </w:p>
        </w:tc>
        <w:tc>
          <w:tcPr>
            <w:tcW w:w="799" w:type="pct"/>
            <w:tcBorders>
              <w:top w:val="single" w:sz="4" w:space="0" w:color="auto"/>
              <w:left w:val="single" w:sz="4" w:space="0" w:color="auto"/>
              <w:bottom w:val="single" w:sz="4" w:space="0" w:color="auto"/>
              <w:right w:val="single" w:sz="4" w:space="0" w:color="auto"/>
            </w:tcBorders>
            <w:shd w:val="clear" w:color="auto" w:fill="FFFF00"/>
            <w:vAlign w:val="center"/>
          </w:tcPr>
          <w:p w14:paraId="430D9C5C"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Moderate</w:t>
            </w:r>
          </w:p>
        </w:tc>
        <w:tc>
          <w:tcPr>
            <w:tcW w:w="762" w:type="pct"/>
            <w:tcBorders>
              <w:top w:val="single" w:sz="4" w:space="0" w:color="auto"/>
              <w:left w:val="single" w:sz="4" w:space="0" w:color="auto"/>
              <w:bottom w:val="single" w:sz="4" w:space="0" w:color="auto"/>
              <w:right w:val="single" w:sz="4" w:space="0" w:color="auto"/>
            </w:tcBorders>
            <w:shd w:val="clear" w:color="auto" w:fill="FFFF00"/>
            <w:vAlign w:val="center"/>
          </w:tcPr>
          <w:p w14:paraId="7C344332"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Moderate</w:t>
            </w:r>
          </w:p>
        </w:tc>
        <w:tc>
          <w:tcPr>
            <w:tcW w:w="690" w:type="pct"/>
            <w:tcBorders>
              <w:top w:val="single" w:sz="4" w:space="0" w:color="auto"/>
              <w:left w:val="single" w:sz="4" w:space="0" w:color="auto"/>
              <w:bottom w:val="single" w:sz="4" w:space="0" w:color="auto"/>
              <w:right w:val="single" w:sz="4" w:space="0" w:color="auto"/>
            </w:tcBorders>
            <w:shd w:val="clear" w:color="auto" w:fill="FFC000"/>
            <w:vAlign w:val="center"/>
          </w:tcPr>
          <w:p w14:paraId="7C02C3D4"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High</w:t>
            </w:r>
          </w:p>
        </w:tc>
        <w:tc>
          <w:tcPr>
            <w:tcW w:w="771" w:type="pct"/>
            <w:tcBorders>
              <w:top w:val="single" w:sz="4" w:space="0" w:color="auto"/>
              <w:left w:val="single" w:sz="4" w:space="0" w:color="auto"/>
              <w:bottom w:val="single" w:sz="4" w:space="0" w:color="auto"/>
              <w:right w:val="single" w:sz="4" w:space="0" w:color="auto"/>
            </w:tcBorders>
            <w:shd w:val="clear" w:color="auto" w:fill="FF0000"/>
            <w:vAlign w:val="center"/>
          </w:tcPr>
          <w:p w14:paraId="111FA729"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Extreme</w:t>
            </w:r>
          </w:p>
        </w:tc>
        <w:tc>
          <w:tcPr>
            <w:tcW w:w="971" w:type="pct"/>
            <w:tcBorders>
              <w:top w:val="single" w:sz="4" w:space="0" w:color="auto"/>
              <w:left w:val="single" w:sz="4" w:space="0" w:color="auto"/>
              <w:bottom w:val="single" w:sz="4" w:space="0" w:color="auto"/>
              <w:right w:val="single" w:sz="4" w:space="0" w:color="auto"/>
            </w:tcBorders>
            <w:shd w:val="clear" w:color="auto" w:fill="FF0000"/>
            <w:vAlign w:val="center"/>
          </w:tcPr>
          <w:p w14:paraId="065C8F36"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Extreme</w:t>
            </w:r>
          </w:p>
        </w:tc>
      </w:tr>
      <w:tr w:rsidR="00D2564A" w:rsidRPr="00BE5C55" w14:paraId="1DAD6140" w14:textId="77777777" w:rsidTr="00D2564A">
        <w:trPr>
          <w:trHeight w:val="145"/>
          <w:jc w:val="center"/>
        </w:trPr>
        <w:tc>
          <w:tcPr>
            <w:tcW w:w="290" w:type="pct"/>
            <w:vMerge/>
            <w:tcBorders>
              <w:left w:val="single" w:sz="4" w:space="0" w:color="auto"/>
              <w:right w:val="single" w:sz="4" w:space="0" w:color="auto"/>
            </w:tcBorders>
            <w:shd w:val="clear" w:color="auto" w:fill="D9D9D9" w:themeFill="background1" w:themeFillShade="D9"/>
          </w:tcPr>
          <w:p w14:paraId="0FCB3031" w14:textId="77777777" w:rsidR="00D2564A" w:rsidRPr="00BE5C55" w:rsidRDefault="00D2564A" w:rsidP="00112561">
            <w:pPr>
              <w:spacing w:before="60" w:after="60"/>
              <w:rPr>
                <w:rFonts w:ascii="Arial Narrow" w:hAnsi="Arial Narrow" w:cs="Arial"/>
                <w:b/>
                <w:sz w:val="18"/>
                <w:szCs w:val="18"/>
                <w:lang w:val="en-US"/>
              </w:rPr>
            </w:pPr>
          </w:p>
        </w:tc>
        <w:tc>
          <w:tcPr>
            <w:tcW w:w="717" w:type="pct"/>
            <w:tcBorders>
              <w:top w:val="single" w:sz="4" w:space="0" w:color="auto"/>
              <w:left w:val="single" w:sz="4" w:space="0" w:color="auto"/>
              <w:bottom w:val="single" w:sz="4" w:space="0" w:color="auto"/>
              <w:right w:val="single" w:sz="4" w:space="0" w:color="auto"/>
            </w:tcBorders>
            <w:vAlign w:val="center"/>
          </w:tcPr>
          <w:p w14:paraId="0104847F"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Likely</w:t>
            </w:r>
          </w:p>
        </w:tc>
        <w:tc>
          <w:tcPr>
            <w:tcW w:w="799" w:type="pct"/>
            <w:tcBorders>
              <w:top w:val="single" w:sz="4" w:space="0" w:color="auto"/>
              <w:left w:val="single" w:sz="4" w:space="0" w:color="auto"/>
              <w:bottom w:val="single" w:sz="4" w:space="0" w:color="auto"/>
              <w:right w:val="single" w:sz="4" w:space="0" w:color="auto"/>
            </w:tcBorders>
            <w:shd w:val="clear" w:color="auto" w:fill="FFFF00"/>
            <w:vAlign w:val="center"/>
          </w:tcPr>
          <w:p w14:paraId="255BB48F"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Moderate</w:t>
            </w:r>
          </w:p>
        </w:tc>
        <w:tc>
          <w:tcPr>
            <w:tcW w:w="762" w:type="pct"/>
            <w:tcBorders>
              <w:top w:val="single" w:sz="4" w:space="0" w:color="auto"/>
              <w:left w:val="single" w:sz="4" w:space="0" w:color="auto"/>
              <w:bottom w:val="single" w:sz="4" w:space="0" w:color="auto"/>
              <w:right w:val="single" w:sz="4" w:space="0" w:color="auto"/>
            </w:tcBorders>
            <w:shd w:val="clear" w:color="auto" w:fill="FFFF00"/>
            <w:vAlign w:val="center"/>
          </w:tcPr>
          <w:p w14:paraId="4A2AA32C"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Moderate</w:t>
            </w:r>
          </w:p>
        </w:tc>
        <w:tc>
          <w:tcPr>
            <w:tcW w:w="690" w:type="pct"/>
            <w:tcBorders>
              <w:top w:val="single" w:sz="4" w:space="0" w:color="auto"/>
              <w:left w:val="single" w:sz="4" w:space="0" w:color="auto"/>
              <w:bottom w:val="single" w:sz="4" w:space="0" w:color="auto"/>
              <w:right w:val="single" w:sz="4" w:space="0" w:color="auto"/>
            </w:tcBorders>
            <w:shd w:val="clear" w:color="auto" w:fill="FFC000"/>
            <w:vAlign w:val="center"/>
          </w:tcPr>
          <w:p w14:paraId="60C2B06D"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High</w:t>
            </w:r>
          </w:p>
        </w:tc>
        <w:tc>
          <w:tcPr>
            <w:tcW w:w="771" w:type="pct"/>
            <w:tcBorders>
              <w:top w:val="single" w:sz="4" w:space="0" w:color="auto"/>
              <w:left w:val="single" w:sz="4" w:space="0" w:color="auto"/>
              <w:bottom w:val="single" w:sz="4" w:space="0" w:color="auto"/>
              <w:right w:val="single" w:sz="4" w:space="0" w:color="auto"/>
            </w:tcBorders>
            <w:shd w:val="clear" w:color="auto" w:fill="FFC000"/>
            <w:vAlign w:val="center"/>
          </w:tcPr>
          <w:p w14:paraId="27F73B3D"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High</w:t>
            </w:r>
          </w:p>
        </w:tc>
        <w:tc>
          <w:tcPr>
            <w:tcW w:w="971" w:type="pct"/>
            <w:tcBorders>
              <w:top w:val="single" w:sz="4" w:space="0" w:color="auto"/>
              <w:left w:val="single" w:sz="4" w:space="0" w:color="auto"/>
              <w:bottom w:val="single" w:sz="4" w:space="0" w:color="auto"/>
              <w:right w:val="single" w:sz="4" w:space="0" w:color="auto"/>
            </w:tcBorders>
            <w:shd w:val="clear" w:color="auto" w:fill="FF0000"/>
            <w:vAlign w:val="center"/>
          </w:tcPr>
          <w:p w14:paraId="52A84D61"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Extreme</w:t>
            </w:r>
          </w:p>
        </w:tc>
      </w:tr>
      <w:tr w:rsidR="00D2564A" w:rsidRPr="00BE5C55" w14:paraId="6461546B" w14:textId="77777777" w:rsidTr="00DC5B00">
        <w:trPr>
          <w:trHeight w:val="141"/>
          <w:jc w:val="center"/>
        </w:trPr>
        <w:tc>
          <w:tcPr>
            <w:tcW w:w="290" w:type="pct"/>
            <w:vMerge/>
            <w:tcBorders>
              <w:left w:val="single" w:sz="4" w:space="0" w:color="auto"/>
              <w:right w:val="single" w:sz="4" w:space="0" w:color="auto"/>
            </w:tcBorders>
            <w:shd w:val="clear" w:color="auto" w:fill="D9D9D9" w:themeFill="background1" w:themeFillShade="D9"/>
          </w:tcPr>
          <w:p w14:paraId="1F789404" w14:textId="77777777" w:rsidR="00D2564A" w:rsidRPr="00BE5C55" w:rsidRDefault="00D2564A" w:rsidP="00112561">
            <w:pPr>
              <w:spacing w:before="60" w:after="60"/>
              <w:rPr>
                <w:rFonts w:ascii="Arial Narrow" w:hAnsi="Arial Narrow" w:cs="Arial"/>
                <w:b/>
                <w:sz w:val="18"/>
                <w:szCs w:val="18"/>
                <w:lang w:val="en-US"/>
              </w:rPr>
            </w:pPr>
          </w:p>
        </w:tc>
        <w:tc>
          <w:tcPr>
            <w:tcW w:w="717" w:type="pct"/>
            <w:tcBorders>
              <w:top w:val="single" w:sz="4" w:space="0" w:color="auto"/>
              <w:left w:val="single" w:sz="4" w:space="0" w:color="auto"/>
              <w:bottom w:val="single" w:sz="4" w:space="0" w:color="auto"/>
              <w:right w:val="single" w:sz="4" w:space="0" w:color="auto"/>
            </w:tcBorders>
            <w:vAlign w:val="center"/>
          </w:tcPr>
          <w:p w14:paraId="6FD32708"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Possible</w:t>
            </w:r>
          </w:p>
        </w:tc>
        <w:tc>
          <w:tcPr>
            <w:tcW w:w="799" w:type="pct"/>
            <w:tcBorders>
              <w:top w:val="single" w:sz="4" w:space="0" w:color="auto"/>
              <w:left w:val="single" w:sz="4" w:space="0" w:color="auto"/>
              <w:bottom w:val="single" w:sz="4" w:space="0" w:color="auto"/>
              <w:right w:val="single" w:sz="4" w:space="0" w:color="auto"/>
            </w:tcBorders>
            <w:shd w:val="clear" w:color="auto" w:fill="92D050"/>
            <w:vAlign w:val="center"/>
          </w:tcPr>
          <w:p w14:paraId="128D45FC"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Low</w:t>
            </w:r>
          </w:p>
        </w:tc>
        <w:tc>
          <w:tcPr>
            <w:tcW w:w="762" w:type="pct"/>
            <w:tcBorders>
              <w:top w:val="single" w:sz="4" w:space="0" w:color="auto"/>
              <w:left w:val="single" w:sz="4" w:space="0" w:color="auto"/>
              <w:bottom w:val="single" w:sz="4" w:space="0" w:color="auto"/>
              <w:right w:val="single" w:sz="4" w:space="0" w:color="auto"/>
            </w:tcBorders>
            <w:shd w:val="clear" w:color="auto" w:fill="FFFF00"/>
            <w:vAlign w:val="center"/>
          </w:tcPr>
          <w:p w14:paraId="50C29390"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Moderate</w:t>
            </w:r>
          </w:p>
        </w:tc>
        <w:tc>
          <w:tcPr>
            <w:tcW w:w="690" w:type="pct"/>
            <w:tcBorders>
              <w:top w:val="single" w:sz="4" w:space="0" w:color="auto"/>
              <w:left w:val="single" w:sz="4" w:space="0" w:color="auto"/>
              <w:bottom w:val="single" w:sz="4" w:space="0" w:color="auto"/>
              <w:right w:val="single" w:sz="4" w:space="0" w:color="auto"/>
            </w:tcBorders>
            <w:shd w:val="clear" w:color="auto" w:fill="FFFF00"/>
            <w:vAlign w:val="center"/>
          </w:tcPr>
          <w:p w14:paraId="53A3CBEF"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Moderate</w:t>
            </w:r>
          </w:p>
        </w:tc>
        <w:tc>
          <w:tcPr>
            <w:tcW w:w="771" w:type="pct"/>
            <w:tcBorders>
              <w:top w:val="single" w:sz="4" w:space="0" w:color="auto"/>
              <w:left w:val="single" w:sz="4" w:space="0" w:color="auto"/>
              <w:bottom w:val="single" w:sz="4" w:space="0" w:color="auto"/>
              <w:right w:val="single" w:sz="4" w:space="0" w:color="auto"/>
            </w:tcBorders>
            <w:shd w:val="clear" w:color="auto" w:fill="FFC000"/>
            <w:vAlign w:val="center"/>
          </w:tcPr>
          <w:p w14:paraId="4DD37ABF"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High</w:t>
            </w:r>
          </w:p>
        </w:tc>
        <w:tc>
          <w:tcPr>
            <w:tcW w:w="971" w:type="pct"/>
            <w:tcBorders>
              <w:top w:val="single" w:sz="4" w:space="0" w:color="auto"/>
              <w:left w:val="single" w:sz="4" w:space="0" w:color="auto"/>
              <w:bottom w:val="single" w:sz="4" w:space="0" w:color="auto"/>
              <w:right w:val="single" w:sz="4" w:space="0" w:color="auto"/>
            </w:tcBorders>
            <w:shd w:val="clear" w:color="auto" w:fill="FFC000"/>
            <w:vAlign w:val="center"/>
          </w:tcPr>
          <w:p w14:paraId="4518D2F2"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High</w:t>
            </w:r>
          </w:p>
        </w:tc>
      </w:tr>
      <w:tr w:rsidR="00D2564A" w:rsidRPr="00BE5C55" w14:paraId="225144F7" w14:textId="77777777" w:rsidTr="00DC5B00">
        <w:trPr>
          <w:trHeight w:val="165"/>
          <w:jc w:val="center"/>
        </w:trPr>
        <w:tc>
          <w:tcPr>
            <w:tcW w:w="290" w:type="pct"/>
            <w:vMerge/>
            <w:tcBorders>
              <w:left w:val="single" w:sz="4" w:space="0" w:color="auto"/>
              <w:right w:val="single" w:sz="4" w:space="0" w:color="auto"/>
            </w:tcBorders>
            <w:shd w:val="clear" w:color="auto" w:fill="D9D9D9" w:themeFill="background1" w:themeFillShade="D9"/>
          </w:tcPr>
          <w:p w14:paraId="04F08A28" w14:textId="77777777" w:rsidR="00D2564A" w:rsidRPr="00BE5C55" w:rsidRDefault="00D2564A" w:rsidP="00112561">
            <w:pPr>
              <w:spacing w:before="60" w:after="60"/>
              <w:rPr>
                <w:rFonts w:ascii="Arial Narrow" w:hAnsi="Arial Narrow" w:cs="Arial"/>
                <w:b/>
                <w:sz w:val="18"/>
                <w:szCs w:val="18"/>
                <w:lang w:val="en-US"/>
              </w:rPr>
            </w:pPr>
          </w:p>
        </w:tc>
        <w:tc>
          <w:tcPr>
            <w:tcW w:w="717" w:type="pct"/>
            <w:tcBorders>
              <w:top w:val="single" w:sz="4" w:space="0" w:color="auto"/>
              <w:left w:val="single" w:sz="4" w:space="0" w:color="auto"/>
              <w:bottom w:val="single" w:sz="4" w:space="0" w:color="auto"/>
              <w:right w:val="single" w:sz="4" w:space="0" w:color="auto"/>
            </w:tcBorders>
            <w:vAlign w:val="center"/>
          </w:tcPr>
          <w:p w14:paraId="1AF0C89F"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Unlikely</w:t>
            </w:r>
          </w:p>
        </w:tc>
        <w:tc>
          <w:tcPr>
            <w:tcW w:w="799" w:type="pct"/>
            <w:tcBorders>
              <w:top w:val="single" w:sz="4" w:space="0" w:color="auto"/>
              <w:left w:val="single" w:sz="4" w:space="0" w:color="auto"/>
              <w:bottom w:val="single" w:sz="4" w:space="0" w:color="auto"/>
              <w:right w:val="single" w:sz="4" w:space="0" w:color="auto"/>
            </w:tcBorders>
            <w:shd w:val="clear" w:color="auto" w:fill="92D050"/>
            <w:vAlign w:val="center"/>
          </w:tcPr>
          <w:p w14:paraId="224D360F"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Low</w:t>
            </w:r>
          </w:p>
        </w:tc>
        <w:tc>
          <w:tcPr>
            <w:tcW w:w="762" w:type="pct"/>
            <w:tcBorders>
              <w:top w:val="single" w:sz="4" w:space="0" w:color="auto"/>
              <w:left w:val="single" w:sz="4" w:space="0" w:color="auto"/>
              <w:bottom w:val="single" w:sz="4" w:space="0" w:color="auto"/>
              <w:right w:val="single" w:sz="4" w:space="0" w:color="auto"/>
            </w:tcBorders>
            <w:shd w:val="clear" w:color="auto" w:fill="92D050"/>
            <w:vAlign w:val="center"/>
          </w:tcPr>
          <w:p w14:paraId="071F9D11"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Low</w:t>
            </w:r>
          </w:p>
        </w:tc>
        <w:tc>
          <w:tcPr>
            <w:tcW w:w="690" w:type="pct"/>
            <w:tcBorders>
              <w:top w:val="single" w:sz="4" w:space="0" w:color="auto"/>
              <w:left w:val="single" w:sz="4" w:space="0" w:color="auto"/>
              <w:bottom w:val="single" w:sz="4" w:space="0" w:color="auto"/>
              <w:right w:val="single" w:sz="4" w:space="0" w:color="auto"/>
            </w:tcBorders>
            <w:shd w:val="clear" w:color="auto" w:fill="FFFF00"/>
            <w:vAlign w:val="center"/>
          </w:tcPr>
          <w:p w14:paraId="62D950D1"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Moderate</w:t>
            </w:r>
          </w:p>
        </w:tc>
        <w:tc>
          <w:tcPr>
            <w:tcW w:w="771" w:type="pct"/>
            <w:tcBorders>
              <w:top w:val="single" w:sz="4" w:space="0" w:color="auto"/>
              <w:left w:val="single" w:sz="4" w:space="0" w:color="auto"/>
              <w:bottom w:val="single" w:sz="4" w:space="0" w:color="auto"/>
              <w:right w:val="single" w:sz="4" w:space="0" w:color="auto"/>
            </w:tcBorders>
            <w:shd w:val="clear" w:color="auto" w:fill="FFFF00"/>
            <w:vAlign w:val="center"/>
          </w:tcPr>
          <w:p w14:paraId="45FE523E"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Moderate</w:t>
            </w:r>
          </w:p>
        </w:tc>
        <w:tc>
          <w:tcPr>
            <w:tcW w:w="971" w:type="pct"/>
            <w:tcBorders>
              <w:top w:val="single" w:sz="4" w:space="0" w:color="auto"/>
              <w:left w:val="single" w:sz="4" w:space="0" w:color="auto"/>
              <w:bottom w:val="single" w:sz="4" w:space="0" w:color="auto"/>
              <w:right w:val="single" w:sz="4" w:space="0" w:color="auto"/>
            </w:tcBorders>
            <w:shd w:val="clear" w:color="auto" w:fill="FFC000"/>
            <w:vAlign w:val="center"/>
          </w:tcPr>
          <w:p w14:paraId="48A5F914"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High</w:t>
            </w:r>
          </w:p>
        </w:tc>
      </w:tr>
      <w:tr w:rsidR="00D2564A" w:rsidRPr="00BE5C55" w14:paraId="6D312811" w14:textId="77777777" w:rsidTr="00DC5B00">
        <w:trPr>
          <w:trHeight w:val="285"/>
          <w:jc w:val="center"/>
        </w:trPr>
        <w:tc>
          <w:tcPr>
            <w:tcW w:w="290" w:type="pct"/>
            <w:vMerge/>
            <w:tcBorders>
              <w:left w:val="single" w:sz="4" w:space="0" w:color="auto"/>
              <w:bottom w:val="single" w:sz="4" w:space="0" w:color="auto"/>
              <w:right w:val="single" w:sz="4" w:space="0" w:color="auto"/>
            </w:tcBorders>
            <w:shd w:val="clear" w:color="auto" w:fill="D9D9D9" w:themeFill="background1" w:themeFillShade="D9"/>
          </w:tcPr>
          <w:p w14:paraId="22CF8343" w14:textId="77777777" w:rsidR="00D2564A" w:rsidRPr="00BE5C55" w:rsidRDefault="00D2564A" w:rsidP="00112561">
            <w:pPr>
              <w:spacing w:before="60" w:after="60"/>
              <w:rPr>
                <w:rFonts w:ascii="Arial Narrow" w:hAnsi="Arial Narrow" w:cs="Arial"/>
                <w:b/>
                <w:sz w:val="18"/>
                <w:szCs w:val="18"/>
                <w:lang w:val="en-US"/>
              </w:rPr>
            </w:pPr>
          </w:p>
        </w:tc>
        <w:tc>
          <w:tcPr>
            <w:tcW w:w="717" w:type="pct"/>
            <w:tcBorders>
              <w:top w:val="single" w:sz="4" w:space="0" w:color="auto"/>
              <w:left w:val="single" w:sz="4" w:space="0" w:color="auto"/>
              <w:bottom w:val="single" w:sz="4" w:space="0" w:color="auto"/>
              <w:right w:val="single" w:sz="4" w:space="0" w:color="auto"/>
            </w:tcBorders>
            <w:vAlign w:val="center"/>
          </w:tcPr>
          <w:p w14:paraId="0DEB586A"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Rare</w:t>
            </w:r>
          </w:p>
        </w:tc>
        <w:tc>
          <w:tcPr>
            <w:tcW w:w="799" w:type="pct"/>
            <w:tcBorders>
              <w:top w:val="single" w:sz="4" w:space="0" w:color="auto"/>
              <w:left w:val="single" w:sz="4" w:space="0" w:color="auto"/>
              <w:bottom w:val="single" w:sz="4" w:space="0" w:color="auto"/>
              <w:right w:val="single" w:sz="4" w:space="0" w:color="auto"/>
            </w:tcBorders>
            <w:shd w:val="clear" w:color="auto" w:fill="92D050"/>
            <w:vAlign w:val="center"/>
          </w:tcPr>
          <w:p w14:paraId="18ABA165"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Low</w:t>
            </w:r>
          </w:p>
        </w:tc>
        <w:tc>
          <w:tcPr>
            <w:tcW w:w="762" w:type="pct"/>
            <w:tcBorders>
              <w:top w:val="single" w:sz="4" w:space="0" w:color="auto"/>
              <w:left w:val="single" w:sz="4" w:space="0" w:color="auto"/>
              <w:bottom w:val="single" w:sz="4" w:space="0" w:color="auto"/>
              <w:right w:val="single" w:sz="4" w:space="0" w:color="auto"/>
            </w:tcBorders>
            <w:shd w:val="clear" w:color="auto" w:fill="92D050"/>
            <w:vAlign w:val="center"/>
          </w:tcPr>
          <w:p w14:paraId="0B5B4CBA"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Low</w:t>
            </w:r>
          </w:p>
        </w:tc>
        <w:tc>
          <w:tcPr>
            <w:tcW w:w="690" w:type="pct"/>
            <w:tcBorders>
              <w:top w:val="single" w:sz="4" w:space="0" w:color="auto"/>
              <w:left w:val="single" w:sz="4" w:space="0" w:color="auto"/>
              <w:bottom w:val="single" w:sz="4" w:space="0" w:color="auto"/>
              <w:right w:val="single" w:sz="4" w:space="0" w:color="auto"/>
            </w:tcBorders>
            <w:shd w:val="clear" w:color="auto" w:fill="92D050"/>
            <w:vAlign w:val="center"/>
          </w:tcPr>
          <w:p w14:paraId="489B356A"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Low</w:t>
            </w:r>
          </w:p>
        </w:tc>
        <w:tc>
          <w:tcPr>
            <w:tcW w:w="771" w:type="pct"/>
            <w:tcBorders>
              <w:top w:val="single" w:sz="4" w:space="0" w:color="auto"/>
              <w:left w:val="single" w:sz="4" w:space="0" w:color="auto"/>
              <w:bottom w:val="single" w:sz="4" w:space="0" w:color="auto"/>
              <w:right w:val="single" w:sz="4" w:space="0" w:color="auto"/>
            </w:tcBorders>
            <w:shd w:val="clear" w:color="auto" w:fill="FFFF00"/>
            <w:vAlign w:val="center"/>
          </w:tcPr>
          <w:p w14:paraId="055D060B"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Moderate</w:t>
            </w:r>
          </w:p>
        </w:tc>
        <w:tc>
          <w:tcPr>
            <w:tcW w:w="971" w:type="pct"/>
            <w:tcBorders>
              <w:top w:val="single" w:sz="4" w:space="0" w:color="auto"/>
              <w:left w:val="single" w:sz="4" w:space="0" w:color="auto"/>
              <w:bottom w:val="single" w:sz="4" w:space="0" w:color="auto"/>
              <w:right w:val="single" w:sz="4" w:space="0" w:color="auto"/>
            </w:tcBorders>
            <w:shd w:val="clear" w:color="auto" w:fill="FFC000"/>
            <w:vAlign w:val="center"/>
          </w:tcPr>
          <w:p w14:paraId="5CBD8200" w14:textId="77777777" w:rsidR="00D2564A" w:rsidRPr="00BE5C55" w:rsidRDefault="00D2564A" w:rsidP="00112561">
            <w:pPr>
              <w:spacing w:before="60" w:after="60"/>
              <w:jc w:val="center"/>
              <w:rPr>
                <w:rFonts w:ascii="Arial Narrow" w:hAnsi="Arial Narrow" w:cs="Arial"/>
                <w:b/>
                <w:sz w:val="18"/>
                <w:szCs w:val="18"/>
                <w:lang w:val="en-US"/>
              </w:rPr>
            </w:pPr>
            <w:r w:rsidRPr="00BE5C55">
              <w:rPr>
                <w:rFonts w:ascii="Arial Narrow" w:hAnsi="Arial Narrow" w:cs="Arial"/>
                <w:b/>
                <w:sz w:val="18"/>
                <w:szCs w:val="18"/>
                <w:lang w:val="en-US"/>
              </w:rPr>
              <w:t>High</w:t>
            </w:r>
          </w:p>
        </w:tc>
      </w:tr>
    </w:tbl>
    <w:p w14:paraId="393044C6" w14:textId="77777777" w:rsidR="00D2564A" w:rsidRDefault="00D2564A">
      <w:pPr>
        <w:spacing w:after="200" w:line="276" w:lineRule="auto"/>
        <w:jc w:val="left"/>
      </w:pPr>
      <w:r>
        <w:br w:type="page"/>
      </w:r>
    </w:p>
    <w:p w14:paraId="1E4FE29D" w14:textId="77777777" w:rsidR="007675A4" w:rsidRPr="000A32E0" w:rsidRDefault="007675A4" w:rsidP="007675A4">
      <w:pPr>
        <w:pStyle w:val="Heading2"/>
      </w:pPr>
      <w:bookmarkStart w:id="359" w:name="_Ref9333977"/>
      <w:bookmarkStart w:id="360" w:name="_Ref9503088"/>
      <w:bookmarkStart w:id="361" w:name="_Toc22196749"/>
      <w:r w:rsidRPr="000A32E0">
        <w:lastRenderedPageBreak/>
        <w:t xml:space="preserve">Quality </w:t>
      </w:r>
      <w:r>
        <w:t>assurance</w:t>
      </w:r>
      <w:r w:rsidRPr="000A32E0">
        <w:t xml:space="preserve"> </w:t>
      </w:r>
      <w:r>
        <w:t>plan</w:t>
      </w:r>
      <w:bookmarkEnd w:id="359"/>
      <w:bookmarkEnd w:id="360"/>
      <w:bookmarkEnd w:id="361"/>
    </w:p>
    <w:p w14:paraId="79B5654B" w14:textId="74CCA72F" w:rsidR="007675A4" w:rsidRPr="006D2CA5" w:rsidRDefault="007675A4" w:rsidP="007675A4">
      <w:r>
        <w:t>This</w:t>
      </w:r>
      <w:r w:rsidRPr="000A32E0">
        <w:t xml:space="preserve"> Quality Assurance Plan</w:t>
      </w:r>
      <w:r>
        <w:t xml:space="preserve"> </w:t>
      </w:r>
      <w:r w:rsidRPr="000A32E0">
        <w:t>document</w:t>
      </w:r>
      <w:r>
        <w:t>s</w:t>
      </w:r>
      <w:r w:rsidRPr="000A32E0">
        <w:t xml:space="preserve"> quality control and quality assurance procedures for activities at the Selected Area. </w:t>
      </w:r>
      <w:r>
        <w:t>The plan has been</w:t>
      </w:r>
      <w:r w:rsidRPr="000A32E0">
        <w:t xml:space="preserve"> developed in accordance with relevant standards such as AS/NZS ISO 10005:2006</w:t>
      </w:r>
      <w:r>
        <w:t xml:space="preserve"> </w:t>
      </w:r>
      <w:r w:rsidRPr="000A32E0">
        <w:t>Quality management systems</w:t>
      </w:r>
      <w:r>
        <w:t xml:space="preserve"> – </w:t>
      </w:r>
      <w:r w:rsidRPr="000A32E0">
        <w:t xml:space="preserve">Guidelines for quality plans; and ANZECC and ARMCANZ (2000) </w:t>
      </w:r>
      <w:r w:rsidRPr="006D2CA5">
        <w:t>Australian Guidelines for Water Quality Monitoring and Reporting. Further information on data management and health and safety procedures are provided</w:t>
      </w:r>
      <w:r>
        <w:t xml:space="preserve"> in </w:t>
      </w:r>
      <w:r w:rsidR="00DE3BCB">
        <w:t xml:space="preserve">Section </w:t>
      </w:r>
      <w:r w:rsidR="00DE3BCB">
        <w:fldChar w:fldCharType="begin"/>
      </w:r>
      <w:r w:rsidR="00DE3BCB">
        <w:instrText xml:space="preserve"> REF _Ref10196755 \r \h </w:instrText>
      </w:r>
      <w:r w:rsidR="00DE3BCB">
        <w:fldChar w:fldCharType="separate"/>
      </w:r>
      <w:r w:rsidR="00DF49CD">
        <w:t>11</w:t>
      </w:r>
      <w:r w:rsidR="00DE3BCB">
        <w:fldChar w:fldCharType="end"/>
      </w:r>
      <w:r w:rsidR="00DE3BCB">
        <w:t xml:space="preserve"> and </w:t>
      </w:r>
      <w:r w:rsidR="000E285D">
        <w:t>Appendix A</w:t>
      </w:r>
      <w:r>
        <w:t>.</w:t>
      </w:r>
    </w:p>
    <w:p w14:paraId="3EFBDA4B" w14:textId="77777777" w:rsidR="007675A4" w:rsidRPr="006D2CA5" w:rsidRDefault="007675A4" w:rsidP="007675A4">
      <w:pPr>
        <w:pStyle w:val="Heading3"/>
      </w:pPr>
      <w:bookmarkStart w:id="362" w:name="_Toc22196750"/>
      <w:r>
        <w:t>Field sampling and e</w:t>
      </w:r>
      <w:r w:rsidRPr="006D2CA5">
        <w:t>quipment</w:t>
      </w:r>
      <w:bookmarkEnd w:id="362"/>
    </w:p>
    <w:p w14:paraId="5EF24663" w14:textId="3268A028" w:rsidR="007675A4" w:rsidRPr="006D2CA5" w:rsidRDefault="007675A4" w:rsidP="007675A4">
      <w:pPr>
        <w:pStyle w:val="Heading4"/>
      </w:pPr>
      <w:r w:rsidRPr="0066182D">
        <w:rPr>
          <w:i/>
        </w:rPr>
        <w:t xml:space="preserve">Stream </w:t>
      </w:r>
      <w:r w:rsidR="0066182D" w:rsidRPr="0066182D">
        <w:rPr>
          <w:i/>
        </w:rPr>
        <w:t>Metabolism Water Q</w:t>
      </w:r>
      <w:r w:rsidRPr="0066182D">
        <w:rPr>
          <w:i/>
        </w:rPr>
        <w:t>uality</w:t>
      </w:r>
      <w:r w:rsidRPr="006D2CA5">
        <w:t xml:space="preserve"> samples and equipment maintenance </w:t>
      </w:r>
    </w:p>
    <w:p w14:paraId="0F832753" w14:textId="6C247CEE" w:rsidR="007675A4" w:rsidRPr="00717B78" w:rsidRDefault="007675A4" w:rsidP="007675A4">
      <w:pPr>
        <w:pStyle w:val="CM19"/>
        <w:spacing w:after="160" w:line="268" w:lineRule="atLeast"/>
        <w:jc w:val="both"/>
      </w:pPr>
      <w:r w:rsidRPr="006D2CA5">
        <w:rPr>
          <w:rFonts w:asciiTheme="minorHAnsi" w:hAnsiTheme="minorHAnsi" w:cs="Calibri"/>
          <w:color w:val="000000"/>
          <w:sz w:val="22"/>
          <w:szCs w:val="22"/>
        </w:rPr>
        <w:t xml:space="preserve">Quality control and quality assurance protocols </w:t>
      </w:r>
      <w:r>
        <w:rPr>
          <w:rFonts w:asciiTheme="minorHAnsi" w:hAnsiTheme="minorHAnsi" w:cs="Calibri"/>
          <w:color w:val="000000"/>
          <w:sz w:val="22"/>
          <w:szCs w:val="22"/>
        </w:rPr>
        <w:t>have been developed for</w:t>
      </w:r>
      <w:r w:rsidRPr="006D2CA5">
        <w:rPr>
          <w:rFonts w:asciiTheme="minorHAnsi" w:hAnsiTheme="minorHAnsi" w:cs="Calibri"/>
          <w:color w:val="000000"/>
          <w:sz w:val="22"/>
          <w:szCs w:val="22"/>
        </w:rPr>
        <w:t xml:space="preserve"> </w:t>
      </w:r>
      <w:r w:rsidRPr="0066182D">
        <w:rPr>
          <w:rFonts w:asciiTheme="minorHAnsi" w:hAnsiTheme="minorHAnsi" w:cs="Calibri"/>
          <w:i/>
          <w:color w:val="000000"/>
          <w:sz w:val="22"/>
          <w:szCs w:val="22"/>
        </w:rPr>
        <w:t xml:space="preserve">Stream </w:t>
      </w:r>
      <w:r w:rsidR="0066182D" w:rsidRPr="0066182D">
        <w:rPr>
          <w:rFonts w:asciiTheme="minorHAnsi" w:hAnsiTheme="minorHAnsi" w:cstheme="minorHAnsi"/>
          <w:i/>
          <w:color w:val="000000"/>
          <w:sz w:val="22"/>
          <w:szCs w:val="22"/>
        </w:rPr>
        <w:t>M</w:t>
      </w:r>
      <w:r w:rsidRPr="0066182D">
        <w:rPr>
          <w:rFonts w:asciiTheme="minorHAnsi" w:hAnsiTheme="minorHAnsi" w:cstheme="minorHAnsi"/>
          <w:i/>
          <w:color w:val="000000"/>
          <w:sz w:val="22"/>
          <w:szCs w:val="22"/>
        </w:rPr>
        <w:t>etabolism</w:t>
      </w:r>
      <w:r w:rsidR="0066182D" w:rsidRPr="0066182D">
        <w:rPr>
          <w:rFonts w:asciiTheme="minorHAnsi" w:hAnsiTheme="minorHAnsi" w:cstheme="minorHAnsi"/>
          <w:i/>
          <w:color w:val="000000"/>
          <w:sz w:val="22"/>
          <w:szCs w:val="22"/>
        </w:rPr>
        <w:t xml:space="preserve"> and Water Quality</w:t>
      </w:r>
      <w:r w:rsidRPr="006D2CA5">
        <w:rPr>
          <w:rFonts w:asciiTheme="minorHAnsi" w:hAnsiTheme="minorHAnsi" w:cstheme="minorHAnsi"/>
          <w:color w:val="000000"/>
          <w:sz w:val="22"/>
          <w:szCs w:val="22"/>
        </w:rPr>
        <w:t>. In terms</w:t>
      </w:r>
      <w:r w:rsidRPr="006D2CA5">
        <w:rPr>
          <w:rFonts w:asciiTheme="minorHAnsi" w:hAnsiTheme="minorHAnsi" w:cs="Calibri"/>
          <w:color w:val="000000"/>
          <w:sz w:val="22"/>
          <w:szCs w:val="22"/>
        </w:rPr>
        <w:t xml:space="preserve"> of this method, the Quality Plan has been addressed by the descriptions of: </w:t>
      </w:r>
    </w:p>
    <w:p w14:paraId="35884916" w14:textId="37C93861" w:rsidR="007675A4" w:rsidRPr="008A64D4" w:rsidRDefault="007675A4" w:rsidP="007675A4">
      <w:pPr>
        <w:pStyle w:val="ListParagraph"/>
        <w:numPr>
          <w:ilvl w:val="0"/>
          <w:numId w:val="13"/>
        </w:numPr>
        <w:contextualSpacing w:val="0"/>
        <w:rPr>
          <w:rFonts w:eastAsiaTheme="minorHAnsi"/>
        </w:rPr>
      </w:pPr>
      <w:r w:rsidRPr="00717B78">
        <w:rPr>
          <w:rFonts w:eastAsiaTheme="minorHAnsi"/>
          <w:u w:val="single"/>
        </w:rPr>
        <w:t>Requirements for NATA accreditation for water quality analyses</w:t>
      </w:r>
      <w:r w:rsidRPr="008A64D4">
        <w:rPr>
          <w:rFonts w:eastAsiaTheme="minorHAnsi"/>
        </w:rPr>
        <w:t>: Water quality samples will be collected following the described protocol using methods detailed by the Australian Water Quality Centre, a NATA registered laboratory that will undertake the sample analyses. Water quality samples will be by pooling multiple, depth-integrated tube samples and analysed along with field blanks. Holding times for water quality samples will follow AWQC and NATA requirements (</w:t>
      </w:r>
      <w:r w:rsidR="000E285D">
        <w:rPr>
          <w:rFonts w:eastAsiaTheme="minorHAnsi"/>
        </w:rPr>
        <w:t>Appendix B</w:t>
      </w:r>
      <w:r w:rsidRPr="002708B4">
        <w:rPr>
          <w:rFonts w:eastAsiaTheme="minorHAnsi"/>
        </w:rPr>
        <w:t xml:space="preserve">, </w:t>
      </w:r>
      <w:r w:rsidR="00D426B1">
        <w:rPr>
          <w:rFonts w:eastAsiaTheme="minorHAnsi"/>
        </w:rPr>
        <w:t>Table B.3</w:t>
      </w:r>
      <w:r w:rsidRPr="008A64D4">
        <w:rPr>
          <w:rFonts w:eastAsiaTheme="minorHAnsi"/>
        </w:rPr>
        <w:t>).</w:t>
      </w:r>
    </w:p>
    <w:p w14:paraId="486891BB" w14:textId="77777777" w:rsidR="007675A4" w:rsidRDefault="007675A4" w:rsidP="007675A4">
      <w:pPr>
        <w:pStyle w:val="ListParagraph"/>
        <w:numPr>
          <w:ilvl w:val="0"/>
          <w:numId w:val="13"/>
        </w:numPr>
        <w:spacing w:before="120"/>
        <w:ind w:left="714" w:hanging="357"/>
        <w:contextualSpacing w:val="0"/>
        <w:rPr>
          <w:rFonts w:eastAsiaTheme="minorHAnsi"/>
        </w:rPr>
      </w:pPr>
      <w:r w:rsidRPr="00717B78">
        <w:rPr>
          <w:rFonts w:eastAsiaTheme="minorHAnsi"/>
          <w:u w:val="single"/>
        </w:rPr>
        <w:t>Calibration and maintenance of sensors and loggers</w:t>
      </w:r>
      <w:r>
        <w:rPr>
          <w:rFonts w:eastAsiaTheme="minorHAnsi"/>
        </w:rPr>
        <w:t>:</w:t>
      </w:r>
      <w:r w:rsidRPr="00E14078">
        <w:rPr>
          <w:rFonts w:eastAsiaTheme="minorHAnsi"/>
        </w:rPr>
        <w:t xml:space="preserve"> </w:t>
      </w:r>
      <w:r w:rsidRPr="008A64D4">
        <w:rPr>
          <w:rFonts w:eastAsiaTheme="minorHAnsi"/>
        </w:rPr>
        <w:t>Sites for stream metabolism measurements will be located within the two zones of the Lower Murray Selected Area that are proposed for fish assessments. At one site within each zone, stream metabolism will be measured continuously over the period September to February. Due to the risk of vandalism and the preference for regular cleaning and maintenance to ensure reliable data sets, field trips will be made at least every four weeks to service and calibrate the water quality logger and to collect associated water quality samples.</w:t>
      </w:r>
    </w:p>
    <w:p w14:paraId="6EAB8A5F" w14:textId="77777777" w:rsidR="007675A4" w:rsidRPr="008A64D4" w:rsidRDefault="007675A4" w:rsidP="007675A4">
      <w:pPr>
        <w:pStyle w:val="ListParagraph"/>
        <w:numPr>
          <w:ilvl w:val="0"/>
          <w:numId w:val="13"/>
        </w:numPr>
        <w:spacing w:before="120"/>
        <w:ind w:left="714" w:hanging="357"/>
        <w:contextualSpacing w:val="0"/>
        <w:rPr>
          <w:rFonts w:eastAsiaTheme="minorHAnsi"/>
        </w:rPr>
      </w:pPr>
      <w:r w:rsidRPr="00717B78">
        <w:rPr>
          <w:rFonts w:eastAsiaTheme="minorHAnsi"/>
          <w:u w:val="single"/>
        </w:rPr>
        <w:t>Preservation and transport of water quality samples</w:t>
      </w:r>
      <w:r w:rsidRPr="008A64D4">
        <w:rPr>
          <w:rFonts w:eastAsiaTheme="minorHAnsi"/>
        </w:rPr>
        <w:t>: Samples will be filtered in the field and kept on ice until transported to the analytical laboratory within two days either by the collection staff or by courier. Chlorophyll samples will be filtered in the field and the filter stored frozen until analysed.</w:t>
      </w:r>
    </w:p>
    <w:p w14:paraId="4AC25F39" w14:textId="71DE9E6A" w:rsidR="00210F6D" w:rsidRDefault="00210F6D" w:rsidP="007675A4">
      <w:pPr>
        <w:pStyle w:val="Heading4"/>
      </w:pPr>
      <w:r>
        <w:t>Vegetation sampling</w:t>
      </w:r>
      <w:r w:rsidR="007675A4" w:rsidRPr="005218C2">
        <w:t xml:space="preserve"> </w:t>
      </w:r>
    </w:p>
    <w:p w14:paraId="355067A3" w14:textId="7B133425" w:rsidR="00210F6D" w:rsidRPr="004B7CC1" w:rsidRDefault="00210F6D" w:rsidP="00210F6D">
      <w:r w:rsidRPr="004B7CC1">
        <w:t xml:space="preserve">Quality control and quality assurance protocols </w:t>
      </w:r>
      <w:r>
        <w:rPr>
          <w:rFonts w:cs="Calibri"/>
          <w:szCs w:val="22"/>
        </w:rPr>
        <w:t>have been developed for</w:t>
      </w:r>
      <w:r w:rsidRPr="006D2CA5">
        <w:rPr>
          <w:rFonts w:cs="Calibri"/>
          <w:szCs w:val="22"/>
        </w:rPr>
        <w:t xml:space="preserve"> </w:t>
      </w:r>
      <w:r>
        <w:rPr>
          <w:rFonts w:cs="Calibri"/>
          <w:szCs w:val="22"/>
        </w:rPr>
        <w:t>littoral vegetation diversity and productivity</w:t>
      </w:r>
      <w:r w:rsidRPr="006D2CA5">
        <w:rPr>
          <w:rFonts w:cstheme="minorHAnsi"/>
          <w:szCs w:val="22"/>
        </w:rPr>
        <w:t>. In terms</w:t>
      </w:r>
      <w:r w:rsidRPr="006D2CA5">
        <w:rPr>
          <w:rFonts w:cs="Calibri"/>
          <w:szCs w:val="22"/>
        </w:rPr>
        <w:t xml:space="preserve"> of this method, the Quality Plan has been addressed by the descriptions of:</w:t>
      </w:r>
    </w:p>
    <w:p w14:paraId="4DE1C1B5" w14:textId="77777777" w:rsidR="00210F6D" w:rsidRDefault="00210F6D" w:rsidP="00C77254">
      <w:pPr>
        <w:numPr>
          <w:ilvl w:val="0"/>
          <w:numId w:val="42"/>
        </w:numPr>
        <w:ind w:left="765" w:hanging="357"/>
      </w:pPr>
      <w:r w:rsidRPr="004B7CC1">
        <w:t xml:space="preserve">It is the sole responsibility of the provider to have specific </w:t>
      </w:r>
      <w:r>
        <w:t>permits from DEW with them while sampling.</w:t>
      </w:r>
    </w:p>
    <w:p w14:paraId="33B80970" w14:textId="68D11757" w:rsidR="00210F6D" w:rsidRDefault="00210F6D" w:rsidP="00C77254">
      <w:pPr>
        <w:numPr>
          <w:ilvl w:val="0"/>
          <w:numId w:val="42"/>
        </w:numPr>
        <w:ind w:left="765" w:hanging="357"/>
      </w:pPr>
      <w:r>
        <w:t>Herbarium samples of all unknown or species where the identification is doubtful observed in quadrats will be collected and retained for identification.</w:t>
      </w:r>
    </w:p>
    <w:p w14:paraId="45E85DBD" w14:textId="364ECBE1" w:rsidR="007675A4" w:rsidRDefault="00210F6D" w:rsidP="007675A4">
      <w:pPr>
        <w:pStyle w:val="Heading4"/>
      </w:pPr>
      <w:r>
        <w:t xml:space="preserve">Fish </w:t>
      </w:r>
      <w:r w:rsidR="007675A4" w:rsidRPr="005218C2">
        <w:t>sampling</w:t>
      </w:r>
    </w:p>
    <w:p w14:paraId="7E6105FB" w14:textId="3A86B946" w:rsidR="007675A4" w:rsidRDefault="007675A4" w:rsidP="007675A4">
      <w:r w:rsidRPr="00ED2332">
        <w:rPr>
          <w:rFonts w:cs="Calibri"/>
          <w:lang w:eastAsia="en-AU"/>
        </w:rPr>
        <w:t xml:space="preserve">Fish sampling for </w:t>
      </w:r>
      <w:r w:rsidR="009633F2">
        <w:rPr>
          <w:rFonts w:cs="Calibri"/>
          <w:lang w:eastAsia="en-AU"/>
        </w:rPr>
        <w:t xml:space="preserve">Category 1 </w:t>
      </w:r>
      <w:r>
        <w:rPr>
          <w:rFonts w:cs="Calibri"/>
          <w:lang w:eastAsia="en-AU"/>
        </w:rPr>
        <w:t xml:space="preserve">and </w:t>
      </w:r>
      <w:r w:rsidR="009633F2">
        <w:rPr>
          <w:rFonts w:cs="Calibri"/>
          <w:lang w:eastAsia="en-AU"/>
        </w:rPr>
        <w:t>3</w:t>
      </w:r>
      <w:r>
        <w:rPr>
          <w:rFonts w:cs="Calibri"/>
          <w:lang w:eastAsia="en-AU"/>
        </w:rPr>
        <w:t xml:space="preserve"> </w:t>
      </w:r>
      <w:r w:rsidRPr="00ED2332">
        <w:rPr>
          <w:rFonts w:cs="Calibri"/>
          <w:lang w:eastAsia="en-AU"/>
        </w:rPr>
        <w:t>indicators will be undert</w:t>
      </w:r>
      <w:r>
        <w:rPr>
          <w:rFonts w:cs="Calibri"/>
          <w:lang w:eastAsia="en-AU"/>
        </w:rPr>
        <w:t>aken using electrofishing.</w:t>
      </w:r>
      <w:r w:rsidRPr="00ED2332">
        <w:rPr>
          <w:rFonts w:cs="Calibri"/>
          <w:lang w:eastAsia="en-AU"/>
        </w:rPr>
        <w:t xml:space="preserve"> </w:t>
      </w:r>
      <w:r w:rsidRPr="00ED2332">
        <w:t xml:space="preserve">SARDI </w:t>
      </w:r>
      <w:r>
        <w:t>Inland Waters and Catchment Ecology</w:t>
      </w:r>
      <w:r w:rsidRPr="00ED2332">
        <w:t xml:space="preserve"> has two electrofishing boats</w:t>
      </w:r>
      <w:r w:rsidRPr="00ED2332">
        <w:rPr>
          <w:i/>
          <w:iCs/>
        </w:rPr>
        <w:t>, Frank</w:t>
      </w:r>
      <w:r w:rsidRPr="00ED2332">
        <w:t xml:space="preserve"> and </w:t>
      </w:r>
      <w:r w:rsidRPr="00ED2332">
        <w:rPr>
          <w:i/>
          <w:iCs/>
        </w:rPr>
        <w:t>Henri</w:t>
      </w:r>
      <w:r w:rsidRPr="00ED2332">
        <w:t>. The primary difference between these is hull size (5.8 and 4.3 m</w:t>
      </w:r>
      <w:r>
        <w:t>etres</w:t>
      </w:r>
      <w:r w:rsidRPr="00ED2332">
        <w:t xml:space="preserve"> respectively) and the capacity of the electrofishing units (7.5 and 5.0 kW</w:t>
      </w:r>
      <w:r>
        <w:t>,</w:t>
      </w:r>
      <w:r w:rsidRPr="00ED2332">
        <w:t xml:space="preserve"> respectively). Both boats are operated and maintained in accordance with the </w:t>
      </w:r>
      <w:r w:rsidRPr="007D6195">
        <w:rPr>
          <w:i/>
          <w:color w:val="auto"/>
        </w:rPr>
        <w:t>Australi</w:t>
      </w:r>
      <w:r w:rsidRPr="007D6195">
        <w:rPr>
          <w:i/>
        </w:rPr>
        <w:t>an Code of Electrofishing Practice 1997</w:t>
      </w:r>
      <w:r w:rsidRPr="007D6195">
        <w:t xml:space="preserve"> and SARDI S</w:t>
      </w:r>
      <w:r>
        <w:t>OPs</w:t>
      </w:r>
      <w:r w:rsidRPr="007D6195">
        <w:t>. Comprehensive details on operation, maintenance and risk management can be found in these documents</w:t>
      </w:r>
      <w:r>
        <w:t xml:space="preserve">, </w:t>
      </w:r>
      <w:r w:rsidRPr="007D6195">
        <w:t>which can be supplied if required.</w:t>
      </w:r>
    </w:p>
    <w:p w14:paraId="6B2F64B8" w14:textId="77777777" w:rsidR="007675A4" w:rsidRDefault="007675A4" w:rsidP="007675A4">
      <w:pPr>
        <w:rPr>
          <w:lang w:val="en-US"/>
        </w:rPr>
      </w:pPr>
      <w:r>
        <w:rPr>
          <w:lang w:val="en-US"/>
        </w:rPr>
        <w:lastRenderedPageBreak/>
        <w:t>QA/QC activities specific to this fish sampling include:</w:t>
      </w:r>
    </w:p>
    <w:p w14:paraId="1437CE79" w14:textId="77777777" w:rsidR="007675A4" w:rsidRPr="00E41BC4" w:rsidRDefault="007675A4" w:rsidP="00C77254">
      <w:pPr>
        <w:pStyle w:val="ListParagraph"/>
        <w:numPr>
          <w:ilvl w:val="0"/>
          <w:numId w:val="25"/>
        </w:numPr>
        <w:ind w:left="765" w:hanging="357"/>
      </w:pPr>
      <w:r>
        <w:rPr>
          <w:lang w:val="en-US"/>
        </w:rPr>
        <w:t>Electrofishers will be experienced operators of units. They will be supervised by Senior Operators on-site, and have obtained their electrofishing certificates through a reputable course.</w:t>
      </w:r>
    </w:p>
    <w:p w14:paraId="3BF8B387" w14:textId="77777777" w:rsidR="007675A4" w:rsidRPr="00E41BC4" w:rsidRDefault="007675A4" w:rsidP="00C77254">
      <w:pPr>
        <w:pStyle w:val="ListParagraph"/>
        <w:numPr>
          <w:ilvl w:val="0"/>
          <w:numId w:val="25"/>
        </w:numPr>
        <w:ind w:left="765" w:hanging="357"/>
      </w:pPr>
      <w:r>
        <w:t>Monitoring and Evaluation Providers</w:t>
      </w:r>
      <w:r>
        <w:rPr>
          <w:lang w:val="en-US"/>
        </w:rPr>
        <w:t xml:space="preserve"> will have relevant boat licenses.</w:t>
      </w:r>
    </w:p>
    <w:p w14:paraId="4F0C0507" w14:textId="77777777" w:rsidR="007675A4" w:rsidRDefault="007675A4" w:rsidP="00C77254">
      <w:pPr>
        <w:pStyle w:val="ListParagraph"/>
        <w:numPr>
          <w:ilvl w:val="0"/>
          <w:numId w:val="25"/>
        </w:numPr>
        <w:ind w:left="765" w:hanging="357"/>
      </w:pPr>
      <w:r w:rsidRPr="00FA2C4D">
        <w:t>It is the sole responsibility of the provider to have specific fisheries and ethics permits with them while sampling.</w:t>
      </w:r>
      <w:r>
        <w:t xml:space="preserve"> </w:t>
      </w:r>
      <w:r w:rsidRPr="003D290F">
        <w:t xml:space="preserve">All sampling </w:t>
      </w:r>
      <w:r>
        <w:t>will be</w:t>
      </w:r>
      <w:r w:rsidRPr="003D290F">
        <w:t xml:space="preserve"> conducted under an exemption of section 115 of the </w:t>
      </w:r>
      <w:r w:rsidRPr="00FA2C4D">
        <w:rPr>
          <w:i/>
        </w:rPr>
        <w:t>Fisheries Mana</w:t>
      </w:r>
      <w:r w:rsidRPr="00A4007C">
        <w:rPr>
          <w:i/>
        </w:rPr>
        <w:t>gement Act 2007</w:t>
      </w:r>
      <w:r w:rsidRPr="003D290F">
        <w:t>.</w:t>
      </w:r>
    </w:p>
    <w:p w14:paraId="1B29C638" w14:textId="77777777" w:rsidR="007675A4" w:rsidRDefault="007675A4" w:rsidP="00C77254">
      <w:pPr>
        <w:pStyle w:val="ListParagraph"/>
        <w:numPr>
          <w:ilvl w:val="0"/>
          <w:numId w:val="25"/>
        </w:numPr>
        <w:ind w:left="765" w:hanging="357"/>
      </w:pPr>
      <w:r>
        <w:t xml:space="preserve">All personnel involved in field work will be professionally trained and have a Senior Operator supervising on-ground work.  </w:t>
      </w:r>
    </w:p>
    <w:p w14:paraId="2CA622AB" w14:textId="77777777" w:rsidR="007675A4" w:rsidRDefault="007675A4" w:rsidP="007675A4">
      <w:pPr>
        <w:pStyle w:val="Heading3"/>
      </w:pPr>
      <w:bookmarkStart w:id="363" w:name="_Toc22196751"/>
      <w:r>
        <w:t>Data collection, storage and management</w:t>
      </w:r>
      <w:bookmarkEnd w:id="363"/>
    </w:p>
    <w:p w14:paraId="7C8CC92B" w14:textId="50CA8A3A" w:rsidR="007675A4" w:rsidRDefault="007675A4" w:rsidP="007675A4">
      <w:pPr>
        <w:rPr>
          <w:rFonts w:eastAsiaTheme="minorHAnsi" w:cstheme="minorHAnsi"/>
          <w:szCs w:val="22"/>
        </w:rPr>
      </w:pPr>
      <w:r w:rsidRPr="00F80FB7">
        <w:rPr>
          <w:rFonts w:eastAsiaTheme="minorHAnsi"/>
        </w:rPr>
        <w:t xml:space="preserve">Written field data will be recorded in waterproof field books using pencil, scanned on return to the laboratory to ensure safe copies, and data written to a file that meets </w:t>
      </w:r>
      <w:r>
        <w:rPr>
          <w:rFonts w:eastAsiaTheme="minorHAnsi"/>
        </w:rPr>
        <w:t xml:space="preserve">the LTIM Project data standard. </w:t>
      </w:r>
      <w:r>
        <w:rPr>
          <w:rFonts w:eastAsiaTheme="minorHAnsi" w:cstheme="minorHAnsi"/>
          <w:szCs w:val="22"/>
        </w:rPr>
        <w:t>Refer below to S</w:t>
      </w:r>
      <w:r w:rsidR="00F8777F">
        <w:rPr>
          <w:rFonts w:eastAsiaTheme="minorHAnsi" w:cstheme="minorHAnsi"/>
          <w:szCs w:val="22"/>
        </w:rPr>
        <w:t xml:space="preserve">ection </w:t>
      </w:r>
      <w:r w:rsidR="00F8777F">
        <w:rPr>
          <w:rFonts w:eastAsiaTheme="minorHAnsi" w:cstheme="minorHAnsi"/>
          <w:szCs w:val="22"/>
        </w:rPr>
        <w:fldChar w:fldCharType="begin"/>
      </w:r>
      <w:r w:rsidR="00F8777F">
        <w:rPr>
          <w:rFonts w:eastAsiaTheme="minorHAnsi" w:cstheme="minorHAnsi"/>
          <w:szCs w:val="22"/>
        </w:rPr>
        <w:instrText xml:space="preserve"> REF _Ref10196755 \r \h </w:instrText>
      </w:r>
      <w:r w:rsidR="00F8777F">
        <w:rPr>
          <w:rFonts w:eastAsiaTheme="minorHAnsi" w:cstheme="minorHAnsi"/>
          <w:szCs w:val="22"/>
        </w:rPr>
      </w:r>
      <w:r w:rsidR="00F8777F">
        <w:rPr>
          <w:rFonts w:eastAsiaTheme="minorHAnsi" w:cstheme="minorHAnsi"/>
          <w:szCs w:val="22"/>
        </w:rPr>
        <w:fldChar w:fldCharType="separate"/>
      </w:r>
      <w:r w:rsidR="00DF49CD">
        <w:rPr>
          <w:rFonts w:eastAsiaTheme="minorHAnsi" w:cstheme="minorHAnsi"/>
          <w:szCs w:val="22"/>
        </w:rPr>
        <w:t>11</w:t>
      </w:r>
      <w:r w:rsidR="00F8777F">
        <w:rPr>
          <w:rFonts w:eastAsiaTheme="minorHAnsi" w:cstheme="minorHAnsi"/>
          <w:szCs w:val="22"/>
        </w:rPr>
        <w:fldChar w:fldCharType="end"/>
      </w:r>
      <w:r w:rsidR="00F8777F">
        <w:rPr>
          <w:rFonts w:eastAsiaTheme="minorHAnsi" w:cstheme="minorHAnsi"/>
          <w:szCs w:val="22"/>
        </w:rPr>
        <w:t xml:space="preserve"> f</w:t>
      </w:r>
      <w:r>
        <w:rPr>
          <w:rFonts w:eastAsiaTheme="minorHAnsi" w:cstheme="minorHAnsi"/>
          <w:szCs w:val="22"/>
        </w:rPr>
        <w:t>or QA/QC procedures relation to the storage and management of data.</w:t>
      </w:r>
    </w:p>
    <w:p w14:paraId="680F0BA5" w14:textId="77777777" w:rsidR="00CF5B14" w:rsidRPr="008C3B72" w:rsidRDefault="00CF5B14" w:rsidP="00CF5B14">
      <w:pPr>
        <w:pStyle w:val="Heading3"/>
      </w:pPr>
      <w:bookmarkStart w:id="364" w:name="_Toc22196752"/>
      <w:r w:rsidRPr="008C3B72">
        <w:t>Training</w:t>
      </w:r>
      <w:bookmarkEnd w:id="364"/>
    </w:p>
    <w:p w14:paraId="243E9973" w14:textId="77777777" w:rsidR="00CF5B14" w:rsidRPr="000336EA" w:rsidRDefault="00CF5B14" w:rsidP="00CF5B14">
      <w:r w:rsidRPr="000336EA">
        <w:t xml:space="preserve">The team assembled to undertake this project are </w:t>
      </w:r>
      <w:r>
        <w:t xml:space="preserve">all </w:t>
      </w:r>
      <w:r w:rsidRPr="000336EA">
        <w:t>highly experienced field operators</w:t>
      </w:r>
      <w:r>
        <w:t>,</w:t>
      </w:r>
      <w:r w:rsidRPr="000336EA">
        <w:t xml:space="preserve"> and it is not envisaged that they will require any training.</w:t>
      </w:r>
    </w:p>
    <w:p w14:paraId="1091A8D2" w14:textId="77777777" w:rsidR="00CF5B14" w:rsidRPr="002E07A0" w:rsidRDefault="00CF5B14" w:rsidP="00CF5B14">
      <w:pPr>
        <w:rPr>
          <w:highlight w:val="yellow"/>
        </w:rPr>
      </w:pPr>
      <w:r w:rsidRPr="000336EA">
        <w:t xml:space="preserve">Should anyone require training, it will be at the instruction of the Project </w:t>
      </w:r>
      <w:r>
        <w:t>Leader</w:t>
      </w:r>
      <w:r w:rsidRPr="000336EA">
        <w:t xml:space="preserve">. Under such circumstances, the Project </w:t>
      </w:r>
      <w:r>
        <w:t>Leader</w:t>
      </w:r>
      <w:r w:rsidRPr="000336EA">
        <w:t xml:space="preserve"> will require written confirmation from the trainer that the trainee has demonstrated competency in the required skills before that individual </w:t>
      </w:r>
      <w:r>
        <w:t>is</w:t>
      </w:r>
      <w:r w:rsidRPr="000336EA">
        <w:t xml:space="preserve"> permi</w:t>
      </w:r>
      <w:r>
        <w:t>tted</w:t>
      </w:r>
      <w:r w:rsidRPr="000336EA">
        <w:t xml:space="preserve"> to undertake the relevant monitoring</w:t>
      </w:r>
      <w:r>
        <w:t>.</w:t>
      </w:r>
    </w:p>
    <w:p w14:paraId="3F06442D" w14:textId="77777777" w:rsidR="00CF5B14" w:rsidRPr="008C3B72" w:rsidRDefault="00CF5B14" w:rsidP="00CF5B14">
      <w:pPr>
        <w:pStyle w:val="Heading3"/>
      </w:pPr>
      <w:bookmarkStart w:id="365" w:name="_Toc22196753"/>
      <w:r w:rsidRPr="008C3B72">
        <w:t>Auditing</w:t>
      </w:r>
      <w:bookmarkEnd w:id="365"/>
    </w:p>
    <w:p w14:paraId="6E723B8D" w14:textId="28069792" w:rsidR="00CF5B14" w:rsidRPr="000336EA" w:rsidRDefault="00CF5B14" w:rsidP="00CF5B14">
      <w:r w:rsidRPr="000336EA">
        <w:t xml:space="preserve">CEWO has </w:t>
      </w:r>
      <w:r>
        <w:t xml:space="preserve">advised </w:t>
      </w:r>
      <w:r w:rsidRPr="000336EA">
        <w:t xml:space="preserve">that they will be establishing whole-of-project audit procedures. The </w:t>
      </w:r>
      <w:r w:rsidR="00C304CC" w:rsidRPr="00C304CC">
        <w:t>Lower Murray</w:t>
      </w:r>
      <w:r>
        <w:t xml:space="preserve"> Selected Area</w:t>
      </w:r>
      <w:r w:rsidRPr="000336EA">
        <w:t xml:space="preserve"> </w:t>
      </w:r>
      <w:r w:rsidR="001F661A">
        <w:t>C</w:t>
      </w:r>
      <w:r w:rsidRPr="000336EA">
        <w:t>onsortium ha</w:t>
      </w:r>
      <w:r>
        <w:t>s</w:t>
      </w:r>
      <w:r w:rsidRPr="000336EA">
        <w:t xml:space="preserve"> </w:t>
      </w:r>
      <w:r>
        <w:t xml:space="preserve">also </w:t>
      </w:r>
      <w:r w:rsidRPr="000336EA">
        <w:t xml:space="preserve">identified the following self-auditing protocols. </w:t>
      </w:r>
    </w:p>
    <w:p w14:paraId="2F637BD2" w14:textId="0CAA6CDA" w:rsidR="00CF5B14" w:rsidRDefault="00CF5B14" w:rsidP="00165D7C">
      <w:pPr>
        <w:pStyle w:val="Caption"/>
      </w:pPr>
      <w:bookmarkStart w:id="366" w:name="_Toc381086849"/>
      <w:bookmarkStart w:id="367" w:name="_Toc381380604"/>
      <w:bookmarkStart w:id="368" w:name="_Toc391539166"/>
      <w:bookmarkStart w:id="369" w:name="_Toc391553329"/>
      <w:bookmarkStart w:id="370" w:name="_Toc396899658"/>
      <w:bookmarkStart w:id="371" w:name="_Toc396899753"/>
      <w:bookmarkStart w:id="372" w:name="_Toc12630265"/>
      <w:r>
        <w:t xml:space="preserve">Table </w:t>
      </w:r>
      <w:r w:rsidR="00A8252A">
        <w:rPr>
          <w:noProof/>
        </w:rPr>
        <w:fldChar w:fldCharType="begin"/>
      </w:r>
      <w:r w:rsidR="00A8252A">
        <w:rPr>
          <w:noProof/>
        </w:rPr>
        <w:instrText xml:space="preserve"> STYLEREF 1 \s </w:instrText>
      </w:r>
      <w:r w:rsidR="00A8252A">
        <w:rPr>
          <w:noProof/>
        </w:rPr>
        <w:fldChar w:fldCharType="separate"/>
      </w:r>
      <w:r w:rsidR="00DF49CD">
        <w:rPr>
          <w:noProof/>
        </w:rPr>
        <w:t>10</w:t>
      </w:r>
      <w:r w:rsidR="00A8252A">
        <w:rPr>
          <w:noProof/>
        </w:rPr>
        <w:fldChar w:fldCharType="end"/>
      </w:r>
      <w:r w:rsidR="00F359A2">
        <w:t>.</w:t>
      </w:r>
      <w:r w:rsidR="00A8252A">
        <w:rPr>
          <w:noProof/>
        </w:rPr>
        <w:fldChar w:fldCharType="begin"/>
      </w:r>
      <w:r w:rsidR="00A8252A">
        <w:rPr>
          <w:noProof/>
        </w:rPr>
        <w:instrText xml:space="preserve"> SEQ Table \* ARABIC \s 1 </w:instrText>
      </w:r>
      <w:r w:rsidR="00A8252A">
        <w:rPr>
          <w:noProof/>
        </w:rPr>
        <w:fldChar w:fldCharType="separate"/>
      </w:r>
      <w:r w:rsidR="00DF49CD">
        <w:rPr>
          <w:noProof/>
        </w:rPr>
        <w:t>5</w:t>
      </w:r>
      <w:r w:rsidR="00A8252A">
        <w:rPr>
          <w:noProof/>
        </w:rPr>
        <w:fldChar w:fldCharType="end"/>
      </w:r>
      <w:r w:rsidRPr="008C3B72">
        <w:t>.</w:t>
      </w:r>
      <w:r>
        <w:tab/>
      </w:r>
      <w:r w:rsidRPr="00BA5E14">
        <w:t>Self-auditing plan</w:t>
      </w:r>
      <w:bookmarkEnd w:id="366"/>
      <w:bookmarkEnd w:id="367"/>
      <w:bookmarkEnd w:id="368"/>
      <w:bookmarkEnd w:id="369"/>
      <w:bookmarkEnd w:id="370"/>
      <w:bookmarkEnd w:id="371"/>
      <w:bookmarkEnd w:id="3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2"/>
        <w:gridCol w:w="5028"/>
      </w:tblGrid>
      <w:tr w:rsidR="00CF5B14" w:rsidRPr="000336EA" w14:paraId="26D10DF8" w14:textId="77777777" w:rsidTr="00CF5B14">
        <w:trPr>
          <w:cantSplit/>
          <w:tblHeader/>
        </w:trPr>
        <w:tc>
          <w:tcPr>
            <w:tcW w:w="4077" w:type="dxa"/>
            <w:shd w:val="clear" w:color="auto" w:fill="BFBFBF" w:themeFill="background1" w:themeFillShade="BF"/>
          </w:tcPr>
          <w:p w14:paraId="1691FAD6" w14:textId="77777777" w:rsidR="00CF5B14" w:rsidRDefault="00CF5B14" w:rsidP="00CF5B14">
            <w:pPr>
              <w:pStyle w:val="TableHeading"/>
            </w:pPr>
            <w:r>
              <w:t>Input/</w:t>
            </w:r>
            <w:r w:rsidRPr="000336EA">
              <w:t>output</w:t>
            </w:r>
          </w:p>
        </w:tc>
        <w:tc>
          <w:tcPr>
            <w:tcW w:w="5165" w:type="dxa"/>
            <w:shd w:val="clear" w:color="auto" w:fill="BFBFBF" w:themeFill="background1" w:themeFillShade="BF"/>
          </w:tcPr>
          <w:p w14:paraId="7950AB85" w14:textId="77777777" w:rsidR="00CF5B14" w:rsidRDefault="00CF5B14" w:rsidP="00CF5B14">
            <w:pPr>
              <w:pStyle w:val="TableHeading"/>
            </w:pPr>
            <w:r w:rsidRPr="000336EA">
              <w:t>Audit procedure</w:t>
            </w:r>
          </w:p>
        </w:tc>
      </w:tr>
      <w:tr w:rsidR="00CF5B14" w:rsidRPr="000336EA" w14:paraId="4D81B24E" w14:textId="77777777" w:rsidTr="00CF5B14">
        <w:trPr>
          <w:cantSplit/>
        </w:trPr>
        <w:tc>
          <w:tcPr>
            <w:tcW w:w="4077" w:type="dxa"/>
          </w:tcPr>
          <w:p w14:paraId="3D11B84A" w14:textId="77777777" w:rsidR="00CF5B14" w:rsidRDefault="00CF5B14" w:rsidP="00CF5B14">
            <w:pPr>
              <w:pStyle w:val="TableText"/>
            </w:pPr>
            <w:r w:rsidRPr="000336EA">
              <w:t xml:space="preserve">Project partner sub-contracts </w:t>
            </w:r>
            <w:r w:rsidRPr="000336EA">
              <w:tab/>
            </w:r>
          </w:p>
        </w:tc>
        <w:tc>
          <w:tcPr>
            <w:tcW w:w="5165" w:type="dxa"/>
          </w:tcPr>
          <w:p w14:paraId="6BD7B683" w14:textId="77777777" w:rsidR="00CF5B14" w:rsidRDefault="00CF5B14" w:rsidP="00CF5B14">
            <w:pPr>
              <w:pStyle w:val="TableText"/>
            </w:pPr>
            <w:r>
              <w:t>Payments made on delivery of milestones listed in the sub-contract, to be approved by the Project Leader</w:t>
            </w:r>
          </w:p>
        </w:tc>
      </w:tr>
      <w:tr w:rsidR="00CF5B14" w:rsidRPr="000336EA" w14:paraId="6C7B97F5" w14:textId="77777777" w:rsidTr="00CF5B14">
        <w:trPr>
          <w:cantSplit/>
        </w:trPr>
        <w:tc>
          <w:tcPr>
            <w:tcW w:w="4077" w:type="dxa"/>
          </w:tcPr>
          <w:p w14:paraId="03A237C7" w14:textId="77777777" w:rsidR="00CF5B14" w:rsidRDefault="00CF5B14" w:rsidP="00CF5B14">
            <w:pPr>
              <w:pStyle w:val="TableText"/>
            </w:pPr>
            <w:r>
              <w:t>Technical reports</w:t>
            </w:r>
            <w:r w:rsidRPr="000336EA">
              <w:t xml:space="preserve"> </w:t>
            </w:r>
            <w:r>
              <w:t>and papers</w:t>
            </w:r>
          </w:p>
        </w:tc>
        <w:tc>
          <w:tcPr>
            <w:tcW w:w="5165" w:type="dxa"/>
          </w:tcPr>
          <w:p w14:paraId="01426DD1" w14:textId="77777777" w:rsidR="00CF5B14" w:rsidRDefault="00CF5B14" w:rsidP="00CF5B14">
            <w:pPr>
              <w:pStyle w:val="TableText"/>
            </w:pPr>
            <w:r>
              <w:t>Every technical report/paper and Annual Report will be independently reviewed</w:t>
            </w:r>
          </w:p>
        </w:tc>
      </w:tr>
      <w:tr w:rsidR="00CF5B14" w:rsidRPr="000336EA" w14:paraId="51548642" w14:textId="77777777" w:rsidTr="00CF5B14">
        <w:trPr>
          <w:cantSplit/>
        </w:trPr>
        <w:tc>
          <w:tcPr>
            <w:tcW w:w="4077" w:type="dxa"/>
          </w:tcPr>
          <w:p w14:paraId="5C817236" w14:textId="77777777" w:rsidR="00CF5B14" w:rsidRDefault="00CF5B14" w:rsidP="00CF5B14">
            <w:pPr>
              <w:pStyle w:val="TableText"/>
            </w:pPr>
            <w:r w:rsidRPr="000336EA">
              <w:t xml:space="preserve">Data management protocols </w:t>
            </w:r>
          </w:p>
        </w:tc>
        <w:tc>
          <w:tcPr>
            <w:tcW w:w="5165" w:type="dxa"/>
          </w:tcPr>
          <w:p w14:paraId="6D076FAF" w14:textId="77777777" w:rsidR="00CF5B14" w:rsidRDefault="00CF5B14" w:rsidP="00CF5B14">
            <w:pPr>
              <w:pStyle w:val="TableText"/>
            </w:pPr>
            <w:r>
              <w:t>Data quality will be audited by SARDI staff</w:t>
            </w:r>
          </w:p>
        </w:tc>
      </w:tr>
      <w:tr w:rsidR="00CF5B14" w:rsidRPr="000336EA" w14:paraId="37E531D9" w14:textId="77777777" w:rsidTr="00CF5B14">
        <w:trPr>
          <w:cantSplit/>
        </w:trPr>
        <w:tc>
          <w:tcPr>
            <w:tcW w:w="4077" w:type="dxa"/>
          </w:tcPr>
          <w:p w14:paraId="32AF6B38" w14:textId="77777777" w:rsidR="00CF5B14" w:rsidRDefault="00CF5B14" w:rsidP="00CF5B14">
            <w:pPr>
              <w:pStyle w:val="TableText"/>
            </w:pPr>
            <w:r w:rsidRPr="000336EA">
              <w:t xml:space="preserve">Project risk assessment and mitigation plans </w:t>
            </w:r>
          </w:p>
        </w:tc>
        <w:tc>
          <w:tcPr>
            <w:tcW w:w="5165" w:type="dxa"/>
          </w:tcPr>
          <w:p w14:paraId="0EB103A3" w14:textId="77777777" w:rsidR="00CF5B14" w:rsidRDefault="00CF5B14" w:rsidP="00CF5B14">
            <w:pPr>
              <w:pStyle w:val="TableText"/>
            </w:pPr>
            <w:r>
              <w:t>Mitigation of risks as per the risk management strategy will be audited quarterly by the Executive Committee</w:t>
            </w:r>
          </w:p>
        </w:tc>
      </w:tr>
      <w:tr w:rsidR="00CF5B14" w:rsidRPr="000336EA" w14:paraId="32CC2A51" w14:textId="77777777" w:rsidTr="00CF5B14">
        <w:trPr>
          <w:cantSplit/>
        </w:trPr>
        <w:tc>
          <w:tcPr>
            <w:tcW w:w="4077" w:type="dxa"/>
          </w:tcPr>
          <w:p w14:paraId="6EB61D0F" w14:textId="77777777" w:rsidR="00CF5B14" w:rsidRDefault="00CF5B14" w:rsidP="00CF5B14">
            <w:pPr>
              <w:pStyle w:val="TableText"/>
            </w:pPr>
            <w:r w:rsidRPr="000336EA">
              <w:t xml:space="preserve">Health, safety and environmental risk assessment and mitigation plans </w:t>
            </w:r>
          </w:p>
        </w:tc>
        <w:tc>
          <w:tcPr>
            <w:tcW w:w="5165" w:type="dxa"/>
          </w:tcPr>
          <w:p w14:paraId="5B85B060" w14:textId="77777777" w:rsidR="00CF5B14" w:rsidRDefault="00CF5B14" w:rsidP="00CF5B14">
            <w:pPr>
              <w:pStyle w:val="TableText"/>
            </w:pPr>
            <w:r>
              <w:t>Each partner organisation of the consortium will sign off that they have audited the project for consistency with internal health and safety procedures</w:t>
            </w:r>
          </w:p>
        </w:tc>
      </w:tr>
      <w:tr w:rsidR="00CF5B14" w:rsidRPr="000336EA" w14:paraId="5C640CAF" w14:textId="77777777" w:rsidTr="00CF5B14">
        <w:trPr>
          <w:cantSplit/>
        </w:trPr>
        <w:tc>
          <w:tcPr>
            <w:tcW w:w="4077" w:type="dxa"/>
          </w:tcPr>
          <w:p w14:paraId="5D803E4A" w14:textId="77777777" w:rsidR="00CF5B14" w:rsidRDefault="00CF5B14" w:rsidP="00CF5B14">
            <w:pPr>
              <w:pStyle w:val="TableText"/>
            </w:pPr>
            <w:r w:rsidRPr="000336EA">
              <w:t xml:space="preserve">Communication and engagement plans </w:t>
            </w:r>
          </w:p>
        </w:tc>
        <w:tc>
          <w:tcPr>
            <w:tcW w:w="5165" w:type="dxa"/>
          </w:tcPr>
          <w:p w14:paraId="1BE2870F" w14:textId="77777777" w:rsidR="00CF5B14" w:rsidRDefault="00CF5B14" w:rsidP="00CF5B14">
            <w:pPr>
              <w:pStyle w:val="TableText"/>
            </w:pPr>
            <w:r>
              <w:t>Delivery of c</w:t>
            </w:r>
            <w:r w:rsidRPr="000336EA">
              <w:t>o</w:t>
            </w:r>
            <w:r>
              <w:t xml:space="preserve">mmunication and engagement plans will be audited quarterly by the Executive Committee </w:t>
            </w:r>
          </w:p>
        </w:tc>
      </w:tr>
    </w:tbl>
    <w:p w14:paraId="0547854C" w14:textId="77777777" w:rsidR="00CF5B14" w:rsidRPr="002E07A0" w:rsidRDefault="00CF5B14" w:rsidP="00CF5B14">
      <w:pPr>
        <w:rPr>
          <w:highlight w:val="yellow"/>
        </w:rPr>
      </w:pPr>
    </w:p>
    <w:p w14:paraId="30CEE99A" w14:textId="4F06B3E1" w:rsidR="00CF5B14" w:rsidRDefault="00CF5B14" w:rsidP="00F02673"/>
    <w:p w14:paraId="4F2F91FC" w14:textId="77777777" w:rsidR="00CF5B14" w:rsidRDefault="00CF5B14">
      <w:pPr>
        <w:spacing w:after="200" w:line="276" w:lineRule="auto"/>
        <w:jc w:val="left"/>
      </w:pPr>
      <w:r>
        <w:br w:type="page"/>
      </w:r>
    </w:p>
    <w:p w14:paraId="13D9662D" w14:textId="77777777" w:rsidR="00CF5B14" w:rsidRDefault="00CF5B14" w:rsidP="00CF5B14">
      <w:pPr>
        <w:pStyle w:val="Heading1"/>
      </w:pPr>
      <w:bookmarkStart w:id="373" w:name="_Ref10196755"/>
      <w:bookmarkStart w:id="374" w:name="_Toc22196754"/>
      <w:r>
        <w:lastRenderedPageBreak/>
        <w:t>Data management</w:t>
      </w:r>
      <w:bookmarkEnd w:id="373"/>
      <w:bookmarkEnd w:id="374"/>
    </w:p>
    <w:p w14:paraId="69DBFF9A" w14:textId="254C7982" w:rsidR="00C64268" w:rsidRPr="00AD67AF" w:rsidRDefault="00400539" w:rsidP="00527B22">
      <w:pPr>
        <w:pStyle w:val="Heading2"/>
      </w:pPr>
      <w:bookmarkStart w:id="375" w:name="_Toc22196755"/>
      <w:r w:rsidRPr="00AD67AF">
        <w:t>Data c</w:t>
      </w:r>
      <w:r w:rsidR="00C64268" w:rsidRPr="00AD67AF">
        <w:t>ollecti</w:t>
      </w:r>
      <w:r w:rsidRPr="00AD67AF">
        <w:t>o</w:t>
      </w:r>
      <w:r w:rsidR="00C64268" w:rsidRPr="00AD67AF">
        <w:t>n</w:t>
      </w:r>
      <w:bookmarkEnd w:id="375"/>
    </w:p>
    <w:p w14:paraId="3FE1BB8C" w14:textId="0E8AE560" w:rsidR="007675A4" w:rsidRPr="00443E32" w:rsidRDefault="007675A4" w:rsidP="007675A4">
      <w:r w:rsidRPr="00F56A48">
        <w:t xml:space="preserve">Monitoring teams will be led by experienced </w:t>
      </w:r>
      <w:r>
        <w:t>sc</w:t>
      </w:r>
      <w:r w:rsidRPr="00F56A48">
        <w:t>i</w:t>
      </w:r>
      <w:r>
        <w:t>enti</w:t>
      </w:r>
      <w:r w:rsidRPr="00F56A48">
        <w:t xml:space="preserve">sts who </w:t>
      </w:r>
      <w:r>
        <w:t xml:space="preserve">are skilled </w:t>
      </w:r>
      <w:r w:rsidRPr="00F56A48">
        <w:t xml:space="preserve">to appropriately perform sampling using standard, repeatable methods (gear, sample size, sample preparation and preservation). </w:t>
      </w:r>
      <w:r>
        <w:t>The SARDI Project Leader</w:t>
      </w:r>
      <w:r w:rsidRPr="00F56A48">
        <w:t xml:space="preserve"> will ensure </w:t>
      </w:r>
      <w:r>
        <w:t>that</w:t>
      </w:r>
      <w:r w:rsidRPr="00F56A48">
        <w:t xml:space="preserve"> </w:t>
      </w:r>
      <w:r>
        <w:t xml:space="preserve">Task Leaders </w:t>
      </w:r>
      <w:r w:rsidRPr="00F56A48">
        <w:t>deve</w:t>
      </w:r>
      <w:r>
        <w:t xml:space="preserve">lop suitable Quality Plans (Section </w:t>
      </w:r>
      <w:r>
        <w:fldChar w:fldCharType="begin"/>
      </w:r>
      <w:r>
        <w:instrText xml:space="preserve"> REF _Ref9503088 \r \h </w:instrText>
      </w:r>
      <w:r>
        <w:fldChar w:fldCharType="separate"/>
      </w:r>
      <w:r w:rsidR="00DF49CD">
        <w:t>10.3</w:t>
      </w:r>
      <w:r>
        <w:fldChar w:fldCharType="end"/>
      </w:r>
      <w:r>
        <w:t xml:space="preserve">) </w:t>
      </w:r>
      <w:r w:rsidRPr="00F56A48">
        <w:t xml:space="preserve">to ensure the data and measurements taken in the </w:t>
      </w:r>
      <w:r w:rsidRPr="00C304CC">
        <w:t>Lower Murray</w:t>
      </w:r>
      <w:r>
        <w:t xml:space="preserve"> Selected Area</w:t>
      </w:r>
      <w:r w:rsidRPr="00F56A48">
        <w:t xml:space="preserve"> are of high quality and appropriately scaled to be able to report against questions with suitable error estimates if required.</w:t>
      </w:r>
      <w:r w:rsidRPr="005946E9">
        <w:t xml:space="preserve"> </w:t>
      </w:r>
      <w:r>
        <w:t xml:space="preserve">For Category 1 indicators, consultation will occur with the </w:t>
      </w:r>
      <w:r w:rsidRPr="00D60383">
        <w:t>MER</w:t>
      </w:r>
      <w:r>
        <w:t xml:space="preserve"> Basin-scale Project Provider</w:t>
      </w:r>
      <w:r w:rsidRPr="00443E32">
        <w:t>.</w:t>
      </w:r>
    </w:p>
    <w:p w14:paraId="51E4BF6D" w14:textId="4A6843F7" w:rsidR="007675A4" w:rsidRPr="00443E32" w:rsidRDefault="007675A4" w:rsidP="007675A4">
      <w:r w:rsidRPr="00443E32">
        <w:t>Relevant standards and guidelines will be considered, equipment records will be maintained, calibration directions provided with each instrument will be followed, and for each instrument the meter errors for each</w:t>
      </w:r>
      <w:r w:rsidR="00882842">
        <w:t xml:space="preserve"> parameter</w:t>
      </w:r>
      <w:r w:rsidRPr="00443E32">
        <w:t xml:space="preserve"> will be documented and reported</w:t>
      </w:r>
      <w:r>
        <w:t xml:space="preserve"> (Section </w:t>
      </w:r>
      <w:r>
        <w:fldChar w:fldCharType="begin"/>
      </w:r>
      <w:r>
        <w:instrText xml:space="preserve"> REF _Ref9503088 \r \h </w:instrText>
      </w:r>
      <w:r>
        <w:fldChar w:fldCharType="separate"/>
      </w:r>
      <w:r w:rsidR="00DF49CD">
        <w:t>10.3</w:t>
      </w:r>
      <w:r>
        <w:fldChar w:fldCharType="end"/>
      </w:r>
      <w:r>
        <w:t>)</w:t>
      </w:r>
      <w:r w:rsidRPr="00443E32">
        <w:t xml:space="preserve">. Details about data collection </w:t>
      </w:r>
      <w:r>
        <w:t>have been</w:t>
      </w:r>
      <w:r w:rsidRPr="00443E32">
        <w:t xml:space="preserve"> developed in negotiation and agreement with the MER Project </w:t>
      </w:r>
      <w:r w:rsidRPr="00E64B1E">
        <w:t>Adviser</w:t>
      </w:r>
      <w:r>
        <w:t xml:space="preserve"> during LTIM</w:t>
      </w:r>
      <w:r w:rsidRPr="00443E32">
        <w:t xml:space="preserve">. </w:t>
      </w:r>
    </w:p>
    <w:p w14:paraId="4F90A312" w14:textId="432FAB7F" w:rsidR="007675A4" w:rsidRPr="00443E32" w:rsidRDefault="007675A4" w:rsidP="007675A4">
      <w:r w:rsidRPr="00443E32">
        <w:t xml:space="preserve">The </w:t>
      </w:r>
      <w:r w:rsidR="001F661A">
        <w:t>Lower Murray Selected Area</w:t>
      </w:r>
      <w:r>
        <w:t xml:space="preserve"> </w:t>
      </w:r>
      <w:r w:rsidR="001F661A">
        <w:t>C</w:t>
      </w:r>
      <w:r w:rsidRPr="00362532">
        <w:t xml:space="preserve">onsortium partners </w:t>
      </w:r>
      <w:r w:rsidRPr="00443E32">
        <w:t xml:space="preserve">provide research and monitoring services as part of our core business. We all have established QA/QC processes for field sampling, laboratory analysis, experimental data collection, data entry and reporting. Specific QA/QC plans are provided for relevant activities in </w:t>
      </w:r>
      <w:r>
        <w:t>the Quality assurance plan</w:t>
      </w:r>
      <w:r w:rsidRPr="00443E32">
        <w:t xml:space="preserve"> (</w:t>
      </w:r>
      <w:r>
        <w:t xml:space="preserve">Section </w:t>
      </w:r>
      <w:r>
        <w:fldChar w:fldCharType="begin"/>
      </w:r>
      <w:r>
        <w:instrText xml:space="preserve"> REF _Ref9503088 \r \h </w:instrText>
      </w:r>
      <w:r>
        <w:fldChar w:fldCharType="separate"/>
      </w:r>
      <w:r w:rsidR="00DF49CD">
        <w:t>10.3</w:t>
      </w:r>
      <w:r>
        <w:fldChar w:fldCharType="end"/>
      </w:r>
      <w:r w:rsidRPr="00443E32">
        <w:t>).</w:t>
      </w:r>
    </w:p>
    <w:p w14:paraId="0733842D" w14:textId="77777777" w:rsidR="00F17333" w:rsidRPr="00362532" w:rsidRDefault="00400539" w:rsidP="00527B22">
      <w:pPr>
        <w:pStyle w:val="Heading2"/>
      </w:pPr>
      <w:bookmarkStart w:id="376" w:name="_Toc22196756"/>
      <w:r w:rsidRPr="00362532">
        <w:t>D</w:t>
      </w:r>
      <w:r w:rsidR="00C64268" w:rsidRPr="00362532">
        <w:t>ata</w:t>
      </w:r>
      <w:r w:rsidRPr="00362532">
        <w:t xml:space="preserve"> storage and managemen</w:t>
      </w:r>
      <w:r w:rsidR="00F17333" w:rsidRPr="00362532">
        <w:t>t</w:t>
      </w:r>
      <w:bookmarkEnd w:id="376"/>
    </w:p>
    <w:p w14:paraId="22506E3B" w14:textId="77777777" w:rsidR="0070750B" w:rsidRPr="00443E32" w:rsidRDefault="0070750B" w:rsidP="0070750B">
      <w:pPr>
        <w:rPr>
          <w:bCs/>
        </w:rPr>
      </w:pPr>
      <w:r w:rsidRPr="00443E32">
        <w:t>Individual sub-contractors will be responsible for management of all primary (raw) data including governance, storage, backup, version control and custodianship.</w:t>
      </w:r>
      <w:r w:rsidRPr="00443E32">
        <w:rPr>
          <w:bCs/>
        </w:rPr>
        <w:t xml:space="preserve"> </w:t>
      </w:r>
      <w:r>
        <w:rPr>
          <w:bCs/>
        </w:rPr>
        <w:t>Data will be</w:t>
      </w:r>
      <w:r w:rsidRPr="00D279F0">
        <w:rPr>
          <w:bCs/>
        </w:rPr>
        <w:t xml:space="preserve"> made available </w:t>
      </w:r>
      <w:r>
        <w:rPr>
          <w:bCs/>
        </w:rPr>
        <w:t xml:space="preserve">to </w:t>
      </w:r>
      <w:r w:rsidRPr="00443E32">
        <w:rPr>
          <w:bCs/>
        </w:rPr>
        <w:t xml:space="preserve">the </w:t>
      </w:r>
      <w:r w:rsidRPr="00756D11">
        <w:rPr>
          <w:bCs/>
        </w:rPr>
        <w:t>MER Provider</w:t>
      </w:r>
      <w:r w:rsidRPr="00443E32">
        <w:rPr>
          <w:bCs/>
        </w:rPr>
        <w:t xml:space="preserve"> lead</w:t>
      </w:r>
      <w:r>
        <w:rPr>
          <w:bCs/>
        </w:rPr>
        <w:t xml:space="preserve"> agency (SARDI) </w:t>
      </w:r>
      <w:r w:rsidRPr="00D279F0">
        <w:rPr>
          <w:bCs/>
        </w:rPr>
        <w:t>as necessary</w:t>
      </w:r>
      <w:r>
        <w:rPr>
          <w:bCs/>
        </w:rPr>
        <w:t xml:space="preserve"> for Selected Area and Basin-scale analyses and reporting purposes.</w:t>
      </w:r>
    </w:p>
    <w:p w14:paraId="02A18466" w14:textId="31F6FF6F" w:rsidR="0070750B" w:rsidRPr="00443E32" w:rsidRDefault="0070750B" w:rsidP="0070750B">
      <w:pPr>
        <w:pStyle w:val="ListBullet"/>
      </w:pPr>
      <w:r w:rsidRPr="00443E32">
        <w:t xml:space="preserve">Hydrology data will be entered into </w:t>
      </w:r>
      <w:r w:rsidR="0028347B">
        <w:t>DEW’s hydrological database</w:t>
      </w:r>
      <w:r w:rsidRPr="00443E32">
        <w:t xml:space="preserve"> </w:t>
      </w:r>
    </w:p>
    <w:p w14:paraId="0960E64E" w14:textId="2A97CE3D" w:rsidR="0070750B" w:rsidRPr="00443E32" w:rsidRDefault="0070750B" w:rsidP="0070750B">
      <w:pPr>
        <w:pStyle w:val="ListBullet"/>
      </w:pPr>
      <w:r w:rsidRPr="00443E32">
        <w:t xml:space="preserve">Water quality and stream metabolism data will be entered to various </w:t>
      </w:r>
      <w:r>
        <w:t>Adelaide University</w:t>
      </w:r>
      <w:r w:rsidRPr="00443E32">
        <w:t xml:space="preserve"> database</w:t>
      </w:r>
      <w:r>
        <w:t>s</w:t>
      </w:r>
      <w:r w:rsidRPr="00443E32">
        <w:t xml:space="preserve"> including </w:t>
      </w:r>
      <w:r>
        <w:t>E</w:t>
      </w:r>
      <w:r w:rsidRPr="00443E32">
        <w:t>xcel and R-based data system</w:t>
      </w:r>
      <w:r>
        <w:t>s</w:t>
      </w:r>
    </w:p>
    <w:p w14:paraId="657004BB" w14:textId="1CCFBF06" w:rsidR="0070750B" w:rsidRPr="00443E32" w:rsidRDefault="0070750B" w:rsidP="0070750B">
      <w:pPr>
        <w:pStyle w:val="ListBullet"/>
      </w:pPr>
      <w:r w:rsidRPr="00443E32">
        <w:t>Fish and microinvertebrate data will be entered into SARDI inland waters database</w:t>
      </w:r>
      <w:r>
        <w:t>s</w:t>
      </w:r>
      <w:r w:rsidRPr="00443E32">
        <w:t xml:space="preserve"> (</w:t>
      </w:r>
      <w:r>
        <w:t>A</w:t>
      </w:r>
      <w:r w:rsidRPr="00443E32">
        <w:t>ccess)</w:t>
      </w:r>
    </w:p>
    <w:p w14:paraId="15727093" w14:textId="77777777" w:rsidR="0070750B" w:rsidRDefault="0070750B" w:rsidP="0070750B">
      <w:pPr>
        <w:pStyle w:val="Heading4"/>
      </w:pPr>
      <w:r>
        <w:t>Complementary monitoring</w:t>
      </w:r>
    </w:p>
    <w:p w14:paraId="625586E6" w14:textId="371B9107" w:rsidR="0070750B" w:rsidRDefault="0066182D" w:rsidP="0070750B">
      <w:pPr>
        <w:rPr>
          <w:bCs/>
        </w:rPr>
      </w:pPr>
      <w:r>
        <w:rPr>
          <w:bCs/>
        </w:rPr>
        <w:t xml:space="preserve">Some indicators (e.g. </w:t>
      </w:r>
      <w:r w:rsidRPr="0066182D">
        <w:rPr>
          <w:bCs/>
          <w:i/>
        </w:rPr>
        <w:t>Hydraulic Regime</w:t>
      </w:r>
      <w:r>
        <w:rPr>
          <w:bCs/>
        </w:rPr>
        <w:t xml:space="preserve"> and </w:t>
      </w:r>
      <w:r w:rsidRPr="0066182D">
        <w:rPr>
          <w:bCs/>
          <w:i/>
        </w:rPr>
        <w:t>Matter T</w:t>
      </w:r>
      <w:r w:rsidR="0070750B" w:rsidRPr="0066182D">
        <w:rPr>
          <w:bCs/>
          <w:i/>
        </w:rPr>
        <w:t>ransport</w:t>
      </w:r>
      <w:r w:rsidRPr="0066182D">
        <w:rPr>
          <w:bCs/>
          <w:i/>
        </w:rPr>
        <w:t xml:space="preserve"> and Coorong Habitat</w:t>
      </w:r>
      <w:r w:rsidR="0070750B">
        <w:rPr>
          <w:bCs/>
        </w:rPr>
        <w:t xml:space="preserve"> modelling) will utilise data collected </w:t>
      </w:r>
      <w:r w:rsidR="0070750B" w:rsidRPr="00BA1146">
        <w:rPr>
          <w:bCs/>
        </w:rPr>
        <w:t>by complementa</w:t>
      </w:r>
      <w:r w:rsidR="0070750B">
        <w:rPr>
          <w:bCs/>
        </w:rPr>
        <w:t>ry monitoring programs</w:t>
      </w:r>
      <w:r w:rsidR="00DF6384">
        <w:rPr>
          <w:bCs/>
        </w:rPr>
        <w:t xml:space="preserve"> (see Section </w:t>
      </w:r>
      <w:r w:rsidR="00DF6384">
        <w:rPr>
          <w:bCs/>
        </w:rPr>
        <w:fldChar w:fldCharType="begin"/>
      </w:r>
      <w:r w:rsidR="00DF6384">
        <w:rPr>
          <w:bCs/>
        </w:rPr>
        <w:instrText xml:space="preserve"> REF _Ref9935076 \r \h </w:instrText>
      </w:r>
      <w:r w:rsidR="00DF6384">
        <w:rPr>
          <w:bCs/>
        </w:rPr>
      </w:r>
      <w:r w:rsidR="00DF6384">
        <w:rPr>
          <w:bCs/>
        </w:rPr>
        <w:fldChar w:fldCharType="separate"/>
      </w:r>
      <w:r w:rsidR="00DF49CD">
        <w:rPr>
          <w:bCs/>
        </w:rPr>
        <w:t>7.3</w:t>
      </w:r>
      <w:r w:rsidR="00DF6384">
        <w:rPr>
          <w:bCs/>
        </w:rPr>
        <w:fldChar w:fldCharType="end"/>
      </w:r>
      <w:r w:rsidR="00DF6384">
        <w:rPr>
          <w:bCs/>
        </w:rPr>
        <w:t>)</w:t>
      </w:r>
      <w:r w:rsidR="0070750B">
        <w:rPr>
          <w:bCs/>
        </w:rPr>
        <w:t>. All organisations providing complementary monitoring</w:t>
      </w:r>
      <w:r w:rsidR="0070750B" w:rsidRPr="00BA1146">
        <w:rPr>
          <w:bCs/>
        </w:rPr>
        <w:t xml:space="preserve"> data (SA Water, EPA and SA Water) have appropriately trained staff and procedures for obtaining and managing data to a suitable standard. In any case, the project team includes personnel highly experienced with handling and interpreting the type of data (parameters and locations) that will be considered within this study. As such, the project team will ensure that all data obtained from complementary monitoring programs are interrogated for potential errors. </w:t>
      </w:r>
    </w:p>
    <w:p w14:paraId="06251B0C" w14:textId="77777777" w:rsidR="0070750B" w:rsidRDefault="0070750B" w:rsidP="0070750B">
      <w:pPr>
        <w:rPr>
          <w:bCs/>
        </w:rPr>
      </w:pPr>
      <w:r w:rsidRPr="00BA1146">
        <w:rPr>
          <w:bCs/>
        </w:rPr>
        <w:t xml:space="preserve">Any potential errors will be investigated and if necessary removed. Quality of modelling outputs will be assessed through validation against observed data. Through this process, any potential errors will be identified and fixed the models will be rerun until the outputs are of a suitable scientific output. As part of the quality assurance and quality control, observed data will be compared to the ranges </w:t>
      </w:r>
      <w:r>
        <w:rPr>
          <w:bCs/>
        </w:rPr>
        <w:t xml:space="preserve">in the indicator-specific data definitions for the </w:t>
      </w:r>
      <w:r w:rsidRPr="00BA1146">
        <w:rPr>
          <w:bCs/>
        </w:rPr>
        <w:t>Monitoring Data Management System (MDMS). Although all raw data will be stored on databases of the intellectual property owners, compiled data will also be stored a</w:t>
      </w:r>
      <w:r>
        <w:rPr>
          <w:bCs/>
        </w:rPr>
        <w:t>nd managed by the project team.</w:t>
      </w:r>
    </w:p>
    <w:p w14:paraId="2C71ADB7" w14:textId="5DE4C6E6" w:rsidR="0070750B" w:rsidRDefault="0070750B" w:rsidP="0070750B">
      <w:pPr>
        <w:pStyle w:val="Heading4"/>
      </w:pPr>
      <w:r>
        <w:lastRenderedPageBreak/>
        <w:t xml:space="preserve">The </w:t>
      </w:r>
      <w:r w:rsidRPr="00BA1146">
        <w:t>Monitoring Data Management System</w:t>
      </w:r>
    </w:p>
    <w:p w14:paraId="2021FF54" w14:textId="66F85CB0" w:rsidR="0070750B" w:rsidRDefault="0070750B" w:rsidP="0070750B">
      <w:r>
        <w:t xml:space="preserve">In addition to storage of data in individual sub-contractor and MER Provider lead agency (SARDI) databases, data will be entered into the Monitoring Data Management System (MDMS), which is maintained by CEWO. All data provided for indicators into this database will conform to the data structure defined in the LTIM Data Standard </w:t>
      </w:r>
      <w:r w:rsidRPr="00662BEC">
        <w:t>(Brooks and Wealands 201</w:t>
      </w:r>
      <w:r>
        <w:t>8</w:t>
      </w:r>
      <w:r w:rsidRPr="00662BEC">
        <w:t>)</w:t>
      </w:r>
      <w:r>
        <w:t xml:space="preserve"> to ensure data is consistent and comparable across Selected Areas to enable Basin-scale evaluation</w:t>
      </w:r>
      <w:r w:rsidRPr="00662BEC">
        <w:t>.</w:t>
      </w:r>
    </w:p>
    <w:p w14:paraId="3A72ADEB" w14:textId="1B60F77A" w:rsidR="0070750B" w:rsidRDefault="0070750B" w:rsidP="0070750B">
      <w:r w:rsidRPr="00662BEC">
        <w:t>T</w:t>
      </w:r>
      <w:r>
        <w:t xml:space="preserve">he spatial unit for which data is reported for each indicator is known as </w:t>
      </w:r>
      <w:r w:rsidRPr="0070750B">
        <w:rPr>
          <w:color w:val="auto"/>
        </w:rPr>
        <w:t xml:space="preserve">an ‘assessment unit’. The assessment unit for this indicator is: the site (river section). Each row of data provided for each indicator will identify the assessment unit, the temporal extent of the data and </w:t>
      </w:r>
      <w:r>
        <w:t xml:space="preserve">a number of additional variables (as guided by the standard method in </w:t>
      </w:r>
      <w:r w:rsidRPr="00662BEC">
        <w:t>Brooks and Wealands 201</w:t>
      </w:r>
      <w:r>
        <w:t xml:space="preserve">8). </w:t>
      </w:r>
    </w:p>
    <w:p w14:paraId="2B233A3B" w14:textId="1ADB914F" w:rsidR="000C5CA0" w:rsidRPr="0094382A" w:rsidRDefault="0070750B" w:rsidP="0070750B">
      <w:pPr>
        <w:rPr>
          <w:bCs/>
        </w:rPr>
      </w:pPr>
      <w:r>
        <w:t xml:space="preserve">The exact data structure (template) for each </w:t>
      </w:r>
      <w:r w:rsidR="00FF4CE4">
        <w:t>Category 1 (</w:t>
      </w:r>
      <w:r>
        <w:t>Basin</w:t>
      </w:r>
      <w:r w:rsidR="00FF4CE4">
        <w:t>-scale)</w:t>
      </w:r>
      <w:r>
        <w:t xml:space="preserve"> indicator is maintained and communicated in the LTIM Data Standard and will be enforced by the MDMS when data is submitted. The data </w:t>
      </w:r>
      <w:r w:rsidRPr="000E285D">
        <w:t>templates for</w:t>
      </w:r>
      <w:r w:rsidRPr="0070750B">
        <w:t xml:space="preserve"> </w:t>
      </w:r>
      <w:r w:rsidR="009633F2">
        <w:t>Category 3 (</w:t>
      </w:r>
      <w:r w:rsidRPr="0070750B">
        <w:t>Selected Area</w:t>
      </w:r>
      <w:r w:rsidR="009633F2">
        <w:t>)</w:t>
      </w:r>
      <w:r w:rsidRPr="0070750B">
        <w:t xml:space="preserve"> indicators have been developed in consultation with CEWO and conform to data standards (Brooks and Wealands 2018). These templates, including a description of the variables, their type and range, are provided in the SOPs for each</w:t>
      </w:r>
      <w:r>
        <w:t xml:space="preserve"> </w:t>
      </w:r>
      <w:r w:rsidR="009633F2">
        <w:t>Category 3</w:t>
      </w:r>
      <w:r w:rsidRPr="0070750B">
        <w:t xml:space="preserve"> indicator (Appendix B). Data formats are subjected to c</w:t>
      </w:r>
      <w:r w:rsidR="001F661A">
        <w:t>hange throughout the project’s three</w:t>
      </w:r>
      <w:r w:rsidRPr="0070750B">
        <w:t>-year operation</w:t>
      </w:r>
      <w:r>
        <w:t xml:space="preserve"> in consultation with CEWO</w:t>
      </w:r>
      <w:r w:rsidRPr="0070750B">
        <w:t>.</w:t>
      </w:r>
    </w:p>
    <w:p w14:paraId="140CFC36" w14:textId="77777777" w:rsidR="000A32E0" w:rsidRDefault="000A32E0" w:rsidP="00F02673"/>
    <w:p w14:paraId="5C687140" w14:textId="16318705" w:rsidR="00F23CA5" w:rsidRDefault="00F23CA5" w:rsidP="00F02673"/>
    <w:p w14:paraId="585CE363" w14:textId="77777777" w:rsidR="00D513C3" w:rsidRDefault="00D513C3">
      <w:pPr>
        <w:spacing w:after="200" w:line="276" w:lineRule="auto"/>
        <w:jc w:val="left"/>
        <w:rPr>
          <w:rFonts w:eastAsiaTheme="majorEastAsia" w:cstheme="majorBidi"/>
          <w:b/>
          <w:bCs/>
          <w:color w:val="auto"/>
          <w:sz w:val="32"/>
          <w:szCs w:val="28"/>
        </w:rPr>
      </w:pPr>
      <w:r>
        <w:br w:type="page"/>
      </w:r>
    </w:p>
    <w:p w14:paraId="2DCD861C" w14:textId="49D1D238" w:rsidR="003E2B6B" w:rsidRPr="0031605C" w:rsidRDefault="008F2ED6" w:rsidP="00475425">
      <w:pPr>
        <w:pStyle w:val="Heading1"/>
      </w:pPr>
      <w:bookmarkStart w:id="377" w:name="_Toc22196757"/>
      <w:r w:rsidRPr="0031605C">
        <w:lastRenderedPageBreak/>
        <w:t>References</w:t>
      </w:r>
      <w:bookmarkEnd w:id="58"/>
      <w:bookmarkEnd w:id="59"/>
      <w:bookmarkEnd w:id="377"/>
      <w:r w:rsidR="00EB0036">
        <w:t xml:space="preserve"> </w:t>
      </w:r>
    </w:p>
    <w:p w14:paraId="5CDAF6CE" w14:textId="09E47101" w:rsidR="00745EC3" w:rsidRPr="00FF65CE" w:rsidRDefault="00745EC3" w:rsidP="00745EC3">
      <w:pPr>
        <w:pStyle w:val="EndNoteBibliography"/>
      </w:pPr>
      <w:r w:rsidRPr="00FF65CE">
        <w:t xml:space="preserve">Abernethy, B. and Rutherfurd, I.D. (1998). Where along a river's length will vegetation most effectively stabilise stream banks? </w:t>
      </w:r>
      <w:r w:rsidRPr="00FF65CE">
        <w:rPr>
          <w:i/>
        </w:rPr>
        <w:t>Geomorphology</w:t>
      </w:r>
      <w:r w:rsidRPr="00FF65CE">
        <w:t xml:space="preserve"> </w:t>
      </w:r>
      <w:r w:rsidRPr="00FF65CE">
        <w:rPr>
          <w:b/>
        </w:rPr>
        <w:t>23</w:t>
      </w:r>
      <w:r w:rsidR="00C648F2">
        <w:t>,</w:t>
      </w:r>
      <w:r w:rsidRPr="00FF65CE">
        <w:t xml:space="preserve"> 55</w:t>
      </w:r>
      <w:r w:rsidR="00102309">
        <w:t>–</w:t>
      </w:r>
      <w:r w:rsidRPr="00FF65CE">
        <w:t>75.</w:t>
      </w:r>
    </w:p>
    <w:p w14:paraId="573B25F6" w14:textId="5D5B0208" w:rsidR="00745EC3" w:rsidRPr="006C5267" w:rsidRDefault="00745EC3" w:rsidP="00745EC3">
      <w:pPr>
        <w:rPr>
          <w:color w:val="auto"/>
        </w:rPr>
      </w:pPr>
      <w:r w:rsidRPr="006C5267">
        <w:rPr>
          <w:color w:val="auto"/>
        </w:rPr>
        <w:t>Aldridge, K.T., Lamontagne, S., Deegan, B.M. and Brookes, J.D. (2011). Impact of a drought on nutrient concentrations in the Lower Lakes (Murray</w:t>
      </w:r>
      <w:r w:rsidRPr="006C5267">
        <w:rPr>
          <w:rFonts w:eastAsiaTheme="majorEastAsia"/>
          <w:color w:val="auto"/>
        </w:rPr>
        <w:t>–</w:t>
      </w:r>
      <w:r w:rsidRPr="006C5267">
        <w:rPr>
          <w:color w:val="auto"/>
        </w:rPr>
        <w:t xml:space="preserve">Darling basin, Australia). </w:t>
      </w:r>
      <w:r w:rsidRPr="006C5267">
        <w:rPr>
          <w:i/>
          <w:color w:val="auto"/>
        </w:rPr>
        <w:t>Inland Waters</w:t>
      </w:r>
      <w:r w:rsidRPr="006C5267">
        <w:rPr>
          <w:color w:val="auto"/>
        </w:rPr>
        <w:t xml:space="preserve"> </w:t>
      </w:r>
      <w:r w:rsidRPr="006C5267">
        <w:rPr>
          <w:b/>
          <w:color w:val="auto"/>
        </w:rPr>
        <w:t>1</w:t>
      </w:r>
      <w:r w:rsidR="00C648F2">
        <w:rPr>
          <w:color w:val="auto"/>
        </w:rPr>
        <w:t>,</w:t>
      </w:r>
      <w:r w:rsidRPr="006C5267">
        <w:rPr>
          <w:color w:val="auto"/>
        </w:rPr>
        <w:t xml:space="preserve"> 159</w:t>
      </w:r>
      <w:r w:rsidRPr="006C5267">
        <w:rPr>
          <w:rFonts w:eastAsiaTheme="majorEastAsia"/>
          <w:color w:val="auto"/>
        </w:rPr>
        <w:t>–</w:t>
      </w:r>
      <w:r w:rsidRPr="006C5267">
        <w:rPr>
          <w:color w:val="auto"/>
        </w:rPr>
        <w:t xml:space="preserve">176. </w:t>
      </w:r>
    </w:p>
    <w:p w14:paraId="132C2224" w14:textId="77777777" w:rsidR="00745EC3" w:rsidRPr="006C5267" w:rsidRDefault="00745EC3" w:rsidP="00745EC3">
      <w:pPr>
        <w:rPr>
          <w:color w:val="auto"/>
        </w:rPr>
      </w:pPr>
      <w:r w:rsidRPr="006C5267">
        <w:rPr>
          <w:color w:val="auto"/>
        </w:rPr>
        <w:t>Aldridge, K., Lorenz, Z., Oliver, R. and Brooks, J.J. (2012). Changes in water quality and phytoplankton communities in the lower Murray River in response to a low flow</w:t>
      </w:r>
      <w:r w:rsidRPr="006C5267">
        <w:rPr>
          <w:rFonts w:eastAsiaTheme="majorEastAsia"/>
          <w:color w:val="auto"/>
        </w:rPr>
        <w:t>–</w:t>
      </w:r>
      <w:r w:rsidRPr="006C5267">
        <w:rPr>
          <w:color w:val="auto"/>
        </w:rPr>
        <w:t>high flow sequence. Goyder Institute for Water Research Technical Report Series No. 12/5. Adelaide, South Australia. ISSN: 1839</w:t>
      </w:r>
      <w:r w:rsidRPr="006C5267">
        <w:rPr>
          <w:rFonts w:eastAsiaTheme="majorEastAsia"/>
          <w:color w:val="auto"/>
        </w:rPr>
        <w:t>–</w:t>
      </w:r>
      <w:r w:rsidRPr="006C5267">
        <w:rPr>
          <w:color w:val="auto"/>
        </w:rPr>
        <w:t>2725.</w:t>
      </w:r>
    </w:p>
    <w:p w14:paraId="1F267567" w14:textId="10064E65" w:rsidR="00745EC3" w:rsidRPr="00421976" w:rsidRDefault="00745EC3" w:rsidP="00745EC3">
      <w:pPr>
        <w:rPr>
          <w:color w:val="auto"/>
          <w:lang w:val="en-US"/>
        </w:rPr>
      </w:pPr>
      <w:r w:rsidRPr="00421976">
        <w:rPr>
          <w:color w:val="auto"/>
          <w:lang w:val="en-US"/>
        </w:rPr>
        <w:t>Bakun, A. (1996)</w:t>
      </w:r>
      <w:r w:rsidR="00C648F2">
        <w:rPr>
          <w:color w:val="auto"/>
          <w:lang w:val="en-US"/>
        </w:rPr>
        <w:t>.</w:t>
      </w:r>
      <w:r w:rsidRPr="00421976">
        <w:rPr>
          <w:color w:val="auto"/>
          <w:lang w:val="en-US"/>
        </w:rPr>
        <w:t xml:space="preserve"> Patterns in the Ocean. Ocean proc</w:t>
      </w:r>
      <w:r w:rsidR="00C648F2">
        <w:rPr>
          <w:color w:val="auto"/>
          <w:lang w:val="en-US"/>
        </w:rPr>
        <w:t xml:space="preserve">esses and marine population </w:t>
      </w:r>
      <w:r w:rsidRPr="00421976">
        <w:rPr>
          <w:color w:val="auto"/>
          <w:lang w:val="en-US"/>
        </w:rPr>
        <w:t>dynamics, California Sea Grant.</w:t>
      </w:r>
    </w:p>
    <w:p w14:paraId="2172BE58" w14:textId="76AD1B82" w:rsidR="00745EC3" w:rsidRPr="00F77EB2" w:rsidRDefault="00745EC3" w:rsidP="00745EC3">
      <w:pPr>
        <w:rPr>
          <w:color w:val="auto"/>
        </w:rPr>
      </w:pPr>
      <w:r w:rsidRPr="00421976">
        <w:rPr>
          <w:color w:val="auto"/>
        </w:rPr>
        <w:t>Baranyi, C., Hei</w:t>
      </w:r>
      <w:r w:rsidR="00C648F2">
        <w:rPr>
          <w:color w:val="auto"/>
        </w:rPr>
        <w:t>n, T., Holarek, C., Keckeis, S. and</w:t>
      </w:r>
      <w:r w:rsidRPr="00421976">
        <w:rPr>
          <w:color w:val="auto"/>
        </w:rPr>
        <w:t xml:space="preserve"> Schiemer</w:t>
      </w:r>
      <w:r w:rsidR="00C648F2">
        <w:rPr>
          <w:color w:val="auto"/>
        </w:rPr>
        <w:t>, F.</w:t>
      </w:r>
      <w:r w:rsidRPr="00421976">
        <w:rPr>
          <w:color w:val="auto"/>
        </w:rPr>
        <w:t xml:space="preserve"> </w:t>
      </w:r>
      <w:r w:rsidR="00C648F2">
        <w:rPr>
          <w:color w:val="auto"/>
        </w:rPr>
        <w:t>(</w:t>
      </w:r>
      <w:r w:rsidRPr="00421976">
        <w:rPr>
          <w:color w:val="auto"/>
        </w:rPr>
        <w:t>2002</w:t>
      </w:r>
      <w:r w:rsidR="00C648F2">
        <w:rPr>
          <w:color w:val="auto"/>
        </w:rPr>
        <w:t>)</w:t>
      </w:r>
      <w:r w:rsidRPr="00421976">
        <w:rPr>
          <w:color w:val="auto"/>
        </w:rPr>
        <w:t xml:space="preserve">. Zooplankton biomass and community structure in a Danube </w:t>
      </w:r>
      <w:r w:rsidRPr="00F77EB2">
        <w:rPr>
          <w:color w:val="auto"/>
        </w:rPr>
        <w:t xml:space="preserve">River floodplain system: effects of hydrology. </w:t>
      </w:r>
      <w:r w:rsidRPr="00C648F2">
        <w:rPr>
          <w:i/>
          <w:color w:val="auto"/>
        </w:rPr>
        <w:t>Freshwater Biology</w:t>
      </w:r>
      <w:r w:rsidRPr="00F77EB2">
        <w:rPr>
          <w:color w:val="auto"/>
        </w:rPr>
        <w:t xml:space="preserve"> </w:t>
      </w:r>
      <w:r w:rsidRPr="00C648F2">
        <w:rPr>
          <w:b/>
          <w:color w:val="auto"/>
        </w:rPr>
        <w:t>47</w:t>
      </w:r>
      <w:r w:rsidRPr="00F77EB2">
        <w:rPr>
          <w:color w:val="auto"/>
        </w:rPr>
        <w:t>, 473</w:t>
      </w:r>
      <w:r w:rsidR="00C648F2">
        <w:rPr>
          <w:color w:val="auto"/>
        </w:rPr>
        <w:t>–</w:t>
      </w:r>
      <w:r w:rsidRPr="00F77EB2">
        <w:rPr>
          <w:color w:val="auto"/>
        </w:rPr>
        <w:t>482.</w:t>
      </w:r>
    </w:p>
    <w:p w14:paraId="49FD0C36" w14:textId="18257DB8" w:rsidR="00745EC3" w:rsidRPr="00F77EB2" w:rsidRDefault="00C648F2" w:rsidP="00745EC3">
      <w:pPr>
        <w:rPr>
          <w:color w:val="auto"/>
        </w:rPr>
      </w:pPr>
      <w:r>
        <w:rPr>
          <w:color w:val="auto"/>
        </w:rPr>
        <w:t>Basu, B.K. and Pick, F.R.</w:t>
      </w:r>
      <w:r w:rsidR="00745EC3" w:rsidRPr="00F77EB2">
        <w:rPr>
          <w:color w:val="auto"/>
        </w:rPr>
        <w:t xml:space="preserve"> </w:t>
      </w:r>
      <w:r>
        <w:rPr>
          <w:color w:val="auto"/>
        </w:rPr>
        <w:t>(</w:t>
      </w:r>
      <w:r w:rsidR="00745EC3" w:rsidRPr="00F77EB2">
        <w:rPr>
          <w:color w:val="auto"/>
        </w:rPr>
        <w:t>1996</w:t>
      </w:r>
      <w:r>
        <w:rPr>
          <w:color w:val="auto"/>
        </w:rPr>
        <w:t>)</w:t>
      </w:r>
      <w:r w:rsidR="00102309">
        <w:rPr>
          <w:color w:val="auto"/>
        </w:rPr>
        <w:t>. Factors regulating phytoplankton and zooplankton biomass in temperate r</w:t>
      </w:r>
      <w:r w:rsidR="00745EC3" w:rsidRPr="00F77EB2">
        <w:rPr>
          <w:color w:val="auto"/>
        </w:rPr>
        <w:t xml:space="preserve">ivers. </w:t>
      </w:r>
      <w:r w:rsidR="00745EC3" w:rsidRPr="00C648F2">
        <w:rPr>
          <w:i/>
          <w:color w:val="auto"/>
        </w:rPr>
        <w:t>Limnology and Oceanography</w:t>
      </w:r>
      <w:r w:rsidR="00745EC3" w:rsidRPr="00F77EB2">
        <w:rPr>
          <w:color w:val="auto"/>
        </w:rPr>
        <w:t xml:space="preserve"> </w:t>
      </w:r>
      <w:r w:rsidR="00745EC3" w:rsidRPr="00C648F2">
        <w:rPr>
          <w:b/>
          <w:color w:val="auto"/>
        </w:rPr>
        <w:t>41</w:t>
      </w:r>
      <w:r w:rsidR="00745EC3" w:rsidRPr="00F77EB2">
        <w:rPr>
          <w:color w:val="auto"/>
        </w:rPr>
        <w:t>, 1572</w:t>
      </w:r>
      <w:r>
        <w:rPr>
          <w:color w:val="auto"/>
        </w:rPr>
        <w:t>–</w:t>
      </w:r>
      <w:r w:rsidR="00745EC3" w:rsidRPr="00F77EB2">
        <w:rPr>
          <w:color w:val="auto"/>
        </w:rPr>
        <w:t>1577.</w:t>
      </w:r>
    </w:p>
    <w:p w14:paraId="0BCA5015" w14:textId="31F6CA50" w:rsidR="00745EC3" w:rsidRPr="0040081F" w:rsidRDefault="00745EC3" w:rsidP="00745EC3">
      <w:pPr>
        <w:rPr>
          <w:color w:val="auto"/>
        </w:rPr>
      </w:pPr>
      <w:r w:rsidRPr="0040081F">
        <w:rPr>
          <w:color w:val="auto"/>
        </w:rPr>
        <w:t>Bice, C. M., Gibbs, M. S., K</w:t>
      </w:r>
      <w:r w:rsidR="00C648F2">
        <w:rPr>
          <w:color w:val="auto"/>
        </w:rPr>
        <w:t>ilsby, N. N., Mallen-Cooper, M. and</w:t>
      </w:r>
      <w:r w:rsidRPr="0040081F">
        <w:rPr>
          <w:color w:val="auto"/>
        </w:rPr>
        <w:t xml:space="preserve"> Zampatti, B. P. (2017). Putting the "river" back into the Lower River Murray: quantifying the hydraulic impact of river regulation to guide ecological restoration. </w:t>
      </w:r>
      <w:r w:rsidRPr="00C648F2">
        <w:rPr>
          <w:i/>
          <w:color w:val="auto"/>
        </w:rPr>
        <w:t>Transactions of the Royal Society of South Australia</w:t>
      </w:r>
      <w:r w:rsidR="00C648F2">
        <w:rPr>
          <w:color w:val="auto"/>
        </w:rPr>
        <w:t xml:space="preserve"> </w:t>
      </w:r>
      <w:r w:rsidR="00C648F2" w:rsidRPr="00C648F2">
        <w:rPr>
          <w:b/>
          <w:color w:val="auto"/>
        </w:rPr>
        <w:t>141</w:t>
      </w:r>
      <w:r w:rsidRPr="0040081F">
        <w:rPr>
          <w:color w:val="auto"/>
        </w:rPr>
        <w:t>, 108</w:t>
      </w:r>
      <w:r w:rsidR="00C648F2">
        <w:rPr>
          <w:color w:val="auto"/>
        </w:rPr>
        <w:t>–</w:t>
      </w:r>
      <w:r w:rsidRPr="0040081F">
        <w:rPr>
          <w:color w:val="auto"/>
        </w:rPr>
        <w:t>131.</w:t>
      </w:r>
    </w:p>
    <w:p w14:paraId="6B6EEEA6" w14:textId="77777777" w:rsidR="00745EC3" w:rsidRPr="00755B71" w:rsidRDefault="00745EC3" w:rsidP="00745EC3">
      <w:pPr>
        <w:rPr>
          <w:color w:val="auto"/>
        </w:rPr>
      </w:pPr>
      <w:r w:rsidRPr="0040081F">
        <w:rPr>
          <w:color w:val="auto"/>
        </w:rPr>
        <w:t xml:space="preserve">Biggs, B. J. F., V. I. Nikora and T. H. Snelder (2005). Linking scales of flow variability to lotic ecosystem structure and function. Regulated </w:t>
      </w:r>
      <w:r w:rsidRPr="00755B71">
        <w:rPr>
          <w:color w:val="auto"/>
        </w:rPr>
        <w:t>Rivers: Research &amp; Mangement 21: 283–298.</w:t>
      </w:r>
    </w:p>
    <w:p w14:paraId="19C638EA" w14:textId="365167F6" w:rsidR="00745EC3" w:rsidRPr="00755B71" w:rsidRDefault="00745EC3" w:rsidP="00745EC3">
      <w:pPr>
        <w:pStyle w:val="EndNoteBibliography"/>
      </w:pPr>
      <w:r w:rsidRPr="00755B71">
        <w:t xml:space="preserve">Blanch, S.J., Ganf, G.G. and Walker, K.F. (1999). Tolerance of riverine plants to flooding and exposure by water regime. </w:t>
      </w:r>
      <w:r w:rsidRPr="00755B71">
        <w:rPr>
          <w:i/>
        </w:rPr>
        <w:t>Regulated Rivers: Research and Management</w:t>
      </w:r>
      <w:r w:rsidRPr="00755B71">
        <w:t xml:space="preserve"> </w:t>
      </w:r>
      <w:r w:rsidRPr="00755B71">
        <w:rPr>
          <w:b/>
        </w:rPr>
        <w:t>15</w:t>
      </w:r>
      <w:r w:rsidR="00C648F2">
        <w:t>,</w:t>
      </w:r>
      <w:r w:rsidRPr="00755B71">
        <w:t xml:space="preserve"> 43</w:t>
      </w:r>
      <w:r w:rsidR="00C648F2">
        <w:t>–</w:t>
      </w:r>
      <w:r w:rsidRPr="00755B71">
        <w:t>62.</w:t>
      </w:r>
    </w:p>
    <w:p w14:paraId="64821DFB" w14:textId="6F56576E" w:rsidR="00745EC3" w:rsidRPr="00755B71" w:rsidRDefault="00745EC3" w:rsidP="00745EC3">
      <w:pPr>
        <w:pStyle w:val="EndNoteBibliography"/>
      </w:pPr>
      <w:r w:rsidRPr="00755B71">
        <w:t xml:space="preserve">Blanch, S.J., Walker, K.F. and Ganf, G.G. (2000). Water regimes and littoral plants in four weir pools of the River Murray, Australia. </w:t>
      </w:r>
      <w:r w:rsidRPr="00755B71">
        <w:rPr>
          <w:i/>
        </w:rPr>
        <w:t>Regulated Rivers Research and Management</w:t>
      </w:r>
      <w:r w:rsidRPr="00755B71">
        <w:t xml:space="preserve"> </w:t>
      </w:r>
      <w:r w:rsidRPr="00C648F2">
        <w:rPr>
          <w:b/>
        </w:rPr>
        <w:t>16</w:t>
      </w:r>
      <w:r w:rsidR="00C648F2">
        <w:t>,</w:t>
      </w:r>
      <w:r w:rsidRPr="00755B71">
        <w:t xml:space="preserve"> 445</w:t>
      </w:r>
      <w:r w:rsidR="00C648F2">
        <w:t>–</w:t>
      </w:r>
      <w:r w:rsidRPr="00755B71">
        <w:t>456.</w:t>
      </w:r>
    </w:p>
    <w:p w14:paraId="6EC51021" w14:textId="5F50CEF9" w:rsidR="00745EC3" w:rsidRPr="00F77EB2" w:rsidRDefault="00745EC3" w:rsidP="00745EC3">
      <w:pPr>
        <w:pStyle w:val="EndNoteBibliography"/>
      </w:pPr>
      <w:r w:rsidRPr="00755B71">
        <w:t>Blom, C.W.P.M., Bogemann, G.M., La</w:t>
      </w:r>
      <w:r w:rsidRPr="00E16878">
        <w:t xml:space="preserve">an, P., Van Der Sman, A.J.M., Van De Steeg, H.M. and Voesenek, L.A.C.J. (1990). </w:t>
      </w:r>
      <w:r w:rsidRPr="00F77EB2">
        <w:t xml:space="preserve">Adaptations to flooding in plants from river areas. </w:t>
      </w:r>
      <w:r w:rsidRPr="00F77EB2">
        <w:rPr>
          <w:i/>
        </w:rPr>
        <w:t>Aquatic Botany</w:t>
      </w:r>
      <w:r w:rsidRPr="00F77EB2">
        <w:t xml:space="preserve"> </w:t>
      </w:r>
      <w:r w:rsidRPr="00F77EB2">
        <w:rPr>
          <w:b/>
        </w:rPr>
        <w:t>38</w:t>
      </w:r>
      <w:r w:rsidR="00C648F2">
        <w:t>,</w:t>
      </w:r>
      <w:r w:rsidRPr="00F77EB2">
        <w:t xml:space="preserve"> 29</w:t>
      </w:r>
      <w:r w:rsidR="00C648F2">
        <w:t>–</w:t>
      </w:r>
      <w:r w:rsidRPr="00F77EB2">
        <w:t>48.</w:t>
      </w:r>
    </w:p>
    <w:p w14:paraId="7F22EE26" w14:textId="752EC875" w:rsidR="00745EC3" w:rsidRPr="00F77EB2" w:rsidRDefault="00745EC3" w:rsidP="00745EC3">
      <w:pPr>
        <w:pStyle w:val="EndNoteBibliography"/>
      </w:pPr>
      <w:r w:rsidRPr="00F77EB2">
        <w:t>Borin, M. and Salvato</w:t>
      </w:r>
      <w:r w:rsidRPr="00E16878">
        <w:t xml:space="preserve">, M. (2012). Effects of five macrophytes on nitrogen remediation and mass balance in wetland mesocosms. </w:t>
      </w:r>
      <w:r w:rsidRPr="00E16878">
        <w:rPr>
          <w:i/>
        </w:rPr>
        <w:t xml:space="preserve">Ecological </w:t>
      </w:r>
      <w:r w:rsidRPr="00F77EB2">
        <w:rPr>
          <w:i/>
        </w:rPr>
        <w:t>Engineering</w:t>
      </w:r>
      <w:r w:rsidRPr="00F77EB2">
        <w:t xml:space="preserve"> </w:t>
      </w:r>
      <w:r w:rsidRPr="00F77EB2">
        <w:rPr>
          <w:b/>
        </w:rPr>
        <w:t>46</w:t>
      </w:r>
      <w:r w:rsidR="00C648F2">
        <w:t>,</w:t>
      </w:r>
      <w:r w:rsidRPr="00F77EB2">
        <w:t xml:space="preserve"> 34</w:t>
      </w:r>
      <w:r w:rsidR="00C648F2">
        <w:t>–</w:t>
      </w:r>
      <w:r w:rsidRPr="00F77EB2">
        <w:t>42.</w:t>
      </w:r>
    </w:p>
    <w:p w14:paraId="741600AE" w14:textId="77777777" w:rsidR="00B10D9A" w:rsidRPr="00F77EB2" w:rsidRDefault="00B10D9A" w:rsidP="00B10D9A">
      <w:pPr>
        <w:rPr>
          <w:color w:val="auto"/>
        </w:rPr>
      </w:pPr>
      <w:r>
        <w:rPr>
          <w:color w:val="auto"/>
        </w:rPr>
        <w:t>Boulton, A. and Lloyd, L.</w:t>
      </w:r>
      <w:r w:rsidRPr="00F77EB2">
        <w:rPr>
          <w:color w:val="auto"/>
        </w:rPr>
        <w:t xml:space="preserve"> </w:t>
      </w:r>
      <w:r>
        <w:rPr>
          <w:color w:val="auto"/>
        </w:rPr>
        <w:t>(</w:t>
      </w:r>
      <w:r w:rsidRPr="00F77EB2">
        <w:rPr>
          <w:color w:val="auto"/>
        </w:rPr>
        <w:t>1992</w:t>
      </w:r>
      <w:r>
        <w:rPr>
          <w:color w:val="auto"/>
        </w:rPr>
        <w:t>)</w:t>
      </w:r>
      <w:r w:rsidRPr="00F77EB2">
        <w:rPr>
          <w:color w:val="auto"/>
        </w:rPr>
        <w:t xml:space="preserve">. Flooding frequency and invertebrate emergence from dry floodplain sediments of the River Murray, Australia. </w:t>
      </w:r>
      <w:r>
        <w:rPr>
          <w:i/>
          <w:color w:val="auto"/>
        </w:rPr>
        <w:t>Regulated Rivers: Research and</w:t>
      </w:r>
      <w:r w:rsidRPr="00C648F2">
        <w:rPr>
          <w:i/>
          <w:color w:val="auto"/>
        </w:rPr>
        <w:t xml:space="preserve"> Management</w:t>
      </w:r>
      <w:r w:rsidRPr="00F77EB2">
        <w:rPr>
          <w:color w:val="auto"/>
        </w:rPr>
        <w:t xml:space="preserve"> </w:t>
      </w:r>
      <w:r w:rsidRPr="00C648F2">
        <w:rPr>
          <w:b/>
          <w:color w:val="auto"/>
        </w:rPr>
        <w:t>7</w:t>
      </w:r>
      <w:r w:rsidRPr="00F77EB2">
        <w:rPr>
          <w:color w:val="auto"/>
        </w:rPr>
        <w:t>, 137</w:t>
      </w:r>
      <w:r>
        <w:rPr>
          <w:color w:val="auto"/>
        </w:rPr>
        <w:t>–</w:t>
      </w:r>
      <w:r w:rsidRPr="00F77EB2">
        <w:rPr>
          <w:color w:val="auto"/>
        </w:rPr>
        <w:t>151.</w:t>
      </w:r>
    </w:p>
    <w:p w14:paraId="654707D2" w14:textId="77777777" w:rsidR="00745EC3" w:rsidRPr="00CB1CBE" w:rsidRDefault="00745EC3" w:rsidP="00745EC3">
      <w:pPr>
        <w:rPr>
          <w:color w:val="auto"/>
        </w:rPr>
      </w:pPr>
      <w:r w:rsidRPr="002C723D">
        <w:rPr>
          <w:color w:val="auto"/>
        </w:rPr>
        <w:t>Brookes, J.D., Lamontagne, S., Aldridge, K.T., Benger, S., Bissett, A., Bucater, L., Cheshire, A.C., Cook, P.L.M., Deegan, B.M., Dittmann, S., Fairweather, P.G., Fernandes, M.B., Ford, P.W., Geddes, M.C., Gillanders, B.M., Grigg, N.J., Haese, R.R., Krull, E., Langley, R.A., Lester, R.E., Loo, M., Munro, A.R., Noell, C.J., Nayar, S., Paton, D.C., Revill, A.T., Rogers, D.J., Rolston, A., Sharma, S.K., Short, D.A., Tanner, J.E., Webster, I.T., Wellman, N.R. and Ye, Q. (2009). An ecosystem assessment framework to guide management of the Coorong. CSIRO: Water for a Healthy Country National Research Flagship, Canberra.</w:t>
      </w:r>
    </w:p>
    <w:p w14:paraId="7103E3B8" w14:textId="3E40B1F1" w:rsidR="00745EC3" w:rsidRPr="00CB1CBE" w:rsidRDefault="00745EC3" w:rsidP="00745EC3">
      <w:pPr>
        <w:rPr>
          <w:color w:val="auto"/>
        </w:rPr>
      </w:pPr>
      <w:r w:rsidRPr="00CB1CBE">
        <w:rPr>
          <w:color w:val="auto"/>
        </w:rPr>
        <w:t>Brooks, S. and Wealands, S. (2018)</w:t>
      </w:r>
      <w:r w:rsidR="00222CAD">
        <w:rPr>
          <w:color w:val="auto"/>
        </w:rPr>
        <w:t>.</w:t>
      </w:r>
      <w:r w:rsidRPr="00CB1CBE">
        <w:rPr>
          <w:color w:val="auto"/>
        </w:rPr>
        <w:t xml:space="preserve"> Commonwealth Environmental Water Office Long Term Intervention Monitoring Project: Data Standard. Report prepared for the Commonwealth Environmental Water Office by La Trobe University, Publication 29.3/2013 Revised November 2018</w:t>
      </w:r>
      <w:r w:rsidR="00222CAD">
        <w:rPr>
          <w:color w:val="auto"/>
        </w:rPr>
        <w:t>.</w:t>
      </w:r>
    </w:p>
    <w:p w14:paraId="74F1EF4F" w14:textId="4B08E6F7" w:rsidR="00745EC3" w:rsidRPr="00FF65CE" w:rsidRDefault="00745EC3" w:rsidP="00745EC3">
      <w:pPr>
        <w:pStyle w:val="EndNoteBibliography"/>
      </w:pPr>
      <w:r w:rsidRPr="00FF65CE">
        <w:lastRenderedPageBreak/>
        <w:t xml:space="preserve">Capon, S.J. (2007). Effects of flooding on seedling emergence from the soil seed bank of a large desert floodplain. </w:t>
      </w:r>
      <w:r w:rsidRPr="00FF65CE">
        <w:rPr>
          <w:i/>
        </w:rPr>
        <w:t>Wetlands</w:t>
      </w:r>
      <w:r w:rsidRPr="00FF65CE">
        <w:t xml:space="preserve"> </w:t>
      </w:r>
      <w:r w:rsidRPr="00FF65CE">
        <w:rPr>
          <w:b/>
        </w:rPr>
        <w:t>27</w:t>
      </w:r>
      <w:r w:rsidR="00102309">
        <w:t>,</w:t>
      </w:r>
      <w:r w:rsidRPr="00FF65CE">
        <w:t xml:space="preserve"> 904</w:t>
      </w:r>
      <w:r w:rsidR="00102309">
        <w:t>–</w:t>
      </w:r>
      <w:r w:rsidRPr="00FF65CE">
        <w:t>914.</w:t>
      </w:r>
    </w:p>
    <w:p w14:paraId="11032674" w14:textId="77777777" w:rsidR="00210EDC" w:rsidRPr="00E80838" w:rsidRDefault="00210EDC" w:rsidP="00210EDC">
      <w:pPr>
        <w:rPr>
          <w:szCs w:val="22"/>
          <w:lang w:val="en-GB"/>
        </w:rPr>
      </w:pPr>
      <w:r w:rsidRPr="00E80838">
        <w:rPr>
          <w:szCs w:val="22"/>
          <w:lang w:val="en-GB"/>
        </w:rPr>
        <w:t>Collier, C., van Dijk, K.-J., Erftemeijer, P., Foster, N., Hipsey, M., O'Lough</w:t>
      </w:r>
      <w:r>
        <w:rPr>
          <w:szCs w:val="22"/>
          <w:lang w:val="en-GB"/>
        </w:rPr>
        <w:t>lin, E., Ticli, K. and Waycott, M.</w:t>
      </w:r>
      <w:r w:rsidRPr="00E80838">
        <w:rPr>
          <w:szCs w:val="22"/>
          <w:lang w:val="en-GB"/>
        </w:rPr>
        <w:t xml:space="preserve"> </w:t>
      </w:r>
      <w:r>
        <w:rPr>
          <w:szCs w:val="22"/>
          <w:lang w:val="en-GB"/>
        </w:rPr>
        <w:t>(</w:t>
      </w:r>
      <w:r w:rsidRPr="00E80838">
        <w:rPr>
          <w:szCs w:val="22"/>
          <w:lang w:val="en-GB"/>
        </w:rPr>
        <w:t>2017</w:t>
      </w:r>
      <w:r>
        <w:rPr>
          <w:szCs w:val="22"/>
          <w:lang w:val="en-GB"/>
        </w:rPr>
        <w:t>).</w:t>
      </w:r>
      <w:r w:rsidRPr="00E80838">
        <w:rPr>
          <w:szCs w:val="22"/>
          <w:lang w:val="en-GB"/>
        </w:rPr>
        <w:t xml:space="preserve"> Optimising Coorong </w:t>
      </w:r>
      <w:r w:rsidRPr="00E80838">
        <w:rPr>
          <w:i/>
          <w:iCs/>
          <w:szCs w:val="22"/>
          <w:lang w:val="en-GB"/>
        </w:rPr>
        <w:t xml:space="preserve">Ruppia </w:t>
      </w:r>
      <w:r w:rsidRPr="00E80838">
        <w:rPr>
          <w:szCs w:val="22"/>
          <w:lang w:val="en-GB"/>
        </w:rPr>
        <w:t xml:space="preserve">habitat: Strategies to improve habitat conditions for </w:t>
      </w:r>
      <w:r w:rsidRPr="00E80838">
        <w:rPr>
          <w:i/>
          <w:iCs/>
          <w:szCs w:val="22"/>
          <w:lang w:val="en-GB"/>
        </w:rPr>
        <w:t xml:space="preserve">Ruppia tuberosa </w:t>
      </w:r>
      <w:r w:rsidRPr="00E80838">
        <w:rPr>
          <w:szCs w:val="22"/>
          <w:lang w:val="en-GB"/>
        </w:rPr>
        <w:t xml:space="preserve">in the Coorong (South Australia) based on literature review, manipulative experiments and predictive modelling. In: Waycott, M. (Ed.), Reports to Department of Environment and Natural Resources (DEWNR). The University of Adelaide, School of Biological Sciences, Adelaide, South Australia, p. 169 pp. </w:t>
      </w:r>
    </w:p>
    <w:p w14:paraId="50388B2C" w14:textId="77777777" w:rsidR="00102309" w:rsidRDefault="00102309" w:rsidP="00745EC3">
      <w:pPr>
        <w:rPr>
          <w:color w:val="auto"/>
        </w:rPr>
      </w:pPr>
      <w:r w:rsidRPr="00102309">
        <w:rPr>
          <w:color w:val="auto"/>
        </w:rPr>
        <w:t xml:space="preserve">Davis, T.L.O. (1977). Reproductive biology of the freshwater catfish, </w:t>
      </w:r>
      <w:r w:rsidRPr="00102309">
        <w:rPr>
          <w:i/>
          <w:color w:val="auto"/>
        </w:rPr>
        <w:t>Tandanus tandanus</w:t>
      </w:r>
      <w:r w:rsidRPr="00102309">
        <w:rPr>
          <w:color w:val="auto"/>
        </w:rPr>
        <w:t xml:space="preserve"> Mitchell, in the Gwydir River, Australia. II. Gonadal cycle and fecundity. </w:t>
      </w:r>
      <w:r w:rsidRPr="00102309">
        <w:rPr>
          <w:i/>
          <w:color w:val="auto"/>
        </w:rPr>
        <w:t xml:space="preserve">Australian Journal of Marine and Freshwater Research </w:t>
      </w:r>
      <w:r w:rsidRPr="00102309">
        <w:rPr>
          <w:b/>
          <w:color w:val="auto"/>
        </w:rPr>
        <w:t>28</w:t>
      </w:r>
      <w:r w:rsidRPr="00102309">
        <w:rPr>
          <w:color w:val="auto"/>
        </w:rPr>
        <w:t>, 159–169.</w:t>
      </w:r>
    </w:p>
    <w:p w14:paraId="3FF40C0B" w14:textId="243FE596" w:rsidR="00745EC3" w:rsidRPr="00006105" w:rsidRDefault="00745EC3" w:rsidP="00745EC3">
      <w:pPr>
        <w:rPr>
          <w:color w:val="auto"/>
        </w:rPr>
      </w:pPr>
      <w:r w:rsidRPr="00006105">
        <w:rPr>
          <w:color w:val="auto"/>
        </w:rPr>
        <w:t>DEWNR (2015). Long Term Environmental Watering Plan for the South Australian River Murray Water Resource Plan Area. November 2015. Department of Environment, Water and Natural Resources, Adelaide.</w:t>
      </w:r>
    </w:p>
    <w:p w14:paraId="107EE3EE" w14:textId="1370BC9B" w:rsidR="00745EC3" w:rsidRPr="00E16878" w:rsidRDefault="00745EC3" w:rsidP="00745EC3">
      <w:pPr>
        <w:rPr>
          <w:color w:val="auto"/>
          <w:szCs w:val="22"/>
        </w:rPr>
      </w:pPr>
      <w:r w:rsidRPr="00006105">
        <w:rPr>
          <w:color w:val="auto"/>
          <w:szCs w:val="22"/>
        </w:rPr>
        <w:t>DHI (2014)</w:t>
      </w:r>
      <w:r w:rsidR="00102309">
        <w:rPr>
          <w:color w:val="auto"/>
          <w:szCs w:val="22"/>
        </w:rPr>
        <w:t>.</w:t>
      </w:r>
      <w:r w:rsidRPr="00006105">
        <w:rPr>
          <w:color w:val="auto"/>
          <w:szCs w:val="22"/>
        </w:rPr>
        <w:t xml:space="preserve"> </w:t>
      </w:r>
      <w:r w:rsidRPr="0040081F">
        <w:rPr>
          <w:i/>
          <w:color w:val="auto"/>
          <w:szCs w:val="22"/>
        </w:rPr>
        <w:t xml:space="preserve">Lower Murray Hydrodynamic Model – Model development and calibration report. </w:t>
      </w:r>
      <w:r w:rsidRPr="0040081F">
        <w:rPr>
          <w:color w:val="auto"/>
          <w:szCs w:val="22"/>
        </w:rPr>
        <w:t xml:space="preserve">Final Report to </w:t>
      </w:r>
      <w:r w:rsidRPr="00E16878">
        <w:rPr>
          <w:color w:val="auto"/>
          <w:szCs w:val="22"/>
        </w:rPr>
        <w:t>Department For Water, Dec 2014</w:t>
      </w:r>
    </w:p>
    <w:p w14:paraId="6EFAE472" w14:textId="2E1E3231" w:rsidR="00745EC3" w:rsidRPr="00E16878" w:rsidRDefault="00745EC3" w:rsidP="00745EC3">
      <w:pPr>
        <w:pStyle w:val="EndNoteBibliography"/>
      </w:pPr>
      <w:bookmarkStart w:id="378" w:name="_ENREF_30"/>
      <w:r w:rsidRPr="00E16878">
        <w:t xml:space="preserve">Dickopp, J., Kazda, M. and Cizkova, H. (2011). Differences in rhizome aeration of </w:t>
      </w:r>
      <w:r w:rsidRPr="00E16878">
        <w:rPr>
          <w:i/>
        </w:rPr>
        <w:t>Phragmites australis</w:t>
      </w:r>
      <w:r w:rsidRPr="00E16878">
        <w:t xml:space="preserve"> in a constructed wetland. </w:t>
      </w:r>
      <w:r w:rsidRPr="00E16878">
        <w:rPr>
          <w:i/>
        </w:rPr>
        <w:t>Ecological Engineering</w:t>
      </w:r>
      <w:r w:rsidRPr="00E16878">
        <w:t xml:space="preserve"> </w:t>
      </w:r>
      <w:r w:rsidRPr="00E16878">
        <w:rPr>
          <w:b/>
        </w:rPr>
        <w:t>37</w:t>
      </w:r>
      <w:r w:rsidR="00102309">
        <w:t>,</w:t>
      </w:r>
      <w:r w:rsidRPr="00E16878">
        <w:t xml:space="preserve"> 1647</w:t>
      </w:r>
      <w:r w:rsidR="00102309">
        <w:t>–</w:t>
      </w:r>
      <w:r w:rsidRPr="00E16878">
        <w:t>1653.</w:t>
      </w:r>
      <w:bookmarkEnd w:id="378"/>
    </w:p>
    <w:p w14:paraId="2A1AD217" w14:textId="77777777" w:rsidR="00745EC3" w:rsidRPr="00D96344" w:rsidRDefault="00745EC3" w:rsidP="00745EC3">
      <w:pPr>
        <w:rPr>
          <w:color w:val="auto"/>
        </w:rPr>
      </w:pPr>
      <w:r w:rsidRPr="00D96344">
        <w:rPr>
          <w:color w:val="auto"/>
        </w:rPr>
        <w:t>Ecological Associates (2010). The Environmental Water Requirements of the South Australian River Murray. Ecological Associates report AQ010-2-D prepared for South Australian Murray</w:t>
      </w:r>
      <w:r w:rsidRPr="00D96344">
        <w:rPr>
          <w:rFonts w:eastAsiaTheme="majorEastAsia"/>
          <w:color w:val="auto"/>
        </w:rPr>
        <w:t>–</w:t>
      </w:r>
      <w:r w:rsidRPr="00D96344">
        <w:rPr>
          <w:color w:val="auto"/>
        </w:rPr>
        <w:t>Darling Basin Natural Resources Management Board, Adelaide.</w:t>
      </w:r>
    </w:p>
    <w:p w14:paraId="61FA8CC0" w14:textId="08078854" w:rsidR="00745EC3" w:rsidRPr="00F77EB2" w:rsidRDefault="00745EC3" w:rsidP="00745EC3">
      <w:pPr>
        <w:pStyle w:val="EndNoteBibliography"/>
      </w:pPr>
      <w:r w:rsidRPr="00E16878">
        <w:t xml:space="preserve">Froend, R.H. and </w:t>
      </w:r>
      <w:r w:rsidRPr="00F77EB2">
        <w:t xml:space="preserve">McComb, A.J. (1994). Distribution, productivity and reproductive phenology of emergent macrophytes in relation to water regimes at wetlands of south-western Australia. </w:t>
      </w:r>
      <w:r w:rsidRPr="00F77EB2">
        <w:rPr>
          <w:i/>
        </w:rPr>
        <w:t>Australian Journal of Marine and Freshwater Research</w:t>
      </w:r>
      <w:r w:rsidRPr="00F77EB2">
        <w:t xml:space="preserve"> </w:t>
      </w:r>
      <w:r w:rsidRPr="00F77EB2">
        <w:rPr>
          <w:b/>
        </w:rPr>
        <w:t>45</w:t>
      </w:r>
      <w:r w:rsidR="00102309">
        <w:t>,</w:t>
      </w:r>
      <w:r w:rsidRPr="00F77EB2">
        <w:t xml:space="preserve"> 1491</w:t>
      </w:r>
      <w:r w:rsidR="00102309">
        <w:t>–</w:t>
      </w:r>
      <w:r w:rsidRPr="00F77EB2">
        <w:t>1508.</w:t>
      </w:r>
    </w:p>
    <w:p w14:paraId="63F69E21" w14:textId="1CF9603A" w:rsidR="00745EC3" w:rsidRDefault="00EF0A90" w:rsidP="00745EC3">
      <w:pPr>
        <w:rPr>
          <w:color w:val="auto"/>
        </w:rPr>
      </w:pPr>
      <w:r w:rsidRPr="00EF0A90">
        <w:rPr>
          <w:color w:val="auto"/>
        </w:rPr>
        <w:t xml:space="preserve">Froese, R. (2006). Cube law, condition factor and weight-length relationships: history, meta-analysis and recommendations. </w:t>
      </w:r>
      <w:r w:rsidRPr="00EF0A90">
        <w:rPr>
          <w:i/>
          <w:color w:val="auto"/>
        </w:rPr>
        <w:t>Journal of Applied Ichthyology</w:t>
      </w:r>
      <w:r>
        <w:rPr>
          <w:color w:val="auto"/>
        </w:rPr>
        <w:t xml:space="preserve"> </w:t>
      </w:r>
      <w:r w:rsidRPr="00EF0A90">
        <w:rPr>
          <w:b/>
          <w:color w:val="auto"/>
        </w:rPr>
        <w:t>22</w:t>
      </w:r>
      <w:r>
        <w:rPr>
          <w:color w:val="auto"/>
        </w:rPr>
        <w:t>,</w:t>
      </w:r>
      <w:r w:rsidRPr="00EF0A90">
        <w:rPr>
          <w:color w:val="auto"/>
        </w:rPr>
        <w:t xml:space="preserve"> 241</w:t>
      </w:r>
      <w:r w:rsidR="00FD321B">
        <w:rPr>
          <w:color w:val="auto"/>
        </w:rPr>
        <w:t>–</w:t>
      </w:r>
      <w:r w:rsidRPr="00EF0A90">
        <w:rPr>
          <w:color w:val="auto"/>
        </w:rPr>
        <w:t>253</w:t>
      </w:r>
      <w:r>
        <w:rPr>
          <w:color w:val="auto"/>
        </w:rPr>
        <w:t>.</w:t>
      </w:r>
    </w:p>
    <w:p w14:paraId="3C6D0B06" w14:textId="6DDA51AA" w:rsidR="00745EC3" w:rsidRPr="006D05A9" w:rsidRDefault="00745EC3" w:rsidP="00745EC3">
      <w:pPr>
        <w:rPr>
          <w:color w:val="auto"/>
        </w:rPr>
      </w:pPr>
      <w:r w:rsidRPr="00F77EB2">
        <w:rPr>
          <w:color w:val="auto"/>
        </w:rPr>
        <w:t>Ganf, G., White, S. and Oliver, R. (2010). Allocating water to the wetlands of the Murray Valley to maximise aquatic plant species diversity. In</w:t>
      </w:r>
      <w:r w:rsidR="00ED03D3">
        <w:rPr>
          <w:color w:val="auto"/>
        </w:rPr>
        <w:t>:</w:t>
      </w:r>
      <w:r w:rsidRPr="00F77EB2">
        <w:rPr>
          <w:color w:val="auto"/>
        </w:rPr>
        <w:t xml:space="preserve"> Saintilan, N. and Overton, I. (eds) Ecosystem Response Modelling in the Murray Darling </w:t>
      </w:r>
      <w:r w:rsidRPr="006D05A9">
        <w:rPr>
          <w:color w:val="auto"/>
        </w:rPr>
        <w:t>Basin. pp. 279-300, CSIRO Publishing, Collingwood, Victoria.</w:t>
      </w:r>
    </w:p>
    <w:p w14:paraId="3E4CCB15" w14:textId="77777777" w:rsidR="00745EC3" w:rsidRPr="002C723D" w:rsidRDefault="00745EC3" w:rsidP="00745EC3">
      <w:pPr>
        <w:rPr>
          <w:color w:val="auto"/>
        </w:rPr>
      </w:pPr>
      <w:r w:rsidRPr="006D05A9">
        <w:rPr>
          <w:color w:val="auto"/>
        </w:rPr>
        <w:t xml:space="preserve">Gawne, B., Brooks, S., </w:t>
      </w:r>
      <w:r w:rsidRPr="002C723D">
        <w:rPr>
          <w:color w:val="auto"/>
        </w:rPr>
        <w:t>Butcher, R., Cottingham, P., Everingham, P. and Hale, J. (2013a). Long Term Intervention Monitoring Project River Monitoring and Evaluation Requirements Lower Murray for Commonwealth environmental water. Final Report prepared for the Commonwealth Environmental Water Office by The Murray</w:t>
      </w:r>
      <w:r w:rsidRPr="002C723D">
        <w:rPr>
          <w:rFonts w:eastAsiaTheme="majorEastAsia"/>
          <w:color w:val="auto"/>
        </w:rPr>
        <w:t>–</w:t>
      </w:r>
      <w:r w:rsidRPr="002C723D">
        <w:rPr>
          <w:color w:val="auto"/>
        </w:rPr>
        <w:t>Darling Freshwater Research Centre, MDFRC Publication 01.2/2013.</w:t>
      </w:r>
    </w:p>
    <w:p w14:paraId="2317BFAB" w14:textId="77777777" w:rsidR="00745EC3" w:rsidRPr="002C723D" w:rsidRDefault="00745EC3" w:rsidP="00745EC3">
      <w:pPr>
        <w:rPr>
          <w:color w:val="auto"/>
        </w:rPr>
      </w:pPr>
      <w:r w:rsidRPr="002C723D">
        <w:rPr>
          <w:color w:val="auto"/>
        </w:rPr>
        <w:t>Gawne, B., Hale, J., Butcher, R., Brooks, S., Roots, J., Cottingham, P., Stewardson, M. and Everingham, P. (2014). Commonwealth Environmental Water Office Long Term Intervention Monitoring Project: Evaluation Plan. Final Report prepared for the Commonwealth Environmental Water Office by The Murray</w:t>
      </w:r>
      <w:r w:rsidRPr="002C723D">
        <w:rPr>
          <w:rFonts w:eastAsiaTheme="majorEastAsia"/>
          <w:color w:val="auto"/>
        </w:rPr>
        <w:t>–</w:t>
      </w:r>
      <w:r w:rsidRPr="002C723D">
        <w:rPr>
          <w:color w:val="auto"/>
        </w:rPr>
        <w:t>Darling Freshwater Research Centre. MDFRC Publication 29/2014.</w:t>
      </w:r>
    </w:p>
    <w:p w14:paraId="7431CEC5" w14:textId="79E4D93F" w:rsidR="00050748" w:rsidRDefault="00050748" w:rsidP="00745EC3">
      <w:r w:rsidRPr="00050748">
        <w:rPr>
          <w:color w:val="auto"/>
        </w:rPr>
        <w:t>Geddes, M.C. (1987)</w:t>
      </w:r>
      <w:r>
        <w:rPr>
          <w:color w:val="auto"/>
        </w:rPr>
        <w:t>.</w:t>
      </w:r>
      <w:r w:rsidRPr="00050748">
        <w:rPr>
          <w:color w:val="auto"/>
        </w:rPr>
        <w:t xml:space="preserve"> Changes in salinity and in the distribution of macrophytes, macrobenthos and fish in the Coorong Lagoons, South Australia, following a period of River Murray flow. </w:t>
      </w:r>
      <w:r w:rsidRPr="00050748">
        <w:rPr>
          <w:i/>
          <w:color w:val="auto"/>
        </w:rPr>
        <w:t>Transactions of the Royal Society of South Australia</w:t>
      </w:r>
      <w:r w:rsidRPr="00050748">
        <w:rPr>
          <w:color w:val="auto"/>
        </w:rPr>
        <w:t xml:space="preserve"> </w:t>
      </w:r>
      <w:r w:rsidRPr="00050748">
        <w:rPr>
          <w:b/>
          <w:color w:val="auto"/>
        </w:rPr>
        <w:t>111</w:t>
      </w:r>
      <w:r w:rsidRPr="00050748">
        <w:rPr>
          <w:color w:val="auto"/>
        </w:rPr>
        <w:t>, 173–181.</w:t>
      </w:r>
      <w:r w:rsidRPr="00050748">
        <w:t xml:space="preserve"> </w:t>
      </w:r>
    </w:p>
    <w:p w14:paraId="666FE11D" w14:textId="6CAD1AD0" w:rsidR="00050748" w:rsidRDefault="00012A20" w:rsidP="00745EC3">
      <w:pPr>
        <w:rPr>
          <w:color w:val="auto"/>
        </w:rPr>
      </w:pPr>
      <w:r>
        <w:rPr>
          <w:color w:val="auto"/>
        </w:rPr>
        <w:t>Geddes, M.C. and</w:t>
      </w:r>
      <w:r w:rsidR="00050748" w:rsidRPr="00050748">
        <w:rPr>
          <w:color w:val="auto"/>
        </w:rPr>
        <w:t xml:space="preserve"> Butler, A.J. (1984)</w:t>
      </w:r>
      <w:r w:rsidR="00050748">
        <w:rPr>
          <w:color w:val="auto"/>
        </w:rPr>
        <w:t>.</w:t>
      </w:r>
      <w:r w:rsidR="00050748" w:rsidRPr="00050748">
        <w:rPr>
          <w:color w:val="auto"/>
        </w:rPr>
        <w:t xml:space="preserve"> Physiochemical and biological studies on the Coorong Lagoons, South Australia, and the effect of salinity on the distribution of the macrobenthos. </w:t>
      </w:r>
      <w:r w:rsidR="00050748" w:rsidRPr="00050748">
        <w:rPr>
          <w:i/>
          <w:color w:val="auto"/>
        </w:rPr>
        <w:t>Transactions of the Royal Society of South Australia</w:t>
      </w:r>
      <w:r w:rsidR="00050748" w:rsidRPr="00050748">
        <w:rPr>
          <w:color w:val="auto"/>
        </w:rPr>
        <w:t xml:space="preserve"> </w:t>
      </w:r>
      <w:r w:rsidR="00050748" w:rsidRPr="00050748">
        <w:rPr>
          <w:b/>
          <w:color w:val="auto"/>
        </w:rPr>
        <w:t>108</w:t>
      </w:r>
      <w:r w:rsidR="00050748" w:rsidRPr="00050748">
        <w:rPr>
          <w:color w:val="auto"/>
        </w:rPr>
        <w:t>, 51–62.</w:t>
      </w:r>
    </w:p>
    <w:p w14:paraId="0945A4B6" w14:textId="4466A239" w:rsidR="0028347B" w:rsidRPr="00F77EB2" w:rsidRDefault="00745EC3" w:rsidP="00012A20">
      <w:pPr>
        <w:rPr>
          <w:color w:val="auto"/>
        </w:rPr>
      </w:pPr>
      <w:r w:rsidRPr="00012A20">
        <w:rPr>
          <w:color w:val="auto"/>
        </w:rPr>
        <w:lastRenderedPageBreak/>
        <w:t>Gibbs</w:t>
      </w:r>
      <w:r w:rsidR="00012A20" w:rsidRPr="00012A20">
        <w:rPr>
          <w:color w:val="auto"/>
        </w:rPr>
        <w:t>, M.</w:t>
      </w:r>
      <w:r w:rsidR="0028347B">
        <w:rPr>
          <w:color w:val="auto"/>
        </w:rPr>
        <w:t>S</w:t>
      </w:r>
      <w:r w:rsidR="00012A20" w:rsidRPr="00012A20">
        <w:rPr>
          <w:color w:val="auto"/>
        </w:rPr>
        <w:t>, Joehnk, K.</w:t>
      </w:r>
      <w:r w:rsidR="0028347B">
        <w:rPr>
          <w:color w:val="auto"/>
        </w:rPr>
        <w:t>D</w:t>
      </w:r>
      <w:r w:rsidR="00012A20" w:rsidRPr="00012A20">
        <w:rPr>
          <w:color w:val="auto"/>
        </w:rPr>
        <w:t>, Webster, I. and Heneker, T.</w:t>
      </w:r>
      <w:r w:rsidRPr="00012A20">
        <w:rPr>
          <w:color w:val="auto"/>
        </w:rPr>
        <w:t xml:space="preserve"> </w:t>
      </w:r>
      <w:r w:rsidR="00012A20" w:rsidRPr="00012A20">
        <w:rPr>
          <w:color w:val="auto"/>
        </w:rPr>
        <w:t>(</w:t>
      </w:r>
      <w:r w:rsidR="0028347B">
        <w:rPr>
          <w:color w:val="auto"/>
        </w:rPr>
        <w:t>2018</w:t>
      </w:r>
      <w:r w:rsidR="00012A20" w:rsidRPr="00012A20">
        <w:rPr>
          <w:color w:val="auto"/>
        </w:rPr>
        <w:t>).</w:t>
      </w:r>
      <w:r w:rsidRPr="00012A20">
        <w:rPr>
          <w:color w:val="auto"/>
        </w:rPr>
        <w:t xml:space="preserve"> </w:t>
      </w:r>
      <w:r w:rsidR="00012A20" w:rsidRPr="00012A20">
        <w:rPr>
          <w:color w:val="auto"/>
        </w:rPr>
        <w:t>Hydrology and hydrodynamics of the Lower Lakes, Coorong and Murray Mouth. In</w:t>
      </w:r>
      <w:r w:rsidR="00ED03D3">
        <w:rPr>
          <w:color w:val="auto"/>
        </w:rPr>
        <w:t>:</w:t>
      </w:r>
      <w:r w:rsidR="00012A20" w:rsidRPr="00012A20">
        <w:rPr>
          <w:color w:val="auto"/>
        </w:rPr>
        <w:t xml:space="preserve"> Mosley, L., Ye, Q., Shepherd, S., Hemming, S. and Fitzpatrick, R. (eds) Natural history of the Coorong, Lower Lakes, and Murray Mouth region (Yarluwar-Ruwe). </w:t>
      </w:r>
      <w:r w:rsidR="0028347B" w:rsidRPr="0028347B">
        <w:rPr>
          <w:color w:val="auto"/>
        </w:rPr>
        <w:t xml:space="preserve">Royal Society of South Australia DOI: </w:t>
      </w:r>
      <w:hyperlink r:id="rId38" w:history="1">
        <w:r w:rsidR="0028347B" w:rsidRPr="004A212B">
          <w:rPr>
            <w:rStyle w:val="Hyperlink"/>
          </w:rPr>
          <w:t>https://doi.org/10.20851/natural-history-cllmm</w:t>
        </w:r>
      </w:hyperlink>
      <w:r w:rsidR="0028347B">
        <w:rPr>
          <w:color w:val="auto"/>
        </w:rPr>
        <w:t xml:space="preserve"> </w:t>
      </w:r>
    </w:p>
    <w:p w14:paraId="298A2470" w14:textId="6B4C1653" w:rsidR="00745EC3" w:rsidRPr="00F77EB2" w:rsidRDefault="00012A20" w:rsidP="00745EC3">
      <w:pPr>
        <w:rPr>
          <w:noProof/>
          <w:color w:val="auto"/>
        </w:rPr>
      </w:pPr>
      <w:r w:rsidRPr="00F359A2">
        <w:rPr>
          <w:noProof/>
          <w:color w:val="auto"/>
        </w:rPr>
        <w:t xml:space="preserve">Grace, M., </w:t>
      </w:r>
      <w:r w:rsidRPr="00F359A2">
        <w:rPr>
          <w:i/>
          <w:noProof/>
          <w:color w:val="auto"/>
        </w:rPr>
        <w:t>et al.</w:t>
      </w:r>
      <w:r w:rsidRPr="00F359A2">
        <w:rPr>
          <w:noProof/>
          <w:color w:val="auto"/>
        </w:rPr>
        <w:t xml:space="preserve"> </w:t>
      </w:r>
      <w:r w:rsidR="00745EC3" w:rsidRPr="00F359A2">
        <w:rPr>
          <w:noProof/>
          <w:color w:val="auto"/>
        </w:rPr>
        <w:t>(</w:t>
      </w:r>
      <w:r w:rsidR="0008315C" w:rsidRPr="00F359A2">
        <w:rPr>
          <w:i/>
          <w:noProof/>
          <w:color w:val="auto"/>
        </w:rPr>
        <w:t>In Prep</w:t>
      </w:r>
      <w:r w:rsidR="00745EC3" w:rsidRPr="00F359A2">
        <w:rPr>
          <w:noProof/>
          <w:color w:val="auto"/>
        </w:rPr>
        <w:t>) Commonwealth Environmental Water Office Monitoring Evaluation and Research Project  - revision 2019. Final Report prepared for the Commonwealth Environmental Water Office.</w:t>
      </w:r>
    </w:p>
    <w:p w14:paraId="33A4A405" w14:textId="77777777" w:rsidR="00745EC3" w:rsidRPr="00F77EB2" w:rsidRDefault="00745EC3" w:rsidP="00745EC3">
      <w:pPr>
        <w:rPr>
          <w:color w:val="auto"/>
          <w:lang w:val="en-US"/>
        </w:rPr>
      </w:pPr>
      <w:r w:rsidRPr="00F77EB2">
        <w:rPr>
          <w:color w:val="auto"/>
          <w:lang w:val="en-US"/>
        </w:rPr>
        <w:t>Guo, F., Kainz, M., Sheldon, F. and Bunn, S.E.</w:t>
      </w:r>
      <w:r w:rsidRPr="00F77EB2">
        <w:rPr>
          <w:i/>
          <w:color w:val="auto"/>
          <w:lang w:val="en-US"/>
        </w:rPr>
        <w:t xml:space="preserve"> </w:t>
      </w:r>
      <w:r w:rsidRPr="00F77EB2">
        <w:rPr>
          <w:color w:val="auto"/>
          <w:lang w:val="en-US"/>
        </w:rPr>
        <w:t xml:space="preserve">(2017). The importance of high quality algal food sources in stream food webs – current status and future perspectives. </w:t>
      </w:r>
      <w:r w:rsidRPr="00012A20">
        <w:rPr>
          <w:i/>
          <w:color w:val="auto"/>
          <w:lang w:val="en-US"/>
        </w:rPr>
        <w:t>Freshwater Biology</w:t>
      </w:r>
      <w:r w:rsidRPr="00F77EB2">
        <w:rPr>
          <w:color w:val="auto"/>
          <w:lang w:val="en-US"/>
        </w:rPr>
        <w:t xml:space="preserve"> </w:t>
      </w:r>
      <w:r w:rsidRPr="00012A20">
        <w:rPr>
          <w:b/>
          <w:color w:val="auto"/>
          <w:lang w:val="en-US"/>
        </w:rPr>
        <w:t>61</w:t>
      </w:r>
      <w:r w:rsidRPr="00F77EB2">
        <w:rPr>
          <w:color w:val="auto"/>
          <w:lang w:val="en-US"/>
        </w:rPr>
        <w:t>, 815–831.</w:t>
      </w:r>
    </w:p>
    <w:p w14:paraId="4E352AA8" w14:textId="77777777" w:rsidR="00745EC3" w:rsidRPr="00CB1CBE" w:rsidRDefault="00745EC3" w:rsidP="00745EC3">
      <w:pPr>
        <w:rPr>
          <w:color w:val="auto"/>
        </w:rPr>
      </w:pPr>
      <w:r w:rsidRPr="00F77EB2">
        <w:rPr>
          <w:color w:val="auto"/>
        </w:rPr>
        <w:t>Hale, J., Stoffels, R., Butcher, R., Shackleton</w:t>
      </w:r>
      <w:r w:rsidRPr="00CB1CBE">
        <w:rPr>
          <w:color w:val="auto"/>
        </w:rPr>
        <w:t>, M., Brooks, S. and Gawne, B. (2014). Commonwealth Environmental Water Office Long Term Intervention Monitoring Project – Standard Methods. Final Report prepared for the Commonwealth Environmental Water Office by The Murray</w:t>
      </w:r>
      <w:r w:rsidRPr="00CB1CBE">
        <w:rPr>
          <w:rFonts w:eastAsiaTheme="majorEastAsia"/>
          <w:color w:val="auto"/>
        </w:rPr>
        <w:t>–</w:t>
      </w:r>
      <w:r w:rsidRPr="00CB1CBE">
        <w:rPr>
          <w:color w:val="auto"/>
        </w:rPr>
        <w:t>Darling Freshwater Research Centre. Murray</w:t>
      </w:r>
      <w:r w:rsidRPr="00CB1CBE">
        <w:rPr>
          <w:rFonts w:eastAsiaTheme="majorEastAsia"/>
          <w:color w:val="auto"/>
        </w:rPr>
        <w:t>–</w:t>
      </w:r>
      <w:r w:rsidRPr="00CB1CBE">
        <w:rPr>
          <w:color w:val="auto"/>
        </w:rPr>
        <w:t>Darling Freshwater Research Centre, MDFRC Publication 29.2/2014.</w:t>
      </w:r>
    </w:p>
    <w:p w14:paraId="0F0D765E" w14:textId="77777777" w:rsidR="00102309" w:rsidRDefault="00102309" w:rsidP="00745EC3">
      <w:pPr>
        <w:rPr>
          <w:color w:val="auto"/>
          <w:lang w:val="en-US"/>
        </w:rPr>
      </w:pPr>
      <w:r w:rsidRPr="00102309">
        <w:rPr>
          <w:color w:val="auto"/>
          <w:lang w:val="en-US"/>
        </w:rPr>
        <w:t xml:space="preserve">Herczeg, A.L., Dogramaci, S.S. and Leaney, F.W.J. (2001). Origin of dissolved salts in a large, semi-arid groundwater system: Murray Basin, Australia. </w:t>
      </w:r>
      <w:r w:rsidRPr="00102309">
        <w:rPr>
          <w:i/>
          <w:color w:val="auto"/>
          <w:lang w:val="en-US"/>
        </w:rPr>
        <w:t>Marine and Freshwater Research</w:t>
      </w:r>
      <w:r w:rsidRPr="00102309">
        <w:rPr>
          <w:color w:val="auto"/>
          <w:lang w:val="en-US"/>
        </w:rPr>
        <w:t xml:space="preserve"> </w:t>
      </w:r>
      <w:r w:rsidRPr="00102309">
        <w:rPr>
          <w:b/>
          <w:color w:val="auto"/>
          <w:lang w:val="en-US"/>
        </w:rPr>
        <w:t>52</w:t>
      </w:r>
      <w:r w:rsidRPr="00102309">
        <w:rPr>
          <w:color w:val="auto"/>
          <w:lang w:val="en-US"/>
        </w:rPr>
        <w:t>, 41–51.</w:t>
      </w:r>
    </w:p>
    <w:p w14:paraId="0901F2C4" w14:textId="77777777" w:rsidR="00B10D9A" w:rsidRPr="00C91921" w:rsidRDefault="00B10D9A" w:rsidP="00B10D9A">
      <w:pPr>
        <w:rPr>
          <w:color w:val="auto"/>
          <w:lang w:val="en-US"/>
        </w:rPr>
      </w:pPr>
      <w:r w:rsidRPr="00B77F69">
        <w:rPr>
          <w:color w:val="auto"/>
          <w:lang w:val="en-US"/>
        </w:rPr>
        <w:t>Hipsey, M</w:t>
      </w:r>
      <w:r>
        <w:rPr>
          <w:color w:val="auto"/>
          <w:lang w:val="en-US"/>
        </w:rPr>
        <w:t>.</w:t>
      </w:r>
      <w:r w:rsidRPr="00B77F69">
        <w:rPr>
          <w:color w:val="auto"/>
          <w:lang w:val="en-US"/>
        </w:rPr>
        <w:t>R</w:t>
      </w:r>
      <w:r>
        <w:rPr>
          <w:color w:val="auto"/>
          <w:lang w:val="en-US"/>
        </w:rPr>
        <w:t>.</w:t>
      </w:r>
      <w:r w:rsidRPr="00B77F69">
        <w:rPr>
          <w:color w:val="auto"/>
          <w:lang w:val="en-US"/>
        </w:rPr>
        <w:t>, Boon, C</w:t>
      </w:r>
      <w:r>
        <w:rPr>
          <w:color w:val="auto"/>
          <w:lang w:val="en-US"/>
        </w:rPr>
        <w:t>.</w:t>
      </w:r>
      <w:r w:rsidRPr="00B77F69">
        <w:rPr>
          <w:color w:val="auto"/>
          <w:lang w:val="en-US"/>
        </w:rPr>
        <w:t>, Paraska, D</w:t>
      </w:r>
      <w:r>
        <w:rPr>
          <w:color w:val="auto"/>
          <w:lang w:val="en-US"/>
        </w:rPr>
        <w:t>.</w:t>
      </w:r>
      <w:r w:rsidRPr="00B77F69">
        <w:rPr>
          <w:color w:val="auto"/>
          <w:lang w:val="en-US"/>
        </w:rPr>
        <w:t>, Bruce, L</w:t>
      </w:r>
      <w:r>
        <w:rPr>
          <w:color w:val="auto"/>
          <w:lang w:val="en-US"/>
        </w:rPr>
        <w:t>.</w:t>
      </w:r>
      <w:r w:rsidRPr="00B77F69">
        <w:rPr>
          <w:color w:val="auto"/>
          <w:lang w:val="en-US"/>
        </w:rPr>
        <w:t>C</w:t>
      </w:r>
      <w:r>
        <w:rPr>
          <w:color w:val="auto"/>
          <w:lang w:val="en-US"/>
        </w:rPr>
        <w:t>.</w:t>
      </w:r>
      <w:r w:rsidRPr="00B77F69">
        <w:rPr>
          <w:color w:val="auto"/>
          <w:lang w:val="en-US"/>
        </w:rPr>
        <w:t xml:space="preserve"> and Huang, P</w:t>
      </w:r>
      <w:r>
        <w:rPr>
          <w:color w:val="auto"/>
          <w:lang w:val="en-US"/>
        </w:rPr>
        <w:t>.</w:t>
      </w:r>
      <w:r w:rsidRPr="00B77F69">
        <w:rPr>
          <w:color w:val="auto"/>
          <w:lang w:val="en-US"/>
        </w:rPr>
        <w:t xml:space="preserve"> (2019). AquaticEcoDynamics/libaed2: v1.3.0-rc2, Aquatic EcoDynamics (AED) Model Library &amp; Science Manual, 1–34, doi:10.5281/zenodo.2538495.</w:t>
      </w:r>
    </w:p>
    <w:p w14:paraId="1DA1E228" w14:textId="0A6085B3" w:rsidR="00745EC3" w:rsidRPr="00597740" w:rsidRDefault="00745EC3" w:rsidP="00745EC3">
      <w:pPr>
        <w:rPr>
          <w:color w:val="auto"/>
          <w:lang w:val="en-US"/>
        </w:rPr>
      </w:pPr>
      <w:r w:rsidRPr="00597740">
        <w:rPr>
          <w:color w:val="auto"/>
          <w:lang w:val="en-US"/>
        </w:rPr>
        <w:t>Houde</w:t>
      </w:r>
      <w:r w:rsidR="00012A20">
        <w:rPr>
          <w:color w:val="auto"/>
          <w:lang w:val="en-US"/>
        </w:rPr>
        <w:t>,</w:t>
      </w:r>
      <w:r w:rsidRPr="00597740">
        <w:rPr>
          <w:color w:val="auto"/>
          <w:lang w:val="en-US"/>
        </w:rPr>
        <w:t xml:space="preserve"> E.D. (1997)</w:t>
      </w:r>
      <w:r w:rsidR="00012A20">
        <w:rPr>
          <w:color w:val="auto"/>
          <w:lang w:val="en-US"/>
        </w:rPr>
        <w:t>.</w:t>
      </w:r>
      <w:r w:rsidRPr="00597740">
        <w:rPr>
          <w:color w:val="auto"/>
          <w:lang w:val="en-US"/>
        </w:rPr>
        <w:t xml:space="preserve"> Patterns and consequences of selective processes in teleost early life histories. In: Chambers R.C., Trippel E.A. (eds) Early Life History and Recruitmen</w:t>
      </w:r>
      <w:r w:rsidR="00ED03D3">
        <w:rPr>
          <w:color w:val="auto"/>
          <w:lang w:val="en-US"/>
        </w:rPr>
        <w:t>t in Fish Populations. Chapman and</w:t>
      </w:r>
      <w:r w:rsidRPr="00597740">
        <w:rPr>
          <w:color w:val="auto"/>
          <w:lang w:val="en-US"/>
        </w:rPr>
        <w:t xml:space="preserve"> Hall Fish and Fisheries Series, </w:t>
      </w:r>
      <w:r w:rsidR="00ED03D3">
        <w:rPr>
          <w:color w:val="auto"/>
          <w:lang w:val="en-US"/>
        </w:rPr>
        <w:t>V</w:t>
      </w:r>
      <w:r w:rsidRPr="00597740">
        <w:rPr>
          <w:color w:val="auto"/>
          <w:lang w:val="en-US"/>
        </w:rPr>
        <w:t>ol 21. Springer, Dordrecht</w:t>
      </w:r>
      <w:r w:rsidR="00ED03D3">
        <w:rPr>
          <w:color w:val="auto"/>
          <w:lang w:val="en-US"/>
        </w:rPr>
        <w:t>.</w:t>
      </w:r>
    </w:p>
    <w:p w14:paraId="1EFB8619" w14:textId="694B6034" w:rsidR="00745EC3" w:rsidRPr="00421976" w:rsidRDefault="0087159A" w:rsidP="00745EC3">
      <w:pPr>
        <w:rPr>
          <w:color w:val="auto"/>
          <w:lang w:val="en-US"/>
        </w:rPr>
      </w:pPr>
      <w:r w:rsidRPr="0087159A">
        <w:rPr>
          <w:color w:val="auto"/>
          <w:lang w:val="en-US"/>
        </w:rPr>
        <w:t>Humphries,</w:t>
      </w:r>
      <w:r>
        <w:rPr>
          <w:color w:val="auto"/>
          <w:lang w:val="en-US"/>
        </w:rPr>
        <w:t xml:space="preserve"> P.,</w:t>
      </w:r>
      <w:r w:rsidRPr="0087159A">
        <w:rPr>
          <w:color w:val="auto"/>
          <w:lang w:val="en-US"/>
        </w:rPr>
        <w:t xml:space="preserve"> King,</w:t>
      </w:r>
      <w:r>
        <w:rPr>
          <w:color w:val="auto"/>
          <w:lang w:val="en-US"/>
        </w:rPr>
        <w:t xml:space="preserve"> A.,</w:t>
      </w:r>
      <w:r w:rsidRPr="0087159A">
        <w:rPr>
          <w:color w:val="auto"/>
          <w:lang w:val="en-US"/>
        </w:rPr>
        <w:t xml:space="preserve"> McCasker,</w:t>
      </w:r>
      <w:r>
        <w:rPr>
          <w:color w:val="auto"/>
          <w:lang w:val="en-US"/>
        </w:rPr>
        <w:t xml:space="preserve"> N.,</w:t>
      </w:r>
      <w:r w:rsidRPr="0087159A">
        <w:rPr>
          <w:color w:val="auto"/>
          <w:lang w:val="en-US"/>
        </w:rPr>
        <w:t xml:space="preserve"> Kopf,</w:t>
      </w:r>
      <w:r>
        <w:rPr>
          <w:color w:val="auto"/>
          <w:lang w:val="en-US"/>
        </w:rPr>
        <w:t xml:space="preserve"> R.K.,</w:t>
      </w:r>
      <w:r w:rsidRPr="0087159A">
        <w:rPr>
          <w:color w:val="auto"/>
          <w:lang w:val="en-US"/>
        </w:rPr>
        <w:t xml:space="preserve"> Stoffels,</w:t>
      </w:r>
      <w:r>
        <w:rPr>
          <w:color w:val="auto"/>
          <w:lang w:val="en-US"/>
        </w:rPr>
        <w:t xml:space="preserve"> R.,</w:t>
      </w:r>
      <w:r w:rsidRPr="0087159A">
        <w:rPr>
          <w:color w:val="auto"/>
          <w:lang w:val="en-US"/>
        </w:rPr>
        <w:t xml:space="preserve"> Zampatti,</w:t>
      </w:r>
      <w:r>
        <w:rPr>
          <w:color w:val="auto"/>
          <w:lang w:val="en-US"/>
        </w:rPr>
        <w:t xml:space="preserve"> B.</w:t>
      </w:r>
      <w:r w:rsidRPr="0087159A">
        <w:rPr>
          <w:color w:val="auto"/>
          <w:lang w:val="en-US"/>
        </w:rPr>
        <w:t xml:space="preserve"> </w:t>
      </w:r>
      <w:r>
        <w:rPr>
          <w:color w:val="auto"/>
          <w:lang w:val="en-US"/>
        </w:rPr>
        <w:t>a</w:t>
      </w:r>
      <w:r w:rsidRPr="0087159A">
        <w:rPr>
          <w:color w:val="auto"/>
          <w:lang w:val="en-US"/>
        </w:rPr>
        <w:t>nd Price</w:t>
      </w:r>
      <w:r>
        <w:rPr>
          <w:color w:val="auto"/>
          <w:lang w:val="en-US"/>
        </w:rPr>
        <w:t>, A. (</w:t>
      </w:r>
      <w:r w:rsidRPr="0087159A">
        <w:rPr>
          <w:i/>
          <w:color w:val="auto"/>
          <w:lang w:val="en-US"/>
        </w:rPr>
        <w:t>In Press</w:t>
      </w:r>
      <w:r>
        <w:rPr>
          <w:color w:val="auto"/>
          <w:lang w:val="en-US"/>
        </w:rPr>
        <w:t xml:space="preserve">). </w:t>
      </w:r>
      <w:r w:rsidRPr="0087159A">
        <w:rPr>
          <w:color w:val="auto"/>
          <w:lang w:val="en-US"/>
        </w:rPr>
        <w:t>Riverscape recruitment: a conceptual synthesis of drivers of fish recruitment in rivers</w:t>
      </w:r>
      <w:r>
        <w:rPr>
          <w:color w:val="auto"/>
          <w:lang w:val="en-US"/>
        </w:rPr>
        <w:t xml:space="preserve">. </w:t>
      </w:r>
      <w:r w:rsidRPr="0087159A">
        <w:rPr>
          <w:i/>
          <w:color w:val="auto"/>
          <w:lang w:val="en-US"/>
        </w:rPr>
        <w:t>Canadian Journal of Fisheries and Aquatic Sciences</w:t>
      </w:r>
      <w:r>
        <w:rPr>
          <w:color w:val="auto"/>
          <w:lang w:val="en-US"/>
        </w:rPr>
        <w:t>.</w:t>
      </w:r>
    </w:p>
    <w:p w14:paraId="32542548" w14:textId="38A261E6" w:rsidR="00745EC3" w:rsidRPr="0081537F" w:rsidRDefault="00745EC3" w:rsidP="00745EC3">
      <w:pPr>
        <w:rPr>
          <w:color w:val="auto"/>
        </w:rPr>
      </w:pPr>
      <w:r w:rsidRPr="0081537F">
        <w:rPr>
          <w:color w:val="auto"/>
        </w:rPr>
        <w:t xml:space="preserve">Jansen, A. and Robertson, A.I. (2001). Riparian bird communities in relation to land management practices in floodplain woodlands of south-eastern Australia. </w:t>
      </w:r>
      <w:r w:rsidRPr="0081537F">
        <w:rPr>
          <w:i/>
          <w:color w:val="auto"/>
        </w:rPr>
        <w:t>Biological Conservation</w:t>
      </w:r>
      <w:r w:rsidRPr="0081537F">
        <w:rPr>
          <w:color w:val="auto"/>
        </w:rPr>
        <w:t xml:space="preserve"> </w:t>
      </w:r>
      <w:r w:rsidRPr="0081537F">
        <w:rPr>
          <w:b/>
          <w:color w:val="auto"/>
        </w:rPr>
        <w:t>100</w:t>
      </w:r>
      <w:r w:rsidR="00ED03D3">
        <w:rPr>
          <w:color w:val="auto"/>
        </w:rPr>
        <w:t>,</w:t>
      </w:r>
      <w:r w:rsidRPr="0081537F">
        <w:rPr>
          <w:color w:val="auto"/>
        </w:rPr>
        <w:t xml:space="preserve"> 173</w:t>
      </w:r>
      <w:r w:rsidR="00ED03D3">
        <w:rPr>
          <w:color w:val="auto"/>
        </w:rPr>
        <w:t>–</w:t>
      </w:r>
      <w:r w:rsidRPr="0081537F">
        <w:rPr>
          <w:color w:val="auto"/>
        </w:rPr>
        <w:t>185.</w:t>
      </w:r>
    </w:p>
    <w:p w14:paraId="6126F779" w14:textId="77777777" w:rsidR="00745EC3" w:rsidRPr="00421976" w:rsidRDefault="00745EC3" w:rsidP="00745EC3">
      <w:pPr>
        <w:rPr>
          <w:color w:val="auto"/>
          <w:lang w:val="en-US"/>
        </w:rPr>
      </w:pPr>
      <w:r w:rsidRPr="00421976">
        <w:rPr>
          <w:color w:val="auto"/>
          <w:lang w:val="en-US"/>
        </w:rPr>
        <w:t xml:space="preserve">Junk, W.J., Bayley, P.B. and Sparks, R.E. (1989). The flood pulse concept in river-floodplain systems. </w:t>
      </w:r>
      <w:r w:rsidRPr="00ED03D3">
        <w:rPr>
          <w:i/>
          <w:color w:val="auto"/>
          <w:lang w:val="en-US"/>
        </w:rPr>
        <w:t>Canadian Special Publication of Fisheries and Aquatic Sciences</w:t>
      </w:r>
      <w:r w:rsidRPr="00421976">
        <w:rPr>
          <w:color w:val="auto"/>
          <w:lang w:val="en-US"/>
        </w:rPr>
        <w:t xml:space="preserve"> </w:t>
      </w:r>
      <w:r w:rsidRPr="00ED03D3">
        <w:rPr>
          <w:b/>
          <w:color w:val="auto"/>
          <w:lang w:val="en-US"/>
        </w:rPr>
        <w:t>106</w:t>
      </w:r>
      <w:r w:rsidRPr="00421976">
        <w:rPr>
          <w:color w:val="auto"/>
          <w:lang w:val="en-US"/>
        </w:rPr>
        <w:t>, 110–127.</w:t>
      </w:r>
    </w:p>
    <w:p w14:paraId="2EF0BF44" w14:textId="6BA62EFD" w:rsidR="00745EC3" w:rsidRPr="0081537F" w:rsidRDefault="00745EC3" w:rsidP="00745EC3">
      <w:pPr>
        <w:pStyle w:val="EndNoteBibliography"/>
      </w:pPr>
      <w:bookmarkStart w:id="379" w:name="_ENREF_62"/>
      <w:r w:rsidRPr="00421976">
        <w:t>Kadlec, R.</w:t>
      </w:r>
      <w:r w:rsidRPr="00E16878">
        <w:t>H. and Wallace, S.</w:t>
      </w:r>
      <w:r w:rsidR="00ED03D3">
        <w:t>D.</w:t>
      </w:r>
      <w:r w:rsidRPr="00E16878">
        <w:t xml:space="preserve"> (2009</w:t>
      </w:r>
      <w:r w:rsidR="00ED03D3">
        <w:t xml:space="preserve">). </w:t>
      </w:r>
      <w:r w:rsidRPr="0081537F">
        <w:t>Treatment wetla</w:t>
      </w:r>
      <w:r w:rsidR="00ED03D3">
        <w:t>nds, Second Edition. CRC Press, Boca Raton, Florida, USA</w:t>
      </w:r>
      <w:r w:rsidRPr="0081537F">
        <w:t>.</w:t>
      </w:r>
    </w:p>
    <w:p w14:paraId="64E6532A" w14:textId="2D52C3D9" w:rsidR="00745EC3" w:rsidRPr="0081537F" w:rsidRDefault="00745EC3" w:rsidP="00745EC3">
      <w:pPr>
        <w:pStyle w:val="EndNoteBibliography"/>
      </w:pPr>
      <w:bookmarkStart w:id="380" w:name="_ENREF_63"/>
      <w:bookmarkEnd w:id="379"/>
      <w:r w:rsidRPr="0081537F">
        <w:t xml:space="preserve">Kapa, M.M. and Clarkson, B.D. (2009). Biological flora of New Zealand 11. </w:t>
      </w:r>
      <w:r w:rsidRPr="0081537F">
        <w:rPr>
          <w:i/>
        </w:rPr>
        <w:t>Eleocharis sphacelata</w:t>
      </w:r>
      <w:r w:rsidRPr="0081537F">
        <w:t xml:space="preserve">, kuta, paopao, bamboo spike sedge. </w:t>
      </w:r>
      <w:r w:rsidRPr="0081537F">
        <w:rPr>
          <w:i/>
        </w:rPr>
        <w:t>New Zealand Journal of Botany</w:t>
      </w:r>
      <w:r w:rsidRPr="0081537F">
        <w:t xml:space="preserve"> </w:t>
      </w:r>
      <w:r w:rsidRPr="0081537F">
        <w:rPr>
          <w:b/>
        </w:rPr>
        <w:t>47</w:t>
      </w:r>
      <w:r w:rsidR="00ED03D3">
        <w:t>,</w:t>
      </w:r>
      <w:r w:rsidRPr="0081537F">
        <w:t xml:space="preserve"> 43–52.</w:t>
      </w:r>
    </w:p>
    <w:bookmarkEnd w:id="380"/>
    <w:p w14:paraId="73116CB0" w14:textId="77777777" w:rsidR="00745EC3" w:rsidRPr="00F77EB2" w:rsidRDefault="00745EC3" w:rsidP="00745EC3">
      <w:pPr>
        <w:rPr>
          <w:color w:val="auto"/>
          <w:kern w:val="0"/>
          <w:lang w:eastAsia="en-AU"/>
        </w:rPr>
      </w:pPr>
      <w:r w:rsidRPr="0081537F">
        <w:rPr>
          <w:color w:val="auto"/>
          <w:kern w:val="0"/>
          <w:lang w:eastAsia="en-AU"/>
        </w:rPr>
        <w:t xml:space="preserve">Kim, D.H., Aldridge, K.T., Brookes, J.D. and Ganf, G. (2013). The effect of salinity on the germination of </w:t>
      </w:r>
      <w:r w:rsidRPr="0081537F">
        <w:rPr>
          <w:i/>
          <w:color w:val="auto"/>
          <w:kern w:val="0"/>
          <w:lang w:eastAsia="en-AU"/>
        </w:rPr>
        <w:t>Ruppia tuberosa</w:t>
      </w:r>
      <w:r w:rsidRPr="0081537F">
        <w:rPr>
          <w:color w:val="auto"/>
          <w:kern w:val="0"/>
          <w:lang w:eastAsia="en-AU"/>
        </w:rPr>
        <w:t xml:space="preserve"> and </w:t>
      </w:r>
      <w:r w:rsidRPr="0081537F">
        <w:rPr>
          <w:i/>
          <w:color w:val="auto"/>
          <w:kern w:val="0"/>
          <w:lang w:eastAsia="en-AU"/>
        </w:rPr>
        <w:t>Ruppia megacarpa</w:t>
      </w:r>
      <w:r w:rsidRPr="0081537F">
        <w:rPr>
          <w:color w:val="auto"/>
          <w:kern w:val="0"/>
          <w:lang w:eastAsia="en-AU"/>
        </w:rPr>
        <w:t xml:space="preserve"> </w:t>
      </w:r>
      <w:r w:rsidRPr="00F818FA">
        <w:rPr>
          <w:color w:val="auto"/>
          <w:kern w:val="0"/>
          <w:lang w:eastAsia="en-AU"/>
        </w:rPr>
        <w:t>and</w:t>
      </w:r>
      <w:r>
        <w:rPr>
          <w:color w:val="auto"/>
          <w:kern w:val="0"/>
          <w:lang w:eastAsia="en-AU"/>
        </w:rPr>
        <w:t xml:space="preserve"> implications for the Coorong: A</w:t>
      </w:r>
      <w:r w:rsidRPr="00F818FA">
        <w:rPr>
          <w:color w:val="auto"/>
          <w:kern w:val="0"/>
          <w:lang w:eastAsia="en-AU"/>
        </w:rPr>
        <w:t xml:space="preserve"> coastal lagoon of southern </w:t>
      </w:r>
      <w:r w:rsidRPr="00F77EB2">
        <w:rPr>
          <w:color w:val="auto"/>
          <w:kern w:val="0"/>
          <w:lang w:eastAsia="en-AU"/>
        </w:rPr>
        <w:t xml:space="preserve">Australia. </w:t>
      </w:r>
      <w:r w:rsidRPr="00F77EB2">
        <w:rPr>
          <w:i/>
          <w:color w:val="auto"/>
          <w:kern w:val="0"/>
          <w:lang w:eastAsia="en-AU"/>
        </w:rPr>
        <w:t>Aquatic Botany</w:t>
      </w:r>
      <w:r w:rsidRPr="00F77EB2">
        <w:rPr>
          <w:color w:val="auto"/>
          <w:kern w:val="0"/>
          <w:lang w:eastAsia="en-AU"/>
        </w:rPr>
        <w:t xml:space="preserve"> </w:t>
      </w:r>
      <w:r w:rsidRPr="00F77EB2">
        <w:rPr>
          <w:b/>
          <w:color w:val="auto"/>
          <w:kern w:val="0"/>
          <w:lang w:eastAsia="en-AU"/>
        </w:rPr>
        <w:t>111</w:t>
      </w:r>
      <w:r w:rsidRPr="00F77EB2">
        <w:rPr>
          <w:color w:val="auto"/>
          <w:kern w:val="0"/>
          <w:lang w:eastAsia="en-AU"/>
        </w:rPr>
        <w:t>, 81–88.</w:t>
      </w:r>
    </w:p>
    <w:p w14:paraId="18E4B005" w14:textId="307F4453" w:rsidR="00745EC3" w:rsidRPr="00E16878" w:rsidRDefault="00745EC3" w:rsidP="00745EC3">
      <w:pPr>
        <w:pStyle w:val="EndNoteBibliography"/>
      </w:pPr>
      <w:bookmarkStart w:id="381" w:name="_ENREF_68"/>
      <w:r w:rsidRPr="00F77EB2">
        <w:t>Li, E.H., Li, W., Wang</w:t>
      </w:r>
      <w:r w:rsidRPr="00E16878">
        <w:t xml:space="preserve">, X.L., Xue, H.P. and Xiao, F. (2010). Experiment of emergent macrophytes growing in contaminated sludge: implication for sediment purification and lake restoration. </w:t>
      </w:r>
      <w:r w:rsidRPr="00E16878">
        <w:rPr>
          <w:i/>
        </w:rPr>
        <w:t>Ecological Engineering</w:t>
      </w:r>
      <w:r w:rsidRPr="00E16878">
        <w:t xml:space="preserve"> </w:t>
      </w:r>
      <w:r w:rsidRPr="00E16878">
        <w:rPr>
          <w:b/>
        </w:rPr>
        <w:t>36</w:t>
      </w:r>
      <w:r w:rsidR="002171C9">
        <w:t>,</w:t>
      </w:r>
      <w:r w:rsidRPr="00E16878">
        <w:t xml:space="preserve"> 427</w:t>
      </w:r>
      <w:r w:rsidR="002171C9">
        <w:t>–</w:t>
      </w:r>
      <w:r w:rsidRPr="00E16878">
        <w:t>434.</w:t>
      </w:r>
      <w:bookmarkEnd w:id="381"/>
    </w:p>
    <w:p w14:paraId="536030BA" w14:textId="35DADFE3" w:rsidR="002171C9" w:rsidRDefault="002171C9" w:rsidP="00745EC3">
      <w:pPr>
        <w:pStyle w:val="Reporttext"/>
        <w:spacing w:after="120"/>
        <w:rPr>
          <w:rFonts w:asciiTheme="minorHAnsi" w:eastAsia="Times New Roman" w:hAnsiTheme="minorHAnsi"/>
          <w:sz w:val="22"/>
          <w:szCs w:val="20"/>
        </w:rPr>
      </w:pPr>
      <w:r>
        <w:rPr>
          <w:rFonts w:asciiTheme="minorHAnsi" w:eastAsia="Times New Roman" w:hAnsiTheme="minorHAnsi"/>
          <w:sz w:val="22"/>
          <w:szCs w:val="20"/>
        </w:rPr>
        <w:t>Lintermans, M. and Phillips, B. (2005).</w:t>
      </w:r>
      <w:r w:rsidRPr="002171C9">
        <w:rPr>
          <w:rFonts w:asciiTheme="minorHAnsi" w:eastAsia="Times New Roman" w:hAnsiTheme="minorHAnsi"/>
          <w:sz w:val="22"/>
          <w:szCs w:val="20"/>
        </w:rPr>
        <w:t xml:space="preserve"> Management of Murray Cod in the Murray-Darling Basin (pp. 64-69). Australia: Murray-Darling Basin Commission. </w:t>
      </w:r>
    </w:p>
    <w:p w14:paraId="2048BD62" w14:textId="575ED72C" w:rsidR="00745EC3" w:rsidRPr="003F18CF" w:rsidRDefault="004A1F4D" w:rsidP="00745EC3">
      <w:pPr>
        <w:pStyle w:val="Reporttext"/>
        <w:spacing w:after="120"/>
        <w:rPr>
          <w:rFonts w:asciiTheme="minorHAnsi" w:hAnsiTheme="minorHAnsi"/>
          <w:sz w:val="22"/>
          <w:szCs w:val="22"/>
        </w:rPr>
      </w:pPr>
      <w:r>
        <w:rPr>
          <w:rFonts w:asciiTheme="minorHAnsi" w:hAnsiTheme="minorHAnsi"/>
          <w:sz w:val="22"/>
          <w:szCs w:val="22"/>
        </w:rPr>
        <w:lastRenderedPageBreak/>
        <w:t>McCullough, D.P., Montazeri, M. and</w:t>
      </w:r>
      <w:r w:rsidR="00745EC3" w:rsidRPr="003F18CF">
        <w:rPr>
          <w:rFonts w:asciiTheme="minorHAnsi" w:hAnsiTheme="minorHAnsi"/>
          <w:sz w:val="22"/>
          <w:szCs w:val="22"/>
        </w:rPr>
        <w:t xml:space="preserve"> Esprey</w:t>
      </w:r>
      <w:r>
        <w:rPr>
          <w:rFonts w:asciiTheme="minorHAnsi" w:hAnsiTheme="minorHAnsi"/>
          <w:sz w:val="22"/>
          <w:szCs w:val="22"/>
        </w:rPr>
        <w:t>,</w:t>
      </w:r>
      <w:r w:rsidR="00745EC3" w:rsidRPr="003F18CF">
        <w:rPr>
          <w:rFonts w:asciiTheme="minorHAnsi" w:hAnsiTheme="minorHAnsi"/>
          <w:sz w:val="22"/>
          <w:szCs w:val="22"/>
        </w:rPr>
        <w:t xml:space="preserve"> L</w:t>
      </w:r>
      <w:r>
        <w:rPr>
          <w:rFonts w:asciiTheme="minorHAnsi" w:hAnsiTheme="minorHAnsi"/>
          <w:sz w:val="22"/>
          <w:szCs w:val="22"/>
        </w:rPr>
        <w:t>.</w:t>
      </w:r>
      <w:r w:rsidR="00745EC3" w:rsidRPr="003F18CF">
        <w:rPr>
          <w:rFonts w:asciiTheme="minorHAnsi" w:hAnsiTheme="minorHAnsi"/>
          <w:sz w:val="22"/>
          <w:szCs w:val="22"/>
        </w:rPr>
        <w:t xml:space="preserve"> (2017). </w:t>
      </w:r>
      <w:r w:rsidR="00745EC3" w:rsidRPr="003F18CF">
        <w:rPr>
          <w:rFonts w:asciiTheme="minorHAnsi" w:hAnsiTheme="minorHAnsi"/>
          <w:i/>
          <w:sz w:val="22"/>
          <w:szCs w:val="22"/>
        </w:rPr>
        <w:t>Refinement and calibration of Pike and Katarapko floodplain flexible mesh models</w:t>
      </w:r>
      <w:r w:rsidR="00745EC3" w:rsidRPr="003F18CF">
        <w:rPr>
          <w:rFonts w:asciiTheme="minorHAnsi" w:hAnsiTheme="minorHAnsi"/>
          <w:sz w:val="22"/>
          <w:szCs w:val="22"/>
        </w:rPr>
        <w:t>. DEWNR Technical note 2017/11, Government of South Australia, Department of Environment, Water and Natural Resources, Adelaide.</w:t>
      </w:r>
    </w:p>
    <w:p w14:paraId="21962E8C" w14:textId="77777777" w:rsidR="00745EC3" w:rsidRPr="00D96344" w:rsidRDefault="00745EC3" w:rsidP="00745EC3">
      <w:pPr>
        <w:rPr>
          <w:color w:val="auto"/>
        </w:rPr>
      </w:pPr>
      <w:r w:rsidRPr="00D96344">
        <w:rPr>
          <w:color w:val="auto"/>
        </w:rPr>
        <w:t>McMahon, T.A., Finlayson, B. L., Haines, A.T. and Srikanthan, R. (1992). Global Runoff – Continental Comparisons of Annual Flows and Peak Discharges. Catena Paperback, Cremlingen-Destedt.</w:t>
      </w:r>
    </w:p>
    <w:p w14:paraId="19847173" w14:textId="13562FDA" w:rsidR="00745EC3" w:rsidRPr="00E16878" w:rsidRDefault="00745EC3" w:rsidP="00745EC3">
      <w:pPr>
        <w:pStyle w:val="EndNoteBibliography"/>
      </w:pPr>
      <w:bookmarkStart w:id="382" w:name="_ENREF_69"/>
      <w:r w:rsidRPr="00E16878">
        <w:t xml:space="preserve">Maddison, M., Mauring, T., Remm, K., Lesta, M. and Mander, U. (2009). Dynamics of </w:t>
      </w:r>
      <w:r w:rsidRPr="00E16878">
        <w:rPr>
          <w:i/>
        </w:rPr>
        <w:t>Typha latifolia</w:t>
      </w:r>
      <w:r w:rsidRPr="00E16878">
        <w:t xml:space="preserve"> L. populations in treatment wetlands in Estonia. </w:t>
      </w:r>
      <w:r w:rsidRPr="00E16878">
        <w:rPr>
          <w:i/>
        </w:rPr>
        <w:t>Ecological Engineering</w:t>
      </w:r>
      <w:r w:rsidRPr="00E16878">
        <w:t xml:space="preserve"> </w:t>
      </w:r>
      <w:r w:rsidRPr="00E16878">
        <w:rPr>
          <w:b/>
        </w:rPr>
        <w:t>35</w:t>
      </w:r>
      <w:r w:rsidR="004A1F4D">
        <w:t>,</w:t>
      </w:r>
      <w:r w:rsidRPr="00E16878">
        <w:t xml:space="preserve"> 258</w:t>
      </w:r>
      <w:r w:rsidR="004A1F4D">
        <w:t>–</w:t>
      </w:r>
      <w:r w:rsidRPr="00E16878">
        <w:t>264.</w:t>
      </w:r>
      <w:bookmarkEnd w:id="382"/>
    </w:p>
    <w:p w14:paraId="09011249" w14:textId="17F099C7" w:rsidR="00745EC3" w:rsidRPr="00072831" w:rsidRDefault="00745EC3" w:rsidP="00745EC3">
      <w:pPr>
        <w:rPr>
          <w:color w:val="auto"/>
        </w:rPr>
      </w:pPr>
      <w:r w:rsidRPr="00D96344">
        <w:rPr>
          <w:color w:val="auto"/>
        </w:rPr>
        <w:t xml:space="preserve">Maheshwari, B.L., Walker, K.F. and McMahon, T.A. (1995). Effects of regulation on the flow regime of the River Murray, </w:t>
      </w:r>
      <w:r w:rsidRPr="00072831">
        <w:rPr>
          <w:color w:val="auto"/>
        </w:rPr>
        <w:t xml:space="preserve">Australia. </w:t>
      </w:r>
      <w:r w:rsidRPr="00072831">
        <w:rPr>
          <w:i/>
          <w:color w:val="auto"/>
        </w:rPr>
        <w:t>Regulated Rivers Research and Management</w:t>
      </w:r>
      <w:r w:rsidRPr="00072831">
        <w:rPr>
          <w:color w:val="auto"/>
        </w:rPr>
        <w:t xml:space="preserve"> </w:t>
      </w:r>
      <w:r w:rsidRPr="00072831">
        <w:rPr>
          <w:b/>
          <w:color w:val="auto"/>
        </w:rPr>
        <w:t>10</w:t>
      </w:r>
      <w:r w:rsidR="004A1F4D">
        <w:rPr>
          <w:color w:val="auto"/>
        </w:rPr>
        <w:t>,</w:t>
      </w:r>
      <w:r w:rsidRPr="00072831">
        <w:rPr>
          <w:color w:val="auto"/>
        </w:rPr>
        <w:t xml:space="preserve"> 15</w:t>
      </w:r>
      <w:r w:rsidRPr="00072831">
        <w:rPr>
          <w:rFonts w:eastAsiaTheme="majorEastAsia"/>
          <w:color w:val="auto"/>
        </w:rPr>
        <w:t>–</w:t>
      </w:r>
      <w:r w:rsidRPr="00072831">
        <w:rPr>
          <w:color w:val="auto"/>
        </w:rPr>
        <w:t>38.</w:t>
      </w:r>
    </w:p>
    <w:p w14:paraId="09273544" w14:textId="1B25216A" w:rsidR="00745EC3" w:rsidRDefault="00745EC3" w:rsidP="00745EC3">
      <w:pPr>
        <w:rPr>
          <w:color w:val="auto"/>
        </w:rPr>
      </w:pPr>
      <w:r w:rsidRPr="00072831">
        <w:rPr>
          <w:color w:val="auto"/>
        </w:rPr>
        <w:t>M</w:t>
      </w:r>
      <w:r w:rsidR="004A1F4D">
        <w:rPr>
          <w:color w:val="auto"/>
        </w:rPr>
        <w:t>allen-Cooper, M. and Stuart, I.</w:t>
      </w:r>
      <w:r w:rsidRPr="00072831">
        <w:rPr>
          <w:color w:val="auto"/>
        </w:rPr>
        <w:t xml:space="preserve">G. (2003). Age, growth and non-flood recruitment of two potamodromous fishes in a large semi-arid/temperate river system. </w:t>
      </w:r>
      <w:r w:rsidRPr="00072831">
        <w:rPr>
          <w:i/>
          <w:color w:val="auto"/>
        </w:rPr>
        <w:t xml:space="preserve">River Research and Applications </w:t>
      </w:r>
      <w:r w:rsidRPr="00072831">
        <w:rPr>
          <w:b/>
          <w:color w:val="auto"/>
        </w:rPr>
        <w:t>19</w:t>
      </w:r>
      <w:r w:rsidR="004A1F4D">
        <w:rPr>
          <w:color w:val="auto"/>
        </w:rPr>
        <w:t>,</w:t>
      </w:r>
      <w:r w:rsidRPr="00072831">
        <w:rPr>
          <w:color w:val="auto"/>
        </w:rPr>
        <w:t xml:space="preserve"> 697</w:t>
      </w:r>
      <w:r w:rsidRPr="00072831">
        <w:rPr>
          <w:rFonts w:eastAsiaTheme="majorEastAsia"/>
          <w:color w:val="auto"/>
        </w:rPr>
        <w:t>–</w:t>
      </w:r>
      <w:r w:rsidRPr="00072831">
        <w:rPr>
          <w:color w:val="auto"/>
        </w:rPr>
        <w:t>719.</w:t>
      </w:r>
    </w:p>
    <w:p w14:paraId="403334C4" w14:textId="1EE44A36" w:rsidR="00745EC3" w:rsidRPr="00072831" w:rsidRDefault="00366D5E" w:rsidP="00745EC3">
      <w:pPr>
        <w:rPr>
          <w:color w:val="auto"/>
        </w:rPr>
      </w:pPr>
      <w:r w:rsidRPr="00366D5E">
        <w:t>Mallen-Coo</w:t>
      </w:r>
      <w:r w:rsidR="00C52CBD">
        <w:t>per, M. and Zampatti, B.P. (2018</w:t>
      </w:r>
      <w:r w:rsidRPr="00366D5E">
        <w:t xml:space="preserve">). History, hydrology and hydraulics: Rethinking the ecological management of large rivers. </w:t>
      </w:r>
      <w:r w:rsidRPr="00366D5E">
        <w:rPr>
          <w:i/>
        </w:rPr>
        <w:t>Ecohydrology</w:t>
      </w:r>
      <w:r w:rsidRPr="00366D5E">
        <w:t xml:space="preserve"> </w:t>
      </w:r>
      <w:r w:rsidRPr="00366D5E">
        <w:rPr>
          <w:b/>
        </w:rPr>
        <w:t>11</w:t>
      </w:r>
      <w:r w:rsidRPr="00366D5E">
        <w:t xml:space="preserve">, </w:t>
      </w:r>
      <w:r w:rsidR="00C52CBD">
        <w:t xml:space="preserve">1–23. </w:t>
      </w:r>
      <w:r w:rsidRPr="00366D5E">
        <w:t>e1965</w:t>
      </w:r>
      <w:r w:rsidR="00C52CBD">
        <w:t>.</w:t>
      </w:r>
      <w:r w:rsidRPr="00366D5E">
        <w:t xml:space="preserve"> </w:t>
      </w:r>
      <w:r w:rsidRPr="00366D5E">
        <w:rPr>
          <w:i/>
        </w:rPr>
        <w:t>https://doi.org/10.1002/eco.1965</w:t>
      </w:r>
      <w:r w:rsidRPr="00366D5E">
        <w:t>.</w:t>
      </w:r>
    </w:p>
    <w:p w14:paraId="3CF7BD40" w14:textId="32FE588B" w:rsidR="00745EC3" w:rsidRPr="00CB1CBE" w:rsidRDefault="00745EC3" w:rsidP="00745EC3">
      <w:pPr>
        <w:rPr>
          <w:color w:val="auto"/>
        </w:rPr>
      </w:pPr>
      <w:r w:rsidRPr="00F77EB2">
        <w:rPr>
          <w:color w:val="auto"/>
        </w:rPr>
        <w:t xml:space="preserve">MDFRC (2013). Long-term Intervention Monitoring </w:t>
      </w:r>
      <w:r w:rsidRPr="00F77EB2">
        <w:rPr>
          <w:rFonts w:eastAsiaTheme="majorEastAsia"/>
          <w:color w:val="auto"/>
        </w:rPr>
        <w:t>–</w:t>
      </w:r>
      <w:r w:rsidRPr="00F77EB2">
        <w:rPr>
          <w:color w:val="auto"/>
        </w:rPr>
        <w:t xml:space="preserve"> Generic C</w:t>
      </w:r>
      <w:r w:rsidR="0090425B">
        <w:rPr>
          <w:color w:val="auto"/>
        </w:rPr>
        <w:t>ause and Effect Diagrams final r</w:t>
      </w:r>
      <w:r w:rsidRPr="00F77EB2">
        <w:rPr>
          <w:color w:val="auto"/>
        </w:rPr>
        <w:t xml:space="preserve">eport prepared for the </w:t>
      </w:r>
      <w:r w:rsidRPr="00CB1CBE">
        <w:rPr>
          <w:color w:val="auto"/>
        </w:rPr>
        <w:t>Commonwealth Environmental Water Office by The Murray</w:t>
      </w:r>
      <w:r w:rsidRPr="00CB1CBE">
        <w:rPr>
          <w:rFonts w:eastAsiaTheme="majorEastAsia"/>
          <w:color w:val="auto"/>
        </w:rPr>
        <w:t>–</w:t>
      </w:r>
      <w:r w:rsidRPr="00CB1CBE">
        <w:rPr>
          <w:color w:val="auto"/>
        </w:rPr>
        <w:t>Darling Freshwater Research Centre, MDFRC Publication 01/2013.</w:t>
      </w:r>
    </w:p>
    <w:p w14:paraId="07240FAE" w14:textId="02ED2279" w:rsidR="00745EC3" w:rsidRPr="00FF65CE" w:rsidRDefault="00745EC3" w:rsidP="00745EC3">
      <w:pPr>
        <w:rPr>
          <w:color w:val="auto"/>
        </w:rPr>
      </w:pPr>
      <w:r w:rsidRPr="006C5267">
        <w:rPr>
          <w:color w:val="auto"/>
        </w:rPr>
        <w:t xml:space="preserve">Mosley, L.M., Zammit, B., Corkhill, E., Heneker, T.M., Hipsey, M.R., Skinner, D.S. and Aldridge, K.T. (2012). The impact of extreme low flows on the water quality of the lower Murray River and lakes, South Australia. </w:t>
      </w:r>
      <w:r w:rsidRPr="006C5267">
        <w:rPr>
          <w:i/>
          <w:color w:val="auto"/>
        </w:rPr>
        <w:t xml:space="preserve">Water Resources </w:t>
      </w:r>
      <w:r w:rsidRPr="00FF65CE">
        <w:rPr>
          <w:i/>
          <w:color w:val="auto"/>
        </w:rPr>
        <w:t>Management</w:t>
      </w:r>
      <w:r w:rsidRPr="00FF65CE">
        <w:rPr>
          <w:color w:val="auto"/>
        </w:rPr>
        <w:t xml:space="preserve"> </w:t>
      </w:r>
      <w:r w:rsidRPr="00FF65CE">
        <w:rPr>
          <w:b/>
          <w:color w:val="auto"/>
        </w:rPr>
        <w:t>26</w:t>
      </w:r>
      <w:r w:rsidR="0090425B">
        <w:rPr>
          <w:color w:val="auto"/>
        </w:rPr>
        <w:t>,</w:t>
      </w:r>
      <w:r w:rsidRPr="00FF65CE">
        <w:rPr>
          <w:color w:val="auto"/>
        </w:rPr>
        <w:t xml:space="preserve"> 3923</w:t>
      </w:r>
      <w:r w:rsidRPr="00FF65CE">
        <w:rPr>
          <w:rFonts w:eastAsiaTheme="majorEastAsia"/>
          <w:color w:val="auto"/>
        </w:rPr>
        <w:t>–</w:t>
      </w:r>
      <w:r w:rsidRPr="00FF65CE">
        <w:rPr>
          <w:color w:val="auto"/>
        </w:rPr>
        <w:t xml:space="preserve">3946. </w:t>
      </w:r>
    </w:p>
    <w:p w14:paraId="0D7A2802" w14:textId="6FA81E1E" w:rsidR="00745EC3" w:rsidRPr="00FF65CE" w:rsidRDefault="0090425B" w:rsidP="00745EC3">
      <w:pPr>
        <w:pStyle w:val="EndNoteBibliography"/>
      </w:pPr>
      <w:r>
        <w:t>Nicol, J.M. (2004). Vegetation d</w:t>
      </w:r>
      <w:r w:rsidR="00745EC3" w:rsidRPr="00FF65CE">
        <w:t>ynam</w:t>
      </w:r>
      <w:r>
        <w:t>ics of the Menindee Lakes with reference to the seed b</w:t>
      </w:r>
      <w:r w:rsidR="00745EC3" w:rsidRPr="00FF65CE">
        <w:t>ank. Ph.D. Thesis, The University of Adelaide, Adelaide.</w:t>
      </w:r>
    </w:p>
    <w:p w14:paraId="225D8522" w14:textId="77777777" w:rsidR="00745EC3" w:rsidRPr="00FF65CE" w:rsidRDefault="00745EC3" w:rsidP="00745EC3">
      <w:pPr>
        <w:rPr>
          <w:color w:val="auto"/>
        </w:rPr>
      </w:pPr>
      <w:r w:rsidRPr="00FF65CE">
        <w:rPr>
          <w:color w:val="auto"/>
        </w:rPr>
        <w:t>Nicol, J.M., Frahn, K.A., Fredberg, J.F., Gehrig, S.L., Marsland, K.B. and Weedon, J.T. (2018). Chowilla Icon Site – Floodplain Vegetation Monitoring 2018 Interim Report, p. 70, South Australian Research and Development Institute (Aquatic Sciences), Adelaide.</w:t>
      </w:r>
    </w:p>
    <w:p w14:paraId="78C929DD" w14:textId="77777777" w:rsidR="00745EC3" w:rsidRPr="00F77EB2" w:rsidRDefault="00745EC3" w:rsidP="00745EC3">
      <w:pPr>
        <w:rPr>
          <w:color w:val="auto"/>
        </w:rPr>
      </w:pPr>
      <w:r w:rsidRPr="00C41153">
        <w:rPr>
          <w:color w:val="auto"/>
        </w:rPr>
        <w:t>Nicol, J.M., Gehrig, S.L., Frahn, K.A. and Strawbridge, A.D. (2013). Resilience and resistance of aquatic plant communities downstream of Lock 1 in the Murray River, p. 57, Goyder Institute for Water Research,</w:t>
      </w:r>
      <w:r w:rsidRPr="00F77EB2">
        <w:rPr>
          <w:color w:val="auto"/>
        </w:rPr>
        <w:t xml:space="preserve"> Adelaide, South Australia.</w:t>
      </w:r>
    </w:p>
    <w:p w14:paraId="5857EC2F" w14:textId="6FF1A9D8" w:rsidR="00745EC3" w:rsidRPr="00F77EB2" w:rsidRDefault="00745EC3" w:rsidP="00745EC3">
      <w:pPr>
        <w:rPr>
          <w:color w:val="auto"/>
        </w:rPr>
      </w:pPr>
      <w:r w:rsidRPr="00F77EB2">
        <w:rPr>
          <w:color w:val="auto"/>
        </w:rPr>
        <w:t>Obertegger, U., Flaim, G., Braioni, M., Sommaruga,</w:t>
      </w:r>
      <w:r w:rsidR="00366D5E">
        <w:rPr>
          <w:color w:val="auto"/>
        </w:rPr>
        <w:t xml:space="preserve"> R., Corradini, F. and Borsato, A.</w:t>
      </w:r>
      <w:r w:rsidRPr="00F77EB2">
        <w:rPr>
          <w:color w:val="auto"/>
        </w:rPr>
        <w:t xml:space="preserve"> </w:t>
      </w:r>
      <w:r w:rsidR="00366D5E">
        <w:rPr>
          <w:color w:val="auto"/>
        </w:rPr>
        <w:t>(</w:t>
      </w:r>
      <w:r w:rsidRPr="00F77EB2">
        <w:rPr>
          <w:color w:val="auto"/>
        </w:rPr>
        <w:t>2007</w:t>
      </w:r>
      <w:r w:rsidR="00366D5E">
        <w:rPr>
          <w:color w:val="auto"/>
        </w:rPr>
        <w:t>)</w:t>
      </w:r>
      <w:r w:rsidRPr="00F77EB2">
        <w:rPr>
          <w:color w:val="auto"/>
        </w:rPr>
        <w:t xml:space="preserve">. Water residence time as a driving force of zooplankton structure and succession. </w:t>
      </w:r>
      <w:r w:rsidRPr="00366D5E">
        <w:rPr>
          <w:i/>
          <w:color w:val="auto"/>
        </w:rPr>
        <w:t xml:space="preserve">Aquatic Sciences - Research Across Boundaries </w:t>
      </w:r>
      <w:r w:rsidRPr="00366D5E">
        <w:rPr>
          <w:b/>
          <w:color w:val="auto"/>
        </w:rPr>
        <w:t>69</w:t>
      </w:r>
      <w:r w:rsidRPr="00F77EB2">
        <w:rPr>
          <w:color w:val="auto"/>
        </w:rPr>
        <w:t>, 575</w:t>
      </w:r>
      <w:r w:rsidR="00366D5E">
        <w:rPr>
          <w:color w:val="auto"/>
        </w:rPr>
        <w:t>–</w:t>
      </w:r>
      <w:r w:rsidRPr="00F77EB2">
        <w:rPr>
          <w:color w:val="auto"/>
        </w:rPr>
        <w:t>583.</w:t>
      </w:r>
    </w:p>
    <w:p w14:paraId="400CAC4D" w14:textId="1075A614" w:rsidR="00745EC3" w:rsidRPr="00CB1CBE" w:rsidRDefault="00745EC3" w:rsidP="00745EC3">
      <w:pPr>
        <w:rPr>
          <w:color w:val="auto"/>
        </w:rPr>
      </w:pPr>
      <w:r w:rsidRPr="00F77EB2">
        <w:rPr>
          <w:color w:val="auto"/>
        </w:rPr>
        <w:t>Odum, H.</w:t>
      </w:r>
      <w:r w:rsidRPr="00CB1CBE">
        <w:rPr>
          <w:color w:val="auto"/>
        </w:rPr>
        <w:t xml:space="preserve">T. (1956). Primary production in flowing waters. </w:t>
      </w:r>
      <w:r w:rsidRPr="00CB1CBE">
        <w:rPr>
          <w:i/>
          <w:color w:val="auto"/>
        </w:rPr>
        <w:t>Limnology and Oceanography</w:t>
      </w:r>
      <w:r w:rsidRPr="00CB1CBE">
        <w:rPr>
          <w:color w:val="auto"/>
        </w:rPr>
        <w:t xml:space="preserve"> </w:t>
      </w:r>
      <w:r w:rsidRPr="00CB1CBE">
        <w:rPr>
          <w:b/>
          <w:color w:val="auto"/>
        </w:rPr>
        <w:t>1</w:t>
      </w:r>
      <w:r w:rsidR="00366D5E">
        <w:rPr>
          <w:color w:val="auto"/>
        </w:rPr>
        <w:t>,</w:t>
      </w:r>
      <w:r w:rsidRPr="00CB1CBE">
        <w:rPr>
          <w:color w:val="auto"/>
        </w:rPr>
        <w:t xml:space="preserve"> 102–117.</w:t>
      </w:r>
    </w:p>
    <w:p w14:paraId="413AEF06" w14:textId="1666A140" w:rsidR="00745EC3" w:rsidRPr="00CB1CBE" w:rsidRDefault="00366D5E" w:rsidP="00745EC3">
      <w:pPr>
        <w:pStyle w:val="EndNoteBibliography"/>
        <w:rPr>
          <w:rFonts w:asciiTheme="minorHAnsi" w:hAnsiTheme="minorHAnsi" w:cstheme="minorHAnsi"/>
        </w:rPr>
      </w:pPr>
      <w:r>
        <w:rPr>
          <w:rFonts w:asciiTheme="minorHAnsi" w:hAnsiTheme="minorHAnsi" w:cstheme="minorHAnsi"/>
        </w:rPr>
        <w:t>Oliver, R.</w:t>
      </w:r>
      <w:r w:rsidR="005C4785">
        <w:rPr>
          <w:rFonts w:asciiTheme="minorHAnsi" w:hAnsiTheme="minorHAnsi" w:cstheme="minorHAnsi"/>
        </w:rPr>
        <w:t>L.</w:t>
      </w:r>
      <w:r>
        <w:rPr>
          <w:rFonts w:asciiTheme="minorHAnsi" w:hAnsiTheme="minorHAnsi" w:cstheme="minorHAnsi"/>
        </w:rPr>
        <w:t xml:space="preserve"> and Merrick, C.</w:t>
      </w:r>
      <w:r w:rsidR="00745EC3" w:rsidRPr="00CB1CBE">
        <w:rPr>
          <w:rFonts w:asciiTheme="minorHAnsi" w:hAnsiTheme="minorHAnsi" w:cstheme="minorHAnsi"/>
        </w:rPr>
        <w:t xml:space="preserve">J. (2006). Partitioning of river metabolism identifies phytoplankton as a major contributor in the regulated Murray River (Australia). </w:t>
      </w:r>
      <w:r w:rsidR="00745EC3" w:rsidRPr="00CB1CBE">
        <w:rPr>
          <w:rFonts w:asciiTheme="minorHAnsi" w:hAnsiTheme="minorHAnsi" w:cstheme="minorHAnsi"/>
          <w:i/>
        </w:rPr>
        <w:t>Freshwater Biology</w:t>
      </w:r>
      <w:r w:rsidR="00745EC3" w:rsidRPr="00CB1CBE">
        <w:rPr>
          <w:rFonts w:asciiTheme="minorHAnsi" w:hAnsiTheme="minorHAnsi" w:cstheme="minorHAnsi"/>
        </w:rPr>
        <w:t xml:space="preserve"> </w:t>
      </w:r>
      <w:r w:rsidR="00745EC3" w:rsidRPr="00CB1CBE">
        <w:rPr>
          <w:rFonts w:asciiTheme="minorHAnsi" w:hAnsiTheme="minorHAnsi" w:cstheme="minorHAnsi"/>
          <w:b/>
        </w:rPr>
        <w:t>51</w:t>
      </w:r>
      <w:r>
        <w:rPr>
          <w:rFonts w:asciiTheme="minorHAnsi" w:hAnsiTheme="minorHAnsi" w:cstheme="minorHAnsi"/>
        </w:rPr>
        <w:t>,</w:t>
      </w:r>
      <w:r w:rsidR="00745EC3" w:rsidRPr="00CB1CBE">
        <w:rPr>
          <w:rFonts w:asciiTheme="minorHAnsi" w:hAnsiTheme="minorHAnsi" w:cstheme="minorHAnsi"/>
        </w:rPr>
        <w:t xml:space="preserve"> 1131</w:t>
      </w:r>
      <w:r w:rsidR="00745EC3" w:rsidRPr="00CB1CBE">
        <w:rPr>
          <w:rFonts w:eastAsiaTheme="majorEastAsia"/>
        </w:rPr>
        <w:t>–</w:t>
      </w:r>
      <w:r w:rsidR="00745EC3" w:rsidRPr="00CB1CBE">
        <w:rPr>
          <w:rFonts w:asciiTheme="minorHAnsi" w:hAnsiTheme="minorHAnsi" w:cstheme="minorHAnsi"/>
        </w:rPr>
        <w:t>1148.</w:t>
      </w:r>
    </w:p>
    <w:p w14:paraId="7B2ED8AB" w14:textId="77777777" w:rsidR="00972B6C" w:rsidRDefault="00972B6C" w:rsidP="00745EC3">
      <w:pPr>
        <w:rPr>
          <w:color w:val="auto"/>
        </w:rPr>
      </w:pPr>
      <w:r w:rsidRPr="00972B6C">
        <w:rPr>
          <w:color w:val="auto"/>
        </w:rPr>
        <w:t>Papas, P. (2007). Effect of macrophytes on aquatic invertebrates – a literature review, p. 21, Arthur Rylah Institute for Environmental Research,Department of Sustainability and Environment and Melbourne Water, Melbourne.</w:t>
      </w:r>
    </w:p>
    <w:p w14:paraId="187A39E6" w14:textId="4F3B1DB8" w:rsidR="005C4785" w:rsidRDefault="005C4785" w:rsidP="00745EC3">
      <w:pPr>
        <w:rPr>
          <w:color w:val="auto"/>
        </w:rPr>
      </w:pPr>
      <w:r>
        <w:rPr>
          <w:color w:val="auto"/>
        </w:rPr>
        <w:t>Phillips, W. and</w:t>
      </w:r>
      <w:r w:rsidRPr="005C4785">
        <w:rPr>
          <w:color w:val="auto"/>
        </w:rPr>
        <w:t xml:space="preserve"> Muller, K. (2006)</w:t>
      </w:r>
      <w:r>
        <w:rPr>
          <w:color w:val="auto"/>
        </w:rPr>
        <w:t>.</w:t>
      </w:r>
      <w:r w:rsidR="007E218B">
        <w:rPr>
          <w:color w:val="auto"/>
        </w:rPr>
        <w:t xml:space="preserve"> Ecological c</w:t>
      </w:r>
      <w:r w:rsidRPr="005C4785">
        <w:rPr>
          <w:color w:val="auto"/>
        </w:rPr>
        <w:t>haracter of the Coorong, Lakes Alexandrina and Albert Wetland of International Importance. South Australian Department for Environment and Heritage.</w:t>
      </w:r>
    </w:p>
    <w:p w14:paraId="34FC7F6B" w14:textId="575E49EB" w:rsidR="00745EC3" w:rsidRPr="00F77EB2" w:rsidRDefault="00745EC3" w:rsidP="00745EC3">
      <w:pPr>
        <w:rPr>
          <w:color w:val="auto"/>
        </w:rPr>
      </w:pPr>
      <w:r w:rsidRPr="006C5267">
        <w:rPr>
          <w:color w:val="auto"/>
        </w:rPr>
        <w:lastRenderedPageBreak/>
        <w:t xml:space="preserve">Poff, N.L., Allan, J.D., Bain, M.B., Karr, J.R., Prestegaard, K.L., Richter, B.D., Sparks, R.E. and Stromberg, J.C. (1997). The natural flow regime: A paradigm for river conservation and restoration. </w:t>
      </w:r>
      <w:r w:rsidRPr="006C5267">
        <w:rPr>
          <w:i/>
          <w:color w:val="auto"/>
        </w:rPr>
        <w:t xml:space="preserve">BioScience </w:t>
      </w:r>
      <w:r w:rsidRPr="006C5267">
        <w:rPr>
          <w:b/>
          <w:color w:val="auto"/>
        </w:rPr>
        <w:t>47</w:t>
      </w:r>
      <w:r w:rsidR="007E218B">
        <w:rPr>
          <w:color w:val="auto"/>
        </w:rPr>
        <w:t>,</w:t>
      </w:r>
      <w:r w:rsidRPr="006C5267">
        <w:rPr>
          <w:color w:val="auto"/>
        </w:rPr>
        <w:t xml:space="preserve"> 769</w:t>
      </w:r>
      <w:r w:rsidRPr="006C5267">
        <w:rPr>
          <w:rFonts w:eastAsiaTheme="majorEastAsia"/>
          <w:color w:val="auto"/>
        </w:rPr>
        <w:t>–</w:t>
      </w:r>
      <w:r w:rsidRPr="00F77EB2">
        <w:rPr>
          <w:color w:val="auto"/>
        </w:rPr>
        <w:t xml:space="preserve">784. </w:t>
      </w:r>
    </w:p>
    <w:p w14:paraId="48FB3F2F" w14:textId="38642A33" w:rsidR="00745EC3" w:rsidRDefault="00745EC3" w:rsidP="00745EC3">
      <w:pPr>
        <w:pStyle w:val="EndNoteBibliography"/>
      </w:pPr>
      <w:r w:rsidRPr="00F77EB2">
        <w:t xml:space="preserve">Roberts, J. and Ganf, G.G. (1986). Annual production of </w:t>
      </w:r>
      <w:r w:rsidRPr="00F77EB2">
        <w:rPr>
          <w:i/>
        </w:rPr>
        <w:t>Typha orientalis</w:t>
      </w:r>
      <w:r w:rsidRPr="00F77EB2">
        <w:t xml:space="preserve"> Persl. in inland Australia. </w:t>
      </w:r>
      <w:r w:rsidRPr="00F77EB2">
        <w:rPr>
          <w:i/>
        </w:rPr>
        <w:t xml:space="preserve">Australian </w:t>
      </w:r>
      <w:r w:rsidRPr="00FF65CE">
        <w:rPr>
          <w:i/>
        </w:rPr>
        <w:t>Journal of Marine and Freshwater Research</w:t>
      </w:r>
      <w:r w:rsidRPr="00FF65CE">
        <w:t xml:space="preserve"> </w:t>
      </w:r>
      <w:r w:rsidRPr="00FF65CE">
        <w:rPr>
          <w:b/>
        </w:rPr>
        <w:t>37</w:t>
      </w:r>
      <w:r w:rsidR="007E218B">
        <w:t>,</w:t>
      </w:r>
      <w:r w:rsidRPr="00FF65CE">
        <w:t xml:space="preserve"> 659</w:t>
      </w:r>
      <w:r w:rsidR="007E218B">
        <w:t>–</w:t>
      </w:r>
      <w:r w:rsidRPr="00FF65CE">
        <w:t xml:space="preserve">668. </w:t>
      </w:r>
    </w:p>
    <w:p w14:paraId="269198E8" w14:textId="77777777" w:rsidR="007E218B" w:rsidRDefault="007E218B" w:rsidP="00745EC3">
      <w:pPr>
        <w:pStyle w:val="EndNoteBibliography"/>
      </w:pPr>
      <w:r w:rsidRPr="007E218B">
        <w:t xml:space="preserve">Rowland, S.J. (1998). Aspects of the reproductive biology of Murray cod, </w:t>
      </w:r>
      <w:r w:rsidRPr="007E218B">
        <w:rPr>
          <w:i/>
        </w:rPr>
        <w:t>Maccullochella peelii peelii</w:t>
      </w:r>
      <w:r w:rsidRPr="007E218B">
        <w:t xml:space="preserve">. </w:t>
      </w:r>
      <w:r w:rsidRPr="007E218B">
        <w:rPr>
          <w:i/>
        </w:rPr>
        <w:t>Proceedings of the Linnean Society of New South Wales</w:t>
      </w:r>
      <w:r w:rsidRPr="007E218B">
        <w:t xml:space="preserve"> </w:t>
      </w:r>
      <w:r w:rsidRPr="007E218B">
        <w:rPr>
          <w:b/>
        </w:rPr>
        <w:t>120</w:t>
      </w:r>
      <w:r w:rsidRPr="007E218B">
        <w:t>, 147–162.</w:t>
      </w:r>
    </w:p>
    <w:p w14:paraId="2F7F5F66" w14:textId="78724CF2" w:rsidR="00745EC3" w:rsidRPr="00F77EB2" w:rsidRDefault="00745EC3" w:rsidP="00745EC3">
      <w:pPr>
        <w:pStyle w:val="EndNoteBibliography"/>
      </w:pPr>
      <w:r w:rsidRPr="00FF65CE">
        <w:t xml:space="preserve">Sabo, J.L., Sponseller, R., Dixon, M., Gade, K., Harms, T., Heffernan, J., Jani, A., Katz, G., Soykan, C., </w:t>
      </w:r>
      <w:r w:rsidRPr="00F77EB2">
        <w:t xml:space="preserve">Watts, J. and Weltera, J. (2005). Riparian zones increase regional species richness by harboring different, not more, species. </w:t>
      </w:r>
      <w:r w:rsidRPr="00F77EB2">
        <w:rPr>
          <w:i/>
        </w:rPr>
        <w:t>Ecology</w:t>
      </w:r>
      <w:r w:rsidRPr="00F77EB2">
        <w:t xml:space="preserve"> </w:t>
      </w:r>
      <w:r w:rsidRPr="00F77EB2">
        <w:rPr>
          <w:b/>
        </w:rPr>
        <w:t>86</w:t>
      </w:r>
      <w:r w:rsidR="00CD7E64">
        <w:t>,</w:t>
      </w:r>
      <w:r w:rsidRPr="00F77EB2">
        <w:t xml:space="preserve"> 56–62.</w:t>
      </w:r>
    </w:p>
    <w:p w14:paraId="54E60764" w14:textId="77777777" w:rsidR="00745EC3" w:rsidRPr="00C41153" w:rsidRDefault="00745EC3" w:rsidP="00745EC3">
      <w:pPr>
        <w:rPr>
          <w:color w:val="auto"/>
        </w:rPr>
      </w:pPr>
      <w:r w:rsidRPr="00F77EB2">
        <w:rPr>
          <w:color w:val="auto"/>
        </w:rPr>
        <w:t xml:space="preserve">Shiel, R.J. and </w:t>
      </w:r>
      <w:r w:rsidRPr="00C41153">
        <w:rPr>
          <w:color w:val="auto"/>
        </w:rPr>
        <w:t>Aldridge, K.T. (2011). The response of zooplankton communities in the North lagoon of the Coorong and Murray Mouth to barrage releases from the Lower Lakes, November 2010</w:t>
      </w:r>
      <w:r w:rsidRPr="00C41153">
        <w:rPr>
          <w:rFonts w:eastAsiaTheme="majorEastAsia"/>
          <w:color w:val="auto"/>
        </w:rPr>
        <w:t>–</w:t>
      </w:r>
      <w:r w:rsidRPr="00C41153">
        <w:rPr>
          <w:color w:val="auto"/>
        </w:rPr>
        <w:t>April 2011. Report for DENR and DWSA. June, 49 pp.</w:t>
      </w:r>
    </w:p>
    <w:p w14:paraId="17B66930" w14:textId="77777777" w:rsidR="00745EC3" w:rsidRPr="00C41153" w:rsidRDefault="00745EC3" w:rsidP="00745EC3">
      <w:pPr>
        <w:rPr>
          <w:color w:val="auto"/>
        </w:rPr>
      </w:pPr>
      <w:r w:rsidRPr="00C41153">
        <w:rPr>
          <w:color w:val="auto"/>
        </w:rPr>
        <w:t>Shiel, R.J. and Tan, L.W. (2013a). Zooplankton response monitoring: Lower Lakes, Coorong and Murray Mouth October 2011 – April 2012. Report for DEWNR SA. June, 49 pp.</w:t>
      </w:r>
    </w:p>
    <w:p w14:paraId="4BEE1274" w14:textId="663CF214" w:rsidR="00745EC3" w:rsidRPr="00C41153" w:rsidRDefault="00745EC3" w:rsidP="00745EC3">
      <w:pPr>
        <w:rPr>
          <w:color w:val="auto"/>
        </w:rPr>
      </w:pPr>
      <w:r w:rsidRPr="00C41153">
        <w:rPr>
          <w:color w:val="auto"/>
        </w:rPr>
        <w:t>Shiel, R.J. and Tan, L.W. (2013b). Zooplankton response monitoring: Lower Lakes, Coorong and Murray Mouth September 2012– March2013. Report for DEWNR SA. Sept</w:t>
      </w:r>
      <w:r w:rsidR="00F568E8">
        <w:rPr>
          <w:color w:val="auto"/>
        </w:rPr>
        <w:t>ember</w:t>
      </w:r>
      <w:r w:rsidRPr="00C41153">
        <w:rPr>
          <w:color w:val="auto"/>
        </w:rPr>
        <w:t>, 41 pp.</w:t>
      </w:r>
    </w:p>
    <w:p w14:paraId="0746D8F1" w14:textId="1F91F1B2" w:rsidR="00745EC3" w:rsidRPr="00C41153" w:rsidRDefault="00745EC3" w:rsidP="00745EC3">
      <w:pPr>
        <w:rPr>
          <w:color w:val="auto"/>
        </w:rPr>
      </w:pPr>
      <w:r w:rsidRPr="00C41153">
        <w:rPr>
          <w:color w:val="auto"/>
        </w:rPr>
        <w:t xml:space="preserve">Shiel, R.J., Walker, K.F. and Williams, W.D. (1982). Plankton of the lower River Murray, South Australia. </w:t>
      </w:r>
      <w:r w:rsidRPr="00C41153">
        <w:rPr>
          <w:i/>
          <w:color w:val="auto"/>
        </w:rPr>
        <w:t>Australian Journal of Marine and Freshwater Research</w:t>
      </w:r>
      <w:r w:rsidRPr="00C41153">
        <w:rPr>
          <w:color w:val="auto"/>
        </w:rPr>
        <w:t xml:space="preserve"> </w:t>
      </w:r>
      <w:r w:rsidRPr="00C41153">
        <w:rPr>
          <w:b/>
          <w:color w:val="auto"/>
        </w:rPr>
        <w:t>33</w:t>
      </w:r>
      <w:r w:rsidR="00F568E8">
        <w:rPr>
          <w:color w:val="auto"/>
        </w:rPr>
        <w:t>,</w:t>
      </w:r>
      <w:r w:rsidRPr="00C41153">
        <w:rPr>
          <w:color w:val="auto"/>
        </w:rPr>
        <w:t xml:space="preserve"> 301</w:t>
      </w:r>
      <w:r w:rsidRPr="00C41153">
        <w:rPr>
          <w:rFonts w:eastAsiaTheme="majorEastAsia"/>
          <w:color w:val="auto"/>
        </w:rPr>
        <w:t>–</w:t>
      </w:r>
      <w:r w:rsidRPr="00C41153">
        <w:rPr>
          <w:color w:val="auto"/>
        </w:rPr>
        <w:t>327.</w:t>
      </w:r>
    </w:p>
    <w:p w14:paraId="43FD3F23" w14:textId="39F30999" w:rsidR="00745EC3" w:rsidRPr="00E16878" w:rsidRDefault="00745EC3" w:rsidP="00745EC3">
      <w:pPr>
        <w:rPr>
          <w:color w:val="auto"/>
        </w:rPr>
      </w:pPr>
      <w:r w:rsidRPr="00E16878">
        <w:rPr>
          <w:color w:val="auto"/>
        </w:rPr>
        <w:t xml:space="preserve">Sorrell, B.K. and Hawes, I. (2010). Convective gas flow development and the maximum depths achieved by helophyte vegetation in lakes. </w:t>
      </w:r>
      <w:r w:rsidRPr="00E16878">
        <w:rPr>
          <w:i/>
          <w:color w:val="auto"/>
        </w:rPr>
        <w:t>Annals of Botany</w:t>
      </w:r>
      <w:r w:rsidRPr="00E16878">
        <w:rPr>
          <w:color w:val="auto"/>
        </w:rPr>
        <w:t xml:space="preserve"> </w:t>
      </w:r>
      <w:r w:rsidRPr="00E16878">
        <w:rPr>
          <w:b/>
          <w:color w:val="auto"/>
        </w:rPr>
        <w:t>105</w:t>
      </w:r>
      <w:r w:rsidR="00F568E8">
        <w:rPr>
          <w:color w:val="auto"/>
        </w:rPr>
        <w:t>,</w:t>
      </w:r>
      <w:r w:rsidRPr="00E16878">
        <w:rPr>
          <w:color w:val="auto"/>
        </w:rPr>
        <w:t xml:space="preserve"> 165</w:t>
      </w:r>
      <w:r w:rsidR="00F568E8">
        <w:rPr>
          <w:color w:val="auto"/>
        </w:rPr>
        <w:t>–</w:t>
      </w:r>
      <w:r w:rsidRPr="00E16878">
        <w:rPr>
          <w:color w:val="auto"/>
        </w:rPr>
        <w:t>174.</w:t>
      </w:r>
    </w:p>
    <w:p w14:paraId="656BF449" w14:textId="77777777" w:rsidR="00745EC3" w:rsidRPr="00D96344" w:rsidRDefault="00745EC3" w:rsidP="00745EC3">
      <w:pPr>
        <w:rPr>
          <w:color w:val="auto"/>
        </w:rPr>
      </w:pPr>
      <w:r w:rsidRPr="00D96344">
        <w:rPr>
          <w:color w:val="auto"/>
        </w:rPr>
        <w:t xml:space="preserve">South Australian Research and Development Institute (SARDI) Aquatic Sciences, University of Adelaide, Commonwealth Scientific and Industrial Research Organisation, South Australian Environmental Protection Authority, Department of Environment and Natural Resources and In Fusion (2018). Commonwealth Environmental Water Office Long Term Intervention Monitoring Project Lower Murray River Selected Area Monitoring and Evaluation Plan Version 3. Prepared by the South Australian Consortium for the Commonwealth Environmental Water Office. Commonwealth of Australia 2018. </w:t>
      </w:r>
      <w:hyperlink r:id="rId39" w:history="1">
        <w:r w:rsidRPr="00D96344">
          <w:rPr>
            <w:rStyle w:val="Hyperlink"/>
            <w:rFonts w:eastAsiaTheme="majorEastAsia"/>
            <w:color w:val="auto"/>
          </w:rPr>
          <w:t>http://www.environment.gov.au/water/cewo/publications/cewo-ltim-lower-murray-2018</w:t>
        </w:r>
      </w:hyperlink>
      <w:r w:rsidRPr="00D96344">
        <w:rPr>
          <w:color w:val="auto"/>
        </w:rPr>
        <w:t>.</w:t>
      </w:r>
    </w:p>
    <w:p w14:paraId="798774CD" w14:textId="6C8BE06E" w:rsidR="00745EC3" w:rsidRPr="00F77EB2" w:rsidRDefault="00745EC3" w:rsidP="00745EC3">
      <w:pPr>
        <w:rPr>
          <w:color w:val="auto"/>
        </w:rPr>
      </w:pPr>
      <w:r w:rsidRPr="0040081F">
        <w:rPr>
          <w:color w:val="auto"/>
        </w:rPr>
        <w:t xml:space="preserve">Statzner, B. and B. Higler (1986). Stream hydraulics as a major determinant of benthic invertebrate zonation patterns. </w:t>
      </w:r>
      <w:r w:rsidRPr="002B580A">
        <w:rPr>
          <w:i/>
          <w:color w:val="auto"/>
        </w:rPr>
        <w:t>Freshwater Biology</w:t>
      </w:r>
      <w:r w:rsidR="002B580A">
        <w:rPr>
          <w:color w:val="auto"/>
        </w:rPr>
        <w:t xml:space="preserve"> </w:t>
      </w:r>
      <w:r w:rsidR="002B580A" w:rsidRPr="002B580A">
        <w:rPr>
          <w:b/>
          <w:color w:val="auto"/>
        </w:rPr>
        <w:t>16</w:t>
      </w:r>
      <w:r w:rsidR="002B580A">
        <w:rPr>
          <w:color w:val="auto"/>
        </w:rPr>
        <w:t>,</w:t>
      </w:r>
      <w:r w:rsidRPr="00F77EB2">
        <w:rPr>
          <w:color w:val="auto"/>
        </w:rPr>
        <w:t xml:space="preserve"> 127–139.</w:t>
      </w:r>
    </w:p>
    <w:p w14:paraId="5C98C5F8" w14:textId="72923284" w:rsidR="00745EC3" w:rsidRDefault="00745EC3" w:rsidP="00745EC3">
      <w:pPr>
        <w:rPr>
          <w:color w:val="auto"/>
        </w:rPr>
      </w:pPr>
      <w:r w:rsidRPr="00F77EB2">
        <w:rPr>
          <w:color w:val="auto"/>
        </w:rPr>
        <w:t xml:space="preserve">Tan, L.W. and Shiel, R.J. (1993). Responses of billabong rotifer communities to inundation. </w:t>
      </w:r>
      <w:r w:rsidRPr="00F77EB2">
        <w:rPr>
          <w:i/>
          <w:color w:val="auto"/>
        </w:rPr>
        <w:t xml:space="preserve">Hydrobiologia </w:t>
      </w:r>
      <w:r w:rsidRPr="00F77EB2">
        <w:rPr>
          <w:b/>
          <w:color w:val="auto"/>
        </w:rPr>
        <w:t>255/256</w:t>
      </w:r>
      <w:r w:rsidR="002B580A">
        <w:rPr>
          <w:color w:val="auto"/>
        </w:rPr>
        <w:t>,</w:t>
      </w:r>
      <w:r w:rsidRPr="00F77EB2">
        <w:rPr>
          <w:color w:val="auto"/>
        </w:rPr>
        <w:t xml:space="preserve"> 361</w:t>
      </w:r>
      <w:r w:rsidRPr="00F77EB2">
        <w:rPr>
          <w:rFonts w:eastAsiaTheme="majorEastAsia"/>
          <w:color w:val="auto"/>
        </w:rPr>
        <w:t>–</w:t>
      </w:r>
      <w:r w:rsidRPr="00F77EB2">
        <w:rPr>
          <w:color w:val="auto"/>
        </w:rPr>
        <w:t>369.</w:t>
      </w:r>
    </w:p>
    <w:p w14:paraId="6578EC91" w14:textId="2F933DC5" w:rsidR="009016D1" w:rsidRDefault="00EF0A90" w:rsidP="00745EC3">
      <w:pPr>
        <w:rPr>
          <w:color w:val="auto"/>
        </w:rPr>
      </w:pPr>
      <w:r w:rsidRPr="00EF0A90">
        <w:rPr>
          <w:color w:val="auto"/>
        </w:rPr>
        <w:t>Tonkin, Z.</w:t>
      </w:r>
      <w:r>
        <w:rPr>
          <w:color w:val="auto"/>
        </w:rPr>
        <w:t>, I. Stuart, A. Kitchingman, J.</w:t>
      </w:r>
      <w:r w:rsidRPr="00EF0A90">
        <w:rPr>
          <w:color w:val="auto"/>
        </w:rPr>
        <w:t>D. Thiem, B. Zampatti, G. Hackett, W. Koster, J. Koehn, J. Morrongiello, M. Mallen-Cooper and J. Lyon (2019). Hydrology and water temperature influence recruitment dynamics of</w:t>
      </w:r>
      <w:r>
        <w:rPr>
          <w:color w:val="auto"/>
        </w:rPr>
        <w:t xml:space="preserve"> the threatened silver perch </w:t>
      </w:r>
      <w:r w:rsidRPr="00EF0A90">
        <w:rPr>
          <w:i/>
          <w:color w:val="auto"/>
        </w:rPr>
        <w:t>Bidyanus bidyanus</w:t>
      </w:r>
      <w:r w:rsidRPr="00EF0A90">
        <w:rPr>
          <w:color w:val="auto"/>
        </w:rPr>
        <w:t xml:space="preserve"> in a regulated lowland river. </w:t>
      </w:r>
      <w:r w:rsidRPr="00EF0A90">
        <w:rPr>
          <w:i/>
          <w:color w:val="auto"/>
        </w:rPr>
        <w:t>Marine and Freshwater Research</w:t>
      </w:r>
      <w:r>
        <w:rPr>
          <w:color w:val="auto"/>
        </w:rPr>
        <w:t xml:space="preserve">. </w:t>
      </w:r>
      <w:r w:rsidRPr="00EF0A90">
        <w:rPr>
          <w:color w:val="auto"/>
        </w:rPr>
        <w:t>https://doi.org/10.1071/MF18299</w:t>
      </w:r>
    </w:p>
    <w:p w14:paraId="658134D5" w14:textId="7F7DFC07" w:rsidR="00745EC3" w:rsidRPr="00421976" w:rsidRDefault="00745EC3" w:rsidP="00745EC3">
      <w:pPr>
        <w:rPr>
          <w:color w:val="auto"/>
        </w:rPr>
      </w:pPr>
      <w:r w:rsidRPr="00421976">
        <w:rPr>
          <w:color w:val="auto"/>
          <w:lang w:val="en-US"/>
        </w:rPr>
        <w:t xml:space="preserve">Vannote, R.L., Minshall, G.W., Cummins, K., Sedell, J.R. and Cushing, C.E. (1980). The River Continuum Concept. </w:t>
      </w:r>
      <w:r w:rsidRPr="002B580A">
        <w:rPr>
          <w:i/>
          <w:color w:val="auto"/>
          <w:lang w:val="en-US"/>
        </w:rPr>
        <w:t>Canadian Journal of Fisheries and Aquatic Sciences</w:t>
      </w:r>
      <w:r w:rsidRPr="00421976">
        <w:rPr>
          <w:color w:val="auto"/>
          <w:lang w:val="en-US"/>
        </w:rPr>
        <w:t xml:space="preserve"> </w:t>
      </w:r>
      <w:r w:rsidRPr="002B580A">
        <w:rPr>
          <w:b/>
          <w:color w:val="auto"/>
          <w:lang w:val="en-US"/>
        </w:rPr>
        <w:t>37</w:t>
      </w:r>
      <w:r w:rsidRPr="00421976">
        <w:rPr>
          <w:color w:val="auto"/>
          <w:lang w:val="en-US"/>
        </w:rPr>
        <w:t>, 130–137.</w:t>
      </w:r>
    </w:p>
    <w:p w14:paraId="28D4C5B1" w14:textId="22FA8C0E" w:rsidR="00745EC3" w:rsidRPr="00D96344" w:rsidRDefault="00745EC3" w:rsidP="00745EC3">
      <w:pPr>
        <w:rPr>
          <w:color w:val="auto"/>
        </w:rPr>
      </w:pPr>
      <w:r w:rsidRPr="00421976">
        <w:rPr>
          <w:color w:val="auto"/>
        </w:rPr>
        <w:t xml:space="preserve">Walker, K.F. and Thoms, M.C. (1993). Environmental effects of flow regulation on the lower river Murray, Australia. </w:t>
      </w:r>
      <w:r w:rsidRPr="00421976">
        <w:rPr>
          <w:i/>
          <w:color w:val="auto"/>
        </w:rPr>
        <w:t xml:space="preserve">Regulated </w:t>
      </w:r>
      <w:r w:rsidRPr="00D96344">
        <w:rPr>
          <w:i/>
          <w:color w:val="auto"/>
        </w:rPr>
        <w:t>Rivers: Research and Management</w:t>
      </w:r>
      <w:r w:rsidRPr="00D96344">
        <w:rPr>
          <w:color w:val="auto"/>
        </w:rPr>
        <w:t xml:space="preserve"> </w:t>
      </w:r>
      <w:r w:rsidRPr="00D96344">
        <w:rPr>
          <w:b/>
          <w:color w:val="auto"/>
        </w:rPr>
        <w:t>8</w:t>
      </w:r>
      <w:r w:rsidR="002B580A">
        <w:rPr>
          <w:color w:val="auto"/>
        </w:rPr>
        <w:t>,</w:t>
      </w:r>
      <w:r w:rsidRPr="00D96344">
        <w:rPr>
          <w:color w:val="auto"/>
        </w:rPr>
        <w:t xml:space="preserve"> 103–119.</w:t>
      </w:r>
    </w:p>
    <w:p w14:paraId="05B0E9E0" w14:textId="31CBAD5A" w:rsidR="00745EC3" w:rsidRPr="0081537F" w:rsidRDefault="00972B6C" w:rsidP="00745EC3">
      <w:pPr>
        <w:rPr>
          <w:color w:val="auto"/>
        </w:rPr>
      </w:pPr>
      <w:r w:rsidRPr="00972B6C">
        <w:rPr>
          <w:color w:val="auto"/>
        </w:rPr>
        <w:lastRenderedPageBreak/>
        <w:t>Walker, P.D., Wijnhoven, S. and van der Velde, G. (2013). Macrophyte presence and growth form influence macroinvertebrate communit</w:t>
      </w:r>
      <w:r w:rsidR="00EF0A90">
        <w:rPr>
          <w:color w:val="auto"/>
        </w:rPr>
        <w:t xml:space="preserve">y structure. </w:t>
      </w:r>
      <w:r w:rsidR="00EF0A90" w:rsidRPr="00EF0A90">
        <w:rPr>
          <w:i/>
          <w:color w:val="auto"/>
        </w:rPr>
        <w:t>Aquatic Botany</w:t>
      </w:r>
      <w:r w:rsidR="00EF0A90">
        <w:rPr>
          <w:color w:val="auto"/>
        </w:rPr>
        <w:t xml:space="preserve"> </w:t>
      </w:r>
      <w:r w:rsidR="00EF0A90" w:rsidRPr="00EF0A90">
        <w:rPr>
          <w:b/>
          <w:color w:val="auto"/>
        </w:rPr>
        <w:t>104</w:t>
      </w:r>
      <w:r w:rsidR="00EF0A90">
        <w:rPr>
          <w:color w:val="auto"/>
        </w:rPr>
        <w:t>,</w:t>
      </w:r>
      <w:r w:rsidRPr="00972B6C">
        <w:rPr>
          <w:color w:val="auto"/>
        </w:rPr>
        <w:t xml:space="preserve"> 80</w:t>
      </w:r>
      <w:r w:rsidR="00EF0A90">
        <w:rPr>
          <w:color w:val="auto"/>
        </w:rPr>
        <w:t>–</w:t>
      </w:r>
      <w:r w:rsidRPr="00972B6C">
        <w:rPr>
          <w:color w:val="auto"/>
        </w:rPr>
        <w:t>87.</w:t>
      </w:r>
    </w:p>
    <w:p w14:paraId="0657E9B7" w14:textId="2FB96A41" w:rsidR="00B77F69" w:rsidRDefault="00B77F69" w:rsidP="002B580A">
      <w:pPr>
        <w:rPr>
          <w:color w:val="auto"/>
        </w:rPr>
      </w:pPr>
      <w:r w:rsidRPr="00B77F69">
        <w:rPr>
          <w:color w:val="auto"/>
        </w:rPr>
        <w:t>Ye, Q., Bucater, L. and Short, D</w:t>
      </w:r>
      <w:r w:rsidR="00CA1D4C">
        <w:rPr>
          <w:color w:val="auto"/>
        </w:rPr>
        <w:t>.</w:t>
      </w:r>
      <w:r w:rsidRPr="00B77F69">
        <w:rPr>
          <w:color w:val="auto"/>
        </w:rPr>
        <w:t xml:space="preserve"> (2011). Coorong fish intervention monitoring during barrage releases in 2010/11. South Australian Research and Development Institute (Aquatic Sciences), Adelaide. SARDI Publication No. F2011/000309-1. SARDI </w:t>
      </w:r>
      <w:r w:rsidR="00CA1D4C">
        <w:rPr>
          <w:color w:val="auto"/>
        </w:rPr>
        <w:t>Research Report Series No. 559.</w:t>
      </w:r>
    </w:p>
    <w:p w14:paraId="5BE1E938" w14:textId="1D1154ED" w:rsidR="002B580A" w:rsidRDefault="002B580A" w:rsidP="00745EC3">
      <w:pPr>
        <w:rPr>
          <w:color w:val="auto"/>
        </w:rPr>
      </w:pPr>
      <w:r w:rsidRPr="002B580A">
        <w:rPr>
          <w:color w:val="auto"/>
        </w:rPr>
        <w:t xml:space="preserve">Ye, Q., Giatas, G., Aldridge, K., Busch, B., Gibbs, M., Hipsey, M., Lorenz, Z., Maas, R., Oliver, R., Shiel, R., Woodhead, J. and Zampatti, B. (2017). Long-Term </w:t>
      </w:r>
      <w:r w:rsidR="00E72AA0">
        <w:rPr>
          <w:color w:val="auto"/>
        </w:rPr>
        <w:t>Intervention Monitoring of the ecological responses to Commonwealth environmental water d</w:t>
      </w:r>
      <w:r w:rsidRPr="002B580A">
        <w:rPr>
          <w:color w:val="auto"/>
        </w:rPr>
        <w:t>elivered to the Lower Murray River Selected Area in 2015/16. A report prepared for the Commonwealth Environmental Water Office. South Australian Research and Development Institute, Aquatic Sciences.</w:t>
      </w:r>
    </w:p>
    <w:p w14:paraId="7BC91DAF" w14:textId="3EB22389" w:rsidR="002B580A" w:rsidRDefault="002B580A" w:rsidP="00745EC3">
      <w:pPr>
        <w:rPr>
          <w:color w:val="auto"/>
        </w:rPr>
      </w:pPr>
      <w:r w:rsidRPr="002B580A">
        <w:rPr>
          <w:color w:val="auto"/>
        </w:rPr>
        <w:t>Ye, Q., Giatas, G., Aldridge, K., Busch, B., Gibbs, M., Hipsey, M., Lorenz, Z., Maas, R., Oliver, R., Shiel, R., Woodhead, J. and Zampatti, B. (2018</w:t>
      </w:r>
      <w:r>
        <w:rPr>
          <w:color w:val="auto"/>
        </w:rPr>
        <w:t>a</w:t>
      </w:r>
      <w:r w:rsidRPr="002B580A">
        <w:rPr>
          <w:color w:val="auto"/>
        </w:rPr>
        <w:t xml:space="preserve">). </w:t>
      </w:r>
      <w:r w:rsidR="00E72AA0" w:rsidRPr="002B580A">
        <w:rPr>
          <w:color w:val="auto"/>
        </w:rPr>
        <w:t xml:space="preserve">Long-Term </w:t>
      </w:r>
      <w:r w:rsidR="00E72AA0">
        <w:rPr>
          <w:color w:val="auto"/>
        </w:rPr>
        <w:t>Intervention Monitoring of the ecological responses to Commonwealth environmental water d</w:t>
      </w:r>
      <w:r w:rsidR="00E72AA0" w:rsidRPr="002B580A">
        <w:rPr>
          <w:color w:val="auto"/>
        </w:rPr>
        <w:t xml:space="preserve">elivered to the Lower Murray River Selected Area </w:t>
      </w:r>
      <w:r w:rsidRPr="002B580A">
        <w:rPr>
          <w:color w:val="auto"/>
        </w:rPr>
        <w:t>in 2016/17. A report prepared for the Commonwealth Environmental Water Office. South Australian Research and Development Institute, Aquatic Sciences.</w:t>
      </w:r>
    </w:p>
    <w:p w14:paraId="78F76536" w14:textId="31B83239" w:rsidR="00827879" w:rsidRDefault="00827879" w:rsidP="002B580A">
      <w:pPr>
        <w:rPr>
          <w:color w:val="auto"/>
        </w:rPr>
      </w:pPr>
      <w:r w:rsidRPr="00827879">
        <w:rPr>
          <w:color w:val="auto"/>
        </w:rPr>
        <w:t>Ye, Q., Giatas, G., Aldridge, K., Busch, B., Gibbs, M., Hipsey, M., Lorenz, Z., Maas, R., Oliver, R., Shiel, R., Woodhead, J. and Zampatti, B. (2019). Commonwealth Environmental Water Office Long-Term Intervention Monitoring Project: Lower Murr</w:t>
      </w:r>
      <w:r w:rsidR="00E72AA0">
        <w:rPr>
          <w:color w:val="auto"/>
        </w:rPr>
        <w:t>ay River Selected Area 2017-18 technical r</w:t>
      </w:r>
      <w:r w:rsidRPr="00827879">
        <w:rPr>
          <w:color w:val="auto"/>
        </w:rPr>
        <w:t>eport. A report prepared for the Commonwealth Environmental Water Office. South Australian Research and Development Institute, Aquatic Sciences.</w:t>
      </w:r>
    </w:p>
    <w:p w14:paraId="71101D33" w14:textId="71B04ABF" w:rsidR="002B580A" w:rsidRDefault="002B580A" w:rsidP="002B580A">
      <w:pPr>
        <w:rPr>
          <w:color w:val="auto"/>
        </w:rPr>
      </w:pPr>
      <w:r w:rsidRPr="002C723D">
        <w:rPr>
          <w:color w:val="auto"/>
        </w:rPr>
        <w:t xml:space="preserve">Ye, Q., Giatas, G., Aldridge, K., Busch, B., Gibbs, M., Hipsey, M., Lorenz, Z., Oliver, R., Shiel, R. and Zampatti, B. (2016a). </w:t>
      </w:r>
      <w:r w:rsidR="00E72AA0" w:rsidRPr="002B580A">
        <w:rPr>
          <w:color w:val="auto"/>
        </w:rPr>
        <w:t xml:space="preserve">Long-Term </w:t>
      </w:r>
      <w:r w:rsidR="00E72AA0">
        <w:rPr>
          <w:color w:val="auto"/>
        </w:rPr>
        <w:t>Intervention Monitoring of the ecological responses to Commonwealth environmental water d</w:t>
      </w:r>
      <w:r w:rsidR="00E72AA0" w:rsidRPr="002B580A">
        <w:rPr>
          <w:color w:val="auto"/>
        </w:rPr>
        <w:t xml:space="preserve">elivered to the Lower Murray River Selected Area </w:t>
      </w:r>
      <w:r w:rsidRPr="002C723D">
        <w:rPr>
          <w:color w:val="auto"/>
        </w:rPr>
        <w:t>in 2014/15. A report prepared for the Commonwealth Environmental Water Office. South Australian Research and Development Institute, Aquatic Sciences.</w:t>
      </w:r>
    </w:p>
    <w:p w14:paraId="52DF05C7" w14:textId="413982D2" w:rsidR="00745EC3" w:rsidRPr="00F818FA" w:rsidRDefault="00745EC3" w:rsidP="00745EC3">
      <w:pPr>
        <w:rPr>
          <w:color w:val="auto"/>
        </w:rPr>
      </w:pPr>
      <w:r w:rsidRPr="002C723D">
        <w:rPr>
          <w:color w:val="auto"/>
        </w:rPr>
        <w:t>Ye, Q., Giatas, G., Bucater, L. and Short, D. (2018b). Coorong fish condition monitoring 2016/17: Black bream (</w:t>
      </w:r>
      <w:r w:rsidRPr="00E72AA0">
        <w:rPr>
          <w:i/>
          <w:color w:val="auto"/>
        </w:rPr>
        <w:t>Acanthopagrus butcheri</w:t>
      </w:r>
      <w:r w:rsidRPr="002C723D">
        <w:rPr>
          <w:color w:val="auto"/>
        </w:rPr>
        <w:t>), greenback flounder (</w:t>
      </w:r>
      <w:r w:rsidRPr="00E72AA0">
        <w:rPr>
          <w:i/>
          <w:color w:val="auto"/>
        </w:rPr>
        <w:t>Rhombosolea tapirina</w:t>
      </w:r>
      <w:r w:rsidRPr="002C723D">
        <w:rPr>
          <w:color w:val="auto"/>
        </w:rPr>
        <w:t>) and smallmouth hardyhead (</w:t>
      </w:r>
      <w:r w:rsidRPr="00E72AA0">
        <w:rPr>
          <w:i/>
          <w:color w:val="auto"/>
        </w:rPr>
        <w:t>Atherinosoma microstoma</w:t>
      </w:r>
      <w:r w:rsidRPr="002C723D">
        <w:rPr>
          <w:color w:val="auto"/>
        </w:rPr>
        <w:t xml:space="preserve">) populations. South Australian Research and Development Institute (Aquatic Sciences), Adelaide. SARDI Publication No. F2011/000471-6. SARDI Research Report Series No. 979. </w:t>
      </w:r>
    </w:p>
    <w:p w14:paraId="50ED8BD1" w14:textId="77777777" w:rsidR="00745EC3" w:rsidRPr="00CC6A91" w:rsidRDefault="00745EC3" w:rsidP="00745EC3">
      <w:pPr>
        <w:rPr>
          <w:color w:val="auto"/>
        </w:rPr>
      </w:pPr>
      <w:r w:rsidRPr="00F818FA">
        <w:rPr>
          <w:color w:val="auto"/>
        </w:rPr>
        <w:t xml:space="preserve">Ye, Q., Livore, J., Aldridge, K., Giatas, G., Hipsey, M., Joehnk, K., Nicol, J., Wilson, P. and Zampatti, B. (2016b). Monitoring the ecological response to Commonwealth environmental water delivered to the Lower Murray River in 2013-14. Final Report prepared for the Commonwealth Environmental Water Office. South </w:t>
      </w:r>
      <w:r w:rsidRPr="00CC6A91">
        <w:rPr>
          <w:color w:val="auto"/>
        </w:rPr>
        <w:t>Australian Research and Development Institute.</w:t>
      </w:r>
    </w:p>
    <w:p w14:paraId="29F4F924" w14:textId="00CDB3A8" w:rsidR="00745EC3" w:rsidRPr="001D5B23" w:rsidRDefault="00745EC3" w:rsidP="00745EC3">
      <w:pPr>
        <w:rPr>
          <w:color w:val="auto"/>
        </w:rPr>
      </w:pPr>
      <w:r w:rsidRPr="001D5B23">
        <w:rPr>
          <w:color w:val="auto"/>
        </w:rPr>
        <w:t>Ye</w:t>
      </w:r>
      <w:r w:rsidR="001D5B23" w:rsidRPr="001D5B23">
        <w:rPr>
          <w:color w:val="auto"/>
        </w:rPr>
        <w:t>, Q.</w:t>
      </w:r>
      <w:r w:rsidRPr="001D5B23">
        <w:rPr>
          <w:color w:val="auto"/>
        </w:rPr>
        <w:t xml:space="preserve"> and Zampatti</w:t>
      </w:r>
      <w:r w:rsidR="001D5B23" w:rsidRPr="001D5B23">
        <w:rPr>
          <w:color w:val="auto"/>
        </w:rPr>
        <w:t>, B.</w:t>
      </w:r>
      <w:r w:rsidRPr="001D5B23">
        <w:rPr>
          <w:color w:val="auto"/>
        </w:rPr>
        <w:t xml:space="preserve"> </w:t>
      </w:r>
      <w:r w:rsidR="001D5B23" w:rsidRPr="001D5B23">
        <w:rPr>
          <w:color w:val="auto"/>
        </w:rPr>
        <w:t>(</w:t>
      </w:r>
      <w:r w:rsidRPr="001D5B23">
        <w:rPr>
          <w:color w:val="auto"/>
        </w:rPr>
        <w:t>2007</w:t>
      </w:r>
      <w:r w:rsidR="001D5B23" w:rsidRPr="001D5B23">
        <w:rPr>
          <w:color w:val="auto"/>
        </w:rPr>
        <w:t xml:space="preserve">). Murray cod stock status – the Lower River Murray, South Australia. Stock status report to PIRSA Fisheries. South Australian Research and Development Institute (Aquatic Sciences), Adelaide. SARDI Publication No. </w:t>
      </w:r>
      <w:r w:rsidR="00C52CBD">
        <w:rPr>
          <w:color w:val="auto"/>
        </w:rPr>
        <w:t>F2007-000211-1</w:t>
      </w:r>
      <w:r w:rsidR="001D5B23" w:rsidRPr="001D5B23">
        <w:rPr>
          <w:color w:val="auto"/>
        </w:rPr>
        <w:t xml:space="preserve">. </w:t>
      </w:r>
      <w:r w:rsidR="00C52CBD" w:rsidRPr="001D5B23">
        <w:rPr>
          <w:color w:val="auto"/>
        </w:rPr>
        <w:t xml:space="preserve">SARDI Report Series No. </w:t>
      </w:r>
      <w:r w:rsidR="00C52CBD">
        <w:rPr>
          <w:color w:val="auto"/>
        </w:rPr>
        <w:t>208</w:t>
      </w:r>
      <w:r w:rsidR="00C52CBD" w:rsidRPr="001D5B23">
        <w:rPr>
          <w:color w:val="auto"/>
        </w:rPr>
        <w:t>.</w:t>
      </w:r>
    </w:p>
    <w:p w14:paraId="3606A502" w14:textId="77777777" w:rsidR="00745EC3" w:rsidRPr="001D5B23" w:rsidRDefault="00745EC3" w:rsidP="00745EC3">
      <w:pPr>
        <w:rPr>
          <w:color w:val="auto"/>
        </w:rPr>
      </w:pPr>
      <w:r w:rsidRPr="001D5B23">
        <w:rPr>
          <w:color w:val="auto"/>
        </w:rPr>
        <w:t xml:space="preserve">Young, R.G. and Huryn, A.D. (1996). Interannual variation in discharge controls ecosystem metabolism along a grassland river continuum. </w:t>
      </w:r>
      <w:r w:rsidRPr="001D5B23">
        <w:rPr>
          <w:i/>
          <w:color w:val="auto"/>
        </w:rPr>
        <w:t>Canadian Journal of Fisheries and Aquatic Sciences</w:t>
      </w:r>
      <w:r w:rsidRPr="001D5B23">
        <w:rPr>
          <w:color w:val="auto"/>
        </w:rPr>
        <w:t xml:space="preserve"> </w:t>
      </w:r>
      <w:r w:rsidRPr="001D5B23">
        <w:rPr>
          <w:b/>
          <w:color w:val="auto"/>
        </w:rPr>
        <w:t>53</w:t>
      </w:r>
      <w:r w:rsidRPr="001D5B23">
        <w:rPr>
          <w:color w:val="auto"/>
        </w:rPr>
        <w:t>: 2199–2211.</w:t>
      </w:r>
    </w:p>
    <w:p w14:paraId="2E20EF96" w14:textId="77777777" w:rsidR="00B10D9A" w:rsidRDefault="00B10D9A" w:rsidP="00B10D9A">
      <w:pPr>
        <w:rPr>
          <w:color w:val="auto"/>
        </w:rPr>
      </w:pPr>
      <w:r w:rsidRPr="001D5B23">
        <w:rPr>
          <w:color w:val="auto"/>
        </w:rPr>
        <w:t>Zampatti, B.P., Bice, C.M., Wilson, P.J. and Ye, Q. (2014). Population dynamics of Murray cod (</w:t>
      </w:r>
      <w:r w:rsidRPr="001D5B23">
        <w:rPr>
          <w:i/>
          <w:color w:val="auto"/>
        </w:rPr>
        <w:t>Maccullochella peelii</w:t>
      </w:r>
      <w:r w:rsidRPr="001D5B23">
        <w:rPr>
          <w:color w:val="auto"/>
        </w:rPr>
        <w:t xml:space="preserve">) in the South Australian reaches of the River Murray: A synthesis of data from 2002–2013. South Australian Research and Development Institute (Aquatic Sciences), Adelaide. SARDI Publication No. F2014-000089-1. SARDI Research Report Series No. 761. </w:t>
      </w:r>
    </w:p>
    <w:p w14:paraId="37F509C8" w14:textId="77777777" w:rsidR="00745EC3" w:rsidRPr="001D5B23" w:rsidRDefault="00745EC3" w:rsidP="00745EC3">
      <w:pPr>
        <w:rPr>
          <w:color w:val="auto"/>
        </w:rPr>
      </w:pPr>
      <w:r w:rsidRPr="001D5B23">
        <w:rPr>
          <w:color w:val="auto"/>
        </w:rPr>
        <w:t xml:space="preserve">Zampatti, B.P., Leigh, S.J. (2013a). Within-channel flows promote spawning and recruitment of golden perch, </w:t>
      </w:r>
      <w:r w:rsidRPr="001D5B23">
        <w:rPr>
          <w:i/>
          <w:color w:val="auto"/>
        </w:rPr>
        <w:t>Macquaria ambigua ambigua</w:t>
      </w:r>
      <w:r w:rsidRPr="001D5B23">
        <w:rPr>
          <w:color w:val="auto"/>
        </w:rPr>
        <w:t xml:space="preserve"> (Richardson, 1845) (Percichthyidae) </w:t>
      </w:r>
      <w:r w:rsidRPr="001D5B23">
        <w:rPr>
          <w:rFonts w:eastAsiaTheme="majorEastAsia"/>
          <w:color w:val="auto"/>
        </w:rPr>
        <w:t>–</w:t>
      </w:r>
      <w:r w:rsidRPr="001D5B23">
        <w:rPr>
          <w:color w:val="auto"/>
        </w:rPr>
        <w:t xml:space="preserve"> implications for </w:t>
      </w:r>
      <w:r w:rsidRPr="001D5B23">
        <w:rPr>
          <w:color w:val="auto"/>
        </w:rPr>
        <w:lastRenderedPageBreak/>
        <w:t xml:space="preserve">environmental flow management in the River Murray, Australia. </w:t>
      </w:r>
      <w:r w:rsidRPr="001D5B23">
        <w:rPr>
          <w:i/>
          <w:color w:val="auto"/>
        </w:rPr>
        <w:t>Marine and Freshwater Research</w:t>
      </w:r>
      <w:r w:rsidRPr="001D5B23">
        <w:rPr>
          <w:color w:val="auto"/>
        </w:rPr>
        <w:t xml:space="preserve"> doi:org/10.1071/MF12321.</w:t>
      </w:r>
    </w:p>
    <w:p w14:paraId="4E84FF25" w14:textId="77777777" w:rsidR="00745EC3" w:rsidRDefault="00745EC3" w:rsidP="00745EC3">
      <w:pPr>
        <w:rPr>
          <w:color w:val="auto"/>
        </w:rPr>
      </w:pPr>
      <w:r w:rsidRPr="001D5B23">
        <w:rPr>
          <w:color w:val="auto"/>
        </w:rPr>
        <w:t>Zampatti, B.P., Leigh, S.J. (2013b). Effects of flooding on recruitment and abundance of Golden Perch (</w:t>
      </w:r>
      <w:r w:rsidRPr="001D5B23">
        <w:rPr>
          <w:i/>
          <w:color w:val="auto"/>
        </w:rPr>
        <w:t>Macquaria ambigua ambigua</w:t>
      </w:r>
      <w:r w:rsidRPr="00072831">
        <w:rPr>
          <w:color w:val="auto"/>
        </w:rPr>
        <w:t xml:space="preserve">) in the lower River Murray. </w:t>
      </w:r>
      <w:r w:rsidRPr="00072831">
        <w:rPr>
          <w:i/>
          <w:color w:val="auto"/>
        </w:rPr>
        <w:t>Ecological Management and Restoration</w:t>
      </w:r>
      <w:r w:rsidRPr="00072831">
        <w:rPr>
          <w:color w:val="auto"/>
        </w:rPr>
        <w:t xml:space="preserve"> </w:t>
      </w:r>
      <w:r w:rsidRPr="00072831">
        <w:rPr>
          <w:b/>
          <w:color w:val="auto"/>
        </w:rPr>
        <w:t>14</w:t>
      </w:r>
      <w:r w:rsidRPr="00072831">
        <w:rPr>
          <w:color w:val="auto"/>
        </w:rPr>
        <w:t>: 135</w:t>
      </w:r>
      <w:r w:rsidRPr="00072831">
        <w:rPr>
          <w:rFonts w:eastAsiaTheme="majorEastAsia"/>
          <w:color w:val="auto"/>
        </w:rPr>
        <w:t>–</w:t>
      </w:r>
      <w:r w:rsidRPr="00072831">
        <w:rPr>
          <w:color w:val="auto"/>
        </w:rPr>
        <w:t>143.</w:t>
      </w:r>
    </w:p>
    <w:p w14:paraId="44891E35" w14:textId="0DCFC3E6" w:rsidR="008C33A0" w:rsidRDefault="00972B6C" w:rsidP="00745EC3">
      <w:pPr>
        <w:rPr>
          <w:rFonts w:eastAsiaTheme="majorEastAsia" w:cstheme="majorBidi"/>
          <w:color w:val="auto"/>
          <w:sz w:val="26"/>
          <w:szCs w:val="26"/>
          <w:highlight w:val="yellow"/>
        </w:rPr>
      </w:pPr>
      <w:r w:rsidRPr="00972B6C">
        <w:rPr>
          <w:color w:val="auto"/>
        </w:rPr>
        <w:t>Zampatti, B.P., Strawbridge, A., Thiem, J., Tonkin, Z., Mass, R., Woodhead, J. and Fredberg, J. (2018). Golden perch (</w:t>
      </w:r>
      <w:r w:rsidRPr="00972B6C">
        <w:rPr>
          <w:i/>
          <w:color w:val="auto"/>
        </w:rPr>
        <w:t>Macquaria ambigua</w:t>
      </w:r>
      <w:r w:rsidRPr="00972B6C">
        <w:rPr>
          <w:color w:val="auto"/>
        </w:rPr>
        <w:t>) and silver perch (</w:t>
      </w:r>
      <w:r w:rsidRPr="00972B6C">
        <w:rPr>
          <w:i/>
          <w:color w:val="auto"/>
        </w:rPr>
        <w:t>Bidyanus bidyanus</w:t>
      </w:r>
      <w:r w:rsidRPr="00972B6C">
        <w:rPr>
          <w:color w:val="auto"/>
        </w:rPr>
        <w:t>) age demographics, natal origin and migration history in the River Murray, Australia. South Australian Research and Development Institute (Aquatic Sciences), Adelaide. SARDI Publication No. F2018/000116-1. SARDI Research R</w:t>
      </w:r>
      <w:r w:rsidR="00B10D9A">
        <w:rPr>
          <w:color w:val="auto"/>
        </w:rPr>
        <w:t>eport Series No. 993.</w:t>
      </w:r>
      <w:r w:rsidR="008C33A0">
        <w:rPr>
          <w:highlight w:val="yellow"/>
        </w:rPr>
        <w:br w:type="page"/>
      </w:r>
    </w:p>
    <w:p w14:paraId="5B58B0F1" w14:textId="77777777" w:rsidR="00336C52" w:rsidRDefault="00336C52" w:rsidP="008C33A0">
      <w:pPr>
        <w:pStyle w:val="H1notnumberedinTOC"/>
        <w:sectPr w:rsidR="00336C52" w:rsidSect="003F6444">
          <w:pgSz w:w="11900" w:h="16840" w:code="9"/>
          <w:pgMar w:top="1440" w:right="1440" w:bottom="1440" w:left="1440" w:header="709" w:footer="709" w:gutter="0"/>
          <w:cols w:space="708"/>
          <w:docGrid w:linePitch="360"/>
        </w:sectPr>
      </w:pPr>
    </w:p>
    <w:p w14:paraId="45917CF0" w14:textId="7E8AA393" w:rsidR="008C33A0" w:rsidRPr="00096CF7" w:rsidRDefault="00D513C3" w:rsidP="00D513C3">
      <w:pPr>
        <w:pStyle w:val="Heading1"/>
      </w:pPr>
      <w:bookmarkStart w:id="383" w:name="_Ref10110212"/>
      <w:bookmarkStart w:id="384" w:name="_Ref10110213"/>
      <w:bookmarkStart w:id="385" w:name="_Toc22196758"/>
      <w:r>
        <w:lastRenderedPageBreak/>
        <w:t>Detailed budgets</w:t>
      </w:r>
      <w:bookmarkEnd w:id="383"/>
      <w:bookmarkEnd w:id="384"/>
      <w:bookmarkEnd w:id="385"/>
    </w:p>
    <w:p w14:paraId="7972D0BC" w14:textId="7E3302CF" w:rsidR="008C33A0" w:rsidRDefault="001B7243" w:rsidP="008C33A0">
      <w:pPr>
        <w:rPr>
          <w:szCs w:val="22"/>
        </w:rPr>
      </w:pPr>
      <w:r>
        <w:t xml:space="preserve">To </w:t>
      </w:r>
      <w:r w:rsidRPr="001B7243">
        <w:t>be provided to CEWO separately during the</w:t>
      </w:r>
      <w:r>
        <w:t xml:space="preserve"> submission of the final draft. </w:t>
      </w:r>
    </w:p>
    <w:p w14:paraId="44BEBC6D" w14:textId="77777777" w:rsidR="008C33A0" w:rsidRDefault="008C33A0" w:rsidP="008C33A0">
      <w:pPr>
        <w:rPr>
          <w:rFonts w:eastAsiaTheme="majorEastAsia" w:cstheme="majorBidi"/>
          <w:color w:val="auto"/>
        </w:rPr>
      </w:pPr>
      <w:r>
        <w:br w:type="page"/>
      </w:r>
    </w:p>
    <w:p w14:paraId="577CF8F4" w14:textId="77777777" w:rsidR="00D513C3" w:rsidRPr="000E7701" w:rsidRDefault="00D513C3" w:rsidP="00D513C3">
      <w:pPr>
        <w:pStyle w:val="H1notnumberedinTOC"/>
      </w:pPr>
      <w:bookmarkStart w:id="386" w:name="_Toc22196759"/>
      <w:r w:rsidRPr="008A70CF">
        <w:lastRenderedPageBreak/>
        <w:t>Appendices</w:t>
      </w:r>
      <w:bookmarkEnd w:id="386"/>
      <w:r w:rsidRPr="008A70CF">
        <w:t xml:space="preserve"> </w:t>
      </w:r>
    </w:p>
    <w:p w14:paraId="50A57948" w14:textId="32AE8FBB" w:rsidR="00D513C3" w:rsidRPr="00096CF7" w:rsidRDefault="0026279E" w:rsidP="00D513C3">
      <w:pPr>
        <w:pStyle w:val="H2notnumberedinTOC"/>
      </w:pPr>
      <w:bookmarkStart w:id="387" w:name="_Toc22196760"/>
      <w:r>
        <w:t>Appendix A</w:t>
      </w:r>
      <w:r w:rsidR="00D513C3" w:rsidRPr="00096CF7">
        <w:t xml:space="preserve"> – </w:t>
      </w:r>
      <w:r w:rsidR="00D513C3">
        <w:t>Workplace Health and Safety Plan</w:t>
      </w:r>
      <w:bookmarkEnd w:id="387"/>
    </w:p>
    <w:p w14:paraId="12D69632" w14:textId="4028AA86" w:rsidR="0066754B" w:rsidRDefault="0066754B" w:rsidP="0066754B">
      <w:pPr>
        <w:rPr>
          <w:rFonts w:cs="Century Gothic"/>
        </w:rPr>
      </w:pPr>
      <w:r w:rsidRPr="0017518A">
        <w:t xml:space="preserve">The </w:t>
      </w:r>
      <w:r w:rsidR="001F661A">
        <w:t>Lower Murray Selected Area C</w:t>
      </w:r>
      <w:r w:rsidRPr="0017518A">
        <w:t xml:space="preserve">onsortium is unable to present a single health, safety and environment plan because staff within each organisation are required to follow their own internal rules and guidelines. </w:t>
      </w:r>
      <w:r w:rsidRPr="0017518A">
        <w:rPr>
          <w:rFonts w:cs="Century Gothic"/>
        </w:rPr>
        <w:t xml:space="preserve">Each partner organisation of the </w:t>
      </w:r>
      <w:r>
        <w:rPr>
          <w:rFonts w:cs="Century Gothic"/>
        </w:rPr>
        <w:t>c</w:t>
      </w:r>
      <w:r w:rsidRPr="0017518A">
        <w:rPr>
          <w:rFonts w:cs="Century Gothic"/>
        </w:rPr>
        <w:t xml:space="preserve">onsortium will sign off that they have audited the project </w:t>
      </w:r>
      <w:r>
        <w:rPr>
          <w:rFonts w:cs="Century Gothic"/>
        </w:rPr>
        <w:t>for</w:t>
      </w:r>
      <w:r w:rsidRPr="0017518A">
        <w:rPr>
          <w:rFonts w:cs="Century Gothic"/>
        </w:rPr>
        <w:t xml:space="preserve"> consisten</w:t>
      </w:r>
      <w:r>
        <w:rPr>
          <w:rFonts w:cs="Century Gothic"/>
        </w:rPr>
        <w:t>cy</w:t>
      </w:r>
      <w:r w:rsidRPr="0017518A">
        <w:rPr>
          <w:rFonts w:cs="Century Gothic"/>
        </w:rPr>
        <w:t xml:space="preserve"> with internal health and safety procedures.</w:t>
      </w:r>
    </w:p>
    <w:p w14:paraId="4D4CB808" w14:textId="77777777" w:rsidR="0066754B" w:rsidRPr="0017518A" w:rsidRDefault="0066754B" w:rsidP="0066754B">
      <w:r>
        <w:t>This section outlines how SARDI will manage work, safety and environment for this project.</w:t>
      </w:r>
    </w:p>
    <w:p w14:paraId="133CE9C5" w14:textId="04E3B623" w:rsidR="0066754B" w:rsidRDefault="0066754B" w:rsidP="0066754B">
      <w:r>
        <w:t xml:space="preserve">Site Safety Management Plans have been implemented across PIRSA, including SARDI. They are a tool designed to assist PIRSA worksites to meet minimum Work Health Safety and Injury Management (WHS) legislative and </w:t>
      </w:r>
      <w:r w:rsidRPr="00A90706">
        <w:rPr>
          <w:rStyle w:val="Emphasis"/>
          <w:rFonts w:ascii="Calibri" w:hAnsi="Calibri" w:cs="Calibri"/>
        </w:rPr>
        <w:t>PIRSAFE</w:t>
      </w:r>
      <w:r w:rsidRPr="00C401F2">
        <w:t xml:space="preserve"> </w:t>
      </w:r>
      <w:r>
        <w:t xml:space="preserve">requirements. </w:t>
      </w:r>
    </w:p>
    <w:p w14:paraId="22E0DC65" w14:textId="77777777" w:rsidR="0066754B" w:rsidRDefault="0066754B" w:rsidP="0066754B">
      <w:r>
        <w:t xml:space="preserve">Under these plans, activities are scheduled and responsibilities allocated to ensure that obligations are met. Completing the activities contained within the plan supports the site's compliance with WHS legislation and </w:t>
      </w:r>
      <w:r w:rsidRPr="007D6195">
        <w:t>PIRSAFE</w:t>
      </w:r>
      <w:r w:rsidRPr="00A90706">
        <w:t xml:space="preserve"> policies</w:t>
      </w:r>
      <w:r>
        <w:t xml:space="preserve"> and procedures. Evidence of completed activities is registered to meet compliance and audit requirements.</w:t>
      </w:r>
    </w:p>
    <w:p w14:paraId="2773E084" w14:textId="77777777" w:rsidR="0066754B" w:rsidRDefault="0066754B" w:rsidP="0066754B">
      <w:r>
        <w:t>The SSMP provides the guidance and tools to meet the work health and safety requirements for the LTIM Project, along with PIRSA’s other WHS policies and procedures.</w:t>
      </w:r>
    </w:p>
    <w:p w14:paraId="769E16F3" w14:textId="77777777" w:rsidR="00CF5B14" w:rsidRPr="0066754B" w:rsidRDefault="00CF5B14" w:rsidP="0066754B">
      <w:pPr>
        <w:rPr>
          <w:b/>
          <w:i/>
          <w:sz w:val="24"/>
          <w:szCs w:val="24"/>
        </w:rPr>
      </w:pPr>
      <w:r w:rsidRPr="0066754B">
        <w:rPr>
          <w:b/>
          <w:i/>
          <w:sz w:val="24"/>
          <w:szCs w:val="24"/>
        </w:rPr>
        <w:t>Objective</w:t>
      </w:r>
    </w:p>
    <w:p w14:paraId="29E35D18" w14:textId="77777777" w:rsidR="00CF5B14" w:rsidRDefault="00CF5B14" w:rsidP="00CF5B14">
      <w:r>
        <w:t>To ensure that project risks are eliminated or mitigated through the identification of hazards, assessment of risk and the application of effective control measures.</w:t>
      </w:r>
    </w:p>
    <w:p w14:paraId="12771C17" w14:textId="77777777" w:rsidR="00CF5B14" w:rsidRPr="0066754B" w:rsidRDefault="00CF5B14" w:rsidP="0066754B">
      <w:pPr>
        <w:rPr>
          <w:b/>
          <w:i/>
          <w:sz w:val="24"/>
        </w:rPr>
      </w:pPr>
      <w:r w:rsidRPr="0066754B">
        <w:rPr>
          <w:b/>
          <w:i/>
          <w:sz w:val="24"/>
        </w:rPr>
        <w:t>Identification and control of risks</w:t>
      </w:r>
    </w:p>
    <w:p w14:paraId="42F729E8" w14:textId="58B65840" w:rsidR="0066754B" w:rsidRDefault="0066754B" w:rsidP="0066754B">
      <w:r>
        <w:t xml:space="preserve">Risk management is conducted in accordance with </w:t>
      </w:r>
      <w:hyperlink r:id="rId40" w:history="1">
        <w:r w:rsidRPr="007D6195">
          <w:t>PIRSAFE Risk Management Policies and Procedures.</w:t>
        </w:r>
      </w:hyperlink>
      <w:r w:rsidRPr="00D71768">
        <w:t xml:space="preserve"> </w:t>
      </w:r>
      <w:r>
        <w:t xml:space="preserve">Risks are identified </w:t>
      </w:r>
      <w:r w:rsidRPr="00D71768">
        <w:t xml:space="preserve">through the </w:t>
      </w:r>
      <w:r>
        <w:t xml:space="preserve">Job Task Risk Register - </w:t>
      </w:r>
      <w:r w:rsidRPr="00664DE0">
        <w:t>Aquatic Science Research Operations</w:t>
      </w:r>
      <w:r w:rsidRPr="00D71768">
        <w:t xml:space="preserve"> </w:t>
      </w:r>
      <w:r>
        <w:t xml:space="preserve">(attached separately). </w:t>
      </w:r>
      <w:r w:rsidRPr="00D71768">
        <w:t>A job task register is a document that compiles information relating to work tasks</w:t>
      </w:r>
      <w:r>
        <w:t>,</w:t>
      </w:r>
      <w:r w:rsidRPr="00D71768">
        <w:t xml:space="preserve"> the associ</w:t>
      </w:r>
      <w:r>
        <w:t xml:space="preserve">ated </w:t>
      </w:r>
      <w:r w:rsidRPr="00D71768">
        <w:t>risks and controls</w:t>
      </w:r>
      <w:r>
        <w:t>.</w:t>
      </w:r>
    </w:p>
    <w:p w14:paraId="1F0F8645" w14:textId="77777777" w:rsidR="0066754B" w:rsidRPr="00F432B5" w:rsidRDefault="0066754B" w:rsidP="0066754B">
      <w:r>
        <w:t xml:space="preserve">The Project Leader will work </w:t>
      </w:r>
      <w:r w:rsidRPr="00F432B5">
        <w:t xml:space="preserve">with SARDI staff to identify and control workplace health and safety related risks, and develop a plan for controlling these risks. </w:t>
      </w:r>
    </w:p>
    <w:p w14:paraId="3687D66A" w14:textId="0D2EA826" w:rsidR="0066754B" w:rsidRPr="00F432B5" w:rsidRDefault="0066754B" w:rsidP="0066754B">
      <w:pPr>
        <w:rPr>
          <w:b/>
          <w:i/>
          <w:sz w:val="24"/>
          <w:szCs w:val="24"/>
        </w:rPr>
      </w:pPr>
      <w:bookmarkStart w:id="388" w:name="_Toc396899757"/>
      <w:r w:rsidRPr="00F432B5">
        <w:rPr>
          <w:b/>
          <w:i/>
          <w:sz w:val="24"/>
          <w:szCs w:val="24"/>
        </w:rPr>
        <w:t xml:space="preserve">Significant Risks </w:t>
      </w:r>
      <w:bookmarkEnd w:id="388"/>
    </w:p>
    <w:p w14:paraId="14397302" w14:textId="29332317" w:rsidR="0066754B" w:rsidRDefault="0066754B" w:rsidP="0066754B">
      <w:r w:rsidRPr="00F432B5">
        <w:t xml:space="preserve">All job tasks that have a residual risk of high or extreme are captured as a significant risk extract. This risk extract is developed following the completion of the job task register. </w:t>
      </w:r>
      <w:r w:rsidRPr="00F432B5">
        <w:rPr>
          <w:color w:val="auto"/>
        </w:rPr>
        <w:t>A review of the job task register and significant risks is undertaken annually</w:t>
      </w:r>
      <w:r w:rsidRPr="00F23CA5">
        <w:rPr>
          <w:color w:val="auto"/>
        </w:rPr>
        <w:t>.</w:t>
      </w:r>
    </w:p>
    <w:p w14:paraId="72555EFD" w14:textId="77777777" w:rsidR="00CF5B14" w:rsidRPr="0066754B" w:rsidRDefault="00CF5B14" w:rsidP="0066754B">
      <w:pPr>
        <w:rPr>
          <w:b/>
          <w:i/>
          <w:sz w:val="24"/>
          <w:szCs w:val="24"/>
        </w:rPr>
      </w:pPr>
      <w:r w:rsidRPr="0066754B">
        <w:rPr>
          <w:b/>
          <w:i/>
          <w:sz w:val="24"/>
          <w:szCs w:val="24"/>
        </w:rPr>
        <w:t>Safe work procedures</w:t>
      </w:r>
    </w:p>
    <w:p w14:paraId="7ED22B59" w14:textId="7A66D36A" w:rsidR="0066754B" w:rsidRDefault="0066754B" w:rsidP="0066754B">
      <w:r>
        <w:t xml:space="preserve">SARDI conducts safe work practices in accordance with the PIRSAFE WHS Management System (WHSMS). In addition to the WHSMS, task specific Job Safety Analysis (JSA) or Safe Operating Procedures (SOP) are developed for specific hazards. These documents are identified and developed through the job task register. Hazards are reported across PIRSA </w:t>
      </w:r>
      <w:r w:rsidRPr="00043B81">
        <w:t xml:space="preserve">through </w:t>
      </w:r>
      <w:r>
        <w:t>rthe Hazard and Incident Reporting System (HIRMS), then analysed to identify corrective actions.  Reporting from HIRMS provides trends and assists in implementing preventative measures. As a result, PIRSA has explicit Policies and Procedures relating to:</w:t>
      </w:r>
    </w:p>
    <w:p w14:paraId="5FD5FA1A" w14:textId="77777777" w:rsidR="0066754B" w:rsidRDefault="0066754B" w:rsidP="0066754B">
      <w:pPr>
        <w:pStyle w:val="ListBullet"/>
      </w:pPr>
      <w:r>
        <w:t>Bushfire safety</w:t>
      </w:r>
    </w:p>
    <w:p w14:paraId="2EE8B28E" w14:textId="77777777" w:rsidR="0066754B" w:rsidRDefault="0066754B" w:rsidP="0066754B">
      <w:pPr>
        <w:pStyle w:val="ListBullet"/>
      </w:pPr>
      <w:r>
        <w:t>Driving</w:t>
      </w:r>
    </w:p>
    <w:p w14:paraId="3016B5C6" w14:textId="77777777" w:rsidR="0066754B" w:rsidRDefault="0066754B" w:rsidP="0066754B">
      <w:pPr>
        <w:pStyle w:val="ListBullet"/>
      </w:pPr>
      <w:r>
        <w:lastRenderedPageBreak/>
        <w:t>Drug and Alcohol</w:t>
      </w:r>
    </w:p>
    <w:p w14:paraId="72482BA4" w14:textId="77777777" w:rsidR="0066754B" w:rsidRDefault="0066754B" w:rsidP="0066754B">
      <w:pPr>
        <w:pStyle w:val="ListBullet"/>
      </w:pPr>
      <w:r>
        <w:t>Energy Isolation</w:t>
      </w:r>
    </w:p>
    <w:p w14:paraId="55BF340E" w14:textId="77777777" w:rsidR="0066754B" w:rsidRDefault="0066754B" w:rsidP="0066754B">
      <w:pPr>
        <w:pStyle w:val="ListBullet"/>
      </w:pPr>
      <w:r>
        <w:t>Events</w:t>
      </w:r>
    </w:p>
    <w:p w14:paraId="233CD222" w14:textId="77777777" w:rsidR="0066754B" w:rsidRDefault="0066754B" w:rsidP="0066754B">
      <w:pPr>
        <w:pStyle w:val="ListBullet"/>
      </w:pPr>
      <w:r>
        <w:t>Fatigue Management</w:t>
      </w:r>
    </w:p>
    <w:p w14:paraId="6F561C0B" w14:textId="77777777" w:rsidR="0066754B" w:rsidRDefault="0066754B" w:rsidP="0066754B">
      <w:pPr>
        <w:pStyle w:val="ListBullet"/>
      </w:pPr>
      <w:r>
        <w:t>Field Work</w:t>
      </w:r>
    </w:p>
    <w:p w14:paraId="557ECCF4" w14:textId="77777777" w:rsidR="0066754B" w:rsidRDefault="0066754B" w:rsidP="0066754B">
      <w:pPr>
        <w:pStyle w:val="ListBullet"/>
      </w:pPr>
      <w:r>
        <w:t>Hazard &amp; Incident Reporting and Investigation</w:t>
      </w:r>
    </w:p>
    <w:p w14:paraId="7C898953" w14:textId="77777777" w:rsidR="0066754B" w:rsidRDefault="0066754B" w:rsidP="0066754B">
      <w:pPr>
        <w:pStyle w:val="ListBullet"/>
      </w:pPr>
      <w:r>
        <w:t>Hazard Management</w:t>
      </w:r>
    </w:p>
    <w:p w14:paraId="43662971" w14:textId="77777777" w:rsidR="0066754B" w:rsidRDefault="0066754B" w:rsidP="0066754B">
      <w:pPr>
        <w:pStyle w:val="ListBullet"/>
      </w:pPr>
      <w:r>
        <w:t>Hazardous Manual Tasks</w:t>
      </w:r>
    </w:p>
    <w:p w14:paraId="4150AA4B" w14:textId="77777777" w:rsidR="0066754B" w:rsidRDefault="0066754B" w:rsidP="0066754B">
      <w:pPr>
        <w:pStyle w:val="ListBullet"/>
      </w:pPr>
      <w:r>
        <w:t>Hazardous Substances Management</w:t>
      </w:r>
    </w:p>
    <w:p w14:paraId="4EA1DBB5" w14:textId="77777777" w:rsidR="0066754B" w:rsidRDefault="0066754B" w:rsidP="0066754B">
      <w:pPr>
        <w:pStyle w:val="ListBullet"/>
      </w:pPr>
      <w:r>
        <w:t>Inclement Weather</w:t>
      </w:r>
    </w:p>
    <w:p w14:paraId="32768E24" w14:textId="77777777" w:rsidR="0066754B" w:rsidRDefault="0066754B" w:rsidP="0066754B">
      <w:pPr>
        <w:pStyle w:val="ListBullet"/>
      </w:pPr>
      <w:r>
        <w:t>Injury Management</w:t>
      </w:r>
    </w:p>
    <w:p w14:paraId="0937B753" w14:textId="77777777" w:rsidR="0066754B" w:rsidRDefault="0066754B" w:rsidP="0066754B">
      <w:pPr>
        <w:pStyle w:val="ListBullet"/>
      </w:pPr>
      <w:r>
        <w:t>Work Health and Safety Planning</w:t>
      </w:r>
    </w:p>
    <w:p w14:paraId="3980A021" w14:textId="77777777" w:rsidR="0066754B" w:rsidRDefault="0066754B" w:rsidP="0066754B">
      <w:pPr>
        <w:pStyle w:val="ListBullet"/>
      </w:pPr>
      <w:r>
        <w:t>Plant and Equipment</w:t>
      </w:r>
    </w:p>
    <w:p w14:paraId="168BD594" w14:textId="77777777" w:rsidR="0066754B" w:rsidRDefault="0066754B" w:rsidP="0066754B">
      <w:pPr>
        <w:pStyle w:val="ListBullet"/>
      </w:pPr>
      <w:r>
        <w:t>Risk management</w:t>
      </w:r>
    </w:p>
    <w:p w14:paraId="0D8D3C1A" w14:textId="4E693A9B" w:rsidR="0066754B" w:rsidRPr="0017518A" w:rsidRDefault="0066754B" w:rsidP="0066754B">
      <w:pPr>
        <w:pStyle w:val="ListBullet"/>
      </w:pPr>
      <w:r>
        <w:t>Site Safety Management Plans</w:t>
      </w:r>
      <w:r w:rsidR="00475635">
        <w:t>.</w:t>
      </w:r>
    </w:p>
    <w:p w14:paraId="2B2B779C" w14:textId="77777777" w:rsidR="00CF5B14" w:rsidRPr="0066754B" w:rsidRDefault="00CF5B14" w:rsidP="0066754B">
      <w:pPr>
        <w:rPr>
          <w:b/>
          <w:i/>
          <w:sz w:val="24"/>
        </w:rPr>
      </w:pPr>
      <w:r w:rsidRPr="0066754B">
        <w:rPr>
          <w:b/>
          <w:i/>
          <w:sz w:val="24"/>
        </w:rPr>
        <w:t>Procedures for site visits</w:t>
      </w:r>
    </w:p>
    <w:p w14:paraId="13596A86" w14:textId="720A0C97" w:rsidR="0066754B" w:rsidRDefault="0066754B" w:rsidP="0066754B">
      <w:r>
        <w:t xml:space="preserve">SARDI conduct safe work practices for site visits and field trips in accordance with </w:t>
      </w:r>
      <w:r w:rsidRPr="00AF44B2">
        <w:t>PIRSAFE Procedures</w:t>
      </w:r>
      <w:r>
        <w:t xml:space="preserve">. Site visit and field trip procedures are managed through our trip itinerary form (attached separately).  </w:t>
      </w:r>
    </w:p>
    <w:p w14:paraId="19D03792" w14:textId="77777777" w:rsidR="00CF5B14" w:rsidRPr="0066754B" w:rsidRDefault="00CF5B14" w:rsidP="0066754B">
      <w:pPr>
        <w:rPr>
          <w:b/>
          <w:i/>
          <w:sz w:val="24"/>
        </w:rPr>
      </w:pPr>
      <w:r w:rsidRPr="0066754B">
        <w:rPr>
          <w:b/>
          <w:i/>
          <w:sz w:val="24"/>
        </w:rPr>
        <w:t>Fieldwork checklists</w:t>
      </w:r>
    </w:p>
    <w:p w14:paraId="1D8C38EE" w14:textId="7B1385AB" w:rsidR="0066754B" w:rsidRDefault="0066754B" w:rsidP="0066754B">
      <w:r>
        <w:t>SARDI staff must complete a trip itinerary form for a field trip. A Scheduled Call Officer is the land-based contact for field trip staff to ensure safety during field trips. The requirements for Field Operations is outlined in the SARDI Aquatic Sciences Field Communications Manual (attached separately). Specific checklists have been developed for research and monitoring projects. Checklists will be developed for fieldwork relevant to monitoring indicators when the final list of indicators has been approved.</w:t>
      </w:r>
    </w:p>
    <w:p w14:paraId="208D57CE" w14:textId="77777777" w:rsidR="00CF5B14" w:rsidRPr="0066754B" w:rsidRDefault="00CF5B14" w:rsidP="0066754B">
      <w:pPr>
        <w:rPr>
          <w:b/>
          <w:i/>
          <w:sz w:val="24"/>
        </w:rPr>
      </w:pPr>
      <w:r w:rsidRPr="0066754B">
        <w:rPr>
          <w:b/>
          <w:i/>
          <w:sz w:val="24"/>
        </w:rPr>
        <w:t>Legal and other requirements</w:t>
      </w:r>
    </w:p>
    <w:p w14:paraId="7F43BE1E" w14:textId="77777777" w:rsidR="0066754B" w:rsidRDefault="0066754B" w:rsidP="0066754B">
      <w:pPr>
        <w:pStyle w:val="ListBullet"/>
        <w:rPr>
          <w:i/>
        </w:rPr>
      </w:pPr>
      <w:r w:rsidRPr="007D6195">
        <w:rPr>
          <w:i/>
        </w:rPr>
        <w:t>Work Health and Safety Act 2012</w:t>
      </w:r>
    </w:p>
    <w:p w14:paraId="64E17AAF" w14:textId="77777777" w:rsidR="0066754B" w:rsidRDefault="0066754B" w:rsidP="0066754B">
      <w:pPr>
        <w:pStyle w:val="ListBullet"/>
        <w:rPr>
          <w:i/>
        </w:rPr>
      </w:pPr>
      <w:r w:rsidRPr="007D6195">
        <w:rPr>
          <w:i/>
        </w:rPr>
        <w:t>Work Health and Safety Regulations 201</w:t>
      </w:r>
      <w:r>
        <w:rPr>
          <w:i/>
        </w:rPr>
        <w:t>2</w:t>
      </w:r>
    </w:p>
    <w:p w14:paraId="392C7A18" w14:textId="79C7B5EF" w:rsidR="0066754B" w:rsidRPr="009A4301" w:rsidRDefault="0066754B" w:rsidP="0066754B">
      <w:pPr>
        <w:pStyle w:val="ListBullet"/>
        <w:rPr>
          <w:i/>
        </w:rPr>
      </w:pPr>
      <w:r>
        <w:rPr>
          <w:i/>
        </w:rPr>
        <w:t>Return to Work Act 2014</w:t>
      </w:r>
    </w:p>
    <w:p w14:paraId="7A54C17C" w14:textId="7D9B8E0D" w:rsidR="0066754B" w:rsidRDefault="0066754B" w:rsidP="0066754B">
      <w:pPr>
        <w:pStyle w:val="ListBullet"/>
        <w:rPr>
          <w:i/>
        </w:rPr>
      </w:pPr>
      <w:r>
        <w:rPr>
          <w:i/>
        </w:rPr>
        <w:t>Return to Work Regulations 2015</w:t>
      </w:r>
    </w:p>
    <w:p w14:paraId="0A8D2502" w14:textId="77777777" w:rsidR="00CF5B14" w:rsidRPr="0066754B" w:rsidRDefault="00CF5B14" w:rsidP="0066754B">
      <w:pPr>
        <w:rPr>
          <w:b/>
          <w:i/>
          <w:sz w:val="24"/>
          <w:szCs w:val="24"/>
        </w:rPr>
      </w:pPr>
      <w:r w:rsidRPr="0066754B">
        <w:rPr>
          <w:b/>
          <w:i/>
          <w:sz w:val="24"/>
          <w:szCs w:val="24"/>
        </w:rPr>
        <w:t>Related documents</w:t>
      </w:r>
    </w:p>
    <w:p w14:paraId="314C8A6E" w14:textId="53A58F38" w:rsidR="0066754B" w:rsidRDefault="0066754B" w:rsidP="0066754B">
      <w:pPr>
        <w:pStyle w:val="ListBullet"/>
      </w:pPr>
      <w:r w:rsidRPr="00AF44B2">
        <w:t xml:space="preserve">PIRSAFE </w:t>
      </w:r>
      <w:r>
        <w:t>WHS Management System</w:t>
      </w:r>
    </w:p>
    <w:p w14:paraId="60677B3F" w14:textId="77777777" w:rsidR="0066754B" w:rsidRDefault="0066754B" w:rsidP="0066754B">
      <w:pPr>
        <w:pStyle w:val="ListBullet"/>
      </w:pPr>
      <w:r w:rsidRPr="00AF44B2">
        <w:t>Site Safety Management Plan</w:t>
      </w:r>
    </w:p>
    <w:p w14:paraId="7CEFFF31" w14:textId="77777777" w:rsidR="0066754B" w:rsidRDefault="0066754B" w:rsidP="0066754B">
      <w:pPr>
        <w:pStyle w:val="ListBullet"/>
      </w:pPr>
      <w:r>
        <w:t>Job Task Risk Register</w:t>
      </w:r>
    </w:p>
    <w:p w14:paraId="1E1DFCCE" w14:textId="77777777" w:rsidR="0066754B" w:rsidRDefault="0066754B" w:rsidP="0066754B">
      <w:pPr>
        <w:pStyle w:val="ListBullet"/>
      </w:pPr>
      <w:r>
        <w:t>Training Needs Analysis</w:t>
      </w:r>
    </w:p>
    <w:p w14:paraId="0EB260AC" w14:textId="77777777" w:rsidR="00CF5B14" w:rsidRPr="0066754B" w:rsidRDefault="00CF5B14" w:rsidP="0066754B">
      <w:pPr>
        <w:rPr>
          <w:b/>
          <w:i/>
          <w:sz w:val="24"/>
          <w:szCs w:val="24"/>
        </w:rPr>
      </w:pPr>
      <w:r w:rsidRPr="0066754B">
        <w:rPr>
          <w:b/>
          <w:i/>
          <w:sz w:val="24"/>
          <w:szCs w:val="24"/>
        </w:rPr>
        <w:t>WHS roles and responsibilities</w:t>
      </w:r>
    </w:p>
    <w:p w14:paraId="0527425E" w14:textId="62AC906D" w:rsidR="0066754B" w:rsidRDefault="0066754B" w:rsidP="0066754B">
      <w:bookmarkStart w:id="389" w:name="_Toc376934225"/>
      <w:r w:rsidRPr="0017518A">
        <w:t xml:space="preserve">The Chief Executive of </w:t>
      </w:r>
      <w:r>
        <w:t xml:space="preserve">PIRSA </w:t>
      </w:r>
      <w:r w:rsidRPr="0017518A">
        <w:t>is required</w:t>
      </w:r>
      <w:r>
        <w:t xml:space="preserve"> to identify, audit and demonstrate compliance with WHS legislation and the Return to Work Performance Standards for Self-insurers through the PIRSAFE systems.</w:t>
      </w:r>
    </w:p>
    <w:p w14:paraId="4E29B889" w14:textId="77777777" w:rsidR="0066754B" w:rsidRDefault="0066754B" w:rsidP="0066754B">
      <w:r>
        <w:t>SARDI is required to integrate WHS within its business, performance and goals. SARDI assigns its own objectives, targets and key performance indicators to meet its business needs, in addition to PIRSA-wide objectives.</w:t>
      </w:r>
    </w:p>
    <w:p w14:paraId="319935F0" w14:textId="77777777" w:rsidR="0066754B" w:rsidRDefault="0066754B" w:rsidP="0066754B">
      <w:r>
        <w:lastRenderedPageBreak/>
        <w:t>Site managers are appointed at each of SARDI’s regional sites, who coordinate WHS site activities. PIRSA provides these site managers with standard practices, guidance and assistance, tools, systems and education.</w:t>
      </w:r>
    </w:p>
    <w:bookmarkEnd w:id="389"/>
    <w:p w14:paraId="5DB70DAE" w14:textId="77777777" w:rsidR="0066754B" w:rsidRDefault="0066754B" w:rsidP="0066754B">
      <w:r>
        <w:t>In this particular project, the Project Leader from SARDI is responsible for ensuring that the objectives and goals of the WHS plan are met by SARDI staff. The Project Leader will require e</w:t>
      </w:r>
      <w:r w:rsidRPr="0017518A">
        <w:rPr>
          <w:rFonts w:cs="Century Gothic"/>
        </w:rPr>
        <w:t xml:space="preserve">ach </w:t>
      </w:r>
      <w:r>
        <w:rPr>
          <w:rFonts w:cs="Century Gothic"/>
        </w:rPr>
        <w:t>c</w:t>
      </w:r>
      <w:r w:rsidRPr="0017518A">
        <w:rPr>
          <w:rFonts w:cs="Century Gothic"/>
        </w:rPr>
        <w:t xml:space="preserve">onsortium </w:t>
      </w:r>
      <w:r>
        <w:rPr>
          <w:rFonts w:cs="Century Gothic"/>
        </w:rPr>
        <w:t xml:space="preserve">partner </w:t>
      </w:r>
      <w:r w:rsidRPr="0017518A">
        <w:rPr>
          <w:rFonts w:cs="Century Gothic"/>
        </w:rPr>
        <w:t>to sign</w:t>
      </w:r>
      <w:r>
        <w:rPr>
          <w:rFonts w:cs="Century Gothic"/>
        </w:rPr>
        <w:t xml:space="preserve"> a WHS Plan when they agree that it is consistent</w:t>
      </w:r>
      <w:r w:rsidRPr="0017518A">
        <w:rPr>
          <w:rFonts w:cs="Century Gothic"/>
        </w:rPr>
        <w:t xml:space="preserve"> with</w:t>
      </w:r>
      <w:r>
        <w:rPr>
          <w:rFonts w:cs="Century Gothic"/>
        </w:rPr>
        <w:t xml:space="preserve"> their</w:t>
      </w:r>
      <w:r w:rsidRPr="0017518A">
        <w:rPr>
          <w:rFonts w:cs="Century Gothic"/>
        </w:rPr>
        <w:t xml:space="preserve"> internal health and safety procedures.</w:t>
      </w:r>
    </w:p>
    <w:p w14:paraId="5294AFB7" w14:textId="77777777" w:rsidR="0066754B" w:rsidRDefault="0066754B" w:rsidP="0066754B">
      <w:r>
        <w:t xml:space="preserve">The Project Leader will be responsible for implementing the agreed WHS Plan for the SARDI staff involved in the project. Where two organisations are involved in the same field trip, they will each have developed their own WHS Plan that meets their own internal WHS requirements. </w:t>
      </w:r>
    </w:p>
    <w:p w14:paraId="2BD19114" w14:textId="77777777" w:rsidR="00CF5B14" w:rsidRPr="0066754B" w:rsidRDefault="00CF5B14" w:rsidP="0066754B">
      <w:pPr>
        <w:rPr>
          <w:b/>
          <w:i/>
          <w:sz w:val="24"/>
          <w:szCs w:val="24"/>
        </w:rPr>
      </w:pPr>
      <w:r w:rsidRPr="0066754B">
        <w:rPr>
          <w:b/>
          <w:i/>
          <w:sz w:val="24"/>
          <w:szCs w:val="24"/>
        </w:rPr>
        <w:t>Training and competency</w:t>
      </w:r>
    </w:p>
    <w:p w14:paraId="2150E1FB" w14:textId="20CB1F6F" w:rsidR="0066754B" w:rsidRDefault="0066754B" w:rsidP="0066754B">
      <w:r>
        <w:t xml:space="preserve">Training and competency is managed in accordance with </w:t>
      </w:r>
      <w:r w:rsidRPr="00AF44B2">
        <w:t xml:space="preserve">PIRSA </w:t>
      </w:r>
      <w:r>
        <w:t xml:space="preserve">WHS Training </w:t>
      </w:r>
      <w:r w:rsidRPr="00AF44B2">
        <w:t>Procedures</w:t>
      </w:r>
      <w:r>
        <w:t xml:space="preserve"> (attached separately). Training needs are identified through the Training Needs Analysis, which is a process that identifies, plans, implements and reviews WHS training programs specifically related to job tasks. This </w:t>
      </w:r>
      <w:r w:rsidRPr="003E4FBA">
        <w:t>include</w:t>
      </w:r>
      <w:r>
        <w:t>s training on hazards, risks, controls and associated tasks,</w:t>
      </w:r>
      <w:r w:rsidRPr="003E4FBA">
        <w:t xml:space="preserve"> SOPs, licence</w:t>
      </w:r>
      <w:r>
        <w:t xml:space="preserve"> requirements</w:t>
      </w:r>
      <w:r w:rsidRPr="003E4FBA">
        <w:t xml:space="preserve">, </w:t>
      </w:r>
      <w:r>
        <w:t xml:space="preserve">and </w:t>
      </w:r>
      <w:r w:rsidRPr="003E4FBA">
        <w:t>competency</w:t>
      </w:r>
      <w:r>
        <w:t xml:space="preserve"> and certification requirements</w:t>
      </w:r>
      <w:r w:rsidRPr="003E4FBA">
        <w:t>.</w:t>
      </w:r>
      <w:r>
        <w:t xml:space="preserve"> </w:t>
      </w:r>
    </w:p>
    <w:p w14:paraId="191F05CB" w14:textId="77777777" w:rsidR="00CF5B14" w:rsidRPr="0066754B" w:rsidRDefault="00CF5B14" w:rsidP="0066754B">
      <w:pPr>
        <w:rPr>
          <w:b/>
          <w:i/>
          <w:sz w:val="24"/>
          <w:szCs w:val="24"/>
        </w:rPr>
      </w:pPr>
      <w:r w:rsidRPr="0066754B">
        <w:rPr>
          <w:b/>
          <w:i/>
          <w:sz w:val="24"/>
          <w:szCs w:val="24"/>
        </w:rPr>
        <w:t>Contractor/sub-consultant management</w:t>
      </w:r>
    </w:p>
    <w:p w14:paraId="77401C19" w14:textId="77777777" w:rsidR="00A13182" w:rsidRDefault="00A13182" w:rsidP="00A13182">
      <w:r>
        <w:rPr>
          <w:rFonts w:cs="Calibri"/>
          <w:szCs w:val="24"/>
        </w:rPr>
        <w:t>The Project Leader will require e</w:t>
      </w:r>
      <w:r w:rsidRPr="0017518A">
        <w:t xml:space="preserve">ach </w:t>
      </w:r>
      <w:r>
        <w:t>c</w:t>
      </w:r>
      <w:r w:rsidRPr="0017518A">
        <w:t xml:space="preserve">onsortium </w:t>
      </w:r>
      <w:r>
        <w:t xml:space="preserve">partner </w:t>
      </w:r>
      <w:r w:rsidRPr="0017518A">
        <w:t xml:space="preserve">to sign off that they have audited the project </w:t>
      </w:r>
      <w:r w:rsidRPr="00E67C04">
        <w:t xml:space="preserve">for consistency with </w:t>
      </w:r>
      <w:r w:rsidRPr="0017518A">
        <w:t>internal health and safety procedures.</w:t>
      </w:r>
    </w:p>
    <w:p w14:paraId="7182EC7B" w14:textId="77777777" w:rsidR="00A13182" w:rsidRDefault="00A13182" w:rsidP="00A13182">
      <w:r>
        <w:t xml:space="preserve">Contractors are managed in accordance with </w:t>
      </w:r>
      <w:r w:rsidRPr="00AF44B2">
        <w:t xml:space="preserve">PIRSA </w:t>
      </w:r>
      <w:r>
        <w:t xml:space="preserve">WHS </w:t>
      </w:r>
      <w:r w:rsidRPr="00AF44B2">
        <w:t>Contractor Management Procedures</w:t>
      </w:r>
      <w:r>
        <w:t xml:space="preserve"> (attached separately)</w:t>
      </w:r>
      <w:r w:rsidRPr="00AF44B2">
        <w:t>.</w:t>
      </w:r>
      <w:r>
        <w:t xml:space="preserve">  </w:t>
      </w:r>
    </w:p>
    <w:p w14:paraId="46B71F32" w14:textId="030EEB45" w:rsidR="00A13182" w:rsidRDefault="00A13182" w:rsidP="00A13182">
      <w:pPr>
        <w:rPr>
          <w:color w:val="auto"/>
        </w:rPr>
      </w:pPr>
      <w:r>
        <w:t>Induction procedures for visitors and contractors are adhered to and documented</w:t>
      </w:r>
      <w:r w:rsidRPr="00E67C04">
        <w:t xml:space="preserve"> </w:t>
      </w:r>
      <w:r>
        <w:t xml:space="preserve">in accordance with </w:t>
      </w:r>
      <w:r w:rsidRPr="00AF44B2">
        <w:t>PIRSAFE Induction Procedures</w:t>
      </w:r>
      <w:r>
        <w:t xml:space="preserve">. </w:t>
      </w:r>
    </w:p>
    <w:p w14:paraId="51C62908" w14:textId="69FFC178" w:rsidR="00A13182" w:rsidRDefault="00A13182" w:rsidP="00A13182">
      <w:pPr>
        <w:spacing w:after="200" w:line="276" w:lineRule="auto"/>
        <w:jc w:val="left"/>
      </w:pPr>
      <w:r>
        <w:t xml:space="preserve">Contractors involved in this project will have individual policies and guidelines for workplace health and safety. An outline of how policies and guidelines are managed within The University of Adelaide is outlined below. </w:t>
      </w:r>
    </w:p>
    <w:p w14:paraId="3A20F472" w14:textId="77777777" w:rsidR="00A13182" w:rsidRDefault="00A13182" w:rsidP="00A13182">
      <w:r>
        <w:t>The University of Adelaide is committed to maintaining the highest possible standard of health, safety and well-being for all employees and students (and others) while they are at work at the University. The University recognises the importance of integrating the continuous improvement of health and safety into all organisational activities, ranking this equal with all other operational considerations.</w:t>
      </w:r>
    </w:p>
    <w:p w14:paraId="1D4E7968" w14:textId="77777777" w:rsidR="00A13182" w:rsidRDefault="00A13182" w:rsidP="00A13182">
      <w:r>
        <w:t>The University's Health, Safety and Wellbeing Team provide support to the University community on all safety, injury management and wellbeing issues. Services include:</w:t>
      </w:r>
    </w:p>
    <w:p w14:paraId="669442E7" w14:textId="77777777" w:rsidR="00A13182" w:rsidRDefault="00A13182" w:rsidP="00A13182">
      <w:pPr>
        <w:numPr>
          <w:ilvl w:val="0"/>
          <w:numId w:val="16"/>
        </w:numPr>
        <w:spacing w:after="0"/>
        <w:ind w:left="765" w:hanging="357"/>
      </w:pPr>
      <w:r>
        <w:t>Management of the University Occupational Health &amp; Safety Management System (OHSMS) and consultative framework</w:t>
      </w:r>
    </w:p>
    <w:p w14:paraId="60D773A1" w14:textId="77777777" w:rsidR="00A13182" w:rsidRDefault="00A13182" w:rsidP="00A13182">
      <w:pPr>
        <w:numPr>
          <w:ilvl w:val="0"/>
          <w:numId w:val="16"/>
        </w:numPr>
        <w:spacing w:after="0"/>
        <w:ind w:left="765" w:hanging="357"/>
      </w:pPr>
      <w:r>
        <w:t>Support in developing, implementing and reviewing of OH&amp;S Policies, Procedures and Instructions</w:t>
      </w:r>
    </w:p>
    <w:p w14:paraId="447BCDEA" w14:textId="77777777" w:rsidR="00A13182" w:rsidRDefault="00A13182" w:rsidP="00A13182">
      <w:pPr>
        <w:numPr>
          <w:ilvl w:val="0"/>
          <w:numId w:val="16"/>
        </w:numPr>
        <w:spacing w:after="0"/>
        <w:ind w:left="765" w:hanging="357"/>
      </w:pPr>
      <w:r>
        <w:t>Development of the Corporate OH&amp;S Action Plan to ensure continuous improvement in OH&amp;S</w:t>
      </w:r>
    </w:p>
    <w:p w14:paraId="5C976F76" w14:textId="77777777" w:rsidR="00A13182" w:rsidRDefault="00A13182" w:rsidP="00A13182">
      <w:pPr>
        <w:numPr>
          <w:ilvl w:val="0"/>
          <w:numId w:val="16"/>
        </w:numPr>
        <w:spacing w:after="0"/>
        <w:ind w:left="765" w:hanging="357"/>
      </w:pPr>
      <w:r>
        <w:t>Injury Management (workers compensation, rehabilitation, employee assistance program)</w:t>
      </w:r>
    </w:p>
    <w:p w14:paraId="389BD976" w14:textId="77777777" w:rsidR="00A13182" w:rsidRDefault="00A13182" w:rsidP="00A13182">
      <w:pPr>
        <w:numPr>
          <w:ilvl w:val="0"/>
          <w:numId w:val="16"/>
        </w:numPr>
        <w:spacing w:after="0"/>
        <w:ind w:left="765" w:hanging="357"/>
      </w:pPr>
      <w:r>
        <w:t>Investigation of major incidents and implementation of improved hazard control measures</w:t>
      </w:r>
    </w:p>
    <w:p w14:paraId="4490C8E4" w14:textId="77777777" w:rsidR="00A13182" w:rsidRDefault="00A13182" w:rsidP="00A13182">
      <w:pPr>
        <w:numPr>
          <w:ilvl w:val="0"/>
          <w:numId w:val="16"/>
        </w:numPr>
        <w:spacing w:after="0"/>
        <w:ind w:left="765" w:hanging="357"/>
      </w:pPr>
      <w:r>
        <w:t>Coordination of staff wellbeing initiatives and programs</w:t>
      </w:r>
    </w:p>
    <w:p w14:paraId="6F7BC2D5" w14:textId="0177ABFF" w:rsidR="00D513C3" w:rsidRPr="00A13182" w:rsidRDefault="00A13182" w:rsidP="00A13182">
      <w:pPr>
        <w:numPr>
          <w:ilvl w:val="0"/>
          <w:numId w:val="16"/>
        </w:numPr>
        <w:spacing w:after="0"/>
        <w:ind w:left="765" w:hanging="357"/>
      </w:pPr>
      <w:r>
        <w:t>Management of the University OH&amp;S Audit program.</w:t>
      </w:r>
      <w:r w:rsidR="00D513C3">
        <w:br w:type="page"/>
      </w:r>
    </w:p>
    <w:p w14:paraId="644F6C73" w14:textId="6468B6FD" w:rsidR="008C33A0" w:rsidRPr="00096CF7" w:rsidRDefault="0026279E" w:rsidP="00096CF7">
      <w:pPr>
        <w:pStyle w:val="H2notnumberedinTOC"/>
      </w:pPr>
      <w:bookmarkStart w:id="390" w:name="_Toc22196761"/>
      <w:r>
        <w:lastRenderedPageBreak/>
        <w:t>Appendix B</w:t>
      </w:r>
      <w:r w:rsidR="008C33A0" w:rsidRPr="00096CF7">
        <w:t xml:space="preserve"> – Standard Operating Procedures for the Lower Murray</w:t>
      </w:r>
      <w:bookmarkEnd w:id="390"/>
      <w:r w:rsidR="008C33A0" w:rsidRPr="00096CF7">
        <w:t xml:space="preserve"> </w:t>
      </w:r>
    </w:p>
    <w:p w14:paraId="56006339" w14:textId="77777777" w:rsidR="00336C52" w:rsidRDefault="00336C52" w:rsidP="00336C52">
      <w:pPr>
        <w:pStyle w:val="Heading1"/>
        <w:numPr>
          <w:ilvl w:val="0"/>
          <w:numId w:val="0"/>
        </w:numPr>
        <w:ind w:left="851" w:hanging="851"/>
      </w:pPr>
      <w:bookmarkStart w:id="391" w:name="_Toc396825270"/>
      <w:bookmarkStart w:id="392" w:name="_Toc6403804"/>
      <w:bookmarkStart w:id="393" w:name="_Toc10095172"/>
      <w:bookmarkStart w:id="394" w:name="_Toc10192341"/>
      <w:bookmarkStart w:id="395" w:name="_Toc10206656"/>
      <w:bookmarkStart w:id="396" w:name="_Toc10213242"/>
      <w:bookmarkStart w:id="397" w:name="_Toc10732266"/>
      <w:bookmarkStart w:id="398" w:name="_Toc10796825"/>
      <w:bookmarkStart w:id="399" w:name="_Toc12022710"/>
      <w:bookmarkStart w:id="400" w:name="_Toc12630540"/>
      <w:bookmarkStart w:id="401" w:name="_Toc16154400"/>
      <w:bookmarkStart w:id="402" w:name="_Toc22196762"/>
      <w:r w:rsidRPr="00D54DE2">
        <w:t>Introduction</w:t>
      </w:r>
      <w:bookmarkEnd w:id="391"/>
      <w:bookmarkEnd w:id="392"/>
      <w:bookmarkEnd w:id="393"/>
      <w:bookmarkEnd w:id="394"/>
      <w:bookmarkEnd w:id="395"/>
      <w:bookmarkEnd w:id="396"/>
      <w:bookmarkEnd w:id="397"/>
      <w:bookmarkEnd w:id="398"/>
      <w:bookmarkEnd w:id="399"/>
      <w:bookmarkEnd w:id="400"/>
      <w:bookmarkEnd w:id="401"/>
      <w:bookmarkEnd w:id="402"/>
    </w:p>
    <w:p w14:paraId="67EB6DAD" w14:textId="21B54A25" w:rsidR="00336C52" w:rsidRDefault="00336C52" w:rsidP="00A13DA4">
      <w:r>
        <w:t>Standard Operating Procedures</w:t>
      </w:r>
      <w:r w:rsidR="00DB0FF9">
        <w:t xml:space="preserve"> (SOPs)</w:t>
      </w:r>
      <w:r>
        <w:t xml:space="preserve"> of </w:t>
      </w:r>
      <w:r w:rsidR="00FF4CE4">
        <w:t>Category 1 (</w:t>
      </w:r>
      <w:r w:rsidR="000050CE">
        <w:t>Basin</w:t>
      </w:r>
      <w:r w:rsidR="00FF4CE4">
        <w:t>)</w:t>
      </w:r>
      <w:r>
        <w:t xml:space="preserve"> and </w:t>
      </w:r>
      <w:r w:rsidR="00FF4CE4">
        <w:t>3 (</w:t>
      </w:r>
      <w:r w:rsidR="000050CE">
        <w:t>Selected Area</w:t>
      </w:r>
      <w:r w:rsidR="00FF4CE4">
        <w:t>)</w:t>
      </w:r>
      <w:r>
        <w:t xml:space="preserve"> indicators are provided in this document for the Lower Murray Selected Area. Protocols for </w:t>
      </w:r>
      <w:r w:rsidR="00FF4CE4">
        <w:t>Category 1</w:t>
      </w:r>
      <w:r>
        <w:t xml:space="preserve"> indicators follow the </w:t>
      </w:r>
      <w:r w:rsidRPr="00A1096A">
        <w:t>LTIM Standard Protocol</w:t>
      </w:r>
      <w:r>
        <w:t>s</w:t>
      </w:r>
      <w:r w:rsidRPr="00A1096A">
        <w:t xml:space="preserve"> </w:t>
      </w:r>
      <w:r>
        <w:t xml:space="preserve">detailed </w:t>
      </w:r>
      <w:r w:rsidRPr="00A1096A">
        <w:t xml:space="preserve">in Hale </w:t>
      </w:r>
      <w:r w:rsidRPr="00A1096A">
        <w:rPr>
          <w:i/>
        </w:rPr>
        <w:t>et al.</w:t>
      </w:r>
      <w:r w:rsidRPr="00A1096A">
        <w:t xml:space="preserve"> (2014)</w:t>
      </w:r>
      <w:r>
        <w:t xml:space="preserve"> (</w:t>
      </w:r>
      <w:r w:rsidR="006F4D01">
        <w:fldChar w:fldCharType="begin"/>
      </w:r>
      <w:r w:rsidR="00E36A5F">
        <w:instrText xml:space="preserve"> REF _Ref397515216 \h </w:instrText>
      </w:r>
      <w:r w:rsidR="006F4D01">
        <w:fldChar w:fldCharType="separate"/>
      </w:r>
      <w:r w:rsidR="00DF49CD">
        <w:t>Table B.</w:t>
      </w:r>
      <w:r w:rsidR="00DF49CD">
        <w:rPr>
          <w:noProof/>
        </w:rPr>
        <w:t>1</w:t>
      </w:r>
      <w:r w:rsidR="006F4D01">
        <w:fldChar w:fldCharType="end"/>
      </w:r>
      <w:r>
        <w:t>).</w:t>
      </w:r>
      <w:r w:rsidR="00790542">
        <w:t xml:space="preserve"> </w:t>
      </w:r>
      <w:r w:rsidR="00DB0FF9">
        <w:t xml:space="preserve">Category 3 indicators mostly follow the </w:t>
      </w:r>
      <w:r w:rsidR="00DB0FF9" w:rsidRPr="00DB0FF9">
        <w:t xml:space="preserve">Lower Murray Selected Area protocols from LTIM (SARDI </w:t>
      </w:r>
      <w:r w:rsidR="00DB0FF9" w:rsidRPr="00DB0FF9">
        <w:rPr>
          <w:i/>
        </w:rPr>
        <w:t>et al.</w:t>
      </w:r>
      <w:r w:rsidR="00DB0FF9" w:rsidRPr="00DB0FF9">
        <w:t xml:space="preserve"> 2018), or have newly developed protocols (e.g. new indicators). </w:t>
      </w:r>
      <w:r w:rsidR="008E543A" w:rsidRPr="00DB0FF9">
        <w:t>C</w:t>
      </w:r>
      <w:r w:rsidR="00790542" w:rsidRPr="00DB0FF9">
        <w:t>hanges to Standard Operation Procedures, such as modifications to methodology or data analysis, may have occurred since the first M&amp;E Plan was developed</w:t>
      </w:r>
      <w:r w:rsidR="00A13DA4" w:rsidRPr="00DB0FF9">
        <w:t xml:space="preserve"> in 2014</w:t>
      </w:r>
      <w:r w:rsidR="00790542" w:rsidRPr="00DB0FF9">
        <w:t xml:space="preserve">. Additionally, there is potential for further changes to be made throughout the </w:t>
      </w:r>
      <w:r w:rsidR="00113E55" w:rsidRPr="00DB0FF9">
        <w:t>LTIM P</w:t>
      </w:r>
      <w:r w:rsidR="00790542" w:rsidRPr="00DB0FF9">
        <w:t>rojects operation.</w:t>
      </w:r>
      <w:r w:rsidR="00790542">
        <w:t xml:space="preserve"> </w:t>
      </w:r>
    </w:p>
    <w:p w14:paraId="4DDB7C3C" w14:textId="0350EF30" w:rsidR="00336C52" w:rsidRPr="003B0760" w:rsidRDefault="00E36A5F" w:rsidP="00E36A5F">
      <w:pPr>
        <w:pStyle w:val="Caption"/>
        <w:rPr>
          <w:rFonts w:eastAsiaTheme="minorHAnsi"/>
          <w:szCs w:val="22"/>
        </w:rPr>
      </w:pPr>
      <w:bookmarkStart w:id="403" w:name="_Ref397515216"/>
      <w:r>
        <w:t>Table B.</w:t>
      </w:r>
      <w:r w:rsidR="00E57080">
        <w:rPr>
          <w:noProof/>
        </w:rPr>
        <w:fldChar w:fldCharType="begin"/>
      </w:r>
      <w:r w:rsidR="00E57080">
        <w:rPr>
          <w:noProof/>
        </w:rPr>
        <w:instrText xml:space="preserve"> SEQ Table_B. \* ARABIC </w:instrText>
      </w:r>
      <w:r w:rsidR="00E57080">
        <w:rPr>
          <w:noProof/>
        </w:rPr>
        <w:fldChar w:fldCharType="separate"/>
      </w:r>
      <w:r w:rsidR="00DF49CD">
        <w:rPr>
          <w:noProof/>
        </w:rPr>
        <w:t>1</w:t>
      </w:r>
      <w:r w:rsidR="00E57080">
        <w:rPr>
          <w:noProof/>
        </w:rPr>
        <w:fldChar w:fldCharType="end"/>
      </w:r>
      <w:bookmarkEnd w:id="403"/>
      <w:r>
        <w:t xml:space="preserve">. </w:t>
      </w:r>
      <w:r w:rsidR="00FF4CE4">
        <w:t>Category 1 (</w:t>
      </w:r>
      <w:r w:rsidR="00CB08EE">
        <w:t>Basin</w:t>
      </w:r>
      <w:r w:rsidR="00FF4CE4">
        <w:t>)</w:t>
      </w:r>
      <w:r w:rsidR="00336C52" w:rsidRPr="003B0760">
        <w:t xml:space="preserve"> and</w:t>
      </w:r>
      <w:r w:rsidR="00FF4CE4">
        <w:t xml:space="preserve"> 3</w:t>
      </w:r>
      <w:r w:rsidR="00336C52" w:rsidRPr="003B0760">
        <w:t xml:space="preserve"> </w:t>
      </w:r>
      <w:r w:rsidR="00FF4CE4">
        <w:t>(</w:t>
      </w:r>
      <w:r w:rsidR="00CB08EE">
        <w:t>Selected Area</w:t>
      </w:r>
      <w:r w:rsidR="00FF4CE4">
        <w:t>)</w:t>
      </w:r>
      <w:r w:rsidR="00336C52" w:rsidRPr="003B0760">
        <w:t xml:space="preserve"> </w:t>
      </w:r>
      <w:r w:rsidR="00FF4CE4">
        <w:t>indicators of</w:t>
      </w:r>
      <w:r w:rsidR="00336C52" w:rsidRPr="003B0760">
        <w:t xml:space="preserve"> the Lower Murray Selected Area.</w:t>
      </w:r>
    </w:p>
    <w:tbl>
      <w:tblPr>
        <w:tblStyle w:val="TableGrid"/>
        <w:tblW w:w="9236" w:type="dxa"/>
        <w:tblLayout w:type="fixed"/>
        <w:tblLook w:val="04A0" w:firstRow="1" w:lastRow="0" w:firstColumn="1" w:lastColumn="0" w:noHBand="0" w:noVBand="1"/>
      </w:tblPr>
      <w:tblGrid>
        <w:gridCol w:w="1101"/>
        <w:gridCol w:w="2409"/>
        <w:gridCol w:w="5726"/>
      </w:tblGrid>
      <w:tr w:rsidR="00336C52" w14:paraId="1F5384B7" w14:textId="77777777" w:rsidTr="00D4794F">
        <w:tc>
          <w:tcPr>
            <w:tcW w:w="1101" w:type="dxa"/>
            <w:shd w:val="clear" w:color="auto" w:fill="D9D9D9" w:themeFill="background1" w:themeFillShade="D9"/>
          </w:tcPr>
          <w:p w14:paraId="7839E355" w14:textId="5292CD41" w:rsidR="00336C52" w:rsidRPr="00D54DE2" w:rsidRDefault="00FF4CE4" w:rsidP="00FF4CE4">
            <w:pPr>
              <w:jc w:val="center"/>
              <w:rPr>
                <w:b/>
              </w:rPr>
            </w:pPr>
            <w:r>
              <w:rPr>
                <w:b/>
              </w:rPr>
              <w:t>Category</w:t>
            </w:r>
          </w:p>
        </w:tc>
        <w:tc>
          <w:tcPr>
            <w:tcW w:w="2409" w:type="dxa"/>
            <w:shd w:val="clear" w:color="auto" w:fill="D9D9D9" w:themeFill="background1" w:themeFillShade="D9"/>
          </w:tcPr>
          <w:p w14:paraId="5FD33667" w14:textId="151AFBA6" w:rsidR="00336C52" w:rsidRPr="00D54DE2" w:rsidRDefault="00336C52" w:rsidP="00F24A39">
            <w:pPr>
              <w:rPr>
                <w:b/>
              </w:rPr>
            </w:pPr>
            <w:r w:rsidRPr="00D54DE2">
              <w:rPr>
                <w:b/>
              </w:rPr>
              <w:t>Indicator</w:t>
            </w:r>
          </w:p>
        </w:tc>
        <w:tc>
          <w:tcPr>
            <w:tcW w:w="5726" w:type="dxa"/>
            <w:shd w:val="clear" w:color="auto" w:fill="D9D9D9" w:themeFill="background1" w:themeFillShade="D9"/>
          </w:tcPr>
          <w:p w14:paraId="44DAF771" w14:textId="5976FF9D" w:rsidR="00336C52" w:rsidRPr="00D54DE2" w:rsidRDefault="00336C52" w:rsidP="00F24A39">
            <w:pPr>
              <w:rPr>
                <w:b/>
              </w:rPr>
            </w:pPr>
            <w:r>
              <w:rPr>
                <w:b/>
              </w:rPr>
              <w:t xml:space="preserve">Comments re. LTIM Standard Protocol in Hale </w:t>
            </w:r>
            <w:r w:rsidRPr="00D54DE2">
              <w:rPr>
                <w:b/>
                <w:i/>
              </w:rPr>
              <w:t>et al.</w:t>
            </w:r>
            <w:r>
              <w:rPr>
                <w:b/>
              </w:rPr>
              <w:t xml:space="preserve"> (2014)</w:t>
            </w:r>
            <w:r w:rsidR="003C2F71">
              <w:rPr>
                <w:b/>
              </w:rPr>
              <w:t xml:space="preserve"> and </w:t>
            </w:r>
            <w:r w:rsidR="003C2F71" w:rsidRPr="003C2F71">
              <w:rPr>
                <w:b/>
              </w:rPr>
              <w:t xml:space="preserve">Lower Murray Selected Area protocol from LTIM (SARDI </w:t>
            </w:r>
            <w:r w:rsidR="003C2F71" w:rsidRPr="003C2F71">
              <w:rPr>
                <w:b/>
                <w:i/>
              </w:rPr>
              <w:t>et al.</w:t>
            </w:r>
            <w:r w:rsidR="003C2F71" w:rsidRPr="003C2F71">
              <w:rPr>
                <w:b/>
              </w:rPr>
              <w:t xml:space="preserve"> 2018)</w:t>
            </w:r>
          </w:p>
        </w:tc>
      </w:tr>
      <w:tr w:rsidR="00CB08EE" w14:paraId="64FCF8E5" w14:textId="77777777" w:rsidTr="00D4794F">
        <w:tc>
          <w:tcPr>
            <w:tcW w:w="1101" w:type="dxa"/>
            <w:vMerge w:val="restart"/>
          </w:tcPr>
          <w:p w14:paraId="1B8B0A9F" w14:textId="3E3A85D8" w:rsidR="00CB08EE" w:rsidRDefault="00FF4CE4" w:rsidP="00F24A39">
            <w:pPr>
              <w:jc w:val="center"/>
            </w:pPr>
            <w:r>
              <w:t>1</w:t>
            </w:r>
          </w:p>
          <w:p w14:paraId="40232B09" w14:textId="4E38434B" w:rsidR="00CB08EE" w:rsidRDefault="00CB08EE" w:rsidP="00D4794F">
            <w:pPr>
              <w:jc w:val="center"/>
            </w:pPr>
          </w:p>
          <w:p w14:paraId="62173213" w14:textId="5F7A7307" w:rsidR="00CB08EE" w:rsidRDefault="00CB08EE" w:rsidP="00D4794F">
            <w:pPr>
              <w:jc w:val="center"/>
            </w:pPr>
          </w:p>
        </w:tc>
        <w:tc>
          <w:tcPr>
            <w:tcW w:w="2409" w:type="dxa"/>
          </w:tcPr>
          <w:p w14:paraId="2EE8FBB0" w14:textId="55932D16" w:rsidR="00CB08EE" w:rsidRPr="00186753" w:rsidRDefault="00D2485C" w:rsidP="00F24A39">
            <w:r w:rsidRPr="00186753">
              <w:t>Hydrol</w:t>
            </w:r>
            <w:r w:rsidR="003C2F71" w:rsidRPr="00186753">
              <w:t>ogy (C</w:t>
            </w:r>
            <w:r w:rsidRPr="00186753">
              <w:t>hannel)</w:t>
            </w:r>
          </w:p>
        </w:tc>
        <w:tc>
          <w:tcPr>
            <w:tcW w:w="5726" w:type="dxa"/>
          </w:tcPr>
          <w:p w14:paraId="3B0C6149" w14:textId="03DDC4EF" w:rsidR="00CB08EE" w:rsidRDefault="00D2485C" w:rsidP="00F24A39">
            <w:r>
              <w:t>Follows the st</w:t>
            </w:r>
            <w:r w:rsidR="00837F12">
              <w:t xml:space="preserve">andard protocol for </w:t>
            </w:r>
            <w:r w:rsidR="00837F12" w:rsidRPr="00837F12">
              <w:rPr>
                <w:i/>
              </w:rPr>
              <w:t>Hydrology (C</w:t>
            </w:r>
            <w:r w:rsidRPr="00837F12">
              <w:rPr>
                <w:i/>
              </w:rPr>
              <w:t>hannel)</w:t>
            </w:r>
            <w:r w:rsidR="002C5DBE">
              <w:rPr>
                <w:i/>
              </w:rPr>
              <w:t>*</w:t>
            </w:r>
          </w:p>
        </w:tc>
      </w:tr>
      <w:tr w:rsidR="00D2485C" w14:paraId="1B1AF698" w14:textId="77777777" w:rsidTr="00D4794F">
        <w:tc>
          <w:tcPr>
            <w:tcW w:w="1101" w:type="dxa"/>
            <w:vMerge/>
          </w:tcPr>
          <w:p w14:paraId="57E55F0D" w14:textId="6E67B4AC" w:rsidR="00D2485C" w:rsidRDefault="00D2485C" w:rsidP="00D2485C">
            <w:pPr>
              <w:jc w:val="center"/>
            </w:pPr>
          </w:p>
        </w:tc>
        <w:tc>
          <w:tcPr>
            <w:tcW w:w="2409" w:type="dxa"/>
          </w:tcPr>
          <w:p w14:paraId="157C6B37" w14:textId="359A488C" w:rsidR="00D2485C" w:rsidRPr="00186753" w:rsidRDefault="00D2485C" w:rsidP="003C2F71">
            <w:r w:rsidRPr="00186753">
              <w:t xml:space="preserve">Stream </w:t>
            </w:r>
            <w:r w:rsidR="003C2F71" w:rsidRPr="00186753">
              <w:t>M</w:t>
            </w:r>
            <w:r w:rsidRPr="00186753">
              <w:t>etabolism</w:t>
            </w:r>
            <w:r w:rsidR="003C2F71" w:rsidRPr="00186753">
              <w:t xml:space="preserve"> and Water Q</w:t>
            </w:r>
            <w:r w:rsidR="00721C9E" w:rsidRPr="00186753">
              <w:t>uality</w:t>
            </w:r>
          </w:p>
        </w:tc>
        <w:tc>
          <w:tcPr>
            <w:tcW w:w="5726" w:type="dxa"/>
          </w:tcPr>
          <w:p w14:paraId="6129C943" w14:textId="6DD8C6D5" w:rsidR="00D2485C" w:rsidRPr="00186753" w:rsidRDefault="00D2485C" w:rsidP="00D2485C">
            <w:r>
              <w:t>Follows th</w:t>
            </w:r>
            <w:r w:rsidR="00837F12">
              <w:t xml:space="preserve">e standard protocol for </w:t>
            </w:r>
            <w:r w:rsidR="00837F12" w:rsidRPr="00837F12">
              <w:rPr>
                <w:i/>
              </w:rPr>
              <w:t>Stream M</w:t>
            </w:r>
            <w:r w:rsidRPr="00837F12">
              <w:rPr>
                <w:i/>
              </w:rPr>
              <w:t>etabolism</w:t>
            </w:r>
            <w:r w:rsidR="002C5DBE">
              <w:rPr>
                <w:i/>
              </w:rPr>
              <w:t>*</w:t>
            </w:r>
          </w:p>
        </w:tc>
      </w:tr>
      <w:tr w:rsidR="00D2485C" w14:paraId="4454C661" w14:textId="77777777" w:rsidTr="00D4794F">
        <w:tc>
          <w:tcPr>
            <w:tcW w:w="1101" w:type="dxa"/>
            <w:vMerge/>
          </w:tcPr>
          <w:p w14:paraId="7472E43B" w14:textId="21D029E4" w:rsidR="00D2485C" w:rsidRDefault="00D2485C" w:rsidP="00D2485C">
            <w:pPr>
              <w:jc w:val="center"/>
            </w:pPr>
          </w:p>
        </w:tc>
        <w:tc>
          <w:tcPr>
            <w:tcW w:w="2409" w:type="dxa"/>
          </w:tcPr>
          <w:p w14:paraId="76AAA26B" w14:textId="2D9C7117" w:rsidR="00D2485C" w:rsidRPr="00186753" w:rsidRDefault="003C2F71" w:rsidP="00D2485C">
            <w:r w:rsidRPr="00186753">
              <w:t>Fish (C</w:t>
            </w:r>
            <w:r w:rsidR="00D2485C" w:rsidRPr="00186753">
              <w:t>hannel)</w:t>
            </w:r>
          </w:p>
        </w:tc>
        <w:tc>
          <w:tcPr>
            <w:tcW w:w="5726" w:type="dxa"/>
          </w:tcPr>
          <w:p w14:paraId="0B25CDCC" w14:textId="3050DA8E" w:rsidR="00D2485C" w:rsidRDefault="00D2485C" w:rsidP="00D2485C">
            <w:r>
              <w:t>Follows t</w:t>
            </w:r>
            <w:r w:rsidR="00837F12">
              <w:t xml:space="preserve">he standard protocol for </w:t>
            </w:r>
            <w:r w:rsidR="00837F12" w:rsidRPr="00837F12">
              <w:rPr>
                <w:i/>
              </w:rPr>
              <w:t>Fish (C</w:t>
            </w:r>
            <w:r w:rsidRPr="00837F12">
              <w:rPr>
                <w:i/>
              </w:rPr>
              <w:t>hannel)</w:t>
            </w:r>
            <w:r w:rsidR="002C5DBE">
              <w:rPr>
                <w:i/>
              </w:rPr>
              <w:t>*</w:t>
            </w:r>
          </w:p>
        </w:tc>
      </w:tr>
      <w:tr w:rsidR="00D2485C" w14:paraId="6149D69C" w14:textId="77777777" w:rsidTr="00D4794F">
        <w:tc>
          <w:tcPr>
            <w:tcW w:w="1101" w:type="dxa"/>
            <w:vMerge w:val="restart"/>
          </w:tcPr>
          <w:p w14:paraId="50987BCD" w14:textId="7A500082" w:rsidR="00D2485C" w:rsidRDefault="00FF4CE4" w:rsidP="00D2485C">
            <w:pPr>
              <w:jc w:val="center"/>
            </w:pPr>
            <w:r>
              <w:t>3</w:t>
            </w:r>
          </w:p>
          <w:p w14:paraId="04D23D1F" w14:textId="2ECC86EF" w:rsidR="00D2485C" w:rsidRDefault="00D2485C" w:rsidP="00D2485C">
            <w:pPr>
              <w:jc w:val="center"/>
            </w:pPr>
          </w:p>
          <w:p w14:paraId="107F72FB" w14:textId="77613F7C" w:rsidR="00D2485C" w:rsidRDefault="00D2485C" w:rsidP="00D2485C">
            <w:pPr>
              <w:jc w:val="center"/>
            </w:pPr>
          </w:p>
          <w:p w14:paraId="034B44B8" w14:textId="68CD6EE2" w:rsidR="00D2485C" w:rsidRDefault="00D2485C" w:rsidP="00D2485C">
            <w:pPr>
              <w:jc w:val="center"/>
            </w:pPr>
          </w:p>
        </w:tc>
        <w:tc>
          <w:tcPr>
            <w:tcW w:w="2409" w:type="dxa"/>
          </w:tcPr>
          <w:p w14:paraId="7997F346" w14:textId="74879E83" w:rsidR="00D2485C" w:rsidRPr="00186753" w:rsidRDefault="003C2F71" w:rsidP="00D2485C">
            <w:r w:rsidRPr="00186753">
              <w:t>Hydraulic R</w:t>
            </w:r>
            <w:r w:rsidR="00D2485C" w:rsidRPr="00186753">
              <w:t>egime</w:t>
            </w:r>
          </w:p>
        </w:tc>
        <w:tc>
          <w:tcPr>
            <w:tcW w:w="5726" w:type="dxa"/>
          </w:tcPr>
          <w:p w14:paraId="555CB99E" w14:textId="0AA8BBDB" w:rsidR="00D2485C" w:rsidRPr="00AA4442" w:rsidRDefault="003C2F71" w:rsidP="00837F12">
            <w:pPr>
              <w:rPr>
                <w:color w:val="auto"/>
              </w:rPr>
            </w:pPr>
            <w:r>
              <w:rPr>
                <w:color w:val="auto"/>
              </w:rPr>
              <w:t xml:space="preserve">Follows Lower Murray </w:t>
            </w:r>
            <w:r w:rsidR="00837F12">
              <w:rPr>
                <w:color w:val="auto"/>
              </w:rPr>
              <w:t>LTIM</w:t>
            </w:r>
            <w:r>
              <w:rPr>
                <w:color w:val="auto"/>
              </w:rPr>
              <w:t xml:space="preserve"> protocol for </w:t>
            </w:r>
            <w:r w:rsidRPr="003C2F71">
              <w:rPr>
                <w:i/>
                <w:color w:val="auto"/>
              </w:rPr>
              <w:t>Hydraulic Regime</w:t>
            </w:r>
          </w:p>
        </w:tc>
      </w:tr>
      <w:tr w:rsidR="00D2485C" w14:paraId="7240BE53" w14:textId="77777777" w:rsidTr="00D4794F">
        <w:tc>
          <w:tcPr>
            <w:tcW w:w="1101" w:type="dxa"/>
            <w:vMerge/>
          </w:tcPr>
          <w:p w14:paraId="16CFC33D" w14:textId="77777777" w:rsidR="00D2485C" w:rsidRDefault="00D2485C" w:rsidP="00D2485C">
            <w:pPr>
              <w:jc w:val="center"/>
            </w:pPr>
          </w:p>
        </w:tc>
        <w:tc>
          <w:tcPr>
            <w:tcW w:w="2409" w:type="dxa"/>
          </w:tcPr>
          <w:p w14:paraId="3B81B947" w14:textId="709819E9" w:rsidR="00D2485C" w:rsidRPr="00186753" w:rsidRDefault="00D2485C" w:rsidP="003C2F71">
            <w:r w:rsidRPr="00186753">
              <w:t>Matter</w:t>
            </w:r>
            <w:r w:rsidR="003C2F71" w:rsidRPr="00186753">
              <w:t xml:space="preserve"> T</w:t>
            </w:r>
            <w:r w:rsidRPr="00186753">
              <w:t>ransport</w:t>
            </w:r>
            <w:r w:rsidR="00721C9E" w:rsidRPr="00186753">
              <w:t xml:space="preserve"> and Coorong </w:t>
            </w:r>
            <w:r w:rsidR="003C2F71" w:rsidRPr="00186753">
              <w:t>H</w:t>
            </w:r>
            <w:r w:rsidR="00721C9E" w:rsidRPr="00186753">
              <w:t>abitat</w:t>
            </w:r>
          </w:p>
        </w:tc>
        <w:tc>
          <w:tcPr>
            <w:tcW w:w="5726" w:type="dxa"/>
          </w:tcPr>
          <w:p w14:paraId="7AADA285" w14:textId="19107701" w:rsidR="00D2485C" w:rsidRPr="00837F12" w:rsidRDefault="00837F12" w:rsidP="00DA5568">
            <w:pPr>
              <w:rPr>
                <w:color w:val="auto"/>
              </w:rPr>
            </w:pPr>
            <w:r>
              <w:rPr>
                <w:color w:val="auto"/>
              </w:rPr>
              <w:t xml:space="preserve">Follows Lower Murray LTIM protocol for </w:t>
            </w:r>
            <w:r>
              <w:rPr>
                <w:i/>
                <w:color w:val="auto"/>
              </w:rPr>
              <w:t>Matter Transport</w:t>
            </w:r>
            <w:r>
              <w:rPr>
                <w:color w:val="auto"/>
              </w:rPr>
              <w:t xml:space="preserve">, with addition of Coorong </w:t>
            </w:r>
            <w:r w:rsidR="00DA5568">
              <w:rPr>
                <w:color w:val="auto"/>
              </w:rPr>
              <w:t>H</w:t>
            </w:r>
            <w:r>
              <w:rPr>
                <w:color w:val="auto"/>
              </w:rPr>
              <w:t xml:space="preserve">abitat modelling </w:t>
            </w:r>
            <w:r w:rsidR="009C7029">
              <w:rPr>
                <w:color w:val="auto"/>
              </w:rPr>
              <w:t>component</w:t>
            </w:r>
            <w:r>
              <w:rPr>
                <w:color w:val="auto"/>
              </w:rPr>
              <w:t>.</w:t>
            </w:r>
          </w:p>
        </w:tc>
      </w:tr>
      <w:tr w:rsidR="00D2485C" w14:paraId="338BA963" w14:textId="77777777" w:rsidTr="00D4794F">
        <w:tc>
          <w:tcPr>
            <w:tcW w:w="1101" w:type="dxa"/>
            <w:vMerge/>
          </w:tcPr>
          <w:p w14:paraId="68BB144F" w14:textId="2C583FE8" w:rsidR="00D2485C" w:rsidRDefault="00D2485C" w:rsidP="00D2485C">
            <w:pPr>
              <w:jc w:val="center"/>
            </w:pPr>
          </w:p>
        </w:tc>
        <w:tc>
          <w:tcPr>
            <w:tcW w:w="2409" w:type="dxa"/>
          </w:tcPr>
          <w:p w14:paraId="6C06FB48" w14:textId="691F9052" w:rsidR="00D2485C" w:rsidRPr="00186753" w:rsidRDefault="00837F12" w:rsidP="00D2485C">
            <w:r w:rsidRPr="00186753">
              <w:t>Littoral Vegetation Diversity and P</w:t>
            </w:r>
            <w:r w:rsidR="00D2485C" w:rsidRPr="00186753">
              <w:t>roductivity</w:t>
            </w:r>
          </w:p>
        </w:tc>
        <w:tc>
          <w:tcPr>
            <w:tcW w:w="5726" w:type="dxa"/>
          </w:tcPr>
          <w:p w14:paraId="62E2D82A" w14:textId="36371D3D" w:rsidR="00D2485C" w:rsidRDefault="009C7029" w:rsidP="00FE29F9">
            <w:r>
              <w:t>Newly developed protocol</w:t>
            </w:r>
            <w:r w:rsidR="00FE29F9">
              <w:t xml:space="preserve"> for MER</w:t>
            </w:r>
            <w:r>
              <w:t>.</w:t>
            </w:r>
          </w:p>
        </w:tc>
      </w:tr>
      <w:tr w:rsidR="00D2485C" w14:paraId="656B1449" w14:textId="77777777" w:rsidTr="00D4794F">
        <w:tc>
          <w:tcPr>
            <w:tcW w:w="1101" w:type="dxa"/>
            <w:vMerge/>
          </w:tcPr>
          <w:p w14:paraId="0BE24077" w14:textId="77777777" w:rsidR="00D2485C" w:rsidRDefault="00D2485C" w:rsidP="00D2485C">
            <w:pPr>
              <w:jc w:val="center"/>
            </w:pPr>
          </w:p>
        </w:tc>
        <w:tc>
          <w:tcPr>
            <w:tcW w:w="2409" w:type="dxa"/>
          </w:tcPr>
          <w:p w14:paraId="01CFC723" w14:textId="787937A9" w:rsidR="00D2485C" w:rsidRPr="00186753" w:rsidRDefault="00837F12" w:rsidP="00D2485C">
            <w:r w:rsidRPr="00186753">
              <w:t>Microinvertebrate A</w:t>
            </w:r>
            <w:r w:rsidR="00721C9E" w:rsidRPr="00186753">
              <w:t>ssemblage</w:t>
            </w:r>
          </w:p>
        </w:tc>
        <w:tc>
          <w:tcPr>
            <w:tcW w:w="5726" w:type="dxa"/>
          </w:tcPr>
          <w:p w14:paraId="1B173C25" w14:textId="6DBD00B6" w:rsidR="00D2485C" w:rsidRDefault="009C7029" w:rsidP="009C7029">
            <w:r>
              <w:t>Modified version of</w:t>
            </w:r>
            <w:r w:rsidR="00837F12" w:rsidRPr="00837F12">
              <w:t xml:space="preserve"> Lower Murray </w:t>
            </w:r>
            <w:r w:rsidR="00837F12">
              <w:t>LTIM</w:t>
            </w:r>
            <w:r w:rsidR="00837F12" w:rsidRPr="00837F12">
              <w:t xml:space="preserve"> protocol for </w:t>
            </w:r>
            <w:r w:rsidR="00837F12" w:rsidRPr="00837F12">
              <w:rPr>
                <w:i/>
              </w:rPr>
              <w:t>Microinvertebrates</w:t>
            </w:r>
            <w:r w:rsidR="00837F12">
              <w:t>.</w:t>
            </w:r>
            <w:r w:rsidR="00837F12" w:rsidRPr="00837F12">
              <w:t xml:space="preserve"> </w:t>
            </w:r>
            <w:r w:rsidRPr="00C76ED2">
              <w:t>Haney trap is used in preference to the bucket method for potamoplankton</w:t>
            </w:r>
            <w:r>
              <w:t xml:space="preserve"> sampling</w:t>
            </w:r>
            <w:r w:rsidRPr="00C76ED2">
              <w:t>.</w:t>
            </w:r>
            <w:r>
              <w:t xml:space="preserve"> </w:t>
            </w:r>
            <w:r w:rsidR="00D2485C">
              <w:t>Does not follow standard</w:t>
            </w:r>
            <w:r w:rsidR="00F432B5">
              <w:t xml:space="preserve"> Category 2</w:t>
            </w:r>
            <w:r>
              <w:t xml:space="preserve"> riparian</w:t>
            </w:r>
            <w:r w:rsidR="00D2485C">
              <w:t xml:space="preserve"> protocols. </w:t>
            </w:r>
          </w:p>
        </w:tc>
      </w:tr>
      <w:tr w:rsidR="00D2485C" w14:paraId="282E97A0" w14:textId="77777777" w:rsidTr="00D4794F">
        <w:tc>
          <w:tcPr>
            <w:tcW w:w="1101" w:type="dxa"/>
            <w:vMerge/>
          </w:tcPr>
          <w:p w14:paraId="0FEE048C" w14:textId="6C58BE78" w:rsidR="00D2485C" w:rsidRDefault="00D2485C" w:rsidP="00D2485C">
            <w:pPr>
              <w:jc w:val="center"/>
            </w:pPr>
          </w:p>
        </w:tc>
        <w:tc>
          <w:tcPr>
            <w:tcW w:w="2409" w:type="dxa"/>
          </w:tcPr>
          <w:p w14:paraId="39313092" w14:textId="09051E3F" w:rsidR="00D2485C" w:rsidRPr="00186753" w:rsidRDefault="008C1585" w:rsidP="00D2485C">
            <w:r w:rsidRPr="008C1585">
              <w:t>Flow-cued Spawning Fish Recruitment</w:t>
            </w:r>
          </w:p>
        </w:tc>
        <w:tc>
          <w:tcPr>
            <w:tcW w:w="5726" w:type="dxa"/>
          </w:tcPr>
          <w:p w14:paraId="2F213658" w14:textId="79A5EDC5" w:rsidR="00D2485C" w:rsidRDefault="002C5DBE" w:rsidP="00BF2864">
            <w:r>
              <w:rPr>
                <w:color w:val="auto"/>
              </w:rPr>
              <w:t>Closely f</w:t>
            </w:r>
            <w:r w:rsidR="009C7029">
              <w:rPr>
                <w:color w:val="auto"/>
              </w:rPr>
              <w:t xml:space="preserve">ollows Lower Murray LTIM protocol for </w:t>
            </w:r>
            <w:r w:rsidR="009C7029">
              <w:rPr>
                <w:i/>
                <w:color w:val="auto"/>
              </w:rPr>
              <w:t>Fish Spawning and</w:t>
            </w:r>
            <w:r w:rsidR="001E4123">
              <w:rPr>
                <w:i/>
                <w:color w:val="auto"/>
              </w:rPr>
              <w:t xml:space="preserve"> Recruitment (Flow-cued Spawning Fishes</w:t>
            </w:r>
            <w:r w:rsidR="009C7029">
              <w:rPr>
                <w:i/>
                <w:color w:val="auto"/>
              </w:rPr>
              <w:t>)</w:t>
            </w:r>
            <w:r w:rsidR="009C7029">
              <w:rPr>
                <w:color w:val="auto"/>
              </w:rPr>
              <w:t>.</w:t>
            </w:r>
          </w:p>
        </w:tc>
      </w:tr>
      <w:tr w:rsidR="00D2485C" w14:paraId="6599DFFD" w14:textId="77777777" w:rsidTr="00D4794F">
        <w:trPr>
          <w:trHeight w:val="1251"/>
        </w:trPr>
        <w:tc>
          <w:tcPr>
            <w:tcW w:w="1101" w:type="dxa"/>
            <w:vMerge/>
          </w:tcPr>
          <w:p w14:paraId="1E7B9DCF" w14:textId="70EBD64F" w:rsidR="00D2485C" w:rsidRDefault="00D2485C" w:rsidP="00D2485C">
            <w:pPr>
              <w:jc w:val="center"/>
            </w:pPr>
          </w:p>
        </w:tc>
        <w:tc>
          <w:tcPr>
            <w:tcW w:w="2409" w:type="dxa"/>
          </w:tcPr>
          <w:p w14:paraId="0761C906" w14:textId="7CBB661E" w:rsidR="00D2485C" w:rsidRPr="00186753" w:rsidRDefault="00837F12" w:rsidP="00D2485C">
            <w:r w:rsidRPr="00186753">
              <w:t>Murray Cod R</w:t>
            </w:r>
            <w:r w:rsidR="00D2485C" w:rsidRPr="00186753">
              <w:t>ecruitment</w:t>
            </w:r>
          </w:p>
        </w:tc>
        <w:tc>
          <w:tcPr>
            <w:tcW w:w="5726" w:type="dxa"/>
          </w:tcPr>
          <w:p w14:paraId="4D698ED8" w14:textId="2A1DA5D7" w:rsidR="00D2485C" w:rsidRDefault="009C7029" w:rsidP="00FE29F9">
            <w:r>
              <w:t xml:space="preserve">Newly developed </w:t>
            </w:r>
            <w:r w:rsidR="00FE29F9">
              <w:t xml:space="preserve">protocol for </w:t>
            </w:r>
            <w:r>
              <w:t>MER.</w:t>
            </w:r>
          </w:p>
        </w:tc>
      </w:tr>
    </w:tbl>
    <w:p w14:paraId="5B32DFD9" w14:textId="451E617D" w:rsidR="00F7497C" w:rsidRPr="003A09CB" w:rsidRDefault="003A09CB" w:rsidP="00336C52">
      <w:pPr>
        <w:rPr>
          <w:sz w:val="20"/>
        </w:rPr>
      </w:pPr>
      <w:r w:rsidRPr="003A09CB">
        <w:rPr>
          <w:sz w:val="20"/>
        </w:rPr>
        <w:t>*</w:t>
      </w:r>
      <w:r w:rsidR="00186753" w:rsidRPr="003A09CB">
        <w:rPr>
          <w:sz w:val="20"/>
        </w:rPr>
        <w:t xml:space="preserve">Standard protocols for </w:t>
      </w:r>
      <w:r w:rsidR="00A41801">
        <w:rPr>
          <w:sz w:val="20"/>
        </w:rPr>
        <w:t xml:space="preserve">the </w:t>
      </w:r>
      <w:r w:rsidR="00186753" w:rsidRPr="003A09CB">
        <w:rPr>
          <w:sz w:val="20"/>
        </w:rPr>
        <w:t>MER</w:t>
      </w:r>
      <w:r w:rsidR="00A41801">
        <w:rPr>
          <w:sz w:val="20"/>
        </w:rPr>
        <w:t xml:space="preserve"> Project</w:t>
      </w:r>
      <w:r w:rsidR="00186753" w:rsidRPr="003A09CB">
        <w:rPr>
          <w:sz w:val="20"/>
        </w:rPr>
        <w:t xml:space="preserve"> may be modified </w:t>
      </w:r>
      <w:r w:rsidRPr="003A09CB">
        <w:rPr>
          <w:sz w:val="20"/>
        </w:rPr>
        <w:t>from the</w:t>
      </w:r>
      <w:r w:rsidR="002C5DBE">
        <w:rPr>
          <w:sz w:val="20"/>
        </w:rPr>
        <w:t xml:space="preserve"> LTIM</w:t>
      </w:r>
      <w:r w:rsidRPr="003A09CB">
        <w:rPr>
          <w:sz w:val="20"/>
        </w:rPr>
        <w:t xml:space="preserve"> protocol described in Hale </w:t>
      </w:r>
      <w:r w:rsidRPr="003A09CB">
        <w:rPr>
          <w:i/>
          <w:sz w:val="20"/>
        </w:rPr>
        <w:t>et al.</w:t>
      </w:r>
      <w:r w:rsidRPr="003A09CB">
        <w:rPr>
          <w:sz w:val="20"/>
        </w:rPr>
        <w:t xml:space="preserve"> (2014).</w:t>
      </w:r>
      <w:r w:rsidR="00186753" w:rsidRPr="003A09CB">
        <w:rPr>
          <w:sz w:val="20"/>
        </w:rPr>
        <w:t xml:space="preserve"> </w:t>
      </w:r>
    </w:p>
    <w:p w14:paraId="49C27A19" w14:textId="77777777" w:rsidR="00336C52" w:rsidRDefault="00336C52" w:rsidP="00336C52">
      <w:pPr>
        <w:rPr>
          <w:rFonts w:eastAsiaTheme="majorEastAsia" w:cstheme="majorBidi"/>
          <w:color w:val="auto"/>
          <w:sz w:val="32"/>
          <w:szCs w:val="28"/>
        </w:rPr>
      </w:pPr>
      <w:r>
        <w:br w:type="page"/>
      </w:r>
    </w:p>
    <w:p w14:paraId="70E53E0D" w14:textId="12503E09" w:rsidR="007B223B" w:rsidRPr="007B223B" w:rsidRDefault="00FF4CE4" w:rsidP="007B223B">
      <w:pPr>
        <w:pStyle w:val="Heading1"/>
        <w:numPr>
          <w:ilvl w:val="0"/>
          <w:numId w:val="0"/>
        </w:numPr>
        <w:ind w:left="851" w:hanging="851"/>
      </w:pPr>
      <w:bookmarkStart w:id="404" w:name="_Toc396825271"/>
      <w:bookmarkStart w:id="405" w:name="_Toc6403805"/>
      <w:bookmarkStart w:id="406" w:name="_Toc10095173"/>
      <w:bookmarkStart w:id="407" w:name="_Toc10192342"/>
      <w:bookmarkStart w:id="408" w:name="_Toc10206657"/>
      <w:bookmarkStart w:id="409" w:name="_Toc10213243"/>
      <w:bookmarkStart w:id="410" w:name="_Toc10732267"/>
      <w:bookmarkStart w:id="411" w:name="_Toc10796826"/>
      <w:bookmarkStart w:id="412" w:name="_Toc12022711"/>
      <w:bookmarkStart w:id="413" w:name="_Toc12630541"/>
      <w:bookmarkStart w:id="414" w:name="_Toc16154401"/>
      <w:bookmarkStart w:id="415" w:name="_Toc22196763"/>
      <w:r>
        <w:lastRenderedPageBreak/>
        <w:t>Category 1</w:t>
      </w:r>
      <w:bookmarkStart w:id="416" w:name="_Toc396825272"/>
      <w:bookmarkStart w:id="417" w:name="_Ref397516437"/>
      <w:bookmarkStart w:id="418" w:name="_Toc6403806"/>
      <w:bookmarkEnd w:id="404"/>
      <w:bookmarkEnd w:id="405"/>
      <w:bookmarkEnd w:id="406"/>
      <w:bookmarkEnd w:id="407"/>
      <w:bookmarkEnd w:id="408"/>
      <w:bookmarkEnd w:id="409"/>
      <w:bookmarkEnd w:id="410"/>
      <w:bookmarkEnd w:id="411"/>
      <w:bookmarkEnd w:id="412"/>
      <w:bookmarkEnd w:id="413"/>
      <w:bookmarkEnd w:id="414"/>
      <w:bookmarkEnd w:id="415"/>
    </w:p>
    <w:p w14:paraId="38C35696" w14:textId="642C5F17" w:rsidR="007B223B" w:rsidRDefault="007B223B" w:rsidP="00CB75AF">
      <w:pPr>
        <w:pStyle w:val="Heading1"/>
        <w:numPr>
          <w:ilvl w:val="0"/>
          <w:numId w:val="58"/>
        </w:numPr>
      </w:pPr>
      <w:bookmarkStart w:id="419" w:name="_Ref396294453"/>
      <w:bookmarkStart w:id="420" w:name="_Toc396825298"/>
      <w:bookmarkStart w:id="421" w:name="_Toc6403851"/>
      <w:bookmarkStart w:id="422" w:name="_Toc10095174"/>
      <w:bookmarkStart w:id="423" w:name="_Toc10192343"/>
      <w:bookmarkStart w:id="424" w:name="_Toc10206658"/>
      <w:bookmarkStart w:id="425" w:name="_Toc10213244"/>
      <w:bookmarkStart w:id="426" w:name="_Toc10732268"/>
      <w:bookmarkStart w:id="427" w:name="_Toc10796827"/>
      <w:bookmarkStart w:id="428" w:name="_Toc12022712"/>
      <w:bookmarkStart w:id="429" w:name="_Toc12630542"/>
      <w:bookmarkStart w:id="430" w:name="_Toc16154402"/>
      <w:bookmarkStart w:id="431" w:name="_Toc22196764"/>
      <w:r>
        <w:t xml:space="preserve">Hydrology </w:t>
      </w:r>
      <w:bookmarkEnd w:id="419"/>
      <w:bookmarkEnd w:id="420"/>
      <w:r w:rsidR="00721C9E">
        <w:t>(</w:t>
      </w:r>
      <w:r w:rsidR="00DB0FF9">
        <w:t>C</w:t>
      </w:r>
      <w:r>
        <w:t>hannel)</w:t>
      </w:r>
      <w:bookmarkEnd w:id="421"/>
      <w:bookmarkEnd w:id="422"/>
      <w:bookmarkEnd w:id="423"/>
      <w:bookmarkEnd w:id="424"/>
      <w:bookmarkEnd w:id="425"/>
      <w:bookmarkEnd w:id="426"/>
      <w:bookmarkEnd w:id="427"/>
      <w:bookmarkEnd w:id="428"/>
      <w:bookmarkEnd w:id="429"/>
      <w:bookmarkEnd w:id="430"/>
      <w:bookmarkEnd w:id="431"/>
    </w:p>
    <w:p w14:paraId="38DD7C01" w14:textId="77777777" w:rsidR="007B223B" w:rsidRPr="00525AE9" w:rsidRDefault="007B223B" w:rsidP="007B223B">
      <w:pPr>
        <w:pStyle w:val="Heading2"/>
      </w:pPr>
      <w:bookmarkStart w:id="432" w:name="_Toc243986907"/>
      <w:bookmarkStart w:id="433" w:name="_Toc396825299"/>
      <w:bookmarkStart w:id="434" w:name="_Toc6403852"/>
      <w:bookmarkStart w:id="435" w:name="_Toc10095175"/>
      <w:bookmarkStart w:id="436" w:name="_Toc10192344"/>
      <w:bookmarkStart w:id="437" w:name="_Toc10206659"/>
      <w:bookmarkStart w:id="438" w:name="_Toc10213245"/>
      <w:bookmarkStart w:id="439" w:name="_Toc10732269"/>
      <w:bookmarkStart w:id="440" w:name="_Toc10796828"/>
      <w:bookmarkStart w:id="441" w:name="_Toc12022713"/>
      <w:bookmarkStart w:id="442" w:name="_Toc12630543"/>
      <w:bookmarkStart w:id="443" w:name="_Toc16154403"/>
      <w:bookmarkStart w:id="444" w:name="_Toc22196765"/>
      <w:r w:rsidRPr="00525AE9">
        <w:t>Evaluation questions</w:t>
      </w:r>
      <w:bookmarkEnd w:id="432"/>
      <w:bookmarkEnd w:id="433"/>
      <w:bookmarkEnd w:id="434"/>
      <w:bookmarkEnd w:id="435"/>
      <w:bookmarkEnd w:id="436"/>
      <w:bookmarkEnd w:id="437"/>
      <w:bookmarkEnd w:id="438"/>
      <w:bookmarkEnd w:id="439"/>
      <w:bookmarkEnd w:id="440"/>
      <w:bookmarkEnd w:id="441"/>
      <w:bookmarkEnd w:id="442"/>
      <w:bookmarkEnd w:id="443"/>
      <w:bookmarkEnd w:id="444"/>
    </w:p>
    <w:p w14:paraId="23EAFF18" w14:textId="0CE706A6" w:rsidR="007B223B" w:rsidRPr="00D403A4" w:rsidRDefault="007B223B" w:rsidP="007B223B">
      <w:pPr>
        <w:rPr>
          <w:kern w:val="0"/>
        </w:rPr>
      </w:pPr>
      <w:r w:rsidRPr="00D403A4">
        <w:rPr>
          <w:szCs w:val="22"/>
        </w:rPr>
        <w:t xml:space="preserve">This protocol does not directly address specific </w:t>
      </w:r>
      <w:r>
        <w:rPr>
          <w:szCs w:val="22"/>
        </w:rPr>
        <w:t xml:space="preserve">Basin-scale </w:t>
      </w:r>
      <w:r w:rsidRPr="00D403A4">
        <w:rPr>
          <w:szCs w:val="22"/>
        </w:rPr>
        <w:t>evaluation questions</w:t>
      </w:r>
      <w:r w:rsidRPr="00D403A4">
        <w:rPr>
          <w:rFonts w:eastAsia="Calibri"/>
          <w:szCs w:val="22"/>
        </w:rPr>
        <w:t>,</w:t>
      </w:r>
      <w:r w:rsidR="001027F2">
        <w:rPr>
          <w:rFonts w:eastAsia="Calibri"/>
          <w:szCs w:val="22"/>
        </w:rPr>
        <w:t xml:space="preserve"> rather it provides</w:t>
      </w:r>
      <w:r w:rsidRPr="00D403A4">
        <w:rPr>
          <w:rFonts w:eastAsia="Calibri"/>
          <w:szCs w:val="22"/>
        </w:rPr>
        <w:t xml:space="preserve"> fundamental information for analysis and evaluation of monitoring outcomes against hydrological conditions and environmental watering for all indicators</w:t>
      </w:r>
      <w:r w:rsidRPr="00D403A4">
        <w:rPr>
          <w:szCs w:val="22"/>
        </w:rPr>
        <w:t>. It indirectly addresses Basin</w:t>
      </w:r>
      <w:r>
        <w:rPr>
          <w:szCs w:val="22"/>
        </w:rPr>
        <w:t>-</w:t>
      </w:r>
      <w:r w:rsidRPr="00D403A4">
        <w:rPr>
          <w:szCs w:val="22"/>
        </w:rPr>
        <w:t>scale evaluation questions</w:t>
      </w:r>
      <w:r>
        <w:rPr>
          <w:szCs w:val="22"/>
        </w:rPr>
        <w:t xml:space="preserve"> for </w:t>
      </w:r>
      <w:r w:rsidR="00721C9E" w:rsidRPr="004914FD">
        <w:rPr>
          <w:i/>
          <w:szCs w:val="22"/>
        </w:rPr>
        <w:t>F</w:t>
      </w:r>
      <w:r w:rsidRPr="004914FD">
        <w:rPr>
          <w:i/>
          <w:szCs w:val="22"/>
        </w:rPr>
        <w:t>ish (</w:t>
      </w:r>
      <w:r w:rsidR="00135235" w:rsidRPr="004914FD">
        <w:rPr>
          <w:i/>
          <w:szCs w:val="22"/>
        </w:rPr>
        <w:t>C</w:t>
      </w:r>
      <w:r w:rsidRPr="004914FD">
        <w:rPr>
          <w:i/>
          <w:szCs w:val="22"/>
        </w:rPr>
        <w:t>hannel)</w:t>
      </w:r>
      <w:r>
        <w:rPr>
          <w:szCs w:val="22"/>
        </w:rPr>
        <w:t xml:space="preserve"> and </w:t>
      </w:r>
      <w:r w:rsidR="00135235" w:rsidRPr="004914FD">
        <w:rPr>
          <w:i/>
          <w:szCs w:val="22"/>
        </w:rPr>
        <w:t>S</w:t>
      </w:r>
      <w:r w:rsidRPr="004914FD">
        <w:rPr>
          <w:i/>
          <w:szCs w:val="22"/>
        </w:rPr>
        <w:t xml:space="preserve">tream </w:t>
      </w:r>
      <w:r w:rsidR="00135235" w:rsidRPr="004914FD">
        <w:rPr>
          <w:i/>
          <w:szCs w:val="22"/>
        </w:rPr>
        <w:t>M</w:t>
      </w:r>
      <w:r w:rsidRPr="004914FD">
        <w:rPr>
          <w:i/>
          <w:szCs w:val="22"/>
        </w:rPr>
        <w:t>etabolism</w:t>
      </w:r>
      <w:r w:rsidR="00135235" w:rsidRPr="004914FD">
        <w:rPr>
          <w:i/>
          <w:szCs w:val="22"/>
        </w:rPr>
        <w:t xml:space="preserve"> and Water Quality</w:t>
      </w:r>
      <w:r>
        <w:rPr>
          <w:szCs w:val="22"/>
        </w:rPr>
        <w:t xml:space="preserve"> (</w:t>
      </w:r>
      <w:r>
        <w:fldChar w:fldCharType="begin"/>
      </w:r>
      <w:r>
        <w:instrText xml:space="preserve"> REF _Ref397515838 \h  \* MERGEFORMAT </w:instrText>
      </w:r>
      <w:r>
        <w:fldChar w:fldCharType="separate"/>
      </w:r>
      <w:r w:rsidR="00DF49CD">
        <w:t>Figure B.1</w:t>
      </w:r>
      <w:r>
        <w:fldChar w:fldCharType="end"/>
      </w:r>
      <w:r>
        <w:t>)</w:t>
      </w:r>
      <w:r w:rsidRPr="009B27E3">
        <w:t>.</w:t>
      </w:r>
    </w:p>
    <w:p w14:paraId="0948EF33" w14:textId="77777777" w:rsidR="007B223B" w:rsidRDefault="007B223B" w:rsidP="007B223B"/>
    <w:p w14:paraId="4E0D22D6" w14:textId="77777777" w:rsidR="007B223B" w:rsidRDefault="007B223B" w:rsidP="007B223B">
      <w:r>
        <w:rPr>
          <w:noProof/>
          <w:lang w:eastAsia="en-AU"/>
        </w:rPr>
        <mc:AlternateContent>
          <mc:Choice Requires="wpg">
            <w:drawing>
              <wp:inline distT="0" distB="0" distL="0" distR="0" wp14:anchorId="28140B1B" wp14:editId="6BB6F93C">
                <wp:extent cx="5507990" cy="4768850"/>
                <wp:effectExtent l="0" t="0" r="35560" b="12700"/>
                <wp:docPr id="138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990" cy="4768850"/>
                          <a:chOff x="0" y="0"/>
                          <a:chExt cx="55080" cy="47688"/>
                        </a:xfrm>
                      </wpg:grpSpPr>
                      <wps:wsp>
                        <wps:cNvPr id="1384" name="Rectangle 2"/>
                        <wps:cNvSpPr>
                          <a:spLocks noChangeArrowheads="1"/>
                        </wps:cNvSpPr>
                        <wps:spPr bwMode="auto">
                          <a:xfrm>
                            <a:off x="0" y="0"/>
                            <a:ext cx="55080" cy="47688"/>
                          </a:xfrm>
                          <a:prstGeom prst="rect">
                            <a:avLst/>
                          </a:prstGeom>
                          <a:noFill/>
                          <a:ln w="12700">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91440" tIns="45720" rIns="91440" bIns="45720" anchor="ctr" anchorCtr="0" upright="1">
                          <a:noAutofit/>
                        </wps:bodyPr>
                      </wps:wsp>
                      <wps:wsp>
                        <wps:cNvPr id="1385" name="Straight Connector 3"/>
                        <wps:cNvCnPr>
                          <a:cxnSpLocks noChangeShapeType="1"/>
                        </wps:cNvCnPr>
                        <wps:spPr bwMode="auto">
                          <a:xfrm>
                            <a:off x="0" y="7493"/>
                            <a:ext cx="55080" cy="1"/>
                          </a:xfrm>
                          <a:prstGeom prst="line">
                            <a:avLst/>
                          </a:prstGeom>
                          <a:noFill/>
                          <a:ln w="19050">
                            <a:solidFill>
                              <a:srgbClr val="000000"/>
                            </a:solidFill>
                            <a:prstDash val="sysDash"/>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s:wsp>
                        <wps:cNvPr id="1386" name="Straight Connector 4"/>
                        <wps:cNvCnPr>
                          <a:cxnSpLocks noChangeShapeType="1"/>
                        </wps:cNvCnPr>
                        <wps:spPr bwMode="auto">
                          <a:xfrm>
                            <a:off x="0" y="14986"/>
                            <a:ext cx="55080" cy="1"/>
                          </a:xfrm>
                          <a:prstGeom prst="line">
                            <a:avLst/>
                          </a:prstGeom>
                          <a:noFill/>
                          <a:ln w="19050">
                            <a:solidFill>
                              <a:srgbClr val="000000"/>
                            </a:solidFill>
                            <a:prstDash val="sysDash"/>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s:wsp>
                        <wps:cNvPr id="1387" name="Straight Connector 5"/>
                        <wps:cNvCnPr>
                          <a:cxnSpLocks noChangeShapeType="1"/>
                        </wps:cNvCnPr>
                        <wps:spPr bwMode="auto">
                          <a:xfrm>
                            <a:off x="0" y="34563"/>
                            <a:ext cx="55080" cy="1"/>
                          </a:xfrm>
                          <a:prstGeom prst="line">
                            <a:avLst/>
                          </a:prstGeom>
                          <a:noFill/>
                          <a:ln w="19050">
                            <a:solidFill>
                              <a:srgbClr val="000000"/>
                            </a:solidFill>
                            <a:prstDash val="sysDash"/>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s:wsp>
                        <wps:cNvPr id="1388" name="TextBox 10"/>
                        <wps:cNvSpPr txBox="1">
                          <a:spLocks noChangeArrowheads="1"/>
                        </wps:cNvSpPr>
                        <wps:spPr bwMode="auto">
                          <a:xfrm>
                            <a:off x="0" y="4001"/>
                            <a:ext cx="10200" cy="3406"/>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5A310D6C" w14:textId="77777777" w:rsidR="00A8252A" w:rsidRDefault="00A8252A" w:rsidP="007B223B">
                              <w:pPr>
                                <w:pStyle w:val="NormalWeb"/>
                                <w:spacing w:beforeAutospacing="0" w:afterAutospacing="0"/>
                                <w:textAlignment w:val="baseline"/>
                              </w:pPr>
                              <w:r>
                                <w:rPr>
                                  <w:rFonts w:ascii="Calibri" w:hAnsi="Calibri" w:cs="Arial"/>
                                  <w:color w:val="000000"/>
                                  <w:kern w:val="24"/>
                                  <w:sz w:val="26"/>
                                  <w:szCs w:val="26"/>
                                </w:rPr>
                                <w:t>Reporting</w:t>
                              </w:r>
                            </w:p>
                          </w:txbxContent>
                        </wps:txbx>
                        <wps:bodyPr rot="0" vert="horz" wrap="square" lIns="91440" tIns="45720" rIns="91440" bIns="45720" anchor="t" anchorCtr="0" upright="1">
                          <a:noAutofit/>
                        </wps:bodyPr>
                      </wps:wsp>
                      <wps:wsp>
                        <wps:cNvPr id="1389" name="TextBox 11"/>
                        <wps:cNvSpPr txBox="1">
                          <a:spLocks noChangeArrowheads="1"/>
                        </wps:cNvSpPr>
                        <wps:spPr bwMode="auto">
                          <a:xfrm>
                            <a:off x="0" y="11504"/>
                            <a:ext cx="10542" cy="304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26DCD123" w14:textId="77777777" w:rsidR="00A8252A" w:rsidRDefault="00A8252A" w:rsidP="007B223B">
                              <w:pPr>
                                <w:pStyle w:val="NormalWeb"/>
                                <w:spacing w:beforeAutospacing="0" w:afterAutospacing="0"/>
                                <w:textAlignment w:val="baseline"/>
                              </w:pPr>
                              <w:r>
                                <w:rPr>
                                  <w:rFonts w:ascii="Calibri" w:hAnsi="Calibri" w:cs="Arial"/>
                                  <w:color w:val="000000"/>
                                  <w:kern w:val="24"/>
                                  <w:sz w:val="26"/>
                                  <w:szCs w:val="26"/>
                                </w:rPr>
                                <w:t>Evaluation</w:t>
                              </w:r>
                            </w:p>
                          </w:txbxContent>
                        </wps:txbx>
                        <wps:bodyPr rot="0" vert="horz" wrap="square" lIns="91440" tIns="45720" rIns="91440" bIns="45720" anchor="t" anchorCtr="0" upright="1">
                          <a:noAutofit/>
                        </wps:bodyPr>
                      </wps:wsp>
                      <wps:wsp>
                        <wps:cNvPr id="1390" name="TextBox 12"/>
                        <wps:cNvSpPr txBox="1">
                          <a:spLocks noChangeArrowheads="1"/>
                        </wps:cNvSpPr>
                        <wps:spPr bwMode="auto">
                          <a:xfrm>
                            <a:off x="0" y="21026"/>
                            <a:ext cx="8622" cy="2727"/>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004FEA95" w14:textId="77777777" w:rsidR="00A8252A" w:rsidRDefault="00A8252A" w:rsidP="007B223B">
                              <w:pPr>
                                <w:pStyle w:val="NormalWeb"/>
                                <w:spacing w:before="0" w:beforeAutospacing="0" w:afterAutospacing="0"/>
                                <w:textAlignment w:val="baseline"/>
                              </w:pPr>
                              <w:r>
                                <w:rPr>
                                  <w:rFonts w:ascii="Calibri" w:hAnsi="Calibri" w:cs="Arial"/>
                                  <w:color w:val="000000"/>
                                  <w:kern w:val="24"/>
                                  <w:sz w:val="26"/>
                                  <w:szCs w:val="26"/>
                                </w:rPr>
                                <w:t>Analysis</w:t>
                              </w:r>
                            </w:p>
                          </w:txbxContent>
                        </wps:txbx>
                        <wps:bodyPr rot="0" vert="horz" wrap="square" lIns="91440" tIns="45720" rIns="91440" bIns="45720" anchor="t" anchorCtr="0" upright="1">
                          <a:noAutofit/>
                        </wps:bodyPr>
                      </wps:wsp>
                      <wps:wsp>
                        <wps:cNvPr id="1391" name="TextBox 13"/>
                        <wps:cNvSpPr txBox="1">
                          <a:spLocks noChangeArrowheads="1"/>
                        </wps:cNvSpPr>
                        <wps:spPr bwMode="auto">
                          <a:xfrm>
                            <a:off x="0" y="35283"/>
                            <a:ext cx="14195" cy="5144"/>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14E718D1" w14:textId="77777777" w:rsidR="00A8252A" w:rsidRDefault="00A8252A" w:rsidP="007B223B">
                              <w:pPr>
                                <w:pStyle w:val="NormalWeb"/>
                                <w:spacing w:beforeAutospacing="0" w:afterAutospacing="0"/>
                                <w:textAlignment w:val="baseline"/>
                              </w:pPr>
                              <w:r>
                                <w:rPr>
                                  <w:rFonts w:ascii="Calibri" w:hAnsi="Calibri" w:cs="Arial"/>
                                  <w:color w:val="000000"/>
                                  <w:kern w:val="24"/>
                                  <w:sz w:val="26"/>
                                  <w:szCs w:val="26"/>
                                </w:rPr>
                                <w:t>Field measurement</w:t>
                              </w:r>
                            </w:p>
                          </w:txbxContent>
                        </wps:txbx>
                        <wps:bodyPr rot="0" vert="horz" wrap="square" lIns="91440" tIns="45720" rIns="91440" bIns="45720" anchor="t" anchorCtr="0" upright="1">
                          <a:noAutofit/>
                        </wps:bodyPr>
                      </wps:wsp>
                      <wps:wsp>
                        <wps:cNvPr id="1392" name="TextBox 14"/>
                        <wps:cNvSpPr txBox="1">
                          <a:spLocks noChangeArrowheads="1"/>
                        </wps:cNvSpPr>
                        <wps:spPr bwMode="auto">
                          <a:xfrm>
                            <a:off x="11487" y="330"/>
                            <a:ext cx="27000" cy="576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solidFill>
                                  <a:srgbClr val="FFFFFF"/>
                                </a:solidFill>
                              </a14:hiddenFill>
                            </a:ext>
                          </a:extLst>
                        </wps:spPr>
                        <wps:txbx>
                          <w:txbxContent>
                            <w:p w14:paraId="00AFD6BC" w14:textId="77777777" w:rsidR="00A8252A" w:rsidRDefault="00A8252A" w:rsidP="007B223B">
                              <w:pPr>
                                <w:pStyle w:val="NormalWeb"/>
                                <w:spacing w:before="0" w:beforeAutospacing="0" w:after="0" w:afterAutospacing="0"/>
                                <w:textAlignment w:val="baseline"/>
                              </w:pPr>
                              <w:r>
                                <w:rPr>
                                  <w:rFonts w:ascii="Calibri" w:hAnsi="Calibri" w:cs="Arial"/>
                                  <w:b/>
                                  <w:bCs/>
                                  <w:color w:val="000000"/>
                                  <w:kern w:val="24"/>
                                  <w:sz w:val="21"/>
                                  <w:szCs w:val="21"/>
                                </w:rPr>
                                <w:t>Basin-scale Evaluation:</w:t>
                              </w:r>
                            </w:p>
                            <w:p w14:paraId="74CD8CBE" w14:textId="27DD4FD0" w:rsidR="00A8252A" w:rsidRDefault="00A8252A" w:rsidP="007B223B">
                              <w:pPr>
                                <w:pStyle w:val="NormalWeb"/>
                                <w:spacing w:before="0" w:beforeAutospacing="0" w:after="0" w:afterAutospacing="0"/>
                                <w:textAlignment w:val="baseline"/>
                              </w:pPr>
                              <w:r>
                                <w:rPr>
                                  <w:rFonts w:ascii="Calibri" w:hAnsi="Calibri" w:cs="Arial"/>
                                  <w:color w:val="000000"/>
                                  <w:kern w:val="24"/>
                                  <w:sz w:val="21"/>
                                  <w:szCs w:val="21"/>
                                </w:rPr>
                                <w:t xml:space="preserve">Questions for: </w:t>
                              </w:r>
                              <w:r w:rsidRPr="00851916">
                                <w:rPr>
                                  <w:rFonts w:ascii="Calibri" w:hAnsi="Calibri" w:cs="Arial"/>
                                  <w:i/>
                                  <w:color w:val="000000"/>
                                  <w:kern w:val="24"/>
                                  <w:sz w:val="21"/>
                                  <w:szCs w:val="21"/>
                                </w:rPr>
                                <w:t xml:space="preserve">Fish (Channel) </w:t>
                              </w:r>
                              <w:r>
                                <w:rPr>
                                  <w:rFonts w:ascii="Calibri" w:hAnsi="Calibri" w:cs="Arial"/>
                                  <w:color w:val="000000"/>
                                  <w:kern w:val="24"/>
                                  <w:sz w:val="21"/>
                                  <w:szCs w:val="21"/>
                                </w:rPr>
                                <w:t xml:space="preserve">and </w:t>
                              </w:r>
                              <w:r w:rsidRPr="00851916">
                                <w:rPr>
                                  <w:rFonts w:ascii="Calibri" w:hAnsi="Calibri" w:cs="Arial"/>
                                  <w:i/>
                                  <w:color w:val="000000"/>
                                  <w:kern w:val="24"/>
                                  <w:sz w:val="21"/>
                                  <w:szCs w:val="21"/>
                                </w:rPr>
                                <w:t>Stream Metabolism and Water Quality</w:t>
                              </w:r>
                            </w:p>
                          </w:txbxContent>
                        </wps:txbx>
                        <wps:bodyPr rot="0" vert="horz" wrap="square" lIns="91440" tIns="45720" rIns="91440" bIns="45720" anchor="t" anchorCtr="0" upright="1">
                          <a:noAutofit/>
                        </wps:bodyPr>
                      </wps:wsp>
                      <wps:wsp>
                        <wps:cNvPr id="1393" name="TextBox 15"/>
                        <wps:cNvSpPr txBox="1">
                          <a:spLocks noChangeArrowheads="1"/>
                        </wps:cNvSpPr>
                        <wps:spPr bwMode="auto">
                          <a:xfrm>
                            <a:off x="15984" y="28246"/>
                            <a:ext cx="7344" cy="3945"/>
                          </a:xfrm>
                          <a:prstGeom prst="rect">
                            <a:avLst/>
                          </a:prstGeom>
                          <a:solidFill>
                            <a:srgbClr val="8DB3E2"/>
                          </a:solidFill>
                          <a:ln w="9525">
                            <a:solidFill>
                              <a:srgbClr val="000000"/>
                            </a:solidFill>
                            <a:miter lim="800000"/>
                            <a:headEnd/>
                            <a:tailEnd/>
                          </a:ln>
                        </wps:spPr>
                        <wps:txbx>
                          <w:txbxContent>
                            <w:p w14:paraId="0C9D4BFF" w14:textId="77777777" w:rsidR="00A8252A" w:rsidRDefault="00A8252A" w:rsidP="007B223B">
                              <w:pPr>
                                <w:pStyle w:val="NormalWeb"/>
                                <w:spacing w:before="0" w:beforeAutospacing="0" w:afterAutospacing="0"/>
                                <w:jc w:val="center"/>
                                <w:textAlignment w:val="baseline"/>
                              </w:pPr>
                              <w:r>
                                <w:rPr>
                                  <w:rFonts w:ascii="Calibri" w:hAnsi="Calibri" w:cs="Arial"/>
                                  <w:color w:val="000000"/>
                                  <w:kern w:val="24"/>
                                  <w:sz w:val="20"/>
                                  <w:szCs w:val="20"/>
                                </w:rPr>
                                <w:t>Rating curve</w:t>
                              </w:r>
                            </w:p>
                          </w:txbxContent>
                        </wps:txbx>
                        <wps:bodyPr rot="0" vert="horz" wrap="square" lIns="91440" tIns="45720" rIns="91440" bIns="45720" anchor="t" anchorCtr="0" upright="1">
                          <a:noAutofit/>
                        </wps:bodyPr>
                      </wps:wsp>
                      <wps:wsp>
                        <wps:cNvPr id="1394" name="TextBox 16"/>
                        <wps:cNvSpPr txBox="1">
                          <a:spLocks noChangeArrowheads="1"/>
                        </wps:cNvSpPr>
                        <wps:spPr bwMode="auto">
                          <a:xfrm>
                            <a:off x="13104" y="38327"/>
                            <a:ext cx="10081" cy="5981"/>
                          </a:xfrm>
                          <a:prstGeom prst="rect">
                            <a:avLst/>
                          </a:prstGeom>
                          <a:solidFill>
                            <a:srgbClr val="8DB3E2"/>
                          </a:solidFill>
                          <a:ln w="9525">
                            <a:solidFill>
                              <a:srgbClr val="000000"/>
                            </a:solidFill>
                            <a:miter lim="800000"/>
                            <a:headEnd/>
                            <a:tailEnd/>
                          </a:ln>
                        </wps:spPr>
                        <wps:txbx>
                          <w:txbxContent>
                            <w:p w14:paraId="09792751" w14:textId="77777777" w:rsidR="00A8252A" w:rsidRDefault="00A8252A" w:rsidP="007B223B">
                              <w:pPr>
                                <w:pStyle w:val="NormalWeb"/>
                                <w:spacing w:before="0" w:beforeAutospacing="0" w:after="0" w:afterAutospacing="0"/>
                                <w:jc w:val="center"/>
                                <w:textAlignment w:val="baseline"/>
                              </w:pPr>
                              <w:r>
                                <w:rPr>
                                  <w:rFonts w:ascii="Calibri" w:hAnsi="Calibri" w:cs="Arial"/>
                                  <w:color w:val="000000"/>
                                  <w:kern w:val="24"/>
                                  <w:sz w:val="20"/>
                                  <w:szCs w:val="20"/>
                                </w:rPr>
                                <w:t>Stream cross sectional survey</w:t>
                              </w:r>
                            </w:p>
                          </w:txbxContent>
                        </wps:txbx>
                        <wps:bodyPr rot="0" vert="horz" wrap="square" lIns="91440" tIns="45720" rIns="91440" bIns="45720" anchor="t" anchorCtr="0" upright="1">
                          <a:noAutofit/>
                        </wps:bodyPr>
                      </wps:wsp>
                      <wps:wsp>
                        <wps:cNvPr id="1395" name="TextBox 15"/>
                        <wps:cNvSpPr txBox="1">
                          <a:spLocks noChangeArrowheads="1"/>
                        </wps:cNvSpPr>
                        <wps:spPr bwMode="auto">
                          <a:xfrm>
                            <a:off x="27506" y="28246"/>
                            <a:ext cx="7158" cy="4699"/>
                          </a:xfrm>
                          <a:prstGeom prst="rect">
                            <a:avLst/>
                          </a:prstGeom>
                          <a:solidFill>
                            <a:srgbClr val="8DB3E2"/>
                          </a:solidFill>
                          <a:ln w="9525">
                            <a:solidFill>
                              <a:srgbClr val="000000"/>
                            </a:solidFill>
                            <a:miter lim="800000"/>
                            <a:headEnd/>
                            <a:tailEnd/>
                          </a:ln>
                        </wps:spPr>
                        <wps:txbx>
                          <w:txbxContent>
                            <w:p w14:paraId="07E61251" w14:textId="77777777" w:rsidR="00A8252A" w:rsidRDefault="00A8252A" w:rsidP="007B223B">
                              <w:pPr>
                                <w:pStyle w:val="NormalWeb"/>
                                <w:spacing w:beforeAutospacing="0" w:afterAutospacing="0"/>
                                <w:jc w:val="center"/>
                                <w:textAlignment w:val="baseline"/>
                              </w:pPr>
                              <w:r>
                                <w:rPr>
                                  <w:rFonts w:ascii="Calibri" w:hAnsi="Calibri" w:cs="Arial"/>
                                  <w:color w:val="000000"/>
                                  <w:kern w:val="24"/>
                                  <w:sz w:val="20"/>
                                  <w:szCs w:val="20"/>
                                </w:rPr>
                                <w:t>Water level</w:t>
                              </w:r>
                            </w:p>
                          </w:txbxContent>
                        </wps:txbx>
                        <wps:bodyPr rot="0" vert="horz" wrap="square" lIns="91440" tIns="45720" rIns="91440" bIns="45720" anchor="t" anchorCtr="0" upright="1">
                          <a:noAutofit/>
                        </wps:bodyPr>
                      </wps:wsp>
                      <wps:wsp>
                        <wps:cNvPr id="1396" name="TextBox 28"/>
                        <wps:cNvSpPr txBox="1">
                          <a:spLocks noChangeArrowheads="1"/>
                        </wps:cNvSpPr>
                        <wps:spPr bwMode="auto">
                          <a:xfrm>
                            <a:off x="23905" y="8640"/>
                            <a:ext cx="16481" cy="5041"/>
                          </a:xfrm>
                          <a:prstGeom prst="rect">
                            <a:avLst/>
                          </a:prstGeom>
                          <a:solidFill>
                            <a:schemeClr val="bg1">
                              <a:lumMod val="100000"/>
                              <a:lumOff val="0"/>
                            </a:schemeClr>
                          </a:solidFill>
                          <a:ln w="9525">
                            <a:solidFill>
                              <a:srgbClr val="000000"/>
                            </a:solidFill>
                            <a:miter lim="800000"/>
                            <a:headEnd/>
                            <a:tailEnd/>
                          </a:ln>
                        </wps:spPr>
                        <wps:txbx>
                          <w:txbxContent>
                            <w:p w14:paraId="20595045" w14:textId="535040AF" w:rsidR="00A8252A" w:rsidRPr="00EB60F2" w:rsidRDefault="00A8252A" w:rsidP="007B223B">
                              <w:pPr>
                                <w:pStyle w:val="NormalWeb"/>
                                <w:spacing w:before="0" w:beforeAutospacing="0" w:after="0" w:afterAutospacing="0"/>
                                <w:jc w:val="center"/>
                                <w:textAlignment w:val="baseline"/>
                                <w:rPr>
                                  <w:sz w:val="22"/>
                                </w:rPr>
                              </w:pPr>
                              <w:r w:rsidRPr="00EB60F2">
                                <w:rPr>
                                  <w:rFonts w:ascii="Calibri" w:hAnsi="Calibri" w:cs="Arial"/>
                                  <w:color w:val="000000"/>
                                  <w:kern w:val="24"/>
                                  <w:sz w:val="18"/>
                                  <w:szCs w:val="20"/>
                                </w:rPr>
                                <w:t>Predictive Ecological Response Model (</w:t>
                              </w:r>
                              <w:r w:rsidRPr="00851916">
                                <w:rPr>
                                  <w:rFonts w:ascii="Calibri" w:hAnsi="Calibri" w:cs="Arial"/>
                                  <w:i/>
                                  <w:color w:val="000000"/>
                                  <w:kern w:val="24"/>
                                  <w:sz w:val="18"/>
                                  <w:szCs w:val="20"/>
                                </w:rPr>
                                <w:t>Stream Metabolism and Water Quality</w:t>
                              </w:r>
                              <w:r w:rsidRPr="00EB60F2">
                                <w:rPr>
                                  <w:rFonts w:ascii="Calibri" w:hAnsi="Calibri" w:cs="Arial"/>
                                  <w:color w:val="000000"/>
                                  <w:kern w:val="24"/>
                                  <w:sz w:val="18"/>
                                  <w:szCs w:val="20"/>
                                </w:rPr>
                                <w:t>)</w:t>
                              </w:r>
                            </w:p>
                          </w:txbxContent>
                        </wps:txbx>
                        <wps:bodyPr rot="0" vert="horz" wrap="square" lIns="91440" tIns="45720" rIns="91440" bIns="45720" anchor="t" anchorCtr="0" upright="1">
                          <a:noAutofit/>
                        </wps:bodyPr>
                      </wps:wsp>
                      <wps:wsp>
                        <wps:cNvPr id="1397" name="Straight Arrow Connector 16"/>
                        <wps:cNvCnPr>
                          <a:cxnSpLocks noChangeShapeType="1"/>
                        </wps:cNvCnPr>
                        <wps:spPr bwMode="auto">
                          <a:xfrm flipV="1">
                            <a:off x="31826" y="6090"/>
                            <a:ext cx="361" cy="2550"/>
                          </a:xfrm>
                          <a:prstGeom prst="straightConnector1">
                            <a:avLst/>
                          </a:prstGeom>
                          <a:noFill/>
                          <a:ln w="9525">
                            <a:solidFill>
                              <a:schemeClr val="tx1">
                                <a:lumMod val="100000"/>
                                <a:lumOff val="0"/>
                              </a:schemeClr>
                            </a:solidFill>
                            <a:round/>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s:wsp>
                        <wps:cNvPr id="1398" name="Elbow Connector 17"/>
                        <wps:cNvCnPr>
                          <a:cxnSpLocks noChangeShapeType="1"/>
                        </wps:cNvCnPr>
                        <wps:spPr bwMode="auto">
                          <a:xfrm rot="5400000" flipH="1" flipV="1">
                            <a:off x="24184" y="10522"/>
                            <a:ext cx="4484" cy="10801"/>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s:wsp>
                        <wps:cNvPr id="1399" name="Elbow Connector 18"/>
                        <wps:cNvCnPr>
                          <a:cxnSpLocks noChangeShapeType="1"/>
                        </wps:cNvCnPr>
                        <wps:spPr bwMode="auto">
                          <a:xfrm rot="16200000" flipV="1">
                            <a:off x="34625" y="10882"/>
                            <a:ext cx="4484" cy="10081"/>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s:wsp>
                        <wps:cNvPr id="1400" name="TextBox 28"/>
                        <wps:cNvSpPr txBox="1">
                          <a:spLocks noChangeArrowheads="1"/>
                        </wps:cNvSpPr>
                        <wps:spPr bwMode="auto">
                          <a:xfrm>
                            <a:off x="13824" y="18165"/>
                            <a:ext cx="14402" cy="5760"/>
                          </a:xfrm>
                          <a:prstGeom prst="rect">
                            <a:avLst/>
                          </a:prstGeom>
                          <a:solidFill>
                            <a:schemeClr val="bg1">
                              <a:lumMod val="100000"/>
                              <a:lumOff val="0"/>
                            </a:schemeClr>
                          </a:solidFill>
                          <a:ln w="9525">
                            <a:solidFill>
                              <a:srgbClr val="000000"/>
                            </a:solidFill>
                            <a:miter lim="800000"/>
                            <a:headEnd/>
                            <a:tailEnd/>
                          </a:ln>
                        </wps:spPr>
                        <wps:txbx>
                          <w:txbxContent>
                            <w:p w14:paraId="1D692C4D" w14:textId="77777777" w:rsidR="00A8252A" w:rsidRDefault="00A8252A" w:rsidP="007B223B">
                              <w:pPr>
                                <w:pStyle w:val="NormalWeb"/>
                                <w:spacing w:before="0" w:beforeAutospacing="0" w:after="0" w:afterAutospacing="0"/>
                                <w:jc w:val="center"/>
                                <w:textAlignment w:val="baseline"/>
                              </w:pPr>
                              <w:r>
                                <w:rPr>
                                  <w:rFonts w:ascii="Calibri" w:hAnsi="Calibri" w:cs="Arial"/>
                                  <w:color w:val="000000"/>
                                  <w:kern w:val="24"/>
                                  <w:sz w:val="20"/>
                                  <w:szCs w:val="20"/>
                                </w:rPr>
                                <w:t>River water regime (water level; discharge)</w:t>
                              </w:r>
                            </w:p>
                          </w:txbxContent>
                        </wps:txbx>
                        <wps:bodyPr rot="0" vert="horz" wrap="square" lIns="91440" tIns="45720" rIns="91440" bIns="45720" anchor="t" anchorCtr="0" upright="1">
                          <a:noAutofit/>
                        </wps:bodyPr>
                      </wps:wsp>
                      <wps:wsp>
                        <wps:cNvPr id="1401" name="TextBox 28"/>
                        <wps:cNvSpPr txBox="1">
                          <a:spLocks noChangeArrowheads="1"/>
                        </wps:cNvSpPr>
                        <wps:spPr bwMode="auto">
                          <a:xfrm>
                            <a:off x="34709" y="18167"/>
                            <a:ext cx="14402" cy="4680"/>
                          </a:xfrm>
                          <a:prstGeom prst="rect">
                            <a:avLst/>
                          </a:prstGeom>
                          <a:solidFill>
                            <a:schemeClr val="bg1">
                              <a:lumMod val="100000"/>
                              <a:lumOff val="0"/>
                            </a:schemeClr>
                          </a:solidFill>
                          <a:ln w="9525">
                            <a:solidFill>
                              <a:srgbClr val="000000"/>
                            </a:solidFill>
                            <a:miter lim="800000"/>
                            <a:headEnd/>
                            <a:tailEnd/>
                          </a:ln>
                        </wps:spPr>
                        <wps:txbx>
                          <w:txbxContent>
                            <w:p w14:paraId="66D55984" w14:textId="77777777" w:rsidR="00A8252A" w:rsidRDefault="00A8252A" w:rsidP="007B223B">
                              <w:pPr>
                                <w:pStyle w:val="NormalWeb"/>
                                <w:spacing w:before="0" w:beforeAutospacing="0" w:after="0" w:afterAutospacing="0"/>
                                <w:jc w:val="center"/>
                              </w:pPr>
                              <w:r w:rsidRPr="00EB60F2">
                                <w:rPr>
                                  <w:rFonts w:asciiTheme="minorHAnsi" w:hAnsi="Calibri" w:cstheme="minorBidi"/>
                                  <w:color w:val="000000" w:themeColor="text1"/>
                                  <w:kern w:val="24"/>
                                  <w:sz w:val="20"/>
                                  <w:szCs w:val="20"/>
                                </w:rPr>
                                <w:t xml:space="preserve">Contribution of </w:t>
                              </w:r>
                              <w:r>
                                <w:rPr>
                                  <w:rFonts w:asciiTheme="minorHAnsi" w:hAnsi="Calibri" w:cstheme="minorBidi"/>
                                  <w:color w:val="000000" w:themeColor="text1"/>
                                  <w:kern w:val="24"/>
                                  <w:sz w:val="20"/>
                                  <w:szCs w:val="20"/>
                                </w:rPr>
                                <w:t>CEW</w:t>
                              </w:r>
                            </w:p>
                            <w:p w14:paraId="21D80B1A" w14:textId="623E16EB" w:rsidR="00A8252A" w:rsidRDefault="00A8252A" w:rsidP="007B223B">
                              <w:pPr>
                                <w:pStyle w:val="NormalWeb"/>
                                <w:spacing w:before="0" w:beforeAutospacing="0" w:after="0" w:afterAutospacing="0"/>
                                <w:jc w:val="center"/>
                              </w:pPr>
                              <w:r w:rsidRPr="00EB60F2">
                                <w:rPr>
                                  <w:rFonts w:asciiTheme="minorHAnsi" w:hAnsi="Calibri" w:cstheme="minorBidi"/>
                                  <w:color w:val="000000" w:themeColor="text1"/>
                                  <w:kern w:val="24"/>
                                  <w:sz w:val="20"/>
                                  <w:szCs w:val="20"/>
                                </w:rPr>
                                <w:t>(</w:t>
                              </w:r>
                              <w:r w:rsidRPr="00851916">
                                <w:rPr>
                                  <w:rFonts w:asciiTheme="minorHAnsi" w:hAnsi="Calibri" w:cstheme="minorBidi"/>
                                  <w:i/>
                                  <w:color w:val="000000" w:themeColor="text1"/>
                                  <w:kern w:val="24"/>
                                  <w:sz w:val="20"/>
                                  <w:szCs w:val="20"/>
                                </w:rPr>
                                <w:t>Hydraulic Regime</w:t>
                              </w:r>
                              <w:r w:rsidRPr="00EB60F2">
                                <w:rPr>
                                  <w:rFonts w:asciiTheme="minorHAnsi" w:hAnsi="Calibri" w:cstheme="minorBidi"/>
                                  <w:color w:val="000000" w:themeColor="text1"/>
                                  <w:kern w:val="24"/>
                                  <w:sz w:val="20"/>
                                  <w:szCs w:val="20"/>
                                </w:rPr>
                                <w:t>)</w:t>
                              </w:r>
                            </w:p>
                          </w:txbxContent>
                        </wps:txbx>
                        <wps:bodyPr rot="0" vert="horz" wrap="square" lIns="91440" tIns="45720" rIns="91440" bIns="45720" anchor="t" anchorCtr="0" upright="1">
                          <a:noAutofit/>
                        </wps:bodyPr>
                      </wps:wsp>
                      <wps:wsp>
                        <wps:cNvPr id="1402" name="TextBox 16"/>
                        <wps:cNvSpPr txBox="1">
                          <a:spLocks noChangeArrowheads="1"/>
                        </wps:cNvSpPr>
                        <wps:spPr bwMode="auto">
                          <a:xfrm>
                            <a:off x="24625" y="39767"/>
                            <a:ext cx="8641" cy="3601"/>
                          </a:xfrm>
                          <a:prstGeom prst="rect">
                            <a:avLst/>
                          </a:prstGeom>
                          <a:solidFill>
                            <a:srgbClr val="8DB3E2"/>
                          </a:solidFill>
                          <a:ln w="9525">
                            <a:solidFill>
                              <a:srgbClr val="000000"/>
                            </a:solidFill>
                            <a:miter lim="800000"/>
                            <a:headEnd/>
                            <a:tailEnd/>
                          </a:ln>
                        </wps:spPr>
                        <wps:txbx>
                          <w:txbxContent>
                            <w:p w14:paraId="782E985E" w14:textId="77777777" w:rsidR="00A8252A" w:rsidRDefault="00A8252A" w:rsidP="007B223B">
                              <w:pPr>
                                <w:pStyle w:val="NormalWeb"/>
                                <w:spacing w:before="0" w:beforeAutospacing="0" w:after="0" w:afterAutospacing="0"/>
                                <w:jc w:val="center"/>
                                <w:textAlignment w:val="baseline"/>
                              </w:pPr>
                              <w:r>
                                <w:rPr>
                                  <w:rFonts w:ascii="Calibri" w:hAnsi="Calibri" w:cs="Arial"/>
                                  <w:color w:val="000000"/>
                                  <w:kern w:val="24"/>
                                  <w:sz w:val="20"/>
                                  <w:szCs w:val="20"/>
                                </w:rPr>
                                <w:t>Velocity</w:t>
                              </w:r>
                            </w:p>
                          </w:txbxContent>
                        </wps:txbx>
                        <wps:bodyPr rot="0" vert="horz" wrap="square" lIns="91440" tIns="45720" rIns="91440" bIns="45720" anchor="t" anchorCtr="0" upright="1">
                          <a:noAutofit/>
                        </wps:bodyPr>
                      </wps:wsp>
                      <wps:wsp>
                        <wps:cNvPr id="1403" name="TextBox 16"/>
                        <wps:cNvSpPr txBox="1">
                          <a:spLocks noChangeArrowheads="1"/>
                        </wps:cNvSpPr>
                        <wps:spPr bwMode="auto">
                          <a:xfrm>
                            <a:off x="38307" y="39767"/>
                            <a:ext cx="8641" cy="3601"/>
                          </a:xfrm>
                          <a:prstGeom prst="rect">
                            <a:avLst/>
                          </a:prstGeom>
                          <a:solidFill>
                            <a:srgbClr val="8DB3E2"/>
                          </a:solidFill>
                          <a:ln w="9525">
                            <a:solidFill>
                              <a:srgbClr val="000000"/>
                            </a:solidFill>
                            <a:miter lim="800000"/>
                            <a:headEnd/>
                            <a:tailEnd/>
                          </a:ln>
                        </wps:spPr>
                        <wps:txbx>
                          <w:txbxContent>
                            <w:p w14:paraId="2E9849A2" w14:textId="77777777" w:rsidR="00A8252A" w:rsidRDefault="00A8252A" w:rsidP="007B223B">
                              <w:pPr>
                                <w:pStyle w:val="NormalWeb"/>
                                <w:spacing w:before="0" w:beforeAutospacing="0" w:after="0" w:afterAutospacing="0"/>
                                <w:jc w:val="center"/>
                                <w:textAlignment w:val="baseline"/>
                              </w:pPr>
                              <w:r>
                                <w:rPr>
                                  <w:rFonts w:ascii="Calibri" w:hAnsi="Calibri" w:cs="Arial"/>
                                  <w:color w:val="000000"/>
                                  <w:kern w:val="24"/>
                                  <w:sz w:val="20"/>
                                  <w:szCs w:val="20"/>
                                </w:rPr>
                                <w:t>Water level</w:t>
                              </w:r>
                            </w:p>
                          </w:txbxContent>
                        </wps:txbx>
                        <wps:bodyPr rot="0" vert="horz" wrap="square" lIns="91440" tIns="45720" rIns="91440" bIns="45720" anchor="t" anchorCtr="0" upright="1">
                          <a:noAutofit/>
                        </wps:bodyPr>
                      </wps:wsp>
                      <wps:wsp>
                        <wps:cNvPr id="1404" name="TextBox 28"/>
                        <wps:cNvSpPr txBox="1">
                          <a:spLocks noChangeArrowheads="1"/>
                        </wps:cNvSpPr>
                        <wps:spPr bwMode="auto">
                          <a:xfrm>
                            <a:off x="41187" y="8804"/>
                            <a:ext cx="12962" cy="5040"/>
                          </a:xfrm>
                          <a:prstGeom prst="rect">
                            <a:avLst/>
                          </a:prstGeom>
                          <a:solidFill>
                            <a:schemeClr val="bg1">
                              <a:lumMod val="100000"/>
                              <a:lumOff val="0"/>
                            </a:schemeClr>
                          </a:solidFill>
                          <a:ln w="9525">
                            <a:solidFill>
                              <a:srgbClr val="000000"/>
                            </a:solidFill>
                            <a:miter lim="800000"/>
                            <a:headEnd/>
                            <a:tailEnd/>
                          </a:ln>
                        </wps:spPr>
                        <wps:txbx>
                          <w:txbxContent>
                            <w:p w14:paraId="234D8C84" w14:textId="28B2BF74" w:rsidR="00A8252A" w:rsidRPr="00EB60F2" w:rsidRDefault="00A8252A" w:rsidP="007B223B">
                              <w:pPr>
                                <w:pStyle w:val="NormalWeb"/>
                                <w:spacing w:before="0" w:beforeAutospacing="0" w:after="0" w:afterAutospacing="0"/>
                                <w:jc w:val="center"/>
                                <w:textAlignment w:val="baseline"/>
                                <w:rPr>
                                  <w:sz w:val="22"/>
                                </w:rPr>
                              </w:pPr>
                              <w:r w:rsidRPr="00EB60F2">
                                <w:rPr>
                                  <w:rFonts w:ascii="Calibri" w:hAnsi="Calibri" w:cs="Arial"/>
                                  <w:color w:val="000000"/>
                                  <w:kern w:val="24"/>
                                  <w:sz w:val="18"/>
                                  <w:szCs w:val="20"/>
                                </w:rPr>
                                <w:t>Predictive Ecological Response Model (</w:t>
                              </w:r>
                              <w:r>
                                <w:rPr>
                                  <w:rFonts w:ascii="Calibri" w:hAnsi="Calibri" w:cs="Arial"/>
                                  <w:color w:val="000000"/>
                                  <w:kern w:val="24"/>
                                  <w:sz w:val="18"/>
                                  <w:szCs w:val="20"/>
                                </w:rPr>
                                <w:t>F</w:t>
                              </w:r>
                              <w:r w:rsidRPr="00EB60F2">
                                <w:rPr>
                                  <w:rFonts w:ascii="Calibri" w:hAnsi="Calibri" w:cs="Arial"/>
                                  <w:color w:val="000000"/>
                                  <w:kern w:val="24"/>
                                  <w:sz w:val="18"/>
                                  <w:szCs w:val="20"/>
                                </w:rPr>
                                <w:t>ish</w:t>
                              </w:r>
                              <w:r>
                                <w:rPr>
                                  <w:rFonts w:ascii="Calibri" w:hAnsi="Calibri" w:cs="Arial"/>
                                  <w:color w:val="000000"/>
                                  <w:kern w:val="24"/>
                                  <w:sz w:val="18"/>
                                  <w:szCs w:val="20"/>
                                </w:rPr>
                                <w:t xml:space="preserve"> indicators</w:t>
                              </w:r>
                              <w:r w:rsidRPr="00EB60F2">
                                <w:rPr>
                                  <w:rFonts w:ascii="Calibri" w:hAnsi="Calibri" w:cs="Arial"/>
                                  <w:color w:val="000000"/>
                                  <w:kern w:val="24"/>
                                  <w:sz w:val="18"/>
                                  <w:szCs w:val="20"/>
                                </w:rPr>
                                <w:t>)</w:t>
                              </w:r>
                            </w:p>
                          </w:txbxContent>
                        </wps:txbx>
                        <wps:bodyPr rot="0" vert="horz" wrap="square" lIns="91440" tIns="45720" rIns="91440" bIns="45720" anchor="t" anchorCtr="0" upright="1">
                          <a:noAutofit/>
                        </wps:bodyPr>
                      </wps:wsp>
                      <wps:wsp>
                        <wps:cNvPr id="1405" name="TextBox 28"/>
                        <wps:cNvSpPr txBox="1">
                          <a:spLocks noChangeArrowheads="1"/>
                        </wps:cNvSpPr>
                        <wps:spPr bwMode="auto">
                          <a:xfrm>
                            <a:off x="10224" y="8804"/>
                            <a:ext cx="12961" cy="5040"/>
                          </a:xfrm>
                          <a:prstGeom prst="rect">
                            <a:avLst/>
                          </a:prstGeom>
                          <a:solidFill>
                            <a:schemeClr val="bg1">
                              <a:lumMod val="100000"/>
                              <a:lumOff val="0"/>
                            </a:schemeClr>
                          </a:solidFill>
                          <a:ln w="9525">
                            <a:solidFill>
                              <a:srgbClr val="000000"/>
                            </a:solidFill>
                            <a:miter lim="800000"/>
                            <a:headEnd/>
                            <a:tailEnd/>
                          </a:ln>
                        </wps:spPr>
                        <wps:txbx>
                          <w:txbxContent>
                            <w:p w14:paraId="7114746C" w14:textId="77777777" w:rsidR="00A8252A" w:rsidRPr="00EB60F2" w:rsidRDefault="00A8252A" w:rsidP="007B223B">
                              <w:pPr>
                                <w:pStyle w:val="NormalWeb"/>
                                <w:spacing w:before="0" w:beforeAutospacing="0" w:after="0" w:afterAutospacing="0"/>
                                <w:jc w:val="center"/>
                                <w:textAlignment w:val="baseline"/>
                                <w:rPr>
                                  <w:sz w:val="22"/>
                                </w:rPr>
                              </w:pPr>
                              <w:r w:rsidRPr="00EB60F2">
                                <w:rPr>
                                  <w:rFonts w:ascii="Calibri" w:hAnsi="Calibri" w:cs="Arial"/>
                                  <w:color w:val="000000"/>
                                  <w:kern w:val="24"/>
                                  <w:sz w:val="18"/>
                                  <w:szCs w:val="20"/>
                                </w:rPr>
                                <w:t>Predictive Ecological Response Model (hydro connectivity)</w:t>
                              </w:r>
                            </w:p>
                          </w:txbxContent>
                        </wps:txbx>
                        <wps:bodyPr rot="0" vert="horz" wrap="square" lIns="91440" tIns="45720" rIns="91440" bIns="45720" anchor="t" anchorCtr="0" upright="1">
                          <a:noAutofit/>
                        </wps:bodyPr>
                      </wps:wsp>
                      <wps:wsp>
                        <wps:cNvPr id="1406" name="Elbow Connector 25"/>
                        <wps:cNvCnPr>
                          <a:cxnSpLocks noChangeShapeType="1"/>
                        </wps:cNvCnPr>
                        <wps:spPr bwMode="auto">
                          <a:xfrm rot="16200000" flipV="1">
                            <a:off x="38571" y="-294"/>
                            <a:ext cx="2714" cy="15481"/>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s:wsp>
                        <wps:cNvPr id="1407" name="Elbow Connector 26"/>
                        <wps:cNvCnPr>
                          <a:cxnSpLocks noChangeShapeType="1"/>
                        </wps:cNvCnPr>
                        <wps:spPr bwMode="auto">
                          <a:xfrm rot="5400000" flipH="1" flipV="1">
                            <a:off x="23089" y="-295"/>
                            <a:ext cx="2714" cy="15483"/>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s:wsp>
                        <wps:cNvPr id="1408" name="Straight Arrow Connector 27"/>
                        <wps:cNvCnPr>
                          <a:cxnSpLocks noChangeShapeType="1"/>
                        </wps:cNvCnPr>
                        <wps:spPr bwMode="auto">
                          <a:xfrm>
                            <a:off x="28226" y="21044"/>
                            <a:ext cx="6483" cy="1"/>
                          </a:xfrm>
                          <a:prstGeom prst="straightConnector1">
                            <a:avLst/>
                          </a:prstGeom>
                          <a:noFill/>
                          <a:ln w="9525">
                            <a:solidFill>
                              <a:schemeClr val="tx1">
                                <a:lumMod val="100000"/>
                                <a:lumOff val="0"/>
                              </a:schemeClr>
                            </a:solidFill>
                            <a:round/>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s:wsp>
                        <wps:cNvPr id="1409" name="Elbow Connector 28"/>
                        <wps:cNvCnPr>
                          <a:cxnSpLocks noChangeShapeType="1"/>
                        </wps:cNvCnPr>
                        <wps:spPr bwMode="auto">
                          <a:xfrm rot="16200000" flipV="1">
                            <a:off x="27145" y="3403"/>
                            <a:ext cx="4321" cy="25203"/>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s:wsp>
                        <wps:cNvPr id="1410" name="Elbow Connector 29"/>
                        <wps:cNvCnPr>
                          <a:cxnSpLocks noChangeShapeType="1"/>
                        </wps:cNvCnPr>
                        <wps:spPr bwMode="auto">
                          <a:xfrm rot="5400000" flipH="1" flipV="1">
                            <a:off x="32186" y="2683"/>
                            <a:ext cx="4321" cy="26643"/>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s:wsp>
                        <wps:cNvPr id="1411" name="Elbow Connector 30"/>
                        <wps:cNvCnPr>
                          <a:cxnSpLocks noChangeShapeType="1"/>
                        </wps:cNvCnPr>
                        <wps:spPr bwMode="auto">
                          <a:xfrm rot="16200000" flipV="1">
                            <a:off x="23894" y="21056"/>
                            <a:ext cx="4321" cy="10060"/>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s:wsp>
                        <wps:cNvPr id="1412" name="Elbow Connector 31"/>
                        <wps:cNvCnPr>
                          <a:cxnSpLocks noChangeShapeType="1"/>
                        </wps:cNvCnPr>
                        <wps:spPr bwMode="auto">
                          <a:xfrm rot="5400000" flipH="1" flipV="1">
                            <a:off x="18180" y="25401"/>
                            <a:ext cx="4321" cy="1369"/>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s:wsp>
                        <wps:cNvPr id="1413" name="Elbow Connector 32"/>
                        <wps:cNvCnPr>
                          <a:cxnSpLocks noChangeShapeType="1"/>
                        </wps:cNvCnPr>
                        <wps:spPr bwMode="auto">
                          <a:xfrm rot="5400000" flipH="1" flipV="1">
                            <a:off x="15833" y="34503"/>
                            <a:ext cx="6136" cy="1511"/>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s:wsp>
                        <wps:cNvPr id="1414" name="Elbow Connector 33"/>
                        <wps:cNvCnPr>
                          <a:cxnSpLocks noChangeShapeType="1"/>
                        </wps:cNvCnPr>
                        <wps:spPr bwMode="auto">
                          <a:xfrm rot="16200000" flipV="1">
                            <a:off x="20513" y="31334"/>
                            <a:ext cx="7576" cy="9290"/>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s:wsp>
                        <wps:cNvPr id="1415" name="Elbow Connector 34"/>
                        <wps:cNvCnPr>
                          <a:cxnSpLocks noChangeShapeType="1"/>
                        </wps:cNvCnPr>
                        <wps:spPr bwMode="auto">
                          <a:xfrm rot="16200000" flipV="1">
                            <a:off x="33445" y="30585"/>
                            <a:ext cx="6822" cy="11542"/>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g:wgp>
                  </a:graphicData>
                </a:graphic>
              </wp:inline>
            </w:drawing>
          </mc:Choice>
          <mc:Fallback>
            <w:pict>
              <v:group w14:anchorId="28140B1B" id="Group 7" o:spid="_x0000_s1026" style="width:433.7pt;height:375.5pt;mso-position-horizontal-relative:char;mso-position-vertical-relative:line" coordsize="55080,47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">
                <v:rect id="Rectangle 2" o:spid="_x0000_s1027" style="position:absolute;width:55080;height:47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zdMMA&#10;AADdAAAADwAAAGRycy9kb3ducmV2LnhtbERPTWvCQBC9F/wPywje6karIqmrSKSgWCjVXnobstMk&#10;mp0Nu2sS/71bKPQ2j/c5q01vatGS85VlBZNxAoI4t7riQsHX+e15CcIHZI21ZVJwJw+b9eBpham2&#10;HX9SewqFiCHsU1RQhtCkUvq8JIN+bBviyP1YZzBE6AqpHXYx3NRymiQLabDi2FBiQ1lJ+fV0Mwq+&#10;5xf5UWUd3t4Pu+O8dTbJZlap0bDfvoII1Id/8Z97r+P8l+UMfr+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WzdMMAAADdAAAADwAAAAAAAAAAAAAAAACYAgAAZHJzL2Rv&#10;d25yZXYueG1sUEsFBgAAAAAEAAQA9QAAAIgDAAAAAA==&#10;" filled="f" strokeweight="1pt"/>
                <v:line id="Straight Connector 3" o:spid="_x0000_s1028" style="position:absolute;visibility:visible;mso-wrap-style:square" from="0,7493" to="55080,7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GrCcYAAADdAAAADwAAAGRycy9kb3ducmV2LnhtbERPTWvCQBC9C/0PyxR6000VRaKrFK0g&#10;YqVGCz0O2WmSJjubZldN++vdguBtHu9zpvPWVOJMjSssK3juRSCIU6sLzhQcD6vuGITzyBory6Tg&#10;lxzMZw+dKcbaXnhP58RnIoSwi1FB7n0dS+nSnAy6nq2JA/dlG4M+wCaTusFLCDeV7EfRSBosODTk&#10;WNMip7RMTkbB26v92JX+888Oivf+z2b7XY5WS6WeHtuXCQhPrb+Lb+61DvMH4yH8fxNO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xqwnGAAAA3QAAAA8AAAAAAAAA&#10;AAAAAAAAoQIAAGRycy9kb3ducmV2LnhtbFBLBQYAAAAABAAEAPkAAACUAwAAAAA=&#10;" strokeweight="1.5pt">
                  <v:stroke dashstyle="3 1"/>
                </v:line>
                <v:line id="Straight Connector 4" o:spid="_x0000_s1029" style="position:absolute;visibility:visible;mso-wrap-style:square" from="0,14986" to="55080,1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M1fsUAAADdAAAADwAAAGRycy9kb3ducmV2LnhtbERP22rCQBB9L/Qflin4VjdVCBJdpVQF&#10;kVZaL+DjkB2TNNnZmF01+vWuUOjbHM51RpPWVOJMjSssK3jrRiCIU6sLzhRsN/PXAQjnkTVWlknB&#10;lRxMxs9PI0y0vfAPndc+EyGEXYIKcu/rREqX5mTQdW1NHLiDbQz6AJtM6gYvIdxUshdFsTRYcGjI&#10;saaPnNJyfTIKvmZ2tyr9/mb7xXfvuPz8LeP5VKnOS/s+BOGp9f/iP/dCh/n9QQyPb8IJcn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M1fsUAAADdAAAADwAAAAAAAAAA&#10;AAAAAAChAgAAZHJzL2Rvd25yZXYueG1sUEsFBgAAAAAEAAQA+QAAAJMDAAAAAA==&#10;" strokeweight="1.5pt">
                  <v:stroke dashstyle="3 1"/>
                </v:line>
                <v:line id="Straight Connector 5" o:spid="_x0000_s1030" style="position:absolute;visibility:visible;mso-wrap-style:square" from="0,34563" to="55080,34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Q5cYAAADdAAAADwAAAGRycy9kb3ducmV2LnhtbERP22rCQBB9L/Qflin0rW6qYCW6SvEC&#10;IlZqtNDHITtN0mRnY3bV2K93C4JvczjXGU1aU4kTNa6wrOC1E4EgTq0uOFOw3y1eBiCcR9ZYWSYF&#10;F3IwGT8+jDDW9sxbOiU+EyGEXYwKcu/rWEqX5mTQdWxNHLgf2xj0ATaZ1A2eQ7ipZDeK+tJgwaEh&#10;x5qmOaVlcjQKPub2a1P67z/bKz67h9X6t+wvZko9P7XvQxCeWn8X39xLHeb3Bm/w/004QY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vkOXGAAAA3QAAAA8AAAAAAAAA&#10;AAAAAAAAoQIAAGRycy9kb3ducmV2LnhtbFBLBQYAAAAABAAEAPkAAACUAwAAAAA=&#10;" strokeweight="1.5pt">
                  <v:stroke dashstyle="3 1"/>
                </v:line>
                <v:shapetype id="_x0000_t202" coordsize="21600,21600" o:spt="202" path="m,l,21600r21600,l21600,xe">
                  <v:stroke joinstyle="miter"/>
                  <v:path gradientshapeok="t" o:connecttype="rect"/>
                </v:shapetype>
                <v:shape id="TextBox 10" o:spid="_x0000_s1031" type="#_x0000_t202" style="position:absolute;top:4001;width:10200;height:3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C8UA&#10;AADdAAAADwAAAGRycy9kb3ducmV2LnhtbESPT2vCQBDF70K/wzIFb7pbrWJTVymK4Kmi/QO9Ddkx&#10;Cc3Ohuxq0m/fOQjeZnhv3vvNct37Wl2pjVVgC09jA4o4D67iwsLnx260ABUTssM6MFn4owjr1cNg&#10;iZkLHR/pekqFkhCOGVooU2oyrWNeksc4Dg2xaOfQekyytoV2LXYS7ms9MWauPVYsDSU2tCkp/z1d&#10;vIWv9/PP97M5FFs/a7rQG83+RVs7fOzfXkEl6tPdfLveO8GfLg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qQkLxQAAAN0AAAAPAAAAAAAAAAAAAAAAAJgCAABkcnMv&#10;ZG93bnJldi54bWxQSwUGAAAAAAQABAD1AAAAigMAAAAA&#10;" filled="f" stroked="f">
                  <v:textbox>
                    <w:txbxContent>
                      <w:p w14:paraId="5A310D6C" w14:textId="77777777" w:rsidR="00A8252A" w:rsidRDefault="00A8252A" w:rsidP="007B223B">
                        <w:pPr>
                          <w:pStyle w:val="NormalWeb"/>
                          <w:spacing w:beforeAutospacing="0" w:afterAutospacing="0"/>
                          <w:textAlignment w:val="baseline"/>
                        </w:pPr>
                        <w:r>
                          <w:rPr>
                            <w:rFonts w:ascii="Calibri" w:hAnsi="Calibri" w:cs="Arial"/>
                            <w:color w:val="000000"/>
                            <w:kern w:val="24"/>
                            <w:sz w:val="26"/>
                            <w:szCs w:val="26"/>
                          </w:rPr>
                          <w:t>Reporting</w:t>
                        </w:r>
                      </w:p>
                    </w:txbxContent>
                  </v:textbox>
                </v:shape>
                <v:shape id="TextBox 11" o:spid="_x0000_s1032" type="#_x0000_t202" style="position:absolute;top:11504;width:10542;height:3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kMIA&#10;AADdAAAADwAAAGRycy9kb3ducmV2LnhtbERPS4vCMBC+C/6HMMLe1mR3VbRrlEURPCk+YW9DM7Zl&#10;m0lpoq3/3ggL3ubje8503tpS3Kj2hWMNH30Fgjh1puBMw/Gweh+D8AHZYOmYNNzJw3zW7UwxMa7h&#10;Hd32IRMxhH2CGvIQqkRKn+Zk0fddRRy5i6sthgjrTJoamxhuS/mp1EhaLDg25FjRIqf0b3+1Gk6b&#10;y+95oLbZ0g6rxrVKsp1Ird967c83iEBteIn/3WsT53+NJ/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5ayQwgAAAN0AAAAPAAAAAAAAAAAAAAAAAJgCAABkcnMvZG93&#10;bnJldi54bWxQSwUGAAAAAAQABAD1AAAAhwMAAAAA&#10;" filled="f" stroked="f">
                  <v:textbox>
                    <w:txbxContent>
                      <w:p w14:paraId="26DCD123" w14:textId="77777777" w:rsidR="00A8252A" w:rsidRDefault="00A8252A" w:rsidP="007B223B">
                        <w:pPr>
                          <w:pStyle w:val="NormalWeb"/>
                          <w:spacing w:beforeAutospacing="0" w:afterAutospacing="0"/>
                          <w:textAlignment w:val="baseline"/>
                        </w:pPr>
                        <w:r>
                          <w:rPr>
                            <w:rFonts w:ascii="Calibri" w:hAnsi="Calibri" w:cs="Arial"/>
                            <w:color w:val="000000"/>
                            <w:kern w:val="24"/>
                            <w:sz w:val="26"/>
                            <w:szCs w:val="26"/>
                          </w:rPr>
                          <w:t>Evaluation</w:t>
                        </w:r>
                      </w:p>
                    </w:txbxContent>
                  </v:textbox>
                </v:shape>
                <v:shape id="TextBox 12" o:spid="_x0000_s1033" type="#_x0000_t202" style="position:absolute;top:21026;width:8622;height:2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T0MUA&#10;AADdAAAADwAAAGRycy9kb3ducmV2LnhtbESPT2vCQBDF70K/wzIFb7pbrVJTVymK4Kmi/QO9Ddkx&#10;Cc3Ohuxq0m/fOQjeZnhv3vvNct37Wl2pjVVgC09jA4o4D67iwsLnx270AiomZId1YLLwRxHWq4fB&#10;EjMXOj7S9ZQKJSEcM7RQptRkWse8JI9xHBpi0c6h9ZhkbQvtWuwk3Nd6Ysxce6xYGkpsaFNS/nu6&#10;eAtf7+ef72dzKLZ+1nShN5r9Qls7fOzfXkEl6tPdfLveO8GfLo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pPQxQAAAN0AAAAPAAAAAAAAAAAAAAAAAJgCAABkcnMv&#10;ZG93bnJldi54bWxQSwUGAAAAAAQABAD1AAAAigMAAAAA&#10;" filled="f" stroked="f">
                  <v:textbox>
                    <w:txbxContent>
                      <w:p w14:paraId="004FEA95" w14:textId="77777777" w:rsidR="00A8252A" w:rsidRDefault="00A8252A" w:rsidP="007B223B">
                        <w:pPr>
                          <w:pStyle w:val="NormalWeb"/>
                          <w:spacing w:before="0" w:beforeAutospacing="0" w:afterAutospacing="0"/>
                          <w:textAlignment w:val="baseline"/>
                        </w:pPr>
                        <w:r>
                          <w:rPr>
                            <w:rFonts w:ascii="Calibri" w:hAnsi="Calibri" w:cs="Arial"/>
                            <w:color w:val="000000"/>
                            <w:kern w:val="24"/>
                            <w:sz w:val="26"/>
                            <w:szCs w:val="26"/>
                          </w:rPr>
                          <w:t>Analysis</w:t>
                        </w:r>
                      </w:p>
                    </w:txbxContent>
                  </v:textbox>
                </v:shape>
                <v:shape id="TextBox 13" o:spid="_x0000_s1034" type="#_x0000_t202" style="position:absolute;top:35283;width:14195;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o2S8IA&#10;AADdAAAADwAAAGRycy9kb3ducmV2LnhtbERPTWvCQBC9C/6HZQRvumutotFVSkuhp4ppFbwN2TEJ&#10;ZmdDdmviv3cLgrd5vM9ZbztbiSs1vnSsYTJWIIgzZ0rONfz+fI4WIHxANlg5Jg038rDd9HtrTIxr&#10;eU/XNOQihrBPUEMRQp1I6bOCLPqxq4kjd3aNxRBhk0vTYBvDbSVflJpLiyXHhgJrei8ou6R/VsPh&#10;+3w6vqpd/mFndes6JdkupdbDQfe2AhGoC0/xw/1l4vzpcgL/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jZLwgAAAN0AAAAPAAAAAAAAAAAAAAAAAJgCAABkcnMvZG93&#10;bnJldi54bWxQSwUGAAAAAAQABAD1AAAAhwMAAAAA&#10;" filled="f" stroked="f">
                  <v:textbox>
                    <w:txbxContent>
                      <w:p w14:paraId="14E718D1" w14:textId="77777777" w:rsidR="00A8252A" w:rsidRDefault="00A8252A" w:rsidP="007B223B">
                        <w:pPr>
                          <w:pStyle w:val="NormalWeb"/>
                          <w:spacing w:beforeAutospacing="0" w:afterAutospacing="0"/>
                          <w:textAlignment w:val="baseline"/>
                        </w:pPr>
                        <w:r>
                          <w:rPr>
                            <w:rFonts w:ascii="Calibri" w:hAnsi="Calibri" w:cs="Arial"/>
                            <w:color w:val="000000"/>
                            <w:kern w:val="24"/>
                            <w:sz w:val="26"/>
                            <w:szCs w:val="26"/>
                          </w:rPr>
                          <w:t>Field measurement</w:t>
                        </w:r>
                      </w:p>
                    </w:txbxContent>
                  </v:textbox>
                </v:shape>
                <v:shape id="TextBox 14" o:spid="_x0000_s1035" type="#_x0000_t202" style="position:absolute;left:11487;top:330;width:27000;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9tNsYA&#10;AADdAAAADwAAAGRycy9kb3ducmV2LnhtbESPS2/CMBCE70j9D9ZW4gZOE4lHikFVaaUeS3hdl3hJ&#10;osbrKDYQ+usxEhK3Xc18s7OzRWdqcabWVZYVvA0jEMS51RUXCjbr78EEhPPIGmvLpOBKDhbzl94M&#10;U20vvKJz5gsRQtilqKD0vkmldHlJBt3QNsRBO9rWoA9rW0jd4iWEm1rGUTSSBisOF0ps6LOk/C87&#10;mVAj3m+S5W9G4zEekuXX/3Z63NVK9V+7j3cQnjr/ND/oHx24ZBrD/Zswgp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9tNsYAAADdAAAADwAAAAAAAAAAAAAAAACYAgAAZHJz&#10;L2Rvd25yZXYueG1sUEsFBgAAAAAEAAQA9QAAAIsDAAAAAA==&#10;" filled="f">
                  <v:textbox>
                    <w:txbxContent>
                      <w:p w14:paraId="00AFD6BC" w14:textId="77777777" w:rsidR="00A8252A" w:rsidRDefault="00A8252A" w:rsidP="007B223B">
                        <w:pPr>
                          <w:pStyle w:val="NormalWeb"/>
                          <w:spacing w:before="0" w:beforeAutospacing="0" w:after="0" w:afterAutospacing="0"/>
                          <w:textAlignment w:val="baseline"/>
                        </w:pPr>
                        <w:r>
                          <w:rPr>
                            <w:rFonts w:ascii="Calibri" w:hAnsi="Calibri" w:cs="Arial"/>
                            <w:b/>
                            <w:bCs/>
                            <w:color w:val="000000"/>
                            <w:kern w:val="24"/>
                            <w:sz w:val="21"/>
                            <w:szCs w:val="21"/>
                          </w:rPr>
                          <w:t>Basin-scale Evaluation:</w:t>
                        </w:r>
                      </w:p>
                      <w:p w14:paraId="74CD8CBE" w14:textId="27DD4FD0" w:rsidR="00A8252A" w:rsidRDefault="00A8252A" w:rsidP="007B223B">
                        <w:pPr>
                          <w:pStyle w:val="NormalWeb"/>
                          <w:spacing w:before="0" w:beforeAutospacing="0" w:after="0" w:afterAutospacing="0"/>
                          <w:textAlignment w:val="baseline"/>
                        </w:pPr>
                        <w:r>
                          <w:rPr>
                            <w:rFonts w:ascii="Calibri" w:hAnsi="Calibri" w:cs="Arial"/>
                            <w:color w:val="000000"/>
                            <w:kern w:val="24"/>
                            <w:sz w:val="21"/>
                            <w:szCs w:val="21"/>
                          </w:rPr>
                          <w:t xml:space="preserve">Questions for: </w:t>
                        </w:r>
                        <w:r w:rsidRPr="00851916">
                          <w:rPr>
                            <w:rFonts w:ascii="Calibri" w:hAnsi="Calibri" w:cs="Arial"/>
                            <w:i/>
                            <w:color w:val="000000"/>
                            <w:kern w:val="24"/>
                            <w:sz w:val="21"/>
                            <w:szCs w:val="21"/>
                          </w:rPr>
                          <w:t xml:space="preserve">Fish (Channel) </w:t>
                        </w:r>
                        <w:r>
                          <w:rPr>
                            <w:rFonts w:ascii="Calibri" w:hAnsi="Calibri" w:cs="Arial"/>
                            <w:color w:val="000000"/>
                            <w:kern w:val="24"/>
                            <w:sz w:val="21"/>
                            <w:szCs w:val="21"/>
                          </w:rPr>
                          <w:t xml:space="preserve">and </w:t>
                        </w:r>
                        <w:r w:rsidRPr="00851916">
                          <w:rPr>
                            <w:rFonts w:ascii="Calibri" w:hAnsi="Calibri" w:cs="Arial"/>
                            <w:i/>
                            <w:color w:val="000000"/>
                            <w:kern w:val="24"/>
                            <w:sz w:val="21"/>
                            <w:szCs w:val="21"/>
                          </w:rPr>
                          <w:t>Stream Metabolism and Water Quality</w:t>
                        </w:r>
                      </w:p>
                    </w:txbxContent>
                  </v:textbox>
                </v:shape>
                <v:shape id="TextBox 15" o:spid="_x0000_s1036" type="#_x0000_t202" style="position:absolute;left:15984;top:28246;width:7344;height:3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rp9sMA&#10;AADdAAAADwAAAGRycy9kb3ducmV2LnhtbERPTU8CMRC9m/AfmiHhJl0lGlkphJiIhhuLB47jdtgu&#10;bqdNW9nl31sSE27z8j5nsRpsJ84UYutYwcO0AEFcO91yo+Br/37/AiImZI2dY1JwoQir5ehugaV2&#10;Pe/oXKVG5BCOJSowKflSylgbshinzhNn7uiCxZRhaKQO2Odw28nHoniWFlvODQY9vRmqf6pfqwB1&#10;d+jn5uPpsq3C4Tvt/Gm98UpNxsP6FUSiId3E/+5PnefP5jO4fp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rp9sMAAADdAAAADwAAAAAAAAAAAAAAAACYAgAAZHJzL2Rv&#10;d25yZXYueG1sUEsFBgAAAAAEAAQA9QAAAIgDAAAAAA==&#10;" fillcolor="#8db3e2">
                  <v:textbox>
                    <w:txbxContent>
                      <w:p w14:paraId="0C9D4BFF" w14:textId="77777777" w:rsidR="00A8252A" w:rsidRDefault="00A8252A" w:rsidP="007B223B">
                        <w:pPr>
                          <w:pStyle w:val="NormalWeb"/>
                          <w:spacing w:before="0" w:beforeAutospacing="0" w:afterAutospacing="0"/>
                          <w:jc w:val="center"/>
                          <w:textAlignment w:val="baseline"/>
                        </w:pPr>
                        <w:r>
                          <w:rPr>
                            <w:rFonts w:ascii="Calibri" w:hAnsi="Calibri" w:cs="Arial"/>
                            <w:color w:val="000000"/>
                            <w:kern w:val="24"/>
                            <w:sz w:val="20"/>
                            <w:szCs w:val="20"/>
                          </w:rPr>
                          <w:t>Rating curve</w:t>
                        </w:r>
                      </w:p>
                    </w:txbxContent>
                  </v:textbox>
                </v:shape>
                <v:shape id="_x0000_s1037" type="#_x0000_t202" style="position:absolute;left:13104;top:38327;width:10081;height:5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xgsMA&#10;AADdAAAADwAAAGRycy9kb3ducmV2LnhtbERPTU8CMRC9m/AfmjHhJl1BDawUQkxE443VA8dhO24X&#10;ttOmLezy762Jibd5eZ+zXA+2ExcKsXWs4H5SgCCunW65UfD1+Xo3BxETssbOMSm4UoT1anSzxFK7&#10;nnd0qVIjcgjHEhWYlHwpZawNWYwT54kz9+2CxZRhaKQO2Odw28lpUTxJiy3nBoOeXgzVp+psFaDu&#10;9v3CvD1eP6qwP6SdP262Xqnx7bB5BpFoSP/iP/e7zvNniwf4/Sa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NxgsMAAADdAAAADwAAAAAAAAAAAAAAAACYAgAAZHJzL2Rv&#10;d25yZXYueG1sUEsFBgAAAAAEAAQA9QAAAIgDAAAAAA==&#10;" fillcolor="#8db3e2">
                  <v:textbox>
                    <w:txbxContent>
                      <w:p w14:paraId="09792751" w14:textId="77777777" w:rsidR="00A8252A" w:rsidRDefault="00A8252A" w:rsidP="007B223B">
                        <w:pPr>
                          <w:pStyle w:val="NormalWeb"/>
                          <w:spacing w:before="0" w:beforeAutospacing="0" w:after="0" w:afterAutospacing="0"/>
                          <w:jc w:val="center"/>
                          <w:textAlignment w:val="baseline"/>
                        </w:pPr>
                        <w:r>
                          <w:rPr>
                            <w:rFonts w:ascii="Calibri" w:hAnsi="Calibri" w:cs="Arial"/>
                            <w:color w:val="000000"/>
                            <w:kern w:val="24"/>
                            <w:sz w:val="20"/>
                            <w:szCs w:val="20"/>
                          </w:rPr>
                          <w:t>Stream cross sectional survey</w:t>
                        </w:r>
                      </w:p>
                    </w:txbxContent>
                  </v:textbox>
                </v:shape>
                <v:shape id="TextBox 15" o:spid="_x0000_s1038" type="#_x0000_t202" style="position:absolute;left:27506;top:28246;width:7158;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GcMA&#10;AADdAAAADwAAAGRycy9kb3ducmV2LnhtbERPTU8CMRC9m/gfmjHxJl01GFgohJiohBsrB47Ddtgu&#10;bqdNW9nl31MSE2/z8j5nvhxsJ84UYutYwfOoAEFcO91yo2D3/fE0ARETssbOMSm4UITl4v5ujqV2&#10;PW/pXKVG5BCOJSowKflSylgbshhHzhNn7uiCxZRhaKQO2Odw28mXoniTFlvODQY9vRuqf6pfqwB1&#10;t++n5mt82VRhf0hbf1p9eqUeH4bVDESiIf2L/9xrnee/Tsdw+yaf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UGcMAAADdAAAADwAAAAAAAAAAAAAAAACYAgAAZHJzL2Rv&#10;d25yZXYueG1sUEsFBgAAAAAEAAQA9QAAAIgDAAAAAA==&#10;" fillcolor="#8db3e2">
                  <v:textbox>
                    <w:txbxContent>
                      <w:p w14:paraId="07E61251" w14:textId="77777777" w:rsidR="00A8252A" w:rsidRDefault="00A8252A" w:rsidP="007B223B">
                        <w:pPr>
                          <w:pStyle w:val="NormalWeb"/>
                          <w:spacing w:beforeAutospacing="0" w:afterAutospacing="0"/>
                          <w:jc w:val="center"/>
                          <w:textAlignment w:val="baseline"/>
                        </w:pPr>
                        <w:r>
                          <w:rPr>
                            <w:rFonts w:ascii="Calibri" w:hAnsi="Calibri" w:cs="Arial"/>
                            <w:color w:val="000000"/>
                            <w:kern w:val="24"/>
                            <w:sz w:val="20"/>
                            <w:szCs w:val="20"/>
                          </w:rPr>
                          <w:t>Water level</w:t>
                        </w:r>
                      </w:p>
                    </w:txbxContent>
                  </v:textbox>
                </v:shape>
                <v:shape id="TextBox 28" o:spid="_x0000_s1039" type="#_x0000_t202" style="position:absolute;left:23905;top:8640;width:16481;height:5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MQMIA&#10;AADdAAAADwAAAGRycy9kb3ducmV2LnhtbERPTWvCQBC9C/0PyxS86UZFqamrVIvgVeOhvU2y0yQ0&#10;O5vubmP8964geJvH+5zVpjeN6Mj52rKCyTgBQVxYXXOp4JztR28gfEDW2FgmBVfysFm/DFaYanvh&#10;I3WnUIoYwj5FBVUIbSqlLyoy6Me2JY7cj3UGQ4SulNrhJYabRk6TZCEN1hwbKmxpV1Hxe/o3CvLP&#10;Sb39wnybOZNn33PETi//lBq+9h/vIAL14Sl+uA86zp8tF3D/Jp4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cxAwgAAAN0AAAAPAAAAAAAAAAAAAAAAAJgCAABkcnMvZG93&#10;bnJldi54bWxQSwUGAAAAAAQABAD1AAAAhwMAAAAA&#10;" fillcolor="white [3212]">
                  <v:textbox>
                    <w:txbxContent>
                      <w:p w14:paraId="20595045" w14:textId="535040AF" w:rsidR="00A8252A" w:rsidRPr="00EB60F2" w:rsidRDefault="00A8252A" w:rsidP="007B223B">
                        <w:pPr>
                          <w:pStyle w:val="NormalWeb"/>
                          <w:spacing w:before="0" w:beforeAutospacing="0" w:after="0" w:afterAutospacing="0"/>
                          <w:jc w:val="center"/>
                          <w:textAlignment w:val="baseline"/>
                          <w:rPr>
                            <w:sz w:val="22"/>
                          </w:rPr>
                        </w:pPr>
                        <w:r w:rsidRPr="00EB60F2">
                          <w:rPr>
                            <w:rFonts w:ascii="Calibri" w:hAnsi="Calibri" w:cs="Arial"/>
                            <w:color w:val="000000"/>
                            <w:kern w:val="24"/>
                            <w:sz w:val="18"/>
                            <w:szCs w:val="20"/>
                          </w:rPr>
                          <w:t>Predictive Ecological Response Model (</w:t>
                        </w:r>
                        <w:r w:rsidRPr="00851916">
                          <w:rPr>
                            <w:rFonts w:ascii="Calibri" w:hAnsi="Calibri" w:cs="Arial"/>
                            <w:i/>
                            <w:color w:val="000000"/>
                            <w:kern w:val="24"/>
                            <w:sz w:val="18"/>
                            <w:szCs w:val="20"/>
                          </w:rPr>
                          <w:t>Stream Metabolism and Water Quality</w:t>
                        </w:r>
                        <w:r w:rsidRPr="00EB60F2">
                          <w:rPr>
                            <w:rFonts w:ascii="Calibri" w:hAnsi="Calibri" w:cs="Arial"/>
                            <w:color w:val="000000"/>
                            <w:kern w:val="24"/>
                            <w:sz w:val="18"/>
                            <w:szCs w:val="20"/>
                          </w:rPr>
                          <w:t>)</w:t>
                        </w:r>
                      </w:p>
                    </w:txbxContent>
                  </v:textbox>
                </v:shape>
                <v:shapetype id="_x0000_t32" coordsize="21600,21600" o:spt="32" o:oned="t" path="m,l21600,21600e" filled="f">
                  <v:path arrowok="t" fillok="f" o:connecttype="none"/>
                  <o:lock v:ext="edit" shapetype="t"/>
                </v:shapetype>
                <v:shape id="Straight Arrow Connector 16" o:spid="_x0000_s1040" type="#_x0000_t32" style="position:absolute;left:31826;top:6090;width:361;height:25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CgnMQAAADdAAAADwAAAGRycy9kb3ducmV2LnhtbESPzW4CMQyE70h9h8hIvZUsraDtloAQ&#10;FIkbP+0DuBuzCd04qySF5e0JUiVutmY833gy61wjThSi9axgOChAEFdeW64VfH+tnt5AxISssfFM&#10;Ci4UYTZ96E2w1P7MOzrtUy1yCMcSFZiU2lLKWBlyGAe+Jc7awQeHKa+hljrgOYe7Rj4XxVg6tJwJ&#10;BltaGKp+938uc+f2OFoGzdXnz9Fug8HNoUGlHvvd/ANEoi7dzf/Xa53rv7y/wu2bPIK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KCcxAAAAN0AAAAPAAAAAAAAAAAA&#10;AAAAAKECAABkcnMvZG93bnJldi54bWxQSwUGAAAAAAQABAD5AAAAkgMAAAAA&#10;" strokecolor="black [3213]">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 o:spid="_x0000_s1041" type="#_x0000_t34" style="position:absolute;left:24184;top:10522;width:4484;height:1080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MeM8QAAADdAAAADwAAAGRycy9kb3ducmV2LnhtbESPQWvCQBCF7wX/wzKCt7qxgtjoKkYo&#10;Cj3VSs5jdkyC2dmYXTX++86h4G2G9+a9b5br3jXqTl2oPRuYjBNQxIW3NZcGjr9f73NQISJbbDyT&#10;gScFWK8Gb0tMrX/wD90PsVQSwiFFA1WMbap1KCpyGMa+JRbt7DuHUdau1LbDh4S7Rn8kyUw7rFka&#10;KmxpW1FxOdycgay9ZdfTid0uz4/Z5DsPs30SjBkN+80CVKQ+vsz/13sr+NNPwZVvZAS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x4zxAAAAN0AAAAPAAAAAAAAAAAA&#10;AAAAAKECAABkcnMvZG93bnJldi54bWxQSwUGAAAAAAQABAD5AAAAkgMAAAAA&#10;" strokecolor="black [3213]">
                  <v:stroke endarrow="open"/>
                </v:shape>
                <v:shape id="Elbow Connector 18" o:spid="_x0000_s1042" type="#_x0000_t34" style="position:absolute;left:34625;top:10882;width:4484;height:1008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fCMcIAAADdAAAADwAAAGRycy9kb3ducmV2LnhtbERP24rCMBB9F/Yfwgj7ImvqisV2jbII&#10;C/qkVj9gaKYXbCalidr1640g+DaHc53FqjeNuFLnassKJuMIBHFudc2lgtPx72sOwnlkjY1lUvBP&#10;DlbLj8ECU21vfKBr5ksRQtilqKDyvk2ldHlFBt3YtsSBK2xn0AfYlVJ3eAvhppHfURRLgzWHhgpb&#10;WleUn7OLUXAcRVueFrPdjkcZz9dFnNz3sVKfw/73B4Sn3r/FL/dGh/nTJIHnN+EE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fCMcIAAADdAAAADwAAAAAAAAAAAAAA&#10;AAChAgAAZHJzL2Rvd25yZXYueG1sUEsFBgAAAAAEAAQA+QAAAJADAAAAAA==&#10;" strokecolor="black [3213]">
                  <v:stroke endarrow="open"/>
                </v:shape>
                <v:shape id="TextBox 28" o:spid="_x0000_s1043" type="#_x0000_t202" style="position:absolute;left:13824;top:18165;width:14402;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TcUA&#10;AADdAAAADwAAAGRycy9kb3ducmV2LnhtbESPQW/CMAyF75P2HyJP2m2kTDBthYAGaNKuUA7bzW1M&#10;W61xuiSU7t/jA9Jutt7ze5+X69F1aqAQW88GppMMFHHlbcu1gWPx8fQKKiZki51nMvBHEdar+7sl&#10;5tZfeE/DIdVKQjjmaKBJqc+1jlVDDuPE98SinXxwmGQNtbYBLxLuOv2cZS/aYcvS0GBP24aqn8PZ&#10;GSh303bzheWmCK4svueIg337NebxYXxfgEo0pn/z7frTCv4sE375Rkb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lNxQAAAN0AAAAPAAAAAAAAAAAAAAAAAJgCAABkcnMv&#10;ZG93bnJldi54bWxQSwUGAAAAAAQABAD1AAAAigMAAAAA&#10;" fillcolor="white [3212]">
                  <v:textbox>
                    <w:txbxContent>
                      <w:p w14:paraId="1D692C4D" w14:textId="77777777" w:rsidR="00A8252A" w:rsidRDefault="00A8252A" w:rsidP="007B223B">
                        <w:pPr>
                          <w:pStyle w:val="NormalWeb"/>
                          <w:spacing w:before="0" w:beforeAutospacing="0" w:after="0" w:afterAutospacing="0"/>
                          <w:jc w:val="center"/>
                          <w:textAlignment w:val="baseline"/>
                        </w:pPr>
                        <w:r>
                          <w:rPr>
                            <w:rFonts w:ascii="Calibri" w:hAnsi="Calibri" w:cs="Arial"/>
                            <w:color w:val="000000"/>
                            <w:kern w:val="24"/>
                            <w:sz w:val="20"/>
                            <w:szCs w:val="20"/>
                          </w:rPr>
                          <w:t>River water regime (water level; discharge)</w:t>
                        </w:r>
                      </w:p>
                    </w:txbxContent>
                  </v:textbox>
                </v:shape>
                <v:shape id="TextBox 28" o:spid="_x0000_s1044" type="#_x0000_t202" style="position:absolute;left:34709;top:18167;width:14402;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M1sIA&#10;AADdAAAADwAAAGRycy9kb3ducmV2LnhtbERPTWvCQBC9F/oflin01mwitdToKrWl4FXjod4m2TEJ&#10;zc7G3W2M/94VCt7m8T5nsRpNJwZyvrWsIEtSEMSV1S3XCvbF98s7CB+QNXaWScGFPKyWjw8LzLU9&#10;85aGXahFDGGfo4ImhD6X0lcNGfSJ7Ykjd7TOYIjQ1VI7PMdw08lJmr5Jgy3HhgZ7+myo+t39GQXl&#10;V9auf7BcF86UxWGKOOjZSannp/FjDiLQGO7if/dGx/mvaQa3b+IJ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AzWwgAAAN0AAAAPAAAAAAAAAAAAAAAAAJgCAABkcnMvZG93&#10;bnJldi54bWxQSwUGAAAAAAQABAD1AAAAhwMAAAAA&#10;" fillcolor="white [3212]">
                  <v:textbox>
                    <w:txbxContent>
                      <w:p w14:paraId="66D55984" w14:textId="77777777" w:rsidR="00A8252A" w:rsidRDefault="00A8252A" w:rsidP="007B223B">
                        <w:pPr>
                          <w:pStyle w:val="NormalWeb"/>
                          <w:spacing w:before="0" w:beforeAutospacing="0" w:after="0" w:afterAutospacing="0"/>
                          <w:jc w:val="center"/>
                        </w:pPr>
                        <w:r w:rsidRPr="00EB60F2">
                          <w:rPr>
                            <w:rFonts w:asciiTheme="minorHAnsi" w:hAnsi="Calibri" w:cstheme="minorBidi"/>
                            <w:color w:val="000000" w:themeColor="text1"/>
                            <w:kern w:val="24"/>
                            <w:sz w:val="20"/>
                            <w:szCs w:val="20"/>
                          </w:rPr>
                          <w:t xml:space="preserve">Contribution of </w:t>
                        </w:r>
                        <w:r>
                          <w:rPr>
                            <w:rFonts w:asciiTheme="minorHAnsi" w:hAnsi="Calibri" w:cstheme="minorBidi"/>
                            <w:color w:val="000000" w:themeColor="text1"/>
                            <w:kern w:val="24"/>
                            <w:sz w:val="20"/>
                            <w:szCs w:val="20"/>
                          </w:rPr>
                          <w:t>CEW</w:t>
                        </w:r>
                      </w:p>
                      <w:p w14:paraId="21D80B1A" w14:textId="623E16EB" w:rsidR="00A8252A" w:rsidRDefault="00A8252A" w:rsidP="007B223B">
                        <w:pPr>
                          <w:pStyle w:val="NormalWeb"/>
                          <w:spacing w:before="0" w:beforeAutospacing="0" w:after="0" w:afterAutospacing="0"/>
                          <w:jc w:val="center"/>
                        </w:pPr>
                        <w:r w:rsidRPr="00EB60F2">
                          <w:rPr>
                            <w:rFonts w:asciiTheme="minorHAnsi" w:hAnsi="Calibri" w:cstheme="minorBidi"/>
                            <w:color w:val="000000" w:themeColor="text1"/>
                            <w:kern w:val="24"/>
                            <w:sz w:val="20"/>
                            <w:szCs w:val="20"/>
                          </w:rPr>
                          <w:t>(</w:t>
                        </w:r>
                        <w:r w:rsidRPr="00851916">
                          <w:rPr>
                            <w:rFonts w:asciiTheme="minorHAnsi" w:hAnsi="Calibri" w:cstheme="minorBidi"/>
                            <w:i/>
                            <w:color w:val="000000" w:themeColor="text1"/>
                            <w:kern w:val="24"/>
                            <w:sz w:val="20"/>
                            <w:szCs w:val="20"/>
                          </w:rPr>
                          <w:t>Hydraulic Regime</w:t>
                        </w:r>
                        <w:r w:rsidRPr="00EB60F2">
                          <w:rPr>
                            <w:rFonts w:asciiTheme="minorHAnsi" w:hAnsi="Calibri" w:cstheme="minorBidi"/>
                            <w:color w:val="000000" w:themeColor="text1"/>
                            <w:kern w:val="24"/>
                            <w:sz w:val="20"/>
                            <w:szCs w:val="20"/>
                          </w:rPr>
                          <w:t>)</w:t>
                        </w:r>
                      </w:p>
                    </w:txbxContent>
                  </v:textbox>
                </v:shape>
                <v:shape id="_x0000_s1045" type="#_x0000_t202" style="position:absolute;left:24625;top:39767;width:8641;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Uj8MA&#10;AADdAAAADwAAAGRycy9kb3ducmV2LnhtbERPTU8CMRC9m/gfmjHxJl2JGlkohJgIxBsrB47Ddtgu&#10;bqdNW9jl31sTE27z8j5nthhsJy4UYutYwfOoAEFcO91yo2D3/fn0DiImZI2dY1JwpQiL+f3dDEvt&#10;et7SpUqNyCEcS1RgUvKllLE2ZDGOnCfO3NEFiynD0EgdsM/htpPjoniTFlvODQY9fRiqf6qzVYC6&#10;2/cTs369flVhf0hbf1quvFKPD8NyCiLRkG7if/dG5/kvxRj+vs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YUj8MAAADdAAAADwAAAAAAAAAAAAAAAACYAgAAZHJzL2Rv&#10;d25yZXYueG1sUEsFBgAAAAAEAAQA9QAAAIgDAAAAAA==&#10;" fillcolor="#8db3e2">
                  <v:textbox>
                    <w:txbxContent>
                      <w:p w14:paraId="782E985E" w14:textId="77777777" w:rsidR="00A8252A" w:rsidRDefault="00A8252A" w:rsidP="007B223B">
                        <w:pPr>
                          <w:pStyle w:val="NormalWeb"/>
                          <w:spacing w:before="0" w:beforeAutospacing="0" w:after="0" w:afterAutospacing="0"/>
                          <w:jc w:val="center"/>
                          <w:textAlignment w:val="baseline"/>
                        </w:pPr>
                        <w:r>
                          <w:rPr>
                            <w:rFonts w:ascii="Calibri" w:hAnsi="Calibri" w:cs="Arial"/>
                            <w:color w:val="000000"/>
                            <w:kern w:val="24"/>
                            <w:sz w:val="20"/>
                            <w:szCs w:val="20"/>
                          </w:rPr>
                          <w:t>Velocity</w:t>
                        </w:r>
                      </w:p>
                    </w:txbxContent>
                  </v:textbox>
                </v:shape>
                <v:shape id="_x0000_s1046" type="#_x0000_t202" style="position:absolute;left:38307;top:39767;width:8641;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xFMMA&#10;AADdAAAADwAAAGRycy9kb3ducmV2LnhtbERPS08CMRC+m/AfmjHxJl3xEVgohJioxBsrB47Ddtiu&#10;bqdNW9nl31MTE27z5XvOYjXYTpwoxNaxgodxAYK4drrlRsHu6+1+CiImZI2dY1Jwpgir5ehmgaV2&#10;PW/pVKVG5BCOJSowKflSylgbshjHzhNn7uiCxZRhaKQO2Odw28lJUbxIiy3nBoOeXg3VP9WvVYC6&#10;2/cz8/F8/qzC/pC2/nv97pW6ux3WcxCJhnQV/7s3Os9/Kh7h75t8gl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qxFMMAAADdAAAADwAAAAAAAAAAAAAAAACYAgAAZHJzL2Rv&#10;d25yZXYueG1sUEsFBgAAAAAEAAQA9QAAAIgDAAAAAA==&#10;" fillcolor="#8db3e2">
                  <v:textbox>
                    <w:txbxContent>
                      <w:p w14:paraId="2E9849A2" w14:textId="77777777" w:rsidR="00A8252A" w:rsidRDefault="00A8252A" w:rsidP="007B223B">
                        <w:pPr>
                          <w:pStyle w:val="NormalWeb"/>
                          <w:spacing w:before="0" w:beforeAutospacing="0" w:after="0" w:afterAutospacing="0"/>
                          <w:jc w:val="center"/>
                          <w:textAlignment w:val="baseline"/>
                        </w:pPr>
                        <w:r>
                          <w:rPr>
                            <w:rFonts w:ascii="Calibri" w:hAnsi="Calibri" w:cs="Arial"/>
                            <w:color w:val="000000"/>
                            <w:kern w:val="24"/>
                            <w:sz w:val="20"/>
                            <w:szCs w:val="20"/>
                          </w:rPr>
                          <w:t>Water level</w:t>
                        </w:r>
                      </w:p>
                    </w:txbxContent>
                  </v:textbox>
                </v:shape>
                <v:shape id="TextBox 28" o:spid="_x0000_s1047" type="#_x0000_t202" style="position:absolute;left:41187;top:8804;width:12962;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vTsIA&#10;AADdAAAADwAAAGRycy9kb3ducmV2LnhtbERPTWvCQBC9C/0PyxR6041FpUZXqS0Fr5oe9DbJjkkw&#10;O5vubmP8964geJvH+5zlujeN6Mj52rKC8SgBQVxYXXOp4Df7GX6A8AFZY2OZFFzJw3r1Mlhiqu2F&#10;d9TtQyliCPsUFVQhtKmUvqjIoB/ZljhyJ+sMhghdKbXDSww3jXxPkpk0WHNsqLClr4qK8/7fKMi/&#10;x/XmgPkmcybPjlPETs//lHp77T8XIAL14Sl+uLc6zp8kE7h/E0+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69OwgAAAN0AAAAPAAAAAAAAAAAAAAAAAJgCAABkcnMvZG93&#10;bnJldi54bWxQSwUGAAAAAAQABAD1AAAAhwMAAAAA&#10;" fillcolor="white [3212]">
                  <v:textbox>
                    <w:txbxContent>
                      <w:p w14:paraId="234D8C84" w14:textId="28B2BF74" w:rsidR="00A8252A" w:rsidRPr="00EB60F2" w:rsidRDefault="00A8252A" w:rsidP="007B223B">
                        <w:pPr>
                          <w:pStyle w:val="NormalWeb"/>
                          <w:spacing w:before="0" w:beforeAutospacing="0" w:after="0" w:afterAutospacing="0"/>
                          <w:jc w:val="center"/>
                          <w:textAlignment w:val="baseline"/>
                          <w:rPr>
                            <w:sz w:val="22"/>
                          </w:rPr>
                        </w:pPr>
                        <w:r w:rsidRPr="00EB60F2">
                          <w:rPr>
                            <w:rFonts w:ascii="Calibri" w:hAnsi="Calibri" w:cs="Arial"/>
                            <w:color w:val="000000"/>
                            <w:kern w:val="24"/>
                            <w:sz w:val="18"/>
                            <w:szCs w:val="20"/>
                          </w:rPr>
                          <w:t>Predictive Ecological Response Model (</w:t>
                        </w:r>
                        <w:r>
                          <w:rPr>
                            <w:rFonts w:ascii="Calibri" w:hAnsi="Calibri" w:cs="Arial"/>
                            <w:color w:val="000000"/>
                            <w:kern w:val="24"/>
                            <w:sz w:val="18"/>
                            <w:szCs w:val="20"/>
                          </w:rPr>
                          <w:t>F</w:t>
                        </w:r>
                        <w:r w:rsidRPr="00EB60F2">
                          <w:rPr>
                            <w:rFonts w:ascii="Calibri" w:hAnsi="Calibri" w:cs="Arial"/>
                            <w:color w:val="000000"/>
                            <w:kern w:val="24"/>
                            <w:sz w:val="18"/>
                            <w:szCs w:val="20"/>
                          </w:rPr>
                          <w:t>ish</w:t>
                        </w:r>
                        <w:r>
                          <w:rPr>
                            <w:rFonts w:ascii="Calibri" w:hAnsi="Calibri" w:cs="Arial"/>
                            <w:color w:val="000000"/>
                            <w:kern w:val="24"/>
                            <w:sz w:val="18"/>
                            <w:szCs w:val="20"/>
                          </w:rPr>
                          <w:t xml:space="preserve"> indicators</w:t>
                        </w:r>
                        <w:r w:rsidRPr="00EB60F2">
                          <w:rPr>
                            <w:rFonts w:ascii="Calibri" w:hAnsi="Calibri" w:cs="Arial"/>
                            <w:color w:val="000000"/>
                            <w:kern w:val="24"/>
                            <w:sz w:val="18"/>
                            <w:szCs w:val="20"/>
                          </w:rPr>
                          <w:t>)</w:t>
                        </w:r>
                      </w:p>
                    </w:txbxContent>
                  </v:textbox>
                </v:shape>
                <v:shape id="TextBox 28" o:spid="_x0000_s1048" type="#_x0000_t202" style="position:absolute;left:10224;top:8804;width:12961;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cK1cIA&#10;AADdAAAADwAAAGRycy9kb3ducmV2LnhtbERPTWvCQBC9F/wPywi91U1KLRrdiLYUeq3xoLdJdkyC&#10;2dm4u43pv+8WCt7m8T5nvRlNJwZyvrWsIJ0lIIgrq1uuFRyKj6cFCB+QNXaWScEPedjkk4c1Ztre&#10;+IuGfahFDGGfoYImhD6T0lcNGfQz2xNH7mydwRChq6V2eIvhppPPSfIqDbYcGxrs6a2h6rL/NgrK&#10;97TdHbHcFc6UxWmOOOjlVanH6bhdgQg0hrv43/2p4/yXZA5/38QT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wrVwgAAAN0AAAAPAAAAAAAAAAAAAAAAAJgCAABkcnMvZG93&#10;bnJldi54bWxQSwUGAAAAAAQABAD1AAAAhwMAAAAA&#10;" fillcolor="white [3212]">
                  <v:textbox>
                    <w:txbxContent>
                      <w:p w14:paraId="7114746C" w14:textId="77777777" w:rsidR="00A8252A" w:rsidRPr="00EB60F2" w:rsidRDefault="00A8252A" w:rsidP="007B223B">
                        <w:pPr>
                          <w:pStyle w:val="NormalWeb"/>
                          <w:spacing w:before="0" w:beforeAutospacing="0" w:after="0" w:afterAutospacing="0"/>
                          <w:jc w:val="center"/>
                          <w:textAlignment w:val="baseline"/>
                          <w:rPr>
                            <w:sz w:val="22"/>
                          </w:rPr>
                        </w:pPr>
                        <w:r w:rsidRPr="00EB60F2">
                          <w:rPr>
                            <w:rFonts w:ascii="Calibri" w:hAnsi="Calibri" w:cs="Arial"/>
                            <w:color w:val="000000"/>
                            <w:kern w:val="24"/>
                            <w:sz w:val="18"/>
                            <w:szCs w:val="20"/>
                          </w:rPr>
                          <w:t>Predictive Ecological Response Model (hydro connectivity)</w:t>
                        </w:r>
                      </w:p>
                    </w:txbxContent>
                  </v:textbox>
                </v:shape>
                <v:shape id="Elbow Connector 25" o:spid="_x0000_s1049" type="#_x0000_t34" style="position:absolute;left:38571;top:-294;width:2714;height:1548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gOocMAAADdAAAADwAAAGRycy9kb3ducmV2LnhtbERP22rCQBB9L/gPyxT6InXXtgaNboII&#10;Bfukxn7AkJ1caHY2ZFdN/fpuodC3OZzrbPLRduJKg28da5jPFAji0pmWaw2f5/fnJQgfkA12jknD&#10;N3nIs8nDBlPjbnyiaxFqEUPYp6ihCaFPpfRlQxb9zPXEkavcYDFEONTSDHiL4baTL0ol0mLLsaHB&#10;nnYNlV/FxWo4T9UHv1aLw4GnBS93VbK6HxOtnx7H7RpEoDH8i//cexPnv6kE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4DqHDAAAA3QAAAA8AAAAAAAAAAAAA&#10;AAAAoQIAAGRycy9kb3ducmV2LnhtbFBLBQYAAAAABAAEAPkAAACRAwAAAAA=&#10;" strokecolor="black [3213]">
                  <v:stroke endarrow="open"/>
                </v:shape>
                <v:shape id="Elbow Connector 26" o:spid="_x0000_s1050" type="#_x0000_t34" style="position:absolute;left:23089;top:-295;width:2714;height:1548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zSo8MAAADdAAAADwAAAGRycy9kb3ducmV2LnhtbERPTWvCQBC9F/oflin0VncjJZbUVRqh&#10;NOCpKjmP2WkSmp1NsxuN/94VCt7m8T5nuZ5sJ040+NaxhmSmQBBXzrRcazjsP1/eQPiAbLBzTBou&#10;5GG9enxYYmbcmb/ptAu1iCHsM9TQhNBnUvqqIYt+5nriyP24wWKIcKilGfAcw20n50ql0mLLsaHB&#10;njYNVb+70WrI+zH/Ox7ZfpXlIU+2pU8L5bV+fpo+3kEEmsJd/O8uTJz/qhZw+yaeIF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M0qPDAAAA3QAAAA8AAAAAAAAAAAAA&#10;AAAAoQIAAGRycy9kb3ducmV2LnhtbFBLBQYAAAAABAAEAPkAAACRAwAAAAA=&#10;" strokecolor="black [3213]">
                  <v:stroke endarrow="open"/>
                </v:shape>
                <v:shape id="Straight Arrow Connector 27" o:spid="_x0000_s1051" type="#_x0000_t32" style="position:absolute;left:28226;top:21044;width:64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7OOMQAAADdAAAADwAAAGRycy9kb3ducmV2LnhtbESPT2vDMAzF74N+B6PBbquzpqwlq1vK&#10;2sLorX/oWcRaEhLLwfbS7NtPh8JuEu/pvZ9Wm9F1aqAQG88G3qYZKOLS24YrA9fL4XUJKiZki51n&#10;MvBLETbrydMKC+vvfKLhnColIRwLNFCn1Bdax7Imh3Hqe2LRvn1wmGQNlbYB7xLuOj3LsnftsGFp&#10;qLGnz5rK9vzjDDScJ57t8gMd921YVLd28PnVmJfncfsBKtGY/s2P6y8r+PNMcOUbGUG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s44xAAAAN0AAAAPAAAAAAAAAAAA&#10;AAAAAKECAABkcnMvZG93bnJldi54bWxQSwUGAAAAAAQABAD5AAAAkgMAAAAA&#10;" strokecolor="black [3213]">
                  <v:stroke endarrow="open"/>
                </v:shape>
                <v:shape id="Elbow Connector 28" o:spid="_x0000_s1052" type="#_x0000_t34" style="position:absolute;left:27145;top:3403;width:4321;height:25203;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ea08MAAADdAAAADwAAAGRycy9kb3ducmV2LnhtbERP22oCMRB9L/gPYQRfRBNvi65GKUKh&#10;fbJd/YBhM3vBzWTZpLrt15uC0Lc5nOvsDr1txI06XzvWMJsqEMS5MzWXGi7nt8kahA/IBhvHpOGH&#10;PBz2g5cdpsbd+YtuWShFDGGfooYqhDaV0ucVWfRT1xJHrnCdxRBhV0rT4T2G20bOlUqkxZpjQ4Ut&#10;HSvKr9m31XAeqw9eFKvTiccZr49Fsvn9TLQeDfvXLYhAffgXP93vJs5fqg38fRNPkP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nmtPDAAAA3QAAAA8AAAAAAAAAAAAA&#10;AAAAoQIAAGRycy9kb3ducmV2LnhtbFBLBQYAAAAABAAEAPkAAACRAwAAAAA=&#10;" strokecolor="black [3213]">
                  <v:stroke endarrow="open"/>
                </v:shape>
                <v:shape id="Elbow Connector 29" o:spid="_x0000_s1053" type="#_x0000_t34" style="position:absolute;left:32186;top:2683;width:4321;height:2664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zcCsQAAADdAAAADwAAAGRycy9kb3ducmV2LnhtbESPQWvCQBCF70L/wzKF3nSTUqREV2kE&#10;qeBJG3Ies2MSzM6m2VXjv3cOhd5meG/e+2a5Hl2nbjSE1rOBdJaAIq68bbk2UPxsp5+gQkS22Hkm&#10;Aw8KsF69TJaYWX/nA92OsVYSwiFDA02MfaZ1qBpyGGa+Jxbt7AeHUdah1nbAu4S7Tr8nyVw7bFka&#10;Guxp01B1OV6dgby/5r+nE7vvsizydF+G+S4Jxry9jl8LUJHG+G/+u95Zwf9IhV++kRH0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PNwKxAAAAN0AAAAPAAAAAAAAAAAA&#10;AAAAAKECAABkcnMvZG93bnJldi54bWxQSwUGAAAAAAQABAD5AAAAkgMAAAAA&#10;" strokecolor="black [3213]">
                  <v:stroke endarrow="open"/>
                </v:shape>
                <v:shape id="Elbow Connector 30" o:spid="_x0000_s1054" type="#_x0000_t34" style="position:absolute;left:23894;top:21056;width:4321;height:1006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gACMMAAADdAAAADwAAAGRycy9kb3ducmV2LnhtbERP22rCQBB9F/oPyxR8kbqJ2mDTbKQI&#10;Qvukxn7AkJ1caHY2ZLca+/VuQfBtDuc62WY0nTjT4FrLCuJ5BIK4tLrlWsH3afeyBuE8ssbOMim4&#10;koNN/jTJMNX2wkc6F74WIYRdigoa7/tUSlc2ZNDNbU8cuMoOBn2AQy31gJcQbjq5iKJEGmw5NDTY&#10;07ah8qf4NQpOs+iLl9Xrfs+zgtfbKnn7OyRKTZ/Hj3cQnkb/EN/dnzrMX8Ux/H8TTpD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IAAjDAAAA3QAAAA8AAAAAAAAAAAAA&#10;AAAAoQIAAGRycy9kb3ducmV2LnhtbFBLBQYAAAAABAAEAPkAAACRAwAAAAA=&#10;" strokecolor="black [3213]">
                  <v:stroke endarrow="open"/>
                </v:shape>
                <v:shape id="Elbow Connector 31" o:spid="_x0000_s1055" type="#_x0000_t34" style="position:absolute;left:18180;top:25401;width:4321;height:1369;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Ln5sIAAADdAAAADwAAAGRycy9kb3ducmV2LnhtbERPTWuDQBC9F/oflgn0VlclhGJcJRZK&#10;Aj01DZ4n7lSl7qx118T++24hkNs83ufk5WIGcaHJ9ZYVJFEMgrixuudWwenz7fkFhPPIGgfLpOCX&#10;HJTF40OOmbZX/qDL0bcihLDLUEHn/ZhJ6ZqODLrIjsSB+7KTQR/g1Eo94TWEm0GmcbyRBnsODR2O&#10;9NpR832cjYJqnKuf85nNvq5PVfJeu80hdko9rZbdFoSnxd/FN/dBh/nrJIX/b8IJsv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Ln5sIAAADdAAAADwAAAAAAAAAAAAAA&#10;AAChAgAAZHJzL2Rvd25yZXYueG1sUEsFBgAAAAAEAAQA+QAAAJADAAAAAA==&#10;" strokecolor="black [3213]">
                  <v:stroke endarrow="open"/>
                </v:shape>
                <v:shape id="Elbow Connector 32" o:spid="_x0000_s1056" type="#_x0000_t34" style="position:absolute;left:15833;top:34503;width:6136;height:151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CfcIAAADdAAAADwAAAGRycy9kb3ducmV2LnhtbERPS4vCMBC+C/sfwizszaZ1RZauUbaC&#10;KHjyQc9jM7bFZtJtotZ/bwTB23x8z5nOe9OIK3WutqwgiWIQxIXVNZcKDvvl8AeE88gaG8uk4E4O&#10;5rOPwRRTbW+8pevOlyKEsEtRQeV9m0rpiooMusi2xIE72c6gD7Arpe7wFsJNI0dxPJEGaw4NFba0&#10;qKg47y5GQdZesv/jkc0qzw9ZssndZB07pb4++79fEJ56/xa/3Gsd5o+Tb3h+E06Q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5CfcIAAADdAAAADwAAAAAAAAAAAAAA&#10;AAChAgAAZHJzL2Rvd25yZXYueG1sUEsFBgAAAAAEAAQA+QAAAJADAAAAAA==&#10;" strokecolor="black [3213]">
                  <v:stroke endarrow="open"/>
                </v:shape>
                <v:shape id="Elbow Connector 33" o:spid="_x0000_s1057" type="#_x0000_t34" style="position:absolute;left:20513;top:31334;width:7576;height:929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jkMQAAADdAAAADwAAAGRycy9kb3ducmV2LnhtbERP22rCQBB9F/oPyxT6InUTa4NGVymB&#10;Qvukjf2AITu50OxsyK5J9Ou7hYJvczjX2R0m04qBetdYVhAvIhDEhdUNVwq+z+/PaxDOI2tsLZOC&#10;Kzk47B9mO0y1HfmLhtxXIoSwS1FB7X2XSumKmgy6he2IA1fa3qAPsK+k7nEM4aaVyyhKpMGGQ0ON&#10;HWU1FT/5xSg4z6NPfilfj0ee57zOymRzOyVKPT1Ob1sQniZ/F/+7P3SYv4pX8PdNOEH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f6OQxAAAAN0AAAAPAAAAAAAAAAAA&#10;AAAAAKECAABkcnMvZG93bnJldi54bWxQSwUGAAAAAAQABAD5AAAAkgMAAAAA&#10;" strokecolor="black [3213]">
                  <v:stroke endarrow="open"/>
                </v:shape>
                <v:shape id="Elbow Connector 34" o:spid="_x0000_s1058" type="#_x0000_t34" style="position:absolute;left:33445;top:30585;width:6822;height:11542;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MGC8IAAADdAAAADwAAAGRycy9kb3ducmV2LnhtbERP24rCMBB9F/Yfwiz4ImvqrbjVKIsg&#10;6JNu3Q8YmukFm0lpslr9eiMIvs3hXGe57kwtLtS6yrKC0TACQZxZXXGh4O+0/ZqDcB5ZY22ZFNzI&#10;wXr10Vtiou2Vf+mS+kKEEHYJKii9bxIpXVaSQTe0DXHgctsa9AG2hdQtXkO4qeU4imJpsOLQUGJD&#10;m5Kyc/pvFJwG0Z4n+exw4EHK800ef9+PsVL9z+5nAcJT59/il3unw/zpaAbPb8IJ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jMGC8IAAADdAAAADwAAAAAAAAAAAAAA&#10;AAChAgAAZHJzL2Rvd25yZXYueG1sUEsFBgAAAAAEAAQA+QAAAJADAAAAAA==&#10;" strokecolor="black [3213]">
                  <v:stroke endarrow="open"/>
                </v:shape>
                <w10:anchorlock/>
              </v:group>
            </w:pict>
          </mc:Fallback>
        </mc:AlternateContent>
      </w:r>
    </w:p>
    <w:p w14:paraId="68FE4521" w14:textId="1B14896A" w:rsidR="007B223B" w:rsidRDefault="007B223B" w:rsidP="007B223B">
      <w:pPr>
        <w:pStyle w:val="Caption"/>
      </w:pPr>
      <w:bookmarkStart w:id="445" w:name="_Ref397515838"/>
      <w:r>
        <w:t>Figure B.</w:t>
      </w:r>
      <w:r>
        <w:rPr>
          <w:noProof/>
        </w:rPr>
        <w:fldChar w:fldCharType="begin"/>
      </w:r>
      <w:r>
        <w:rPr>
          <w:noProof/>
        </w:rPr>
        <w:instrText xml:space="preserve"> SEQ Figure_B. \* ARABIC </w:instrText>
      </w:r>
      <w:r>
        <w:rPr>
          <w:noProof/>
        </w:rPr>
        <w:fldChar w:fldCharType="separate"/>
      </w:r>
      <w:r w:rsidR="00DF49CD">
        <w:rPr>
          <w:noProof/>
        </w:rPr>
        <w:t>1</w:t>
      </w:r>
      <w:r>
        <w:rPr>
          <w:noProof/>
        </w:rPr>
        <w:fldChar w:fldCharType="end"/>
      </w:r>
      <w:bookmarkEnd w:id="445"/>
      <w:r>
        <w:t xml:space="preserve">. Schematic of key elements of the LTIM Standard Protocol: </w:t>
      </w:r>
      <w:r w:rsidRPr="00A41801">
        <w:rPr>
          <w:i/>
        </w:rPr>
        <w:t>Hydrology (</w:t>
      </w:r>
      <w:r w:rsidR="00A41801" w:rsidRPr="00A41801">
        <w:rPr>
          <w:i/>
        </w:rPr>
        <w:t>C</w:t>
      </w:r>
      <w:r w:rsidRPr="00A41801">
        <w:rPr>
          <w:i/>
        </w:rPr>
        <w:t>hannel)</w:t>
      </w:r>
      <w:r>
        <w:t>, which has been adapted fr</w:t>
      </w:r>
      <w:r w:rsidR="00721C9E">
        <w:t xml:space="preserve">om the schematic of </w:t>
      </w:r>
      <w:r w:rsidR="00721C9E" w:rsidRPr="004914FD">
        <w:rPr>
          <w:i/>
        </w:rPr>
        <w:t>Hydrology (</w:t>
      </w:r>
      <w:r w:rsidR="00135235" w:rsidRPr="004914FD">
        <w:rPr>
          <w:i/>
        </w:rPr>
        <w:t>C</w:t>
      </w:r>
      <w:r w:rsidRPr="004914FD">
        <w:rPr>
          <w:i/>
        </w:rPr>
        <w:t>hannel)</w:t>
      </w:r>
      <w:r>
        <w:t xml:space="preserve"> in Hale </w:t>
      </w:r>
      <w:r w:rsidRPr="0083764C">
        <w:rPr>
          <w:i/>
        </w:rPr>
        <w:t>et al.</w:t>
      </w:r>
      <w:r>
        <w:t xml:space="preserve"> (2014).</w:t>
      </w:r>
    </w:p>
    <w:p w14:paraId="7DAEF793" w14:textId="77777777" w:rsidR="007B223B" w:rsidRDefault="007B223B" w:rsidP="007B223B">
      <w:pPr>
        <w:pStyle w:val="Heading2"/>
      </w:pPr>
      <w:bookmarkStart w:id="446" w:name="_Toc366677354"/>
      <w:bookmarkStart w:id="447" w:name="_Toc366751435"/>
      <w:bookmarkStart w:id="448" w:name="_Toc243986908"/>
      <w:bookmarkStart w:id="449" w:name="_Toc396825300"/>
      <w:bookmarkStart w:id="450" w:name="_Toc6403853"/>
      <w:bookmarkStart w:id="451" w:name="_Toc10095176"/>
      <w:bookmarkStart w:id="452" w:name="_Toc10192345"/>
      <w:bookmarkStart w:id="453" w:name="_Toc10206660"/>
      <w:bookmarkStart w:id="454" w:name="_Toc10213246"/>
      <w:bookmarkStart w:id="455" w:name="_Toc10732270"/>
      <w:bookmarkStart w:id="456" w:name="_Toc10796829"/>
      <w:bookmarkStart w:id="457" w:name="_Toc12022714"/>
      <w:bookmarkStart w:id="458" w:name="_Toc12630544"/>
      <w:bookmarkStart w:id="459" w:name="_Toc16154404"/>
      <w:bookmarkStart w:id="460" w:name="_Toc22196766"/>
      <w:r w:rsidRPr="00525AE9">
        <w:t>Relevant ecosystem types</w:t>
      </w:r>
      <w:bookmarkStart w:id="461" w:name="_Toc243986909"/>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14:paraId="3C5CB485" w14:textId="77777777" w:rsidR="007B223B" w:rsidRPr="009850D2" w:rsidRDefault="007B223B" w:rsidP="007B223B">
      <w:r>
        <w:rPr>
          <w:rFonts w:ascii="Calibri" w:eastAsiaTheme="minorHAnsi" w:hAnsi="Calibri" w:cs="Calibri"/>
          <w:color w:val="auto"/>
          <w:kern w:val="0"/>
          <w:szCs w:val="22"/>
        </w:rPr>
        <w:t>Rivers.</w:t>
      </w:r>
    </w:p>
    <w:p w14:paraId="4B861E5E" w14:textId="77777777" w:rsidR="007B223B" w:rsidRDefault="007B223B" w:rsidP="007B223B">
      <w:pPr>
        <w:pStyle w:val="Heading2"/>
      </w:pPr>
      <w:bookmarkStart w:id="462" w:name="_Toc396825301"/>
      <w:bookmarkStart w:id="463" w:name="_Toc6403854"/>
      <w:bookmarkStart w:id="464" w:name="_Toc10095177"/>
      <w:bookmarkStart w:id="465" w:name="_Toc10192346"/>
      <w:bookmarkStart w:id="466" w:name="_Toc10206661"/>
      <w:bookmarkStart w:id="467" w:name="_Toc10213247"/>
      <w:bookmarkStart w:id="468" w:name="_Toc10732271"/>
      <w:bookmarkStart w:id="469" w:name="_Toc10796830"/>
      <w:bookmarkStart w:id="470" w:name="_Toc12022715"/>
      <w:bookmarkStart w:id="471" w:name="_Toc12630545"/>
      <w:bookmarkStart w:id="472" w:name="_Toc16154405"/>
      <w:bookmarkStart w:id="473" w:name="_Toc22196767"/>
      <w:r w:rsidRPr="00525AE9">
        <w:t>Relevant flow types</w:t>
      </w:r>
      <w:bookmarkEnd w:id="461"/>
      <w:bookmarkEnd w:id="462"/>
      <w:bookmarkEnd w:id="463"/>
      <w:bookmarkEnd w:id="464"/>
      <w:bookmarkEnd w:id="465"/>
      <w:bookmarkEnd w:id="466"/>
      <w:bookmarkEnd w:id="467"/>
      <w:bookmarkEnd w:id="468"/>
      <w:bookmarkEnd w:id="469"/>
      <w:bookmarkEnd w:id="470"/>
      <w:bookmarkEnd w:id="471"/>
      <w:bookmarkEnd w:id="472"/>
      <w:bookmarkEnd w:id="473"/>
    </w:p>
    <w:p w14:paraId="7347E3FF" w14:textId="4513ED10" w:rsidR="007B223B" w:rsidRPr="009850D2" w:rsidRDefault="00532585" w:rsidP="007B223B">
      <w:r>
        <w:rPr>
          <w:rFonts w:ascii="Calibri" w:eastAsiaTheme="minorHAnsi" w:hAnsi="Calibri" w:cs="Calibri"/>
          <w:color w:val="auto"/>
          <w:kern w:val="0"/>
          <w:szCs w:val="22"/>
        </w:rPr>
        <w:t>All – baseflow, freshes,</w:t>
      </w:r>
      <w:r w:rsidR="007B223B">
        <w:rPr>
          <w:rFonts w:ascii="Calibri" w:eastAsiaTheme="minorHAnsi" w:hAnsi="Calibri" w:cs="Calibri"/>
          <w:color w:val="auto"/>
          <w:kern w:val="0"/>
          <w:szCs w:val="22"/>
        </w:rPr>
        <w:t xml:space="preserve"> bankfull</w:t>
      </w:r>
      <w:r>
        <w:rPr>
          <w:rFonts w:ascii="Calibri" w:eastAsiaTheme="minorHAnsi" w:hAnsi="Calibri" w:cs="Calibri"/>
          <w:color w:val="auto"/>
          <w:kern w:val="0"/>
          <w:szCs w:val="22"/>
        </w:rPr>
        <w:t xml:space="preserve"> and overbank</w:t>
      </w:r>
      <w:r w:rsidR="007B223B">
        <w:rPr>
          <w:rFonts w:ascii="Calibri" w:eastAsiaTheme="minorHAnsi" w:hAnsi="Calibri" w:cs="Calibri"/>
          <w:color w:val="auto"/>
          <w:kern w:val="0"/>
          <w:szCs w:val="22"/>
        </w:rPr>
        <w:t>.</w:t>
      </w:r>
    </w:p>
    <w:p w14:paraId="2802A466" w14:textId="77777777" w:rsidR="007B223B" w:rsidRDefault="007B223B" w:rsidP="007B223B">
      <w:pPr>
        <w:pStyle w:val="Heading2"/>
      </w:pPr>
      <w:bookmarkStart w:id="474" w:name="_Toc243986910"/>
      <w:bookmarkStart w:id="475" w:name="_Toc396825302"/>
      <w:bookmarkStart w:id="476" w:name="_Toc6403855"/>
      <w:bookmarkStart w:id="477" w:name="_Toc10095178"/>
      <w:bookmarkStart w:id="478" w:name="_Toc10192347"/>
      <w:bookmarkStart w:id="479" w:name="_Toc10206662"/>
      <w:bookmarkStart w:id="480" w:name="_Toc10213248"/>
      <w:bookmarkStart w:id="481" w:name="_Toc10732272"/>
      <w:bookmarkStart w:id="482" w:name="_Toc10796831"/>
      <w:bookmarkStart w:id="483" w:name="_Toc12022716"/>
      <w:bookmarkStart w:id="484" w:name="_Toc12630546"/>
      <w:bookmarkStart w:id="485" w:name="_Toc16154406"/>
      <w:bookmarkStart w:id="486" w:name="_Toc22196768"/>
      <w:r w:rsidRPr="00525AE9">
        <w:lastRenderedPageBreak/>
        <w:t>Overview and context</w:t>
      </w:r>
      <w:bookmarkEnd w:id="474"/>
      <w:bookmarkEnd w:id="475"/>
      <w:bookmarkEnd w:id="476"/>
      <w:bookmarkEnd w:id="477"/>
      <w:bookmarkEnd w:id="478"/>
      <w:bookmarkEnd w:id="479"/>
      <w:bookmarkEnd w:id="480"/>
      <w:bookmarkEnd w:id="481"/>
      <w:bookmarkEnd w:id="482"/>
      <w:bookmarkEnd w:id="483"/>
      <w:bookmarkEnd w:id="484"/>
      <w:bookmarkEnd w:id="485"/>
      <w:bookmarkEnd w:id="486"/>
    </w:p>
    <w:p w14:paraId="0869B327" w14:textId="4E7C2387" w:rsidR="007B223B" w:rsidRPr="00D403A4" w:rsidRDefault="007B223B" w:rsidP="007B223B">
      <w:pPr>
        <w:autoSpaceDE w:val="0"/>
        <w:autoSpaceDN w:val="0"/>
        <w:adjustRightInd w:val="0"/>
        <w:spacing w:after="0"/>
        <w:rPr>
          <w:rFonts w:ascii="Calibri" w:eastAsiaTheme="minorHAnsi" w:hAnsi="Calibri" w:cs="Calibri"/>
          <w:color w:val="auto"/>
          <w:kern w:val="0"/>
          <w:szCs w:val="22"/>
        </w:rPr>
      </w:pPr>
      <w:bookmarkStart w:id="487" w:name="_Toc243986911"/>
      <w:r w:rsidRPr="00A41801">
        <w:rPr>
          <w:rFonts w:ascii="Calibri" w:eastAsiaTheme="minorHAnsi" w:hAnsi="Calibri" w:cs="Calibri"/>
          <w:i/>
          <w:color w:val="auto"/>
          <w:kern w:val="0"/>
          <w:szCs w:val="22"/>
        </w:rPr>
        <w:t>Hydrology (Channel)</w:t>
      </w:r>
      <w:r w:rsidR="00B563C1">
        <w:rPr>
          <w:rFonts w:ascii="Calibri" w:eastAsiaTheme="minorHAnsi" w:hAnsi="Calibri" w:cs="Calibri"/>
          <w:color w:val="auto"/>
          <w:kern w:val="0"/>
          <w:szCs w:val="22"/>
        </w:rPr>
        <w:t xml:space="preserve"> is a</w:t>
      </w:r>
      <w:r w:rsidRPr="00D403A4">
        <w:rPr>
          <w:rFonts w:ascii="Calibri" w:eastAsiaTheme="minorHAnsi" w:hAnsi="Calibri" w:cs="Calibri"/>
          <w:color w:val="auto"/>
          <w:kern w:val="0"/>
          <w:szCs w:val="22"/>
        </w:rPr>
        <w:t xml:space="preserve"> </w:t>
      </w:r>
      <w:r w:rsidR="00B563C1">
        <w:rPr>
          <w:rFonts w:ascii="Calibri" w:eastAsiaTheme="minorHAnsi" w:hAnsi="Calibri" w:cs="Calibri"/>
          <w:color w:val="auto"/>
          <w:kern w:val="0"/>
          <w:szCs w:val="22"/>
        </w:rPr>
        <w:t>continuous</w:t>
      </w:r>
      <w:r w:rsidR="00E30C11" w:rsidRPr="00D403A4">
        <w:rPr>
          <w:rFonts w:ascii="Calibri" w:eastAsiaTheme="minorHAnsi" w:hAnsi="Calibri" w:cs="Calibri"/>
          <w:color w:val="auto"/>
          <w:kern w:val="0"/>
          <w:szCs w:val="22"/>
        </w:rPr>
        <w:t xml:space="preserve"> </w:t>
      </w:r>
      <w:r w:rsidRPr="00D403A4">
        <w:rPr>
          <w:rFonts w:ascii="Calibri" w:eastAsiaTheme="minorHAnsi" w:hAnsi="Calibri" w:cs="Calibri"/>
          <w:color w:val="auto"/>
          <w:kern w:val="0"/>
          <w:szCs w:val="22"/>
        </w:rPr>
        <w:t>monitoring protocol designed to capture aspects of a rivers water regime that influence behaviour and condition of native fish, stream metabolism, and water quality. In particular, this protocol aims to quantify the effect of Commonwealth environmental water on aspects of river hydrology that are most important for native fish, stream metabolism, and water quality. This protocol is based on a combination of field measures and hydrological modelling and comprises:</w:t>
      </w:r>
    </w:p>
    <w:p w14:paraId="5A0A8754" w14:textId="77777777" w:rsidR="007B223B" w:rsidRPr="00D403A4" w:rsidRDefault="007B223B" w:rsidP="00C77254">
      <w:pPr>
        <w:pStyle w:val="ListParagraph"/>
        <w:numPr>
          <w:ilvl w:val="0"/>
          <w:numId w:val="41"/>
        </w:numPr>
        <w:autoSpaceDE w:val="0"/>
        <w:autoSpaceDN w:val="0"/>
        <w:adjustRightInd w:val="0"/>
        <w:spacing w:after="0"/>
        <w:ind w:left="765" w:hanging="357"/>
        <w:rPr>
          <w:rFonts w:ascii="Calibri" w:eastAsiaTheme="minorHAnsi" w:hAnsi="Calibri" w:cs="Calibri"/>
          <w:color w:val="auto"/>
          <w:kern w:val="0"/>
          <w:szCs w:val="22"/>
        </w:rPr>
      </w:pPr>
      <w:r w:rsidRPr="00D403A4">
        <w:rPr>
          <w:rFonts w:ascii="Calibri" w:eastAsiaTheme="minorHAnsi" w:hAnsi="Calibri" w:cs="Calibri"/>
          <w:color w:val="auto"/>
          <w:kern w:val="0"/>
          <w:szCs w:val="22"/>
        </w:rPr>
        <w:t>Cross sectional survey</w:t>
      </w:r>
    </w:p>
    <w:p w14:paraId="60F68924" w14:textId="77777777" w:rsidR="007B223B" w:rsidRPr="00D403A4" w:rsidRDefault="007B223B" w:rsidP="00C77254">
      <w:pPr>
        <w:pStyle w:val="ListParagraph"/>
        <w:numPr>
          <w:ilvl w:val="0"/>
          <w:numId w:val="41"/>
        </w:numPr>
        <w:autoSpaceDE w:val="0"/>
        <w:autoSpaceDN w:val="0"/>
        <w:adjustRightInd w:val="0"/>
        <w:spacing w:after="0"/>
        <w:ind w:left="765" w:hanging="357"/>
        <w:rPr>
          <w:rFonts w:ascii="Calibri" w:eastAsiaTheme="minorHAnsi" w:hAnsi="Calibri" w:cs="Calibri"/>
          <w:color w:val="auto"/>
          <w:kern w:val="0"/>
          <w:szCs w:val="22"/>
        </w:rPr>
      </w:pPr>
      <w:r w:rsidRPr="00D403A4">
        <w:rPr>
          <w:rFonts w:ascii="Calibri" w:eastAsiaTheme="minorHAnsi" w:hAnsi="Calibri" w:cs="Calibri"/>
          <w:color w:val="auto"/>
          <w:kern w:val="0"/>
          <w:szCs w:val="22"/>
        </w:rPr>
        <w:t>Velocity measurements and development of a rating curve</w:t>
      </w:r>
    </w:p>
    <w:p w14:paraId="6CF80BEF" w14:textId="77777777" w:rsidR="007B223B" w:rsidRDefault="007B223B" w:rsidP="00C77254">
      <w:pPr>
        <w:pStyle w:val="ListParagraph"/>
        <w:numPr>
          <w:ilvl w:val="0"/>
          <w:numId w:val="41"/>
        </w:numPr>
        <w:autoSpaceDE w:val="0"/>
        <w:autoSpaceDN w:val="0"/>
        <w:adjustRightInd w:val="0"/>
        <w:spacing w:after="0"/>
        <w:ind w:left="765" w:hanging="357"/>
        <w:rPr>
          <w:rFonts w:ascii="Calibri" w:eastAsiaTheme="minorHAnsi" w:hAnsi="Calibri" w:cs="Calibri"/>
          <w:color w:val="auto"/>
          <w:kern w:val="0"/>
          <w:szCs w:val="22"/>
        </w:rPr>
      </w:pPr>
      <w:r w:rsidRPr="00D403A4">
        <w:rPr>
          <w:rFonts w:ascii="Calibri" w:eastAsiaTheme="minorHAnsi" w:hAnsi="Calibri" w:cs="Calibri"/>
          <w:color w:val="auto"/>
          <w:kern w:val="0"/>
          <w:szCs w:val="22"/>
        </w:rPr>
        <w:t>Daily Mean ‘Stage’ Height</w:t>
      </w:r>
      <w:r>
        <w:rPr>
          <w:rFonts w:ascii="Calibri" w:eastAsiaTheme="minorHAnsi" w:hAnsi="Calibri" w:cs="Calibri"/>
          <w:color w:val="auto"/>
          <w:kern w:val="0"/>
          <w:szCs w:val="22"/>
        </w:rPr>
        <w:t>.</w:t>
      </w:r>
    </w:p>
    <w:p w14:paraId="02EEB236" w14:textId="38D92BC8" w:rsidR="007B223B" w:rsidRPr="000B313C" w:rsidRDefault="007B223B" w:rsidP="007B223B">
      <w:pPr>
        <w:spacing w:before="160"/>
        <w:rPr>
          <w:rFonts w:cstheme="minorHAnsi"/>
        </w:rPr>
      </w:pPr>
      <w:r w:rsidRPr="002E3EEF">
        <w:rPr>
          <w:rFonts w:cstheme="minorHAnsi"/>
          <w:szCs w:val="22"/>
        </w:rPr>
        <w:t xml:space="preserve">Refer to Section </w:t>
      </w:r>
      <w:r>
        <w:rPr>
          <w:rFonts w:cstheme="minorHAnsi"/>
          <w:szCs w:val="22"/>
        </w:rPr>
        <w:fldChar w:fldCharType="begin"/>
      </w:r>
      <w:r>
        <w:rPr>
          <w:rFonts w:cstheme="minorHAnsi"/>
          <w:szCs w:val="22"/>
        </w:rPr>
        <w:instrText xml:space="preserve"> REF _Ref391538496 \r \h </w:instrText>
      </w:r>
      <w:r>
        <w:rPr>
          <w:rFonts w:cstheme="minorHAnsi"/>
          <w:szCs w:val="22"/>
        </w:rPr>
      </w:r>
      <w:r>
        <w:rPr>
          <w:rFonts w:cstheme="minorHAnsi"/>
          <w:szCs w:val="22"/>
        </w:rPr>
        <w:fldChar w:fldCharType="separate"/>
      </w:r>
      <w:r w:rsidR="00DF49CD">
        <w:rPr>
          <w:rFonts w:cstheme="minorHAnsi"/>
          <w:szCs w:val="22"/>
        </w:rPr>
        <w:t>5.1.1</w:t>
      </w:r>
      <w:r>
        <w:rPr>
          <w:rFonts w:cstheme="minorHAnsi"/>
          <w:szCs w:val="22"/>
        </w:rPr>
        <w:fldChar w:fldCharType="end"/>
      </w:r>
      <w:r w:rsidRPr="002E3EEF">
        <w:rPr>
          <w:rFonts w:cstheme="minorHAnsi"/>
          <w:szCs w:val="22"/>
        </w:rPr>
        <w:t xml:space="preserve"> in the </w:t>
      </w:r>
      <w:r>
        <w:rPr>
          <w:rFonts w:cstheme="minorHAnsi"/>
          <w:szCs w:val="22"/>
        </w:rPr>
        <w:t>MER</w:t>
      </w:r>
      <w:r w:rsidRPr="002E3EEF">
        <w:rPr>
          <w:rFonts w:cstheme="minorHAnsi"/>
          <w:szCs w:val="22"/>
        </w:rPr>
        <w:t xml:space="preserve"> Plan for background information, obj</w:t>
      </w:r>
      <w:r>
        <w:rPr>
          <w:rFonts w:cstheme="minorHAnsi"/>
          <w:szCs w:val="22"/>
        </w:rPr>
        <w:t>ectives</w:t>
      </w:r>
      <w:r w:rsidRPr="002E3EEF">
        <w:rPr>
          <w:rFonts w:cstheme="minorHAnsi"/>
          <w:szCs w:val="22"/>
        </w:rPr>
        <w:t xml:space="preserve">, outputs and staff involvement for </w:t>
      </w:r>
      <w:r w:rsidRPr="00A41801">
        <w:rPr>
          <w:rFonts w:cstheme="minorHAnsi"/>
          <w:i/>
          <w:szCs w:val="22"/>
        </w:rPr>
        <w:t>Hydrology (Channel)</w:t>
      </w:r>
      <w:r w:rsidRPr="002E3EEF">
        <w:rPr>
          <w:rFonts w:cstheme="minorHAnsi"/>
          <w:szCs w:val="22"/>
        </w:rPr>
        <w:t>.</w:t>
      </w:r>
    </w:p>
    <w:p w14:paraId="1A3761C4" w14:textId="77777777" w:rsidR="007B223B" w:rsidRDefault="007B223B" w:rsidP="007B223B">
      <w:pPr>
        <w:pStyle w:val="Heading2"/>
      </w:pPr>
      <w:bookmarkStart w:id="488" w:name="_Toc396825303"/>
      <w:bookmarkStart w:id="489" w:name="_Toc6403856"/>
      <w:bookmarkStart w:id="490" w:name="_Toc10095179"/>
      <w:bookmarkStart w:id="491" w:name="_Toc10192348"/>
      <w:bookmarkStart w:id="492" w:name="_Toc10206663"/>
      <w:bookmarkStart w:id="493" w:name="_Toc10213249"/>
      <w:bookmarkStart w:id="494" w:name="_Toc10732273"/>
      <w:bookmarkStart w:id="495" w:name="_Toc10796832"/>
      <w:bookmarkStart w:id="496" w:name="_Toc12022717"/>
      <w:bookmarkStart w:id="497" w:name="_Toc12630547"/>
      <w:bookmarkStart w:id="498" w:name="_Toc16154407"/>
      <w:bookmarkStart w:id="499" w:name="_Toc22196769"/>
      <w:r w:rsidRPr="00525AE9">
        <w:t>Complementary monitoring and data</w:t>
      </w:r>
      <w:bookmarkEnd w:id="487"/>
      <w:bookmarkEnd w:id="488"/>
      <w:bookmarkEnd w:id="489"/>
      <w:bookmarkEnd w:id="490"/>
      <w:bookmarkEnd w:id="491"/>
      <w:bookmarkEnd w:id="492"/>
      <w:bookmarkEnd w:id="493"/>
      <w:bookmarkEnd w:id="494"/>
      <w:bookmarkEnd w:id="495"/>
      <w:bookmarkEnd w:id="496"/>
      <w:bookmarkEnd w:id="497"/>
      <w:bookmarkEnd w:id="498"/>
      <w:bookmarkEnd w:id="499"/>
    </w:p>
    <w:p w14:paraId="59AE4CC2" w14:textId="77777777" w:rsidR="007B223B" w:rsidRPr="00D403A4" w:rsidRDefault="007B223B" w:rsidP="007B223B">
      <w:pPr>
        <w:autoSpaceDE w:val="0"/>
        <w:autoSpaceDN w:val="0"/>
        <w:adjustRightInd w:val="0"/>
        <w:spacing w:after="0"/>
        <w:rPr>
          <w:rFonts w:ascii="Calibri" w:eastAsiaTheme="minorHAnsi" w:hAnsi="Calibri" w:cs="Calibri"/>
          <w:color w:val="auto"/>
          <w:kern w:val="0"/>
          <w:szCs w:val="22"/>
        </w:rPr>
      </w:pPr>
      <w:bookmarkStart w:id="500" w:name="_Toc243986912"/>
      <w:r w:rsidRPr="00D403A4">
        <w:rPr>
          <w:rFonts w:ascii="Calibri" w:eastAsiaTheme="minorHAnsi" w:hAnsi="Calibri" w:cs="Calibri"/>
          <w:color w:val="auto"/>
          <w:kern w:val="0"/>
          <w:szCs w:val="22"/>
        </w:rPr>
        <w:t xml:space="preserve">For the </w:t>
      </w:r>
      <w:r w:rsidRPr="00C304CC">
        <w:rPr>
          <w:rFonts w:ascii="Calibri" w:eastAsiaTheme="minorHAnsi" w:hAnsi="Calibri" w:cs="Calibri"/>
          <w:color w:val="auto"/>
          <w:kern w:val="0"/>
          <w:szCs w:val="22"/>
        </w:rPr>
        <w:t>Lower Murray</w:t>
      </w:r>
      <w:r w:rsidRPr="00D403A4">
        <w:rPr>
          <w:rFonts w:ascii="Calibri" w:eastAsiaTheme="minorHAnsi" w:hAnsi="Calibri" w:cs="Calibri"/>
          <w:color w:val="auto"/>
          <w:kern w:val="0"/>
          <w:szCs w:val="22"/>
        </w:rPr>
        <w:t xml:space="preserve"> Selected Area, the river hydrology monitoring is available from local gauging stations. These records are considered appropriate as they are just upstream and within the zone and if no tributaries exist between the site and the gauging station. It should be noted there are some anabranches around some of the stations that are within the zone, but the necessary upstream flow gauge is considered accurate.</w:t>
      </w:r>
    </w:p>
    <w:p w14:paraId="0EC393EF" w14:textId="77777777" w:rsidR="007B223B" w:rsidRPr="00525AE9" w:rsidRDefault="007B223B" w:rsidP="007B223B">
      <w:pPr>
        <w:pStyle w:val="Heading2"/>
      </w:pPr>
      <w:bookmarkStart w:id="501" w:name="_Toc396825304"/>
      <w:bookmarkStart w:id="502" w:name="_Toc6403857"/>
      <w:bookmarkStart w:id="503" w:name="_Toc10095180"/>
      <w:bookmarkStart w:id="504" w:name="_Toc10192349"/>
      <w:bookmarkStart w:id="505" w:name="_Toc10206664"/>
      <w:bookmarkStart w:id="506" w:name="_Toc10213250"/>
      <w:bookmarkStart w:id="507" w:name="_Toc10732274"/>
      <w:bookmarkStart w:id="508" w:name="_Toc10796833"/>
      <w:bookmarkStart w:id="509" w:name="_Toc12022718"/>
      <w:bookmarkStart w:id="510" w:name="_Toc12630548"/>
      <w:bookmarkStart w:id="511" w:name="_Toc16154408"/>
      <w:bookmarkStart w:id="512" w:name="_Toc22196770"/>
      <w:r w:rsidRPr="00525AE9">
        <w:t>Monitoring locations and timing</w:t>
      </w:r>
      <w:bookmarkEnd w:id="500"/>
      <w:bookmarkEnd w:id="501"/>
      <w:bookmarkEnd w:id="502"/>
      <w:bookmarkEnd w:id="503"/>
      <w:bookmarkEnd w:id="504"/>
      <w:bookmarkEnd w:id="505"/>
      <w:bookmarkEnd w:id="506"/>
      <w:bookmarkEnd w:id="507"/>
      <w:bookmarkEnd w:id="508"/>
      <w:bookmarkEnd w:id="509"/>
      <w:bookmarkEnd w:id="510"/>
      <w:bookmarkEnd w:id="511"/>
      <w:bookmarkEnd w:id="512"/>
    </w:p>
    <w:p w14:paraId="000EE90E" w14:textId="77777777" w:rsidR="007B223B" w:rsidRDefault="007B223B" w:rsidP="007B223B">
      <w:pPr>
        <w:pStyle w:val="Heading3"/>
      </w:pPr>
      <w:bookmarkStart w:id="513" w:name="_Toc243986913"/>
      <w:bookmarkStart w:id="514" w:name="_Toc6403858"/>
      <w:bookmarkStart w:id="515" w:name="_Toc10095181"/>
      <w:bookmarkStart w:id="516" w:name="_Toc10192350"/>
      <w:bookmarkStart w:id="517" w:name="_Toc10206665"/>
      <w:bookmarkStart w:id="518" w:name="_Toc10213251"/>
      <w:bookmarkStart w:id="519" w:name="_Toc10732275"/>
      <w:bookmarkStart w:id="520" w:name="_Toc10796834"/>
      <w:bookmarkStart w:id="521" w:name="_Toc12022719"/>
      <w:bookmarkStart w:id="522" w:name="_Toc12630549"/>
      <w:bookmarkStart w:id="523" w:name="_Toc16154409"/>
      <w:bookmarkStart w:id="524" w:name="_Toc22196771"/>
      <w:r w:rsidRPr="00525AE9">
        <w:t>Locations</w:t>
      </w:r>
      <w:bookmarkEnd w:id="513"/>
      <w:bookmarkEnd w:id="514"/>
      <w:bookmarkEnd w:id="515"/>
      <w:bookmarkEnd w:id="516"/>
      <w:bookmarkEnd w:id="517"/>
      <w:bookmarkEnd w:id="518"/>
      <w:bookmarkEnd w:id="519"/>
      <w:bookmarkEnd w:id="520"/>
      <w:bookmarkEnd w:id="521"/>
      <w:bookmarkEnd w:id="522"/>
      <w:bookmarkEnd w:id="523"/>
      <w:bookmarkEnd w:id="524"/>
    </w:p>
    <w:p w14:paraId="570F7E86" w14:textId="0CE3C2C3" w:rsidR="007B223B" w:rsidRPr="00D403A4" w:rsidRDefault="007B223B" w:rsidP="007B223B">
      <w:pPr>
        <w:pStyle w:val="TableCaption"/>
        <w:rPr>
          <w:b w:val="0"/>
          <w:sz w:val="22"/>
          <w:szCs w:val="22"/>
        </w:rPr>
      </w:pPr>
      <w:bookmarkStart w:id="525" w:name="_Ref384736071"/>
      <w:bookmarkStart w:id="526" w:name="_Toc384985604"/>
      <w:bookmarkStart w:id="527" w:name="_Toc391553361"/>
      <w:r w:rsidRPr="00D403A4">
        <w:rPr>
          <w:b w:val="0"/>
          <w:sz w:val="22"/>
          <w:szCs w:val="22"/>
        </w:rPr>
        <w:t xml:space="preserve">The discharge upstream of the </w:t>
      </w:r>
      <w:r w:rsidRPr="00C304CC">
        <w:rPr>
          <w:b w:val="0"/>
          <w:sz w:val="22"/>
          <w:szCs w:val="22"/>
        </w:rPr>
        <w:t>Lower Murray</w:t>
      </w:r>
      <w:r w:rsidRPr="00D403A4">
        <w:rPr>
          <w:b w:val="0"/>
          <w:sz w:val="22"/>
          <w:szCs w:val="22"/>
        </w:rPr>
        <w:t xml:space="preserve"> Selected Area is recorded at the Flow to South Australia (A4261001) station. This record is calculated based on two stations, Murray River D/S Rufus River (AW426200) and the flow through the Lindsay–Mullaroo Anabranch (AW414211), with allowances made for losses and extractions in this anabranch. This station is considered high quality, and used for multiple reporting purposes. Within the </w:t>
      </w:r>
      <w:r w:rsidRPr="00C304CC">
        <w:rPr>
          <w:b w:val="0"/>
          <w:sz w:val="22"/>
          <w:szCs w:val="22"/>
        </w:rPr>
        <w:t>Lower Murray</w:t>
      </w:r>
      <w:r w:rsidRPr="00D403A4">
        <w:rPr>
          <w:b w:val="0"/>
          <w:sz w:val="22"/>
          <w:szCs w:val="22"/>
        </w:rPr>
        <w:t xml:space="preserve"> Selected Area, discharge over each weir is calculated based on the upstream water level, downstream water level, and a rating curve relationship to calculate discharge. The relationship was derived using multiple velocity cross sections downstream of each weir. Based on current data availability discharge records available in the area are outlined in</w:t>
      </w:r>
      <w:r>
        <w:t xml:space="preserve"> </w:t>
      </w:r>
      <w:r>
        <w:fldChar w:fldCharType="begin"/>
      </w:r>
      <w:r>
        <w:instrText xml:space="preserve"> REF _Ref397515360 \h  \* MERGEFORMAT </w:instrText>
      </w:r>
      <w:r>
        <w:fldChar w:fldCharType="separate"/>
      </w:r>
      <w:r w:rsidR="00DF49CD" w:rsidRPr="00DF49CD">
        <w:rPr>
          <w:b w:val="0"/>
          <w:sz w:val="22"/>
          <w:szCs w:val="22"/>
        </w:rPr>
        <w:t>Table B.2</w:t>
      </w:r>
      <w:r>
        <w:fldChar w:fldCharType="end"/>
      </w:r>
      <w:r w:rsidRPr="009B27E3">
        <w:rPr>
          <w:b w:val="0"/>
          <w:sz w:val="22"/>
          <w:szCs w:val="22"/>
        </w:rPr>
        <w:t>.</w:t>
      </w:r>
    </w:p>
    <w:p w14:paraId="0875BC9E" w14:textId="2424C61B" w:rsidR="007B223B" w:rsidRPr="00C2634B" w:rsidRDefault="007B223B" w:rsidP="007B223B">
      <w:pPr>
        <w:pStyle w:val="Caption"/>
      </w:pPr>
      <w:bookmarkStart w:id="528" w:name="_Ref397515360"/>
      <w:r>
        <w:t>Table B.</w:t>
      </w:r>
      <w:r>
        <w:rPr>
          <w:noProof/>
        </w:rPr>
        <w:fldChar w:fldCharType="begin"/>
      </w:r>
      <w:r>
        <w:rPr>
          <w:noProof/>
        </w:rPr>
        <w:instrText xml:space="preserve"> SEQ Table_B. \* ARABIC </w:instrText>
      </w:r>
      <w:r>
        <w:rPr>
          <w:noProof/>
        </w:rPr>
        <w:fldChar w:fldCharType="separate"/>
      </w:r>
      <w:r w:rsidR="00DF49CD">
        <w:rPr>
          <w:noProof/>
        </w:rPr>
        <w:t>2</w:t>
      </w:r>
      <w:r>
        <w:rPr>
          <w:noProof/>
        </w:rPr>
        <w:fldChar w:fldCharType="end"/>
      </w:r>
      <w:bookmarkEnd w:id="528"/>
      <w:r w:rsidRPr="00C2634B">
        <w:rPr>
          <w:szCs w:val="20"/>
        </w:rPr>
        <w:t xml:space="preserve">. </w:t>
      </w:r>
      <w:bookmarkEnd w:id="525"/>
      <w:r w:rsidRPr="00C2634B">
        <w:t xml:space="preserve">Station data available </w:t>
      </w:r>
      <w:bookmarkEnd w:id="526"/>
      <w:bookmarkEnd w:id="527"/>
    </w:p>
    <w:tbl>
      <w:tblPr>
        <w:tblW w:w="25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2913"/>
      </w:tblGrid>
      <w:tr w:rsidR="00E30C11" w:rsidRPr="008E3CFD" w14:paraId="2D4D711F" w14:textId="77777777" w:rsidTr="0050053E">
        <w:trPr>
          <w:trHeight w:val="300"/>
        </w:trPr>
        <w:tc>
          <w:tcPr>
            <w:tcW w:w="1771" w:type="pct"/>
            <w:shd w:val="clear" w:color="auto" w:fill="BFBFBF" w:themeFill="background1" w:themeFillShade="BF"/>
          </w:tcPr>
          <w:p w14:paraId="041EABDA" w14:textId="77777777" w:rsidR="00E30C11" w:rsidRPr="008E3CFD" w:rsidRDefault="00E30C11" w:rsidP="0050053E">
            <w:pPr>
              <w:pStyle w:val="TableHeading"/>
            </w:pPr>
            <w:bookmarkStart w:id="529" w:name="_Toc243986914"/>
            <w:bookmarkStart w:id="530" w:name="_Toc6403859"/>
            <w:r>
              <w:t>Station Number</w:t>
            </w:r>
          </w:p>
        </w:tc>
        <w:tc>
          <w:tcPr>
            <w:tcW w:w="3229" w:type="pct"/>
            <w:shd w:val="clear" w:color="auto" w:fill="BFBFBF" w:themeFill="background1" w:themeFillShade="BF"/>
          </w:tcPr>
          <w:p w14:paraId="27B386F7" w14:textId="77777777" w:rsidR="00E30C11" w:rsidRPr="008E3CFD" w:rsidRDefault="00E30C11" w:rsidP="0050053E">
            <w:pPr>
              <w:pStyle w:val="TableHeading"/>
            </w:pPr>
            <w:r>
              <w:t>Station</w:t>
            </w:r>
            <w:r w:rsidRPr="008E3CFD">
              <w:t xml:space="preserve"> </w:t>
            </w:r>
            <w:r>
              <w:t>N</w:t>
            </w:r>
            <w:r w:rsidRPr="008E3CFD">
              <w:t>ame</w:t>
            </w:r>
          </w:p>
        </w:tc>
      </w:tr>
      <w:tr w:rsidR="00E30C11" w:rsidRPr="008E3CFD" w14:paraId="22D66DE1" w14:textId="77777777" w:rsidTr="0050053E">
        <w:trPr>
          <w:trHeight w:val="300"/>
        </w:trPr>
        <w:tc>
          <w:tcPr>
            <w:tcW w:w="1771" w:type="pct"/>
          </w:tcPr>
          <w:p w14:paraId="0EF97F5E" w14:textId="77777777" w:rsidR="00E30C11" w:rsidRPr="008E3CFD" w:rsidRDefault="00E30C11" w:rsidP="0050053E">
            <w:pPr>
              <w:pStyle w:val="TableText"/>
            </w:pPr>
            <w:r>
              <w:t>A4261001</w:t>
            </w:r>
          </w:p>
        </w:tc>
        <w:tc>
          <w:tcPr>
            <w:tcW w:w="3229" w:type="pct"/>
          </w:tcPr>
          <w:p w14:paraId="1497E91B" w14:textId="77777777" w:rsidR="00E30C11" w:rsidRPr="008E3CFD" w:rsidRDefault="00E30C11" w:rsidP="0050053E">
            <w:pPr>
              <w:pStyle w:val="TableText"/>
            </w:pPr>
            <w:r>
              <w:t>Flow to SA</w:t>
            </w:r>
          </w:p>
        </w:tc>
      </w:tr>
      <w:tr w:rsidR="00E30C11" w:rsidRPr="008E3CFD" w14:paraId="3D0952FB" w14:textId="77777777" w:rsidTr="0050053E">
        <w:trPr>
          <w:trHeight w:val="300"/>
        </w:trPr>
        <w:tc>
          <w:tcPr>
            <w:tcW w:w="1771" w:type="pct"/>
          </w:tcPr>
          <w:p w14:paraId="174205A4" w14:textId="77777777" w:rsidR="00E30C11" w:rsidRDefault="00E30C11" w:rsidP="0050053E">
            <w:pPr>
              <w:pStyle w:val="TableText"/>
            </w:pPr>
            <w:r>
              <w:t>A4261091</w:t>
            </w:r>
          </w:p>
        </w:tc>
        <w:tc>
          <w:tcPr>
            <w:tcW w:w="3229" w:type="pct"/>
          </w:tcPr>
          <w:p w14:paraId="5ADF2132" w14:textId="77777777" w:rsidR="00E30C11" w:rsidRDefault="00E30C11" w:rsidP="0050053E">
            <w:pPr>
              <w:pStyle w:val="TableText"/>
            </w:pPr>
            <w:r>
              <w:t>Chowilla Creek DS Monoman</w:t>
            </w:r>
          </w:p>
        </w:tc>
      </w:tr>
      <w:tr w:rsidR="00E30C11" w:rsidRPr="008E3CFD" w14:paraId="148B3726" w14:textId="77777777" w:rsidTr="0050053E">
        <w:trPr>
          <w:trHeight w:val="300"/>
        </w:trPr>
        <w:tc>
          <w:tcPr>
            <w:tcW w:w="1771" w:type="pct"/>
          </w:tcPr>
          <w:p w14:paraId="29C13C87" w14:textId="77777777" w:rsidR="00E30C11" w:rsidRDefault="00E30C11" w:rsidP="0050053E">
            <w:pPr>
              <w:pStyle w:val="TableText"/>
            </w:pPr>
            <w:r>
              <w:t>A4260511</w:t>
            </w:r>
          </w:p>
        </w:tc>
        <w:tc>
          <w:tcPr>
            <w:tcW w:w="3229" w:type="pct"/>
          </w:tcPr>
          <w:p w14:paraId="753BDC9C" w14:textId="77777777" w:rsidR="00E30C11" w:rsidRDefault="00E30C11" w:rsidP="0050053E">
            <w:pPr>
              <w:pStyle w:val="TableText"/>
            </w:pPr>
            <w:r>
              <w:t>Lock 6 DS</w:t>
            </w:r>
          </w:p>
        </w:tc>
      </w:tr>
      <w:tr w:rsidR="00E30C11" w:rsidRPr="008E3CFD" w14:paraId="1F684B11" w14:textId="77777777" w:rsidTr="0050053E">
        <w:trPr>
          <w:trHeight w:val="300"/>
        </w:trPr>
        <w:tc>
          <w:tcPr>
            <w:tcW w:w="1771" w:type="pct"/>
          </w:tcPr>
          <w:p w14:paraId="3BCF64A0" w14:textId="77777777" w:rsidR="00E30C11" w:rsidRPr="008E3CFD" w:rsidRDefault="00E30C11" w:rsidP="0050053E">
            <w:pPr>
              <w:pStyle w:val="TableText"/>
            </w:pPr>
            <w:r>
              <w:t>A4260513</w:t>
            </w:r>
          </w:p>
        </w:tc>
        <w:tc>
          <w:tcPr>
            <w:tcW w:w="3229" w:type="pct"/>
          </w:tcPr>
          <w:p w14:paraId="1E543454" w14:textId="77777777" w:rsidR="00E30C11" w:rsidRPr="008E3CFD" w:rsidRDefault="00E30C11" w:rsidP="0050053E">
            <w:pPr>
              <w:pStyle w:val="TableText"/>
            </w:pPr>
            <w:r>
              <w:t>Lock 5 DS</w:t>
            </w:r>
          </w:p>
        </w:tc>
      </w:tr>
      <w:tr w:rsidR="00E30C11" w:rsidRPr="008E3CFD" w14:paraId="27282050" w14:textId="77777777" w:rsidTr="0050053E">
        <w:trPr>
          <w:trHeight w:val="300"/>
        </w:trPr>
        <w:tc>
          <w:tcPr>
            <w:tcW w:w="1771" w:type="pct"/>
          </w:tcPr>
          <w:p w14:paraId="7F1488C3" w14:textId="77777777" w:rsidR="00E30C11" w:rsidRDefault="00E30C11" w:rsidP="0050053E">
            <w:pPr>
              <w:pStyle w:val="TableText"/>
            </w:pPr>
            <w:r>
              <w:t>A4260663*</w:t>
            </w:r>
          </w:p>
        </w:tc>
        <w:tc>
          <w:tcPr>
            <w:tcW w:w="3229" w:type="pct"/>
          </w:tcPr>
          <w:p w14:paraId="51CFACE1" w14:textId="77777777" w:rsidR="00E30C11" w:rsidRDefault="00E30C11" w:rsidP="0050053E">
            <w:pPr>
              <w:pStyle w:val="TableText"/>
            </w:pPr>
            <w:r>
              <w:t>Lyrup PS</w:t>
            </w:r>
          </w:p>
        </w:tc>
      </w:tr>
      <w:tr w:rsidR="00E30C11" w:rsidRPr="008E3CFD" w14:paraId="3E13722F" w14:textId="77777777" w:rsidTr="0050053E">
        <w:trPr>
          <w:trHeight w:val="300"/>
        </w:trPr>
        <w:tc>
          <w:tcPr>
            <w:tcW w:w="1771" w:type="pct"/>
          </w:tcPr>
          <w:p w14:paraId="496C581B" w14:textId="77777777" w:rsidR="00E30C11" w:rsidRDefault="00E30C11" w:rsidP="0050053E">
            <w:pPr>
              <w:pStyle w:val="TableText"/>
            </w:pPr>
            <w:r>
              <w:t>A4260515</w:t>
            </w:r>
          </w:p>
        </w:tc>
        <w:tc>
          <w:tcPr>
            <w:tcW w:w="3229" w:type="pct"/>
          </w:tcPr>
          <w:p w14:paraId="5C7CE2BE" w14:textId="77777777" w:rsidR="00E30C11" w:rsidRDefault="00E30C11" w:rsidP="0050053E">
            <w:pPr>
              <w:pStyle w:val="TableText"/>
            </w:pPr>
            <w:r>
              <w:t>Lock 4 DS</w:t>
            </w:r>
          </w:p>
        </w:tc>
      </w:tr>
      <w:tr w:rsidR="00E30C11" w:rsidRPr="008E3CFD" w14:paraId="39EC4250" w14:textId="77777777" w:rsidTr="0050053E">
        <w:trPr>
          <w:trHeight w:val="300"/>
        </w:trPr>
        <w:tc>
          <w:tcPr>
            <w:tcW w:w="1771" w:type="pct"/>
          </w:tcPr>
          <w:p w14:paraId="0B1042C7" w14:textId="77777777" w:rsidR="00E30C11" w:rsidRDefault="00E30C11" w:rsidP="0050053E">
            <w:pPr>
              <w:pStyle w:val="TableText"/>
            </w:pPr>
            <w:r>
              <w:t>A4260517</w:t>
            </w:r>
          </w:p>
        </w:tc>
        <w:tc>
          <w:tcPr>
            <w:tcW w:w="3229" w:type="pct"/>
          </w:tcPr>
          <w:p w14:paraId="09DE8DA2" w14:textId="77777777" w:rsidR="00E30C11" w:rsidRDefault="00E30C11" w:rsidP="0050053E">
            <w:pPr>
              <w:pStyle w:val="TableText"/>
            </w:pPr>
            <w:r>
              <w:t>Lock 3 DS</w:t>
            </w:r>
          </w:p>
        </w:tc>
      </w:tr>
      <w:tr w:rsidR="00E30C11" w:rsidRPr="008E3CFD" w14:paraId="51BE84CB" w14:textId="77777777" w:rsidTr="0050053E">
        <w:trPr>
          <w:trHeight w:val="300"/>
        </w:trPr>
        <w:tc>
          <w:tcPr>
            <w:tcW w:w="1771" w:type="pct"/>
          </w:tcPr>
          <w:p w14:paraId="37B8D553" w14:textId="77777777" w:rsidR="00E30C11" w:rsidRDefault="00E30C11" w:rsidP="0050053E">
            <w:pPr>
              <w:pStyle w:val="TableText"/>
            </w:pPr>
            <w:r>
              <w:t>A4260528*</w:t>
            </w:r>
          </w:p>
        </w:tc>
        <w:tc>
          <w:tcPr>
            <w:tcW w:w="3229" w:type="pct"/>
          </w:tcPr>
          <w:p w14:paraId="48DC97F6" w14:textId="77777777" w:rsidR="00E30C11" w:rsidRDefault="00E30C11" w:rsidP="0050053E">
            <w:pPr>
              <w:pStyle w:val="TableText"/>
            </w:pPr>
            <w:r>
              <w:t>Overland Corner</w:t>
            </w:r>
          </w:p>
        </w:tc>
      </w:tr>
      <w:tr w:rsidR="00E30C11" w:rsidRPr="008E3CFD" w14:paraId="00726A58" w14:textId="77777777" w:rsidTr="0050053E">
        <w:trPr>
          <w:trHeight w:val="300"/>
        </w:trPr>
        <w:tc>
          <w:tcPr>
            <w:tcW w:w="1771" w:type="pct"/>
          </w:tcPr>
          <w:p w14:paraId="14F94414" w14:textId="77777777" w:rsidR="00E30C11" w:rsidRDefault="00E30C11" w:rsidP="0050053E">
            <w:pPr>
              <w:pStyle w:val="TableText"/>
            </w:pPr>
            <w:r>
              <w:t xml:space="preserve"> A4260619</w:t>
            </w:r>
          </w:p>
        </w:tc>
        <w:tc>
          <w:tcPr>
            <w:tcW w:w="3229" w:type="pct"/>
          </w:tcPr>
          <w:p w14:paraId="39B56F0F" w14:textId="77777777" w:rsidR="00E30C11" w:rsidRDefault="00E30C11" w:rsidP="0050053E">
            <w:pPr>
              <w:pStyle w:val="TableText"/>
            </w:pPr>
            <w:r>
              <w:t>Lock 2 DS</w:t>
            </w:r>
          </w:p>
        </w:tc>
      </w:tr>
      <w:tr w:rsidR="00E30C11" w:rsidRPr="008E3CFD" w14:paraId="20410F3D" w14:textId="77777777" w:rsidTr="0050053E">
        <w:trPr>
          <w:trHeight w:val="300"/>
        </w:trPr>
        <w:tc>
          <w:tcPr>
            <w:tcW w:w="1771" w:type="pct"/>
          </w:tcPr>
          <w:p w14:paraId="406667EB" w14:textId="77777777" w:rsidR="00E30C11" w:rsidRDefault="00E30C11" w:rsidP="0050053E">
            <w:pPr>
              <w:pStyle w:val="TableText"/>
            </w:pPr>
            <w:r>
              <w:t>A4260903</w:t>
            </w:r>
          </w:p>
        </w:tc>
        <w:tc>
          <w:tcPr>
            <w:tcW w:w="3229" w:type="pct"/>
          </w:tcPr>
          <w:p w14:paraId="33AD73D2" w14:textId="77777777" w:rsidR="00E30C11" w:rsidRDefault="00E30C11" w:rsidP="0050053E">
            <w:pPr>
              <w:pStyle w:val="TableText"/>
            </w:pPr>
            <w:r>
              <w:t>Lock 1 DS</w:t>
            </w:r>
          </w:p>
        </w:tc>
      </w:tr>
    </w:tbl>
    <w:p w14:paraId="3C725E83" w14:textId="77777777" w:rsidR="007B223B" w:rsidRDefault="007B223B" w:rsidP="007B223B">
      <w:pPr>
        <w:pStyle w:val="TableBullets"/>
        <w:numPr>
          <w:ilvl w:val="0"/>
          <w:numId w:val="0"/>
        </w:numPr>
      </w:pPr>
      <w:r w:rsidRPr="00AA7F24">
        <w:t>*</w:t>
      </w:r>
      <w:r>
        <w:t xml:space="preserve"> Flow data only valid for high flows</w:t>
      </w:r>
    </w:p>
    <w:p w14:paraId="0AA0ACBF" w14:textId="77777777" w:rsidR="007B223B" w:rsidRDefault="007B223B" w:rsidP="007B223B">
      <w:pPr>
        <w:pStyle w:val="Heading3"/>
      </w:pPr>
      <w:bookmarkStart w:id="531" w:name="_Toc10095182"/>
      <w:bookmarkStart w:id="532" w:name="_Toc10192351"/>
      <w:bookmarkStart w:id="533" w:name="_Toc10206666"/>
      <w:bookmarkStart w:id="534" w:name="_Toc10213252"/>
      <w:bookmarkStart w:id="535" w:name="_Toc10732276"/>
      <w:bookmarkStart w:id="536" w:name="_Toc10796835"/>
      <w:bookmarkStart w:id="537" w:name="_Toc12022720"/>
      <w:bookmarkStart w:id="538" w:name="_Toc12630550"/>
      <w:bookmarkStart w:id="539" w:name="_Toc16154410"/>
      <w:bookmarkStart w:id="540" w:name="_Toc22196772"/>
      <w:r w:rsidRPr="00525AE9">
        <w:lastRenderedPageBreak/>
        <w:t>Timing</w:t>
      </w:r>
      <w:bookmarkEnd w:id="529"/>
      <w:bookmarkEnd w:id="530"/>
      <w:bookmarkEnd w:id="531"/>
      <w:bookmarkEnd w:id="532"/>
      <w:bookmarkEnd w:id="533"/>
      <w:bookmarkEnd w:id="534"/>
      <w:bookmarkEnd w:id="535"/>
      <w:bookmarkEnd w:id="536"/>
      <w:bookmarkEnd w:id="537"/>
      <w:bookmarkEnd w:id="538"/>
      <w:bookmarkEnd w:id="539"/>
      <w:bookmarkEnd w:id="540"/>
    </w:p>
    <w:p w14:paraId="510FD71B" w14:textId="3A9C3B51" w:rsidR="007B223B" w:rsidRPr="00D403A4" w:rsidRDefault="007B223B" w:rsidP="007B223B">
      <w:r w:rsidRPr="00D403A4">
        <w:t xml:space="preserve">Water level and calculated discharge data at the stations outlined </w:t>
      </w:r>
      <w:r w:rsidRPr="009B27E3">
        <w:t xml:space="preserve">in </w:t>
      </w:r>
      <w:r>
        <w:fldChar w:fldCharType="begin"/>
      </w:r>
      <w:r>
        <w:instrText xml:space="preserve"> REF _Ref397515360 \h  \* MERGEFORMAT </w:instrText>
      </w:r>
      <w:r>
        <w:fldChar w:fldCharType="separate"/>
      </w:r>
      <w:r w:rsidR="00DF49CD">
        <w:t>Table B.2</w:t>
      </w:r>
      <w:r>
        <w:fldChar w:fldCharType="end"/>
      </w:r>
      <w:r w:rsidRPr="009B27E3">
        <w:t xml:space="preserve"> is collected</w:t>
      </w:r>
      <w:r w:rsidRPr="00D403A4">
        <w:t xml:space="preserve"> on a daily, or sub-daily basis</w:t>
      </w:r>
      <w:r w:rsidR="00A41801">
        <w:t xml:space="preserve">. Data is readily available in </w:t>
      </w:r>
      <w:r w:rsidR="0028347B">
        <w:t>DEW’s hydrological database</w:t>
      </w:r>
      <w:r w:rsidRPr="00D403A4">
        <w:t>, and can be exported at any time.</w:t>
      </w:r>
      <w:r>
        <w:t xml:space="preserve"> </w:t>
      </w:r>
    </w:p>
    <w:p w14:paraId="67BBF7BB" w14:textId="77777777" w:rsidR="007B223B" w:rsidRPr="00525AE9" w:rsidRDefault="007B223B" w:rsidP="007B223B">
      <w:pPr>
        <w:pStyle w:val="Heading2"/>
      </w:pPr>
      <w:bookmarkStart w:id="541" w:name="_Toc396825305"/>
      <w:bookmarkStart w:id="542" w:name="_Toc6403860"/>
      <w:bookmarkStart w:id="543" w:name="_Toc10095183"/>
      <w:bookmarkStart w:id="544" w:name="_Toc10192352"/>
      <w:bookmarkStart w:id="545" w:name="_Toc10206667"/>
      <w:bookmarkStart w:id="546" w:name="_Toc10213253"/>
      <w:bookmarkStart w:id="547" w:name="_Toc10732277"/>
      <w:bookmarkStart w:id="548" w:name="_Toc10796836"/>
      <w:bookmarkStart w:id="549" w:name="_Toc12022721"/>
      <w:bookmarkStart w:id="550" w:name="_Toc12630551"/>
      <w:bookmarkStart w:id="551" w:name="_Toc16154411"/>
      <w:bookmarkStart w:id="552" w:name="_Toc22196773"/>
      <w:r>
        <w:t>Monitoring protocol</w:t>
      </w:r>
      <w:bookmarkEnd w:id="541"/>
      <w:bookmarkEnd w:id="542"/>
      <w:bookmarkEnd w:id="543"/>
      <w:bookmarkEnd w:id="544"/>
      <w:bookmarkEnd w:id="545"/>
      <w:bookmarkEnd w:id="546"/>
      <w:bookmarkEnd w:id="547"/>
      <w:bookmarkEnd w:id="548"/>
      <w:bookmarkEnd w:id="549"/>
      <w:bookmarkEnd w:id="550"/>
      <w:bookmarkEnd w:id="551"/>
      <w:bookmarkEnd w:id="552"/>
    </w:p>
    <w:p w14:paraId="311BA15E" w14:textId="77777777" w:rsidR="007B223B" w:rsidRDefault="007B223B" w:rsidP="007B223B">
      <w:pPr>
        <w:pStyle w:val="Heading3"/>
      </w:pPr>
      <w:bookmarkStart w:id="553" w:name="_Toc243986916"/>
      <w:bookmarkStart w:id="554" w:name="_Toc6403861"/>
      <w:bookmarkStart w:id="555" w:name="_Toc10095184"/>
      <w:bookmarkStart w:id="556" w:name="_Toc10192353"/>
      <w:bookmarkStart w:id="557" w:name="_Toc10206668"/>
      <w:bookmarkStart w:id="558" w:name="_Toc10213254"/>
      <w:bookmarkStart w:id="559" w:name="_Toc10732278"/>
      <w:bookmarkStart w:id="560" w:name="_Toc10796837"/>
      <w:bookmarkStart w:id="561" w:name="_Toc12022722"/>
      <w:bookmarkStart w:id="562" w:name="_Toc12630552"/>
      <w:bookmarkStart w:id="563" w:name="_Toc16154412"/>
      <w:bookmarkStart w:id="564" w:name="_Toc22196774"/>
      <w:r w:rsidRPr="00525AE9">
        <w:t>Equipment</w:t>
      </w:r>
      <w:bookmarkEnd w:id="553"/>
      <w:bookmarkEnd w:id="554"/>
      <w:bookmarkEnd w:id="555"/>
      <w:bookmarkEnd w:id="556"/>
      <w:bookmarkEnd w:id="557"/>
      <w:bookmarkEnd w:id="558"/>
      <w:bookmarkEnd w:id="559"/>
      <w:bookmarkEnd w:id="560"/>
      <w:bookmarkEnd w:id="561"/>
      <w:bookmarkEnd w:id="562"/>
      <w:bookmarkEnd w:id="563"/>
      <w:bookmarkEnd w:id="564"/>
    </w:p>
    <w:p w14:paraId="0C0A6439" w14:textId="3933F1FF" w:rsidR="007B223B" w:rsidRPr="00D403A4" w:rsidRDefault="007B223B" w:rsidP="007B223B">
      <w:r w:rsidRPr="00D403A4">
        <w:t xml:space="preserve">Monitoring </w:t>
      </w:r>
      <w:r w:rsidRPr="009B27E3">
        <w:t xml:space="preserve">data in </w:t>
      </w:r>
      <w:r>
        <w:fldChar w:fldCharType="begin"/>
      </w:r>
      <w:r>
        <w:instrText xml:space="preserve"> REF _Ref397515360 \h  \* MERGEFORMAT </w:instrText>
      </w:r>
      <w:r>
        <w:fldChar w:fldCharType="separate"/>
      </w:r>
      <w:r w:rsidR="00DF49CD">
        <w:t>Table B.2</w:t>
      </w:r>
      <w:r>
        <w:fldChar w:fldCharType="end"/>
      </w:r>
      <w:r w:rsidRPr="009B27E3">
        <w:t xml:space="preserve"> is collected</w:t>
      </w:r>
      <w:r w:rsidRPr="00D403A4">
        <w:t xml:space="preserve"> using infrastructure in place, typically stilling wells or mounted pressure transducers for water level, and the conversion to flow using existing relationships. </w:t>
      </w:r>
    </w:p>
    <w:p w14:paraId="05B3A6B8" w14:textId="77777777" w:rsidR="007B223B" w:rsidRPr="00525AE9" w:rsidRDefault="007B223B" w:rsidP="007B223B">
      <w:pPr>
        <w:pStyle w:val="Heading3"/>
      </w:pPr>
      <w:bookmarkStart w:id="565" w:name="_Toc243986917"/>
      <w:bookmarkStart w:id="566" w:name="_Toc6403862"/>
      <w:bookmarkStart w:id="567" w:name="_Toc10095185"/>
      <w:bookmarkStart w:id="568" w:name="_Toc10192354"/>
      <w:bookmarkStart w:id="569" w:name="_Toc10206669"/>
      <w:bookmarkStart w:id="570" w:name="_Toc10213255"/>
      <w:bookmarkStart w:id="571" w:name="_Toc10732279"/>
      <w:bookmarkStart w:id="572" w:name="_Toc10796838"/>
      <w:bookmarkStart w:id="573" w:name="_Toc12022723"/>
      <w:bookmarkStart w:id="574" w:name="_Toc12630553"/>
      <w:bookmarkStart w:id="575" w:name="_Toc16154413"/>
      <w:bookmarkStart w:id="576" w:name="_Toc22196775"/>
      <w:r w:rsidRPr="00525AE9">
        <w:t>Protocol</w:t>
      </w:r>
      <w:bookmarkEnd w:id="565"/>
      <w:bookmarkEnd w:id="566"/>
      <w:bookmarkEnd w:id="567"/>
      <w:bookmarkEnd w:id="568"/>
      <w:bookmarkEnd w:id="569"/>
      <w:bookmarkEnd w:id="570"/>
      <w:bookmarkEnd w:id="571"/>
      <w:bookmarkEnd w:id="572"/>
      <w:bookmarkEnd w:id="573"/>
      <w:bookmarkEnd w:id="574"/>
      <w:bookmarkEnd w:id="575"/>
      <w:bookmarkEnd w:id="576"/>
    </w:p>
    <w:p w14:paraId="580F834F" w14:textId="4D8B086B" w:rsidR="007B223B" w:rsidRPr="00D403A4" w:rsidRDefault="007B223B" w:rsidP="007B223B">
      <w:pPr>
        <w:rPr>
          <w:szCs w:val="22"/>
        </w:rPr>
      </w:pPr>
      <w:r w:rsidRPr="00D403A4">
        <w:rPr>
          <w:szCs w:val="22"/>
        </w:rPr>
        <w:t>Monitoring data collected by complementary monitoring programs (</w:t>
      </w:r>
      <w:r>
        <w:fldChar w:fldCharType="begin"/>
      </w:r>
      <w:r>
        <w:rPr>
          <w:szCs w:val="22"/>
        </w:rPr>
        <w:instrText xml:space="preserve"> REF _Ref397515360 \h </w:instrText>
      </w:r>
      <w:r>
        <w:fldChar w:fldCharType="separate"/>
      </w:r>
      <w:r w:rsidR="00DF49CD">
        <w:t>Table B.</w:t>
      </w:r>
      <w:r w:rsidR="00DF49CD">
        <w:rPr>
          <w:noProof/>
        </w:rPr>
        <w:t>2</w:t>
      </w:r>
      <w:r>
        <w:fldChar w:fldCharType="end"/>
      </w:r>
      <w:r w:rsidRPr="00D403A4">
        <w:rPr>
          <w:szCs w:val="22"/>
        </w:rPr>
        <w:t xml:space="preserve">) will continue to adopt current best practice protocols, as monitored and maintained by the DEW Resource Monitoring Unit based at Berri, as well as SA Water at each Lock. </w:t>
      </w:r>
    </w:p>
    <w:p w14:paraId="662D5CD1" w14:textId="77777777" w:rsidR="007B223B" w:rsidRPr="00525AE9" w:rsidRDefault="007B223B" w:rsidP="007B223B">
      <w:pPr>
        <w:pStyle w:val="Heading2"/>
      </w:pPr>
      <w:bookmarkStart w:id="577" w:name="_Toc243986928"/>
      <w:bookmarkStart w:id="578" w:name="_Toc396825306"/>
      <w:bookmarkStart w:id="579" w:name="_Toc6403863"/>
      <w:bookmarkStart w:id="580" w:name="_Toc10095186"/>
      <w:bookmarkStart w:id="581" w:name="_Toc10192355"/>
      <w:bookmarkStart w:id="582" w:name="_Toc10206670"/>
      <w:bookmarkStart w:id="583" w:name="_Toc10213256"/>
      <w:bookmarkStart w:id="584" w:name="_Toc10732280"/>
      <w:bookmarkStart w:id="585" w:name="_Toc10796839"/>
      <w:bookmarkStart w:id="586" w:name="_Toc12022724"/>
      <w:bookmarkStart w:id="587" w:name="_Toc12630554"/>
      <w:bookmarkStart w:id="588" w:name="_Toc16154414"/>
      <w:bookmarkStart w:id="589" w:name="_Toc22196776"/>
      <w:r w:rsidRPr="00525AE9">
        <w:t xml:space="preserve">Data analysis and </w:t>
      </w:r>
      <w:bookmarkEnd w:id="577"/>
      <w:r>
        <w:t>evaluation</w:t>
      </w:r>
      <w:bookmarkEnd w:id="578"/>
      <w:bookmarkEnd w:id="579"/>
      <w:bookmarkEnd w:id="580"/>
      <w:bookmarkEnd w:id="581"/>
      <w:bookmarkEnd w:id="582"/>
      <w:bookmarkEnd w:id="583"/>
      <w:bookmarkEnd w:id="584"/>
      <w:bookmarkEnd w:id="585"/>
      <w:bookmarkEnd w:id="586"/>
      <w:bookmarkEnd w:id="587"/>
      <w:bookmarkEnd w:id="588"/>
      <w:bookmarkEnd w:id="589"/>
    </w:p>
    <w:p w14:paraId="754EA613" w14:textId="77777777" w:rsidR="007B223B" w:rsidRPr="00D403A4" w:rsidRDefault="007B223B" w:rsidP="007B223B">
      <w:pPr>
        <w:pStyle w:val="ListNumber"/>
        <w:numPr>
          <w:ilvl w:val="0"/>
          <w:numId w:val="0"/>
        </w:numPr>
      </w:pPr>
      <w:r w:rsidRPr="00D403A4">
        <w:t xml:space="preserve">No reporting or analysis is included in this indicator. However the data collected is important, </w:t>
      </w:r>
      <w:r w:rsidRPr="00D403A4">
        <w:rPr>
          <w:rFonts w:eastAsia="Calibri"/>
        </w:rPr>
        <w:t>providing fundamental information for analysis and evaluation of monitoring outcomes against hydrological conditions and environmental watering for all indicators.</w:t>
      </w:r>
    </w:p>
    <w:p w14:paraId="6546132C" w14:textId="77777777" w:rsidR="007B223B" w:rsidRPr="00992869" w:rsidRDefault="007B223B" w:rsidP="007B223B">
      <w:pPr>
        <w:pStyle w:val="Heading2"/>
      </w:pPr>
      <w:bookmarkStart w:id="590" w:name="_Toc10095187"/>
      <w:bookmarkStart w:id="591" w:name="_Toc10192356"/>
      <w:bookmarkStart w:id="592" w:name="_Toc10206671"/>
      <w:bookmarkStart w:id="593" w:name="_Toc10213257"/>
      <w:bookmarkStart w:id="594" w:name="_Toc10732281"/>
      <w:bookmarkStart w:id="595" w:name="_Toc10796840"/>
      <w:bookmarkStart w:id="596" w:name="_Toc12022725"/>
      <w:bookmarkStart w:id="597" w:name="_Toc12630555"/>
      <w:bookmarkStart w:id="598" w:name="_Toc16154415"/>
      <w:bookmarkStart w:id="599" w:name="_Toc22196777"/>
      <w:bookmarkStart w:id="600" w:name="_Toc396825310"/>
      <w:bookmarkStart w:id="601" w:name="_Toc6403867"/>
      <w:r w:rsidRPr="00992869">
        <w:t>Data management</w:t>
      </w:r>
      <w:bookmarkEnd w:id="590"/>
      <w:bookmarkEnd w:id="591"/>
      <w:bookmarkEnd w:id="592"/>
      <w:bookmarkEnd w:id="593"/>
      <w:bookmarkEnd w:id="594"/>
      <w:bookmarkEnd w:id="595"/>
      <w:bookmarkEnd w:id="596"/>
      <w:bookmarkEnd w:id="597"/>
      <w:bookmarkEnd w:id="598"/>
      <w:bookmarkEnd w:id="599"/>
    </w:p>
    <w:p w14:paraId="4C5A6AF5" w14:textId="3CEA5DCC" w:rsidR="007B223B" w:rsidRPr="00992869" w:rsidRDefault="007B223B" w:rsidP="008747ED">
      <w:r w:rsidRPr="00992869">
        <w:t>See Section</w:t>
      </w:r>
      <w:r w:rsidR="00A41801">
        <w:t xml:space="preserve"> </w:t>
      </w:r>
      <w:r w:rsidR="00A41801">
        <w:fldChar w:fldCharType="begin"/>
      </w:r>
      <w:r w:rsidR="00A41801">
        <w:instrText xml:space="preserve"> REF _Ref10196755 \r \h </w:instrText>
      </w:r>
      <w:r w:rsidR="00A41801">
        <w:fldChar w:fldCharType="separate"/>
      </w:r>
      <w:r w:rsidR="00DF49CD">
        <w:t>11</w:t>
      </w:r>
      <w:r w:rsidR="00A41801">
        <w:fldChar w:fldCharType="end"/>
      </w:r>
      <w:r w:rsidR="00A41801">
        <w:t xml:space="preserve"> </w:t>
      </w:r>
      <w:r w:rsidR="00A41801" w:rsidRPr="002E3EEF">
        <w:rPr>
          <w:rFonts w:cstheme="minorHAnsi"/>
          <w:szCs w:val="22"/>
        </w:rPr>
        <w:t xml:space="preserve">in the </w:t>
      </w:r>
      <w:r w:rsidR="00A41801">
        <w:rPr>
          <w:rFonts w:cstheme="minorHAnsi"/>
          <w:szCs w:val="22"/>
        </w:rPr>
        <w:t>MER</w:t>
      </w:r>
      <w:r w:rsidR="00A41801" w:rsidRPr="002E3EEF">
        <w:rPr>
          <w:rFonts w:cstheme="minorHAnsi"/>
          <w:szCs w:val="22"/>
        </w:rPr>
        <w:t xml:space="preserve"> Plan</w:t>
      </w:r>
      <w:r w:rsidR="00A64C0A">
        <w:rPr>
          <w:rFonts w:cstheme="minorHAnsi"/>
          <w:szCs w:val="22"/>
        </w:rPr>
        <w:t xml:space="preserve"> for data management procedures</w:t>
      </w:r>
      <w:r w:rsidRPr="00992869">
        <w:t>.</w:t>
      </w:r>
      <w:r w:rsidR="005D2B51">
        <w:t xml:space="preserve"> </w:t>
      </w:r>
      <w:r w:rsidR="007A07BD">
        <w:t xml:space="preserve">The data structure for all </w:t>
      </w:r>
      <w:r w:rsidR="008747ED">
        <w:t>Category </w:t>
      </w:r>
      <w:r w:rsidR="007A07BD">
        <w:t xml:space="preserve">1 (Basin-scale) indicators will follow standard templates decided upon by the MER </w:t>
      </w:r>
      <w:r w:rsidR="008747ED">
        <w:t>Basin-scale Providers, in consultation with CEWO.</w:t>
      </w:r>
    </w:p>
    <w:p w14:paraId="43C60907" w14:textId="5270E57A" w:rsidR="007B223B" w:rsidRPr="00992869" w:rsidRDefault="007B223B" w:rsidP="007B223B">
      <w:pPr>
        <w:pStyle w:val="Heading2"/>
      </w:pPr>
      <w:bookmarkStart w:id="602" w:name="_Toc10095188"/>
      <w:bookmarkStart w:id="603" w:name="_Toc10192357"/>
      <w:bookmarkStart w:id="604" w:name="_Toc10206672"/>
      <w:bookmarkStart w:id="605" w:name="_Toc10213258"/>
      <w:bookmarkStart w:id="606" w:name="_Toc10732282"/>
      <w:bookmarkStart w:id="607" w:name="_Toc10796841"/>
      <w:bookmarkStart w:id="608" w:name="_Toc12022726"/>
      <w:bookmarkStart w:id="609" w:name="_Toc12630556"/>
      <w:bookmarkStart w:id="610" w:name="_Toc16154416"/>
      <w:bookmarkStart w:id="611" w:name="_Toc22196778"/>
      <w:r w:rsidRPr="00992869">
        <w:t>Quality Assurance/Quality Control</w:t>
      </w:r>
      <w:bookmarkEnd w:id="602"/>
      <w:bookmarkEnd w:id="603"/>
      <w:bookmarkEnd w:id="604"/>
      <w:bookmarkEnd w:id="605"/>
      <w:bookmarkEnd w:id="606"/>
      <w:bookmarkEnd w:id="607"/>
      <w:bookmarkEnd w:id="608"/>
      <w:bookmarkEnd w:id="609"/>
      <w:bookmarkEnd w:id="610"/>
      <w:bookmarkEnd w:id="611"/>
    </w:p>
    <w:p w14:paraId="1F552B16" w14:textId="2B59AADF" w:rsidR="007B223B" w:rsidRPr="00992869" w:rsidRDefault="007B223B" w:rsidP="007B223B">
      <w:r w:rsidRPr="00992869">
        <w:t xml:space="preserve">See Section </w:t>
      </w:r>
      <w:r w:rsidRPr="00992869">
        <w:fldChar w:fldCharType="begin"/>
      </w:r>
      <w:r w:rsidRPr="00992869">
        <w:instrText xml:space="preserve"> REF _Ref9333977 \r \h  \* MERGEFORMAT </w:instrText>
      </w:r>
      <w:r w:rsidRPr="00992869">
        <w:fldChar w:fldCharType="separate"/>
      </w:r>
      <w:r w:rsidR="00DF49CD">
        <w:t>10.3</w:t>
      </w:r>
      <w:r w:rsidRPr="00992869">
        <w:fldChar w:fldCharType="end"/>
      </w:r>
      <w:r w:rsidR="00A41801">
        <w:t xml:space="preserve"> </w:t>
      </w:r>
      <w:r w:rsidR="00A41801" w:rsidRPr="002E3EEF">
        <w:rPr>
          <w:rFonts w:cstheme="minorHAnsi"/>
          <w:szCs w:val="22"/>
        </w:rPr>
        <w:t xml:space="preserve">in the </w:t>
      </w:r>
      <w:r w:rsidR="00A41801">
        <w:rPr>
          <w:rFonts w:cstheme="minorHAnsi"/>
          <w:szCs w:val="22"/>
        </w:rPr>
        <w:t>MER</w:t>
      </w:r>
      <w:r w:rsidR="00A41801" w:rsidRPr="002E3EEF">
        <w:rPr>
          <w:rFonts w:cstheme="minorHAnsi"/>
          <w:szCs w:val="22"/>
        </w:rPr>
        <w:t xml:space="preserve"> Plan</w:t>
      </w:r>
      <w:r w:rsidR="00A64C0A">
        <w:rPr>
          <w:rFonts w:cstheme="minorHAnsi"/>
          <w:szCs w:val="22"/>
        </w:rPr>
        <w:t xml:space="preserve"> for quality assurance and control measures</w:t>
      </w:r>
      <w:r w:rsidRPr="00992869">
        <w:t xml:space="preserve">. </w:t>
      </w:r>
    </w:p>
    <w:p w14:paraId="2162A0CB" w14:textId="77777777" w:rsidR="007B223B" w:rsidRPr="00992869" w:rsidRDefault="007B223B" w:rsidP="007B223B">
      <w:pPr>
        <w:pStyle w:val="Heading2"/>
      </w:pPr>
      <w:bookmarkStart w:id="612" w:name="_Toc10095189"/>
      <w:bookmarkStart w:id="613" w:name="_Toc10192358"/>
      <w:bookmarkStart w:id="614" w:name="_Toc10206673"/>
      <w:bookmarkStart w:id="615" w:name="_Toc10213259"/>
      <w:bookmarkStart w:id="616" w:name="_Toc10732283"/>
      <w:bookmarkStart w:id="617" w:name="_Toc10796842"/>
      <w:bookmarkStart w:id="618" w:name="_Toc12022727"/>
      <w:bookmarkStart w:id="619" w:name="_Toc12630557"/>
      <w:bookmarkStart w:id="620" w:name="_Toc16154417"/>
      <w:bookmarkStart w:id="621" w:name="_Toc22196779"/>
      <w:r w:rsidRPr="00992869">
        <w:t>Health, safety and environment plan</w:t>
      </w:r>
      <w:bookmarkEnd w:id="612"/>
      <w:bookmarkEnd w:id="613"/>
      <w:bookmarkEnd w:id="614"/>
      <w:bookmarkEnd w:id="615"/>
      <w:bookmarkEnd w:id="616"/>
      <w:bookmarkEnd w:id="617"/>
      <w:bookmarkEnd w:id="618"/>
      <w:bookmarkEnd w:id="619"/>
      <w:bookmarkEnd w:id="620"/>
      <w:bookmarkEnd w:id="621"/>
    </w:p>
    <w:p w14:paraId="5FBF4F41" w14:textId="0A33BA36" w:rsidR="007B223B" w:rsidRDefault="000E285D" w:rsidP="007B223B">
      <w:pPr>
        <w:rPr>
          <w:lang w:val="en-US"/>
        </w:rPr>
      </w:pPr>
      <w:r>
        <w:t>See Appendix A</w:t>
      </w:r>
      <w:r w:rsidR="007B223B" w:rsidRPr="00992869">
        <w:t>.</w:t>
      </w:r>
    </w:p>
    <w:p w14:paraId="495063B4" w14:textId="77777777" w:rsidR="007B223B" w:rsidRPr="004B7CC1" w:rsidRDefault="007B223B" w:rsidP="007B223B">
      <w:pPr>
        <w:pStyle w:val="Heading2"/>
      </w:pPr>
      <w:bookmarkStart w:id="622" w:name="_Toc10095190"/>
      <w:bookmarkStart w:id="623" w:name="_Toc10192359"/>
      <w:bookmarkStart w:id="624" w:name="_Toc10206674"/>
      <w:bookmarkStart w:id="625" w:name="_Toc10213260"/>
      <w:bookmarkStart w:id="626" w:name="_Toc10732284"/>
      <w:bookmarkStart w:id="627" w:name="_Toc10796843"/>
      <w:bookmarkStart w:id="628" w:name="_Toc12022728"/>
      <w:bookmarkStart w:id="629" w:name="_Toc12630558"/>
      <w:bookmarkStart w:id="630" w:name="_Toc16154418"/>
      <w:bookmarkStart w:id="631" w:name="_Toc22196780"/>
      <w:r w:rsidRPr="004B7CC1">
        <w:t>References</w:t>
      </w:r>
      <w:bookmarkEnd w:id="600"/>
      <w:bookmarkEnd w:id="601"/>
      <w:bookmarkEnd w:id="622"/>
      <w:bookmarkEnd w:id="623"/>
      <w:bookmarkEnd w:id="624"/>
      <w:bookmarkEnd w:id="625"/>
      <w:bookmarkEnd w:id="626"/>
      <w:bookmarkEnd w:id="627"/>
      <w:bookmarkEnd w:id="628"/>
      <w:bookmarkEnd w:id="629"/>
      <w:bookmarkEnd w:id="630"/>
      <w:bookmarkEnd w:id="631"/>
    </w:p>
    <w:p w14:paraId="44A42E53" w14:textId="086D3E9B" w:rsidR="00721C9E" w:rsidRDefault="007B223B" w:rsidP="00721C9E">
      <w:r w:rsidRPr="00D403A4">
        <w:rPr>
          <w:szCs w:val="22"/>
        </w:rPr>
        <w:t>Hale, J., Stoffels, R., Butcher, R., Shackleton, M., Brooks, S. and Gawne, B. (2014). Commonwealth Environmental Water Office Long Term Intervention Monitoring Project – Standard Methods. Final Report prepared for the Commonwealth Environme</w:t>
      </w:r>
      <w:r>
        <w:rPr>
          <w:szCs w:val="22"/>
        </w:rPr>
        <w:t>ntal Water Office by The Murray</w:t>
      </w:r>
      <w:r>
        <w:rPr>
          <w:rFonts w:eastAsiaTheme="majorEastAsia"/>
        </w:rPr>
        <w:t>–</w:t>
      </w:r>
      <w:r w:rsidRPr="00D403A4">
        <w:rPr>
          <w:szCs w:val="22"/>
        </w:rPr>
        <w:t>Darling Fre</w:t>
      </w:r>
      <w:r>
        <w:rPr>
          <w:szCs w:val="22"/>
        </w:rPr>
        <w:t>shwater Research Centre. Murray</w:t>
      </w:r>
      <w:r>
        <w:rPr>
          <w:rFonts w:eastAsiaTheme="majorEastAsia"/>
        </w:rPr>
        <w:t>–</w:t>
      </w:r>
      <w:r w:rsidRPr="00D403A4">
        <w:rPr>
          <w:szCs w:val="22"/>
        </w:rPr>
        <w:t>Darling Freshwater Research Centre, MDFRC Publication 29.2/2014.</w:t>
      </w:r>
    </w:p>
    <w:p w14:paraId="23D0C80F" w14:textId="77777777" w:rsidR="00721C9E" w:rsidRDefault="00721C9E">
      <w:pPr>
        <w:spacing w:after="200" w:line="276" w:lineRule="auto"/>
        <w:jc w:val="left"/>
      </w:pPr>
      <w:r>
        <w:br w:type="page"/>
      </w:r>
    </w:p>
    <w:p w14:paraId="6A8E1146" w14:textId="6479D62F" w:rsidR="00336C52" w:rsidRDefault="00336C52" w:rsidP="00721C9E">
      <w:pPr>
        <w:pStyle w:val="Heading1"/>
      </w:pPr>
      <w:bookmarkStart w:id="632" w:name="_Toc10095191"/>
      <w:bookmarkStart w:id="633" w:name="_Toc10192360"/>
      <w:bookmarkStart w:id="634" w:name="_Toc10206675"/>
      <w:bookmarkStart w:id="635" w:name="_Toc10213261"/>
      <w:bookmarkStart w:id="636" w:name="_Toc10732285"/>
      <w:bookmarkStart w:id="637" w:name="_Toc10796844"/>
      <w:bookmarkStart w:id="638" w:name="_Toc12022729"/>
      <w:bookmarkStart w:id="639" w:name="_Toc12630559"/>
      <w:bookmarkStart w:id="640" w:name="_Toc16154419"/>
      <w:bookmarkStart w:id="641" w:name="_Toc22196781"/>
      <w:r>
        <w:lastRenderedPageBreak/>
        <w:t xml:space="preserve">Stream </w:t>
      </w:r>
      <w:r w:rsidR="000114A1">
        <w:t>M</w:t>
      </w:r>
      <w:r>
        <w:t>etabolism</w:t>
      </w:r>
      <w:bookmarkEnd w:id="416"/>
      <w:bookmarkEnd w:id="417"/>
      <w:bookmarkEnd w:id="418"/>
      <w:r w:rsidR="000114A1">
        <w:t xml:space="preserve"> and Water Q</w:t>
      </w:r>
      <w:r w:rsidR="00992869">
        <w:t>uality</w:t>
      </w:r>
      <w:bookmarkEnd w:id="632"/>
      <w:bookmarkEnd w:id="633"/>
      <w:bookmarkEnd w:id="634"/>
      <w:bookmarkEnd w:id="635"/>
      <w:bookmarkEnd w:id="636"/>
      <w:bookmarkEnd w:id="637"/>
      <w:bookmarkEnd w:id="638"/>
      <w:bookmarkEnd w:id="639"/>
      <w:bookmarkEnd w:id="640"/>
      <w:bookmarkEnd w:id="641"/>
    </w:p>
    <w:p w14:paraId="6739A60F" w14:textId="77777777" w:rsidR="00336C52" w:rsidRPr="00AB2269" w:rsidRDefault="00336C52" w:rsidP="00336C52">
      <w:pPr>
        <w:pStyle w:val="Heading2"/>
      </w:pPr>
      <w:bookmarkStart w:id="642" w:name="_Toc396825273"/>
      <w:bookmarkStart w:id="643" w:name="_Toc6403807"/>
      <w:bookmarkStart w:id="644" w:name="_Toc10095192"/>
      <w:bookmarkStart w:id="645" w:name="_Toc10192361"/>
      <w:bookmarkStart w:id="646" w:name="_Toc10206676"/>
      <w:bookmarkStart w:id="647" w:name="_Toc10213262"/>
      <w:bookmarkStart w:id="648" w:name="_Toc10732286"/>
      <w:bookmarkStart w:id="649" w:name="_Toc10796845"/>
      <w:bookmarkStart w:id="650" w:name="_Toc12022730"/>
      <w:bookmarkStart w:id="651" w:name="_Toc12630560"/>
      <w:bookmarkStart w:id="652" w:name="_Toc16154420"/>
      <w:bookmarkStart w:id="653" w:name="_Toc22196782"/>
      <w:r w:rsidRPr="00AB2269">
        <w:t>Evaluation questions</w:t>
      </w:r>
      <w:bookmarkEnd w:id="642"/>
      <w:bookmarkEnd w:id="643"/>
      <w:bookmarkEnd w:id="644"/>
      <w:bookmarkEnd w:id="645"/>
      <w:bookmarkEnd w:id="646"/>
      <w:bookmarkEnd w:id="647"/>
      <w:bookmarkEnd w:id="648"/>
      <w:bookmarkEnd w:id="649"/>
      <w:bookmarkEnd w:id="650"/>
      <w:bookmarkEnd w:id="651"/>
      <w:bookmarkEnd w:id="652"/>
      <w:bookmarkEnd w:id="653"/>
      <w:r w:rsidRPr="00AB2269">
        <w:t xml:space="preserve"> </w:t>
      </w:r>
    </w:p>
    <w:p w14:paraId="29A4826A" w14:textId="5181E380" w:rsidR="00336C52" w:rsidRDefault="00336C52" w:rsidP="00336C52">
      <w:pPr>
        <w:pStyle w:val="CM19"/>
        <w:jc w:val="both"/>
        <w:rPr>
          <w:rFonts w:asciiTheme="minorHAnsi" w:hAnsiTheme="minorHAnsi" w:cs="Calibri"/>
          <w:color w:val="000000"/>
          <w:sz w:val="22"/>
          <w:szCs w:val="22"/>
        </w:rPr>
      </w:pPr>
      <w:r w:rsidRPr="00F375F4">
        <w:rPr>
          <w:rFonts w:asciiTheme="minorHAnsi" w:hAnsiTheme="minorHAnsi" w:cs="Calibri"/>
          <w:color w:val="000000"/>
          <w:sz w:val="22"/>
          <w:szCs w:val="22"/>
        </w:rPr>
        <w:t>This monitoring protocol addresses the following Basin</w:t>
      </w:r>
      <w:r>
        <w:rPr>
          <w:rFonts w:asciiTheme="minorHAnsi" w:hAnsiTheme="minorHAnsi" w:cs="Calibri"/>
          <w:color w:val="000000"/>
          <w:sz w:val="22"/>
          <w:szCs w:val="22"/>
        </w:rPr>
        <w:t>-</w:t>
      </w:r>
      <w:r w:rsidRPr="00F375F4">
        <w:rPr>
          <w:rFonts w:asciiTheme="minorHAnsi" w:hAnsiTheme="minorHAnsi" w:cs="Calibri"/>
          <w:color w:val="000000"/>
          <w:sz w:val="22"/>
          <w:szCs w:val="22"/>
        </w:rPr>
        <w:t>scale evaluation questions:</w:t>
      </w:r>
    </w:p>
    <w:p w14:paraId="7F018D0C" w14:textId="77777777" w:rsidR="008E58B7" w:rsidRPr="008E58B7" w:rsidRDefault="008E58B7" w:rsidP="008E58B7">
      <w:pPr>
        <w:pStyle w:val="Default"/>
        <w:rPr>
          <w:lang w:eastAsia="en-AU"/>
        </w:rPr>
      </w:pPr>
    </w:p>
    <w:p w14:paraId="5AFC7972" w14:textId="77777777" w:rsidR="00336C52" w:rsidRPr="00F375F4" w:rsidRDefault="00336C52" w:rsidP="00C77254">
      <w:pPr>
        <w:pStyle w:val="Default"/>
        <w:widowControl w:val="0"/>
        <w:numPr>
          <w:ilvl w:val="0"/>
          <w:numId w:val="29"/>
        </w:numPr>
        <w:spacing w:before="40" w:after="40"/>
        <w:ind w:left="765" w:hanging="357"/>
        <w:rPr>
          <w:rFonts w:asciiTheme="minorHAnsi" w:hAnsiTheme="minorHAnsi" w:cs="Calibri"/>
          <w:sz w:val="22"/>
          <w:szCs w:val="22"/>
        </w:rPr>
      </w:pPr>
      <w:r w:rsidRPr="00F375F4">
        <w:rPr>
          <w:rFonts w:asciiTheme="minorHAnsi" w:hAnsiTheme="minorHAnsi" w:cs="Calibri"/>
          <w:sz w:val="22"/>
          <w:szCs w:val="22"/>
        </w:rPr>
        <w:t xml:space="preserve">What did Commonwealth environmental water contribute to patterns and rates of decomposition? </w:t>
      </w:r>
    </w:p>
    <w:p w14:paraId="22CBF3B1" w14:textId="77777777" w:rsidR="00336C52" w:rsidRDefault="00336C52" w:rsidP="00C77254">
      <w:pPr>
        <w:pStyle w:val="Default"/>
        <w:widowControl w:val="0"/>
        <w:numPr>
          <w:ilvl w:val="0"/>
          <w:numId w:val="29"/>
        </w:numPr>
        <w:spacing w:before="40" w:after="40"/>
        <w:ind w:left="765" w:hanging="357"/>
        <w:rPr>
          <w:rFonts w:asciiTheme="minorHAnsi" w:hAnsiTheme="minorHAnsi" w:cs="Calibri"/>
          <w:sz w:val="22"/>
          <w:szCs w:val="22"/>
        </w:rPr>
      </w:pPr>
      <w:r w:rsidRPr="00F375F4">
        <w:rPr>
          <w:rFonts w:asciiTheme="minorHAnsi" w:hAnsiTheme="minorHAnsi" w:cs="Calibri"/>
          <w:sz w:val="22"/>
          <w:szCs w:val="22"/>
        </w:rPr>
        <w:t xml:space="preserve">What did Commonwealth environmental contribute to patterns and rates of primary productivity? </w:t>
      </w:r>
    </w:p>
    <w:p w14:paraId="055088A6" w14:textId="77777777" w:rsidR="00336C52" w:rsidRDefault="00336C52" w:rsidP="00C77254">
      <w:pPr>
        <w:pStyle w:val="Default"/>
        <w:widowControl w:val="0"/>
        <w:numPr>
          <w:ilvl w:val="0"/>
          <w:numId w:val="29"/>
        </w:numPr>
        <w:spacing w:before="40" w:after="40"/>
        <w:ind w:left="765" w:hanging="357"/>
        <w:rPr>
          <w:rFonts w:asciiTheme="minorHAnsi" w:hAnsiTheme="minorHAnsi" w:cstheme="minorHAnsi"/>
          <w:sz w:val="22"/>
          <w:szCs w:val="22"/>
        </w:rPr>
      </w:pPr>
      <w:r w:rsidRPr="00AE018F">
        <w:rPr>
          <w:rFonts w:asciiTheme="minorHAnsi" w:hAnsiTheme="minorHAnsi" w:cstheme="minorHAnsi"/>
          <w:sz w:val="22"/>
          <w:szCs w:val="22"/>
        </w:rPr>
        <w:t>What did Commonwealth environmental water contribute to dissolved oxygen levels?</w:t>
      </w:r>
    </w:p>
    <w:p w14:paraId="6C8CE998" w14:textId="1268CE62" w:rsidR="00756F1C" w:rsidRPr="00AE018F" w:rsidRDefault="00756F1C" w:rsidP="00C77254">
      <w:pPr>
        <w:pStyle w:val="Default"/>
        <w:widowControl w:val="0"/>
        <w:numPr>
          <w:ilvl w:val="0"/>
          <w:numId w:val="29"/>
        </w:numPr>
        <w:spacing w:before="40" w:after="40"/>
        <w:ind w:left="765" w:hanging="357"/>
        <w:rPr>
          <w:rFonts w:asciiTheme="minorHAnsi" w:hAnsiTheme="minorHAnsi" w:cstheme="minorHAnsi"/>
          <w:sz w:val="22"/>
          <w:szCs w:val="22"/>
        </w:rPr>
      </w:pPr>
      <w:r>
        <w:rPr>
          <w:rFonts w:asciiTheme="minorHAnsi" w:hAnsiTheme="minorHAnsi" w:cstheme="minorHAnsi"/>
          <w:sz w:val="22"/>
          <w:szCs w:val="22"/>
        </w:rPr>
        <w:t>What did Commonwealth environmental water contribute to water quality?</w:t>
      </w:r>
    </w:p>
    <w:p w14:paraId="7D96F662" w14:textId="77777777" w:rsidR="00336C52" w:rsidRDefault="00336C52" w:rsidP="00336C52">
      <w:pPr>
        <w:pStyle w:val="CM22"/>
        <w:spacing w:line="271" w:lineRule="atLeast"/>
        <w:rPr>
          <w:rFonts w:asciiTheme="minorHAnsi" w:hAnsiTheme="minorHAnsi" w:cstheme="minorHAnsi"/>
          <w:color w:val="000000"/>
          <w:sz w:val="22"/>
          <w:szCs w:val="22"/>
        </w:rPr>
      </w:pPr>
    </w:p>
    <w:p w14:paraId="237702A4" w14:textId="104E6613" w:rsidR="00336C52" w:rsidRDefault="00336C52" w:rsidP="00336C52">
      <w:pPr>
        <w:pStyle w:val="CM22"/>
        <w:spacing w:line="271" w:lineRule="atLeast"/>
        <w:rPr>
          <w:rFonts w:asciiTheme="minorHAnsi" w:hAnsiTheme="minorHAnsi" w:cstheme="minorHAnsi"/>
          <w:color w:val="000000"/>
          <w:sz w:val="22"/>
          <w:szCs w:val="22"/>
        </w:rPr>
      </w:pPr>
      <w:r w:rsidRPr="00C45116">
        <w:rPr>
          <w:rFonts w:asciiTheme="minorHAnsi" w:hAnsiTheme="minorHAnsi" w:cstheme="minorHAnsi"/>
          <w:color w:val="000000"/>
          <w:sz w:val="22"/>
          <w:szCs w:val="22"/>
        </w:rPr>
        <w:t xml:space="preserve">The process for evaluating these questions is </w:t>
      </w:r>
      <w:r w:rsidRPr="009B27E3">
        <w:rPr>
          <w:rFonts w:asciiTheme="minorHAnsi" w:hAnsiTheme="minorHAnsi" w:cstheme="minorHAnsi"/>
          <w:color w:val="000000"/>
          <w:sz w:val="22"/>
          <w:szCs w:val="22"/>
        </w:rPr>
        <w:t xml:space="preserve">illustrated in </w:t>
      </w:r>
      <w:r w:rsidR="007E2C79">
        <w:fldChar w:fldCharType="begin"/>
      </w:r>
      <w:r w:rsidR="007E2C79">
        <w:instrText xml:space="preserve"> REF _Ref397515613 \h  \* MERGEFORMAT </w:instrText>
      </w:r>
      <w:r w:rsidR="007E2C79">
        <w:fldChar w:fldCharType="separate"/>
      </w:r>
      <w:r w:rsidR="00DF49CD" w:rsidRPr="00DF49CD">
        <w:rPr>
          <w:rFonts w:asciiTheme="minorHAnsi" w:hAnsiTheme="minorHAnsi" w:cstheme="minorHAnsi"/>
          <w:sz w:val="22"/>
          <w:szCs w:val="22"/>
        </w:rPr>
        <w:t>Figure B.2</w:t>
      </w:r>
      <w:r w:rsidR="007E2C79">
        <w:fldChar w:fldCharType="end"/>
      </w:r>
      <w:r w:rsidRPr="00C45116">
        <w:rPr>
          <w:rFonts w:asciiTheme="minorHAnsi" w:hAnsiTheme="minorHAnsi" w:cstheme="minorHAnsi"/>
          <w:color w:val="000000"/>
          <w:sz w:val="22"/>
          <w:szCs w:val="22"/>
        </w:rPr>
        <w:t xml:space="preserve">. </w:t>
      </w:r>
    </w:p>
    <w:p w14:paraId="311AB9D8" w14:textId="77777777" w:rsidR="000114A1" w:rsidRPr="000114A1" w:rsidRDefault="000114A1" w:rsidP="000114A1">
      <w:pPr>
        <w:rPr>
          <w:lang w:eastAsia="en-AU"/>
        </w:rPr>
      </w:pPr>
    </w:p>
    <w:p w14:paraId="27AD1CEE" w14:textId="79FD3C90" w:rsidR="00336C52" w:rsidRDefault="00B74522" w:rsidP="00336C52">
      <w:pPr>
        <w:pStyle w:val="Default"/>
        <w:rPr>
          <w:sz w:val="20"/>
          <w:szCs w:val="20"/>
        </w:rPr>
      </w:pPr>
      <w:r>
        <w:rPr>
          <w:noProof/>
          <w:lang w:eastAsia="en-AU"/>
        </w:rPr>
        <w:drawing>
          <wp:inline distT="0" distB="0" distL="0" distR="0" wp14:anchorId="030949AA" wp14:editId="165BC139">
            <wp:extent cx="5515987" cy="3823970"/>
            <wp:effectExtent l="0" t="0" r="889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530172" cy="3833804"/>
                    </a:xfrm>
                    <a:prstGeom prst="rect">
                      <a:avLst/>
                    </a:prstGeom>
                    <a:noFill/>
                  </pic:spPr>
                </pic:pic>
              </a:graphicData>
            </a:graphic>
          </wp:inline>
        </w:drawing>
      </w:r>
    </w:p>
    <w:p w14:paraId="373B97A6" w14:textId="05F4E5F7" w:rsidR="00336C52" w:rsidRPr="00C45116" w:rsidRDefault="009B27E3" w:rsidP="009B27E3">
      <w:pPr>
        <w:pStyle w:val="Caption"/>
      </w:pPr>
      <w:bookmarkStart w:id="654" w:name="_Ref397515613"/>
      <w:r>
        <w:t>Figure B.</w:t>
      </w:r>
      <w:r w:rsidR="00E57080">
        <w:rPr>
          <w:noProof/>
        </w:rPr>
        <w:fldChar w:fldCharType="begin"/>
      </w:r>
      <w:r w:rsidR="00E57080">
        <w:rPr>
          <w:noProof/>
        </w:rPr>
        <w:instrText xml:space="preserve"> SEQ Figure_B. \* ARABIC </w:instrText>
      </w:r>
      <w:r w:rsidR="00E57080">
        <w:rPr>
          <w:noProof/>
        </w:rPr>
        <w:fldChar w:fldCharType="separate"/>
      </w:r>
      <w:r w:rsidR="00DF49CD">
        <w:rPr>
          <w:noProof/>
        </w:rPr>
        <w:t>2</w:t>
      </w:r>
      <w:r w:rsidR="00E57080">
        <w:rPr>
          <w:noProof/>
        </w:rPr>
        <w:fldChar w:fldCharType="end"/>
      </w:r>
      <w:bookmarkEnd w:id="654"/>
      <w:r w:rsidR="00336C52" w:rsidRPr="00C45116">
        <w:t xml:space="preserve">. Schematic of key elements of the LTIM Standard Protocol: </w:t>
      </w:r>
      <w:r w:rsidR="00336C52" w:rsidRPr="000114A1">
        <w:rPr>
          <w:i/>
        </w:rPr>
        <w:t xml:space="preserve">Stream </w:t>
      </w:r>
      <w:r w:rsidR="000114A1" w:rsidRPr="000114A1">
        <w:rPr>
          <w:i/>
        </w:rPr>
        <w:t>M</w:t>
      </w:r>
      <w:r w:rsidR="00336C52" w:rsidRPr="000114A1">
        <w:rPr>
          <w:i/>
        </w:rPr>
        <w:t>etabolism</w:t>
      </w:r>
      <w:r w:rsidR="000114A1" w:rsidRPr="000114A1">
        <w:rPr>
          <w:i/>
        </w:rPr>
        <w:t xml:space="preserve"> and Water Q</w:t>
      </w:r>
      <w:r w:rsidR="00B74522" w:rsidRPr="000114A1">
        <w:rPr>
          <w:i/>
        </w:rPr>
        <w:t>uality</w:t>
      </w:r>
      <w:r w:rsidR="00336C52" w:rsidRPr="00C45116">
        <w:t xml:space="preserve"> </w:t>
      </w:r>
      <w:r w:rsidR="00336C52" w:rsidRPr="00C45116">
        <w:rPr>
          <w:rFonts w:cstheme="minorHAnsi"/>
          <w:color w:val="000000"/>
        </w:rPr>
        <w:t xml:space="preserve">(taken from </w:t>
      </w:r>
      <w:r w:rsidR="00B74522">
        <w:rPr>
          <w:rFonts w:cstheme="minorHAnsi"/>
          <w:color w:val="000000"/>
        </w:rPr>
        <w:t>Grace</w:t>
      </w:r>
      <w:r w:rsidR="00336C52" w:rsidRPr="00C45116">
        <w:rPr>
          <w:rFonts w:cstheme="minorHAnsi"/>
          <w:color w:val="000000"/>
        </w:rPr>
        <w:t xml:space="preserve"> </w:t>
      </w:r>
      <w:r w:rsidR="00336C52" w:rsidRPr="00C45116">
        <w:rPr>
          <w:rFonts w:cstheme="minorHAnsi"/>
          <w:i/>
          <w:color w:val="000000"/>
        </w:rPr>
        <w:t>et al.</w:t>
      </w:r>
      <w:r w:rsidR="00336C52" w:rsidRPr="00C45116">
        <w:rPr>
          <w:rFonts w:cstheme="minorHAnsi"/>
          <w:color w:val="000000"/>
        </w:rPr>
        <w:t xml:space="preserve"> </w:t>
      </w:r>
      <w:r w:rsidR="0008315C" w:rsidRPr="0008315C">
        <w:rPr>
          <w:rFonts w:cstheme="minorHAnsi"/>
          <w:i/>
          <w:color w:val="000000"/>
        </w:rPr>
        <w:t>In Prep</w:t>
      </w:r>
      <w:r w:rsidR="00336C52" w:rsidRPr="00C45116">
        <w:rPr>
          <w:rFonts w:cstheme="minorHAnsi"/>
          <w:color w:val="000000"/>
        </w:rPr>
        <w:t>)</w:t>
      </w:r>
      <w:r w:rsidR="00336C52" w:rsidRPr="00C45116">
        <w:t>.</w:t>
      </w:r>
    </w:p>
    <w:p w14:paraId="04359632" w14:textId="77777777" w:rsidR="00336C52" w:rsidRPr="00AB2269" w:rsidRDefault="00336C52" w:rsidP="00336C52">
      <w:pPr>
        <w:pStyle w:val="Heading2"/>
      </w:pPr>
      <w:bookmarkStart w:id="655" w:name="_Toc396825274"/>
      <w:bookmarkStart w:id="656" w:name="_Toc6403808"/>
      <w:bookmarkStart w:id="657" w:name="_Toc10095193"/>
      <w:bookmarkStart w:id="658" w:name="_Toc10192362"/>
      <w:bookmarkStart w:id="659" w:name="_Toc10206677"/>
      <w:bookmarkStart w:id="660" w:name="_Toc10213263"/>
      <w:bookmarkStart w:id="661" w:name="_Toc10732287"/>
      <w:bookmarkStart w:id="662" w:name="_Toc10796846"/>
      <w:bookmarkStart w:id="663" w:name="_Toc12022731"/>
      <w:bookmarkStart w:id="664" w:name="_Toc12630561"/>
      <w:bookmarkStart w:id="665" w:name="_Toc16154421"/>
      <w:bookmarkStart w:id="666" w:name="_Toc22196783"/>
      <w:r w:rsidRPr="00AB2269">
        <w:t>Relevant ecosystem types</w:t>
      </w:r>
      <w:bookmarkEnd w:id="655"/>
      <w:bookmarkEnd w:id="656"/>
      <w:bookmarkEnd w:id="657"/>
      <w:bookmarkEnd w:id="658"/>
      <w:bookmarkEnd w:id="659"/>
      <w:bookmarkEnd w:id="660"/>
      <w:bookmarkEnd w:id="661"/>
      <w:bookmarkEnd w:id="662"/>
      <w:bookmarkEnd w:id="663"/>
      <w:bookmarkEnd w:id="664"/>
      <w:bookmarkEnd w:id="665"/>
      <w:bookmarkEnd w:id="666"/>
      <w:r w:rsidRPr="00AB2269">
        <w:t xml:space="preserve"> </w:t>
      </w:r>
    </w:p>
    <w:p w14:paraId="3A77C265" w14:textId="6EE70676" w:rsidR="00336C52" w:rsidRPr="000114A1" w:rsidRDefault="00336C52" w:rsidP="000114A1">
      <w:pPr>
        <w:pStyle w:val="CM19"/>
        <w:jc w:val="both"/>
        <w:rPr>
          <w:rFonts w:asciiTheme="minorHAnsi" w:hAnsiTheme="minorHAnsi" w:cs="Calibri"/>
          <w:color w:val="000000"/>
          <w:sz w:val="22"/>
          <w:szCs w:val="22"/>
        </w:rPr>
      </w:pPr>
      <w:r w:rsidRPr="00F375F4">
        <w:rPr>
          <w:rFonts w:asciiTheme="minorHAnsi" w:hAnsiTheme="minorHAnsi" w:cs="Calibri"/>
          <w:color w:val="000000"/>
          <w:sz w:val="22"/>
          <w:szCs w:val="22"/>
        </w:rPr>
        <w:t>River</w:t>
      </w:r>
      <w:r>
        <w:rPr>
          <w:rFonts w:asciiTheme="minorHAnsi" w:hAnsiTheme="minorHAnsi" w:cs="Calibri"/>
          <w:color w:val="000000"/>
          <w:sz w:val="22"/>
          <w:szCs w:val="22"/>
        </w:rPr>
        <w:t>s.</w:t>
      </w:r>
      <w:r w:rsidR="000114A1">
        <w:rPr>
          <w:rFonts w:asciiTheme="minorHAnsi" w:hAnsiTheme="minorHAnsi" w:cs="Calibri"/>
          <w:color w:val="000000"/>
          <w:sz w:val="22"/>
          <w:szCs w:val="22"/>
        </w:rPr>
        <w:t xml:space="preserve"> </w:t>
      </w:r>
    </w:p>
    <w:p w14:paraId="1F69702A" w14:textId="77777777" w:rsidR="00336C52" w:rsidRPr="00AB2269" w:rsidRDefault="00336C52" w:rsidP="00336C52">
      <w:pPr>
        <w:pStyle w:val="Heading2"/>
      </w:pPr>
      <w:bookmarkStart w:id="667" w:name="_Toc396825275"/>
      <w:bookmarkStart w:id="668" w:name="_Toc6403809"/>
      <w:bookmarkStart w:id="669" w:name="_Toc10095194"/>
      <w:bookmarkStart w:id="670" w:name="_Toc10192363"/>
      <w:bookmarkStart w:id="671" w:name="_Toc10206678"/>
      <w:bookmarkStart w:id="672" w:name="_Toc10213264"/>
      <w:bookmarkStart w:id="673" w:name="_Toc10732288"/>
      <w:bookmarkStart w:id="674" w:name="_Toc10796847"/>
      <w:bookmarkStart w:id="675" w:name="_Toc12022732"/>
      <w:bookmarkStart w:id="676" w:name="_Toc12630562"/>
      <w:bookmarkStart w:id="677" w:name="_Toc16154422"/>
      <w:bookmarkStart w:id="678" w:name="_Toc22196784"/>
      <w:r w:rsidRPr="00AB2269">
        <w:t>Relevant flow types</w:t>
      </w:r>
      <w:bookmarkEnd w:id="667"/>
      <w:bookmarkEnd w:id="668"/>
      <w:bookmarkEnd w:id="669"/>
      <w:bookmarkEnd w:id="670"/>
      <w:bookmarkEnd w:id="671"/>
      <w:bookmarkEnd w:id="672"/>
      <w:bookmarkEnd w:id="673"/>
      <w:bookmarkEnd w:id="674"/>
      <w:bookmarkEnd w:id="675"/>
      <w:bookmarkEnd w:id="676"/>
      <w:bookmarkEnd w:id="677"/>
      <w:bookmarkEnd w:id="678"/>
      <w:r w:rsidRPr="00AB2269">
        <w:t xml:space="preserve"> </w:t>
      </w:r>
    </w:p>
    <w:p w14:paraId="2B00BC13" w14:textId="6AA6EA0B" w:rsidR="00336C52" w:rsidRPr="00F375F4" w:rsidRDefault="00A27C77" w:rsidP="00336C52">
      <w:pPr>
        <w:pStyle w:val="CM19"/>
        <w:jc w:val="both"/>
        <w:rPr>
          <w:rFonts w:asciiTheme="minorHAnsi" w:hAnsiTheme="minorHAnsi" w:cs="Calibri"/>
          <w:color w:val="000000"/>
          <w:sz w:val="22"/>
          <w:szCs w:val="22"/>
        </w:rPr>
      </w:pPr>
      <w:r>
        <w:rPr>
          <w:rFonts w:asciiTheme="minorHAnsi" w:hAnsiTheme="minorHAnsi" w:cs="Calibri"/>
          <w:color w:val="000000"/>
          <w:sz w:val="22"/>
          <w:szCs w:val="22"/>
        </w:rPr>
        <w:t>All – baseflow, f</w:t>
      </w:r>
      <w:r w:rsidR="00336C52">
        <w:rPr>
          <w:rFonts w:asciiTheme="minorHAnsi" w:hAnsiTheme="minorHAnsi" w:cs="Calibri"/>
          <w:color w:val="000000"/>
          <w:sz w:val="22"/>
          <w:szCs w:val="22"/>
        </w:rPr>
        <w:t xml:space="preserve">resh, bankfull, </w:t>
      </w:r>
      <w:r w:rsidR="001E03EE">
        <w:rPr>
          <w:rFonts w:asciiTheme="minorHAnsi" w:hAnsiTheme="minorHAnsi" w:cs="Calibri"/>
          <w:color w:val="000000"/>
          <w:sz w:val="22"/>
          <w:szCs w:val="22"/>
        </w:rPr>
        <w:t>overbank.</w:t>
      </w:r>
    </w:p>
    <w:p w14:paraId="563BDCF3" w14:textId="77777777" w:rsidR="00336C52" w:rsidRPr="00AB2269" w:rsidRDefault="00336C52" w:rsidP="00336C52">
      <w:pPr>
        <w:pStyle w:val="Heading2"/>
      </w:pPr>
      <w:bookmarkStart w:id="679" w:name="_Toc396825276"/>
      <w:bookmarkStart w:id="680" w:name="_Toc6403810"/>
      <w:bookmarkStart w:id="681" w:name="_Toc10095195"/>
      <w:bookmarkStart w:id="682" w:name="_Toc10192364"/>
      <w:bookmarkStart w:id="683" w:name="_Toc10206679"/>
      <w:bookmarkStart w:id="684" w:name="_Toc10213265"/>
      <w:bookmarkStart w:id="685" w:name="_Toc10732289"/>
      <w:bookmarkStart w:id="686" w:name="_Toc10796848"/>
      <w:bookmarkStart w:id="687" w:name="_Toc12022733"/>
      <w:bookmarkStart w:id="688" w:name="_Toc12630563"/>
      <w:bookmarkStart w:id="689" w:name="_Toc16154423"/>
      <w:bookmarkStart w:id="690" w:name="_Toc22196785"/>
      <w:r w:rsidRPr="00AB2269">
        <w:t>Overview and context</w:t>
      </w:r>
      <w:bookmarkEnd w:id="679"/>
      <w:bookmarkEnd w:id="680"/>
      <w:bookmarkEnd w:id="681"/>
      <w:bookmarkEnd w:id="682"/>
      <w:bookmarkEnd w:id="683"/>
      <w:bookmarkEnd w:id="684"/>
      <w:bookmarkEnd w:id="685"/>
      <w:bookmarkEnd w:id="686"/>
      <w:bookmarkEnd w:id="687"/>
      <w:bookmarkEnd w:id="688"/>
      <w:bookmarkEnd w:id="689"/>
      <w:bookmarkEnd w:id="690"/>
      <w:r w:rsidRPr="00AB2269">
        <w:t xml:space="preserve"> </w:t>
      </w:r>
    </w:p>
    <w:p w14:paraId="51982B05" w14:textId="4B8145B1" w:rsidR="00336C52" w:rsidRPr="00F375F4" w:rsidRDefault="00336C52" w:rsidP="00336C52">
      <w:pPr>
        <w:pStyle w:val="CM1"/>
        <w:jc w:val="both"/>
        <w:rPr>
          <w:rFonts w:asciiTheme="minorHAnsi" w:hAnsiTheme="minorHAnsi" w:cs="Calibri"/>
          <w:color w:val="000000"/>
          <w:sz w:val="22"/>
          <w:szCs w:val="22"/>
        </w:rPr>
      </w:pPr>
      <w:r w:rsidRPr="00F375F4">
        <w:rPr>
          <w:rFonts w:asciiTheme="minorHAnsi" w:hAnsiTheme="minorHAnsi" w:cs="Calibri"/>
          <w:color w:val="000000"/>
          <w:sz w:val="22"/>
          <w:szCs w:val="22"/>
        </w:rPr>
        <w:t xml:space="preserve">Under the </w:t>
      </w:r>
      <w:r w:rsidR="00927F6A">
        <w:rPr>
          <w:rFonts w:asciiTheme="minorHAnsi" w:hAnsiTheme="minorHAnsi" w:cs="Calibri"/>
          <w:color w:val="000000"/>
          <w:sz w:val="22"/>
          <w:szCs w:val="22"/>
        </w:rPr>
        <w:t>MER</w:t>
      </w:r>
      <w:r w:rsidR="00927F6A" w:rsidRPr="00F375F4">
        <w:rPr>
          <w:rFonts w:asciiTheme="minorHAnsi" w:hAnsiTheme="minorHAnsi" w:cs="Calibri"/>
          <w:color w:val="000000"/>
          <w:sz w:val="22"/>
          <w:szCs w:val="22"/>
        </w:rPr>
        <w:t xml:space="preserve"> </w:t>
      </w:r>
      <w:r w:rsidR="00CF3E4E">
        <w:rPr>
          <w:rFonts w:asciiTheme="minorHAnsi" w:hAnsiTheme="minorHAnsi" w:cs="Calibri"/>
          <w:color w:val="000000"/>
          <w:sz w:val="22"/>
          <w:szCs w:val="22"/>
        </w:rPr>
        <w:t>Project</w:t>
      </w:r>
      <w:r w:rsidRPr="00F375F4">
        <w:rPr>
          <w:rFonts w:asciiTheme="minorHAnsi" w:hAnsiTheme="minorHAnsi" w:cs="Calibri"/>
          <w:color w:val="000000"/>
          <w:sz w:val="22"/>
          <w:szCs w:val="22"/>
        </w:rPr>
        <w:t xml:space="preserve">, stream metabolism is measured for two purposes: </w:t>
      </w:r>
    </w:p>
    <w:p w14:paraId="55B7495D" w14:textId="1F30D2AC" w:rsidR="00336C52" w:rsidRPr="00A30C7D" w:rsidRDefault="00336C52" w:rsidP="00C77254">
      <w:pPr>
        <w:pStyle w:val="Default"/>
        <w:widowControl w:val="0"/>
        <w:numPr>
          <w:ilvl w:val="0"/>
          <w:numId w:val="36"/>
        </w:numPr>
        <w:spacing w:before="120" w:after="120"/>
        <w:jc w:val="both"/>
        <w:rPr>
          <w:rFonts w:asciiTheme="minorHAnsi" w:hAnsiTheme="minorHAnsi" w:cs="Calibri"/>
          <w:sz w:val="22"/>
          <w:szCs w:val="22"/>
        </w:rPr>
      </w:pPr>
      <w:r w:rsidRPr="00F375F4">
        <w:rPr>
          <w:rFonts w:asciiTheme="minorHAnsi" w:hAnsiTheme="minorHAnsi" w:cs="Calibri"/>
          <w:sz w:val="22"/>
          <w:szCs w:val="22"/>
        </w:rPr>
        <w:lastRenderedPageBreak/>
        <w:t xml:space="preserve">To inform the Basin-scale quantitative evaluation of fish responses to Commonwealth environmental </w:t>
      </w:r>
      <w:r w:rsidRPr="00DC783F">
        <w:rPr>
          <w:rFonts w:asciiTheme="minorHAnsi" w:hAnsiTheme="minorHAnsi" w:cstheme="minorHAnsi"/>
          <w:sz w:val="22"/>
          <w:szCs w:val="22"/>
        </w:rPr>
        <w:t>water</w:t>
      </w:r>
      <w:r w:rsidR="000114A1">
        <w:rPr>
          <w:rFonts w:asciiTheme="minorHAnsi" w:hAnsiTheme="minorHAnsi" w:cstheme="minorHAnsi"/>
          <w:sz w:val="22"/>
          <w:szCs w:val="22"/>
        </w:rPr>
        <w:t xml:space="preserve"> (see</w:t>
      </w:r>
      <w:r w:rsidR="00647965" w:rsidRPr="00DC783F">
        <w:rPr>
          <w:rFonts w:asciiTheme="minorHAnsi" w:hAnsiTheme="minorHAnsi" w:cstheme="minorHAnsi"/>
          <w:sz w:val="22"/>
          <w:szCs w:val="22"/>
        </w:rPr>
        <w:t xml:space="preserve"> </w:t>
      </w:r>
      <w:r w:rsidR="00647965" w:rsidRPr="000114A1">
        <w:rPr>
          <w:rFonts w:asciiTheme="minorHAnsi" w:hAnsiTheme="minorHAnsi" w:cstheme="minorHAnsi"/>
          <w:i/>
          <w:sz w:val="22"/>
          <w:szCs w:val="22"/>
        </w:rPr>
        <w:t>Fish</w:t>
      </w:r>
      <w:r w:rsidRPr="000114A1">
        <w:rPr>
          <w:rFonts w:asciiTheme="minorHAnsi" w:hAnsiTheme="minorHAnsi" w:cstheme="minorHAnsi"/>
          <w:i/>
          <w:sz w:val="22"/>
          <w:szCs w:val="22"/>
        </w:rPr>
        <w:t xml:space="preserve"> </w:t>
      </w:r>
      <w:r w:rsidR="00D4794F" w:rsidRPr="000114A1">
        <w:rPr>
          <w:rFonts w:asciiTheme="minorHAnsi" w:hAnsiTheme="minorHAnsi" w:cstheme="minorHAnsi"/>
          <w:i/>
          <w:sz w:val="22"/>
          <w:szCs w:val="22"/>
        </w:rPr>
        <w:t>(Channel</w:t>
      </w:r>
      <w:r w:rsidR="00D4794F" w:rsidRPr="000114A1">
        <w:rPr>
          <w:rFonts w:asciiTheme="minorHAnsi" w:hAnsiTheme="minorHAnsi" w:cs="Calibri"/>
          <w:i/>
          <w:sz w:val="22"/>
          <w:szCs w:val="22"/>
        </w:rPr>
        <w:t>)</w:t>
      </w:r>
      <w:r w:rsidR="000114A1">
        <w:rPr>
          <w:rFonts w:asciiTheme="minorHAnsi" w:hAnsiTheme="minorHAnsi" w:cs="Calibri"/>
          <w:sz w:val="22"/>
          <w:szCs w:val="22"/>
        </w:rPr>
        <w:t xml:space="preserve"> SOP</w:t>
      </w:r>
      <w:r w:rsidRPr="00F375F4">
        <w:rPr>
          <w:rFonts w:asciiTheme="minorHAnsi" w:hAnsiTheme="minorHAnsi" w:cs="Calibri"/>
          <w:sz w:val="22"/>
          <w:szCs w:val="22"/>
        </w:rPr>
        <w:t xml:space="preserve">); and </w:t>
      </w:r>
    </w:p>
    <w:p w14:paraId="738659DC" w14:textId="77777777" w:rsidR="00336C52" w:rsidRPr="00A30C7D" w:rsidRDefault="00336C52" w:rsidP="00C77254">
      <w:pPr>
        <w:pStyle w:val="Default"/>
        <w:widowControl w:val="0"/>
        <w:numPr>
          <w:ilvl w:val="0"/>
          <w:numId w:val="36"/>
        </w:numPr>
        <w:spacing w:before="120" w:after="240"/>
        <w:ind w:left="714" w:hanging="357"/>
        <w:jc w:val="both"/>
        <w:rPr>
          <w:rFonts w:asciiTheme="minorHAnsi" w:hAnsiTheme="minorHAnsi" w:cs="Calibri"/>
          <w:sz w:val="22"/>
          <w:szCs w:val="22"/>
        </w:rPr>
      </w:pPr>
      <w:r w:rsidRPr="00F375F4">
        <w:rPr>
          <w:rFonts w:asciiTheme="minorHAnsi" w:hAnsiTheme="minorHAnsi" w:cs="Calibri"/>
          <w:sz w:val="22"/>
          <w:szCs w:val="22"/>
        </w:rPr>
        <w:t xml:space="preserve">To detect changes in primary productivity and decomposition in river in response to Commonwealth environmental water. </w:t>
      </w:r>
    </w:p>
    <w:p w14:paraId="04324E67" w14:textId="77777777" w:rsidR="00336C52" w:rsidRPr="00F375F4" w:rsidRDefault="00336C52" w:rsidP="00336C52">
      <w:pPr>
        <w:pStyle w:val="CM19"/>
        <w:spacing w:before="120" w:after="120"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 xml:space="preserve">This protocol uses the replicate single station open water method and comprises: </w:t>
      </w:r>
    </w:p>
    <w:p w14:paraId="18F6741A" w14:textId="77ED292D" w:rsidR="00336C52" w:rsidRPr="00F375F4" w:rsidRDefault="00336C52" w:rsidP="00C77254">
      <w:pPr>
        <w:pStyle w:val="Default"/>
        <w:widowControl w:val="0"/>
        <w:numPr>
          <w:ilvl w:val="0"/>
          <w:numId w:val="30"/>
        </w:numPr>
        <w:ind w:left="765" w:hanging="357"/>
        <w:jc w:val="both"/>
        <w:rPr>
          <w:rFonts w:asciiTheme="minorHAnsi" w:hAnsiTheme="minorHAnsi" w:cs="Calibri"/>
          <w:sz w:val="22"/>
          <w:szCs w:val="22"/>
        </w:rPr>
      </w:pPr>
      <w:r w:rsidRPr="00B47D9C">
        <w:rPr>
          <w:rFonts w:asciiTheme="minorHAnsi" w:hAnsiTheme="minorHAnsi" w:cs="Calibri"/>
          <w:i/>
          <w:sz w:val="22"/>
          <w:szCs w:val="22"/>
        </w:rPr>
        <w:t>In situ</w:t>
      </w:r>
      <w:r w:rsidRPr="00391C5B">
        <w:rPr>
          <w:rFonts w:asciiTheme="minorHAnsi" w:hAnsiTheme="minorHAnsi" w:cs="Calibri"/>
          <w:sz w:val="22"/>
          <w:szCs w:val="22"/>
        </w:rPr>
        <w:t xml:space="preserve"> </w:t>
      </w:r>
      <w:r w:rsidRPr="00F375F4">
        <w:rPr>
          <w:rFonts w:asciiTheme="minorHAnsi" w:hAnsiTheme="minorHAnsi" w:cs="Calibri"/>
          <w:sz w:val="22"/>
          <w:szCs w:val="22"/>
        </w:rPr>
        <w:t xml:space="preserve">logging </w:t>
      </w:r>
      <w:r>
        <w:rPr>
          <w:rFonts w:asciiTheme="minorHAnsi" w:hAnsiTheme="minorHAnsi" w:cs="Calibri"/>
          <w:sz w:val="22"/>
          <w:szCs w:val="22"/>
        </w:rPr>
        <w:t xml:space="preserve">of the </w:t>
      </w:r>
      <w:r w:rsidRPr="00F375F4">
        <w:rPr>
          <w:rFonts w:asciiTheme="minorHAnsi" w:hAnsiTheme="minorHAnsi" w:cs="Calibri"/>
          <w:sz w:val="22"/>
          <w:szCs w:val="22"/>
        </w:rPr>
        <w:t>dissolved oxygen</w:t>
      </w:r>
      <w:r>
        <w:rPr>
          <w:rFonts w:asciiTheme="minorHAnsi" w:hAnsiTheme="minorHAnsi" w:cs="Calibri"/>
          <w:sz w:val="22"/>
          <w:szCs w:val="22"/>
        </w:rPr>
        <w:t xml:space="preserve"> concentration and </w:t>
      </w:r>
      <w:r w:rsidRPr="00F375F4">
        <w:rPr>
          <w:rFonts w:asciiTheme="minorHAnsi" w:hAnsiTheme="minorHAnsi" w:cs="Calibri"/>
          <w:sz w:val="22"/>
          <w:szCs w:val="22"/>
        </w:rPr>
        <w:t>temperature</w:t>
      </w:r>
      <w:r>
        <w:rPr>
          <w:rFonts w:asciiTheme="minorHAnsi" w:hAnsiTheme="minorHAnsi" w:cs="Calibri"/>
          <w:sz w:val="22"/>
          <w:szCs w:val="22"/>
        </w:rPr>
        <w:t xml:space="preserve"> at ten minute intervals between September and February, which will provide data for estimating stream metabolism </w:t>
      </w:r>
      <w:r w:rsidR="001E03EE">
        <w:rPr>
          <w:rFonts w:asciiTheme="minorHAnsi" w:hAnsiTheme="minorHAnsi" w:cs="Calibri"/>
          <w:sz w:val="22"/>
          <w:szCs w:val="22"/>
        </w:rPr>
        <w:t>at th</w:t>
      </w:r>
      <w:r w:rsidR="008C566A">
        <w:rPr>
          <w:rFonts w:asciiTheme="minorHAnsi" w:hAnsiTheme="minorHAnsi" w:cs="Calibri"/>
          <w:sz w:val="22"/>
          <w:szCs w:val="22"/>
        </w:rPr>
        <w:t>r</w:t>
      </w:r>
      <w:r w:rsidR="001E03EE">
        <w:rPr>
          <w:rFonts w:asciiTheme="minorHAnsi" w:hAnsiTheme="minorHAnsi" w:cs="Calibri"/>
          <w:sz w:val="22"/>
          <w:szCs w:val="22"/>
        </w:rPr>
        <w:t>e</w:t>
      </w:r>
      <w:r w:rsidR="008C566A">
        <w:rPr>
          <w:rFonts w:asciiTheme="minorHAnsi" w:hAnsiTheme="minorHAnsi" w:cs="Calibri"/>
          <w:sz w:val="22"/>
          <w:szCs w:val="22"/>
        </w:rPr>
        <w:t>e</w:t>
      </w:r>
      <w:r w:rsidR="001E03EE">
        <w:rPr>
          <w:rFonts w:asciiTheme="minorHAnsi" w:hAnsiTheme="minorHAnsi" w:cs="Calibri"/>
          <w:sz w:val="22"/>
          <w:szCs w:val="22"/>
        </w:rPr>
        <w:t xml:space="preserve"> sampling sites</w:t>
      </w:r>
      <w:r>
        <w:rPr>
          <w:rFonts w:asciiTheme="minorHAnsi" w:hAnsiTheme="minorHAnsi" w:cs="Calibri"/>
          <w:sz w:val="22"/>
          <w:szCs w:val="22"/>
        </w:rPr>
        <w:t xml:space="preserve"> </w:t>
      </w:r>
      <w:r w:rsidR="008C566A">
        <w:rPr>
          <w:rFonts w:asciiTheme="minorHAnsi" w:hAnsiTheme="minorHAnsi" w:cs="Calibri"/>
          <w:sz w:val="22"/>
          <w:szCs w:val="22"/>
        </w:rPr>
        <w:t>in</w:t>
      </w:r>
      <w:r>
        <w:rPr>
          <w:rFonts w:asciiTheme="minorHAnsi" w:hAnsiTheme="minorHAnsi" w:cs="Calibri"/>
          <w:sz w:val="22"/>
          <w:szCs w:val="22"/>
        </w:rPr>
        <w:t xml:space="preserve"> the </w:t>
      </w:r>
      <w:r w:rsidR="00C304CC" w:rsidRPr="00C304CC">
        <w:rPr>
          <w:rFonts w:asciiTheme="minorHAnsi" w:hAnsiTheme="minorHAnsi" w:cs="Calibri"/>
          <w:sz w:val="22"/>
          <w:szCs w:val="22"/>
        </w:rPr>
        <w:t>Lower Murray</w:t>
      </w:r>
      <w:r>
        <w:rPr>
          <w:rFonts w:asciiTheme="minorHAnsi" w:hAnsiTheme="minorHAnsi" w:cs="Calibri"/>
          <w:sz w:val="22"/>
          <w:szCs w:val="22"/>
        </w:rPr>
        <w:t xml:space="preserve"> Selected Area.</w:t>
      </w:r>
    </w:p>
    <w:p w14:paraId="41D0C324" w14:textId="77777777" w:rsidR="00336C52" w:rsidRPr="00F375F4" w:rsidRDefault="00336C52" w:rsidP="00336C52">
      <w:pPr>
        <w:pStyle w:val="Default"/>
        <w:jc w:val="both"/>
        <w:rPr>
          <w:rFonts w:asciiTheme="minorHAnsi" w:hAnsiTheme="minorHAnsi" w:cs="Calibri"/>
          <w:sz w:val="22"/>
          <w:szCs w:val="22"/>
        </w:rPr>
      </w:pPr>
    </w:p>
    <w:p w14:paraId="00DB10AD" w14:textId="77777777" w:rsidR="00336C52" w:rsidRDefault="00336C52" w:rsidP="00336C52">
      <w:pPr>
        <w:pStyle w:val="CM6"/>
        <w:rPr>
          <w:rFonts w:asciiTheme="minorHAnsi" w:hAnsiTheme="minorHAnsi" w:cs="Calibri"/>
          <w:color w:val="000000"/>
          <w:sz w:val="22"/>
          <w:szCs w:val="22"/>
        </w:rPr>
      </w:pPr>
      <w:r>
        <w:rPr>
          <w:rFonts w:asciiTheme="minorHAnsi" w:hAnsiTheme="minorHAnsi" w:cs="Calibri"/>
          <w:color w:val="000000"/>
          <w:sz w:val="22"/>
          <w:szCs w:val="22"/>
        </w:rPr>
        <w:t>Covariates measures are:</w:t>
      </w:r>
    </w:p>
    <w:p w14:paraId="6F1B7318" w14:textId="042A2297" w:rsidR="00336C52" w:rsidRPr="00844ABF" w:rsidRDefault="00336C52" w:rsidP="00C77254">
      <w:pPr>
        <w:pStyle w:val="Default"/>
        <w:widowControl w:val="0"/>
        <w:numPr>
          <w:ilvl w:val="0"/>
          <w:numId w:val="30"/>
        </w:numPr>
        <w:spacing w:before="120" w:after="120"/>
        <w:ind w:left="765" w:hanging="357"/>
        <w:jc w:val="both"/>
        <w:rPr>
          <w:rFonts w:asciiTheme="minorHAnsi" w:hAnsiTheme="minorHAnsi" w:cs="Calibri"/>
          <w:sz w:val="22"/>
          <w:szCs w:val="22"/>
        </w:rPr>
      </w:pPr>
      <w:r w:rsidRPr="00844ABF">
        <w:rPr>
          <w:rFonts w:asciiTheme="minorHAnsi" w:hAnsiTheme="minorHAnsi" w:cs="Calibri"/>
          <w:b/>
          <w:sz w:val="22"/>
          <w:szCs w:val="22"/>
        </w:rPr>
        <w:t>Gauged water level related to cross-sectional area and flow velocity:</w:t>
      </w:r>
      <w:r>
        <w:rPr>
          <w:rFonts w:asciiTheme="minorHAnsi" w:hAnsiTheme="minorHAnsi" w:cs="Calibri"/>
          <w:sz w:val="22"/>
          <w:szCs w:val="22"/>
        </w:rPr>
        <w:t xml:space="preserve"> </w:t>
      </w:r>
      <w:r w:rsidRPr="00844ABF">
        <w:rPr>
          <w:rFonts w:asciiTheme="minorHAnsi" w:hAnsiTheme="minorHAnsi" w:cs="Calibri"/>
          <w:sz w:val="22"/>
          <w:szCs w:val="22"/>
        </w:rPr>
        <w:t xml:space="preserve">Measurements of water level and stream characteristics including water velocity, channel cross-sectional area and average depth of sampling sites. This information will be provided from established gauging stations in the </w:t>
      </w:r>
      <w:r w:rsidR="00C304CC" w:rsidRPr="00C304CC">
        <w:rPr>
          <w:rFonts w:asciiTheme="minorHAnsi" w:hAnsiTheme="minorHAnsi" w:cs="Calibri"/>
          <w:sz w:val="22"/>
          <w:szCs w:val="22"/>
        </w:rPr>
        <w:t>Lower Murray</w:t>
      </w:r>
      <w:r w:rsidRPr="00844ABF">
        <w:rPr>
          <w:rFonts w:asciiTheme="minorHAnsi" w:hAnsiTheme="minorHAnsi" w:cs="Calibri"/>
          <w:sz w:val="22"/>
          <w:szCs w:val="22"/>
        </w:rPr>
        <w:t xml:space="preserve"> in conjunction with site measurements during sampling trips.</w:t>
      </w:r>
    </w:p>
    <w:p w14:paraId="0B1B4D0B" w14:textId="34EB7D6A" w:rsidR="00336C52" w:rsidRPr="00844ABF" w:rsidRDefault="00336C52" w:rsidP="00C77254">
      <w:pPr>
        <w:pStyle w:val="Default"/>
        <w:widowControl w:val="0"/>
        <w:numPr>
          <w:ilvl w:val="0"/>
          <w:numId w:val="30"/>
        </w:numPr>
        <w:spacing w:before="120" w:after="120"/>
        <w:ind w:left="765" w:hanging="357"/>
        <w:jc w:val="both"/>
        <w:rPr>
          <w:rFonts w:asciiTheme="minorHAnsi" w:hAnsiTheme="minorHAnsi" w:cs="Calibri"/>
          <w:b/>
          <w:sz w:val="22"/>
          <w:szCs w:val="22"/>
        </w:rPr>
      </w:pPr>
      <w:r w:rsidRPr="00844ABF">
        <w:rPr>
          <w:rFonts w:asciiTheme="minorHAnsi" w:hAnsiTheme="minorHAnsi" w:cs="Calibri"/>
          <w:b/>
          <w:sz w:val="22"/>
          <w:szCs w:val="22"/>
        </w:rPr>
        <w:t xml:space="preserve">Water quality samples including chlorophyll concentrations: </w:t>
      </w:r>
      <w:r w:rsidRPr="00844ABF">
        <w:rPr>
          <w:rFonts w:asciiTheme="minorHAnsi" w:hAnsiTheme="minorHAnsi" w:cs="Calibri"/>
          <w:sz w:val="22"/>
          <w:szCs w:val="22"/>
        </w:rPr>
        <w:t>Collection of discrete water quality samples for the analyses of chlorophyll-</w:t>
      </w:r>
      <w:r w:rsidRPr="00844ABF">
        <w:rPr>
          <w:rFonts w:asciiTheme="minorHAnsi" w:hAnsiTheme="minorHAnsi" w:cs="Calibri"/>
          <w:i/>
          <w:sz w:val="22"/>
          <w:szCs w:val="22"/>
        </w:rPr>
        <w:t>a</w:t>
      </w:r>
      <w:r w:rsidRPr="00844ABF">
        <w:rPr>
          <w:rFonts w:asciiTheme="minorHAnsi" w:hAnsiTheme="minorHAnsi" w:cs="Calibri"/>
          <w:sz w:val="22"/>
          <w:szCs w:val="22"/>
        </w:rPr>
        <w:t>, total nitrogen, NO</w:t>
      </w:r>
      <w:r w:rsidRPr="00844ABF">
        <w:rPr>
          <w:rFonts w:asciiTheme="minorHAnsi" w:hAnsiTheme="minorHAnsi" w:cs="Calibri"/>
          <w:sz w:val="22"/>
          <w:szCs w:val="22"/>
          <w:vertAlign w:val="subscript"/>
        </w:rPr>
        <w:t>X</w:t>
      </w:r>
      <w:r w:rsidRPr="00844ABF">
        <w:rPr>
          <w:rFonts w:asciiTheme="minorHAnsi" w:hAnsiTheme="minorHAnsi" w:cs="Calibri"/>
          <w:sz w:val="22"/>
          <w:szCs w:val="22"/>
        </w:rPr>
        <w:t>, NH</w:t>
      </w:r>
      <w:r w:rsidRPr="00844ABF">
        <w:rPr>
          <w:rFonts w:asciiTheme="minorHAnsi" w:hAnsiTheme="minorHAnsi" w:cs="Calibri"/>
          <w:sz w:val="22"/>
          <w:szCs w:val="22"/>
          <w:vertAlign w:val="subscript"/>
        </w:rPr>
        <w:t>4</w:t>
      </w:r>
      <w:r w:rsidRPr="00844ABF">
        <w:rPr>
          <w:rFonts w:asciiTheme="minorHAnsi" w:hAnsiTheme="minorHAnsi" w:cs="Calibri"/>
          <w:sz w:val="22"/>
          <w:szCs w:val="22"/>
        </w:rPr>
        <w:t>, total phosphorus, PO</w:t>
      </w:r>
      <w:r w:rsidRPr="00844ABF">
        <w:rPr>
          <w:rFonts w:asciiTheme="minorHAnsi" w:hAnsiTheme="minorHAnsi" w:cs="Calibri"/>
          <w:sz w:val="22"/>
          <w:szCs w:val="22"/>
          <w:vertAlign w:val="subscript"/>
        </w:rPr>
        <w:t>4</w:t>
      </w:r>
      <w:r w:rsidRPr="00844ABF">
        <w:rPr>
          <w:rFonts w:asciiTheme="minorHAnsi" w:hAnsiTheme="minorHAnsi" w:cs="Calibri"/>
          <w:sz w:val="22"/>
          <w:szCs w:val="22"/>
        </w:rPr>
        <w:t xml:space="preserve">, and dissolved organic carbon will be collected routinely at intervals ≤6 weeks duration. </w:t>
      </w:r>
    </w:p>
    <w:p w14:paraId="31675E9D" w14:textId="77777777" w:rsidR="00336C52" w:rsidRPr="00844ABF" w:rsidRDefault="00336C52" w:rsidP="00C77254">
      <w:pPr>
        <w:pStyle w:val="Default"/>
        <w:widowControl w:val="0"/>
        <w:numPr>
          <w:ilvl w:val="0"/>
          <w:numId w:val="30"/>
        </w:numPr>
        <w:spacing w:before="120" w:after="120"/>
        <w:ind w:left="765" w:hanging="357"/>
        <w:jc w:val="both"/>
        <w:rPr>
          <w:rFonts w:asciiTheme="minorHAnsi" w:hAnsiTheme="minorHAnsi" w:cs="Calibri"/>
          <w:b/>
          <w:sz w:val="22"/>
          <w:szCs w:val="22"/>
        </w:rPr>
      </w:pPr>
      <w:r w:rsidRPr="00844ABF">
        <w:rPr>
          <w:rFonts w:asciiTheme="minorHAnsi" w:hAnsiTheme="minorHAnsi" w:cs="Calibri"/>
          <w:b/>
          <w:sz w:val="22"/>
          <w:szCs w:val="22"/>
        </w:rPr>
        <w:t xml:space="preserve">Photosynthetically active radiation: </w:t>
      </w:r>
      <w:r w:rsidRPr="00844ABF">
        <w:rPr>
          <w:rFonts w:asciiTheme="minorHAnsi" w:hAnsiTheme="minorHAnsi" w:cs="Calibri"/>
          <w:sz w:val="22"/>
          <w:szCs w:val="22"/>
        </w:rPr>
        <w:t xml:space="preserve">A terrestrial station logging photosynthetically active radiation (PAR) and barometric pressure at ten minute intervals to match the stream metabolism measurements will be established in a suitable nearby location. </w:t>
      </w:r>
    </w:p>
    <w:p w14:paraId="65A568AD" w14:textId="4375903F" w:rsidR="0028105A" w:rsidRPr="0028105A" w:rsidRDefault="00336C52" w:rsidP="0028105A">
      <w:pPr>
        <w:pStyle w:val="CM6"/>
        <w:rPr>
          <w:rFonts w:asciiTheme="minorHAnsi" w:hAnsiTheme="minorHAnsi" w:cstheme="minorHAnsi"/>
          <w:color w:val="000000"/>
          <w:sz w:val="22"/>
          <w:szCs w:val="22"/>
        </w:rPr>
      </w:pPr>
      <w:r w:rsidRPr="0028105A">
        <w:rPr>
          <w:rFonts w:asciiTheme="minorHAnsi" w:hAnsiTheme="minorHAnsi" w:cstheme="minorHAnsi"/>
          <w:color w:val="000000"/>
          <w:sz w:val="22"/>
          <w:szCs w:val="22"/>
        </w:rPr>
        <w:t xml:space="preserve">This protocol is based on </w:t>
      </w:r>
      <w:r w:rsidRPr="00881D76">
        <w:rPr>
          <w:rFonts w:asciiTheme="minorHAnsi" w:hAnsiTheme="minorHAnsi" w:cstheme="minorHAnsi"/>
          <w:color w:val="000000"/>
          <w:sz w:val="22"/>
          <w:szCs w:val="22"/>
        </w:rPr>
        <w:t>the single station open water stream metabolism method as detailed in Oliver and Merrick (2006), Oliver and Lorenz (2010) and Grace and Imberger (2006).</w:t>
      </w:r>
      <w:r w:rsidR="0028105A" w:rsidRPr="00881D76">
        <w:rPr>
          <w:rFonts w:asciiTheme="minorHAnsi" w:hAnsiTheme="minorHAnsi" w:cstheme="minorHAnsi"/>
          <w:color w:val="000000"/>
          <w:sz w:val="22"/>
          <w:szCs w:val="22"/>
        </w:rPr>
        <w:t xml:space="preserve"> </w:t>
      </w:r>
      <w:r w:rsidR="000114A1">
        <w:rPr>
          <w:rFonts w:asciiTheme="minorHAnsi" w:hAnsiTheme="minorHAnsi" w:cstheme="minorHAnsi"/>
          <w:sz w:val="22"/>
          <w:szCs w:val="22"/>
        </w:rPr>
        <w:t xml:space="preserve">Refer to Section </w:t>
      </w:r>
      <w:r w:rsidR="000114A1">
        <w:rPr>
          <w:rFonts w:asciiTheme="minorHAnsi" w:hAnsiTheme="minorHAnsi" w:cstheme="minorHAnsi"/>
          <w:sz w:val="22"/>
          <w:szCs w:val="22"/>
        </w:rPr>
        <w:fldChar w:fldCharType="begin"/>
      </w:r>
      <w:r w:rsidR="000114A1">
        <w:rPr>
          <w:rFonts w:asciiTheme="minorHAnsi" w:hAnsiTheme="minorHAnsi" w:cstheme="minorHAnsi"/>
          <w:sz w:val="22"/>
          <w:szCs w:val="22"/>
        </w:rPr>
        <w:instrText xml:space="preserve"> REF _Ref10197809 \r \h </w:instrText>
      </w:r>
      <w:r w:rsidR="000114A1">
        <w:rPr>
          <w:rFonts w:asciiTheme="minorHAnsi" w:hAnsiTheme="minorHAnsi" w:cstheme="minorHAnsi"/>
          <w:sz w:val="22"/>
          <w:szCs w:val="22"/>
        </w:rPr>
      </w:r>
      <w:r w:rsidR="000114A1">
        <w:rPr>
          <w:rFonts w:asciiTheme="minorHAnsi" w:hAnsiTheme="minorHAnsi" w:cstheme="minorHAnsi"/>
          <w:sz w:val="22"/>
          <w:szCs w:val="22"/>
        </w:rPr>
        <w:fldChar w:fldCharType="separate"/>
      </w:r>
      <w:r w:rsidR="00DF49CD">
        <w:rPr>
          <w:rFonts w:asciiTheme="minorHAnsi" w:hAnsiTheme="minorHAnsi" w:cstheme="minorHAnsi"/>
          <w:sz w:val="22"/>
          <w:szCs w:val="22"/>
        </w:rPr>
        <w:t>5.1.2</w:t>
      </w:r>
      <w:r w:rsidR="000114A1">
        <w:rPr>
          <w:rFonts w:asciiTheme="minorHAnsi" w:hAnsiTheme="minorHAnsi" w:cstheme="minorHAnsi"/>
          <w:sz w:val="22"/>
          <w:szCs w:val="22"/>
        </w:rPr>
        <w:fldChar w:fldCharType="end"/>
      </w:r>
      <w:r w:rsidR="0028105A" w:rsidRPr="000B313C">
        <w:rPr>
          <w:rFonts w:asciiTheme="minorHAnsi" w:hAnsiTheme="minorHAnsi" w:cstheme="minorHAnsi"/>
          <w:sz w:val="22"/>
          <w:szCs w:val="22"/>
        </w:rPr>
        <w:t xml:space="preserve"> in the </w:t>
      </w:r>
      <w:r w:rsidR="00BC79ED">
        <w:rPr>
          <w:rFonts w:asciiTheme="minorHAnsi" w:hAnsiTheme="minorHAnsi" w:cstheme="minorHAnsi"/>
          <w:sz w:val="22"/>
          <w:szCs w:val="22"/>
        </w:rPr>
        <w:t>MER</w:t>
      </w:r>
      <w:r w:rsidR="0028105A" w:rsidRPr="000B313C">
        <w:rPr>
          <w:rFonts w:asciiTheme="minorHAnsi" w:hAnsiTheme="minorHAnsi" w:cstheme="minorHAnsi"/>
          <w:sz w:val="22"/>
          <w:szCs w:val="22"/>
        </w:rPr>
        <w:t xml:space="preserve"> Plan for background information, objectives and hypotheses, outputs and staff involvement</w:t>
      </w:r>
      <w:r w:rsidR="004508E7" w:rsidRPr="004508E7">
        <w:rPr>
          <w:rFonts w:asciiTheme="minorHAnsi" w:hAnsiTheme="minorHAnsi" w:cstheme="minorHAnsi"/>
          <w:sz w:val="22"/>
          <w:szCs w:val="22"/>
        </w:rPr>
        <w:t xml:space="preserve"> for </w:t>
      </w:r>
      <w:r w:rsidR="004508E7" w:rsidRPr="000114A1">
        <w:rPr>
          <w:rFonts w:asciiTheme="minorHAnsi" w:hAnsiTheme="minorHAnsi" w:cstheme="minorHAnsi"/>
          <w:i/>
          <w:sz w:val="22"/>
          <w:szCs w:val="22"/>
        </w:rPr>
        <w:t>S</w:t>
      </w:r>
      <w:r w:rsidR="000114A1" w:rsidRPr="000114A1">
        <w:rPr>
          <w:rFonts w:asciiTheme="minorHAnsi" w:hAnsiTheme="minorHAnsi" w:cstheme="minorHAnsi"/>
          <w:i/>
          <w:sz w:val="22"/>
          <w:szCs w:val="22"/>
        </w:rPr>
        <w:t>tream M</w:t>
      </w:r>
      <w:r w:rsidR="0028105A" w:rsidRPr="000114A1">
        <w:rPr>
          <w:rFonts w:asciiTheme="minorHAnsi" w:hAnsiTheme="minorHAnsi" w:cstheme="minorHAnsi"/>
          <w:i/>
          <w:sz w:val="22"/>
          <w:szCs w:val="22"/>
        </w:rPr>
        <w:t>etabolism</w:t>
      </w:r>
      <w:r w:rsidR="000114A1" w:rsidRPr="000114A1">
        <w:rPr>
          <w:rFonts w:asciiTheme="minorHAnsi" w:hAnsiTheme="minorHAnsi" w:cstheme="minorHAnsi"/>
          <w:i/>
          <w:sz w:val="22"/>
          <w:szCs w:val="22"/>
        </w:rPr>
        <w:t xml:space="preserve"> and Water Quality</w:t>
      </w:r>
      <w:r w:rsidR="0028105A" w:rsidRPr="000B313C">
        <w:rPr>
          <w:rFonts w:asciiTheme="minorHAnsi" w:hAnsiTheme="minorHAnsi" w:cstheme="minorHAnsi"/>
          <w:sz w:val="22"/>
          <w:szCs w:val="22"/>
        </w:rPr>
        <w:t>.</w:t>
      </w:r>
    </w:p>
    <w:p w14:paraId="15ADA52B" w14:textId="77777777" w:rsidR="00336C52" w:rsidRPr="00AB2269" w:rsidRDefault="00336C52" w:rsidP="00336C52">
      <w:pPr>
        <w:pStyle w:val="Heading2"/>
      </w:pPr>
      <w:bookmarkStart w:id="691" w:name="_Toc396825277"/>
      <w:bookmarkStart w:id="692" w:name="_Toc6403811"/>
      <w:bookmarkStart w:id="693" w:name="_Toc10095196"/>
      <w:bookmarkStart w:id="694" w:name="_Toc10192365"/>
      <w:bookmarkStart w:id="695" w:name="_Toc10206680"/>
      <w:bookmarkStart w:id="696" w:name="_Toc10213266"/>
      <w:bookmarkStart w:id="697" w:name="_Toc10732290"/>
      <w:bookmarkStart w:id="698" w:name="_Toc10796849"/>
      <w:bookmarkStart w:id="699" w:name="_Toc12022734"/>
      <w:bookmarkStart w:id="700" w:name="_Toc12630564"/>
      <w:bookmarkStart w:id="701" w:name="_Toc16154424"/>
      <w:bookmarkStart w:id="702" w:name="_Toc22196786"/>
      <w:r w:rsidRPr="00AB2269">
        <w:t>Complementary monitoring and data</w:t>
      </w:r>
      <w:bookmarkEnd w:id="691"/>
      <w:bookmarkEnd w:id="692"/>
      <w:bookmarkEnd w:id="693"/>
      <w:bookmarkEnd w:id="694"/>
      <w:bookmarkEnd w:id="695"/>
      <w:bookmarkEnd w:id="696"/>
      <w:bookmarkEnd w:id="697"/>
      <w:bookmarkEnd w:id="698"/>
      <w:bookmarkEnd w:id="699"/>
      <w:bookmarkEnd w:id="700"/>
      <w:bookmarkEnd w:id="701"/>
      <w:bookmarkEnd w:id="702"/>
      <w:r w:rsidRPr="00AB2269">
        <w:t xml:space="preserve"> </w:t>
      </w:r>
    </w:p>
    <w:p w14:paraId="41A620D0" w14:textId="68ACD8EF" w:rsidR="00336C52" w:rsidRDefault="00336C52" w:rsidP="00336C52">
      <w:pPr>
        <w:pStyle w:val="CM20"/>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 xml:space="preserve">Hydrological data on stream discharge will be provided from the existing permanent stream gauging network associated with the weirs and managed flows of the </w:t>
      </w:r>
      <w:r w:rsidR="00C304CC" w:rsidRPr="00C304CC">
        <w:rPr>
          <w:rFonts w:asciiTheme="minorHAnsi" w:hAnsiTheme="minorHAnsi" w:cs="Calibri"/>
          <w:color w:val="000000"/>
          <w:sz w:val="22"/>
          <w:szCs w:val="22"/>
        </w:rPr>
        <w:t>Lower Murray</w:t>
      </w:r>
      <w:r w:rsidRPr="00F375F4">
        <w:rPr>
          <w:rFonts w:asciiTheme="minorHAnsi" w:hAnsiTheme="minorHAnsi" w:cs="Calibri"/>
          <w:color w:val="000000"/>
          <w:sz w:val="22"/>
          <w:szCs w:val="22"/>
        </w:rPr>
        <w:t xml:space="preserve">. Mean velocity will be determined from the discharge data using existing information held by </w:t>
      </w:r>
      <w:r w:rsidR="00E41A3B">
        <w:rPr>
          <w:rFonts w:asciiTheme="minorHAnsi" w:hAnsiTheme="minorHAnsi" w:cs="Calibri"/>
          <w:color w:val="000000"/>
          <w:sz w:val="22"/>
          <w:szCs w:val="22"/>
        </w:rPr>
        <w:t>DEW</w:t>
      </w:r>
      <w:r w:rsidRPr="00F375F4">
        <w:rPr>
          <w:rFonts w:asciiTheme="minorHAnsi" w:hAnsiTheme="minorHAnsi" w:cs="Calibri"/>
          <w:color w:val="000000"/>
          <w:sz w:val="22"/>
          <w:szCs w:val="22"/>
        </w:rPr>
        <w:t>, supplemented with site measures of cross-sectional area and gauged water level measurements. Estimates of water depth will be calculated from discharge and cross-sectional area and used to convert volumetric rates of metabolism to areal rates for comparison across zones and Selected Areas.</w:t>
      </w:r>
    </w:p>
    <w:p w14:paraId="421D0E61" w14:textId="77777777" w:rsidR="00470FE8" w:rsidRDefault="00470FE8" w:rsidP="00992869">
      <w:pPr>
        <w:pStyle w:val="Default"/>
      </w:pPr>
    </w:p>
    <w:p w14:paraId="6FBD7661" w14:textId="77941CA6" w:rsidR="00470FE8" w:rsidRPr="00470FE8" w:rsidRDefault="001E03EE" w:rsidP="00992869">
      <w:pPr>
        <w:rPr>
          <w:rFonts w:cstheme="minorHAnsi"/>
        </w:rPr>
      </w:pPr>
      <w:r>
        <w:rPr>
          <w:rFonts w:eastAsiaTheme="minorHAnsi" w:cstheme="minorBidi"/>
          <w:color w:val="auto"/>
          <w:kern w:val="0"/>
          <w:szCs w:val="22"/>
        </w:rPr>
        <w:t>Data on water quality</w:t>
      </w:r>
      <w:r w:rsidRPr="00602B2C">
        <w:rPr>
          <w:rFonts w:eastAsiaTheme="minorHAnsi" w:cstheme="minorBidi"/>
          <w:color w:val="auto"/>
          <w:kern w:val="0"/>
          <w:szCs w:val="22"/>
        </w:rPr>
        <w:t xml:space="preserve"> may be complemented by monitoring </w:t>
      </w:r>
      <w:r w:rsidR="00470FE8" w:rsidRPr="00602B2C">
        <w:rPr>
          <w:rFonts w:eastAsiaTheme="minorHAnsi" w:cstheme="minorBidi"/>
          <w:color w:val="auto"/>
          <w:kern w:val="0"/>
          <w:szCs w:val="22"/>
        </w:rPr>
        <w:t>data</w:t>
      </w:r>
      <w:r w:rsidR="00470FE8" w:rsidRPr="009928F8">
        <w:rPr>
          <w:rFonts w:eastAsiaTheme="minorHAnsi" w:cstheme="minorBidi"/>
          <w:color w:val="auto"/>
          <w:kern w:val="0"/>
          <w:szCs w:val="22"/>
        </w:rPr>
        <w:t xml:space="preserve"> collected through other relevant programs </w:t>
      </w:r>
      <w:r w:rsidR="00470FE8">
        <w:rPr>
          <w:rFonts w:eastAsiaTheme="minorHAnsi" w:cstheme="minorBidi"/>
          <w:color w:val="auto"/>
          <w:kern w:val="0"/>
          <w:szCs w:val="22"/>
        </w:rPr>
        <w:t xml:space="preserve">such as </w:t>
      </w:r>
      <w:r w:rsidR="00470FE8" w:rsidRPr="00980032">
        <w:rPr>
          <w:rFonts w:ascii="Calibri" w:hAnsi="Calibri" w:cs="Arial"/>
          <w:szCs w:val="22"/>
        </w:rPr>
        <w:t>short-term monitoring instigated by CEWO and/or MDBA in response to planned watering actions or a potential water-quality event</w:t>
      </w:r>
      <w:r w:rsidR="00470FE8">
        <w:rPr>
          <w:rFonts w:ascii="Calibri" w:hAnsi="Calibri" w:cs="Arial"/>
          <w:szCs w:val="22"/>
        </w:rPr>
        <w:t>.</w:t>
      </w:r>
    </w:p>
    <w:p w14:paraId="128881DF" w14:textId="77777777" w:rsidR="00336C52" w:rsidRPr="00AB2269" w:rsidRDefault="00336C52" w:rsidP="00336C52">
      <w:pPr>
        <w:pStyle w:val="Heading2"/>
      </w:pPr>
      <w:bookmarkStart w:id="703" w:name="_Toc396825278"/>
      <w:bookmarkStart w:id="704" w:name="_Toc6403812"/>
      <w:bookmarkStart w:id="705" w:name="_Toc10095197"/>
      <w:bookmarkStart w:id="706" w:name="_Toc10192366"/>
      <w:bookmarkStart w:id="707" w:name="_Toc10206681"/>
      <w:bookmarkStart w:id="708" w:name="_Toc10213267"/>
      <w:bookmarkStart w:id="709" w:name="_Toc10732291"/>
      <w:bookmarkStart w:id="710" w:name="_Toc10796850"/>
      <w:bookmarkStart w:id="711" w:name="_Toc12022735"/>
      <w:bookmarkStart w:id="712" w:name="_Toc12630565"/>
      <w:bookmarkStart w:id="713" w:name="_Toc16154425"/>
      <w:bookmarkStart w:id="714" w:name="_Toc22196787"/>
      <w:r w:rsidRPr="00AB2269">
        <w:t>Establishing sites</w:t>
      </w:r>
      <w:bookmarkEnd w:id="703"/>
      <w:bookmarkEnd w:id="704"/>
      <w:bookmarkEnd w:id="705"/>
      <w:bookmarkEnd w:id="706"/>
      <w:bookmarkEnd w:id="707"/>
      <w:bookmarkEnd w:id="708"/>
      <w:bookmarkEnd w:id="709"/>
      <w:bookmarkEnd w:id="710"/>
      <w:bookmarkEnd w:id="711"/>
      <w:bookmarkEnd w:id="712"/>
      <w:bookmarkEnd w:id="713"/>
      <w:bookmarkEnd w:id="714"/>
      <w:r w:rsidRPr="00AB2269">
        <w:t xml:space="preserve"> </w:t>
      </w:r>
    </w:p>
    <w:p w14:paraId="19EAFF16" w14:textId="77777777" w:rsidR="00336C52" w:rsidRPr="00F375F4" w:rsidRDefault="00336C52" w:rsidP="00336C52">
      <w:pPr>
        <w:pStyle w:val="Heading3"/>
      </w:pPr>
      <w:bookmarkStart w:id="715" w:name="_Toc6403813"/>
      <w:bookmarkStart w:id="716" w:name="_Toc10095198"/>
      <w:bookmarkStart w:id="717" w:name="_Toc10192367"/>
      <w:bookmarkStart w:id="718" w:name="_Toc10206682"/>
      <w:bookmarkStart w:id="719" w:name="_Toc10213268"/>
      <w:bookmarkStart w:id="720" w:name="_Toc10732292"/>
      <w:bookmarkStart w:id="721" w:name="_Toc10796851"/>
      <w:bookmarkStart w:id="722" w:name="_Toc12022736"/>
      <w:bookmarkStart w:id="723" w:name="_Toc12630566"/>
      <w:bookmarkStart w:id="724" w:name="_Toc16154426"/>
      <w:bookmarkStart w:id="725" w:name="_Toc22196788"/>
      <w:r w:rsidRPr="00F375F4">
        <w:t>Overview</w:t>
      </w:r>
      <w:bookmarkEnd w:id="715"/>
      <w:bookmarkEnd w:id="716"/>
      <w:bookmarkEnd w:id="717"/>
      <w:bookmarkEnd w:id="718"/>
      <w:bookmarkEnd w:id="719"/>
      <w:bookmarkEnd w:id="720"/>
      <w:bookmarkEnd w:id="721"/>
      <w:bookmarkEnd w:id="722"/>
      <w:bookmarkEnd w:id="723"/>
      <w:bookmarkEnd w:id="724"/>
      <w:bookmarkEnd w:id="725"/>
      <w:r w:rsidRPr="00F375F4">
        <w:t xml:space="preserve"> </w:t>
      </w:r>
    </w:p>
    <w:p w14:paraId="6748B5DF" w14:textId="041AF720" w:rsidR="00336C52" w:rsidRDefault="00927F6A" w:rsidP="00336C52">
      <w:pPr>
        <w:pStyle w:val="CM19"/>
        <w:spacing w:line="271" w:lineRule="atLeast"/>
        <w:jc w:val="both"/>
        <w:rPr>
          <w:rFonts w:asciiTheme="minorHAnsi" w:hAnsiTheme="minorHAnsi" w:cs="Calibri"/>
          <w:color w:val="000000"/>
          <w:sz w:val="22"/>
          <w:szCs w:val="22"/>
        </w:rPr>
      </w:pPr>
      <w:r>
        <w:rPr>
          <w:rFonts w:asciiTheme="minorHAnsi" w:hAnsiTheme="minorHAnsi" w:cs="Calibri"/>
          <w:color w:val="000000"/>
          <w:sz w:val="22"/>
          <w:szCs w:val="22"/>
        </w:rPr>
        <w:t>MER</w:t>
      </w:r>
      <w:r w:rsidRPr="00F375F4">
        <w:rPr>
          <w:rFonts w:asciiTheme="minorHAnsi" w:hAnsiTheme="minorHAnsi" w:cs="Calibri"/>
          <w:color w:val="000000"/>
          <w:sz w:val="22"/>
          <w:szCs w:val="22"/>
        </w:rPr>
        <w:t xml:space="preserve"> </w:t>
      </w:r>
      <w:r w:rsidR="00336C52" w:rsidRPr="00F375F4">
        <w:rPr>
          <w:rFonts w:asciiTheme="minorHAnsi" w:hAnsiTheme="minorHAnsi" w:cs="Calibri"/>
          <w:color w:val="000000"/>
          <w:sz w:val="22"/>
          <w:szCs w:val="22"/>
        </w:rPr>
        <w:t>for Basin-scale evaluation has adopted a hierarchical approach to sample design (</w:t>
      </w:r>
      <w:r w:rsidR="00336C52">
        <w:rPr>
          <w:rFonts w:asciiTheme="minorHAnsi" w:hAnsiTheme="minorHAnsi" w:cs="Calibri"/>
          <w:color w:val="000000"/>
          <w:sz w:val="22"/>
          <w:szCs w:val="22"/>
        </w:rPr>
        <w:t>Hale</w:t>
      </w:r>
      <w:r w:rsidR="00336C52" w:rsidRPr="00F375F4">
        <w:rPr>
          <w:rFonts w:asciiTheme="minorHAnsi" w:hAnsiTheme="minorHAnsi" w:cs="Calibri"/>
          <w:color w:val="000000"/>
          <w:sz w:val="22"/>
          <w:szCs w:val="22"/>
        </w:rPr>
        <w:t xml:space="preserve"> </w:t>
      </w:r>
      <w:r w:rsidR="00336C52" w:rsidRPr="00590A4F">
        <w:rPr>
          <w:rFonts w:asciiTheme="minorHAnsi" w:hAnsiTheme="minorHAnsi" w:cs="Calibri"/>
          <w:i/>
          <w:color w:val="000000"/>
          <w:sz w:val="22"/>
          <w:szCs w:val="22"/>
        </w:rPr>
        <w:t>et al.</w:t>
      </w:r>
      <w:r w:rsidR="00336C52" w:rsidRPr="00F375F4">
        <w:rPr>
          <w:rFonts w:asciiTheme="minorHAnsi" w:hAnsiTheme="minorHAnsi" w:cs="Calibri"/>
          <w:color w:val="000000"/>
          <w:sz w:val="22"/>
          <w:szCs w:val="22"/>
        </w:rPr>
        <w:t xml:space="preserve"> 201</w:t>
      </w:r>
      <w:r w:rsidR="0008315C">
        <w:rPr>
          <w:rFonts w:asciiTheme="minorHAnsi" w:hAnsiTheme="minorHAnsi" w:cs="Calibri"/>
          <w:color w:val="000000"/>
          <w:sz w:val="22"/>
          <w:szCs w:val="22"/>
        </w:rPr>
        <w:t>4</w:t>
      </w:r>
      <w:r w:rsidR="00336C52" w:rsidRPr="00F375F4">
        <w:rPr>
          <w:rFonts w:asciiTheme="minorHAnsi" w:hAnsiTheme="minorHAnsi" w:cs="Calibri"/>
          <w:color w:val="000000"/>
          <w:sz w:val="22"/>
          <w:szCs w:val="22"/>
        </w:rPr>
        <w:t xml:space="preserve">). Briefly, the spatial hierarchy for </w:t>
      </w:r>
      <w:r w:rsidR="00E41A3B" w:rsidRPr="00E41A3B">
        <w:rPr>
          <w:rFonts w:asciiTheme="minorHAnsi" w:hAnsiTheme="minorHAnsi" w:cs="Calibri"/>
          <w:i/>
          <w:color w:val="000000"/>
          <w:sz w:val="22"/>
          <w:szCs w:val="22"/>
        </w:rPr>
        <w:t>Stream M</w:t>
      </w:r>
      <w:r w:rsidR="00336C52" w:rsidRPr="00E41A3B">
        <w:rPr>
          <w:rFonts w:asciiTheme="minorHAnsi" w:hAnsiTheme="minorHAnsi" w:cs="Calibri"/>
          <w:i/>
          <w:color w:val="000000"/>
          <w:sz w:val="22"/>
          <w:szCs w:val="22"/>
        </w:rPr>
        <w:t>etabolism</w:t>
      </w:r>
      <w:r w:rsidR="00E41A3B" w:rsidRPr="00E41A3B">
        <w:rPr>
          <w:rFonts w:asciiTheme="minorHAnsi" w:hAnsiTheme="minorHAnsi" w:cs="Calibri"/>
          <w:i/>
          <w:color w:val="000000"/>
          <w:sz w:val="22"/>
          <w:szCs w:val="22"/>
        </w:rPr>
        <w:t xml:space="preserve"> and Water Quality</w:t>
      </w:r>
      <w:r w:rsidR="00336C52" w:rsidRPr="00F375F4">
        <w:rPr>
          <w:rFonts w:asciiTheme="minorHAnsi" w:hAnsiTheme="minorHAnsi" w:cs="Calibri"/>
          <w:color w:val="000000"/>
          <w:sz w:val="22"/>
          <w:szCs w:val="22"/>
        </w:rPr>
        <w:t xml:space="preserve"> is as follows: </w:t>
      </w:r>
    </w:p>
    <w:p w14:paraId="6B7625C5" w14:textId="77777777" w:rsidR="00336C52" w:rsidRPr="00590A4F" w:rsidRDefault="00336C52" w:rsidP="00336C52">
      <w:pPr>
        <w:pStyle w:val="Default"/>
        <w:jc w:val="both"/>
        <w:rPr>
          <w:lang w:eastAsia="en-AU"/>
        </w:rPr>
      </w:pPr>
    </w:p>
    <w:p w14:paraId="2E93D6C7" w14:textId="342A7D7E" w:rsidR="00336C52" w:rsidRDefault="00336C52" w:rsidP="00C304CC">
      <w:pPr>
        <w:pStyle w:val="ListParagraph"/>
        <w:numPr>
          <w:ilvl w:val="0"/>
          <w:numId w:val="17"/>
        </w:numPr>
      </w:pPr>
      <w:r>
        <w:t>Selected Area (</w:t>
      </w:r>
      <w:r w:rsidR="00C304CC" w:rsidRPr="00C304CC">
        <w:t>Lower Murray</w:t>
      </w:r>
      <w:r>
        <w:t>)</w:t>
      </w:r>
    </w:p>
    <w:p w14:paraId="78A34C75" w14:textId="77777777" w:rsidR="00336C52" w:rsidRDefault="00336C52" w:rsidP="00336C52">
      <w:pPr>
        <w:pStyle w:val="ListParagraph"/>
        <w:numPr>
          <w:ilvl w:val="1"/>
          <w:numId w:val="17"/>
        </w:numPr>
      </w:pPr>
      <w:r>
        <w:t>Zone (</w:t>
      </w:r>
      <w:r w:rsidRPr="00841D07">
        <w:rPr>
          <w:i/>
        </w:rPr>
        <w:t>Gorge</w:t>
      </w:r>
      <w:r>
        <w:t>)</w:t>
      </w:r>
    </w:p>
    <w:p w14:paraId="2BB91F3D" w14:textId="77777777" w:rsidR="00336C52" w:rsidRDefault="00336C52" w:rsidP="00336C52">
      <w:pPr>
        <w:pStyle w:val="ListParagraph"/>
        <w:numPr>
          <w:ilvl w:val="2"/>
          <w:numId w:val="17"/>
        </w:numPr>
      </w:pPr>
      <w:r>
        <w:lastRenderedPageBreak/>
        <w:t xml:space="preserve">Site </w:t>
      </w:r>
    </w:p>
    <w:p w14:paraId="77F02F03" w14:textId="77777777" w:rsidR="00336C52" w:rsidRPr="00E47C51" w:rsidRDefault="00336C52" w:rsidP="00336C52">
      <w:pPr>
        <w:pStyle w:val="CM20"/>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A ‘zone’ is a subset of a Selected Area that represents a spatially, geomorphological and/or hydrological distinct unit at a broad landscape scale. For example, separate river systems, sub-catchments or large groups of wetlands. A site is the unit of assessment nested within a zone and in this instance will be a section of river.</w:t>
      </w:r>
    </w:p>
    <w:p w14:paraId="54488DB6" w14:textId="77777777" w:rsidR="00336C52" w:rsidRPr="00F375F4" w:rsidRDefault="00336C52" w:rsidP="00336C52">
      <w:pPr>
        <w:pStyle w:val="Heading3"/>
      </w:pPr>
      <w:bookmarkStart w:id="726" w:name="_Toc6403814"/>
      <w:bookmarkStart w:id="727" w:name="_Toc10095199"/>
      <w:bookmarkStart w:id="728" w:name="_Toc10192368"/>
      <w:bookmarkStart w:id="729" w:name="_Toc10206683"/>
      <w:bookmarkStart w:id="730" w:name="_Toc10213269"/>
      <w:bookmarkStart w:id="731" w:name="_Toc10732293"/>
      <w:bookmarkStart w:id="732" w:name="_Toc10796852"/>
      <w:bookmarkStart w:id="733" w:name="_Toc12022737"/>
      <w:bookmarkStart w:id="734" w:name="_Toc12630567"/>
      <w:bookmarkStart w:id="735" w:name="_Toc16154427"/>
      <w:bookmarkStart w:id="736" w:name="_Toc22196789"/>
      <w:r>
        <w:t>Sites</w:t>
      </w:r>
      <w:bookmarkEnd w:id="726"/>
      <w:bookmarkEnd w:id="727"/>
      <w:bookmarkEnd w:id="728"/>
      <w:bookmarkEnd w:id="729"/>
      <w:bookmarkEnd w:id="730"/>
      <w:bookmarkEnd w:id="731"/>
      <w:bookmarkEnd w:id="732"/>
      <w:bookmarkEnd w:id="733"/>
      <w:bookmarkEnd w:id="734"/>
      <w:bookmarkEnd w:id="735"/>
      <w:bookmarkEnd w:id="736"/>
    </w:p>
    <w:p w14:paraId="7E715043" w14:textId="726E93AA" w:rsidR="00336C52" w:rsidRDefault="00336C52" w:rsidP="00336C52">
      <w:pPr>
        <w:pStyle w:val="CM20"/>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 xml:space="preserve">In the </w:t>
      </w:r>
      <w:r w:rsidR="00C304CC" w:rsidRPr="00C304CC">
        <w:rPr>
          <w:rFonts w:asciiTheme="minorHAnsi" w:hAnsiTheme="minorHAnsi" w:cs="Calibri"/>
          <w:color w:val="000000"/>
          <w:sz w:val="22"/>
          <w:szCs w:val="22"/>
        </w:rPr>
        <w:t>Lower Murray</w:t>
      </w:r>
      <w:r w:rsidRPr="00F375F4">
        <w:rPr>
          <w:rFonts w:asciiTheme="minorHAnsi" w:hAnsiTheme="minorHAnsi" w:cs="Calibri"/>
          <w:color w:val="000000"/>
          <w:sz w:val="22"/>
          <w:szCs w:val="22"/>
        </w:rPr>
        <w:t>, t</w:t>
      </w:r>
      <w:r w:rsidR="000A3FBB">
        <w:rPr>
          <w:rFonts w:asciiTheme="minorHAnsi" w:hAnsiTheme="minorHAnsi" w:cs="Calibri"/>
          <w:color w:val="000000"/>
          <w:sz w:val="22"/>
          <w:szCs w:val="22"/>
        </w:rPr>
        <w:t>hree</w:t>
      </w:r>
      <w:r w:rsidRPr="00F375F4">
        <w:rPr>
          <w:rFonts w:asciiTheme="minorHAnsi" w:hAnsiTheme="minorHAnsi" w:cs="Calibri"/>
          <w:color w:val="000000"/>
          <w:sz w:val="22"/>
          <w:szCs w:val="22"/>
        </w:rPr>
        <w:t xml:space="preserve"> sites have been identified for measurements of stream metabolism</w:t>
      </w:r>
      <w:r w:rsidR="000A3FBB">
        <w:rPr>
          <w:rFonts w:asciiTheme="minorHAnsi" w:hAnsiTheme="minorHAnsi" w:cs="Calibri"/>
          <w:color w:val="000000"/>
          <w:sz w:val="22"/>
          <w:szCs w:val="22"/>
        </w:rPr>
        <w:t xml:space="preserve">, which are situated </w:t>
      </w:r>
      <w:r w:rsidRPr="00F375F4">
        <w:rPr>
          <w:rFonts w:asciiTheme="minorHAnsi" w:hAnsiTheme="minorHAnsi" w:cs="Calibri"/>
          <w:color w:val="000000"/>
          <w:sz w:val="22"/>
          <w:szCs w:val="22"/>
        </w:rPr>
        <w:t xml:space="preserve">downstream of Lock 6, </w:t>
      </w:r>
      <w:r w:rsidR="000A3FBB">
        <w:rPr>
          <w:rFonts w:asciiTheme="minorHAnsi" w:hAnsiTheme="minorHAnsi" w:cs="Calibri"/>
          <w:color w:val="000000"/>
          <w:sz w:val="22"/>
          <w:szCs w:val="22"/>
        </w:rPr>
        <w:t xml:space="preserve">downstream of Lock 4 and </w:t>
      </w:r>
      <w:r w:rsidRPr="00F375F4">
        <w:rPr>
          <w:rFonts w:asciiTheme="minorHAnsi" w:hAnsiTheme="minorHAnsi" w:cs="Calibri"/>
          <w:color w:val="000000"/>
          <w:sz w:val="22"/>
          <w:szCs w:val="22"/>
        </w:rPr>
        <w:t xml:space="preserve">downstream of Lock </w:t>
      </w:r>
      <w:r w:rsidR="001E03EE" w:rsidRPr="00F375F4">
        <w:rPr>
          <w:rFonts w:asciiTheme="minorHAnsi" w:hAnsiTheme="minorHAnsi" w:cs="Calibri"/>
          <w:color w:val="000000"/>
          <w:sz w:val="22"/>
          <w:szCs w:val="22"/>
        </w:rPr>
        <w:t xml:space="preserve">1. </w:t>
      </w:r>
      <w:r w:rsidR="00E12233">
        <w:rPr>
          <w:rFonts w:asciiTheme="minorHAnsi" w:hAnsiTheme="minorHAnsi" w:cs="Calibri"/>
          <w:color w:val="000000"/>
          <w:sz w:val="22"/>
          <w:szCs w:val="22"/>
        </w:rPr>
        <w:t>The sites downstream of Lock 6 and 1 are long-term LTIM sites that</w:t>
      </w:r>
      <w:r w:rsidRPr="00F375F4">
        <w:rPr>
          <w:rFonts w:asciiTheme="minorHAnsi" w:hAnsiTheme="minorHAnsi" w:cs="Calibri"/>
          <w:color w:val="000000"/>
          <w:sz w:val="22"/>
          <w:szCs w:val="22"/>
        </w:rPr>
        <w:t xml:space="preserve"> </w:t>
      </w:r>
      <w:r w:rsidR="00E12233">
        <w:rPr>
          <w:rFonts w:asciiTheme="minorHAnsi" w:hAnsiTheme="minorHAnsi" w:cs="Calibri"/>
          <w:color w:val="000000"/>
          <w:sz w:val="22"/>
          <w:szCs w:val="22"/>
        </w:rPr>
        <w:t>were</w:t>
      </w:r>
      <w:r w:rsidRPr="00F375F4">
        <w:rPr>
          <w:rFonts w:asciiTheme="minorHAnsi" w:hAnsiTheme="minorHAnsi" w:cs="Calibri"/>
          <w:color w:val="000000"/>
          <w:sz w:val="22"/>
          <w:szCs w:val="22"/>
        </w:rPr>
        <w:t xml:space="preserve"> selected to represent the two major geomorphological zones of the </w:t>
      </w:r>
      <w:r w:rsidR="00C304CC" w:rsidRPr="00C304CC">
        <w:rPr>
          <w:rFonts w:asciiTheme="minorHAnsi" w:hAnsiTheme="minorHAnsi" w:cs="Calibri"/>
          <w:color w:val="000000"/>
          <w:sz w:val="22"/>
          <w:szCs w:val="22"/>
        </w:rPr>
        <w:t>Lower Murray</w:t>
      </w:r>
      <w:r>
        <w:rPr>
          <w:rFonts w:asciiTheme="minorHAnsi" w:hAnsiTheme="minorHAnsi" w:cs="Calibri"/>
          <w:color w:val="000000"/>
          <w:sz w:val="22"/>
          <w:szCs w:val="22"/>
        </w:rPr>
        <w:t xml:space="preserve"> Selected Area</w:t>
      </w:r>
      <w:r w:rsidRPr="00F375F4">
        <w:rPr>
          <w:rFonts w:asciiTheme="minorHAnsi" w:hAnsiTheme="minorHAnsi" w:cs="Calibri"/>
          <w:color w:val="000000"/>
          <w:sz w:val="22"/>
          <w:szCs w:val="22"/>
        </w:rPr>
        <w:t xml:space="preserve">, the </w:t>
      </w:r>
      <w:r w:rsidRPr="00841D07">
        <w:rPr>
          <w:rFonts w:asciiTheme="minorHAnsi" w:hAnsiTheme="minorHAnsi" w:cs="Calibri"/>
          <w:i/>
          <w:color w:val="000000"/>
          <w:sz w:val="22"/>
          <w:szCs w:val="22"/>
        </w:rPr>
        <w:t>Floodplain</w:t>
      </w:r>
      <w:r w:rsidRPr="00F375F4">
        <w:rPr>
          <w:rFonts w:asciiTheme="minorHAnsi" w:hAnsiTheme="minorHAnsi" w:cs="Calibri"/>
          <w:color w:val="000000"/>
          <w:sz w:val="22"/>
          <w:szCs w:val="22"/>
        </w:rPr>
        <w:t xml:space="preserve"> zone and the </w:t>
      </w:r>
      <w:r w:rsidRPr="00841D07">
        <w:rPr>
          <w:rFonts w:asciiTheme="minorHAnsi" w:hAnsiTheme="minorHAnsi" w:cs="Calibri"/>
          <w:i/>
          <w:color w:val="000000"/>
          <w:sz w:val="22"/>
          <w:szCs w:val="22"/>
        </w:rPr>
        <w:t>Gorge</w:t>
      </w:r>
      <w:r w:rsidRPr="00F375F4">
        <w:rPr>
          <w:rFonts w:asciiTheme="minorHAnsi" w:hAnsiTheme="minorHAnsi" w:cs="Calibri"/>
          <w:color w:val="000000"/>
          <w:sz w:val="22"/>
          <w:szCs w:val="22"/>
        </w:rPr>
        <w:t xml:space="preserve"> zone. These two zones respond differently to increases in flow, as the </w:t>
      </w:r>
      <w:r w:rsidRPr="00841D07">
        <w:rPr>
          <w:rFonts w:asciiTheme="minorHAnsi" w:hAnsiTheme="minorHAnsi" w:cs="Calibri"/>
          <w:i/>
          <w:color w:val="000000"/>
          <w:sz w:val="22"/>
          <w:szCs w:val="22"/>
        </w:rPr>
        <w:t>Floodplain</w:t>
      </w:r>
      <w:r w:rsidRPr="00F375F4">
        <w:rPr>
          <w:rFonts w:asciiTheme="minorHAnsi" w:hAnsiTheme="minorHAnsi" w:cs="Calibri"/>
          <w:color w:val="000000"/>
          <w:sz w:val="22"/>
          <w:szCs w:val="22"/>
        </w:rPr>
        <w:t xml:space="preserve"> has an open floodplain while the </w:t>
      </w:r>
      <w:r w:rsidRPr="00841D07">
        <w:rPr>
          <w:rFonts w:asciiTheme="minorHAnsi" w:hAnsiTheme="minorHAnsi" w:cs="Calibri"/>
          <w:i/>
          <w:color w:val="000000"/>
          <w:sz w:val="22"/>
          <w:szCs w:val="22"/>
        </w:rPr>
        <w:t>Gorge</w:t>
      </w:r>
      <w:r w:rsidRPr="00F375F4">
        <w:rPr>
          <w:rFonts w:asciiTheme="minorHAnsi" w:hAnsiTheme="minorHAnsi" w:cs="Calibri"/>
          <w:color w:val="000000"/>
          <w:sz w:val="22"/>
          <w:szCs w:val="22"/>
        </w:rPr>
        <w:t xml:space="preserve"> has a constrained floodplain. Because of these differences, hydrological characteristics such as connectivity differ markedly between them. </w:t>
      </w:r>
      <w:r w:rsidR="00E12233">
        <w:rPr>
          <w:rFonts w:asciiTheme="minorHAnsi" w:hAnsiTheme="minorHAnsi" w:cs="Calibri"/>
          <w:color w:val="000000"/>
          <w:sz w:val="22"/>
          <w:szCs w:val="22"/>
        </w:rPr>
        <w:t xml:space="preserve">The additional site (downstream of Lock 4) for the MER Project is hydrologically distinct from the other two long-term sites, and situated between the two in the </w:t>
      </w:r>
      <w:r w:rsidR="00E12233" w:rsidRPr="00E12233">
        <w:rPr>
          <w:rFonts w:asciiTheme="minorHAnsi" w:hAnsiTheme="minorHAnsi" w:cs="Calibri"/>
          <w:i/>
          <w:color w:val="000000"/>
          <w:sz w:val="22"/>
          <w:szCs w:val="22"/>
        </w:rPr>
        <w:t xml:space="preserve">Floodplain </w:t>
      </w:r>
      <w:r w:rsidR="00E12233">
        <w:rPr>
          <w:rFonts w:asciiTheme="minorHAnsi" w:hAnsiTheme="minorHAnsi" w:cs="Calibri"/>
          <w:color w:val="000000"/>
          <w:sz w:val="22"/>
          <w:szCs w:val="22"/>
        </w:rPr>
        <w:t>zone.</w:t>
      </w:r>
      <w:r w:rsidRPr="00F375F4">
        <w:rPr>
          <w:rFonts w:asciiTheme="minorHAnsi" w:hAnsiTheme="minorHAnsi" w:cs="Calibri"/>
          <w:color w:val="000000"/>
          <w:sz w:val="22"/>
          <w:szCs w:val="22"/>
        </w:rPr>
        <w:t xml:space="preserve"> </w:t>
      </w:r>
      <w:r w:rsidR="00E12233" w:rsidRPr="00F375F4">
        <w:rPr>
          <w:rFonts w:asciiTheme="minorHAnsi" w:hAnsiTheme="minorHAnsi" w:cs="Calibri"/>
          <w:color w:val="000000"/>
          <w:sz w:val="22"/>
          <w:szCs w:val="22"/>
        </w:rPr>
        <w:t>Th</w:t>
      </w:r>
      <w:r w:rsidR="00DF48E2">
        <w:rPr>
          <w:rFonts w:asciiTheme="minorHAnsi" w:hAnsiTheme="minorHAnsi" w:cs="Calibri"/>
          <w:color w:val="000000"/>
          <w:sz w:val="22"/>
          <w:szCs w:val="22"/>
        </w:rPr>
        <w:t>is</w:t>
      </w:r>
      <w:r w:rsidR="00E12233" w:rsidRPr="00F375F4">
        <w:rPr>
          <w:rFonts w:asciiTheme="minorHAnsi" w:hAnsiTheme="minorHAnsi" w:cs="Calibri"/>
          <w:color w:val="000000"/>
          <w:sz w:val="22"/>
          <w:szCs w:val="22"/>
        </w:rPr>
        <w:t xml:space="preserve"> </w:t>
      </w:r>
      <w:r w:rsidR="00DF48E2">
        <w:rPr>
          <w:rFonts w:asciiTheme="minorHAnsi" w:hAnsiTheme="minorHAnsi" w:cs="Calibri"/>
          <w:color w:val="000000"/>
          <w:sz w:val="22"/>
          <w:szCs w:val="22"/>
        </w:rPr>
        <w:t>site</w:t>
      </w:r>
      <w:r w:rsidR="00E12233" w:rsidRPr="00F375F4">
        <w:rPr>
          <w:rFonts w:asciiTheme="minorHAnsi" w:hAnsiTheme="minorHAnsi" w:cs="Calibri"/>
          <w:color w:val="000000"/>
          <w:sz w:val="22"/>
          <w:szCs w:val="22"/>
        </w:rPr>
        <w:t xml:space="preserve"> ha</w:t>
      </w:r>
      <w:r w:rsidR="00DF48E2">
        <w:rPr>
          <w:rFonts w:asciiTheme="minorHAnsi" w:hAnsiTheme="minorHAnsi" w:cs="Calibri"/>
          <w:color w:val="000000"/>
          <w:sz w:val="22"/>
          <w:szCs w:val="22"/>
        </w:rPr>
        <w:t>s</w:t>
      </w:r>
      <w:r w:rsidR="00E12233" w:rsidRPr="00F375F4">
        <w:rPr>
          <w:rFonts w:asciiTheme="minorHAnsi" w:hAnsiTheme="minorHAnsi" w:cs="Calibri"/>
          <w:color w:val="000000"/>
          <w:sz w:val="22"/>
          <w:szCs w:val="22"/>
        </w:rPr>
        <w:t xml:space="preserve"> been identified as important for </w:t>
      </w:r>
      <w:r w:rsidR="00DF48E2">
        <w:rPr>
          <w:rFonts w:asciiTheme="minorHAnsi" w:hAnsiTheme="minorHAnsi" w:cs="Calibri"/>
          <w:color w:val="000000"/>
          <w:sz w:val="22"/>
          <w:szCs w:val="22"/>
        </w:rPr>
        <w:t>Murray cod</w:t>
      </w:r>
      <w:r w:rsidR="00067E39">
        <w:rPr>
          <w:rFonts w:asciiTheme="minorHAnsi" w:hAnsiTheme="minorHAnsi" w:cs="Calibri"/>
          <w:color w:val="000000"/>
          <w:sz w:val="22"/>
          <w:szCs w:val="22"/>
        </w:rPr>
        <w:t xml:space="preserve"> recruit</w:t>
      </w:r>
      <w:r w:rsidR="007140D0">
        <w:rPr>
          <w:rFonts w:asciiTheme="minorHAnsi" w:hAnsiTheme="minorHAnsi" w:cs="Calibri"/>
          <w:color w:val="000000"/>
          <w:sz w:val="22"/>
          <w:szCs w:val="22"/>
        </w:rPr>
        <w:t>ment</w:t>
      </w:r>
      <w:r w:rsidR="00067E39">
        <w:rPr>
          <w:rFonts w:asciiTheme="minorHAnsi" w:hAnsiTheme="minorHAnsi" w:cs="Calibri"/>
          <w:color w:val="000000"/>
          <w:sz w:val="22"/>
          <w:szCs w:val="22"/>
        </w:rPr>
        <w:t xml:space="preserve"> and will complement th</w:t>
      </w:r>
      <w:r w:rsidR="002B749A">
        <w:rPr>
          <w:rFonts w:asciiTheme="minorHAnsi" w:hAnsiTheme="minorHAnsi" w:cs="Calibri"/>
          <w:color w:val="000000"/>
          <w:sz w:val="22"/>
          <w:szCs w:val="22"/>
        </w:rPr>
        <w:t xml:space="preserve">e research project (See Section </w:t>
      </w:r>
      <w:r w:rsidR="002B749A">
        <w:rPr>
          <w:rFonts w:asciiTheme="minorHAnsi" w:hAnsiTheme="minorHAnsi" w:cs="Calibri"/>
          <w:color w:val="000000"/>
          <w:sz w:val="22"/>
          <w:szCs w:val="22"/>
        </w:rPr>
        <w:fldChar w:fldCharType="begin"/>
      </w:r>
      <w:r w:rsidR="002B749A">
        <w:rPr>
          <w:rFonts w:asciiTheme="minorHAnsi" w:hAnsiTheme="minorHAnsi" w:cs="Calibri"/>
          <w:color w:val="000000"/>
          <w:sz w:val="22"/>
          <w:szCs w:val="22"/>
        </w:rPr>
        <w:instrText xml:space="preserve"> REF _Ref12000383 \r \h </w:instrText>
      </w:r>
      <w:r w:rsidR="002B749A">
        <w:rPr>
          <w:rFonts w:asciiTheme="minorHAnsi" w:hAnsiTheme="minorHAnsi" w:cs="Calibri"/>
          <w:color w:val="000000"/>
          <w:sz w:val="22"/>
          <w:szCs w:val="22"/>
        </w:rPr>
      </w:r>
      <w:r w:rsidR="002B749A">
        <w:rPr>
          <w:rFonts w:asciiTheme="minorHAnsi" w:hAnsiTheme="minorHAnsi" w:cs="Calibri"/>
          <w:color w:val="000000"/>
          <w:sz w:val="22"/>
          <w:szCs w:val="22"/>
        </w:rPr>
        <w:fldChar w:fldCharType="separate"/>
      </w:r>
      <w:r w:rsidR="00DF49CD">
        <w:rPr>
          <w:rFonts w:asciiTheme="minorHAnsi" w:hAnsiTheme="minorHAnsi" w:cs="Calibri"/>
          <w:color w:val="000000"/>
          <w:sz w:val="22"/>
          <w:szCs w:val="22"/>
        </w:rPr>
        <w:t>6</w:t>
      </w:r>
      <w:r w:rsidR="002B749A">
        <w:rPr>
          <w:rFonts w:asciiTheme="minorHAnsi" w:hAnsiTheme="minorHAnsi" w:cs="Calibri"/>
          <w:color w:val="000000"/>
          <w:sz w:val="22"/>
          <w:szCs w:val="22"/>
        </w:rPr>
        <w:fldChar w:fldCharType="end"/>
      </w:r>
      <w:r w:rsidR="002B749A">
        <w:rPr>
          <w:rFonts w:asciiTheme="minorHAnsi" w:hAnsiTheme="minorHAnsi" w:cs="Calibri"/>
          <w:color w:val="000000"/>
          <w:sz w:val="22"/>
          <w:szCs w:val="22"/>
        </w:rPr>
        <w:t xml:space="preserve"> </w:t>
      </w:r>
      <w:r w:rsidR="00067E39">
        <w:rPr>
          <w:rFonts w:asciiTheme="minorHAnsi" w:hAnsiTheme="minorHAnsi" w:cs="Calibri"/>
          <w:color w:val="000000"/>
          <w:sz w:val="22"/>
          <w:szCs w:val="22"/>
        </w:rPr>
        <w:t>of the MER Plan)</w:t>
      </w:r>
      <w:r w:rsidR="00E12233">
        <w:rPr>
          <w:rFonts w:asciiTheme="minorHAnsi" w:hAnsiTheme="minorHAnsi" w:cs="Calibri"/>
          <w:color w:val="000000"/>
          <w:sz w:val="22"/>
          <w:szCs w:val="22"/>
        </w:rPr>
        <w:t>.</w:t>
      </w:r>
    </w:p>
    <w:p w14:paraId="5C210FAD" w14:textId="77777777" w:rsidR="00336C52" w:rsidRPr="00E47C51" w:rsidRDefault="00336C52" w:rsidP="00336C52">
      <w:pPr>
        <w:pStyle w:val="Default"/>
        <w:jc w:val="both"/>
        <w:rPr>
          <w:lang w:eastAsia="en-AU"/>
        </w:rPr>
      </w:pPr>
    </w:p>
    <w:p w14:paraId="7B634B11" w14:textId="79135322" w:rsidR="00336C52" w:rsidRPr="005F6006" w:rsidRDefault="00336C52" w:rsidP="00336C52">
      <w:pPr>
        <w:pStyle w:val="CM19"/>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Between September and February of each year a single water quality (WQ) station will be deployed within the water column at each of the t</w:t>
      </w:r>
      <w:r w:rsidR="00E12233">
        <w:rPr>
          <w:rFonts w:asciiTheme="minorHAnsi" w:hAnsiTheme="minorHAnsi" w:cs="Calibri"/>
          <w:color w:val="000000"/>
          <w:sz w:val="22"/>
          <w:szCs w:val="22"/>
        </w:rPr>
        <w:t>hree</w:t>
      </w:r>
      <w:r w:rsidRPr="00F375F4">
        <w:rPr>
          <w:rFonts w:asciiTheme="minorHAnsi" w:hAnsiTheme="minorHAnsi" w:cs="Calibri"/>
          <w:color w:val="000000"/>
          <w:sz w:val="22"/>
          <w:szCs w:val="22"/>
        </w:rPr>
        <w:t xml:space="preserve"> sites</w:t>
      </w:r>
      <w:r>
        <w:rPr>
          <w:rFonts w:asciiTheme="minorHAnsi" w:hAnsiTheme="minorHAnsi" w:cs="Calibri"/>
          <w:color w:val="000000"/>
          <w:sz w:val="22"/>
          <w:szCs w:val="22"/>
        </w:rPr>
        <w:t>, downstream of Lock 6</w:t>
      </w:r>
      <w:r w:rsidR="00E12233">
        <w:rPr>
          <w:rFonts w:asciiTheme="minorHAnsi" w:hAnsiTheme="minorHAnsi" w:cs="Calibri"/>
          <w:color w:val="000000"/>
          <w:sz w:val="22"/>
          <w:szCs w:val="22"/>
        </w:rPr>
        <w:t>, Lock 4</w:t>
      </w:r>
      <w:r>
        <w:rPr>
          <w:rFonts w:asciiTheme="minorHAnsi" w:hAnsiTheme="minorHAnsi" w:cs="Calibri"/>
          <w:color w:val="000000"/>
          <w:sz w:val="22"/>
          <w:szCs w:val="22"/>
        </w:rPr>
        <w:t xml:space="preserve"> and  Lock 1,</w:t>
      </w:r>
      <w:r w:rsidRPr="00F375F4">
        <w:rPr>
          <w:rFonts w:asciiTheme="minorHAnsi" w:hAnsiTheme="minorHAnsi" w:cs="Calibri"/>
          <w:color w:val="000000"/>
          <w:sz w:val="22"/>
          <w:szCs w:val="22"/>
        </w:rPr>
        <w:t xml:space="preserve"> continuously recording dissolved oxygen and temperature at </w:t>
      </w:r>
      <w:r>
        <w:rPr>
          <w:rFonts w:asciiTheme="minorHAnsi" w:hAnsiTheme="minorHAnsi" w:cs="Calibri"/>
          <w:color w:val="000000"/>
          <w:sz w:val="22"/>
          <w:szCs w:val="22"/>
        </w:rPr>
        <w:t>ten</w:t>
      </w:r>
      <w:r w:rsidRPr="00F375F4">
        <w:rPr>
          <w:rFonts w:asciiTheme="minorHAnsi" w:hAnsiTheme="minorHAnsi" w:cs="Calibri"/>
          <w:color w:val="000000"/>
          <w:sz w:val="22"/>
          <w:szCs w:val="22"/>
        </w:rPr>
        <w:t xml:space="preserve"> minute intervals. The stations for stream metabolism measurements will be located within each site as follows: </w:t>
      </w:r>
    </w:p>
    <w:p w14:paraId="2B43C89B" w14:textId="1BB89147" w:rsidR="00336C52" w:rsidRDefault="00336C52" w:rsidP="00C77254">
      <w:pPr>
        <w:pStyle w:val="Default"/>
        <w:widowControl w:val="0"/>
        <w:numPr>
          <w:ilvl w:val="0"/>
          <w:numId w:val="31"/>
        </w:numPr>
        <w:spacing w:before="120" w:after="12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Open water, with sufficient depth that the sensors will not be </w:t>
      </w:r>
      <w:r w:rsidR="001A1C85">
        <w:rPr>
          <w:rFonts w:asciiTheme="minorHAnsi" w:hAnsiTheme="minorHAnsi" w:cs="Calibri"/>
          <w:sz w:val="22"/>
          <w:szCs w:val="22"/>
        </w:rPr>
        <w:t xml:space="preserve">exposed to air or touch </w:t>
      </w:r>
      <w:r>
        <w:rPr>
          <w:rFonts w:asciiTheme="minorHAnsi" w:hAnsiTheme="minorHAnsi" w:cs="Calibri"/>
          <w:sz w:val="22"/>
          <w:szCs w:val="22"/>
        </w:rPr>
        <w:t>the sediment</w:t>
      </w:r>
    </w:p>
    <w:p w14:paraId="6273BED8" w14:textId="77777777" w:rsidR="00336C52" w:rsidRPr="00F375F4" w:rsidRDefault="00336C52" w:rsidP="00C77254">
      <w:pPr>
        <w:pStyle w:val="Default"/>
        <w:widowControl w:val="0"/>
        <w:numPr>
          <w:ilvl w:val="0"/>
          <w:numId w:val="31"/>
        </w:numPr>
        <w:spacing w:before="120" w:after="12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Well mixed (non-stratified) water column to ensure </w:t>
      </w:r>
      <w:r>
        <w:rPr>
          <w:rFonts w:asciiTheme="minorHAnsi" w:hAnsiTheme="minorHAnsi" w:cs="Calibri"/>
          <w:sz w:val="22"/>
          <w:szCs w:val="22"/>
        </w:rPr>
        <w:t>measurements are representative of each site</w:t>
      </w:r>
    </w:p>
    <w:p w14:paraId="0D6D4AD3" w14:textId="77777777" w:rsidR="00336C52" w:rsidRPr="00F375F4" w:rsidRDefault="00336C52" w:rsidP="00C77254">
      <w:pPr>
        <w:pStyle w:val="Default"/>
        <w:widowControl w:val="0"/>
        <w:numPr>
          <w:ilvl w:val="0"/>
          <w:numId w:val="31"/>
        </w:numPr>
        <w:spacing w:before="120" w:after="120"/>
        <w:ind w:left="765" w:hanging="357"/>
        <w:contextualSpacing/>
        <w:jc w:val="both"/>
        <w:rPr>
          <w:rFonts w:asciiTheme="minorHAnsi" w:hAnsiTheme="minorHAnsi" w:cs="Calibri"/>
          <w:sz w:val="22"/>
          <w:szCs w:val="22"/>
        </w:rPr>
      </w:pPr>
      <w:r>
        <w:rPr>
          <w:rFonts w:asciiTheme="minorHAnsi" w:hAnsiTheme="minorHAnsi" w:cs="Calibri"/>
          <w:sz w:val="22"/>
          <w:szCs w:val="22"/>
        </w:rPr>
        <w:t>Constantly flowing reach</w:t>
      </w:r>
    </w:p>
    <w:p w14:paraId="34DC38C6" w14:textId="77777777" w:rsidR="00336C52" w:rsidRPr="00F375F4" w:rsidRDefault="00336C52" w:rsidP="00C77254">
      <w:pPr>
        <w:pStyle w:val="Default"/>
        <w:widowControl w:val="0"/>
        <w:numPr>
          <w:ilvl w:val="0"/>
          <w:numId w:val="31"/>
        </w:numPr>
        <w:spacing w:before="120" w:after="12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No interference from tributaries, drains or </w:t>
      </w:r>
      <w:r>
        <w:rPr>
          <w:rFonts w:asciiTheme="minorHAnsi" w:hAnsiTheme="minorHAnsi" w:cs="Calibri"/>
          <w:sz w:val="22"/>
          <w:szCs w:val="22"/>
        </w:rPr>
        <w:t>significant groundwater inflows</w:t>
      </w:r>
    </w:p>
    <w:p w14:paraId="7F7ADFA3" w14:textId="77777777" w:rsidR="00336C52" w:rsidRPr="00F375F4" w:rsidRDefault="00336C52" w:rsidP="00C77254">
      <w:pPr>
        <w:pStyle w:val="Default"/>
        <w:widowControl w:val="0"/>
        <w:numPr>
          <w:ilvl w:val="0"/>
          <w:numId w:val="31"/>
        </w:numPr>
        <w:spacing w:before="120" w:after="120"/>
        <w:ind w:left="765" w:hanging="357"/>
        <w:contextualSpacing/>
        <w:jc w:val="both"/>
        <w:rPr>
          <w:rFonts w:asciiTheme="minorHAnsi" w:hAnsiTheme="minorHAnsi" w:cs="Calibri"/>
          <w:sz w:val="22"/>
          <w:szCs w:val="22"/>
        </w:rPr>
      </w:pPr>
      <w:r>
        <w:rPr>
          <w:rFonts w:asciiTheme="minorHAnsi" w:hAnsiTheme="minorHAnsi" w:cs="Calibri"/>
          <w:sz w:val="22"/>
          <w:szCs w:val="22"/>
        </w:rPr>
        <w:t>Safe to access</w:t>
      </w:r>
    </w:p>
    <w:p w14:paraId="27E27D02" w14:textId="77777777" w:rsidR="00336C52" w:rsidRPr="00F375F4" w:rsidRDefault="00336C52" w:rsidP="00C77254">
      <w:pPr>
        <w:pStyle w:val="Default"/>
        <w:widowControl w:val="0"/>
        <w:numPr>
          <w:ilvl w:val="0"/>
          <w:numId w:val="31"/>
        </w:numPr>
        <w:spacing w:before="120" w:after="12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Protected from vandalism to the extent po</w:t>
      </w:r>
      <w:r>
        <w:rPr>
          <w:rFonts w:asciiTheme="minorHAnsi" w:hAnsiTheme="minorHAnsi" w:cs="Calibri"/>
          <w:sz w:val="22"/>
          <w:szCs w:val="22"/>
        </w:rPr>
        <w:t>ssible</w:t>
      </w:r>
    </w:p>
    <w:p w14:paraId="36E274E4" w14:textId="77777777" w:rsidR="00336C52" w:rsidRPr="00F375F4" w:rsidRDefault="00336C52" w:rsidP="00C77254">
      <w:pPr>
        <w:pStyle w:val="Default"/>
        <w:widowControl w:val="0"/>
        <w:numPr>
          <w:ilvl w:val="0"/>
          <w:numId w:val="31"/>
        </w:numPr>
        <w:spacing w:before="120" w:after="12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Probes not</w:t>
      </w:r>
      <w:r>
        <w:rPr>
          <w:rFonts w:asciiTheme="minorHAnsi" w:hAnsiTheme="minorHAnsi" w:cs="Calibri"/>
          <w:sz w:val="22"/>
          <w:szCs w:val="22"/>
        </w:rPr>
        <w:t xml:space="preserve"> located within macrophyte beds.</w:t>
      </w:r>
    </w:p>
    <w:p w14:paraId="28AB2D64" w14:textId="77777777" w:rsidR="00336C52" w:rsidRPr="00F375F4" w:rsidRDefault="00336C52" w:rsidP="00336C52">
      <w:pPr>
        <w:pStyle w:val="Default"/>
        <w:jc w:val="both"/>
        <w:rPr>
          <w:rFonts w:asciiTheme="minorHAnsi" w:hAnsiTheme="minorHAnsi" w:cs="Calibri"/>
          <w:sz w:val="22"/>
          <w:szCs w:val="22"/>
        </w:rPr>
      </w:pPr>
    </w:p>
    <w:p w14:paraId="49F911A5" w14:textId="5E1A65F9" w:rsidR="00336C52" w:rsidRPr="00F375F4" w:rsidRDefault="001A1C85" w:rsidP="00336C52">
      <w:pPr>
        <w:pStyle w:val="CM19"/>
        <w:spacing w:line="268"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Measure</w:t>
      </w:r>
      <w:r>
        <w:rPr>
          <w:rFonts w:asciiTheme="minorHAnsi" w:hAnsiTheme="minorHAnsi" w:cs="Calibri"/>
          <w:color w:val="000000"/>
          <w:sz w:val="22"/>
          <w:szCs w:val="22"/>
        </w:rPr>
        <w:t>ment</w:t>
      </w:r>
      <w:r w:rsidRPr="00F375F4">
        <w:rPr>
          <w:rFonts w:asciiTheme="minorHAnsi" w:hAnsiTheme="minorHAnsi" w:cs="Calibri"/>
          <w:color w:val="000000"/>
          <w:sz w:val="22"/>
          <w:szCs w:val="22"/>
        </w:rPr>
        <w:t>s of light (PAR) and barometric pressure will be collected from nearby terrestrial location</w:t>
      </w:r>
      <w:r>
        <w:rPr>
          <w:rFonts w:asciiTheme="minorHAnsi" w:hAnsiTheme="minorHAnsi" w:cs="Calibri"/>
          <w:color w:val="000000"/>
          <w:sz w:val="22"/>
          <w:szCs w:val="22"/>
        </w:rPr>
        <w:t>s</w:t>
      </w:r>
      <w:r w:rsidRPr="00F375F4">
        <w:rPr>
          <w:rFonts w:asciiTheme="minorHAnsi" w:hAnsiTheme="minorHAnsi" w:cs="Calibri"/>
          <w:color w:val="000000"/>
          <w:sz w:val="22"/>
          <w:szCs w:val="22"/>
        </w:rPr>
        <w:t xml:space="preserve">. </w:t>
      </w:r>
      <w:r>
        <w:rPr>
          <w:rFonts w:asciiTheme="minorHAnsi" w:hAnsiTheme="minorHAnsi" w:cs="Calibri"/>
          <w:color w:val="000000"/>
          <w:sz w:val="22"/>
          <w:szCs w:val="22"/>
        </w:rPr>
        <w:t>Light</w:t>
      </w:r>
      <w:r w:rsidRPr="00F375F4">
        <w:rPr>
          <w:rFonts w:asciiTheme="minorHAnsi" w:hAnsiTheme="minorHAnsi" w:cs="Calibri"/>
          <w:color w:val="000000"/>
          <w:sz w:val="22"/>
          <w:szCs w:val="22"/>
        </w:rPr>
        <w:t xml:space="preserve"> sensors will be located in an open area, not impacted by tree canopy or shading </w:t>
      </w:r>
      <w:r>
        <w:rPr>
          <w:rFonts w:asciiTheme="minorHAnsi" w:hAnsiTheme="minorHAnsi" w:cs="Calibri"/>
          <w:color w:val="000000"/>
          <w:sz w:val="22"/>
          <w:szCs w:val="22"/>
        </w:rPr>
        <w:t>near to</w:t>
      </w:r>
      <w:r w:rsidRPr="00F375F4">
        <w:rPr>
          <w:rFonts w:asciiTheme="minorHAnsi" w:hAnsiTheme="minorHAnsi" w:cs="Calibri"/>
          <w:color w:val="000000"/>
          <w:sz w:val="22"/>
          <w:szCs w:val="22"/>
        </w:rPr>
        <w:t xml:space="preserve"> </w:t>
      </w:r>
      <w:r>
        <w:rPr>
          <w:rFonts w:asciiTheme="minorHAnsi" w:hAnsiTheme="minorHAnsi" w:cs="Calibri"/>
          <w:color w:val="000000"/>
          <w:sz w:val="22"/>
          <w:szCs w:val="22"/>
        </w:rPr>
        <w:t xml:space="preserve">each of </w:t>
      </w:r>
      <w:r w:rsidRPr="00F375F4">
        <w:rPr>
          <w:rFonts w:asciiTheme="minorHAnsi" w:hAnsiTheme="minorHAnsi" w:cs="Calibri"/>
          <w:color w:val="000000"/>
          <w:sz w:val="22"/>
          <w:szCs w:val="22"/>
        </w:rPr>
        <w:t>the t</w:t>
      </w:r>
      <w:r w:rsidR="00C754FD">
        <w:rPr>
          <w:rFonts w:asciiTheme="minorHAnsi" w:hAnsiTheme="minorHAnsi" w:cs="Calibri"/>
          <w:color w:val="000000"/>
          <w:sz w:val="22"/>
          <w:szCs w:val="22"/>
        </w:rPr>
        <w:t>hree</w:t>
      </w:r>
      <w:r w:rsidRPr="00F375F4">
        <w:rPr>
          <w:rFonts w:asciiTheme="minorHAnsi" w:hAnsiTheme="minorHAnsi" w:cs="Calibri"/>
          <w:color w:val="000000"/>
          <w:sz w:val="22"/>
          <w:szCs w:val="22"/>
        </w:rPr>
        <w:t xml:space="preserve"> sites for </w:t>
      </w:r>
      <w:r>
        <w:rPr>
          <w:rFonts w:asciiTheme="minorHAnsi" w:hAnsiTheme="minorHAnsi" w:cs="Calibri"/>
          <w:color w:val="000000"/>
          <w:sz w:val="22"/>
          <w:szCs w:val="22"/>
        </w:rPr>
        <w:t xml:space="preserve">careful matching with </w:t>
      </w:r>
      <w:r w:rsidRPr="00F375F4">
        <w:rPr>
          <w:rFonts w:asciiTheme="minorHAnsi" w:hAnsiTheme="minorHAnsi" w:cs="Calibri"/>
          <w:color w:val="000000"/>
          <w:sz w:val="22"/>
          <w:szCs w:val="22"/>
        </w:rPr>
        <w:t>river metabolism measurements</w:t>
      </w:r>
      <w:r>
        <w:rPr>
          <w:rFonts w:asciiTheme="minorHAnsi" w:hAnsiTheme="minorHAnsi" w:cs="Calibri"/>
          <w:color w:val="000000"/>
          <w:sz w:val="22"/>
          <w:szCs w:val="22"/>
        </w:rPr>
        <w:t>. A single barometric probe will be deployed at one of these stations</w:t>
      </w:r>
      <w:r w:rsidRPr="00F375F4">
        <w:rPr>
          <w:rFonts w:asciiTheme="minorHAnsi" w:hAnsiTheme="minorHAnsi" w:cs="Calibri"/>
          <w:color w:val="000000"/>
          <w:sz w:val="22"/>
          <w:szCs w:val="22"/>
        </w:rPr>
        <w:t xml:space="preserve"> as no significant differences in ambient conditions are expected across the region</w:t>
      </w:r>
      <w:r>
        <w:rPr>
          <w:rFonts w:asciiTheme="minorHAnsi" w:hAnsiTheme="minorHAnsi" w:cs="Calibri"/>
          <w:color w:val="000000"/>
          <w:sz w:val="22"/>
          <w:szCs w:val="22"/>
        </w:rPr>
        <w:t>,</w:t>
      </w:r>
      <w:r w:rsidRPr="009343ED">
        <w:rPr>
          <w:rFonts w:asciiTheme="minorHAnsi" w:hAnsiTheme="minorHAnsi" w:cs="Calibri"/>
          <w:color w:val="000000"/>
          <w:sz w:val="22"/>
          <w:szCs w:val="22"/>
        </w:rPr>
        <w:t xml:space="preserve"> </w:t>
      </w:r>
      <w:r>
        <w:rPr>
          <w:rFonts w:asciiTheme="minorHAnsi" w:hAnsiTheme="minorHAnsi" w:cs="Calibri"/>
          <w:color w:val="000000"/>
          <w:sz w:val="22"/>
          <w:szCs w:val="22"/>
        </w:rPr>
        <w:t>or alternatively data from a nearby BOM station will be used</w:t>
      </w:r>
      <w:r w:rsidRPr="00F375F4">
        <w:rPr>
          <w:rFonts w:asciiTheme="minorHAnsi" w:hAnsiTheme="minorHAnsi" w:cs="Calibri"/>
          <w:color w:val="000000"/>
          <w:sz w:val="22"/>
          <w:szCs w:val="22"/>
        </w:rPr>
        <w:t>.</w:t>
      </w:r>
    </w:p>
    <w:p w14:paraId="7326C93F" w14:textId="77777777" w:rsidR="00336C52" w:rsidRPr="00F375F4" w:rsidRDefault="00336C52" w:rsidP="00336C52">
      <w:pPr>
        <w:pStyle w:val="Heading3"/>
      </w:pPr>
      <w:bookmarkStart w:id="737" w:name="_Ref396478313"/>
      <w:bookmarkStart w:id="738" w:name="_Toc6403815"/>
      <w:bookmarkStart w:id="739" w:name="_Toc10095200"/>
      <w:bookmarkStart w:id="740" w:name="_Toc10192369"/>
      <w:bookmarkStart w:id="741" w:name="_Toc10206684"/>
      <w:bookmarkStart w:id="742" w:name="_Toc10213270"/>
      <w:bookmarkStart w:id="743" w:name="_Toc10732294"/>
      <w:bookmarkStart w:id="744" w:name="_Toc10796853"/>
      <w:bookmarkStart w:id="745" w:name="_Toc12022738"/>
      <w:bookmarkStart w:id="746" w:name="_Toc12630568"/>
      <w:bookmarkStart w:id="747" w:name="_Toc16154428"/>
      <w:bookmarkStart w:id="748" w:name="_Toc22196790"/>
      <w:r w:rsidRPr="00F375F4">
        <w:t>Timing</w:t>
      </w:r>
      <w:bookmarkEnd w:id="737"/>
      <w:bookmarkEnd w:id="738"/>
      <w:bookmarkEnd w:id="739"/>
      <w:bookmarkEnd w:id="740"/>
      <w:bookmarkEnd w:id="741"/>
      <w:bookmarkEnd w:id="742"/>
      <w:bookmarkEnd w:id="743"/>
      <w:bookmarkEnd w:id="744"/>
      <w:bookmarkEnd w:id="745"/>
      <w:bookmarkEnd w:id="746"/>
      <w:bookmarkEnd w:id="747"/>
      <w:bookmarkEnd w:id="748"/>
      <w:r w:rsidRPr="00F375F4">
        <w:t xml:space="preserve"> </w:t>
      </w:r>
    </w:p>
    <w:p w14:paraId="32035BB7" w14:textId="545AC7A1" w:rsidR="00336C52" w:rsidRPr="0069662A" w:rsidRDefault="00336C52" w:rsidP="00336C52">
      <w:pPr>
        <w:pStyle w:val="CM8"/>
        <w:jc w:val="both"/>
        <w:rPr>
          <w:rFonts w:asciiTheme="minorHAnsi" w:hAnsiTheme="minorHAnsi" w:cs="Calibri"/>
          <w:color w:val="000000"/>
          <w:sz w:val="22"/>
          <w:szCs w:val="22"/>
        </w:rPr>
      </w:pPr>
      <w:r w:rsidRPr="00F375F4">
        <w:rPr>
          <w:rFonts w:asciiTheme="minorHAnsi" w:hAnsiTheme="minorHAnsi" w:cs="Calibri"/>
          <w:color w:val="000000"/>
          <w:sz w:val="22"/>
          <w:szCs w:val="22"/>
        </w:rPr>
        <w:t xml:space="preserve">Stream metabolism measures are to be collected continuously between September and February as this is the period of active growth of organisms within the river and also the period when </w:t>
      </w:r>
      <w:r w:rsidR="00AF754E">
        <w:rPr>
          <w:rFonts w:asciiTheme="minorHAnsi" w:hAnsiTheme="minorHAnsi" w:cs="Calibri"/>
          <w:color w:val="000000"/>
          <w:sz w:val="22"/>
          <w:szCs w:val="22"/>
        </w:rPr>
        <w:t xml:space="preserve">enhanced environmental </w:t>
      </w:r>
      <w:r w:rsidR="00AF754E" w:rsidRPr="00F375F4">
        <w:rPr>
          <w:rFonts w:asciiTheme="minorHAnsi" w:hAnsiTheme="minorHAnsi" w:cs="Calibri"/>
          <w:color w:val="000000"/>
          <w:sz w:val="22"/>
          <w:szCs w:val="22"/>
        </w:rPr>
        <w:t xml:space="preserve">flows to the </w:t>
      </w:r>
      <w:r w:rsidR="00C304CC" w:rsidRPr="00C304CC">
        <w:rPr>
          <w:rFonts w:asciiTheme="minorHAnsi" w:hAnsiTheme="minorHAnsi" w:cs="Calibri"/>
          <w:color w:val="000000"/>
          <w:sz w:val="22"/>
          <w:szCs w:val="22"/>
        </w:rPr>
        <w:t>Lower Murray</w:t>
      </w:r>
      <w:r w:rsidR="00AF754E" w:rsidRPr="00F375F4">
        <w:rPr>
          <w:rFonts w:asciiTheme="minorHAnsi" w:hAnsiTheme="minorHAnsi" w:cs="Calibri"/>
          <w:color w:val="000000"/>
          <w:sz w:val="22"/>
          <w:szCs w:val="22"/>
        </w:rPr>
        <w:t xml:space="preserve"> are likely. </w:t>
      </w:r>
      <w:r w:rsidR="00AF754E">
        <w:rPr>
          <w:rFonts w:asciiTheme="minorHAnsi" w:hAnsiTheme="minorHAnsi" w:cs="Calibri"/>
          <w:color w:val="000000"/>
          <w:sz w:val="22"/>
          <w:szCs w:val="22"/>
        </w:rPr>
        <w:t>It is important to obtain one or two weeks of metabolism and water quality measurements prior to any major flow event to provide a starting level for assessing changes associated with larger events.</w:t>
      </w:r>
      <w:r>
        <w:rPr>
          <w:rFonts w:asciiTheme="minorHAnsi" w:hAnsiTheme="minorHAnsi" w:cs="Calibri"/>
          <w:color w:val="000000"/>
          <w:sz w:val="22"/>
          <w:szCs w:val="22"/>
        </w:rPr>
        <w:t xml:space="preserve"> </w:t>
      </w:r>
      <w:r w:rsidRPr="00F375F4">
        <w:rPr>
          <w:rFonts w:asciiTheme="minorHAnsi" w:hAnsiTheme="minorHAnsi" w:cs="Calibri"/>
          <w:color w:val="000000"/>
          <w:sz w:val="22"/>
          <w:szCs w:val="22"/>
        </w:rPr>
        <w:t xml:space="preserve">Stations will be serviced and calibrated at a frequency of no longer than </w:t>
      </w:r>
      <w:r w:rsidR="001E03EE">
        <w:rPr>
          <w:rFonts w:asciiTheme="minorHAnsi" w:hAnsiTheme="minorHAnsi" w:cs="Calibri"/>
          <w:color w:val="000000"/>
          <w:sz w:val="22"/>
          <w:szCs w:val="22"/>
        </w:rPr>
        <w:t>4</w:t>
      </w:r>
      <w:r w:rsidR="001E03EE" w:rsidRPr="00F375F4">
        <w:rPr>
          <w:rFonts w:asciiTheme="minorHAnsi" w:hAnsiTheme="minorHAnsi" w:cs="Calibri"/>
          <w:color w:val="000000"/>
          <w:sz w:val="22"/>
          <w:szCs w:val="22"/>
        </w:rPr>
        <w:t xml:space="preserve"> weekly intervals</w:t>
      </w:r>
      <w:r w:rsidR="001E03EE">
        <w:rPr>
          <w:rFonts w:asciiTheme="minorHAnsi" w:hAnsiTheme="minorHAnsi" w:cs="Calibri"/>
          <w:color w:val="000000"/>
          <w:sz w:val="22"/>
          <w:szCs w:val="22"/>
        </w:rPr>
        <w:t xml:space="preserve"> where possible</w:t>
      </w:r>
      <w:r w:rsidRPr="00F375F4">
        <w:rPr>
          <w:rFonts w:asciiTheme="minorHAnsi" w:hAnsiTheme="minorHAnsi" w:cs="Calibri"/>
          <w:color w:val="000000"/>
          <w:sz w:val="22"/>
          <w:szCs w:val="22"/>
        </w:rPr>
        <w:t>, but more frequent servicing will be required during environmental flow periods to ensure successful operation of probes during key times, and also to collect water quality samples. Increased servicing will be necessary during periods of high productivity due to increased likelihood of sensor fouling.</w:t>
      </w:r>
      <w:r w:rsidR="00881D76">
        <w:rPr>
          <w:rFonts w:asciiTheme="minorHAnsi" w:hAnsiTheme="minorHAnsi" w:cs="Calibri"/>
          <w:color w:val="000000"/>
          <w:sz w:val="22"/>
          <w:szCs w:val="22"/>
        </w:rPr>
        <w:t xml:space="preserve"> Refer to Section </w:t>
      </w:r>
      <w:r w:rsidR="00A64C0A" w:rsidRPr="00A64C0A">
        <w:rPr>
          <w:rFonts w:cs="Calibri"/>
        </w:rPr>
        <w:fldChar w:fldCharType="begin"/>
      </w:r>
      <w:r w:rsidR="00A64C0A" w:rsidRPr="00A64C0A">
        <w:rPr>
          <w:rFonts w:cs="Calibri"/>
        </w:rPr>
        <w:instrText xml:space="preserve"> REF _Ref10197301 \r \h </w:instrText>
      </w:r>
      <w:r w:rsidR="00A64C0A">
        <w:rPr>
          <w:rFonts w:cs="Calibri"/>
        </w:rPr>
        <w:instrText xml:space="preserve"> \* MERGEFORMAT </w:instrText>
      </w:r>
      <w:r w:rsidR="00A64C0A" w:rsidRPr="00A64C0A">
        <w:rPr>
          <w:rFonts w:cs="Calibri"/>
        </w:rPr>
      </w:r>
      <w:r w:rsidR="00A64C0A" w:rsidRPr="00A64C0A">
        <w:rPr>
          <w:rFonts w:cs="Calibri"/>
        </w:rPr>
        <w:fldChar w:fldCharType="separate"/>
      </w:r>
      <w:r w:rsidR="00DF49CD">
        <w:rPr>
          <w:rFonts w:cs="Calibri"/>
        </w:rPr>
        <w:t>7.2</w:t>
      </w:r>
      <w:r w:rsidR="00A64C0A" w:rsidRPr="00A64C0A">
        <w:rPr>
          <w:rFonts w:cs="Calibri"/>
        </w:rPr>
        <w:fldChar w:fldCharType="end"/>
      </w:r>
      <w:r w:rsidR="00A64C0A" w:rsidRPr="00A64C0A">
        <w:rPr>
          <w:rFonts w:cs="Calibri"/>
        </w:rPr>
        <w:t xml:space="preserve"> </w:t>
      </w:r>
      <w:r w:rsidR="00881D76">
        <w:rPr>
          <w:rFonts w:asciiTheme="minorHAnsi" w:hAnsiTheme="minorHAnsi" w:cs="Calibri"/>
          <w:color w:val="000000"/>
          <w:sz w:val="22"/>
          <w:szCs w:val="22"/>
        </w:rPr>
        <w:t xml:space="preserve">in the </w:t>
      </w:r>
      <w:r w:rsidR="00BC79ED">
        <w:rPr>
          <w:rFonts w:asciiTheme="minorHAnsi" w:hAnsiTheme="minorHAnsi" w:cs="Calibri"/>
          <w:color w:val="000000"/>
          <w:sz w:val="22"/>
          <w:szCs w:val="22"/>
        </w:rPr>
        <w:t>MER</w:t>
      </w:r>
      <w:r w:rsidR="00881D76">
        <w:rPr>
          <w:rFonts w:asciiTheme="minorHAnsi" w:hAnsiTheme="minorHAnsi" w:cs="Calibri"/>
          <w:color w:val="000000"/>
          <w:sz w:val="22"/>
          <w:szCs w:val="22"/>
        </w:rPr>
        <w:t xml:space="preserve"> Plan </w:t>
      </w:r>
      <w:r w:rsidR="00881D76">
        <w:rPr>
          <w:rFonts w:asciiTheme="minorHAnsi" w:hAnsiTheme="minorHAnsi" w:cs="Calibri"/>
          <w:color w:val="000000"/>
          <w:sz w:val="22"/>
          <w:szCs w:val="22"/>
        </w:rPr>
        <w:lastRenderedPageBreak/>
        <w:t xml:space="preserve">for a monthly monitoring </w:t>
      </w:r>
      <w:r w:rsidR="00A64C0A">
        <w:rPr>
          <w:rFonts w:asciiTheme="minorHAnsi" w:hAnsiTheme="minorHAnsi" w:cs="Calibri"/>
          <w:color w:val="000000"/>
          <w:sz w:val="22"/>
          <w:szCs w:val="22"/>
        </w:rPr>
        <w:t xml:space="preserve">schedule for </w:t>
      </w:r>
      <w:r w:rsidR="00A64C0A" w:rsidRPr="00A64C0A">
        <w:rPr>
          <w:rFonts w:asciiTheme="minorHAnsi" w:hAnsiTheme="minorHAnsi" w:cs="Calibri"/>
          <w:i/>
          <w:color w:val="000000"/>
          <w:sz w:val="22"/>
          <w:szCs w:val="22"/>
        </w:rPr>
        <w:t>Stream M</w:t>
      </w:r>
      <w:r w:rsidR="00881D76" w:rsidRPr="00A64C0A">
        <w:rPr>
          <w:rFonts w:asciiTheme="minorHAnsi" w:hAnsiTheme="minorHAnsi" w:cs="Calibri"/>
          <w:i/>
          <w:color w:val="000000"/>
          <w:sz w:val="22"/>
          <w:szCs w:val="22"/>
        </w:rPr>
        <w:t>etabolism</w:t>
      </w:r>
      <w:r w:rsidR="00A64C0A" w:rsidRPr="00A64C0A">
        <w:rPr>
          <w:rFonts w:asciiTheme="minorHAnsi" w:hAnsiTheme="minorHAnsi" w:cs="Calibri"/>
          <w:i/>
          <w:color w:val="000000"/>
          <w:sz w:val="22"/>
          <w:szCs w:val="22"/>
        </w:rPr>
        <w:t xml:space="preserve"> and Water Quality</w:t>
      </w:r>
      <w:r w:rsidR="00881D76">
        <w:rPr>
          <w:rFonts w:asciiTheme="minorHAnsi" w:hAnsiTheme="minorHAnsi" w:cs="Calibri"/>
          <w:color w:val="000000"/>
          <w:sz w:val="22"/>
          <w:szCs w:val="22"/>
        </w:rPr>
        <w:t>.</w:t>
      </w:r>
    </w:p>
    <w:p w14:paraId="45E24FA0" w14:textId="77777777" w:rsidR="00336C52" w:rsidRPr="009B5E2D" w:rsidRDefault="00336C52" w:rsidP="00336C52">
      <w:pPr>
        <w:pStyle w:val="Heading2"/>
      </w:pPr>
      <w:bookmarkStart w:id="749" w:name="_Toc396825279"/>
      <w:bookmarkStart w:id="750" w:name="_Toc6403816"/>
      <w:bookmarkStart w:id="751" w:name="_Toc10095201"/>
      <w:bookmarkStart w:id="752" w:name="_Toc10192370"/>
      <w:bookmarkStart w:id="753" w:name="_Toc10206685"/>
      <w:bookmarkStart w:id="754" w:name="_Toc10213271"/>
      <w:bookmarkStart w:id="755" w:name="_Toc10732295"/>
      <w:bookmarkStart w:id="756" w:name="_Toc10796854"/>
      <w:bookmarkStart w:id="757" w:name="_Toc12022739"/>
      <w:bookmarkStart w:id="758" w:name="_Toc12630569"/>
      <w:bookmarkStart w:id="759" w:name="_Toc16154429"/>
      <w:bookmarkStart w:id="760" w:name="_Toc22196791"/>
      <w:r w:rsidRPr="009B5E2D">
        <w:t>Water quality samples</w:t>
      </w:r>
      <w:bookmarkEnd w:id="749"/>
      <w:bookmarkEnd w:id="750"/>
      <w:bookmarkEnd w:id="751"/>
      <w:bookmarkEnd w:id="752"/>
      <w:bookmarkEnd w:id="753"/>
      <w:bookmarkEnd w:id="754"/>
      <w:bookmarkEnd w:id="755"/>
      <w:bookmarkEnd w:id="756"/>
      <w:bookmarkEnd w:id="757"/>
      <w:bookmarkEnd w:id="758"/>
      <w:bookmarkEnd w:id="759"/>
      <w:bookmarkEnd w:id="760"/>
      <w:r w:rsidRPr="009B5E2D">
        <w:t xml:space="preserve"> </w:t>
      </w:r>
    </w:p>
    <w:p w14:paraId="1615864B" w14:textId="77777777" w:rsidR="00336C52" w:rsidRDefault="00336C52" w:rsidP="00336C52">
      <w:pPr>
        <w:pStyle w:val="CM19"/>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Water quality variables are important for interpreting the stream metabolism results and are an input to the ecological response model for Basin</w:t>
      </w:r>
      <w:r>
        <w:rPr>
          <w:rFonts w:asciiTheme="minorHAnsi" w:hAnsiTheme="minorHAnsi" w:cs="Calibri"/>
          <w:color w:val="000000"/>
          <w:sz w:val="22"/>
          <w:szCs w:val="22"/>
        </w:rPr>
        <w:t>-</w:t>
      </w:r>
      <w:r w:rsidRPr="00F375F4">
        <w:rPr>
          <w:rFonts w:asciiTheme="minorHAnsi" w:hAnsiTheme="minorHAnsi" w:cs="Calibri"/>
          <w:color w:val="000000"/>
          <w:sz w:val="22"/>
          <w:szCs w:val="22"/>
        </w:rPr>
        <w:t>scale evaluation. Water samples will be collected for: chlorophyll-</w:t>
      </w:r>
      <w:r w:rsidRPr="00565FF7">
        <w:rPr>
          <w:rFonts w:asciiTheme="minorHAnsi" w:hAnsiTheme="minorHAnsi" w:cs="Calibri"/>
          <w:i/>
          <w:color w:val="000000"/>
          <w:sz w:val="22"/>
          <w:szCs w:val="22"/>
        </w:rPr>
        <w:t>a</w:t>
      </w:r>
      <w:r w:rsidRPr="00F375F4">
        <w:rPr>
          <w:rFonts w:asciiTheme="minorHAnsi" w:hAnsiTheme="minorHAnsi" w:cs="Calibri"/>
          <w:color w:val="000000"/>
          <w:sz w:val="22"/>
          <w:szCs w:val="22"/>
        </w:rPr>
        <w:t>, total nitrogen (TN),</w:t>
      </w:r>
      <w:r w:rsidR="00623FCB">
        <w:rPr>
          <w:rFonts w:asciiTheme="minorHAnsi" w:hAnsiTheme="minorHAnsi" w:cs="Calibri"/>
          <w:color w:val="000000"/>
          <w:sz w:val="22"/>
          <w:szCs w:val="22"/>
        </w:rPr>
        <w:t xml:space="preserve"> total phosphorus (TP), nitrate</w:t>
      </w:r>
      <w:r w:rsidR="00623FCB">
        <w:rPr>
          <w:rFonts w:eastAsiaTheme="majorEastAsia"/>
        </w:rPr>
        <w:t>–</w:t>
      </w:r>
      <w:r w:rsidRPr="00F375F4">
        <w:rPr>
          <w:rFonts w:asciiTheme="minorHAnsi" w:hAnsiTheme="minorHAnsi" w:cs="Calibri"/>
          <w:color w:val="000000"/>
          <w:sz w:val="22"/>
          <w:szCs w:val="22"/>
        </w:rPr>
        <w:t>nitrite (NOx), ammonium (NH</w:t>
      </w:r>
      <w:r w:rsidRPr="009B5E2D">
        <w:rPr>
          <w:rFonts w:asciiTheme="minorHAnsi" w:hAnsiTheme="minorHAnsi" w:cs="Calibri"/>
          <w:color w:val="000000"/>
          <w:sz w:val="22"/>
          <w:szCs w:val="22"/>
        </w:rPr>
        <w:t>4</w:t>
      </w:r>
      <w:r w:rsidRPr="00F375F4">
        <w:rPr>
          <w:rFonts w:asciiTheme="minorHAnsi" w:hAnsiTheme="minorHAnsi" w:cs="Calibri"/>
          <w:color w:val="000000"/>
          <w:sz w:val="22"/>
          <w:szCs w:val="22"/>
        </w:rPr>
        <w:t xml:space="preserve">), filterable reactive phosphorus (FRP) and dissolved organic carbon (DOC). </w:t>
      </w:r>
      <w:r w:rsidRPr="009B5E2D">
        <w:rPr>
          <w:rFonts w:asciiTheme="minorHAnsi" w:hAnsiTheme="minorHAnsi" w:cs="Calibri"/>
          <w:color w:val="000000"/>
          <w:sz w:val="22"/>
          <w:szCs w:val="22"/>
        </w:rPr>
        <w:t>In-situ</w:t>
      </w:r>
      <w:r w:rsidRPr="00F375F4">
        <w:rPr>
          <w:rFonts w:asciiTheme="minorHAnsi" w:hAnsiTheme="minorHAnsi" w:cs="Calibri"/>
          <w:color w:val="000000"/>
          <w:sz w:val="22"/>
          <w:szCs w:val="22"/>
        </w:rPr>
        <w:t xml:space="preserve"> spot measurements will be taken of pH, turbidity and electrical conductivity (EC)</w:t>
      </w:r>
      <w:r>
        <w:rPr>
          <w:rFonts w:asciiTheme="minorHAnsi" w:hAnsiTheme="minorHAnsi" w:cs="Calibri"/>
          <w:color w:val="000000"/>
          <w:sz w:val="22"/>
          <w:szCs w:val="22"/>
        </w:rPr>
        <w:t xml:space="preserve"> using a multi-probe water quality meter</w:t>
      </w:r>
      <w:r w:rsidRPr="00F375F4">
        <w:rPr>
          <w:rFonts w:asciiTheme="minorHAnsi" w:hAnsiTheme="minorHAnsi" w:cs="Calibri"/>
          <w:color w:val="000000"/>
          <w:sz w:val="22"/>
          <w:szCs w:val="22"/>
        </w:rPr>
        <w:t xml:space="preserve">. As a minimum, water quality samples </w:t>
      </w:r>
      <w:r>
        <w:rPr>
          <w:rFonts w:asciiTheme="minorHAnsi" w:hAnsiTheme="minorHAnsi" w:cs="Calibri"/>
          <w:color w:val="000000"/>
          <w:sz w:val="22"/>
          <w:szCs w:val="22"/>
        </w:rPr>
        <w:t>will be</w:t>
      </w:r>
      <w:r w:rsidRPr="00F375F4">
        <w:rPr>
          <w:rFonts w:asciiTheme="minorHAnsi" w:hAnsiTheme="minorHAnsi" w:cs="Calibri"/>
          <w:color w:val="000000"/>
          <w:sz w:val="22"/>
          <w:szCs w:val="22"/>
        </w:rPr>
        <w:t xml:space="preserve"> collected when sensors are deployed and at each time the station is serviced and calibrated (≤ 6 weekly intervals).</w:t>
      </w:r>
    </w:p>
    <w:p w14:paraId="52CDA491" w14:textId="77777777" w:rsidR="00336C52" w:rsidRPr="00565FF7" w:rsidRDefault="00336C52" w:rsidP="00336C52">
      <w:pPr>
        <w:pStyle w:val="Default"/>
        <w:jc w:val="both"/>
      </w:pPr>
    </w:p>
    <w:p w14:paraId="362F26CB" w14:textId="2BC2F487" w:rsidR="00336C52" w:rsidRPr="0069662A" w:rsidRDefault="00336C52" w:rsidP="00336C52">
      <w:pPr>
        <w:rPr>
          <w:rFonts w:cs="Calibri"/>
        </w:rPr>
      </w:pPr>
      <w:r w:rsidRPr="009B5E2D">
        <w:rPr>
          <w:rFonts w:cs="Calibri"/>
        </w:rPr>
        <w:t>Filtering for dissolved nutrients (NOx, NH</w:t>
      </w:r>
      <w:r w:rsidRPr="0069416C">
        <w:rPr>
          <w:rFonts w:cs="Calibri"/>
          <w:vertAlign w:val="subscript"/>
        </w:rPr>
        <w:t>4</w:t>
      </w:r>
      <w:r w:rsidRPr="009B5E2D">
        <w:rPr>
          <w:rFonts w:cs="Calibri"/>
        </w:rPr>
        <w:t>, FRP, DOC) and chlorophyll will take place on site and samples frozen for transport to the analytical laboratories. Sample analyses will be undertaken by the Australian Water Quality Centre (AWQC, NATA registered) and sampling protocols will meet NATA requirements. All sample bottles will be supplied by AWQC and sample handling will be in accordance with preservation requirements as per the Australian Standard. AWQC w</w:t>
      </w:r>
      <w:r w:rsidR="00A8723D">
        <w:rPr>
          <w:rFonts w:cs="Calibri"/>
        </w:rPr>
        <w:t>ill supply the syringes and 0.2</w:t>
      </w:r>
      <w:r w:rsidRPr="009B5E2D">
        <w:rPr>
          <w:rFonts w:cs="Calibri"/>
        </w:rPr>
        <w:t xml:space="preserve"> µm membrane filters used for filterable nutrient concentrations. Information on the methods including bottles, holding times and limits of detection are listed in</w:t>
      </w:r>
      <w:r w:rsidR="00E36A5F">
        <w:t xml:space="preserve"> </w:t>
      </w:r>
      <w:r w:rsidR="006F4D01">
        <w:fldChar w:fldCharType="begin"/>
      </w:r>
      <w:r w:rsidR="00E36A5F">
        <w:instrText xml:space="preserve"> REF _Ref397515274 \h </w:instrText>
      </w:r>
      <w:r w:rsidR="006F4D01">
        <w:fldChar w:fldCharType="separate"/>
      </w:r>
      <w:r w:rsidR="00DF49CD">
        <w:t>Table B.</w:t>
      </w:r>
      <w:r w:rsidR="00DF49CD">
        <w:rPr>
          <w:noProof/>
        </w:rPr>
        <w:t>3</w:t>
      </w:r>
      <w:r w:rsidR="006F4D01">
        <w:fldChar w:fldCharType="end"/>
      </w:r>
      <w:r w:rsidRPr="009B5E2D">
        <w:rPr>
          <w:rFonts w:cs="Calibri"/>
        </w:rPr>
        <w:t>.</w:t>
      </w:r>
      <w:bookmarkStart w:id="761" w:name="_Ref385257876"/>
      <w:bookmarkStart w:id="762" w:name="_Toc391553360"/>
    </w:p>
    <w:p w14:paraId="49F00499" w14:textId="19BE2A2C" w:rsidR="00336C52" w:rsidRPr="00F375F4" w:rsidRDefault="00E36A5F" w:rsidP="00E36A5F">
      <w:pPr>
        <w:pStyle w:val="Caption"/>
      </w:pPr>
      <w:bookmarkStart w:id="763" w:name="_Ref397515274"/>
      <w:bookmarkEnd w:id="761"/>
      <w:r>
        <w:t>Table B.</w:t>
      </w:r>
      <w:r w:rsidR="00E57080">
        <w:rPr>
          <w:noProof/>
        </w:rPr>
        <w:fldChar w:fldCharType="begin"/>
      </w:r>
      <w:r w:rsidR="00E57080">
        <w:rPr>
          <w:noProof/>
        </w:rPr>
        <w:instrText xml:space="preserve"> SEQ Table_B. \* ARABIC </w:instrText>
      </w:r>
      <w:r w:rsidR="00E57080">
        <w:rPr>
          <w:noProof/>
        </w:rPr>
        <w:fldChar w:fldCharType="separate"/>
      </w:r>
      <w:r w:rsidR="00DF49CD">
        <w:rPr>
          <w:noProof/>
        </w:rPr>
        <w:t>3</w:t>
      </w:r>
      <w:r w:rsidR="00E57080">
        <w:rPr>
          <w:noProof/>
        </w:rPr>
        <w:fldChar w:fldCharType="end"/>
      </w:r>
      <w:bookmarkEnd w:id="763"/>
      <w:r>
        <w:t xml:space="preserve">. </w:t>
      </w:r>
      <w:r w:rsidR="00336C52" w:rsidRPr="00F375F4">
        <w:t>Information on the water quality analysis methods to be used by the AWQC. Reference method refers to American Public Health Association (APHA), International Standards Organisation (ISO) and the Standard Methods for Examination of Water and Wastewater (SM). Holding time is the length in hours that a sample can be stored using the reference method. Bottle = type of bottle for sample collection. LOR = limit of reporting.</w:t>
      </w:r>
      <w:bookmarkEnd w:id="762"/>
    </w:p>
    <w:tbl>
      <w:tblPr>
        <w:tblpPr w:leftFromText="180" w:rightFromText="180" w:vertAnchor="text" w:horzAnchor="margin" w:tblpY="40"/>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850"/>
        <w:gridCol w:w="1418"/>
        <w:gridCol w:w="1283"/>
        <w:gridCol w:w="915"/>
        <w:gridCol w:w="752"/>
        <w:gridCol w:w="851"/>
      </w:tblGrid>
      <w:tr w:rsidR="00336C52" w:rsidRPr="00F375F4" w14:paraId="2160EC7D" w14:textId="77777777" w:rsidTr="0074629E">
        <w:trPr>
          <w:trHeight w:val="20"/>
        </w:trPr>
        <w:tc>
          <w:tcPr>
            <w:tcW w:w="1242" w:type="dxa"/>
            <w:shd w:val="clear" w:color="auto" w:fill="BFBFBF" w:themeFill="background1" w:themeFillShade="BF"/>
            <w:noWrap/>
            <w:hideMark/>
          </w:tcPr>
          <w:p w14:paraId="17ED4D08" w14:textId="77777777" w:rsidR="00336C52" w:rsidRPr="00F375F4" w:rsidRDefault="00336C52" w:rsidP="00F24A39">
            <w:pPr>
              <w:pStyle w:val="TableHeading"/>
              <w:rPr>
                <w:lang w:val="en-US"/>
              </w:rPr>
            </w:pPr>
            <w:r w:rsidRPr="00F375F4">
              <w:rPr>
                <w:lang w:val="en-US"/>
              </w:rPr>
              <w:t>Test Code</w:t>
            </w:r>
          </w:p>
        </w:tc>
        <w:tc>
          <w:tcPr>
            <w:tcW w:w="1985" w:type="dxa"/>
            <w:shd w:val="clear" w:color="auto" w:fill="BFBFBF" w:themeFill="background1" w:themeFillShade="BF"/>
            <w:noWrap/>
            <w:hideMark/>
          </w:tcPr>
          <w:p w14:paraId="05B0F185" w14:textId="77777777" w:rsidR="00336C52" w:rsidRPr="00F375F4" w:rsidRDefault="00336C52" w:rsidP="00F24A39">
            <w:pPr>
              <w:pStyle w:val="TableHeading"/>
              <w:rPr>
                <w:lang w:val="en-US"/>
              </w:rPr>
            </w:pPr>
            <w:r w:rsidRPr="00F375F4">
              <w:rPr>
                <w:lang w:val="en-US"/>
              </w:rPr>
              <w:t>Reported Name</w:t>
            </w:r>
          </w:p>
        </w:tc>
        <w:tc>
          <w:tcPr>
            <w:tcW w:w="850" w:type="dxa"/>
            <w:shd w:val="clear" w:color="auto" w:fill="BFBFBF" w:themeFill="background1" w:themeFillShade="BF"/>
            <w:noWrap/>
            <w:hideMark/>
          </w:tcPr>
          <w:p w14:paraId="702E24F9" w14:textId="77777777" w:rsidR="00336C52" w:rsidRPr="00F375F4" w:rsidRDefault="00336C52" w:rsidP="00F24A39">
            <w:pPr>
              <w:pStyle w:val="TableHeading"/>
              <w:rPr>
                <w:lang w:val="en-US"/>
              </w:rPr>
            </w:pPr>
            <w:r w:rsidRPr="00F375F4">
              <w:rPr>
                <w:lang w:val="en-US"/>
              </w:rPr>
              <w:t>Matrix</w:t>
            </w:r>
          </w:p>
        </w:tc>
        <w:tc>
          <w:tcPr>
            <w:tcW w:w="1418" w:type="dxa"/>
            <w:shd w:val="clear" w:color="auto" w:fill="BFBFBF" w:themeFill="background1" w:themeFillShade="BF"/>
            <w:noWrap/>
            <w:hideMark/>
          </w:tcPr>
          <w:p w14:paraId="354D645C" w14:textId="77777777" w:rsidR="00336C52" w:rsidRPr="00F375F4" w:rsidRDefault="00336C52" w:rsidP="00F24A39">
            <w:pPr>
              <w:pStyle w:val="TableHeading"/>
              <w:rPr>
                <w:lang w:val="en-US"/>
              </w:rPr>
            </w:pPr>
            <w:r w:rsidRPr="00F375F4">
              <w:rPr>
                <w:lang w:val="en-US"/>
              </w:rPr>
              <w:t>Reference Method</w:t>
            </w:r>
          </w:p>
        </w:tc>
        <w:tc>
          <w:tcPr>
            <w:tcW w:w="1283" w:type="dxa"/>
            <w:shd w:val="clear" w:color="auto" w:fill="BFBFBF" w:themeFill="background1" w:themeFillShade="BF"/>
            <w:noWrap/>
            <w:hideMark/>
          </w:tcPr>
          <w:p w14:paraId="750FF9A8" w14:textId="77777777" w:rsidR="00336C52" w:rsidRPr="00F375F4" w:rsidRDefault="00336C52" w:rsidP="00F24A39">
            <w:pPr>
              <w:pStyle w:val="TableHeading"/>
              <w:rPr>
                <w:lang w:val="en-US"/>
              </w:rPr>
            </w:pPr>
            <w:r w:rsidRPr="00F375F4">
              <w:rPr>
                <w:lang w:val="en-US"/>
              </w:rPr>
              <w:t>Holding Time (hours)</w:t>
            </w:r>
          </w:p>
        </w:tc>
        <w:tc>
          <w:tcPr>
            <w:tcW w:w="915" w:type="dxa"/>
            <w:shd w:val="clear" w:color="auto" w:fill="BFBFBF" w:themeFill="background1" w:themeFillShade="BF"/>
            <w:noWrap/>
            <w:hideMark/>
          </w:tcPr>
          <w:p w14:paraId="00E992E1" w14:textId="77777777" w:rsidR="00336C52" w:rsidRPr="00F375F4" w:rsidRDefault="00336C52" w:rsidP="00F24A39">
            <w:pPr>
              <w:pStyle w:val="TableHeading"/>
              <w:rPr>
                <w:lang w:val="en-US"/>
              </w:rPr>
            </w:pPr>
            <w:r w:rsidRPr="00F375F4">
              <w:rPr>
                <w:lang w:val="en-US"/>
              </w:rPr>
              <w:t>Bottle</w:t>
            </w:r>
          </w:p>
        </w:tc>
        <w:tc>
          <w:tcPr>
            <w:tcW w:w="752" w:type="dxa"/>
            <w:shd w:val="clear" w:color="auto" w:fill="BFBFBF" w:themeFill="background1" w:themeFillShade="BF"/>
            <w:noWrap/>
            <w:hideMark/>
          </w:tcPr>
          <w:p w14:paraId="1BB46422" w14:textId="77777777" w:rsidR="00336C52" w:rsidRPr="00F375F4" w:rsidRDefault="00336C52" w:rsidP="00F24A39">
            <w:pPr>
              <w:pStyle w:val="TableHeading"/>
              <w:rPr>
                <w:lang w:val="en-US"/>
              </w:rPr>
            </w:pPr>
            <w:r w:rsidRPr="00F375F4">
              <w:rPr>
                <w:lang w:val="en-US"/>
              </w:rPr>
              <w:t>Units</w:t>
            </w:r>
          </w:p>
        </w:tc>
        <w:tc>
          <w:tcPr>
            <w:tcW w:w="851" w:type="dxa"/>
            <w:shd w:val="clear" w:color="auto" w:fill="BFBFBF" w:themeFill="background1" w:themeFillShade="BF"/>
            <w:noWrap/>
            <w:hideMark/>
          </w:tcPr>
          <w:p w14:paraId="72722E23" w14:textId="77777777" w:rsidR="00336C52" w:rsidRPr="00F375F4" w:rsidRDefault="00336C52" w:rsidP="00F24A39">
            <w:pPr>
              <w:pStyle w:val="TableHeading"/>
              <w:rPr>
                <w:lang w:val="en-US"/>
              </w:rPr>
            </w:pPr>
            <w:r w:rsidRPr="00F375F4">
              <w:rPr>
                <w:lang w:val="en-US"/>
              </w:rPr>
              <w:t>LOR</w:t>
            </w:r>
          </w:p>
        </w:tc>
      </w:tr>
      <w:tr w:rsidR="00336C52" w:rsidRPr="00F375F4" w14:paraId="0014B38C" w14:textId="77777777" w:rsidTr="0074629E">
        <w:trPr>
          <w:trHeight w:val="20"/>
        </w:trPr>
        <w:tc>
          <w:tcPr>
            <w:tcW w:w="1242" w:type="dxa"/>
            <w:shd w:val="clear" w:color="auto" w:fill="auto"/>
            <w:noWrap/>
            <w:hideMark/>
          </w:tcPr>
          <w:p w14:paraId="1E5D4BB5" w14:textId="77777777" w:rsidR="00336C52" w:rsidRPr="00F375F4" w:rsidRDefault="00336C52" w:rsidP="00F24A39">
            <w:pPr>
              <w:pStyle w:val="TableText"/>
              <w:rPr>
                <w:lang w:val="en-US"/>
              </w:rPr>
            </w:pPr>
            <w:r w:rsidRPr="00F375F4">
              <w:rPr>
                <w:lang w:val="en-US"/>
              </w:rPr>
              <w:t>AMMN_COL_5</w:t>
            </w:r>
          </w:p>
        </w:tc>
        <w:tc>
          <w:tcPr>
            <w:tcW w:w="1985" w:type="dxa"/>
            <w:shd w:val="clear" w:color="auto" w:fill="auto"/>
            <w:noWrap/>
            <w:hideMark/>
          </w:tcPr>
          <w:p w14:paraId="7C2E1F7D" w14:textId="77777777" w:rsidR="00336C52" w:rsidRPr="00F375F4" w:rsidRDefault="00336C52" w:rsidP="00F24A39">
            <w:pPr>
              <w:pStyle w:val="TableText"/>
              <w:rPr>
                <w:lang w:val="en-US"/>
              </w:rPr>
            </w:pPr>
            <w:r w:rsidRPr="00F375F4">
              <w:rPr>
                <w:lang w:val="en-US"/>
              </w:rPr>
              <w:t>Ammonia as N</w:t>
            </w:r>
          </w:p>
        </w:tc>
        <w:tc>
          <w:tcPr>
            <w:tcW w:w="850" w:type="dxa"/>
            <w:shd w:val="clear" w:color="auto" w:fill="auto"/>
            <w:noWrap/>
            <w:hideMark/>
          </w:tcPr>
          <w:p w14:paraId="107AFC38" w14:textId="77777777" w:rsidR="00336C52" w:rsidRPr="00F375F4" w:rsidRDefault="00336C52" w:rsidP="00F24A39">
            <w:pPr>
              <w:pStyle w:val="TableText"/>
              <w:rPr>
                <w:lang w:val="en-US"/>
              </w:rPr>
            </w:pPr>
            <w:r w:rsidRPr="00F375F4">
              <w:rPr>
                <w:lang w:val="en-US"/>
              </w:rPr>
              <w:t>FRESH-WATER</w:t>
            </w:r>
          </w:p>
        </w:tc>
        <w:tc>
          <w:tcPr>
            <w:tcW w:w="1418" w:type="dxa"/>
            <w:shd w:val="clear" w:color="auto" w:fill="auto"/>
            <w:noWrap/>
            <w:hideMark/>
          </w:tcPr>
          <w:p w14:paraId="592AA2EB" w14:textId="77777777" w:rsidR="00336C52" w:rsidRPr="00F375F4" w:rsidRDefault="00336C52" w:rsidP="00F24A39">
            <w:pPr>
              <w:pStyle w:val="TableText"/>
              <w:rPr>
                <w:lang w:val="en-US"/>
              </w:rPr>
            </w:pPr>
            <w:r w:rsidRPr="00F375F4">
              <w:rPr>
                <w:lang w:val="en-US"/>
              </w:rPr>
              <w:t>APHA 4500-NH3 G</w:t>
            </w:r>
          </w:p>
        </w:tc>
        <w:tc>
          <w:tcPr>
            <w:tcW w:w="1283" w:type="dxa"/>
            <w:shd w:val="clear" w:color="auto" w:fill="auto"/>
            <w:noWrap/>
            <w:hideMark/>
          </w:tcPr>
          <w:p w14:paraId="53B90283" w14:textId="77777777" w:rsidR="00336C52" w:rsidRPr="00F375F4" w:rsidRDefault="00336C52" w:rsidP="00F24A39">
            <w:pPr>
              <w:pStyle w:val="TableText"/>
              <w:rPr>
                <w:lang w:val="en-US"/>
              </w:rPr>
            </w:pPr>
            <w:r w:rsidRPr="00F375F4">
              <w:rPr>
                <w:lang w:val="en-US"/>
              </w:rPr>
              <w:t>672</w:t>
            </w:r>
          </w:p>
        </w:tc>
        <w:tc>
          <w:tcPr>
            <w:tcW w:w="915" w:type="dxa"/>
            <w:shd w:val="clear" w:color="auto" w:fill="auto"/>
            <w:noWrap/>
            <w:hideMark/>
          </w:tcPr>
          <w:p w14:paraId="7BA24011" w14:textId="77777777" w:rsidR="00336C52" w:rsidRPr="00F375F4" w:rsidRDefault="00336C52" w:rsidP="00F24A39">
            <w:pPr>
              <w:pStyle w:val="TableText"/>
              <w:rPr>
                <w:lang w:val="en-US"/>
              </w:rPr>
            </w:pPr>
            <w:r w:rsidRPr="00F375F4">
              <w:rPr>
                <w:lang w:val="en-US"/>
              </w:rPr>
              <w:t>PT120</w:t>
            </w:r>
          </w:p>
        </w:tc>
        <w:tc>
          <w:tcPr>
            <w:tcW w:w="752" w:type="dxa"/>
            <w:shd w:val="clear" w:color="auto" w:fill="auto"/>
            <w:noWrap/>
            <w:hideMark/>
          </w:tcPr>
          <w:p w14:paraId="1A80BC45" w14:textId="77777777" w:rsidR="00336C52" w:rsidRPr="00F375F4" w:rsidRDefault="00336C52" w:rsidP="00F24A39">
            <w:pPr>
              <w:pStyle w:val="TableText"/>
              <w:rPr>
                <w:lang w:val="en-US"/>
              </w:rPr>
            </w:pPr>
            <w:r w:rsidRPr="00F375F4">
              <w:rPr>
                <w:lang w:val="en-US"/>
              </w:rPr>
              <w:t>mg/L</w:t>
            </w:r>
          </w:p>
        </w:tc>
        <w:tc>
          <w:tcPr>
            <w:tcW w:w="851" w:type="dxa"/>
            <w:shd w:val="clear" w:color="auto" w:fill="auto"/>
            <w:noWrap/>
            <w:hideMark/>
          </w:tcPr>
          <w:p w14:paraId="57C372B7" w14:textId="77777777" w:rsidR="00336C52" w:rsidRPr="00F375F4" w:rsidRDefault="00336C52" w:rsidP="00F24A39">
            <w:pPr>
              <w:pStyle w:val="TableText"/>
              <w:rPr>
                <w:lang w:val="en-US"/>
              </w:rPr>
            </w:pPr>
            <w:r w:rsidRPr="00F375F4">
              <w:rPr>
                <w:lang w:val="en-US"/>
              </w:rPr>
              <w:t>&lt;0.005</w:t>
            </w:r>
          </w:p>
        </w:tc>
      </w:tr>
      <w:tr w:rsidR="00336C52" w:rsidRPr="00F375F4" w14:paraId="1A9DF124" w14:textId="77777777" w:rsidTr="0074629E">
        <w:trPr>
          <w:trHeight w:val="20"/>
        </w:trPr>
        <w:tc>
          <w:tcPr>
            <w:tcW w:w="1242" w:type="dxa"/>
            <w:shd w:val="clear" w:color="auto" w:fill="auto"/>
            <w:noWrap/>
            <w:hideMark/>
          </w:tcPr>
          <w:p w14:paraId="3538A5E7" w14:textId="77777777" w:rsidR="00336C52" w:rsidRPr="00F375F4" w:rsidRDefault="00336C52" w:rsidP="00F24A39">
            <w:pPr>
              <w:pStyle w:val="TableText"/>
              <w:rPr>
                <w:lang w:val="en-US"/>
              </w:rPr>
            </w:pPr>
            <w:r w:rsidRPr="00F375F4">
              <w:rPr>
                <w:lang w:val="en-US"/>
              </w:rPr>
              <w:t>CHLPHA95ET</w:t>
            </w:r>
          </w:p>
        </w:tc>
        <w:tc>
          <w:tcPr>
            <w:tcW w:w="1985" w:type="dxa"/>
            <w:shd w:val="clear" w:color="auto" w:fill="auto"/>
            <w:noWrap/>
            <w:hideMark/>
          </w:tcPr>
          <w:p w14:paraId="5941508E" w14:textId="77777777" w:rsidR="00336C52" w:rsidRPr="00F375F4" w:rsidRDefault="00336C52" w:rsidP="00F24A39">
            <w:pPr>
              <w:pStyle w:val="TableText"/>
              <w:rPr>
                <w:lang w:val="en-US"/>
              </w:rPr>
            </w:pPr>
            <w:r w:rsidRPr="00F375F4">
              <w:rPr>
                <w:lang w:val="en-US"/>
              </w:rPr>
              <w:t>Chlorophyll a &amp; Phaeophytin a</w:t>
            </w:r>
          </w:p>
        </w:tc>
        <w:tc>
          <w:tcPr>
            <w:tcW w:w="850" w:type="dxa"/>
            <w:shd w:val="clear" w:color="auto" w:fill="auto"/>
            <w:noWrap/>
            <w:hideMark/>
          </w:tcPr>
          <w:p w14:paraId="39BC438F" w14:textId="77777777" w:rsidR="00336C52" w:rsidRPr="00F375F4" w:rsidRDefault="00336C52" w:rsidP="00F24A39">
            <w:pPr>
              <w:pStyle w:val="TableText"/>
              <w:rPr>
                <w:lang w:val="en-US"/>
              </w:rPr>
            </w:pPr>
            <w:r w:rsidRPr="00F375F4">
              <w:rPr>
                <w:lang w:val="en-US"/>
              </w:rPr>
              <w:t>WATER</w:t>
            </w:r>
          </w:p>
        </w:tc>
        <w:tc>
          <w:tcPr>
            <w:tcW w:w="1418" w:type="dxa"/>
            <w:shd w:val="clear" w:color="auto" w:fill="auto"/>
            <w:noWrap/>
            <w:hideMark/>
          </w:tcPr>
          <w:p w14:paraId="067894FA" w14:textId="77777777" w:rsidR="00336C52" w:rsidRPr="00F375F4" w:rsidRDefault="00336C52" w:rsidP="00F24A39">
            <w:pPr>
              <w:pStyle w:val="TableText"/>
              <w:rPr>
                <w:lang w:val="en-US"/>
              </w:rPr>
            </w:pPr>
            <w:r w:rsidRPr="00F375F4">
              <w:rPr>
                <w:lang w:val="en-US"/>
              </w:rPr>
              <w:t>ISO 10260 (1992)</w:t>
            </w:r>
          </w:p>
        </w:tc>
        <w:tc>
          <w:tcPr>
            <w:tcW w:w="1283" w:type="dxa"/>
            <w:shd w:val="clear" w:color="auto" w:fill="auto"/>
            <w:noWrap/>
            <w:hideMark/>
          </w:tcPr>
          <w:p w14:paraId="5AF7EDFF" w14:textId="77777777" w:rsidR="00336C52" w:rsidRPr="00F375F4" w:rsidRDefault="00336C52" w:rsidP="00F24A39">
            <w:pPr>
              <w:pStyle w:val="TableText"/>
              <w:rPr>
                <w:lang w:val="en-US"/>
              </w:rPr>
            </w:pPr>
            <w:r w:rsidRPr="00F375F4">
              <w:rPr>
                <w:lang w:val="en-US"/>
              </w:rPr>
              <w:t>24</w:t>
            </w:r>
          </w:p>
        </w:tc>
        <w:tc>
          <w:tcPr>
            <w:tcW w:w="915" w:type="dxa"/>
            <w:shd w:val="clear" w:color="auto" w:fill="auto"/>
            <w:noWrap/>
            <w:hideMark/>
          </w:tcPr>
          <w:p w14:paraId="74722BCC" w14:textId="77777777" w:rsidR="00336C52" w:rsidRPr="00F375F4" w:rsidRDefault="00336C52" w:rsidP="00F24A39">
            <w:pPr>
              <w:pStyle w:val="TableText"/>
              <w:rPr>
                <w:lang w:val="en-US"/>
              </w:rPr>
            </w:pPr>
            <w:r w:rsidRPr="00F375F4">
              <w:rPr>
                <w:lang w:val="en-US"/>
              </w:rPr>
              <w:t>BLKPT1</w:t>
            </w:r>
          </w:p>
        </w:tc>
        <w:tc>
          <w:tcPr>
            <w:tcW w:w="752" w:type="dxa"/>
            <w:shd w:val="clear" w:color="auto" w:fill="auto"/>
            <w:noWrap/>
            <w:hideMark/>
          </w:tcPr>
          <w:p w14:paraId="5B071AFB" w14:textId="77777777" w:rsidR="00336C52" w:rsidRPr="00F375F4" w:rsidRDefault="00336C52" w:rsidP="00F24A39">
            <w:pPr>
              <w:pStyle w:val="TableText"/>
              <w:rPr>
                <w:lang w:val="en-US"/>
              </w:rPr>
            </w:pPr>
            <w:r w:rsidRPr="00F375F4">
              <w:rPr>
                <w:lang w:val="en-US"/>
              </w:rPr>
              <w:t>µg/L</w:t>
            </w:r>
          </w:p>
        </w:tc>
        <w:tc>
          <w:tcPr>
            <w:tcW w:w="851" w:type="dxa"/>
            <w:shd w:val="clear" w:color="auto" w:fill="auto"/>
            <w:noWrap/>
            <w:hideMark/>
          </w:tcPr>
          <w:p w14:paraId="3AA30259" w14:textId="77777777" w:rsidR="00336C52" w:rsidRPr="00F375F4" w:rsidRDefault="00336C52" w:rsidP="00F24A39">
            <w:pPr>
              <w:pStyle w:val="TableText"/>
              <w:rPr>
                <w:lang w:val="en-US"/>
              </w:rPr>
            </w:pPr>
            <w:r w:rsidRPr="00F375F4">
              <w:rPr>
                <w:lang w:val="en-US"/>
              </w:rPr>
              <w:t>&lt;0.1</w:t>
            </w:r>
          </w:p>
        </w:tc>
      </w:tr>
      <w:tr w:rsidR="00336C52" w:rsidRPr="00F375F4" w14:paraId="430B0E85" w14:textId="77777777" w:rsidTr="0074629E">
        <w:trPr>
          <w:trHeight w:val="20"/>
        </w:trPr>
        <w:tc>
          <w:tcPr>
            <w:tcW w:w="1242" w:type="dxa"/>
            <w:shd w:val="clear" w:color="auto" w:fill="auto"/>
            <w:noWrap/>
            <w:hideMark/>
          </w:tcPr>
          <w:p w14:paraId="3838BFA1" w14:textId="77777777" w:rsidR="00336C52" w:rsidRPr="00F375F4" w:rsidRDefault="00336C52" w:rsidP="00F24A39">
            <w:pPr>
              <w:pStyle w:val="TableText"/>
              <w:rPr>
                <w:lang w:val="en-US"/>
              </w:rPr>
            </w:pPr>
            <w:r w:rsidRPr="00F375F4">
              <w:rPr>
                <w:lang w:val="en-US"/>
              </w:rPr>
              <w:t>DOC_1</w:t>
            </w:r>
          </w:p>
        </w:tc>
        <w:tc>
          <w:tcPr>
            <w:tcW w:w="1985" w:type="dxa"/>
            <w:shd w:val="clear" w:color="auto" w:fill="auto"/>
            <w:noWrap/>
            <w:hideMark/>
          </w:tcPr>
          <w:p w14:paraId="741C5D40" w14:textId="77777777" w:rsidR="00336C52" w:rsidRPr="00F375F4" w:rsidRDefault="00336C52" w:rsidP="00F24A39">
            <w:pPr>
              <w:pStyle w:val="TableText"/>
              <w:rPr>
                <w:lang w:val="en-US"/>
              </w:rPr>
            </w:pPr>
            <w:r w:rsidRPr="00F375F4">
              <w:rPr>
                <w:lang w:val="en-US"/>
              </w:rPr>
              <w:t>Dissolved Organic Carbon</w:t>
            </w:r>
          </w:p>
        </w:tc>
        <w:tc>
          <w:tcPr>
            <w:tcW w:w="850" w:type="dxa"/>
            <w:shd w:val="clear" w:color="auto" w:fill="auto"/>
            <w:noWrap/>
            <w:hideMark/>
          </w:tcPr>
          <w:p w14:paraId="7F325150" w14:textId="77777777" w:rsidR="00336C52" w:rsidRPr="00F375F4" w:rsidRDefault="00336C52" w:rsidP="00F24A39">
            <w:pPr>
              <w:pStyle w:val="TableText"/>
              <w:rPr>
                <w:lang w:val="en-US"/>
              </w:rPr>
            </w:pPr>
            <w:r w:rsidRPr="00F375F4">
              <w:rPr>
                <w:lang w:val="en-US"/>
              </w:rPr>
              <w:t>WATER</w:t>
            </w:r>
          </w:p>
        </w:tc>
        <w:tc>
          <w:tcPr>
            <w:tcW w:w="1418" w:type="dxa"/>
            <w:shd w:val="clear" w:color="auto" w:fill="auto"/>
            <w:noWrap/>
            <w:hideMark/>
          </w:tcPr>
          <w:p w14:paraId="48666E03" w14:textId="77777777" w:rsidR="00336C52" w:rsidRPr="00F375F4" w:rsidRDefault="00336C52" w:rsidP="00F24A39">
            <w:pPr>
              <w:pStyle w:val="TableText"/>
              <w:rPr>
                <w:lang w:val="en-US"/>
              </w:rPr>
            </w:pPr>
            <w:r w:rsidRPr="00F375F4">
              <w:rPr>
                <w:lang w:val="en-US"/>
              </w:rPr>
              <w:t>SM5310C</w:t>
            </w:r>
          </w:p>
        </w:tc>
        <w:tc>
          <w:tcPr>
            <w:tcW w:w="1283" w:type="dxa"/>
            <w:shd w:val="clear" w:color="auto" w:fill="auto"/>
            <w:noWrap/>
            <w:hideMark/>
          </w:tcPr>
          <w:p w14:paraId="1C973DFC" w14:textId="77777777" w:rsidR="00336C52" w:rsidRPr="00F375F4" w:rsidRDefault="00336C52" w:rsidP="00F24A39">
            <w:pPr>
              <w:pStyle w:val="TableText"/>
              <w:rPr>
                <w:lang w:val="en-US"/>
              </w:rPr>
            </w:pPr>
            <w:r w:rsidRPr="00F375F4">
              <w:rPr>
                <w:lang w:val="en-US"/>
              </w:rPr>
              <w:t>336</w:t>
            </w:r>
          </w:p>
        </w:tc>
        <w:tc>
          <w:tcPr>
            <w:tcW w:w="915" w:type="dxa"/>
            <w:shd w:val="clear" w:color="auto" w:fill="auto"/>
            <w:noWrap/>
            <w:hideMark/>
          </w:tcPr>
          <w:p w14:paraId="7131BEAA" w14:textId="77777777" w:rsidR="00336C52" w:rsidRPr="00F375F4" w:rsidRDefault="00336C52" w:rsidP="00F24A39">
            <w:pPr>
              <w:pStyle w:val="TableText"/>
              <w:rPr>
                <w:lang w:val="en-US"/>
              </w:rPr>
            </w:pPr>
            <w:r w:rsidRPr="00F375F4">
              <w:rPr>
                <w:lang w:val="en-US"/>
              </w:rPr>
              <w:t>PT350</w:t>
            </w:r>
          </w:p>
        </w:tc>
        <w:tc>
          <w:tcPr>
            <w:tcW w:w="752" w:type="dxa"/>
            <w:shd w:val="clear" w:color="auto" w:fill="auto"/>
            <w:noWrap/>
            <w:hideMark/>
          </w:tcPr>
          <w:p w14:paraId="1C6C82F6" w14:textId="77777777" w:rsidR="00336C52" w:rsidRPr="00F375F4" w:rsidRDefault="00336C52" w:rsidP="00F24A39">
            <w:pPr>
              <w:pStyle w:val="TableText"/>
              <w:rPr>
                <w:lang w:val="en-US"/>
              </w:rPr>
            </w:pPr>
            <w:r w:rsidRPr="00F375F4">
              <w:rPr>
                <w:lang w:val="en-US"/>
              </w:rPr>
              <w:t>mg/L</w:t>
            </w:r>
          </w:p>
        </w:tc>
        <w:tc>
          <w:tcPr>
            <w:tcW w:w="851" w:type="dxa"/>
            <w:shd w:val="clear" w:color="auto" w:fill="auto"/>
            <w:noWrap/>
            <w:hideMark/>
          </w:tcPr>
          <w:p w14:paraId="09E8CCF2" w14:textId="77777777" w:rsidR="00336C52" w:rsidRPr="00F375F4" w:rsidRDefault="00336C52" w:rsidP="00F24A39">
            <w:pPr>
              <w:pStyle w:val="TableText"/>
              <w:rPr>
                <w:lang w:val="en-US"/>
              </w:rPr>
            </w:pPr>
            <w:r w:rsidRPr="00F375F4">
              <w:rPr>
                <w:lang w:val="en-US"/>
              </w:rPr>
              <w:t>&lt;0.3</w:t>
            </w:r>
          </w:p>
        </w:tc>
      </w:tr>
      <w:tr w:rsidR="00336C52" w:rsidRPr="00F375F4" w14:paraId="078741C2" w14:textId="77777777" w:rsidTr="0074629E">
        <w:trPr>
          <w:trHeight w:val="20"/>
        </w:trPr>
        <w:tc>
          <w:tcPr>
            <w:tcW w:w="1242" w:type="dxa"/>
            <w:shd w:val="clear" w:color="auto" w:fill="auto"/>
            <w:noWrap/>
            <w:hideMark/>
          </w:tcPr>
          <w:p w14:paraId="1A38DD69" w14:textId="77777777" w:rsidR="00336C52" w:rsidRPr="00F375F4" w:rsidRDefault="00336C52" w:rsidP="00F24A39">
            <w:pPr>
              <w:pStyle w:val="TableText"/>
              <w:rPr>
                <w:lang w:val="en-US"/>
              </w:rPr>
            </w:pPr>
            <w:r w:rsidRPr="00F375F4">
              <w:rPr>
                <w:lang w:val="en-US"/>
              </w:rPr>
              <w:t>FILTP_2</w:t>
            </w:r>
          </w:p>
        </w:tc>
        <w:tc>
          <w:tcPr>
            <w:tcW w:w="1985" w:type="dxa"/>
            <w:shd w:val="clear" w:color="auto" w:fill="auto"/>
            <w:noWrap/>
            <w:hideMark/>
          </w:tcPr>
          <w:p w14:paraId="1292B780" w14:textId="77777777" w:rsidR="00336C52" w:rsidRPr="00F375F4" w:rsidRDefault="00336C52" w:rsidP="00F24A39">
            <w:pPr>
              <w:pStyle w:val="TableText"/>
              <w:rPr>
                <w:lang w:val="en-US"/>
              </w:rPr>
            </w:pPr>
            <w:r w:rsidRPr="00F375F4">
              <w:rPr>
                <w:lang w:val="en-US"/>
              </w:rPr>
              <w:t>Phosphorus - Filterable Reactive as P</w:t>
            </w:r>
          </w:p>
        </w:tc>
        <w:tc>
          <w:tcPr>
            <w:tcW w:w="850" w:type="dxa"/>
            <w:shd w:val="clear" w:color="auto" w:fill="auto"/>
            <w:noWrap/>
            <w:hideMark/>
          </w:tcPr>
          <w:p w14:paraId="21965F60" w14:textId="77777777" w:rsidR="00336C52" w:rsidRPr="00F375F4" w:rsidRDefault="00336C52" w:rsidP="00F24A39">
            <w:pPr>
              <w:pStyle w:val="TableText"/>
              <w:rPr>
                <w:lang w:val="en-US"/>
              </w:rPr>
            </w:pPr>
            <w:r w:rsidRPr="00F375F4">
              <w:rPr>
                <w:lang w:val="en-US"/>
              </w:rPr>
              <w:t>WATER</w:t>
            </w:r>
          </w:p>
        </w:tc>
        <w:tc>
          <w:tcPr>
            <w:tcW w:w="1418" w:type="dxa"/>
            <w:shd w:val="clear" w:color="auto" w:fill="auto"/>
            <w:noWrap/>
            <w:hideMark/>
          </w:tcPr>
          <w:p w14:paraId="20D5B05B" w14:textId="77777777" w:rsidR="00336C52" w:rsidRPr="00F375F4" w:rsidRDefault="00336C52" w:rsidP="00F24A39">
            <w:pPr>
              <w:pStyle w:val="TableText"/>
              <w:rPr>
                <w:lang w:val="en-US"/>
              </w:rPr>
            </w:pPr>
            <w:r w:rsidRPr="00F375F4">
              <w:rPr>
                <w:lang w:val="en-US"/>
              </w:rPr>
              <w:t>APHA 4500-P G</w:t>
            </w:r>
          </w:p>
        </w:tc>
        <w:tc>
          <w:tcPr>
            <w:tcW w:w="1283" w:type="dxa"/>
            <w:shd w:val="clear" w:color="auto" w:fill="auto"/>
            <w:noWrap/>
            <w:hideMark/>
          </w:tcPr>
          <w:p w14:paraId="40DB5BAA" w14:textId="77777777" w:rsidR="00336C52" w:rsidRPr="00F375F4" w:rsidRDefault="00336C52" w:rsidP="00F24A39">
            <w:pPr>
              <w:pStyle w:val="TableText"/>
              <w:rPr>
                <w:lang w:val="en-US"/>
              </w:rPr>
            </w:pPr>
            <w:r w:rsidRPr="00F375F4">
              <w:rPr>
                <w:lang w:val="en-US"/>
              </w:rPr>
              <w:t>672</w:t>
            </w:r>
          </w:p>
        </w:tc>
        <w:tc>
          <w:tcPr>
            <w:tcW w:w="915" w:type="dxa"/>
            <w:shd w:val="clear" w:color="auto" w:fill="auto"/>
            <w:noWrap/>
            <w:hideMark/>
          </w:tcPr>
          <w:p w14:paraId="3A5862F9" w14:textId="77777777" w:rsidR="00336C52" w:rsidRPr="00F375F4" w:rsidRDefault="00336C52" w:rsidP="00F24A39">
            <w:pPr>
              <w:pStyle w:val="TableText"/>
              <w:rPr>
                <w:lang w:val="en-US"/>
              </w:rPr>
            </w:pPr>
            <w:r w:rsidRPr="00F375F4">
              <w:rPr>
                <w:lang w:val="en-US"/>
              </w:rPr>
              <w:t>PT120</w:t>
            </w:r>
          </w:p>
        </w:tc>
        <w:tc>
          <w:tcPr>
            <w:tcW w:w="752" w:type="dxa"/>
            <w:shd w:val="clear" w:color="auto" w:fill="auto"/>
            <w:noWrap/>
            <w:hideMark/>
          </w:tcPr>
          <w:p w14:paraId="6BD9B89B" w14:textId="77777777" w:rsidR="00336C52" w:rsidRPr="00F375F4" w:rsidRDefault="00336C52" w:rsidP="00F24A39">
            <w:pPr>
              <w:pStyle w:val="TableText"/>
              <w:rPr>
                <w:lang w:val="en-US"/>
              </w:rPr>
            </w:pPr>
            <w:r w:rsidRPr="00F375F4">
              <w:rPr>
                <w:lang w:val="en-US"/>
              </w:rPr>
              <w:t>mg/L</w:t>
            </w:r>
          </w:p>
        </w:tc>
        <w:tc>
          <w:tcPr>
            <w:tcW w:w="851" w:type="dxa"/>
            <w:shd w:val="clear" w:color="auto" w:fill="auto"/>
            <w:noWrap/>
            <w:hideMark/>
          </w:tcPr>
          <w:p w14:paraId="1A8BFD75" w14:textId="77777777" w:rsidR="00336C52" w:rsidRPr="00F375F4" w:rsidRDefault="00336C52" w:rsidP="00F24A39">
            <w:pPr>
              <w:pStyle w:val="TableText"/>
              <w:rPr>
                <w:lang w:val="en-US"/>
              </w:rPr>
            </w:pPr>
            <w:r w:rsidRPr="00F375F4">
              <w:rPr>
                <w:lang w:val="en-US"/>
              </w:rPr>
              <w:t>&lt;0.003</w:t>
            </w:r>
          </w:p>
        </w:tc>
      </w:tr>
      <w:tr w:rsidR="00336C52" w:rsidRPr="00F375F4" w14:paraId="4A8D9A48" w14:textId="77777777" w:rsidTr="0074629E">
        <w:trPr>
          <w:trHeight w:val="20"/>
        </w:trPr>
        <w:tc>
          <w:tcPr>
            <w:tcW w:w="1242" w:type="dxa"/>
            <w:shd w:val="clear" w:color="auto" w:fill="auto"/>
            <w:noWrap/>
            <w:hideMark/>
          </w:tcPr>
          <w:p w14:paraId="6AF25131" w14:textId="77777777" w:rsidR="00336C52" w:rsidRPr="00F375F4" w:rsidRDefault="00336C52" w:rsidP="00F24A39">
            <w:pPr>
              <w:pStyle w:val="TableText"/>
              <w:rPr>
                <w:lang w:val="en-US"/>
              </w:rPr>
            </w:pPr>
            <w:r w:rsidRPr="00F375F4">
              <w:rPr>
                <w:lang w:val="en-US"/>
              </w:rPr>
              <w:t>OXN_2</w:t>
            </w:r>
          </w:p>
        </w:tc>
        <w:tc>
          <w:tcPr>
            <w:tcW w:w="1985" w:type="dxa"/>
            <w:shd w:val="clear" w:color="auto" w:fill="auto"/>
            <w:noWrap/>
            <w:hideMark/>
          </w:tcPr>
          <w:p w14:paraId="6D21BAF6" w14:textId="77777777" w:rsidR="00336C52" w:rsidRPr="00F375F4" w:rsidRDefault="00336C52" w:rsidP="00F24A39">
            <w:pPr>
              <w:pStyle w:val="TableText"/>
              <w:rPr>
                <w:lang w:val="en-US"/>
              </w:rPr>
            </w:pPr>
            <w:r w:rsidRPr="00F375F4">
              <w:rPr>
                <w:lang w:val="en-US"/>
              </w:rPr>
              <w:t>Nitrate + Nitrite as N</w:t>
            </w:r>
          </w:p>
        </w:tc>
        <w:tc>
          <w:tcPr>
            <w:tcW w:w="850" w:type="dxa"/>
            <w:shd w:val="clear" w:color="auto" w:fill="auto"/>
            <w:noWrap/>
            <w:hideMark/>
          </w:tcPr>
          <w:p w14:paraId="420E5A71" w14:textId="77777777" w:rsidR="00336C52" w:rsidRPr="00F375F4" w:rsidRDefault="00336C52" w:rsidP="00F24A39">
            <w:pPr>
              <w:pStyle w:val="TableText"/>
              <w:rPr>
                <w:lang w:val="en-US"/>
              </w:rPr>
            </w:pPr>
            <w:r w:rsidRPr="00F375F4">
              <w:rPr>
                <w:lang w:val="en-US"/>
              </w:rPr>
              <w:t>WATER</w:t>
            </w:r>
          </w:p>
        </w:tc>
        <w:tc>
          <w:tcPr>
            <w:tcW w:w="1418" w:type="dxa"/>
            <w:shd w:val="clear" w:color="auto" w:fill="auto"/>
            <w:noWrap/>
            <w:hideMark/>
          </w:tcPr>
          <w:p w14:paraId="3BB06A42" w14:textId="77777777" w:rsidR="00336C52" w:rsidRPr="00F375F4" w:rsidRDefault="00336C52" w:rsidP="00F24A39">
            <w:pPr>
              <w:pStyle w:val="TableText"/>
              <w:rPr>
                <w:lang w:val="en-US"/>
              </w:rPr>
            </w:pPr>
            <w:r w:rsidRPr="00F375F4">
              <w:rPr>
                <w:lang w:val="en-US"/>
              </w:rPr>
              <w:t>APHA 4500-NO3-I</w:t>
            </w:r>
          </w:p>
        </w:tc>
        <w:tc>
          <w:tcPr>
            <w:tcW w:w="1283" w:type="dxa"/>
            <w:shd w:val="clear" w:color="auto" w:fill="auto"/>
            <w:noWrap/>
            <w:hideMark/>
          </w:tcPr>
          <w:p w14:paraId="79E92B35" w14:textId="77777777" w:rsidR="00336C52" w:rsidRPr="00F375F4" w:rsidRDefault="00336C52" w:rsidP="00F24A39">
            <w:pPr>
              <w:pStyle w:val="TableText"/>
              <w:rPr>
                <w:lang w:val="en-US"/>
              </w:rPr>
            </w:pPr>
            <w:r w:rsidRPr="00F375F4">
              <w:rPr>
                <w:lang w:val="en-US"/>
              </w:rPr>
              <w:t>672</w:t>
            </w:r>
          </w:p>
        </w:tc>
        <w:tc>
          <w:tcPr>
            <w:tcW w:w="915" w:type="dxa"/>
            <w:shd w:val="clear" w:color="auto" w:fill="auto"/>
            <w:noWrap/>
            <w:hideMark/>
          </w:tcPr>
          <w:p w14:paraId="012B8A2B" w14:textId="77777777" w:rsidR="00336C52" w:rsidRPr="00F375F4" w:rsidRDefault="00336C52" w:rsidP="00F24A39">
            <w:pPr>
              <w:pStyle w:val="TableText"/>
              <w:rPr>
                <w:lang w:val="en-US"/>
              </w:rPr>
            </w:pPr>
            <w:r w:rsidRPr="00F375F4">
              <w:rPr>
                <w:lang w:val="en-US"/>
              </w:rPr>
              <w:t>PT120</w:t>
            </w:r>
          </w:p>
        </w:tc>
        <w:tc>
          <w:tcPr>
            <w:tcW w:w="752" w:type="dxa"/>
            <w:shd w:val="clear" w:color="auto" w:fill="auto"/>
            <w:noWrap/>
            <w:hideMark/>
          </w:tcPr>
          <w:p w14:paraId="7E60351C" w14:textId="77777777" w:rsidR="00336C52" w:rsidRPr="00F375F4" w:rsidRDefault="00336C52" w:rsidP="00F24A39">
            <w:pPr>
              <w:pStyle w:val="TableText"/>
              <w:rPr>
                <w:lang w:val="en-US"/>
              </w:rPr>
            </w:pPr>
            <w:r w:rsidRPr="00F375F4">
              <w:rPr>
                <w:lang w:val="en-US"/>
              </w:rPr>
              <w:t>mg/L</w:t>
            </w:r>
          </w:p>
        </w:tc>
        <w:tc>
          <w:tcPr>
            <w:tcW w:w="851" w:type="dxa"/>
            <w:shd w:val="clear" w:color="auto" w:fill="auto"/>
            <w:noWrap/>
            <w:hideMark/>
          </w:tcPr>
          <w:p w14:paraId="4BE27ACB" w14:textId="77777777" w:rsidR="00336C52" w:rsidRPr="00F375F4" w:rsidRDefault="00336C52" w:rsidP="00F24A39">
            <w:pPr>
              <w:pStyle w:val="TableText"/>
              <w:rPr>
                <w:lang w:val="en-US"/>
              </w:rPr>
            </w:pPr>
            <w:r w:rsidRPr="00F375F4">
              <w:rPr>
                <w:lang w:val="en-US"/>
              </w:rPr>
              <w:t>&lt;0.003</w:t>
            </w:r>
          </w:p>
        </w:tc>
      </w:tr>
      <w:tr w:rsidR="00336C52" w:rsidRPr="00F375F4" w14:paraId="15E25D95" w14:textId="77777777" w:rsidTr="0074629E">
        <w:trPr>
          <w:trHeight w:val="20"/>
        </w:trPr>
        <w:tc>
          <w:tcPr>
            <w:tcW w:w="1242" w:type="dxa"/>
            <w:shd w:val="clear" w:color="auto" w:fill="auto"/>
            <w:noWrap/>
            <w:hideMark/>
          </w:tcPr>
          <w:p w14:paraId="3564A282" w14:textId="77777777" w:rsidR="00336C52" w:rsidRPr="00F375F4" w:rsidRDefault="00336C52" w:rsidP="00F24A39">
            <w:pPr>
              <w:pStyle w:val="TableText"/>
              <w:rPr>
                <w:lang w:val="en-US"/>
              </w:rPr>
            </w:pPr>
            <w:r w:rsidRPr="00F375F4">
              <w:rPr>
                <w:lang w:val="en-US"/>
              </w:rPr>
              <w:t>TKNN_COL_1</w:t>
            </w:r>
          </w:p>
        </w:tc>
        <w:tc>
          <w:tcPr>
            <w:tcW w:w="1985" w:type="dxa"/>
            <w:shd w:val="clear" w:color="auto" w:fill="auto"/>
            <w:noWrap/>
            <w:hideMark/>
          </w:tcPr>
          <w:p w14:paraId="70BB33B5" w14:textId="77777777" w:rsidR="00336C52" w:rsidRPr="00F375F4" w:rsidRDefault="00336C52" w:rsidP="00F24A39">
            <w:pPr>
              <w:pStyle w:val="TableText"/>
              <w:rPr>
                <w:lang w:val="en-US"/>
              </w:rPr>
            </w:pPr>
            <w:r w:rsidRPr="00F375F4">
              <w:rPr>
                <w:lang w:val="en-US"/>
              </w:rPr>
              <w:t>TKN as N</w:t>
            </w:r>
          </w:p>
        </w:tc>
        <w:tc>
          <w:tcPr>
            <w:tcW w:w="850" w:type="dxa"/>
            <w:shd w:val="clear" w:color="auto" w:fill="auto"/>
            <w:noWrap/>
            <w:hideMark/>
          </w:tcPr>
          <w:p w14:paraId="58BBA8D4" w14:textId="77777777" w:rsidR="00336C52" w:rsidRPr="00F375F4" w:rsidRDefault="00336C52" w:rsidP="00F24A39">
            <w:pPr>
              <w:pStyle w:val="TableText"/>
              <w:rPr>
                <w:lang w:val="en-US"/>
              </w:rPr>
            </w:pPr>
            <w:r w:rsidRPr="00F375F4">
              <w:rPr>
                <w:lang w:val="en-US"/>
              </w:rPr>
              <w:t>WATER</w:t>
            </w:r>
          </w:p>
        </w:tc>
        <w:tc>
          <w:tcPr>
            <w:tcW w:w="1418" w:type="dxa"/>
            <w:shd w:val="clear" w:color="auto" w:fill="auto"/>
            <w:noWrap/>
            <w:hideMark/>
          </w:tcPr>
          <w:p w14:paraId="3248B372" w14:textId="77777777" w:rsidR="00336C52" w:rsidRPr="00F375F4" w:rsidRDefault="00336C52" w:rsidP="00F24A39">
            <w:pPr>
              <w:pStyle w:val="TableText"/>
              <w:rPr>
                <w:lang w:val="en-US"/>
              </w:rPr>
            </w:pPr>
            <w:r w:rsidRPr="00F375F4">
              <w:rPr>
                <w:lang w:val="en-US"/>
              </w:rPr>
              <w:t xml:space="preserve">APHA-N </w:t>
            </w:r>
          </w:p>
          <w:p w14:paraId="2A18DB81" w14:textId="77777777" w:rsidR="00336C52" w:rsidRPr="00F375F4" w:rsidRDefault="00336C52" w:rsidP="00F24A39">
            <w:pPr>
              <w:pStyle w:val="TableText"/>
              <w:rPr>
                <w:lang w:val="en-US"/>
              </w:rPr>
            </w:pPr>
            <w:r w:rsidRPr="00F375F4">
              <w:rPr>
                <w:lang w:val="en-US"/>
              </w:rPr>
              <w:t>org A</w:t>
            </w:r>
          </w:p>
        </w:tc>
        <w:tc>
          <w:tcPr>
            <w:tcW w:w="1283" w:type="dxa"/>
            <w:shd w:val="clear" w:color="auto" w:fill="auto"/>
            <w:noWrap/>
            <w:hideMark/>
          </w:tcPr>
          <w:p w14:paraId="16A9BB75" w14:textId="77777777" w:rsidR="00336C52" w:rsidRPr="00F375F4" w:rsidRDefault="00336C52" w:rsidP="00F24A39">
            <w:pPr>
              <w:pStyle w:val="TableText"/>
              <w:rPr>
                <w:lang w:val="en-US"/>
              </w:rPr>
            </w:pPr>
            <w:r w:rsidRPr="00F375F4">
              <w:rPr>
                <w:lang w:val="en-US"/>
              </w:rPr>
              <w:t>672</w:t>
            </w:r>
          </w:p>
        </w:tc>
        <w:tc>
          <w:tcPr>
            <w:tcW w:w="915" w:type="dxa"/>
            <w:shd w:val="clear" w:color="auto" w:fill="auto"/>
            <w:noWrap/>
            <w:hideMark/>
          </w:tcPr>
          <w:p w14:paraId="088937F2" w14:textId="77777777" w:rsidR="00336C52" w:rsidRPr="00F375F4" w:rsidRDefault="00336C52" w:rsidP="00F24A39">
            <w:pPr>
              <w:pStyle w:val="TableText"/>
              <w:rPr>
                <w:lang w:val="en-US"/>
              </w:rPr>
            </w:pPr>
            <w:r w:rsidRPr="00F375F4">
              <w:rPr>
                <w:lang w:val="en-US"/>
              </w:rPr>
              <w:t>PT120</w:t>
            </w:r>
          </w:p>
        </w:tc>
        <w:tc>
          <w:tcPr>
            <w:tcW w:w="752" w:type="dxa"/>
            <w:shd w:val="clear" w:color="auto" w:fill="auto"/>
            <w:noWrap/>
            <w:hideMark/>
          </w:tcPr>
          <w:p w14:paraId="1333FA7C" w14:textId="77777777" w:rsidR="00336C52" w:rsidRPr="00F375F4" w:rsidRDefault="00336C52" w:rsidP="00F24A39">
            <w:pPr>
              <w:pStyle w:val="TableText"/>
              <w:rPr>
                <w:lang w:val="en-US"/>
              </w:rPr>
            </w:pPr>
            <w:r w:rsidRPr="00F375F4">
              <w:rPr>
                <w:lang w:val="en-US"/>
              </w:rPr>
              <w:t>mg/L</w:t>
            </w:r>
          </w:p>
        </w:tc>
        <w:tc>
          <w:tcPr>
            <w:tcW w:w="851" w:type="dxa"/>
            <w:shd w:val="clear" w:color="auto" w:fill="auto"/>
            <w:noWrap/>
            <w:hideMark/>
          </w:tcPr>
          <w:p w14:paraId="4C1D2A08" w14:textId="77777777" w:rsidR="00336C52" w:rsidRPr="00F375F4" w:rsidRDefault="00336C52" w:rsidP="00F24A39">
            <w:pPr>
              <w:pStyle w:val="TableText"/>
              <w:rPr>
                <w:lang w:val="en-US"/>
              </w:rPr>
            </w:pPr>
            <w:r w:rsidRPr="00F375F4">
              <w:rPr>
                <w:lang w:val="en-US"/>
              </w:rPr>
              <w:t>&lt;0.05</w:t>
            </w:r>
          </w:p>
        </w:tc>
      </w:tr>
      <w:tr w:rsidR="00336C52" w:rsidRPr="00F375F4" w14:paraId="7A03480F" w14:textId="77777777" w:rsidTr="0074629E">
        <w:trPr>
          <w:trHeight w:val="20"/>
        </w:trPr>
        <w:tc>
          <w:tcPr>
            <w:tcW w:w="1242" w:type="dxa"/>
            <w:shd w:val="clear" w:color="auto" w:fill="auto"/>
            <w:noWrap/>
            <w:hideMark/>
          </w:tcPr>
          <w:p w14:paraId="282CED74" w14:textId="77777777" w:rsidR="00336C52" w:rsidRPr="00F375F4" w:rsidRDefault="00336C52" w:rsidP="00F24A39">
            <w:pPr>
              <w:pStyle w:val="TableText"/>
              <w:rPr>
                <w:lang w:val="en-US"/>
              </w:rPr>
            </w:pPr>
            <w:r w:rsidRPr="00F375F4">
              <w:rPr>
                <w:lang w:val="en-US"/>
              </w:rPr>
              <w:t>P_TOT_2</w:t>
            </w:r>
          </w:p>
        </w:tc>
        <w:tc>
          <w:tcPr>
            <w:tcW w:w="1985" w:type="dxa"/>
            <w:shd w:val="clear" w:color="auto" w:fill="auto"/>
            <w:noWrap/>
            <w:hideMark/>
          </w:tcPr>
          <w:p w14:paraId="5E9E4A30" w14:textId="77777777" w:rsidR="00336C52" w:rsidRPr="00F375F4" w:rsidRDefault="00336C52" w:rsidP="00F24A39">
            <w:pPr>
              <w:pStyle w:val="TableText"/>
              <w:rPr>
                <w:lang w:val="en-US"/>
              </w:rPr>
            </w:pPr>
            <w:r w:rsidRPr="00F375F4">
              <w:rPr>
                <w:lang w:val="en-US"/>
              </w:rPr>
              <w:t>Phosphorus - Total</w:t>
            </w:r>
          </w:p>
        </w:tc>
        <w:tc>
          <w:tcPr>
            <w:tcW w:w="850" w:type="dxa"/>
            <w:shd w:val="clear" w:color="auto" w:fill="auto"/>
            <w:noWrap/>
            <w:hideMark/>
          </w:tcPr>
          <w:p w14:paraId="7991057A" w14:textId="77777777" w:rsidR="00336C52" w:rsidRPr="00F375F4" w:rsidRDefault="00336C52" w:rsidP="00F24A39">
            <w:pPr>
              <w:pStyle w:val="TableText"/>
              <w:rPr>
                <w:lang w:val="en-US"/>
              </w:rPr>
            </w:pPr>
            <w:r w:rsidRPr="00F375F4">
              <w:rPr>
                <w:lang w:val="en-US"/>
              </w:rPr>
              <w:t>WATER</w:t>
            </w:r>
          </w:p>
        </w:tc>
        <w:tc>
          <w:tcPr>
            <w:tcW w:w="1418" w:type="dxa"/>
            <w:shd w:val="clear" w:color="auto" w:fill="auto"/>
            <w:noWrap/>
            <w:hideMark/>
          </w:tcPr>
          <w:p w14:paraId="4B8C04B1" w14:textId="77777777" w:rsidR="00336C52" w:rsidRPr="00F375F4" w:rsidRDefault="00336C52" w:rsidP="00F24A39">
            <w:pPr>
              <w:pStyle w:val="TableText"/>
              <w:rPr>
                <w:lang w:val="en-US"/>
              </w:rPr>
            </w:pPr>
            <w:r w:rsidRPr="00F375F4">
              <w:rPr>
                <w:lang w:val="en-US"/>
              </w:rPr>
              <w:t xml:space="preserve">APHA-N </w:t>
            </w:r>
          </w:p>
          <w:p w14:paraId="559CDF61" w14:textId="77777777" w:rsidR="00336C52" w:rsidRPr="00F375F4" w:rsidRDefault="00336C52" w:rsidP="00F24A39">
            <w:pPr>
              <w:pStyle w:val="TableText"/>
              <w:rPr>
                <w:lang w:val="en-US"/>
              </w:rPr>
            </w:pPr>
            <w:r w:rsidRPr="00F375F4">
              <w:rPr>
                <w:lang w:val="en-US"/>
              </w:rPr>
              <w:t>org A</w:t>
            </w:r>
          </w:p>
        </w:tc>
        <w:tc>
          <w:tcPr>
            <w:tcW w:w="1283" w:type="dxa"/>
            <w:shd w:val="clear" w:color="auto" w:fill="auto"/>
            <w:noWrap/>
            <w:hideMark/>
          </w:tcPr>
          <w:p w14:paraId="7E326759" w14:textId="77777777" w:rsidR="00336C52" w:rsidRPr="00F375F4" w:rsidRDefault="00336C52" w:rsidP="00F24A39">
            <w:pPr>
              <w:pStyle w:val="TableText"/>
              <w:rPr>
                <w:lang w:val="en-US"/>
              </w:rPr>
            </w:pPr>
            <w:r w:rsidRPr="00F375F4">
              <w:rPr>
                <w:lang w:val="en-US"/>
              </w:rPr>
              <w:t>672</w:t>
            </w:r>
          </w:p>
        </w:tc>
        <w:tc>
          <w:tcPr>
            <w:tcW w:w="915" w:type="dxa"/>
            <w:shd w:val="clear" w:color="auto" w:fill="auto"/>
            <w:noWrap/>
            <w:hideMark/>
          </w:tcPr>
          <w:p w14:paraId="6EB3BCBD" w14:textId="77777777" w:rsidR="00336C52" w:rsidRPr="00F375F4" w:rsidRDefault="00336C52" w:rsidP="00F24A39">
            <w:pPr>
              <w:pStyle w:val="TableText"/>
              <w:rPr>
                <w:lang w:val="en-US"/>
              </w:rPr>
            </w:pPr>
            <w:r w:rsidRPr="00F375F4">
              <w:rPr>
                <w:lang w:val="en-US"/>
              </w:rPr>
              <w:t>PT120</w:t>
            </w:r>
          </w:p>
        </w:tc>
        <w:tc>
          <w:tcPr>
            <w:tcW w:w="752" w:type="dxa"/>
            <w:shd w:val="clear" w:color="auto" w:fill="auto"/>
            <w:noWrap/>
            <w:hideMark/>
          </w:tcPr>
          <w:p w14:paraId="005C7ECC" w14:textId="77777777" w:rsidR="00336C52" w:rsidRPr="00F375F4" w:rsidRDefault="00336C52" w:rsidP="00F24A39">
            <w:pPr>
              <w:pStyle w:val="TableText"/>
              <w:rPr>
                <w:lang w:val="en-US"/>
              </w:rPr>
            </w:pPr>
            <w:r w:rsidRPr="00F375F4">
              <w:rPr>
                <w:lang w:val="en-US"/>
              </w:rPr>
              <w:t>mg/L</w:t>
            </w:r>
          </w:p>
        </w:tc>
        <w:tc>
          <w:tcPr>
            <w:tcW w:w="851" w:type="dxa"/>
            <w:shd w:val="clear" w:color="auto" w:fill="auto"/>
            <w:noWrap/>
            <w:hideMark/>
          </w:tcPr>
          <w:p w14:paraId="77790D61" w14:textId="77777777" w:rsidR="00336C52" w:rsidRPr="00F375F4" w:rsidRDefault="00336C52" w:rsidP="00F24A39">
            <w:pPr>
              <w:pStyle w:val="TableText"/>
              <w:rPr>
                <w:lang w:val="en-US"/>
              </w:rPr>
            </w:pPr>
            <w:r w:rsidRPr="00F375F4">
              <w:rPr>
                <w:lang w:val="en-US"/>
              </w:rPr>
              <w:t>&lt;0.005</w:t>
            </w:r>
          </w:p>
        </w:tc>
      </w:tr>
      <w:tr w:rsidR="00336C52" w:rsidRPr="00F375F4" w14:paraId="7E73CFA4" w14:textId="77777777" w:rsidTr="0074629E">
        <w:trPr>
          <w:trHeight w:val="20"/>
        </w:trPr>
        <w:tc>
          <w:tcPr>
            <w:tcW w:w="1242" w:type="dxa"/>
            <w:shd w:val="clear" w:color="auto" w:fill="auto"/>
            <w:noWrap/>
            <w:hideMark/>
          </w:tcPr>
          <w:p w14:paraId="6AF05F68" w14:textId="77777777" w:rsidR="00336C52" w:rsidRPr="00F375F4" w:rsidRDefault="00336C52" w:rsidP="00F24A39">
            <w:pPr>
              <w:pStyle w:val="TableText"/>
              <w:rPr>
                <w:lang w:val="en-US"/>
              </w:rPr>
            </w:pPr>
            <w:r w:rsidRPr="00F375F4">
              <w:rPr>
                <w:lang w:val="en-US"/>
              </w:rPr>
              <w:t>TN_CALC_1</w:t>
            </w:r>
          </w:p>
        </w:tc>
        <w:tc>
          <w:tcPr>
            <w:tcW w:w="1985" w:type="dxa"/>
            <w:shd w:val="clear" w:color="auto" w:fill="auto"/>
            <w:noWrap/>
            <w:hideMark/>
          </w:tcPr>
          <w:p w14:paraId="228911A5" w14:textId="77777777" w:rsidR="00336C52" w:rsidRPr="00F375F4" w:rsidRDefault="00336C52" w:rsidP="00F24A39">
            <w:pPr>
              <w:pStyle w:val="TableText"/>
              <w:rPr>
                <w:lang w:val="en-US"/>
              </w:rPr>
            </w:pPr>
            <w:r w:rsidRPr="00F375F4">
              <w:rPr>
                <w:lang w:val="en-US"/>
              </w:rPr>
              <w:t>Nitrogen - Total</w:t>
            </w:r>
          </w:p>
        </w:tc>
        <w:tc>
          <w:tcPr>
            <w:tcW w:w="850" w:type="dxa"/>
            <w:shd w:val="clear" w:color="auto" w:fill="auto"/>
            <w:noWrap/>
            <w:hideMark/>
          </w:tcPr>
          <w:p w14:paraId="7F7699F7" w14:textId="77777777" w:rsidR="00336C52" w:rsidRPr="00F375F4" w:rsidRDefault="00336C52" w:rsidP="00F24A39">
            <w:pPr>
              <w:pStyle w:val="TableText"/>
              <w:rPr>
                <w:lang w:val="en-US"/>
              </w:rPr>
            </w:pPr>
            <w:r w:rsidRPr="00F375F4">
              <w:rPr>
                <w:lang w:val="en-US"/>
              </w:rPr>
              <w:t>WATER</w:t>
            </w:r>
          </w:p>
        </w:tc>
        <w:tc>
          <w:tcPr>
            <w:tcW w:w="1418" w:type="dxa"/>
            <w:shd w:val="clear" w:color="auto" w:fill="auto"/>
            <w:noWrap/>
            <w:hideMark/>
          </w:tcPr>
          <w:p w14:paraId="03FD8D53" w14:textId="77777777" w:rsidR="00336C52" w:rsidRPr="00F375F4" w:rsidRDefault="00336C52" w:rsidP="00F24A39">
            <w:pPr>
              <w:pStyle w:val="TableText"/>
              <w:rPr>
                <w:lang w:val="en-US"/>
              </w:rPr>
            </w:pPr>
            <w:r w:rsidRPr="00F375F4">
              <w:rPr>
                <w:lang w:val="en-US"/>
              </w:rPr>
              <w:t xml:space="preserve">APHA-N </w:t>
            </w:r>
          </w:p>
          <w:p w14:paraId="31234E8B" w14:textId="77777777" w:rsidR="00336C52" w:rsidRPr="00F375F4" w:rsidRDefault="00336C52" w:rsidP="00F24A39">
            <w:pPr>
              <w:pStyle w:val="TableText"/>
              <w:rPr>
                <w:lang w:val="en-US"/>
              </w:rPr>
            </w:pPr>
            <w:r w:rsidRPr="00F375F4">
              <w:rPr>
                <w:lang w:val="en-US"/>
              </w:rPr>
              <w:t>org A</w:t>
            </w:r>
          </w:p>
        </w:tc>
        <w:tc>
          <w:tcPr>
            <w:tcW w:w="1283" w:type="dxa"/>
            <w:shd w:val="clear" w:color="auto" w:fill="auto"/>
            <w:noWrap/>
            <w:hideMark/>
          </w:tcPr>
          <w:p w14:paraId="3288F679" w14:textId="77777777" w:rsidR="00336C52" w:rsidRPr="00F375F4" w:rsidRDefault="00336C52" w:rsidP="00F24A39">
            <w:pPr>
              <w:pStyle w:val="TableText"/>
              <w:rPr>
                <w:lang w:val="en-US"/>
              </w:rPr>
            </w:pPr>
            <w:r w:rsidRPr="00F375F4">
              <w:rPr>
                <w:lang w:val="en-US"/>
              </w:rPr>
              <w:t>672</w:t>
            </w:r>
          </w:p>
        </w:tc>
        <w:tc>
          <w:tcPr>
            <w:tcW w:w="915" w:type="dxa"/>
            <w:shd w:val="clear" w:color="auto" w:fill="auto"/>
            <w:noWrap/>
            <w:hideMark/>
          </w:tcPr>
          <w:p w14:paraId="4B6460D7" w14:textId="77777777" w:rsidR="00336C52" w:rsidRPr="00F375F4" w:rsidRDefault="00336C52" w:rsidP="00F24A39">
            <w:pPr>
              <w:pStyle w:val="TableText"/>
              <w:rPr>
                <w:lang w:val="en-US"/>
              </w:rPr>
            </w:pPr>
            <w:r w:rsidRPr="00F375F4">
              <w:rPr>
                <w:lang w:val="en-US"/>
              </w:rPr>
              <w:t>NONE</w:t>
            </w:r>
          </w:p>
        </w:tc>
        <w:tc>
          <w:tcPr>
            <w:tcW w:w="752" w:type="dxa"/>
            <w:shd w:val="clear" w:color="auto" w:fill="auto"/>
            <w:noWrap/>
            <w:hideMark/>
          </w:tcPr>
          <w:p w14:paraId="64E3EC9F" w14:textId="77777777" w:rsidR="00336C52" w:rsidRPr="00F375F4" w:rsidRDefault="00336C52" w:rsidP="00F24A39">
            <w:pPr>
              <w:pStyle w:val="TableText"/>
              <w:rPr>
                <w:lang w:val="en-US"/>
              </w:rPr>
            </w:pPr>
            <w:r w:rsidRPr="00F375F4">
              <w:rPr>
                <w:lang w:val="en-US"/>
              </w:rPr>
              <w:t>mg/L</w:t>
            </w:r>
          </w:p>
        </w:tc>
        <w:tc>
          <w:tcPr>
            <w:tcW w:w="851" w:type="dxa"/>
            <w:shd w:val="clear" w:color="auto" w:fill="auto"/>
            <w:noWrap/>
            <w:hideMark/>
          </w:tcPr>
          <w:p w14:paraId="16F98BC5" w14:textId="77777777" w:rsidR="00336C52" w:rsidRPr="00F375F4" w:rsidRDefault="00336C52" w:rsidP="00F24A39">
            <w:pPr>
              <w:pStyle w:val="TableText"/>
              <w:rPr>
                <w:lang w:val="en-US"/>
              </w:rPr>
            </w:pPr>
            <w:r w:rsidRPr="00F375F4">
              <w:rPr>
                <w:lang w:val="en-US"/>
              </w:rPr>
              <w:t>&lt;0.06</w:t>
            </w:r>
          </w:p>
        </w:tc>
      </w:tr>
    </w:tbl>
    <w:p w14:paraId="3BF1C6EE" w14:textId="77777777" w:rsidR="00336C52" w:rsidRPr="009B5E2D" w:rsidRDefault="00336C52" w:rsidP="00336C52">
      <w:pPr>
        <w:pStyle w:val="Heading3"/>
      </w:pPr>
      <w:bookmarkStart w:id="764" w:name="_Toc6403817"/>
      <w:bookmarkStart w:id="765" w:name="_Toc10095202"/>
      <w:bookmarkStart w:id="766" w:name="_Toc10192371"/>
      <w:bookmarkStart w:id="767" w:name="_Toc10206686"/>
      <w:bookmarkStart w:id="768" w:name="_Toc10213272"/>
      <w:bookmarkStart w:id="769" w:name="_Toc10732296"/>
      <w:bookmarkStart w:id="770" w:name="_Toc10796855"/>
      <w:bookmarkStart w:id="771" w:name="_Toc12022740"/>
      <w:bookmarkStart w:id="772" w:name="_Toc12630570"/>
      <w:bookmarkStart w:id="773" w:name="_Toc16154430"/>
      <w:bookmarkStart w:id="774" w:name="_Toc22196792"/>
      <w:r w:rsidRPr="009B5E2D">
        <w:t>Equipment</w:t>
      </w:r>
      <w:bookmarkEnd w:id="764"/>
      <w:bookmarkEnd w:id="765"/>
      <w:bookmarkEnd w:id="766"/>
      <w:bookmarkEnd w:id="767"/>
      <w:bookmarkEnd w:id="768"/>
      <w:bookmarkEnd w:id="769"/>
      <w:bookmarkEnd w:id="770"/>
      <w:bookmarkEnd w:id="771"/>
      <w:bookmarkEnd w:id="772"/>
      <w:bookmarkEnd w:id="773"/>
      <w:bookmarkEnd w:id="774"/>
      <w:r w:rsidRPr="009B5E2D">
        <w:t xml:space="preserve"> </w:t>
      </w:r>
    </w:p>
    <w:p w14:paraId="45697825" w14:textId="77777777" w:rsidR="00336C52" w:rsidRPr="00F375F4" w:rsidRDefault="00336C52" w:rsidP="00C77254">
      <w:pPr>
        <w:pStyle w:val="Default"/>
        <w:widowControl w:val="0"/>
        <w:numPr>
          <w:ilvl w:val="0"/>
          <w:numId w:val="32"/>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 xml:space="preserve">Sample containers and appropriate preservatives (sourced from AWQC NATA laboratory) </w:t>
      </w:r>
    </w:p>
    <w:p w14:paraId="7A32FB8E" w14:textId="77777777" w:rsidR="00336C52" w:rsidRPr="00F375F4" w:rsidRDefault="00336C52" w:rsidP="00C77254">
      <w:pPr>
        <w:pStyle w:val="Default"/>
        <w:widowControl w:val="0"/>
        <w:numPr>
          <w:ilvl w:val="0"/>
          <w:numId w:val="32"/>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0.</w:t>
      </w:r>
      <w:r w:rsidR="003763E2">
        <w:rPr>
          <w:rFonts w:asciiTheme="minorHAnsi" w:hAnsiTheme="minorHAnsi" w:cs="Calibri"/>
          <w:sz w:val="22"/>
          <w:szCs w:val="22"/>
        </w:rPr>
        <w:t>2</w:t>
      </w:r>
      <w:r w:rsidRPr="00F375F4">
        <w:rPr>
          <w:rFonts w:asciiTheme="minorHAnsi" w:hAnsiTheme="minorHAnsi" w:cs="Calibri"/>
          <w:sz w:val="22"/>
          <w:szCs w:val="22"/>
        </w:rPr>
        <w:t xml:space="preserve"> µm filters and suitable filtering device (e.g. syringe filter) for dissolved nutrients and carbon (sourced from AWQC NATA laboratory)</w:t>
      </w:r>
    </w:p>
    <w:p w14:paraId="10E967CE" w14:textId="77777777" w:rsidR="00336C52" w:rsidRPr="00F375F4" w:rsidRDefault="00336C52" w:rsidP="00C77254">
      <w:pPr>
        <w:pStyle w:val="Default"/>
        <w:widowControl w:val="0"/>
        <w:numPr>
          <w:ilvl w:val="0"/>
          <w:numId w:val="32"/>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lastRenderedPageBreak/>
        <w:t xml:space="preserve">47 mm glass fibre (GFC) filters and suitable filtering device for chlorophyll-a </w:t>
      </w:r>
    </w:p>
    <w:p w14:paraId="65400EFE" w14:textId="77777777" w:rsidR="00336C52" w:rsidRPr="00F375F4" w:rsidRDefault="00336C52" w:rsidP="00C77254">
      <w:pPr>
        <w:pStyle w:val="Default"/>
        <w:widowControl w:val="0"/>
        <w:numPr>
          <w:ilvl w:val="0"/>
          <w:numId w:val="32"/>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 xml:space="preserve">Water quality meter(s) with pH, turbidity and electrical conductivity probes </w:t>
      </w:r>
    </w:p>
    <w:p w14:paraId="658C1936" w14:textId="77777777" w:rsidR="00336C52" w:rsidRPr="00F375F4" w:rsidRDefault="00336C52" w:rsidP="00C77254">
      <w:pPr>
        <w:pStyle w:val="Default"/>
        <w:widowControl w:val="0"/>
        <w:numPr>
          <w:ilvl w:val="0"/>
          <w:numId w:val="32"/>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 xml:space="preserve">Deionised water for sample blanks </w:t>
      </w:r>
    </w:p>
    <w:p w14:paraId="4AB01EE2" w14:textId="77777777" w:rsidR="00336C52" w:rsidRPr="00F375F4" w:rsidRDefault="00336C52" w:rsidP="00C77254">
      <w:pPr>
        <w:pStyle w:val="Default"/>
        <w:widowControl w:val="0"/>
        <w:numPr>
          <w:ilvl w:val="0"/>
          <w:numId w:val="32"/>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Integrated sampling tube and collecting bucket</w:t>
      </w:r>
    </w:p>
    <w:p w14:paraId="619D9E04" w14:textId="77777777" w:rsidR="00336C52" w:rsidRPr="00F375F4" w:rsidRDefault="00336C52" w:rsidP="00C77254">
      <w:pPr>
        <w:pStyle w:val="Default"/>
        <w:widowControl w:val="0"/>
        <w:numPr>
          <w:ilvl w:val="0"/>
          <w:numId w:val="32"/>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 xml:space="preserve">Eskies and ice for sample preservation and storage </w:t>
      </w:r>
    </w:p>
    <w:p w14:paraId="5245E5FD" w14:textId="2855D10B" w:rsidR="00336C52" w:rsidRPr="004914FD" w:rsidRDefault="001E03EE" w:rsidP="004914FD">
      <w:pPr>
        <w:pStyle w:val="Default"/>
        <w:widowControl w:val="0"/>
        <w:numPr>
          <w:ilvl w:val="0"/>
          <w:numId w:val="32"/>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Datasheets</w:t>
      </w:r>
      <w:r>
        <w:rPr>
          <w:rFonts w:asciiTheme="minorHAnsi" w:hAnsiTheme="minorHAnsi" w:cs="Calibri"/>
          <w:sz w:val="22"/>
          <w:szCs w:val="22"/>
        </w:rPr>
        <w:t>, data book</w:t>
      </w:r>
      <w:r w:rsidR="004914FD">
        <w:rPr>
          <w:rFonts w:asciiTheme="minorHAnsi" w:hAnsiTheme="minorHAnsi" w:cs="Calibri"/>
          <w:sz w:val="22"/>
          <w:szCs w:val="22"/>
        </w:rPr>
        <w:t xml:space="preserve"> and/or field computer</w:t>
      </w:r>
      <w:r w:rsidR="00336C52" w:rsidRPr="004914FD">
        <w:rPr>
          <w:rFonts w:asciiTheme="minorHAnsi" w:hAnsiTheme="minorHAnsi" w:cs="Calibri"/>
          <w:sz w:val="22"/>
          <w:szCs w:val="22"/>
        </w:rPr>
        <w:t xml:space="preserve">. </w:t>
      </w:r>
    </w:p>
    <w:p w14:paraId="5E94E9A9" w14:textId="77777777" w:rsidR="00336C52" w:rsidRPr="00F375F4" w:rsidRDefault="00336C52" w:rsidP="00336C52">
      <w:pPr>
        <w:pStyle w:val="Heading3"/>
      </w:pPr>
      <w:bookmarkStart w:id="775" w:name="_Toc6403818"/>
      <w:bookmarkStart w:id="776" w:name="_Toc10095203"/>
      <w:bookmarkStart w:id="777" w:name="_Toc10192372"/>
      <w:bookmarkStart w:id="778" w:name="_Toc10206687"/>
      <w:bookmarkStart w:id="779" w:name="_Toc10213273"/>
      <w:bookmarkStart w:id="780" w:name="_Toc10732297"/>
      <w:bookmarkStart w:id="781" w:name="_Toc10796856"/>
      <w:bookmarkStart w:id="782" w:name="_Toc12022741"/>
      <w:bookmarkStart w:id="783" w:name="_Toc12630571"/>
      <w:bookmarkStart w:id="784" w:name="_Toc16154431"/>
      <w:bookmarkStart w:id="785" w:name="_Toc22196793"/>
      <w:r w:rsidRPr="00F375F4">
        <w:t>Protocol</w:t>
      </w:r>
      <w:bookmarkEnd w:id="775"/>
      <w:bookmarkEnd w:id="776"/>
      <w:bookmarkEnd w:id="777"/>
      <w:bookmarkEnd w:id="778"/>
      <w:bookmarkEnd w:id="779"/>
      <w:bookmarkEnd w:id="780"/>
      <w:bookmarkEnd w:id="781"/>
      <w:bookmarkEnd w:id="782"/>
      <w:bookmarkEnd w:id="783"/>
      <w:bookmarkEnd w:id="784"/>
      <w:bookmarkEnd w:id="785"/>
      <w:r w:rsidRPr="00F375F4">
        <w:t xml:space="preserve"> </w:t>
      </w:r>
    </w:p>
    <w:p w14:paraId="11D4CE91" w14:textId="77777777" w:rsidR="00336C52" w:rsidRPr="00F375F4" w:rsidRDefault="00336C52" w:rsidP="00C77254">
      <w:pPr>
        <w:pStyle w:val="Default"/>
        <w:widowControl w:val="0"/>
        <w:numPr>
          <w:ilvl w:val="0"/>
          <w:numId w:val="33"/>
        </w:numPr>
        <w:spacing w:before="40" w:after="40"/>
        <w:ind w:left="584" w:hanging="357"/>
        <w:jc w:val="both"/>
        <w:rPr>
          <w:rFonts w:asciiTheme="minorHAnsi" w:hAnsiTheme="minorHAnsi" w:cs="Calibri"/>
          <w:sz w:val="22"/>
          <w:szCs w:val="22"/>
        </w:rPr>
      </w:pPr>
      <w:r>
        <w:rPr>
          <w:rFonts w:asciiTheme="minorHAnsi" w:hAnsiTheme="minorHAnsi" w:cs="Calibri"/>
          <w:sz w:val="22"/>
          <w:szCs w:val="22"/>
        </w:rPr>
        <w:t>Integrated s</w:t>
      </w:r>
      <w:r w:rsidRPr="00F375F4">
        <w:rPr>
          <w:rFonts w:asciiTheme="minorHAnsi" w:hAnsiTheme="minorHAnsi" w:cs="Calibri"/>
          <w:sz w:val="22"/>
          <w:szCs w:val="22"/>
        </w:rPr>
        <w:t xml:space="preserve">amples are collected mid stream and </w:t>
      </w:r>
      <w:r w:rsidRPr="00F55262">
        <w:rPr>
          <w:rFonts w:asciiTheme="minorHAnsi" w:hAnsiTheme="minorHAnsi" w:cs="Calibri"/>
          <w:i/>
          <w:sz w:val="22"/>
          <w:szCs w:val="22"/>
        </w:rPr>
        <w:t>in-situ</w:t>
      </w:r>
      <w:r w:rsidRPr="00F375F4">
        <w:rPr>
          <w:rFonts w:asciiTheme="minorHAnsi" w:hAnsiTheme="minorHAnsi" w:cs="Calibri"/>
          <w:sz w:val="22"/>
          <w:szCs w:val="22"/>
        </w:rPr>
        <w:t xml:space="preserve"> measurements </w:t>
      </w:r>
      <w:r>
        <w:rPr>
          <w:rFonts w:asciiTheme="minorHAnsi" w:hAnsiTheme="minorHAnsi" w:cs="Calibri"/>
          <w:sz w:val="22"/>
          <w:szCs w:val="22"/>
        </w:rPr>
        <w:t>made at the same location mid depth.</w:t>
      </w:r>
    </w:p>
    <w:p w14:paraId="2C053FCF" w14:textId="77777777" w:rsidR="00336C52" w:rsidRPr="00F375F4" w:rsidRDefault="00336C52" w:rsidP="00C77254">
      <w:pPr>
        <w:pStyle w:val="Default"/>
        <w:widowControl w:val="0"/>
        <w:numPr>
          <w:ilvl w:val="0"/>
          <w:numId w:val="33"/>
        </w:numPr>
        <w:spacing w:before="40" w:after="40"/>
        <w:ind w:left="584" w:hanging="357"/>
        <w:jc w:val="both"/>
        <w:rPr>
          <w:rFonts w:asciiTheme="minorHAnsi" w:hAnsiTheme="minorHAnsi" w:cs="Calibri"/>
          <w:sz w:val="22"/>
          <w:szCs w:val="22"/>
        </w:rPr>
      </w:pPr>
      <w:r>
        <w:rPr>
          <w:rFonts w:asciiTheme="minorHAnsi" w:hAnsiTheme="minorHAnsi" w:cs="Calibri"/>
          <w:sz w:val="22"/>
          <w:szCs w:val="22"/>
        </w:rPr>
        <w:t>Samples are collected upstream and away from the side of the boat.</w:t>
      </w:r>
    </w:p>
    <w:p w14:paraId="606DA557" w14:textId="52CC8BBE" w:rsidR="00336C52" w:rsidRPr="00F375F4" w:rsidRDefault="00AF754E" w:rsidP="00C77254">
      <w:pPr>
        <w:pStyle w:val="Default"/>
        <w:widowControl w:val="0"/>
        <w:numPr>
          <w:ilvl w:val="0"/>
          <w:numId w:val="33"/>
        </w:numPr>
        <w:spacing w:before="40" w:after="40"/>
        <w:ind w:left="584" w:hanging="357"/>
        <w:jc w:val="both"/>
        <w:rPr>
          <w:rFonts w:asciiTheme="minorHAnsi" w:hAnsiTheme="minorHAnsi" w:cs="Calibri"/>
          <w:sz w:val="22"/>
          <w:szCs w:val="22"/>
        </w:rPr>
      </w:pPr>
      <w:r>
        <w:rPr>
          <w:rFonts w:asciiTheme="minorHAnsi" w:hAnsiTheme="minorHAnsi" w:cs="Calibri"/>
          <w:sz w:val="22"/>
          <w:szCs w:val="22"/>
        </w:rPr>
        <w:t>S</w:t>
      </w:r>
      <w:r w:rsidRPr="00F375F4">
        <w:rPr>
          <w:rFonts w:asciiTheme="minorHAnsi" w:hAnsiTheme="minorHAnsi" w:cs="Calibri"/>
          <w:sz w:val="22"/>
          <w:szCs w:val="22"/>
        </w:rPr>
        <w:t>urface films</w:t>
      </w:r>
      <w:r>
        <w:rPr>
          <w:rFonts w:asciiTheme="minorHAnsi" w:hAnsiTheme="minorHAnsi" w:cs="Calibri"/>
          <w:sz w:val="22"/>
          <w:szCs w:val="22"/>
        </w:rPr>
        <w:t xml:space="preserve"> are avoided</w:t>
      </w:r>
      <w:r w:rsidRPr="00F375F4">
        <w:rPr>
          <w:rFonts w:asciiTheme="minorHAnsi" w:hAnsiTheme="minorHAnsi" w:cs="Calibri"/>
          <w:sz w:val="22"/>
          <w:szCs w:val="22"/>
        </w:rPr>
        <w:t xml:space="preserve">, but if present, a description </w:t>
      </w:r>
      <w:r>
        <w:rPr>
          <w:rFonts w:asciiTheme="minorHAnsi" w:hAnsiTheme="minorHAnsi" w:cs="Calibri"/>
          <w:sz w:val="22"/>
          <w:szCs w:val="22"/>
        </w:rPr>
        <w:t>is</w:t>
      </w:r>
      <w:r w:rsidRPr="00F375F4">
        <w:rPr>
          <w:rFonts w:asciiTheme="minorHAnsi" w:hAnsiTheme="minorHAnsi" w:cs="Calibri"/>
          <w:sz w:val="22"/>
          <w:szCs w:val="22"/>
        </w:rPr>
        <w:t xml:space="preserve"> entered onto the field sheet</w:t>
      </w:r>
      <w:r w:rsidR="00336C52" w:rsidRPr="00F375F4">
        <w:rPr>
          <w:rFonts w:asciiTheme="minorHAnsi" w:hAnsiTheme="minorHAnsi" w:cs="Calibri"/>
          <w:sz w:val="22"/>
          <w:szCs w:val="22"/>
        </w:rPr>
        <w:t xml:space="preserve">. </w:t>
      </w:r>
    </w:p>
    <w:p w14:paraId="696CDCD6" w14:textId="77777777" w:rsidR="00336C52" w:rsidRPr="00F375F4" w:rsidRDefault="00336C52" w:rsidP="00C77254">
      <w:pPr>
        <w:pStyle w:val="Default"/>
        <w:widowControl w:val="0"/>
        <w:numPr>
          <w:ilvl w:val="0"/>
          <w:numId w:val="33"/>
        </w:numPr>
        <w:spacing w:before="40" w:after="40"/>
        <w:ind w:left="584" w:hanging="357"/>
        <w:jc w:val="both"/>
        <w:rPr>
          <w:rFonts w:asciiTheme="minorHAnsi" w:hAnsiTheme="minorHAnsi" w:cs="Calibri"/>
          <w:sz w:val="22"/>
          <w:szCs w:val="22"/>
        </w:rPr>
      </w:pPr>
      <w:r w:rsidRPr="00F375F4">
        <w:rPr>
          <w:rFonts w:asciiTheme="minorHAnsi" w:hAnsiTheme="minorHAnsi" w:cs="Calibri"/>
          <w:sz w:val="22"/>
          <w:szCs w:val="22"/>
        </w:rPr>
        <w:t>Filtering for dissolved nutrients (NOx, NH</w:t>
      </w:r>
      <w:r w:rsidRPr="00F375F4">
        <w:rPr>
          <w:rFonts w:asciiTheme="minorHAnsi" w:hAnsiTheme="minorHAnsi" w:cs="Calibri"/>
          <w:sz w:val="14"/>
          <w:szCs w:val="14"/>
        </w:rPr>
        <w:t>4</w:t>
      </w:r>
      <w:r w:rsidRPr="00F375F4">
        <w:rPr>
          <w:rFonts w:asciiTheme="minorHAnsi" w:hAnsiTheme="minorHAnsi" w:cs="Calibri"/>
          <w:sz w:val="22"/>
          <w:szCs w:val="22"/>
        </w:rPr>
        <w:t>, FRP, DOC) and chlorophyll-a take</w:t>
      </w:r>
      <w:r>
        <w:rPr>
          <w:rFonts w:asciiTheme="minorHAnsi" w:hAnsiTheme="minorHAnsi" w:cs="Calibri"/>
          <w:sz w:val="22"/>
          <w:szCs w:val="22"/>
        </w:rPr>
        <w:t>s</w:t>
      </w:r>
      <w:r w:rsidRPr="00F375F4">
        <w:rPr>
          <w:rFonts w:asciiTheme="minorHAnsi" w:hAnsiTheme="minorHAnsi" w:cs="Calibri"/>
          <w:sz w:val="22"/>
          <w:szCs w:val="22"/>
        </w:rPr>
        <w:t xml:space="preserve"> place on site as samples are collected. </w:t>
      </w:r>
    </w:p>
    <w:p w14:paraId="1060DC9B" w14:textId="77777777" w:rsidR="00336C52" w:rsidRPr="0069416C" w:rsidRDefault="00336C52" w:rsidP="00C77254">
      <w:pPr>
        <w:pStyle w:val="Default"/>
        <w:widowControl w:val="0"/>
        <w:numPr>
          <w:ilvl w:val="0"/>
          <w:numId w:val="33"/>
        </w:numPr>
        <w:spacing w:before="40" w:after="40"/>
        <w:ind w:left="584" w:hanging="357"/>
        <w:jc w:val="both"/>
        <w:rPr>
          <w:rFonts w:asciiTheme="minorHAnsi" w:hAnsiTheme="minorHAnsi" w:cs="Calibri"/>
          <w:sz w:val="22"/>
          <w:szCs w:val="22"/>
        </w:rPr>
      </w:pPr>
      <w:r w:rsidRPr="00F375F4">
        <w:rPr>
          <w:rFonts w:asciiTheme="minorHAnsi" w:hAnsiTheme="minorHAnsi" w:cs="Calibri"/>
          <w:sz w:val="22"/>
          <w:szCs w:val="22"/>
        </w:rPr>
        <w:t xml:space="preserve">Samples </w:t>
      </w:r>
      <w:r>
        <w:rPr>
          <w:rFonts w:asciiTheme="minorHAnsi" w:hAnsiTheme="minorHAnsi" w:cs="Calibri"/>
          <w:sz w:val="22"/>
          <w:szCs w:val="22"/>
        </w:rPr>
        <w:t>are</w:t>
      </w:r>
      <w:r w:rsidRPr="00F375F4">
        <w:rPr>
          <w:rFonts w:asciiTheme="minorHAnsi" w:hAnsiTheme="minorHAnsi" w:cs="Calibri"/>
          <w:sz w:val="22"/>
          <w:szCs w:val="22"/>
        </w:rPr>
        <w:t xml:space="preserve"> stored on ice for transport to </w:t>
      </w:r>
      <w:r>
        <w:rPr>
          <w:rFonts w:asciiTheme="minorHAnsi" w:hAnsiTheme="minorHAnsi" w:cs="Calibri"/>
          <w:sz w:val="22"/>
          <w:szCs w:val="22"/>
        </w:rPr>
        <w:t xml:space="preserve">field base and then frozen for transport to </w:t>
      </w:r>
      <w:r w:rsidRPr="00F375F4">
        <w:rPr>
          <w:rFonts w:asciiTheme="minorHAnsi" w:hAnsiTheme="minorHAnsi" w:cs="Calibri"/>
          <w:sz w:val="22"/>
          <w:szCs w:val="22"/>
        </w:rPr>
        <w:t>laborator</w:t>
      </w:r>
      <w:r>
        <w:rPr>
          <w:rFonts w:asciiTheme="minorHAnsi" w:hAnsiTheme="minorHAnsi" w:cs="Calibri"/>
          <w:sz w:val="22"/>
          <w:szCs w:val="22"/>
        </w:rPr>
        <w:t>y</w:t>
      </w:r>
      <w:r w:rsidRPr="00F375F4">
        <w:rPr>
          <w:rFonts w:asciiTheme="minorHAnsi" w:hAnsiTheme="minorHAnsi" w:cs="Calibri"/>
          <w:sz w:val="22"/>
          <w:szCs w:val="22"/>
        </w:rPr>
        <w:t xml:space="preserve">. </w:t>
      </w:r>
    </w:p>
    <w:p w14:paraId="6EFBD822" w14:textId="77777777" w:rsidR="00336C52" w:rsidRPr="00AB2269" w:rsidRDefault="00336C52" w:rsidP="00336C52">
      <w:pPr>
        <w:pStyle w:val="Heading2"/>
      </w:pPr>
      <w:bookmarkStart w:id="786" w:name="_Toc396825280"/>
      <w:bookmarkStart w:id="787" w:name="_Toc6403819"/>
      <w:bookmarkStart w:id="788" w:name="_Toc10095204"/>
      <w:bookmarkStart w:id="789" w:name="_Toc10192373"/>
      <w:bookmarkStart w:id="790" w:name="_Toc10206688"/>
      <w:bookmarkStart w:id="791" w:name="_Toc10213274"/>
      <w:bookmarkStart w:id="792" w:name="_Toc10732298"/>
      <w:bookmarkStart w:id="793" w:name="_Toc10796857"/>
      <w:bookmarkStart w:id="794" w:name="_Toc12022742"/>
      <w:bookmarkStart w:id="795" w:name="_Toc12630572"/>
      <w:bookmarkStart w:id="796" w:name="_Toc16154432"/>
      <w:bookmarkStart w:id="797" w:name="_Toc22196794"/>
      <w:r w:rsidRPr="00AB2269">
        <w:t>In-situ logging</w:t>
      </w:r>
      <w:bookmarkEnd w:id="786"/>
      <w:bookmarkEnd w:id="787"/>
      <w:bookmarkEnd w:id="788"/>
      <w:bookmarkEnd w:id="789"/>
      <w:bookmarkEnd w:id="790"/>
      <w:bookmarkEnd w:id="791"/>
      <w:bookmarkEnd w:id="792"/>
      <w:bookmarkEnd w:id="793"/>
      <w:bookmarkEnd w:id="794"/>
      <w:bookmarkEnd w:id="795"/>
      <w:bookmarkEnd w:id="796"/>
      <w:bookmarkEnd w:id="797"/>
      <w:r w:rsidRPr="00AB2269">
        <w:t xml:space="preserve"> </w:t>
      </w:r>
    </w:p>
    <w:p w14:paraId="4E9F8889" w14:textId="17AEAC17" w:rsidR="00336C52" w:rsidRPr="0069416C" w:rsidRDefault="00336C52" w:rsidP="00336C52">
      <w:pPr>
        <w:pStyle w:val="CM19"/>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Stream metabolism measures for temperature, dissolved oxygen, light (PAR) and barometric pressure are to be continuously logged at ten</w:t>
      </w:r>
      <w:r>
        <w:rPr>
          <w:rFonts w:asciiTheme="minorHAnsi" w:hAnsiTheme="minorHAnsi" w:cs="Calibri"/>
          <w:color w:val="000000"/>
          <w:sz w:val="22"/>
          <w:szCs w:val="22"/>
        </w:rPr>
        <w:t xml:space="preserve"> </w:t>
      </w:r>
      <w:r w:rsidRPr="00F375F4">
        <w:rPr>
          <w:rFonts w:asciiTheme="minorHAnsi" w:hAnsiTheme="minorHAnsi" w:cs="Calibri"/>
          <w:color w:val="000000"/>
          <w:sz w:val="22"/>
          <w:szCs w:val="22"/>
        </w:rPr>
        <w:t xml:space="preserve">minute intervals during the deployment period. To ensure reliable measurements the loggers require regular downloading of data to minimise loss, and also regular maintenance, cleaning and battery replacement. </w:t>
      </w:r>
      <w:r>
        <w:rPr>
          <w:rFonts w:asciiTheme="minorHAnsi" w:hAnsiTheme="minorHAnsi" w:cs="Calibri"/>
          <w:color w:val="000000"/>
          <w:sz w:val="22"/>
          <w:szCs w:val="22"/>
        </w:rPr>
        <w:t>Ten</w:t>
      </w:r>
      <w:r w:rsidRPr="00F375F4">
        <w:rPr>
          <w:rFonts w:asciiTheme="minorHAnsi" w:hAnsiTheme="minorHAnsi" w:cs="Calibri"/>
          <w:color w:val="000000"/>
          <w:sz w:val="22"/>
          <w:szCs w:val="22"/>
        </w:rPr>
        <w:t xml:space="preserve"> trips are planned between deployment of the </w:t>
      </w:r>
      <w:r w:rsidRPr="009B5E2D">
        <w:rPr>
          <w:rFonts w:asciiTheme="minorHAnsi" w:hAnsiTheme="minorHAnsi" w:cs="Calibri"/>
          <w:i/>
          <w:color w:val="000000"/>
          <w:sz w:val="22"/>
          <w:szCs w:val="22"/>
        </w:rPr>
        <w:t>in-situ</w:t>
      </w:r>
      <w:r w:rsidRPr="00F375F4">
        <w:rPr>
          <w:rFonts w:asciiTheme="minorHAnsi" w:hAnsiTheme="minorHAnsi" w:cs="Calibri"/>
          <w:color w:val="000000"/>
          <w:sz w:val="22"/>
          <w:szCs w:val="22"/>
        </w:rPr>
        <w:t xml:space="preserve"> logging stations in September and their retrieval in February (although retrieval could be extended if environmental flows were to be delivered later in the season). This ensures that the deployed probes are checked, cleaned and calibrated </w:t>
      </w:r>
      <w:r w:rsidR="00E41A3B">
        <w:rPr>
          <w:rFonts w:asciiTheme="minorHAnsi" w:hAnsiTheme="minorHAnsi" w:cs="Calibri"/>
          <w:color w:val="000000"/>
          <w:sz w:val="22"/>
          <w:szCs w:val="22"/>
        </w:rPr>
        <w:t>at regular</w:t>
      </w:r>
      <w:r w:rsidR="00AF754E" w:rsidRPr="00F375F4">
        <w:rPr>
          <w:rFonts w:asciiTheme="minorHAnsi" w:hAnsiTheme="minorHAnsi" w:cs="Calibri"/>
          <w:color w:val="000000"/>
          <w:sz w:val="22"/>
          <w:szCs w:val="22"/>
        </w:rPr>
        <w:t xml:space="preserve"> intervals</w:t>
      </w:r>
      <w:r w:rsidR="00E41A3B">
        <w:rPr>
          <w:rFonts w:asciiTheme="minorHAnsi" w:hAnsiTheme="minorHAnsi" w:cs="Calibri"/>
          <w:color w:val="000000"/>
          <w:sz w:val="22"/>
          <w:szCs w:val="22"/>
        </w:rPr>
        <w:t xml:space="preserve"> (approximately 2 weeks)</w:t>
      </w:r>
      <w:r w:rsidR="00AF754E" w:rsidRPr="00F375F4">
        <w:rPr>
          <w:rFonts w:asciiTheme="minorHAnsi" w:hAnsiTheme="minorHAnsi" w:cs="Calibri"/>
          <w:color w:val="000000"/>
          <w:sz w:val="22"/>
          <w:szCs w:val="22"/>
        </w:rPr>
        <w:t xml:space="preserve"> and that water quality measurements are representative of changing conditions; and that there is capacity to respond to environmental watering events. </w:t>
      </w:r>
      <w:r w:rsidR="00AF754E">
        <w:rPr>
          <w:rFonts w:asciiTheme="minorHAnsi" w:hAnsiTheme="minorHAnsi" w:cs="Calibri"/>
          <w:color w:val="000000"/>
          <w:sz w:val="22"/>
          <w:szCs w:val="22"/>
        </w:rPr>
        <w:t>T</w:t>
      </w:r>
      <w:r w:rsidR="00AF754E" w:rsidRPr="00F375F4">
        <w:rPr>
          <w:rFonts w:asciiTheme="minorHAnsi" w:hAnsiTheme="minorHAnsi" w:cs="Calibri"/>
          <w:color w:val="000000"/>
          <w:sz w:val="22"/>
          <w:szCs w:val="22"/>
        </w:rPr>
        <w:t xml:space="preserve">he probes </w:t>
      </w:r>
      <w:r w:rsidR="00AF754E">
        <w:rPr>
          <w:rFonts w:asciiTheme="minorHAnsi" w:hAnsiTheme="minorHAnsi" w:cs="Calibri"/>
          <w:color w:val="000000"/>
          <w:sz w:val="22"/>
          <w:szCs w:val="22"/>
        </w:rPr>
        <w:t>may</w:t>
      </w:r>
      <w:r w:rsidRPr="00F375F4">
        <w:rPr>
          <w:rFonts w:asciiTheme="minorHAnsi" w:hAnsiTheme="minorHAnsi" w:cs="Calibri"/>
          <w:color w:val="000000"/>
          <w:sz w:val="22"/>
          <w:szCs w:val="22"/>
        </w:rPr>
        <w:t xml:space="preserve"> be checked more frequently at critical times during the rise, fall and duration of an event when fouling may increase the need for cleaning</w:t>
      </w:r>
      <w:r>
        <w:rPr>
          <w:rFonts w:asciiTheme="minorHAnsi" w:hAnsiTheme="minorHAnsi" w:cs="Calibri"/>
          <w:color w:val="000000"/>
          <w:sz w:val="22"/>
          <w:szCs w:val="22"/>
        </w:rPr>
        <w:t xml:space="preserve"> and when detailed metabolism and water quality measurements are critical</w:t>
      </w:r>
      <w:r w:rsidRPr="00F375F4">
        <w:rPr>
          <w:rFonts w:asciiTheme="minorHAnsi" w:hAnsiTheme="minorHAnsi" w:cs="Calibri"/>
          <w:color w:val="000000"/>
          <w:sz w:val="22"/>
          <w:szCs w:val="22"/>
        </w:rPr>
        <w:t xml:space="preserve">. To accommodate increased field trip frequencies during flow events, probe maintenance may need to be extended in the absence of environmental watering to the maximum 6 week period set in the standard method (Hale </w:t>
      </w:r>
      <w:r w:rsidRPr="0069416C">
        <w:rPr>
          <w:rFonts w:asciiTheme="minorHAnsi" w:hAnsiTheme="minorHAnsi" w:cs="Calibri"/>
          <w:i/>
          <w:color w:val="000000"/>
          <w:sz w:val="22"/>
          <w:szCs w:val="22"/>
        </w:rPr>
        <w:t>et al.</w:t>
      </w:r>
      <w:r>
        <w:rPr>
          <w:rFonts w:asciiTheme="minorHAnsi" w:hAnsiTheme="minorHAnsi" w:cs="Calibri"/>
          <w:color w:val="000000"/>
          <w:sz w:val="22"/>
          <w:szCs w:val="22"/>
        </w:rPr>
        <w:t xml:space="preserve"> 2014</w:t>
      </w:r>
      <w:r w:rsidRPr="00F375F4">
        <w:rPr>
          <w:rFonts w:asciiTheme="minorHAnsi" w:hAnsiTheme="minorHAnsi" w:cs="Calibri"/>
          <w:color w:val="000000"/>
          <w:sz w:val="22"/>
          <w:szCs w:val="22"/>
        </w:rPr>
        <w:t xml:space="preserve">). This flexible protocol will aid </w:t>
      </w:r>
      <w:r w:rsidR="00AF754E">
        <w:rPr>
          <w:rFonts w:asciiTheme="minorHAnsi" w:hAnsiTheme="minorHAnsi" w:cs="Calibri"/>
          <w:color w:val="000000"/>
          <w:sz w:val="22"/>
          <w:szCs w:val="22"/>
        </w:rPr>
        <w:t>improved</w:t>
      </w:r>
      <w:r w:rsidRPr="00F375F4">
        <w:rPr>
          <w:rFonts w:asciiTheme="minorHAnsi" w:hAnsiTheme="minorHAnsi" w:cs="Calibri"/>
          <w:color w:val="000000"/>
          <w:sz w:val="22"/>
          <w:szCs w:val="22"/>
        </w:rPr>
        <w:t xml:space="preserve"> data capture during critical stages of events so that changes associated with environmental watering can be identified.</w:t>
      </w:r>
    </w:p>
    <w:p w14:paraId="5945D718" w14:textId="77777777" w:rsidR="00336C52" w:rsidRPr="00F375F4" w:rsidRDefault="00336C52" w:rsidP="00336C52">
      <w:pPr>
        <w:pStyle w:val="Heading3"/>
      </w:pPr>
      <w:bookmarkStart w:id="798" w:name="_Toc6403820"/>
      <w:bookmarkStart w:id="799" w:name="_Toc10095205"/>
      <w:bookmarkStart w:id="800" w:name="_Toc10192374"/>
      <w:bookmarkStart w:id="801" w:name="_Toc10206689"/>
      <w:bookmarkStart w:id="802" w:name="_Toc10213275"/>
      <w:bookmarkStart w:id="803" w:name="_Toc10732299"/>
      <w:bookmarkStart w:id="804" w:name="_Toc10796858"/>
      <w:bookmarkStart w:id="805" w:name="_Toc12022743"/>
      <w:bookmarkStart w:id="806" w:name="_Toc12630573"/>
      <w:bookmarkStart w:id="807" w:name="_Toc16154433"/>
      <w:bookmarkStart w:id="808" w:name="_Toc22196795"/>
      <w:r w:rsidRPr="00F375F4">
        <w:t>Equipment</w:t>
      </w:r>
      <w:bookmarkEnd w:id="798"/>
      <w:bookmarkEnd w:id="799"/>
      <w:bookmarkEnd w:id="800"/>
      <w:bookmarkEnd w:id="801"/>
      <w:bookmarkEnd w:id="802"/>
      <w:bookmarkEnd w:id="803"/>
      <w:bookmarkEnd w:id="804"/>
      <w:bookmarkEnd w:id="805"/>
      <w:bookmarkEnd w:id="806"/>
      <w:bookmarkEnd w:id="807"/>
      <w:bookmarkEnd w:id="808"/>
      <w:r w:rsidRPr="00F375F4">
        <w:t xml:space="preserve"> </w:t>
      </w:r>
    </w:p>
    <w:p w14:paraId="6759A010" w14:textId="77777777" w:rsidR="00336C52" w:rsidRPr="00F375F4" w:rsidRDefault="00336C52" w:rsidP="00C77254">
      <w:pPr>
        <w:pStyle w:val="Default"/>
        <w:widowControl w:val="0"/>
        <w:numPr>
          <w:ilvl w:val="0"/>
          <w:numId w:val="37"/>
        </w:numPr>
        <w:spacing w:before="40" w:after="4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Dissolved oxygen logger consisting of a multi-parameter water quality probe with integrated optical (fluorescence) dissolved oxygen probe </w:t>
      </w:r>
      <w:r>
        <w:rPr>
          <w:rFonts w:asciiTheme="minorHAnsi" w:hAnsiTheme="minorHAnsi" w:cs="Calibri"/>
          <w:sz w:val="22"/>
          <w:szCs w:val="22"/>
        </w:rPr>
        <w:t>and water</w:t>
      </w:r>
      <w:r w:rsidRPr="00F375F4">
        <w:rPr>
          <w:rFonts w:asciiTheme="minorHAnsi" w:hAnsiTheme="minorHAnsi" w:cs="Calibri"/>
          <w:sz w:val="22"/>
          <w:szCs w:val="22"/>
        </w:rPr>
        <w:t xml:space="preserve"> temperature </w:t>
      </w:r>
    </w:p>
    <w:p w14:paraId="745E78AD" w14:textId="2EDF1E7A" w:rsidR="00336C52" w:rsidRPr="00F375F4" w:rsidRDefault="00336C52" w:rsidP="00C77254">
      <w:pPr>
        <w:pStyle w:val="Default"/>
        <w:widowControl w:val="0"/>
        <w:numPr>
          <w:ilvl w:val="0"/>
          <w:numId w:val="37"/>
        </w:numPr>
        <w:spacing w:before="40" w:after="4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PAR sensor and logger</w:t>
      </w:r>
      <w:r>
        <w:rPr>
          <w:rFonts w:asciiTheme="minorHAnsi" w:hAnsiTheme="minorHAnsi" w:cs="Calibri"/>
          <w:sz w:val="22"/>
          <w:szCs w:val="22"/>
        </w:rPr>
        <w:t>s</w:t>
      </w:r>
      <w:r w:rsidRPr="00F375F4">
        <w:rPr>
          <w:rFonts w:asciiTheme="minorHAnsi" w:hAnsiTheme="minorHAnsi" w:cs="Calibri"/>
          <w:sz w:val="22"/>
          <w:szCs w:val="22"/>
        </w:rPr>
        <w:t xml:space="preserve"> measuring μmol photons/m</w:t>
      </w:r>
      <w:r w:rsidRPr="009B5E2D">
        <w:rPr>
          <w:rFonts w:asciiTheme="minorHAnsi" w:hAnsiTheme="minorHAnsi" w:cs="Calibri"/>
          <w:sz w:val="22"/>
          <w:szCs w:val="22"/>
          <w:vertAlign w:val="superscript"/>
        </w:rPr>
        <w:t>2</w:t>
      </w:r>
      <w:r w:rsidRPr="00F375F4">
        <w:rPr>
          <w:rFonts w:asciiTheme="minorHAnsi" w:hAnsiTheme="minorHAnsi" w:cs="Calibri"/>
          <w:sz w:val="22"/>
          <w:szCs w:val="22"/>
        </w:rPr>
        <w:t xml:space="preserve">/s  </w:t>
      </w:r>
    </w:p>
    <w:p w14:paraId="67487025" w14:textId="77777777" w:rsidR="00336C52" w:rsidRPr="00F375F4" w:rsidRDefault="00336C52" w:rsidP="00C77254">
      <w:pPr>
        <w:pStyle w:val="Default"/>
        <w:widowControl w:val="0"/>
        <w:numPr>
          <w:ilvl w:val="0"/>
          <w:numId w:val="34"/>
        </w:numPr>
        <w:spacing w:before="40" w:after="4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Barometric pressure sensor and logger </w:t>
      </w:r>
    </w:p>
    <w:p w14:paraId="6103197A" w14:textId="77777777" w:rsidR="00336C52" w:rsidRPr="00F375F4" w:rsidRDefault="00336C52" w:rsidP="00C77254">
      <w:pPr>
        <w:pStyle w:val="Default"/>
        <w:widowControl w:val="0"/>
        <w:numPr>
          <w:ilvl w:val="0"/>
          <w:numId w:val="34"/>
        </w:numPr>
        <w:spacing w:before="40" w:after="4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Tool kit and spare parts for the multi-parameter probe; including spare batteries and spare probes </w:t>
      </w:r>
    </w:p>
    <w:p w14:paraId="4EF53596" w14:textId="77777777" w:rsidR="00336C52" w:rsidRPr="00F375F4" w:rsidRDefault="00336C52" w:rsidP="00C77254">
      <w:pPr>
        <w:pStyle w:val="Default"/>
        <w:widowControl w:val="0"/>
        <w:numPr>
          <w:ilvl w:val="0"/>
          <w:numId w:val="34"/>
        </w:numPr>
        <w:spacing w:before="40" w:after="4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Probe calibration log </w:t>
      </w:r>
    </w:p>
    <w:p w14:paraId="30159449" w14:textId="77777777" w:rsidR="00336C52" w:rsidRPr="00F375F4" w:rsidRDefault="00336C52" w:rsidP="00C77254">
      <w:pPr>
        <w:pStyle w:val="Default"/>
        <w:widowControl w:val="0"/>
        <w:numPr>
          <w:ilvl w:val="0"/>
          <w:numId w:val="34"/>
        </w:numPr>
        <w:spacing w:before="40" w:after="4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Field sheets </w:t>
      </w:r>
    </w:p>
    <w:p w14:paraId="46E6715C" w14:textId="77777777" w:rsidR="00336C52" w:rsidRPr="00F375F4" w:rsidRDefault="00336C52" w:rsidP="00C77254">
      <w:pPr>
        <w:pStyle w:val="Default"/>
        <w:widowControl w:val="0"/>
        <w:numPr>
          <w:ilvl w:val="0"/>
          <w:numId w:val="34"/>
        </w:numPr>
        <w:spacing w:before="40" w:after="4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Laptop and data cables for connecting to probes / logger </w:t>
      </w:r>
    </w:p>
    <w:p w14:paraId="1197C325" w14:textId="77777777" w:rsidR="00336C52" w:rsidRPr="0069416C" w:rsidRDefault="00336C52" w:rsidP="00C77254">
      <w:pPr>
        <w:pStyle w:val="Default"/>
        <w:widowControl w:val="0"/>
        <w:numPr>
          <w:ilvl w:val="0"/>
          <w:numId w:val="34"/>
        </w:numPr>
        <w:spacing w:before="40" w:after="4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Air bubbler with battery (e.g. one suitable for a large fish tank) and a large bucket (e.</w:t>
      </w:r>
      <w:r>
        <w:rPr>
          <w:rFonts w:asciiTheme="minorHAnsi" w:hAnsiTheme="minorHAnsi" w:cs="Calibri"/>
          <w:sz w:val="22"/>
          <w:szCs w:val="22"/>
        </w:rPr>
        <w:t>g. 20 L), for probe calibration.</w:t>
      </w:r>
    </w:p>
    <w:p w14:paraId="06262B6D" w14:textId="77777777" w:rsidR="00336C52" w:rsidRPr="00F375F4" w:rsidRDefault="00336C52" w:rsidP="00336C52">
      <w:pPr>
        <w:pStyle w:val="Heading3"/>
      </w:pPr>
      <w:bookmarkStart w:id="809" w:name="_Toc6403821"/>
      <w:bookmarkStart w:id="810" w:name="_Toc10095206"/>
      <w:bookmarkStart w:id="811" w:name="_Toc10192375"/>
      <w:bookmarkStart w:id="812" w:name="_Toc10206690"/>
      <w:bookmarkStart w:id="813" w:name="_Toc10213276"/>
      <w:bookmarkStart w:id="814" w:name="_Toc10732300"/>
      <w:bookmarkStart w:id="815" w:name="_Toc10796859"/>
      <w:bookmarkStart w:id="816" w:name="_Toc12022744"/>
      <w:bookmarkStart w:id="817" w:name="_Toc12630574"/>
      <w:bookmarkStart w:id="818" w:name="_Toc16154434"/>
      <w:bookmarkStart w:id="819" w:name="_Toc22196796"/>
      <w:r w:rsidRPr="00F375F4">
        <w:lastRenderedPageBreak/>
        <w:t>Protocol</w:t>
      </w:r>
      <w:bookmarkEnd w:id="809"/>
      <w:bookmarkEnd w:id="810"/>
      <w:bookmarkEnd w:id="811"/>
      <w:bookmarkEnd w:id="812"/>
      <w:bookmarkEnd w:id="813"/>
      <w:bookmarkEnd w:id="814"/>
      <w:bookmarkEnd w:id="815"/>
      <w:bookmarkEnd w:id="816"/>
      <w:bookmarkEnd w:id="817"/>
      <w:bookmarkEnd w:id="818"/>
      <w:bookmarkEnd w:id="819"/>
      <w:r w:rsidRPr="00F375F4">
        <w:t xml:space="preserve"> </w:t>
      </w:r>
    </w:p>
    <w:p w14:paraId="015CA4EE" w14:textId="77777777" w:rsidR="00336C52" w:rsidRPr="005B1361" w:rsidRDefault="00336C52" w:rsidP="00336C52">
      <w:pPr>
        <w:pStyle w:val="Default"/>
        <w:spacing w:before="40" w:after="40"/>
        <w:ind w:left="584" w:hanging="357"/>
        <w:jc w:val="both"/>
        <w:rPr>
          <w:rFonts w:asciiTheme="minorHAnsi" w:hAnsiTheme="minorHAnsi" w:cs="Calibri"/>
          <w:sz w:val="22"/>
          <w:szCs w:val="22"/>
        </w:rPr>
      </w:pPr>
      <w:r w:rsidRPr="00F375F4">
        <w:rPr>
          <w:rFonts w:asciiTheme="minorHAnsi" w:hAnsiTheme="minorHAnsi" w:cs="Calibri"/>
          <w:sz w:val="22"/>
          <w:szCs w:val="22"/>
        </w:rPr>
        <w:t xml:space="preserve">1. </w:t>
      </w:r>
      <w:r w:rsidRPr="00F375F4">
        <w:rPr>
          <w:rFonts w:asciiTheme="minorHAnsi" w:hAnsiTheme="minorHAnsi" w:cs="Calibri"/>
          <w:sz w:val="22"/>
          <w:szCs w:val="22"/>
        </w:rPr>
        <w:tab/>
        <w:t xml:space="preserve">Prior to deployment in the field, and on each occasion in the field the probe(s) </w:t>
      </w:r>
      <w:r>
        <w:rPr>
          <w:rFonts w:asciiTheme="minorHAnsi" w:hAnsiTheme="minorHAnsi" w:cs="Calibri"/>
          <w:sz w:val="22"/>
          <w:szCs w:val="22"/>
        </w:rPr>
        <w:t>will</w:t>
      </w:r>
      <w:r w:rsidRPr="00F375F4">
        <w:rPr>
          <w:rFonts w:asciiTheme="minorHAnsi" w:hAnsiTheme="minorHAnsi" w:cs="Calibri"/>
          <w:sz w:val="22"/>
          <w:szCs w:val="22"/>
        </w:rPr>
        <w:t xml:space="preserve"> be calibrated according to the manufacturer’s instructions and results of calibration entered into a calibration log.</w:t>
      </w:r>
    </w:p>
    <w:p w14:paraId="5A2FF801" w14:textId="77777777" w:rsidR="00336C52" w:rsidRPr="00F375F4" w:rsidRDefault="00336C52" w:rsidP="00336C52">
      <w:pPr>
        <w:pStyle w:val="Default"/>
        <w:spacing w:before="40" w:after="40"/>
        <w:ind w:left="584" w:hanging="357"/>
        <w:jc w:val="both"/>
        <w:rPr>
          <w:rFonts w:asciiTheme="minorHAnsi" w:hAnsiTheme="minorHAnsi" w:cs="Calibri"/>
          <w:sz w:val="22"/>
          <w:szCs w:val="22"/>
        </w:rPr>
      </w:pPr>
      <w:r w:rsidRPr="00F375F4">
        <w:rPr>
          <w:rFonts w:asciiTheme="minorHAnsi" w:hAnsiTheme="minorHAnsi" w:cs="Calibri"/>
          <w:sz w:val="22"/>
          <w:szCs w:val="22"/>
        </w:rPr>
        <w:t xml:space="preserve">2. </w:t>
      </w:r>
      <w:r w:rsidRPr="00F375F4">
        <w:rPr>
          <w:rFonts w:asciiTheme="minorHAnsi" w:hAnsiTheme="minorHAnsi" w:cs="Calibri"/>
          <w:sz w:val="22"/>
          <w:szCs w:val="22"/>
        </w:rPr>
        <w:tab/>
        <w:t xml:space="preserve">Before leaving the office/laboratory for deployment and on each occasion in the field the following should be checked for all electronic measurement equipment: </w:t>
      </w:r>
    </w:p>
    <w:p w14:paraId="7D4A2B62" w14:textId="77777777" w:rsidR="00336C52" w:rsidRPr="00F375F4" w:rsidRDefault="00336C52" w:rsidP="00C77254">
      <w:pPr>
        <w:pStyle w:val="Default"/>
        <w:widowControl w:val="0"/>
        <w:numPr>
          <w:ilvl w:val="0"/>
          <w:numId w:val="44"/>
        </w:numPr>
        <w:ind w:left="1077" w:hanging="357"/>
        <w:jc w:val="both"/>
        <w:rPr>
          <w:rFonts w:asciiTheme="minorHAnsi" w:hAnsiTheme="minorHAnsi" w:cs="Calibri"/>
          <w:sz w:val="22"/>
          <w:szCs w:val="22"/>
        </w:rPr>
      </w:pPr>
      <w:r w:rsidRPr="00F375F4">
        <w:rPr>
          <w:rFonts w:asciiTheme="minorHAnsi" w:hAnsiTheme="minorHAnsi" w:cs="Calibri"/>
          <w:sz w:val="22"/>
          <w:szCs w:val="22"/>
        </w:rPr>
        <w:t xml:space="preserve">Batteries are charged and properly inserted </w:t>
      </w:r>
    </w:p>
    <w:p w14:paraId="216F3EEC" w14:textId="77777777" w:rsidR="00336C52" w:rsidRPr="00F375F4" w:rsidRDefault="00336C52" w:rsidP="00C77254">
      <w:pPr>
        <w:pStyle w:val="Default"/>
        <w:widowControl w:val="0"/>
        <w:numPr>
          <w:ilvl w:val="0"/>
          <w:numId w:val="44"/>
        </w:numPr>
        <w:ind w:left="1077" w:hanging="357"/>
        <w:jc w:val="both"/>
        <w:rPr>
          <w:rFonts w:asciiTheme="minorHAnsi" w:hAnsiTheme="minorHAnsi" w:cs="Calibri"/>
          <w:sz w:val="22"/>
          <w:szCs w:val="22"/>
        </w:rPr>
      </w:pPr>
      <w:r w:rsidRPr="00F375F4">
        <w:rPr>
          <w:rFonts w:asciiTheme="minorHAnsi" w:hAnsiTheme="minorHAnsi" w:cs="Calibri"/>
          <w:sz w:val="22"/>
          <w:szCs w:val="22"/>
        </w:rPr>
        <w:t xml:space="preserve">Previous data downloaded and memory cleared </w:t>
      </w:r>
    </w:p>
    <w:p w14:paraId="43CDA200" w14:textId="77777777" w:rsidR="00336C52" w:rsidRPr="00F375F4" w:rsidRDefault="00336C52" w:rsidP="00C77254">
      <w:pPr>
        <w:pStyle w:val="Default"/>
        <w:widowControl w:val="0"/>
        <w:numPr>
          <w:ilvl w:val="0"/>
          <w:numId w:val="44"/>
        </w:numPr>
        <w:ind w:left="1077" w:hanging="357"/>
        <w:jc w:val="both"/>
        <w:rPr>
          <w:rFonts w:asciiTheme="minorHAnsi" w:hAnsiTheme="minorHAnsi" w:cs="Calibri"/>
          <w:sz w:val="22"/>
          <w:szCs w:val="22"/>
        </w:rPr>
      </w:pPr>
      <w:r w:rsidRPr="00F375F4">
        <w:rPr>
          <w:rFonts w:asciiTheme="minorHAnsi" w:hAnsiTheme="minorHAnsi" w:cs="Calibri"/>
          <w:sz w:val="22"/>
          <w:szCs w:val="22"/>
        </w:rPr>
        <w:t>Cable and cable connections checked</w:t>
      </w:r>
    </w:p>
    <w:p w14:paraId="42CCB1AB" w14:textId="77777777" w:rsidR="00336C52" w:rsidRPr="00F375F4" w:rsidRDefault="00336C52" w:rsidP="00C77254">
      <w:pPr>
        <w:pStyle w:val="Default"/>
        <w:widowControl w:val="0"/>
        <w:numPr>
          <w:ilvl w:val="0"/>
          <w:numId w:val="44"/>
        </w:numPr>
        <w:ind w:left="1077" w:hanging="357"/>
        <w:jc w:val="both"/>
        <w:rPr>
          <w:rFonts w:asciiTheme="minorHAnsi" w:hAnsiTheme="minorHAnsi" w:cs="Calibri"/>
          <w:sz w:val="22"/>
          <w:szCs w:val="22"/>
        </w:rPr>
      </w:pPr>
      <w:r w:rsidRPr="00F375F4">
        <w:rPr>
          <w:rFonts w:asciiTheme="minorHAnsi" w:hAnsiTheme="minorHAnsi" w:cs="Calibri"/>
          <w:sz w:val="22"/>
          <w:szCs w:val="22"/>
        </w:rPr>
        <w:t>Obvious/minor faults on sensors including growth or dirt on the probes or tubing checked</w:t>
      </w:r>
    </w:p>
    <w:p w14:paraId="41C8B487" w14:textId="77777777" w:rsidR="00336C52" w:rsidRPr="005B1361" w:rsidRDefault="00336C52" w:rsidP="00C77254">
      <w:pPr>
        <w:pStyle w:val="Default"/>
        <w:widowControl w:val="0"/>
        <w:numPr>
          <w:ilvl w:val="0"/>
          <w:numId w:val="44"/>
        </w:numPr>
        <w:ind w:left="1077" w:hanging="357"/>
        <w:jc w:val="both"/>
        <w:rPr>
          <w:rFonts w:asciiTheme="minorHAnsi" w:hAnsiTheme="minorHAnsi" w:cs="Calibri"/>
          <w:sz w:val="22"/>
          <w:szCs w:val="22"/>
        </w:rPr>
      </w:pPr>
      <w:r w:rsidRPr="00F375F4">
        <w:rPr>
          <w:rFonts w:asciiTheme="minorHAnsi" w:hAnsiTheme="minorHAnsi" w:cs="Calibri"/>
          <w:sz w:val="22"/>
          <w:szCs w:val="22"/>
        </w:rPr>
        <w:t>All equipment list</w:t>
      </w:r>
      <w:r>
        <w:rPr>
          <w:rFonts w:asciiTheme="minorHAnsi" w:hAnsiTheme="minorHAnsi" w:cs="Calibri"/>
          <w:sz w:val="22"/>
          <w:szCs w:val="22"/>
        </w:rPr>
        <w:t>ed above is in functional order.</w:t>
      </w:r>
    </w:p>
    <w:p w14:paraId="4BC27CDA" w14:textId="77777777" w:rsidR="00336C52" w:rsidRPr="0069416C" w:rsidRDefault="00336C52" w:rsidP="00336C52">
      <w:pPr>
        <w:pStyle w:val="Heading3"/>
      </w:pPr>
      <w:bookmarkStart w:id="820" w:name="_Toc6403822"/>
      <w:bookmarkStart w:id="821" w:name="_Toc10095207"/>
      <w:bookmarkStart w:id="822" w:name="_Toc10192376"/>
      <w:bookmarkStart w:id="823" w:name="_Toc10206691"/>
      <w:bookmarkStart w:id="824" w:name="_Toc10213277"/>
      <w:bookmarkStart w:id="825" w:name="_Toc10732301"/>
      <w:bookmarkStart w:id="826" w:name="_Toc10796860"/>
      <w:bookmarkStart w:id="827" w:name="_Toc12022745"/>
      <w:bookmarkStart w:id="828" w:name="_Toc12630575"/>
      <w:bookmarkStart w:id="829" w:name="_Toc16154435"/>
      <w:bookmarkStart w:id="830" w:name="_Toc22196797"/>
      <w:r w:rsidRPr="004A2D1F">
        <w:t>Field method – water column measures</w:t>
      </w:r>
      <w:bookmarkEnd w:id="820"/>
      <w:bookmarkEnd w:id="821"/>
      <w:bookmarkEnd w:id="822"/>
      <w:bookmarkEnd w:id="823"/>
      <w:bookmarkEnd w:id="824"/>
      <w:bookmarkEnd w:id="825"/>
      <w:bookmarkEnd w:id="826"/>
      <w:bookmarkEnd w:id="827"/>
      <w:bookmarkEnd w:id="828"/>
      <w:bookmarkEnd w:id="829"/>
      <w:bookmarkEnd w:id="830"/>
      <w:r w:rsidRPr="004A2D1F">
        <w:t xml:space="preserve"> </w:t>
      </w:r>
    </w:p>
    <w:p w14:paraId="4B0FDEB6" w14:textId="77777777" w:rsidR="001E03EE" w:rsidRPr="00F375F4" w:rsidRDefault="001E03EE" w:rsidP="001E03EE">
      <w:pPr>
        <w:pStyle w:val="CM16"/>
        <w:numPr>
          <w:ilvl w:val="0"/>
          <w:numId w:val="40"/>
        </w:numPr>
        <w:ind w:left="584" w:hanging="357"/>
        <w:jc w:val="both"/>
        <w:rPr>
          <w:rFonts w:asciiTheme="minorHAnsi" w:hAnsiTheme="minorHAnsi" w:cs="Calibri"/>
          <w:color w:val="000000"/>
          <w:sz w:val="22"/>
          <w:szCs w:val="22"/>
        </w:rPr>
      </w:pPr>
      <w:r w:rsidRPr="00F375F4">
        <w:rPr>
          <w:rFonts w:asciiTheme="minorHAnsi" w:hAnsiTheme="minorHAnsi" w:cs="Calibri"/>
          <w:color w:val="000000"/>
          <w:sz w:val="22"/>
          <w:szCs w:val="22"/>
        </w:rPr>
        <w:t xml:space="preserve">Record the following on the field sheet: </w:t>
      </w:r>
    </w:p>
    <w:p w14:paraId="36D6ACE0" w14:textId="77777777" w:rsidR="001E03EE" w:rsidRPr="00F375F4" w:rsidRDefault="001E03EE" w:rsidP="001E03EE">
      <w:pPr>
        <w:pStyle w:val="Default"/>
        <w:widowControl w:val="0"/>
        <w:numPr>
          <w:ilvl w:val="0"/>
          <w:numId w:val="38"/>
        </w:numPr>
        <w:jc w:val="both"/>
        <w:rPr>
          <w:rFonts w:asciiTheme="minorHAnsi" w:hAnsiTheme="minorHAnsi" w:cs="Calibri"/>
          <w:sz w:val="22"/>
          <w:szCs w:val="22"/>
        </w:rPr>
      </w:pPr>
      <w:r w:rsidRPr="00F375F4">
        <w:rPr>
          <w:rFonts w:asciiTheme="minorHAnsi" w:hAnsiTheme="minorHAnsi" w:cs="Calibri"/>
          <w:sz w:val="22"/>
          <w:szCs w:val="22"/>
        </w:rPr>
        <w:t xml:space="preserve">Date and time </w:t>
      </w:r>
    </w:p>
    <w:p w14:paraId="64B2CE69" w14:textId="77777777" w:rsidR="001E03EE" w:rsidRPr="00F375F4" w:rsidRDefault="001E03EE" w:rsidP="001E03EE">
      <w:pPr>
        <w:pStyle w:val="Default"/>
        <w:widowControl w:val="0"/>
        <w:numPr>
          <w:ilvl w:val="0"/>
          <w:numId w:val="38"/>
        </w:numPr>
        <w:jc w:val="both"/>
        <w:rPr>
          <w:rFonts w:asciiTheme="minorHAnsi" w:hAnsiTheme="minorHAnsi" w:cs="Calibri"/>
          <w:sz w:val="22"/>
          <w:szCs w:val="22"/>
        </w:rPr>
      </w:pPr>
      <w:r w:rsidRPr="00F375F4">
        <w:rPr>
          <w:rFonts w:asciiTheme="minorHAnsi" w:hAnsiTheme="minorHAnsi" w:cs="Calibri"/>
          <w:sz w:val="22"/>
          <w:szCs w:val="22"/>
        </w:rPr>
        <w:t xml:space="preserve">GPS coordinates (latitude and longitude; GDA94) </w:t>
      </w:r>
    </w:p>
    <w:p w14:paraId="3AA58576" w14:textId="77777777" w:rsidR="001E03EE" w:rsidRPr="00F375F4" w:rsidRDefault="001E03EE" w:rsidP="001E03EE">
      <w:pPr>
        <w:pStyle w:val="Default"/>
        <w:widowControl w:val="0"/>
        <w:numPr>
          <w:ilvl w:val="0"/>
          <w:numId w:val="38"/>
        </w:numPr>
        <w:jc w:val="both"/>
        <w:rPr>
          <w:rFonts w:asciiTheme="minorHAnsi" w:hAnsiTheme="minorHAnsi" w:cs="Calibri"/>
          <w:sz w:val="22"/>
          <w:szCs w:val="22"/>
        </w:rPr>
      </w:pPr>
      <w:r>
        <w:rPr>
          <w:rFonts w:asciiTheme="minorHAnsi" w:hAnsiTheme="minorHAnsi" w:cs="Calibri"/>
          <w:sz w:val="22"/>
          <w:szCs w:val="22"/>
        </w:rPr>
        <w:t>Name(s) of survey team.</w:t>
      </w:r>
    </w:p>
    <w:p w14:paraId="4A939E81" w14:textId="77777777" w:rsidR="001E03EE" w:rsidRPr="0059006F" w:rsidRDefault="001E03EE" w:rsidP="001E03EE">
      <w:pPr>
        <w:pStyle w:val="Default"/>
        <w:widowControl w:val="0"/>
        <w:numPr>
          <w:ilvl w:val="0"/>
          <w:numId w:val="40"/>
        </w:numPr>
        <w:spacing w:before="120" w:after="120"/>
        <w:ind w:left="584" w:hanging="357"/>
        <w:jc w:val="both"/>
        <w:rPr>
          <w:rFonts w:asciiTheme="minorHAnsi" w:hAnsiTheme="minorHAnsi" w:cs="Calibri"/>
          <w:sz w:val="22"/>
          <w:szCs w:val="22"/>
        </w:rPr>
      </w:pPr>
      <w:r w:rsidRPr="0059006F">
        <w:rPr>
          <w:rFonts w:asciiTheme="minorHAnsi" w:hAnsiTheme="minorHAnsi" w:cs="Calibri"/>
          <w:sz w:val="22"/>
          <w:szCs w:val="22"/>
        </w:rPr>
        <w:t xml:space="preserve">Collect water quality samples and spot measures according to instructions above. </w:t>
      </w:r>
    </w:p>
    <w:p w14:paraId="1C349B73" w14:textId="77777777" w:rsidR="001E03EE" w:rsidRPr="00F375F4" w:rsidRDefault="001E03EE" w:rsidP="001E03EE">
      <w:pPr>
        <w:pStyle w:val="Default"/>
        <w:widowControl w:val="0"/>
        <w:numPr>
          <w:ilvl w:val="0"/>
          <w:numId w:val="40"/>
        </w:numPr>
        <w:spacing w:before="120"/>
        <w:ind w:left="584" w:hanging="357"/>
        <w:jc w:val="both"/>
        <w:rPr>
          <w:rFonts w:asciiTheme="minorHAnsi" w:hAnsiTheme="minorHAnsi" w:cs="Calibri"/>
          <w:sz w:val="22"/>
          <w:szCs w:val="22"/>
        </w:rPr>
      </w:pPr>
      <w:r w:rsidRPr="00F375F4">
        <w:rPr>
          <w:rFonts w:asciiTheme="minorHAnsi" w:hAnsiTheme="minorHAnsi" w:cs="Calibri"/>
          <w:sz w:val="22"/>
          <w:szCs w:val="22"/>
        </w:rPr>
        <w:t xml:space="preserve">Calibrate dissolved oxygen sensor on site: </w:t>
      </w:r>
    </w:p>
    <w:p w14:paraId="293C436D" w14:textId="4107A2A9" w:rsidR="001E03EE" w:rsidRPr="0059006F" w:rsidRDefault="001E03EE" w:rsidP="001E03EE">
      <w:pPr>
        <w:pStyle w:val="Default"/>
        <w:widowControl w:val="0"/>
        <w:numPr>
          <w:ilvl w:val="0"/>
          <w:numId w:val="39"/>
        </w:numPr>
        <w:ind w:left="1077" w:hanging="357"/>
        <w:jc w:val="both"/>
        <w:rPr>
          <w:rFonts w:asciiTheme="minorHAnsi" w:hAnsiTheme="minorHAnsi" w:cs="Calibri"/>
          <w:sz w:val="22"/>
          <w:szCs w:val="22"/>
        </w:rPr>
      </w:pPr>
      <w:r w:rsidRPr="0059006F">
        <w:rPr>
          <w:rFonts w:asciiTheme="minorHAnsi" w:hAnsiTheme="minorHAnsi" w:cs="Calibri"/>
          <w:sz w:val="22"/>
          <w:szCs w:val="22"/>
        </w:rPr>
        <w:t>On-site calibration of 100% saturation is achieved by placing the probe in a bucket of stream water which itself is sitting in the stream to ensure thermal control. Air is bubbled through the water in the bucket for at least 45</w:t>
      </w:r>
      <w:r>
        <w:rPr>
          <w:rFonts w:eastAsiaTheme="majorEastAsia"/>
        </w:rPr>
        <w:t>–</w:t>
      </w:r>
      <w:r w:rsidRPr="0059006F">
        <w:rPr>
          <w:rFonts w:asciiTheme="minorHAnsi" w:hAnsiTheme="minorHAnsi" w:cs="Calibri"/>
          <w:sz w:val="22"/>
          <w:szCs w:val="22"/>
        </w:rPr>
        <w:t xml:space="preserve">60 minutes. This should result in a stable reading from the probe. It is important that the probe is not in the direct line of air bubbles. </w:t>
      </w:r>
    </w:p>
    <w:p w14:paraId="31CA0474" w14:textId="77777777" w:rsidR="00336C52" w:rsidRPr="0059006F" w:rsidRDefault="00336C52" w:rsidP="00C77254">
      <w:pPr>
        <w:pStyle w:val="Default"/>
        <w:widowControl w:val="0"/>
        <w:numPr>
          <w:ilvl w:val="0"/>
          <w:numId w:val="40"/>
        </w:numPr>
        <w:spacing w:before="120" w:after="120"/>
        <w:ind w:left="584" w:hanging="357"/>
        <w:jc w:val="both"/>
        <w:rPr>
          <w:rFonts w:asciiTheme="minorHAnsi" w:hAnsiTheme="minorHAnsi" w:cs="Calibri"/>
          <w:sz w:val="22"/>
          <w:szCs w:val="22"/>
        </w:rPr>
      </w:pPr>
      <w:r w:rsidRPr="0059006F">
        <w:rPr>
          <w:rFonts w:asciiTheme="minorHAnsi" w:hAnsiTheme="minorHAnsi" w:cs="Calibri"/>
          <w:sz w:val="22"/>
          <w:szCs w:val="22"/>
        </w:rPr>
        <w:t xml:space="preserve">Set the dissolved oxygen, temperature, PAR and barometric pressure loggers to record at ten minute intervals. Synchronise loggers so as to obtain corresponding readings. </w:t>
      </w:r>
    </w:p>
    <w:p w14:paraId="2E19AB30" w14:textId="77777777" w:rsidR="00336C52" w:rsidRPr="00F375F4" w:rsidRDefault="00336C52" w:rsidP="00C77254">
      <w:pPr>
        <w:pStyle w:val="Default"/>
        <w:widowControl w:val="0"/>
        <w:numPr>
          <w:ilvl w:val="0"/>
          <w:numId w:val="40"/>
        </w:numPr>
        <w:ind w:left="584" w:hanging="357"/>
        <w:jc w:val="both"/>
        <w:rPr>
          <w:rFonts w:asciiTheme="minorHAnsi" w:hAnsiTheme="minorHAnsi" w:cs="Calibri"/>
          <w:sz w:val="22"/>
          <w:szCs w:val="22"/>
        </w:rPr>
      </w:pPr>
      <w:r w:rsidRPr="00F375F4">
        <w:rPr>
          <w:rFonts w:asciiTheme="minorHAnsi" w:hAnsiTheme="minorHAnsi" w:cs="Calibri"/>
          <w:sz w:val="22"/>
          <w:szCs w:val="22"/>
        </w:rPr>
        <w:t xml:space="preserve">Select </w:t>
      </w:r>
      <w:r>
        <w:rPr>
          <w:rFonts w:asciiTheme="minorHAnsi" w:hAnsiTheme="minorHAnsi" w:cs="Calibri"/>
          <w:sz w:val="22"/>
          <w:szCs w:val="22"/>
        </w:rPr>
        <w:t xml:space="preserve">an </w:t>
      </w:r>
      <w:r w:rsidRPr="00F375F4">
        <w:rPr>
          <w:rFonts w:asciiTheme="minorHAnsi" w:hAnsiTheme="minorHAnsi" w:cs="Calibri"/>
          <w:sz w:val="22"/>
          <w:szCs w:val="22"/>
        </w:rPr>
        <w:t>appropriate place for</w:t>
      </w:r>
      <w:r>
        <w:rPr>
          <w:rFonts w:asciiTheme="minorHAnsi" w:hAnsiTheme="minorHAnsi" w:cs="Calibri"/>
          <w:sz w:val="22"/>
          <w:szCs w:val="22"/>
        </w:rPr>
        <w:t xml:space="preserve"> the</w:t>
      </w:r>
      <w:r w:rsidRPr="00F375F4">
        <w:rPr>
          <w:rFonts w:asciiTheme="minorHAnsi" w:hAnsiTheme="minorHAnsi" w:cs="Calibri"/>
          <w:sz w:val="22"/>
          <w:szCs w:val="22"/>
        </w:rPr>
        <w:t xml:space="preserve"> deployment of sensors and loggers noting: </w:t>
      </w:r>
    </w:p>
    <w:p w14:paraId="29C90A22" w14:textId="430B96E8" w:rsidR="00336C52" w:rsidRPr="00F375F4" w:rsidRDefault="00336C52" w:rsidP="00C77254">
      <w:pPr>
        <w:pStyle w:val="Default"/>
        <w:widowControl w:val="0"/>
        <w:numPr>
          <w:ilvl w:val="2"/>
          <w:numId w:val="35"/>
        </w:numPr>
        <w:ind w:left="1077" w:hanging="357"/>
        <w:jc w:val="both"/>
        <w:rPr>
          <w:rFonts w:asciiTheme="minorHAnsi" w:hAnsiTheme="minorHAnsi" w:cs="Calibri"/>
          <w:sz w:val="22"/>
          <w:szCs w:val="22"/>
        </w:rPr>
      </w:pPr>
      <w:r w:rsidRPr="00F375F4">
        <w:rPr>
          <w:rFonts w:asciiTheme="minorHAnsi" w:hAnsiTheme="minorHAnsi" w:cs="Calibri"/>
          <w:sz w:val="22"/>
          <w:szCs w:val="22"/>
        </w:rPr>
        <w:t xml:space="preserve">Dissolved oxygen and temperature sensors must be placed in open water, and at a depth that will not expose sensors for </w:t>
      </w:r>
      <w:r>
        <w:rPr>
          <w:rFonts w:asciiTheme="minorHAnsi" w:hAnsiTheme="minorHAnsi" w:cs="Calibri"/>
          <w:sz w:val="22"/>
          <w:szCs w:val="22"/>
        </w:rPr>
        <w:t xml:space="preserve">the </w:t>
      </w:r>
      <w:r w:rsidRPr="00F375F4">
        <w:rPr>
          <w:rFonts w:asciiTheme="minorHAnsi" w:hAnsiTheme="minorHAnsi" w:cs="Calibri"/>
          <w:sz w:val="22"/>
          <w:szCs w:val="22"/>
        </w:rPr>
        <w:t xml:space="preserve">entire deployment period. Sensors should not be placed in eddies, backwaters or where flow is influenced by structures. </w:t>
      </w:r>
    </w:p>
    <w:p w14:paraId="20968EF3" w14:textId="77777777" w:rsidR="00336C52" w:rsidRPr="00F375F4" w:rsidRDefault="00336C52" w:rsidP="00C77254">
      <w:pPr>
        <w:pStyle w:val="Default"/>
        <w:widowControl w:val="0"/>
        <w:numPr>
          <w:ilvl w:val="0"/>
          <w:numId w:val="35"/>
        </w:numPr>
        <w:ind w:left="1077" w:hanging="357"/>
        <w:jc w:val="both"/>
        <w:rPr>
          <w:rFonts w:asciiTheme="minorHAnsi" w:hAnsiTheme="minorHAnsi" w:cs="Calibri"/>
          <w:sz w:val="22"/>
          <w:szCs w:val="22"/>
        </w:rPr>
      </w:pPr>
      <w:r w:rsidRPr="00F375F4">
        <w:rPr>
          <w:rFonts w:asciiTheme="minorHAnsi" w:hAnsiTheme="minorHAnsi" w:cs="Calibri"/>
          <w:sz w:val="22"/>
          <w:szCs w:val="22"/>
        </w:rPr>
        <w:t xml:space="preserve">PAR sensor should be deployed above the water surface (and remain so for entire deployment) as described above. </w:t>
      </w:r>
    </w:p>
    <w:p w14:paraId="4AF6B686" w14:textId="1A0E3A53" w:rsidR="00336C52" w:rsidRPr="00F375F4" w:rsidRDefault="00336C52" w:rsidP="00C77254">
      <w:pPr>
        <w:pStyle w:val="Default"/>
        <w:widowControl w:val="0"/>
        <w:numPr>
          <w:ilvl w:val="2"/>
          <w:numId w:val="35"/>
        </w:numPr>
        <w:ind w:left="1077" w:hanging="357"/>
        <w:jc w:val="both"/>
        <w:rPr>
          <w:rFonts w:asciiTheme="minorHAnsi" w:hAnsiTheme="minorHAnsi" w:cs="Calibri"/>
          <w:sz w:val="22"/>
          <w:szCs w:val="22"/>
        </w:rPr>
      </w:pPr>
      <w:r w:rsidRPr="00F375F4">
        <w:rPr>
          <w:rFonts w:asciiTheme="minorHAnsi" w:hAnsiTheme="minorHAnsi" w:cs="Calibri"/>
          <w:sz w:val="22"/>
          <w:szCs w:val="22"/>
        </w:rPr>
        <w:t>Sensors will be deployed on suitable existing structures</w:t>
      </w:r>
      <w:r>
        <w:rPr>
          <w:rFonts w:asciiTheme="minorHAnsi" w:hAnsiTheme="minorHAnsi" w:cs="Calibri"/>
          <w:sz w:val="22"/>
          <w:szCs w:val="22"/>
        </w:rPr>
        <w:t xml:space="preserve">, </w:t>
      </w:r>
      <w:r w:rsidR="00320EB3">
        <w:rPr>
          <w:rFonts w:asciiTheme="minorHAnsi" w:hAnsiTheme="minorHAnsi" w:cs="Calibri"/>
          <w:sz w:val="22"/>
          <w:szCs w:val="22"/>
        </w:rPr>
        <w:t>these are a</w:t>
      </w:r>
      <w:r>
        <w:rPr>
          <w:rFonts w:asciiTheme="minorHAnsi" w:hAnsiTheme="minorHAnsi" w:cs="Calibri"/>
          <w:sz w:val="22"/>
          <w:szCs w:val="22"/>
        </w:rPr>
        <w:t xml:space="preserve"> DEW equipment raft downstream of Lock 6</w:t>
      </w:r>
      <w:r w:rsidR="000F48FB">
        <w:rPr>
          <w:rFonts w:asciiTheme="minorHAnsi" w:hAnsiTheme="minorHAnsi" w:cs="Calibri"/>
          <w:sz w:val="22"/>
          <w:szCs w:val="22"/>
        </w:rPr>
        <w:t xml:space="preserve"> and Lock 4</w:t>
      </w:r>
      <w:r>
        <w:rPr>
          <w:rFonts w:asciiTheme="minorHAnsi" w:hAnsiTheme="minorHAnsi" w:cs="Calibri"/>
          <w:sz w:val="22"/>
          <w:szCs w:val="22"/>
        </w:rPr>
        <w:t>, and a permanent channel pole marker downstream of Lock 1.</w:t>
      </w:r>
    </w:p>
    <w:p w14:paraId="75C51FFF" w14:textId="77777777" w:rsidR="00336C52" w:rsidRPr="00F375F4" w:rsidRDefault="00336C52" w:rsidP="00C77254">
      <w:pPr>
        <w:pStyle w:val="Default"/>
        <w:widowControl w:val="0"/>
        <w:numPr>
          <w:ilvl w:val="0"/>
          <w:numId w:val="40"/>
        </w:numPr>
        <w:spacing w:before="120" w:after="120"/>
        <w:ind w:left="584" w:hanging="357"/>
        <w:jc w:val="both"/>
        <w:rPr>
          <w:rFonts w:asciiTheme="minorHAnsi" w:hAnsiTheme="minorHAnsi" w:cs="Calibri"/>
          <w:sz w:val="22"/>
          <w:szCs w:val="22"/>
        </w:rPr>
      </w:pPr>
      <w:r>
        <w:rPr>
          <w:rFonts w:asciiTheme="minorHAnsi" w:hAnsiTheme="minorHAnsi" w:cs="Calibri"/>
          <w:sz w:val="22"/>
          <w:szCs w:val="22"/>
        </w:rPr>
        <w:t>Deploy loggers.</w:t>
      </w:r>
    </w:p>
    <w:p w14:paraId="26697A5E" w14:textId="77777777" w:rsidR="00336C52" w:rsidRPr="00F375F4" w:rsidRDefault="00336C52" w:rsidP="00C77254">
      <w:pPr>
        <w:pStyle w:val="Default"/>
        <w:widowControl w:val="0"/>
        <w:numPr>
          <w:ilvl w:val="0"/>
          <w:numId w:val="40"/>
        </w:numPr>
        <w:spacing w:before="120" w:after="120"/>
        <w:ind w:left="584" w:hanging="357"/>
        <w:jc w:val="both"/>
        <w:rPr>
          <w:rFonts w:asciiTheme="minorHAnsi" w:hAnsiTheme="minorHAnsi" w:cs="Calibri"/>
          <w:sz w:val="22"/>
          <w:szCs w:val="22"/>
        </w:rPr>
      </w:pPr>
      <w:r w:rsidRPr="00F375F4">
        <w:rPr>
          <w:rFonts w:asciiTheme="minorHAnsi" w:hAnsiTheme="minorHAnsi" w:cs="Calibri"/>
          <w:sz w:val="22"/>
          <w:szCs w:val="22"/>
        </w:rPr>
        <w:t xml:space="preserve">Leave loggers deployed for between three and six weeks. </w:t>
      </w:r>
    </w:p>
    <w:p w14:paraId="37881E06" w14:textId="77777777" w:rsidR="00336C52" w:rsidRPr="00F375F4" w:rsidRDefault="00336C52" w:rsidP="00C77254">
      <w:pPr>
        <w:pStyle w:val="Default"/>
        <w:widowControl w:val="0"/>
        <w:numPr>
          <w:ilvl w:val="0"/>
          <w:numId w:val="40"/>
        </w:numPr>
        <w:spacing w:before="120" w:after="120"/>
        <w:ind w:left="584" w:hanging="357"/>
        <w:jc w:val="both"/>
        <w:rPr>
          <w:rFonts w:asciiTheme="minorHAnsi" w:hAnsiTheme="minorHAnsi" w:cs="Calibri"/>
          <w:sz w:val="22"/>
          <w:szCs w:val="22"/>
        </w:rPr>
      </w:pPr>
      <w:r w:rsidRPr="00F375F4">
        <w:rPr>
          <w:rFonts w:asciiTheme="minorHAnsi" w:hAnsiTheme="minorHAnsi" w:cs="Calibri"/>
          <w:sz w:val="22"/>
          <w:szCs w:val="22"/>
        </w:rPr>
        <w:t xml:space="preserve">Perform servicing, cleaning and calibration of loggers at each repeat visit. </w:t>
      </w:r>
    </w:p>
    <w:p w14:paraId="7BF496A8" w14:textId="77777777" w:rsidR="00336C52" w:rsidRPr="00F375F4" w:rsidRDefault="00320EB3" w:rsidP="00C77254">
      <w:pPr>
        <w:pStyle w:val="Default"/>
        <w:widowControl w:val="0"/>
        <w:numPr>
          <w:ilvl w:val="0"/>
          <w:numId w:val="40"/>
        </w:numPr>
        <w:spacing w:before="120" w:after="120"/>
        <w:ind w:left="584" w:hanging="357"/>
        <w:jc w:val="both"/>
        <w:rPr>
          <w:rFonts w:asciiTheme="minorHAnsi" w:hAnsiTheme="minorHAnsi" w:cs="Calibri"/>
          <w:sz w:val="22"/>
          <w:szCs w:val="22"/>
        </w:rPr>
      </w:pPr>
      <w:r>
        <w:rPr>
          <w:rFonts w:asciiTheme="minorHAnsi" w:hAnsiTheme="minorHAnsi" w:cs="Calibri"/>
          <w:sz w:val="22"/>
          <w:szCs w:val="22"/>
        </w:rPr>
        <w:t xml:space="preserve">Take </w:t>
      </w:r>
      <w:r w:rsidR="00336C52" w:rsidRPr="00F375F4">
        <w:rPr>
          <w:rFonts w:asciiTheme="minorHAnsi" w:hAnsiTheme="minorHAnsi" w:cs="Calibri"/>
          <w:sz w:val="22"/>
          <w:szCs w:val="22"/>
        </w:rPr>
        <w:t xml:space="preserve">water quality samples and spot measures at each repeat visit. </w:t>
      </w:r>
    </w:p>
    <w:p w14:paraId="714499FF" w14:textId="77777777" w:rsidR="00336C52" w:rsidRPr="00F375F4" w:rsidRDefault="00336C52" w:rsidP="00C77254">
      <w:pPr>
        <w:pStyle w:val="Default"/>
        <w:widowControl w:val="0"/>
        <w:numPr>
          <w:ilvl w:val="0"/>
          <w:numId w:val="40"/>
        </w:numPr>
        <w:spacing w:before="120" w:after="120"/>
        <w:ind w:left="584" w:hanging="357"/>
        <w:jc w:val="both"/>
        <w:rPr>
          <w:rFonts w:asciiTheme="minorHAnsi" w:hAnsiTheme="minorHAnsi" w:cs="Calibri"/>
          <w:sz w:val="22"/>
          <w:szCs w:val="22"/>
        </w:rPr>
      </w:pPr>
      <w:r w:rsidRPr="00F375F4">
        <w:rPr>
          <w:rFonts w:asciiTheme="minorHAnsi" w:hAnsiTheme="minorHAnsi" w:cs="Calibri"/>
          <w:sz w:val="22"/>
          <w:szCs w:val="22"/>
        </w:rPr>
        <w:t xml:space="preserve">Repeat 100% saturation value check (water saturated air) and note the value of any drift. </w:t>
      </w:r>
    </w:p>
    <w:p w14:paraId="6FD4CC49" w14:textId="77777777" w:rsidR="00336C52" w:rsidRPr="00F375F4" w:rsidRDefault="00336C52" w:rsidP="00C77254">
      <w:pPr>
        <w:pStyle w:val="Default"/>
        <w:widowControl w:val="0"/>
        <w:numPr>
          <w:ilvl w:val="0"/>
          <w:numId w:val="40"/>
        </w:numPr>
        <w:spacing w:before="120" w:after="120"/>
        <w:ind w:left="584" w:hanging="357"/>
        <w:jc w:val="both"/>
        <w:rPr>
          <w:rFonts w:asciiTheme="minorHAnsi" w:hAnsiTheme="minorHAnsi" w:cs="Calibri"/>
          <w:sz w:val="22"/>
          <w:szCs w:val="22"/>
        </w:rPr>
      </w:pPr>
      <w:r w:rsidRPr="00F375F4">
        <w:rPr>
          <w:rFonts w:asciiTheme="minorHAnsi" w:hAnsiTheme="minorHAnsi" w:cs="Calibri"/>
          <w:sz w:val="22"/>
          <w:szCs w:val="22"/>
        </w:rPr>
        <w:t xml:space="preserve">Record any relevant information, such as changes in site characteristics since deployment. </w:t>
      </w:r>
    </w:p>
    <w:p w14:paraId="51AE0813" w14:textId="77777777" w:rsidR="00336C52" w:rsidRPr="00F375F4" w:rsidRDefault="00336C52" w:rsidP="00C77254">
      <w:pPr>
        <w:pStyle w:val="Default"/>
        <w:widowControl w:val="0"/>
        <w:numPr>
          <w:ilvl w:val="0"/>
          <w:numId w:val="40"/>
        </w:numPr>
        <w:spacing w:before="120" w:after="120"/>
        <w:ind w:left="584" w:hanging="357"/>
        <w:jc w:val="both"/>
        <w:rPr>
          <w:rFonts w:asciiTheme="minorHAnsi" w:hAnsiTheme="minorHAnsi" w:cs="Calibri"/>
          <w:sz w:val="22"/>
          <w:szCs w:val="22"/>
        </w:rPr>
      </w:pPr>
      <w:r w:rsidRPr="00F375F4">
        <w:rPr>
          <w:rFonts w:asciiTheme="minorHAnsi" w:hAnsiTheme="minorHAnsi" w:cs="Calibri"/>
          <w:sz w:val="22"/>
          <w:szCs w:val="22"/>
        </w:rPr>
        <w:t xml:space="preserve">Upload data onto laptop following manufacturer’s instructions. </w:t>
      </w:r>
    </w:p>
    <w:p w14:paraId="1C78AEF9" w14:textId="77777777" w:rsidR="00336C52" w:rsidRPr="0059006F" w:rsidRDefault="00336C52" w:rsidP="00C77254">
      <w:pPr>
        <w:pStyle w:val="Default"/>
        <w:widowControl w:val="0"/>
        <w:numPr>
          <w:ilvl w:val="0"/>
          <w:numId w:val="40"/>
        </w:numPr>
        <w:spacing w:before="120" w:after="120"/>
        <w:ind w:left="584" w:hanging="357"/>
        <w:jc w:val="both"/>
        <w:rPr>
          <w:rFonts w:asciiTheme="minorHAnsi" w:hAnsiTheme="minorHAnsi" w:cs="Calibri"/>
          <w:sz w:val="22"/>
          <w:szCs w:val="22"/>
        </w:rPr>
      </w:pPr>
      <w:r w:rsidRPr="00F375F4">
        <w:rPr>
          <w:rFonts w:asciiTheme="minorHAnsi" w:hAnsiTheme="minorHAnsi" w:cs="Calibri"/>
          <w:sz w:val="22"/>
          <w:szCs w:val="22"/>
        </w:rPr>
        <w:t xml:space="preserve">Calibrate all sensors and loggers and perform routine maintenance / cleaning as necessary. </w:t>
      </w:r>
    </w:p>
    <w:p w14:paraId="5CDD59C7" w14:textId="77777777" w:rsidR="00336C52" w:rsidRPr="00AB2269" w:rsidRDefault="00336C52" w:rsidP="00336C52">
      <w:pPr>
        <w:pStyle w:val="Heading2"/>
      </w:pPr>
      <w:bookmarkStart w:id="831" w:name="_Toc396825281"/>
      <w:bookmarkStart w:id="832" w:name="_Toc6403823"/>
      <w:bookmarkStart w:id="833" w:name="_Toc10095208"/>
      <w:bookmarkStart w:id="834" w:name="_Toc10192377"/>
      <w:bookmarkStart w:id="835" w:name="_Toc10206692"/>
      <w:bookmarkStart w:id="836" w:name="_Toc10213278"/>
      <w:bookmarkStart w:id="837" w:name="_Toc10732302"/>
      <w:bookmarkStart w:id="838" w:name="_Toc10796861"/>
      <w:bookmarkStart w:id="839" w:name="_Toc12022746"/>
      <w:bookmarkStart w:id="840" w:name="_Toc12630576"/>
      <w:bookmarkStart w:id="841" w:name="_Toc16154436"/>
      <w:bookmarkStart w:id="842" w:name="_Toc22196798"/>
      <w:r w:rsidRPr="00AB2269">
        <w:lastRenderedPageBreak/>
        <w:t>Data analysis and evaluation</w:t>
      </w:r>
      <w:bookmarkEnd w:id="831"/>
      <w:bookmarkEnd w:id="832"/>
      <w:bookmarkEnd w:id="833"/>
      <w:bookmarkEnd w:id="834"/>
      <w:bookmarkEnd w:id="835"/>
      <w:bookmarkEnd w:id="836"/>
      <w:bookmarkEnd w:id="837"/>
      <w:bookmarkEnd w:id="838"/>
      <w:bookmarkEnd w:id="839"/>
      <w:bookmarkEnd w:id="840"/>
      <w:bookmarkEnd w:id="841"/>
      <w:bookmarkEnd w:id="842"/>
      <w:r w:rsidRPr="00AB2269">
        <w:t xml:space="preserve"> </w:t>
      </w:r>
    </w:p>
    <w:p w14:paraId="32CA0089" w14:textId="77777777" w:rsidR="00336C52" w:rsidRPr="009D6C84" w:rsidRDefault="00336C52" w:rsidP="00336C52">
      <w:pPr>
        <w:pStyle w:val="CM20"/>
        <w:spacing w:line="271" w:lineRule="atLeast"/>
        <w:jc w:val="both"/>
        <w:rPr>
          <w:rFonts w:asciiTheme="minorHAnsi" w:hAnsiTheme="minorHAnsi" w:cs="Calibri"/>
          <w:sz w:val="22"/>
          <w:szCs w:val="22"/>
        </w:rPr>
      </w:pPr>
      <w:r w:rsidRPr="00F375F4">
        <w:rPr>
          <w:rFonts w:asciiTheme="minorHAnsi" w:hAnsiTheme="minorHAnsi" w:cs="Calibri"/>
          <w:color w:val="000000"/>
          <w:sz w:val="22"/>
          <w:szCs w:val="22"/>
        </w:rPr>
        <w:t>This method adopts the approach of determining gross primary production (GPP), ecosystem respiration (ER) and re-aeration rate (K</w:t>
      </w:r>
      <w:r w:rsidRPr="00F375F4">
        <w:rPr>
          <w:rFonts w:asciiTheme="minorHAnsi" w:hAnsiTheme="minorHAnsi" w:cs="Calibri"/>
          <w:color w:val="000000"/>
          <w:sz w:val="14"/>
          <w:szCs w:val="14"/>
        </w:rPr>
        <w:t>O2</w:t>
      </w:r>
      <w:r w:rsidRPr="00F375F4">
        <w:rPr>
          <w:rFonts w:asciiTheme="minorHAnsi" w:hAnsiTheme="minorHAnsi" w:cs="Calibri"/>
          <w:color w:val="000000"/>
          <w:sz w:val="22"/>
          <w:szCs w:val="22"/>
        </w:rPr>
        <w:t xml:space="preserve">) from </w:t>
      </w:r>
      <w:r>
        <w:rPr>
          <w:rFonts w:asciiTheme="minorHAnsi" w:hAnsiTheme="minorHAnsi" w:cs="Calibri"/>
          <w:color w:val="000000"/>
          <w:sz w:val="22"/>
          <w:szCs w:val="22"/>
        </w:rPr>
        <w:t xml:space="preserve">a series of </w:t>
      </w:r>
      <w:r w:rsidRPr="00F375F4">
        <w:rPr>
          <w:rFonts w:asciiTheme="minorHAnsi" w:hAnsiTheme="minorHAnsi" w:cs="Calibri"/>
          <w:color w:val="000000"/>
          <w:sz w:val="22"/>
          <w:szCs w:val="22"/>
        </w:rPr>
        <w:t>diel dissolved oxygen curves. Curve fitting models estimating these parameters require data for dissolved oxygen in mg O</w:t>
      </w:r>
      <w:r w:rsidRPr="00F375F4">
        <w:rPr>
          <w:rFonts w:asciiTheme="minorHAnsi" w:hAnsiTheme="minorHAnsi" w:cs="Calibri"/>
          <w:color w:val="000000"/>
          <w:sz w:val="22"/>
          <w:szCs w:val="22"/>
          <w:vertAlign w:val="subscript"/>
        </w:rPr>
        <w:t>2</w:t>
      </w:r>
      <w:r w:rsidRPr="00F375F4">
        <w:rPr>
          <w:rFonts w:asciiTheme="minorHAnsi" w:hAnsiTheme="minorHAnsi" w:cs="Calibri"/>
          <w:color w:val="000000"/>
          <w:sz w:val="22"/>
          <w:szCs w:val="22"/>
        </w:rPr>
        <w:t xml:space="preserve">/L, </w:t>
      </w:r>
      <w:r w:rsidR="003C15D9" w:rsidRPr="00F375F4">
        <w:rPr>
          <w:rFonts w:asciiTheme="minorHAnsi" w:hAnsiTheme="minorHAnsi" w:cs="Calibri"/>
          <w:color w:val="000000"/>
          <w:sz w:val="22"/>
          <w:szCs w:val="22"/>
        </w:rPr>
        <w:t>temperature</w:t>
      </w:r>
      <w:r w:rsidR="003C15D9">
        <w:rPr>
          <w:rFonts w:asciiTheme="minorHAnsi" w:hAnsiTheme="minorHAnsi" w:cs="Calibri"/>
          <w:color w:val="000000"/>
          <w:sz w:val="22"/>
          <w:szCs w:val="22"/>
        </w:rPr>
        <w:t xml:space="preserve"> in </w:t>
      </w:r>
      <w:r w:rsidR="003C15D9">
        <w:rPr>
          <w:rFonts w:asciiTheme="minorHAnsi" w:hAnsiTheme="minorHAnsi" w:cs="Calibri"/>
          <w:color w:val="000000"/>
          <w:sz w:val="22"/>
          <w:szCs w:val="22"/>
          <w:vertAlign w:val="superscript"/>
        </w:rPr>
        <w:t>o</w:t>
      </w:r>
      <w:r w:rsidR="003C15D9">
        <w:rPr>
          <w:rFonts w:asciiTheme="minorHAnsi" w:hAnsiTheme="minorHAnsi" w:cs="Calibri"/>
          <w:color w:val="000000"/>
          <w:sz w:val="22"/>
          <w:szCs w:val="22"/>
        </w:rPr>
        <w:t>C</w:t>
      </w:r>
      <w:r w:rsidR="003C15D9" w:rsidRPr="00F375F4">
        <w:rPr>
          <w:rFonts w:asciiTheme="minorHAnsi" w:hAnsiTheme="minorHAnsi" w:cs="Calibri"/>
          <w:color w:val="000000"/>
          <w:sz w:val="22"/>
          <w:szCs w:val="22"/>
        </w:rPr>
        <w:t>, PAR</w:t>
      </w:r>
      <w:r w:rsidR="003C15D9">
        <w:rPr>
          <w:rFonts w:asciiTheme="minorHAnsi" w:hAnsiTheme="minorHAnsi" w:cs="Calibri"/>
          <w:color w:val="000000"/>
          <w:sz w:val="22"/>
          <w:szCs w:val="22"/>
        </w:rPr>
        <w:t xml:space="preserve"> in µmoles photons/m</w:t>
      </w:r>
      <w:r w:rsidR="003C15D9">
        <w:rPr>
          <w:rFonts w:asciiTheme="minorHAnsi" w:hAnsiTheme="minorHAnsi" w:cs="Calibri"/>
          <w:color w:val="000000"/>
          <w:sz w:val="22"/>
          <w:szCs w:val="22"/>
          <w:vertAlign w:val="superscript"/>
        </w:rPr>
        <w:t>2</w:t>
      </w:r>
      <w:r w:rsidR="003C15D9">
        <w:rPr>
          <w:rFonts w:asciiTheme="minorHAnsi" w:hAnsiTheme="minorHAnsi" w:cs="Calibri"/>
          <w:color w:val="000000"/>
          <w:sz w:val="22"/>
          <w:szCs w:val="22"/>
        </w:rPr>
        <w:t>/sec,</w:t>
      </w:r>
      <w:r w:rsidR="003C15D9" w:rsidRPr="00F375F4">
        <w:rPr>
          <w:rFonts w:asciiTheme="minorHAnsi" w:hAnsiTheme="minorHAnsi" w:cs="Calibri"/>
          <w:color w:val="000000"/>
          <w:sz w:val="22"/>
          <w:szCs w:val="22"/>
        </w:rPr>
        <w:t xml:space="preserve"> and barometric pressure (in atmospheres) </w:t>
      </w:r>
      <w:r w:rsidR="003C15D9">
        <w:rPr>
          <w:rFonts w:asciiTheme="minorHAnsi" w:hAnsiTheme="minorHAnsi" w:cs="Calibri"/>
          <w:color w:val="000000"/>
          <w:sz w:val="22"/>
          <w:szCs w:val="22"/>
        </w:rPr>
        <w:t xml:space="preserve">all </w:t>
      </w:r>
      <w:r w:rsidR="003C15D9" w:rsidRPr="00F375F4">
        <w:rPr>
          <w:rFonts w:asciiTheme="minorHAnsi" w:hAnsiTheme="minorHAnsi" w:cs="Calibri"/>
          <w:color w:val="000000"/>
          <w:sz w:val="22"/>
          <w:szCs w:val="22"/>
        </w:rPr>
        <w:t>at</w:t>
      </w:r>
      <w:r w:rsidRPr="00F375F4">
        <w:rPr>
          <w:rFonts w:asciiTheme="minorHAnsi" w:hAnsiTheme="minorHAnsi" w:cs="Calibri"/>
          <w:color w:val="000000"/>
          <w:sz w:val="22"/>
          <w:szCs w:val="22"/>
        </w:rPr>
        <w:t xml:space="preserve"> </w:t>
      </w:r>
      <w:r>
        <w:rPr>
          <w:rFonts w:asciiTheme="minorHAnsi" w:hAnsiTheme="minorHAnsi" w:cs="Calibri"/>
          <w:color w:val="000000"/>
          <w:sz w:val="22"/>
          <w:szCs w:val="22"/>
        </w:rPr>
        <w:t>ten</w:t>
      </w:r>
      <w:r w:rsidRPr="00F375F4">
        <w:rPr>
          <w:rFonts w:asciiTheme="minorHAnsi" w:hAnsiTheme="minorHAnsi" w:cs="Calibri"/>
          <w:color w:val="000000"/>
          <w:sz w:val="22"/>
          <w:szCs w:val="22"/>
        </w:rPr>
        <w:t xml:space="preserve"> minute intervals. The salinity can be approximated as 0 unless the electrical conductivity is above 500 μS/cm in which case salinity = 6 x 10</w:t>
      </w:r>
      <w:r w:rsidRPr="00F375F4">
        <w:rPr>
          <w:rFonts w:asciiTheme="minorHAnsi" w:hAnsiTheme="minorHAnsi" w:cs="Calibri"/>
          <w:color w:val="000000"/>
          <w:sz w:val="22"/>
          <w:szCs w:val="22"/>
          <w:vertAlign w:val="superscript"/>
        </w:rPr>
        <w:t>-4</w:t>
      </w:r>
      <w:r w:rsidRPr="00F375F4">
        <w:rPr>
          <w:rFonts w:asciiTheme="minorHAnsi" w:hAnsiTheme="minorHAnsi" w:cs="Calibri"/>
          <w:color w:val="000000"/>
          <w:sz w:val="22"/>
          <w:szCs w:val="22"/>
        </w:rPr>
        <w:t xml:space="preserve"> x EC (Based on conversion factor of 1 µS/cm = 0.6 mg/L TDS). Analys</w:t>
      </w:r>
      <w:r>
        <w:rPr>
          <w:rFonts w:asciiTheme="minorHAnsi" w:hAnsiTheme="minorHAnsi" w:cs="Calibri"/>
          <w:color w:val="000000"/>
          <w:sz w:val="22"/>
          <w:szCs w:val="22"/>
        </w:rPr>
        <w:t>e</w:t>
      </w:r>
      <w:r w:rsidRPr="00F375F4">
        <w:rPr>
          <w:rFonts w:asciiTheme="minorHAnsi" w:hAnsiTheme="minorHAnsi" w:cs="Calibri"/>
          <w:color w:val="000000"/>
          <w:sz w:val="22"/>
          <w:szCs w:val="22"/>
        </w:rPr>
        <w:t>s provide estimates of GPP and ER in mg O</w:t>
      </w:r>
      <w:r w:rsidRPr="00F375F4">
        <w:rPr>
          <w:rFonts w:asciiTheme="minorHAnsi" w:hAnsiTheme="minorHAnsi" w:cs="Calibri"/>
          <w:color w:val="000000"/>
          <w:sz w:val="14"/>
          <w:szCs w:val="14"/>
        </w:rPr>
        <w:t xml:space="preserve">2 </w:t>
      </w:r>
      <w:r w:rsidRPr="00F375F4">
        <w:rPr>
          <w:rFonts w:asciiTheme="minorHAnsi" w:hAnsiTheme="minorHAnsi" w:cs="Calibri"/>
          <w:color w:val="000000"/>
          <w:sz w:val="22"/>
          <w:szCs w:val="22"/>
        </w:rPr>
        <w:t>/</w:t>
      </w:r>
      <w:r w:rsidRPr="009D6C84">
        <w:rPr>
          <w:rFonts w:asciiTheme="minorHAnsi" w:hAnsiTheme="minorHAnsi" w:cs="Calibri"/>
          <w:sz w:val="22"/>
          <w:szCs w:val="22"/>
        </w:rPr>
        <w:t>L/Day with uncertainties for each and goodness of fit parameters. These parameters are converted to areal measurements by multiplying by the average reach depth.</w:t>
      </w:r>
    </w:p>
    <w:p w14:paraId="0A834810" w14:textId="77777777" w:rsidR="00336C52" w:rsidRPr="009D6C84" w:rsidRDefault="00336C52" w:rsidP="00336C52">
      <w:pPr>
        <w:pStyle w:val="Default"/>
        <w:jc w:val="both"/>
        <w:rPr>
          <w:color w:val="auto"/>
        </w:rPr>
      </w:pPr>
    </w:p>
    <w:p w14:paraId="69703B71" w14:textId="77777777" w:rsidR="00336C52" w:rsidRPr="009D6C84" w:rsidRDefault="00336C52" w:rsidP="00336C52">
      <w:pPr>
        <w:rPr>
          <w:color w:val="auto"/>
        </w:rPr>
      </w:pPr>
      <w:r w:rsidRPr="009D6C84">
        <w:rPr>
          <w:color w:val="auto"/>
        </w:rPr>
        <w:t>Evaluation of this data will be based on two approaches:</w:t>
      </w:r>
    </w:p>
    <w:p w14:paraId="11A54FA5" w14:textId="77777777" w:rsidR="00336C52" w:rsidRPr="009D6C84" w:rsidRDefault="00336C52" w:rsidP="00336C52">
      <w:pPr>
        <w:pStyle w:val="ListBullet"/>
        <w:ind w:left="765" w:hanging="357"/>
        <w:rPr>
          <w:color w:val="auto"/>
        </w:rPr>
      </w:pPr>
      <w:r w:rsidRPr="009D6C84">
        <w:rPr>
          <w:color w:val="auto"/>
        </w:rPr>
        <w:t>A comparison of changes in dissolved oxygen concentrations and stream metabolism in response to environmental water events, approximating a before and after or time series assessment</w:t>
      </w:r>
      <w:r>
        <w:rPr>
          <w:color w:val="auto"/>
        </w:rPr>
        <w:t>.</w:t>
      </w:r>
    </w:p>
    <w:p w14:paraId="0DED2E82" w14:textId="1624A294" w:rsidR="00336C52" w:rsidRPr="009D6C84" w:rsidRDefault="00336C52" w:rsidP="00336C52">
      <w:pPr>
        <w:pStyle w:val="ListBullet"/>
        <w:ind w:left="765" w:hanging="357"/>
        <w:rPr>
          <w:color w:val="auto"/>
        </w:rPr>
      </w:pPr>
      <w:r w:rsidRPr="009D6C84">
        <w:rPr>
          <w:color w:val="auto"/>
        </w:rPr>
        <w:t xml:space="preserve">An approach described in the LTIM Project evaluation plan as </w:t>
      </w:r>
      <w:r w:rsidRPr="009D6C84">
        <w:rPr>
          <w:i/>
          <w:color w:val="auto"/>
        </w:rPr>
        <w:t>counterfactual</w:t>
      </w:r>
      <w:r w:rsidRPr="009D6C84">
        <w:rPr>
          <w:color w:val="auto"/>
        </w:rPr>
        <w:t xml:space="preserve">, where a comparison is made between observed conditions and the conditions that would have occurred in the absence of environmental water (Gawne </w:t>
      </w:r>
      <w:r w:rsidRPr="009D6C84">
        <w:rPr>
          <w:i/>
          <w:color w:val="auto"/>
        </w:rPr>
        <w:t>et al.</w:t>
      </w:r>
      <w:r w:rsidRPr="009D6C84">
        <w:rPr>
          <w:color w:val="auto"/>
        </w:rPr>
        <w:t xml:space="preserve"> 2014). In this approach the unperturbed conditions are modelled from established relationships between stream metabolism and environmental conditions derived over time from the LTIM</w:t>
      </w:r>
      <w:r w:rsidR="00927F6A">
        <w:rPr>
          <w:color w:val="auto"/>
        </w:rPr>
        <w:t>/MER</w:t>
      </w:r>
      <w:r w:rsidRPr="009D6C84">
        <w:rPr>
          <w:color w:val="auto"/>
        </w:rPr>
        <w:t xml:space="preserve"> Project data collection, or in this case also from previous studies (Oliver and Merrick 2006, Oliver and Lorenz 2010).</w:t>
      </w:r>
    </w:p>
    <w:p w14:paraId="5F1DE23A" w14:textId="77777777" w:rsidR="00336C52" w:rsidRPr="00F375F4" w:rsidRDefault="00336C52" w:rsidP="00336C52">
      <w:pPr>
        <w:pStyle w:val="Heading2"/>
      </w:pPr>
      <w:bookmarkStart w:id="843" w:name="_Toc396825282"/>
      <w:bookmarkStart w:id="844" w:name="_Toc6403824"/>
      <w:bookmarkStart w:id="845" w:name="_Toc10095209"/>
      <w:bookmarkStart w:id="846" w:name="_Toc10192378"/>
      <w:bookmarkStart w:id="847" w:name="_Toc10206693"/>
      <w:bookmarkStart w:id="848" w:name="_Toc10213279"/>
      <w:bookmarkStart w:id="849" w:name="_Toc10732303"/>
      <w:bookmarkStart w:id="850" w:name="_Toc10796862"/>
      <w:bookmarkStart w:id="851" w:name="_Toc12022747"/>
      <w:bookmarkStart w:id="852" w:name="_Toc12630577"/>
      <w:bookmarkStart w:id="853" w:name="_Toc16154437"/>
      <w:bookmarkStart w:id="854" w:name="_Toc22196799"/>
      <w:r w:rsidRPr="00F375F4">
        <w:t>Data management</w:t>
      </w:r>
      <w:bookmarkEnd w:id="843"/>
      <w:bookmarkEnd w:id="844"/>
      <w:bookmarkEnd w:id="845"/>
      <w:bookmarkEnd w:id="846"/>
      <w:bookmarkEnd w:id="847"/>
      <w:bookmarkEnd w:id="848"/>
      <w:bookmarkEnd w:id="849"/>
      <w:bookmarkEnd w:id="850"/>
      <w:bookmarkEnd w:id="851"/>
      <w:bookmarkEnd w:id="852"/>
      <w:bookmarkEnd w:id="853"/>
      <w:bookmarkEnd w:id="854"/>
      <w:r w:rsidRPr="00F375F4">
        <w:t xml:space="preserve"> </w:t>
      </w:r>
    </w:p>
    <w:p w14:paraId="78852AE1" w14:textId="6CE7F809" w:rsidR="009E6C53" w:rsidRPr="00992869" w:rsidRDefault="009E6C53" w:rsidP="009E6C53">
      <w:bookmarkStart w:id="855" w:name="_Toc10192380"/>
      <w:bookmarkStart w:id="856" w:name="_Toc396825285"/>
      <w:bookmarkStart w:id="857" w:name="_Toc6403827"/>
      <w:bookmarkStart w:id="858" w:name="_Toc10095212"/>
      <w:r w:rsidRPr="00992869">
        <w:t>See Section</w:t>
      </w:r>
      <w:r>
        <w:t xml:space="preserve"> </w:t>
      </w:r>
      <w:r>
        <w:fldChar w:fldCharType="begin"/>
      </w:r>
      <w:r>
        <w:instrText xml:space="preserve"> REF _Ref10196755 \r \h </w:instrText>
      </w:r>
      <w:r>
        <w:fldChar w:fldCharType="separate"/>
      </w:r>
      <w:r w:rsidR="00DF49CD">
        <w:t>11</w:t>
      </w:r>
      <w:r>
        <w:fldChar w:fldCharType="end"/>
      </w:r>
      <w:r>
        <w:t xml:space="preserve"> </w:t>
      </w:r>
      <w:r w:rsidRPr="002E3EEF">
        <w:rPr>
          <w:rFonts w:cstheme="minorHAnsi"/>
          <w:szCs w:val="22"/>
        </w:rPr>
        <w:t xml:space="preserve">in the </w:t>
      </w:r>
      <w:r>
        <w:rPr>
          <w:rFonts w:cstheme="minorHAnsi"/>
          <w:szCs w:val="22"/>
        </w:rPr>
        <w:t>MER</w:t>
      </w:r>
      <w:r w:rsidRPr="002E3EEF">
        <w:rPr>
          <w:rFonts w:cstheme="minorHAnsi"/>
          <w:szCs w:val="22"/>
        </w:rPr>
        <w:t xml:space="preserve"> Plan</w:t>
      </w:r>
      <w:r>
        <w:rPr>
          <w:rFonts w:cstheme="minorHAnsi"/>
          <w:szCs w:val="22"/>
        </w:rPr>
        <w:t xml:space="preserve"> for data management procedures</w:t>
      </w:r>
      <w:r w:rsidRPr="00992869">
        <w:t>.</w:t>
      </w:r>
      <w:r>
        <w:t xml:space="preserve"> </w:t>
      </w:r>
      <w:r w:rsidR="008747ED">
        <w:t>The data structure for all Category 1 (Basin-scale) indicators will follow standard templates decided upon by the MER Basin-scale Providers, in consultation with CEWO.</w:t>
      </w:r>
    </w:p>
    <w:p w14:paraId="27CB0209" w14:textId="77777777" w:rsidR="009E6C53" w:rsidRPr="00992869" w:rsidRDefault="009E6C53" w:rsidP="009E6C53">
      <w:pPr>
        <w:pStyle w:val="Heading2"/>
      </w:pPr>
      <w:bookmarkStart w:id="859" w:name="_Toc10206694"/>
      <w:bookmarkStart w:id="860" w:name="_Toc10213280"/>
      <w:bookmarkStart w:id="861" w:name="_Toc10732304"/>
      <w:bookmarkStart w:id="862" w:name="_Toc10796863"/>
      <w:bookmarkStart w:id="863" w:name="_Toc12022748"/>
      <w:bookmarkStart w:id="864" w:name="_Toc12630578"/>
      <w:bookmarkStart w:id="865" w:name="_Toc16154438"/>
      <w:bookmarkStart w:id="866" w:name="_Toc22196800"/>
      <w:r w:rsidRPr="00992869">
        <w:t>Quality Assurance/Quality Control</w:t>
      </w:r>
      <w:bookmarkEnd w:id="859"/>
      <w:bookmarkEnd w:id="860"/>
      <w:bookmarkEnd w:id="861"/>
      <w:bookmarkEnd w:id="862"/>
      <w:bookmarkEnd w:id="863"/>
      <w:bookmarkEnd w:id="864"/>
      <w:bookmarkEnd w:id="865"/>
      <w:bookmarkEnd w:id="866"/>
    </w:p>
    <w:p w14:paraId="3219D655" w14:textId="588C3154" w:rsidR="009E6C53" w:rsidRPr="00992869" w:rsidRDefault="009E6C53" w:rsidP="009E6C53">
      <w:r w:rsidRPr="00992869">
        <w:t xml:space="preserve">See Section </w:t>
      </w:r>
      <w:r w:rsidRPr="00992869">
        <w:fldChar w:fldCharType="begin"/>
      </w:r>
      <w:r w:rsidRPr="00992869">
        <w:instrText xml:space="preserve"> REF _Ref9333977 \r \h  \* MERGEFORMAT </w:instrText>
      </w:r>
      <w:r w:rsidRPr="00992869">
        <w:fldChar w:fldCharType="separate"/>
      </w:r>
      <w:r w:rsidR="00DF49CD">
        <w:t>10.3</w:t>
      </w:r>
      <w:r w:rsidRPr="00992869">
        <w:fldChar w:fldCharType="end"/>
      </w:r>
      <w:r>
        <w:t xml:space="preserve"> </w:t>
      </w:r>
      <w:r w:rsidRPr="002E3EEF">
        <w:rPr>
          <w:rFonts w:cstheme="minorHAnsi"/>
          <w:szCs w:val="22"/>
        </w:rPr>
        <w:t xml:space="preserve">in the </w:t>
      </w:r>
      <w:r>
        <w:rPr>
          <w:rFonts w:cstheme="minorHAnsi"/>
          <w:szCs w:val="22"/>
        </w:rPr>
        <w:t>MER</w:t>
      </w:r>
      <w:r w:rsidRPr="002E3EEF">
        <w:rPr>
          <w:rFonts w:cstheme="minorHAnsi"/>
          <w:szCs w:val="22"/>
        </w:rPr>
        <w:t xml:space="preserve"> Plan</w:t>
      </w:r>
      <w:r>
        <w:rPr>
          <w:rFonts w:cstheme="minorHAnsi"/>
          <w:szCs w:val="22"/>
        </w:rPr>
        <w:t xml:space="preserve"> for quality assurance and control measures</w:t>
      </w:r>
      <w:r w:rsidRPr="00992869">
        <w:t xml:space="preserve">. </w:t>
      </w:r>
    </w:p>
    <w:p w14:paraId="39046963" w14:textId="77777777" w:rsidR="00EB1DC0" w:rsidRPr="00992869" w:rsidRDefault="00EB1DC0" w:rsidP="00EB1DC0">
      <w:pPr>
        <w:pStyle w:val="Heading2"/>
      </w:pPr>
      <w:bookmarkStart w:id="867" w:name="_Toc10206695"/>
      <w:bookmarkStart w:id="868" w:name="_Toc10213281"/>
      <w:bookmarkStart w:id="869" w:name="_Toc10732305"/>
      <w:bookmarkStart w:id="870" w:name="_Toc10796864"/>
      <w:bookmarkStart w:id="871" w:name="_Toc12022749"/>
      <w:bookmarkStart w:id="872" w:name="_Toc12630579"/>
      <w:bookmarkStart w:id="873" w:name="_Toc16154439"/>
      <w:bookmarkStart w:id="874" w:name="_Toc22196801"/>
      <w:r w:rsidRPr="00992869">
        <w:t>Health, safety and environment plan</w:t>
      </w:r>
      <w:bookmarkEnd w:id="855"/>
      <w:bookmarkEnd w:id="867"/>
      <w:bookmarkEnd w:id="868"/>
      <w:bookmarkEnd w:id="869"/>
      <w:bookmarkEnd w:id="870"/>
      <w:bookmarkEnd w:id="871"/>
      <w:bookmarkEnd w:id="872"/>
      <w:bookmarkEnd w:id="873"/>
      <w:bookmarkEnd w:id="874"/>
    </w:p>
    <w:p w14:paraId="794BD028" w14:textId="03193797" w:rsidR="00EB1DC0" w:rsidRDefault="000E285D" w:rsidP="00EB1DC0">
      <w:pPr>
        <w:rPr>
          <w:lang w:val="en-US"/>
        </w:rPr>
      </w:pPr>
      <w:r>
        <w:t>See Appendix A</w:t>
      </w:r>
      <w:r w:rsidR="00EB1DC0" w:rsidRPr="00992869">
        <w:t>.</w:t>
      </w:r>
    </w:p>
    <w:p w14:paraId="6A3B724B" w14:textId="77777777" w:rsidR="00336C52" w:rsidRPr="00AB2269" w:rsidRDefault="00336C52" w:rsidP="00336C52">
      <w:pPr>
        <w:pStyle w:val="Heading2"/>
      </w:pPr>
      <w:bookmarkStart w:id="875" w:name="_Toc10192381"/>
      <w:bookmarkStart w:id="876" w:name="_Toc10206696"/>
      <w:bookmarkStart w:id="877" w:name="_Toc10213282"/>
      <w:bookmarkStart w:id="878" w:name="_Toc10732306"/>
      <w:bookmarkStart w:id="879" w:name="_Toc10796865"/>
      <w:bookmarkStart w:id="880" w:name="_Toc12022750"/>
      <w:bookmarkStart w:id="881" w:name="_Toc12630580"/>
      <w:bookmarkStart w:id="882" w:name="_Toc16154440"/>
      <w:bookmarkStart w:id="883" w:name="_Toc22196802"/>
      <w:r w:rsidRPr="00AB2269">
        <w:t>References</w:t>
      </w:r>
      <w:bookmarkEnd w:id="856"/>
      <w:bookmarkEnd w:id="857"/>
      <w:bookmarkEnd w:id="858"/>
      <w:bookmarkEnd w:id="875"/>
      <w:bookmarkEnd w:id="876"/>
      <w:bookmarkEnd w:id="877"/>
      <w:bookmarkEnd w:id="878"/>
      <w:bookmarkEnd w:id="879"/>
      <w:bookmarkEnd w:id="880"/>
      <w:bookmarkEnd w:id="881"/>
      <w:bookmarkEnd w:id="882"/>
      <w:bookmarkEnd w:id="883"/>
      <w:r w:rsidRPr="00AB2269">
        <w:t xml:space="preserve"> </w:t>
      </w:r>
    </w:p>
    <w:p w14:paraId="7479415B" w14:textId="77777777" w:rsidR="0008315C" w:rsidRPr="002C723D" w:rsidRDefault="0008315C" w:rsidP="0008315C">
      <w:pPr>
        <w:rPr>
          <w:color w:val="auto"/>
        </w:rPr>
      </w:pPr>
      <w:r w:rsidRPr="002C723D">
        <w:rPr>
          <w:color w:val="auto"/>
        </w:rPr>
        <w:t>Gawne, B., Hale, J., Butcher, R., Brooks, S., Roots, J., Cottingham, P., Stewardson, M. and Everingham, P. (2014). Commonwealth Environmental Water Office Long Term Intervention Monitoring Project: Evaluation Plan. Final Report prepared for the Commonwealth Environmental Water Office by The Murray</w:t>
      </w:r>
      <w:r w:rsidRPr="002C723D">
        <w:rPr>
          <w:rFonts w:eastAsiaTheme="majorEastAsia"/>
          <w:color w:val="auto"/>
        </w:rPr>
        <w:t>–</w:t>
      </w:r>
      <w:r w:rsidRPr="002C723D">
        <w:rPr>
          <w:color w:val="auto"/>
        </w:rPr>
        <w:t>Darling Freshwater Research Centre. MDFRC Publication 29/2014.</w:t>
      </w:r>
    </w:p>
    <w:p w14:paraId="2DAE197F" w14:textId="77777777" w:rsidR="00336C52" w:rsidRPr="0008315C" w:rsidRDefault="00336C52" w:rsidP="00336C52">
      <w:pPr>
        <w:pStyle w:val="CM19"/>
        <w:spacing w:after="120"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Grace, M. and Imberger, S. (2006)</w:t>
      </w:r>
      <w:r>
        <w:rPr>
          <w:rFonts w:asciiTheme="minorHAnsi" w:hAnsiTheme="minorHAnsi" w:cs="Calibri"/>
          <w:color w:val="000000"/>
          <w:sz w:val="22"/>
          <w:szCs w:val="22"/>
        </w:rPr>
        <w:t>.</w:t>
      </w:r>
      <w:r w:rsidRPr="00F375F4">
        <w:rPr>
          <w:rFonts w:asciiTheme="minorHAnsi" w:hAnsiTheme="minorHAnsi" w:cs="Calibri"/>
          <w:color w:val="000000"/>
          <w:sz w:val="22"/>
          <w:szCs w:val="22"/>
        </w:rPr>
        <w:t xml:space="preserve"> Stream Metabolism: Performing and Interpreting Measurements, </w:t>
      </w:r>
      <w:r w:rsidRPr="0008315C">
        <w:rPr>
          <w:rFonts w:asciiTheme="minorHAnsi" w:hAnsiTheme="minorHAnsi" w:cs="Calibri"/>
          <w:color w:val="000000"/>
          <w:sz w:val="22"/>
          <w:szCs w:val="22"/>
        </w:rPr>
        <w:t xml:space="preserve">Monash University. </w:t>
      </w:r>
    </w:p>
    <w:p w14:paraId="77C9089D" w14:textId="77777777" w:rsidR="0008315C" w:rsidRPr="00F77EB2" w:rsidRDefault="0008315C" w:rsidP="0008315C">
      <w:pPr>
        <w:rPr>
          <w:noProof/>
          <w:color w:val="auto"/>
        </w:rPr>
      </w:pPr>
      <w:r w:rsidRPr="0008315C">
        <w:rPr>
          <w:noProof/>
          <w:color w:val="auto"/>
        </w:rPr>
        <w:t>Grace, M., et al. (</w:t>
      </w:r>
      <w:r w:rsidRPr="0008315C">
        <w:rPr>
          <w:i/>
          <w:noProof/>
          <w:color w:val="auto"/>
        </w:rPr>
        <w:t>In Prep</w:t>
      </w:r>
      <w:r w:rsidRPr="0008315C">
        <w:rPr>
          <w:noProof/>
          <w:color w:val="auto"/>
        </w:rPr>
        <w:t>) Commonwealth Environmental Water Office Monitoring Evaluation and Research Project  - revision 2019. Final Report prepared for the Commonwealth Environmental Water Office.</w:t>
      </w:r>
    </w:p>
    <w:p w14:paraId="0B14DF3A" w14:textId="77777777" w:rsidR="00336C52" w:rsidRPr="00A45440" w:rsidRDefault="00336C52" w:rsidP="00336C52">
      <w:pPr>
        <w:pStyle w:val="CM19"/>
        <w:spacing w:after="120" w:line="271" w:lineRule="atLeast"/>
        <w:jc w:val="both"/>
        <w:rPr>
          <w:rFonts w:asciiTheme="minorHAnsi" w:hAnsiTheme="minorHAnsi" w:cs="Calibri"/>
          <w:color w:val="000000"/>
          <w:sz w:val="22"/>
          <w:szCs w:val="22"/>
        </w:rPr>
      </w:pPr>
      <w:r w:rsidRPr="00A45440">
        <w:rPr>
          <w:rFonts w:asciiTheme="minorHAnsi" w:hAnsiTheme="minorHAnsi" w:cs="Calibri"/>
          <w:color w:val="000000"/>
          <w:sz w:val="22"/>
          <w:szCs w:val="22"/>
        </w:rPr>
        <w:t>Hale, J., Stoffels, R., Butcher, R., Shackleton, M., Brooks, S. and Gawne, B. (201</w:t>
      </w:r>
      <w:r>
        <w:rPr>
          <w:rFonts w:asciiTheme="minorHAnsi" w:hAnsiTheme="minorHAnsi" w:cs="Calibri"/>
          <w:color w:val="000000"/>
          <w:sz w:val="22"/>
          <w:szCs w:val="22"/>
        </w:rPr>
        <w:t>4</w:t>
      </w:r>
      <w:r w:rsidRPr="00A45440">
        <w:rPr>
          <w:rFonts w:asciiTheme="minorHAnsi" w:hAnsiTheme="minorHAnsi" w:cs="Calibri"/>
          <w:color w:val="000000"/>
          <w:sz w:val="22"/>
          <w:szCs w:val="22"/>
        </w:rPr>
        <w:t xml:space="preserve">). Commonwealth Environmental Water Office Long Term Intervention Monitoring Project – Standard Methods. Final </w:t>
      </w:r>
      <w:r w:rsidRPr="00A45440">
        <w:rPr>
          <w:rFonts w:asciiTheme="minorHAnsi" w:hAnsiTheme="minorHAnsi" w:cs="Calibri"/>
          <w:color w:val="000000"/>
          <w:sz w:val="22"/>
          <w:szCs w:val="22"/>
        </w:rPr>
        <w:lastRenderedPageBreak/>
        <w:t>Report prepared for the Commonwealth Environmental Water Office by The Murray</w:t>
      </w:r>
      <w:r w:rsidR="00623FCB">
        <w:rPr>
          <w:rFonts w:eastAsiaTheme="majorEastAsia"/>
        </w:rPr>
        <w:t>–</w:t>
      </w:r>
      <w:r w:rsidRPr="00A45440">
        <w:rPr>
          <w:rFonts w:asciiTheme="minorHAnsi" w:hAnsiTheme="minorHAnsi" w:cs="Calibri"/>
          <w:color w:val="000000"/>
          <w:sz w:val="22"/>
          <w:szCs w:val="22"/>
        </w:rPr>
        <w:t>Darling Freshwater Research Centre, MDFRC Publication 29.2/2014.</w:t>
      </w:r>
    </w:p>
    <w:p w14:paraId="3AC46F7D" w14:textId="77777777" w:rsidR="00336C52" w:rsidRPr="00F375F4" w:rsidRDefault="00336C52" w:rsidP="00336C52">
      <w:pPr>
        <w:pStyle w:val="CM19"/>
        <w:spacing w:after="120"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Oliver, R. and Lorenz, Z. (2010). Flow and metabolic activity in the channel of the Murray River. In: Ecosystem Response Modelling in the Murray</w:t>
      </w:r>
      <w:r w:rsidR="00623FCB">
        <w:rPr>
          <w:rFonts w:eastAsiaTheme="majorEastAsia"/>
        </w:rPr>
        <w:t>–</w:t>
      </w:r>
      <w:r w:rsidRPr="00F375F4">
        <w:rPr>
          <w:rFonts w:asciiTheme="minorHAnsi" w:hAnsiTheme="minorHAnsi" w:cs="Calibri"/>
          <w:color w:val="000000"/>
          <w:sz w:val="22"/>
          <w:szCs w:val="22"/>
        </w:rPr>
        <w:t>Darling Basin (Eds. Saintilan, N. and Overton, I.). CSIRO Publishing, Melbourne, pp. 265</w:t>
      </w:r>
      <w:r w:rsidR="00623FCB">
        <w:rPr>
          <w:rFonts w:eastAsiaTheme="majorEastAsia"/>
        </w:rPr>
        <w:t>–</w:t>
      </w:r>
      <w:r w:rsidRPr="00F375F4">
        <w:rPr>
          <w:rFonts w:asciiTheme="minorHAnsi" w:hAnsiTheme="minorHAnsi" w:cs="Calibri"/>
          <w:color w:val="000000"/>
          <w:sz w:val="22"/>
          <w:szCs w:val="22"/>
        </w:rPr>
        <w:t>278.</w:t>
      </w:r>
    </w:p>
    <w:p w14:paraId="21180E35" w14:textId="219C97DE" w:rsidR="00336C52" w:rsidRDefault="00336C52" w:rsidP="008F2B65">
      <w:pPr>
        <w:pStyle w:val="CM19"/>
        <w:spacing w:after="120" w:line="271" w:lineRule="atLeast"/>
        <w:jc w:val="both"/>
        <w:rPr>
          <w:rFonts w:eastAsiaTheme="majorEastAsia" w:cstheme="majorBidi"/>
        </w:rPr>
      </w:pPr>
      <w:r w:rsidRPr="00F375F4">
        <w:rPr>
          <w:rFonts w:asciiTheme="minorHAnsi" w:hAnsiTheme="minorHAnsi" w:cs="Calibri"/>
          <w:color w:val="000000"/>
          <w:sz w:val="22"/>
          <w:szCs w:val="22"/>
        </w:rPr>
        <w:t xml:space="preserve">Oliver, R. L., and Merrick, C. J. (2006). Partitioning of river metabolism identifies phytoplankton as a major contributor in the regulated Murray River (Australia). </w:t>
      </w:r>
      <w:r w:rsidRPr="005F24CE">
        <w:rPr>
          <w:rFonts w:asciiTheme="minorHAnsi" w:hAnsiTheme="minorHAnsi" w:cs="Calibri"/>
          <w:i/>
          <w:color w:val="000000"/>
          <w:sz w:val="22"/>
          <w:szCs w:val="22"/>
        </w:rPr>
        <w:t>Freshwater Biology</w:t>
      </w:r>
      <w:r w:rsidRPr="00F375F4">
        <w:rPr>
          <w:rFonts w:asciiTheme="minorHAnsi" w:hAnsiTheme="minorHAnsi" w:cs="Calibri"/>
          <w:color w:val="000000"/>
          <w:sz w:val="22"/>
          <w:szCs w:val="22"/>
        </w:rPr>
        <w:t xml:space="preserve"> </w:t>
      </w:r>
      <w:r w:rsidRPr="005F24CE">
        <w:rPr>
          <w:rFonts w:asciiTheme="minorHAnsi" w:hAnsiTheme="minorHAnsi" w:cs="Calibri"/>
          <w:b/>
          <w:color w:val="000000"/>
          <w:sz w:val="22"/>
          <w:szCs w:val="22"/>
        </w:rPr>
        <w:t>51</w:t>
      </w:r>
      <w:r w:rsidRPr="00F375F4">
        <w:rPr>
          <w:rFonts w:asciiTheme="minorHAnsi" w:hAnsiTheme="minorHAnsi" w:cs="Calibri"/>
          <w:color w:val="000000"/>
          <w:sz w:val="22"/>
          <w:szCs w:val="22"/>
        </w:rPr>
        <w:t>: 1131</w:t>
      </w:r>
      <w:r w:rsidR="00623FCB">
        <w:rPr>
          <w:rFonts w:eastAsiaTheme="majorEastAsia"/>
        </w:rPr>
        <w:t>–</w:t>
      </w:r>
      <w:r w:rsidRPr="00F375F4">
        <w:rPr>
          <w:rFonts w:asciiTheme="minorHAnsi" w:hAnsiTheme="minorHAnsi" w:cs="Calibri"/>
          <w:color w:val="000000"/>
          <w:sz w:val="22"/>
          <w:szCs w:val="22"/>
        </w:rPr>
        <w:t>1148.</w:t>
      </w:r>
      <w:r>
        <w:br w:type="page"/>
      </w:r>
    </w:p>
    <w:p w14:paraId="32E5D6D4" w14:textId="2C627695" w:rsidR="00336C52" w:rsidRPr="00C37413" w:rsidRDefault="00336C52" w:rsidP="00336C52">
      <w:pPr>
        <w:pStyle w:val="Heading1"/>
        <w:rPr>
          <w:i/>
        </w:rPr>
      </w:pPr>
      <w:bookmarkStart w:id="884" w:name="_Ref396392899"/>
      <w:bookmarkStart w:id="885" w:name="_Toc396825286"/>
      <w:bookmarkStart w:id="886" w:name="_Toc6403828"/>
      <w:bookmarkStart w:id="887" w:name="_Toc10095213"/>
      <w:bookmarkStart w:id="888" w:name="_Ref10124777"/>
      <w:bookmarkStart w:id="889" w:name="_Toc10192382"/>
      <w:bookmarkStart w:id="890" w:name="_Toc10206697"/>
      <w:bookmarkStart w:id="891" w:name="_Toc10213283"/>
      <w:bookmarkStart w:id="892" w:name="_Toc10732307"/>
      <w:bookmarkStart w:id="893" w:name="_Toc10796866"/>
      <w:bookmarkStart w:id="894" w:name="_Toc12022751"/>
      <w:bookmarkStart w:id="895" w:name="_Toc12630581"/>
      <w:bookmarkStart w:id="896" w:name="_Toc16154441"/>
      <w:bookmarkStart w:id="897" w:name="_Toc22196803"/>
      <w:r w:rsidRPr="00C37413">
        <w:rPr>
          <w:i/>
        </w:rPr>
        <w:lastRenderedPageBreak/>
        <w:t xml:space="preserve">Fish </w:t>
      </w:r>
      <w:bookmarkEnd w:id="884"/>
      <w:bookmarkEnd w:id="885"/>
      <w:r w:rsidR="00C37413" w:rsidRPr="00C37413">
        <w:rPr>
          <w:i/>
        </w:rPr>
        <w:t>(C</w:t>
      </w:r>
      <w:r w:rsidR="00E46F41" w:rsidRPr="00C37413">
        <w:rPr>
          <w:i/>
        </w:rPr>
        <w:t>hannel)</w:t>
      </w:r>
      <w:bookmarkEnd w:id="886"/>
      <w:bookmarkEnd w:id="887"/>
      <w:bookmarkEnd w:id="888"/>
      <w:bookmarkEnd w:id="889"/>
      <w:bookmarkEnd w:id="890"/>
      <w:bookmarkEnd w:id="891"/>
      <w:bookmarkEnd w:id="892"/>
      <w:bookmarkEnd w:id="893"/>
      <w:bookmarkEnd w:id="894"/>
      <w:bookmarkEnd w:id="895"/>
      <w:bookmarkEnd w:id="896"/>
      <w:bookmarkEnd w:id="897"/>
    </w:p>
    <w:p w14:paraId="366F591C" w14:textId="77777777" w:rsidR="00336C52" w:rsidRDefault="00336C52" w:rsidP="00336C52">
      <w:pPr>
        <w:pStyle w:val="Heading2"/>
      </w:pPr>
      <w:bookmarkStart w:id="898" w:name="_Toc252789485"/>
      <w:bookmarkStart w:id="899" w:name="_Toc252803342"/>
      <w:bookmarkStart w:id="900" w:name="_Toc396825287"/>
      <w:bookmarkStart w:id="901" w:name="_Toc6403829"/>
      <w:bookmarkStart w:id="902" w:name="_Toc10095214"/>
      <w:bookmarkStart w:id="903" w:name="_Toc10192383"/>
      <w:bookmarkStart w:id="904" w:name="_Toc10206698"/>
      <w:bookmarkStart w:id="905" w:name="_Toc10213284"/>
      <w:bookmarkStart w:id="906" w:name="_Toc10732308"/>
      <w:bookmarkStart w:id="907" w:name="_Toc10796867"/>
      <w:bookmarkStart w:id="908" w:name="_Toc12022752"/>
      <w:bookmarkStart w:id="909" w:name="_Toc12630582"/>
      <w:bookmarkStart w:id="910" w:name="_Toc16154442"/>
      <w:bookmarkStart w:id="911" w:name="_Toc22196804"/>
      <w:r>
        <w:t>Evaluation questions</w: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p>
    <w:p w14:paraId="68BA55B2" w14:textId="77777777" w:rsidR="00336C52" w:rsidRPr="00F375F4" w:rsidRDefault="00336C52" w:rsidP="00336C52">
      <w:r w:rsidRPr="00F375F4">
        <w:t>This monitoring protocol addresses the following Basin</w:t>
      </w:r>
      <w:r>
        <w:t>-</w:t>
      </w:r>
      <w:r w:rsidRPr="00F375F4">
        <w:t>scale evaluation questions:</w:t>
      </w:r>
    </w:p>
    <w:p w14:paraId="0E7E79BE" w14:textId="77777777" w:rsidR="00E46F41" w:rsidRDefault="00E46F41" w:rsidP="00E46F41">
      <w:pPr>
        <w:pStyle w:val="ListBullet"/>
        <w:ind w:left="765" w:hanging="357"/>
      </w:pPr>
      <w:r w:rsidRPr="00BA03B7">
        <w:t xml:space="preserve">What did </w:t>
      </w:r>
      <w:r>
        <w:t>Commonwealth environmental water</w:t>
      </w:r>
      <w:r w:rsidRPr="00BA03B7">
        <w:t xml:space="preserve"> contribute to native fis</w:t>
      </w:r>
      <w:r>
        <w:t>h community resilience?</w:t>
      </w:r>
    </w:p>
    <w:p w14:paraId="25112A0B" w14:textId="7FB9277E" w:rsidR="00E46F41" w:rsidRPr="00837C68" w:rsidRDefault="00E46F41" w:rsidP="00E46F41">
      <w:pPr>
        <w:pStyle w:val="ListBullet"/>
        <w:ind w:left="765" w:hanging="357"/>
      </w:pPr>
      <w:r w:rsidRPr="00BA03B7">
        <w:t xml:space="preserve">What did </w:t>
      </w:r>
      <w:r>
        <w:t>Commonwealth environmental water</w:t>
      </w:r>
      <w:r w:rsidRPr="00BA03B7">
        <w:t xml:space="preserve"> contribute to </w:t>
      </w:r>
      <w:r>
        <w:t>native fish survival?</w:t>
      </w:r>
      <w:r w:rsidRPr="00837C68">
        <w:rPr>
          <w:b/>
          <w:i/>
        </w:rPr>
        <w:t xml:space="preserve"> </w:t>
      </w:r>
    </w:p>
    <w:p w14:paraId="2FDE81E9" w14:textId="77777777" w:rsidR="00E46F41" w:rsidRDefault="00E46F41" w:rsidP="00E46F41">
      <w:pPr>
        <w:pStyle w:val="ListBullet"/>
        <w:ind w:left="765" w:hanging="357"/>
      </w:pPr>
      <w:r w:rsidRPr="00010C98">
        <w:t xml:space="preserve">What did </w:t>
      </w:r>
      <w:r>
        <w:t>Commonwealth environmental water</w:t>
      </w:r>
      <w:r w:rsidRPr="00010C98">
        <w:t xml:space="preserve"> contribute to native fish populations?</w:t>
      </w:r>
    </w:p>
    <w:p w14:paraId="2B6B1044" w14:textId="06BDD2CF" w:rsidR="00336C52" w:rsidRPr="00A4317C" w:rsidRDefault="00336C52" w:rsidP="00336C52">
      <w:pPr>
        <w:spacing w:before="200"/>
        <w:rPr>
          <w:rFonts w:ascii="Calibri" w:hAnsi="Calibri"/>
        </w:rPr>
      </w:pPr>
      <w:r w:rsidRPr="00A4317C">
        <w:rPr>
          <w:rFonts w:ascii="Calibri" w:hAnsi="Calibri"/>
        </w:rPr>
        <w:t>The process for evaluating these questions is illustrated in</w:t>
      </w:r>
      <w:r w:rsidR="009B27E3">
        <w:t xml:space="preserve"> </w:t>
      </w:r>
      <w:r w:rsidR="006F4D01">
        <w:fldChar w:fldCharType="begin"/>
      </w:r>
      <w:r w:rsidR="009B27E3">
        <w:instrText xml:space="preserve"> REF _Ref397515651 \h </w:instrText>
      </w:r>
      <w:r w:rsidR="006F4D01">
        <w:fldChar w:fldCharType="separate"/>
      </w:r>
      <w:r w:rsidR="00DF49CD">
        <w:t>Figure B.</w:t>
      </w:r>
      <w:r w:rsidR="00DF49CD">
        <w:rPr>
          <w:noProof/>
        </w:rPr>
        <w:t>3</w:t>
      </w:r>
      <w:r w:rsidR="006F4D01">
        <w:fldChar w:fldCharType="end"/>
      </w:r>
      <w:r>
        <w:rPr>
          <w:rFonts w:ascii="Calibri" w:hAnsi="Calibri"/>
        </w:rPr>
        <w:t xml:space="preserve">, </w:t>
      </w:r>
      <w:r w:rsidRPr="00A4317C">
        <w:rPr>
          <w:rFonts w:ascii="Calibri" w:hAnsi="Calibri"/>
        </w:rPr>
        <w:t>with components covered by this protocol highlighted in blue.</w:t>
      </w:r>
    </w:p>
    <w:p w14:paraId="455BC3D7" w14:textId="77777777" w:rsidR="00336C52" w:rsidRPr="00A4317C" w:rsidRDefault="00336C52" w:rsidP="00336C52">
      <w:pPr>
        <w:spacing w:before="200"/>
        <w:rPr>
          <w:rFonts w:ascii="Calibri" w:hAnsi="Calibri"/>
        </w:rPr>
      </w:pPr>
      <w:r w:rsidRPr="0097066E">
        <w:rPr>
          <w:noProof/>
          <w:lang w:eastAsia="en-AU"/>
        </w:rPr>
        <w:drawing>
          <wp:inline distT="0" distB="0" distL="0" distR="0" wp14:anchorId="1317E3C8" wp14:editId="168A1DAA">
            <wp:extent cx="5727700" cy="4018069"/>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5727700" cy="4018069"/>
                    </a:xfrm>
                    <a:prstGeom prst="rect">
                      <a:avLst/>
                    </a:prstGeom>
                    <a:noFill/>
                    <a:ln>
                      <a:noFill/>
                    </a:ln>
                  </pic:spPr>
                </pic:pic>
              </a:graphicData>
            </a:graphic>
          </wp:inline>
        </w:drawing>
      </w:r>
    </w:p>
    <w:p w14:paraId="6C74DF5A" w14:textId="58279EEC" w:rsidR="00336C52" w:rsidRPr="00C2634B" w:rsidRDefault="009B27E3" w:rsidP="009B27E3">
      <w:pPr>
        <w:pStyle w:val="Caption"/>
      </w:pPr>
      <w:bookmarkStart w:id="912" w:name="_Ref397515651"/>
      <w:bookmarkStart w:id="913" w:name="_Toc252803503"/>
      <w:r>
        <w:t>Figure B.</w:t>
      </w:r>
      <w:r w:rsidR="00E57080">
        <w:rPr>
          <w:noProof/>
        </w:rPr>
        <w:fldChar w:fldCharType="begin"/>
      </w:r>
      <w:r w:rsidR="00E57080">
        <w:rPr>
          <w:noProof/>
        </w:rPr>
        <w:instrText xml:space="preserve"> SEQ Figure_B. \* ARABIC </w:instrText>
      </w:r>
      <w:r w:rsidR="00E57080">
        <w:rPr>
          <w:noProof/>
        </w:rPr>
        <w:fldChar w:fldCharType="separate"/>
      </w:r>
      <w:r w:rsidR="00DF49CD">
        <w:rPr>
          <w:noProof/>
        </w:rPr>
        <w:t>3</w:t>
      </w:r>
      <w:r w:rsidR="00E57080">
        <w:rPr>
          <w:noProof/>
        </w:rPr>
        <w:fldChar w:fldCharType="end"/>
      </w:r>
      <w:bookmarkEnd w:id="912"/>
      <w:r w:rsidR="00336C52" w:rsidRPr="00C2634B">
        <w:t xml:space="preserve">. Schematic of key elements in LTIM Standard Protocol: </w:t>
      </w:r>
      <w:r w:rsidR="00336C52" w:rsidRPr="004914FD">
        <w:rPr>
          <w:i/>
        </w:rPr>
        <w:t xml:space="preserve">Fish </w:t>
      </w:r>
      <w:r w:rsidR="00E46F41" w:rsidRPr="004914FD">
        <w:rPr>
          <w:i/>
        </w:rPr>
        <w:t>(Channel)</w:t>
      </w:r>
      <w:r w:rsidR="00336C52" w:rsidRPr="00C2634B">
        <w:t xml:space="preserve"> (taken from Hale </w:t>
      </w:r>
      <w:r w:rsidR="00336C52" w:rsidRPr="0077102F">
        <w:rPr>
          <w:i/>
        </w:rPr>
        <w:t>et al.</w:t>
      </w:r>
      <w:r w:rsidR="00336C52" w:rsidRPr="00C2634B">
        <w:t xml:space="preserve"> 2014).</w:t>
      </w:r>
      <w:bookmarkEnd w:id="913"/>
    </w:p>
    <w:p w14:paraId="5AA96E23" w14:textId="77777777" w:rsidR="00336C52" w:rsidRDefault="00336C52" w:rsidP="00336C52">
      <w:pPr>
        <w:pStyle w:val="Heading2"/>
      </w:pPr>
      <w:bookmarkStart w:id="914" w:name="_Toc252789486"/>
      <w:bookmarkStart w:id="915" w:name="_Toc252803343"/>
      <w:bookmarkStart w:id="916" w:name="_Toc396825288"/>
      <w:bookmarkStart w:id="917" w:name="_Toc6403830"/>
      <w:bookmarkStart w:id="918" w:name="_Toc10095215"/>
      <w:bookmarkStart w:id="919" w:name="_Toc10192384"/>
      <w:bookmarkStart w:id="920" w:name="_Toc10206699"/>
      <w:bookmarkStart w:id="921" w:name="_Toc10213285"/>
      <w:bookmarkStart w:id="922" w:name="_Toc10732309"/>
      <w:bookmarkStart w:id="923" w:name="_Toc10796868"/>
      <w:bookmarkStart w:id="924" w:name="_Toc12022753"/>
      <w:bookmarkStart w:id="925" w:name="_Toc12630583"/>
      <w:bookmarkStart w:id="926" w:name="_Toc16154443"/>
      <w:bookmarkStart w:id="927" w:name="_Toc22196805"/>
      <w:r w:rsidRPr="00AC2239">
        <w:t xml:space="preserve">Relevant </w:t>
      </w:r>
      <w:r>
        <w:t>ecosystem t</w:t>
      </w:r>
      <w:r w:rsidRPr="00AC2239">
        <w:t>ypes</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14:paraId="30F32B07" w14:textId="77777777" w:rsidR="00336C52" w:rsidRDefault="00336C52" w:rsidP="00336C52">
      <w:r>
        <w:t>Rivers.</w:t>
      </w:r>
    </w:p>
    <w:p w14:paraId="7BC67E1C" w14:textId="77777777" w:rsidR="00336C52" w:rsidRDefault="00336C52" w:rsidP="00336C52">
      <w:pPr>
        <w:pStyle w:val="Heading2"/>
      </w:pPr>
      <w:bookmarkStart w:id="928" w:name="_Toc252789487"/>
      <w:bookmarkStart w:id="929" w:name="_Toc252803344"/>
      <w:bookmarkStart w:id="930" w:name="_Toc396825289"/>
      <w:bookmarkStart w:id="931" w:name="_Toc6403831"/>
      <w:bookmarkStart w:id="932" w:name="_Toc10095216"/>
      <w:bookmarkStart w:id="933" w:name="_Toc10192385"/>
      <w:bookmarkStart w:id="934" w:name="_Toc10206700"/>
      <w:bookmarkStart w:id="935" w:name="_Toc10213286"/>
      <w:bookmarkStart w:id="936" w:name="_Toc10732310"/>
      <w:bookmarkStart w:id="937" w:name="_Toc10796869"/>
      <w:bookmarkStart w:id="938" w:name="_Toc12022754"/>
      <w:bookmarkStart w:id="939" w:name="_Toc12630584"/>
      <w:bookmarkStart w:id="940" w:name="_Toc16154444"/>
      <w:bookmarkStart w:id="941" w:name="_Toc22196806"/>
      <w:r w:rsidRPr="00AC2239">
        <w:t xml:space="preserve">Relevant </w:t>
      </w:r>
      <w:r>
        <w:t>flow t</w:t>
      </w:r>
      <w:r w:rsidRPr="00AC2239">
        <w:t>ypes</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14:paraId="08E0FED2" w14:textId="77777777" w:rsidR="00336C52" w:rsidRDefault="00336C52" w:rsidP="00336C52">
      <w:r>
        <w:t>These methods describe annual monitoring conducted during March</w:t>
      </w:r>
      <w:r w:rsidR="00623FCB">
        <w:rPr>
          <w:rFonts w:eastAsiaTheme="majorEastAsia"/>
        </w:rPr>
        <w:t>–</w:t>
      </w:r>
      <w:r>
        <w:t>May of each year independent of specific watering events.  The methods are theref</w:t>
      </w:r>
      <w:r w:rsidR="00623FCB">
        <w:t xml:space="preserve">ore relevant to all flow types </w:t>
      </w:r>
      <w:r w:rsidR="00623FCB">
        <w:rPr>
          <w:rFonts w:eastAsiaTheme="majorEastAsia"/>
        </w:rPr>
        <w:t>–</w:t>
      </w:r>
      <w:r>
        <w:t xml:space="preserve"> baseflow, f</w:t>
      </w:r>
      <w:r w:rsidRPr="00525AE9">
        <w:t>resh</w:t>
      </w:r>
      <w:r>
        <w:t xml:space="preserve">, </w:t>
      </w:r>
      <w:r w:rsidRPr="00525AE9">
        <w:t>bankfull</w:t>
      </w:r>
      <w:r>
        <w:t xml:space="preserve"> and</w:t>
      </w:r>
      <w:r w:rsidRPr="00525AE9">
        <w:t xml:space="preserve"> overbank</w:t>
      </w:r>
      <w:r>
        <w:t>.</w:t>
      </w:r>
    </w:p>
    <w:p w14:paraId="3A9C8180" w14:textId="77777777" w:rsidR="00336C52" w:rsidRDefault="00336C52" w:rsidP="00336C52">
      <w:pPr>
        <w:pStyle w:val="Heading2"/>
      </w:pPr>
      <w:bookmarkStart w:id="942" w:name="_Toc252789488"/>
      <w:bookmarkStart w:id="943" w:name="_Toc252803345"/>
      <w:bookmarkStart w:id="944" w:name="_Toc396825290"/>
      <w:bookmarkStart w:id="945" w:name="_Toc6403832"/>
      <w:bookmarkStart w:id="946" w:name="_Toc10095217"/>
      <w:bookmarkStart w:id="947" w:name="_Toc10192386"/>
      <w:bookmarkStart w:id="948" w:name="_Toc10206701"/>
      <w:bookmarkStart w:id="949" w:name="_Toc10213287"/>
      <w:bookmarkStart w:id="950" w:name="_Toc10732311"/>
      <w:bookmarkStart w:id="951" w:name="_Toc10796870"/>
      <w:bookmarkStart w:id="952" w:name="_Toc12022755"/>
      <w:bookmarkStart w:id="953" w:name="_Toc12630585"/>
      <w:bookmarkStart w:id="954" w:name="_Toc16154445"/>
      <w:bookmarkStart w:id="955" w:name="_Toc22196807"/>
      <w:r>
        <w:lastRenderedPageBreak/>
        <w:t>Overview and context</w:t>
      </w:r>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p w14:paraId="2120E2B8" w14:textId="5EF56619" w:rsidR="00336C52" w:rsidRPr="00407200" w:rsidRDefault="00336C52" w:rsidP="00336C52">
      <w:pPr>
        <w:rPr>
          <w:rFonts w:cstheme="minorHAnsi"/>
          <w:szCs w:val="22"/>
        </w:rPr>
      </w:pPr>
      <w:r w:rsidRPr="00407200">
        <w:rPr>
          <w:rFonts w:cstheme="minorHAnsi"/>
          <w:szCs w:val="22"/>
        </w:rPr>
        <w:t>These standard methods describe monitoring required for the Basin</w:t>
      </w:r>
      <w:r w:rsidR="00624A96">
        <w:rPr>
          <w:rFonts w:cstheme="minorHAnsi"/>
          <w:szCs w:val="22"/>
        </w:rPr>
        <w:t>-s</w:t>
      </w:r>
      <w:r w:rsidRPr="00407200">
        <w:rPr>
          <w:rFonts w:cstheme="minorHAnsi"/>
          <w:szCs w:val="22"/>
        </w:rPr>
        <w:t>cale evaluation of the response of river fish to Commonwealth environmental water.</w:t>
      </w:r>
      <w:r w:rsidR="0028105A">
        <w:rPr>
          <w:rFonts w:cstheme="minorHAnsi"/>
          <w:szCs w:val="22"/>
        </w:rPr>
        <w:t xml:space="preserve"> </w:t>
      </w:r>
      <w:r w:rsidR="0028105A" w:rsidRPr="006768A6">
        <w:rPr>
          <w:rFonts w:cstheme="minorHAnsi"/>
          <w:szCs w:val="22"/>
        </w:rPr>
        <w:t xml:space="preserve">Refer to Section </w:t>
      </w:r>
      <w:r w:rsidR="00D86D18">
        <w:fldChar w:fldCharType="begin"/>
      </w:r>
      <w:r w:rsidR="00D86D18">
        <w:rPr>
          <w:rFonts w:cstheme="minorHAnsi"/>
          <w:szCs w:val="22"/>
        </w:rPr>
        <w:instrText xml:space="preserve"> REF _Ref466630618 \r \h </w:instrText>
      </w:r>
      <w:r w:rsidR="00D86D18">
        <w:fldChar w:fldCharType="separate"/>
      </w:r>
      <w:r w:rsidR="00DF49CD">
        <w:rPr>
          <w:rFonts w:cstheme="minorHAnsi"/>
          <w:szCs w:val="22"/>
        </w:rPr>
        <w:t>5.1.3</w:t>
      </w:r>
      <w:r w:rsidR="00D86D18">
        <w:fldChar w:fldCharType="end"/>
      </w:r>
      <w:r w:rsidR="0028105A" w:rsidRPr="006768A6">
        <w:rPr>
          <w:rFonts w:cstheme="minorHAnsi"/>
          <w:szCs w:val="22"/>
          <w:lang w:eastAsia="en-AU"/>
        </w:rPr>
        <w:t xml:space="preserve"> in the </w:t>
      </w:r>
      <w:r w:rsidR="00BC79ED">
        <w:rPr>
          <w:rFonts w:cstheme="minorHAnsi"/>
          <w:szCs w:val="22"/>
          <w:lang w:eastAsia="en-AU"/>
        </w:rPr>
        <w:t>MER</w:t>
      </w:r>
      <w:r w:rsidR="0028105A" w:rsidRPr="006768A6">
        <w:rPr>
          <w:rFonts w:cstheme="minorHAnsi"/>
          <w:szCs w:val="22"/>
          <w:lang w:eastAsia="en-AU"/>
        </w:rPr>
        <w:t xml:space="preserve"> Plan for background information, obj</w:t>
      </w:r>
      <w:r w:rsidR="002E3EEF">
        <w:rPr>
          <w:rFonts w:cstheme="minorHAnsi"/>
          <w:szCs w:val="22"/>
          <w:lang w:eastAsia="en-AU"/>
        </w:rPr>
        <w:t>ectives</w:t>
      </w:r>
      <w:r w:rsidR="0028105A" w:rsidRPr="006768A6">
        <w:rPr>
          <w:rFonts w:cstheme="minorHAnsi"/>
          <w:szCs w:val="22"/>
          <w:lang w:eastAsia="en-AU"/>
        </w:rPr>
        <w:t xml:space="preserve">, outputs and staff involvement for </w:t>
      </w:r>
      <w:r w:rsidR="00E46F41" w:rsidRPr="00D86D18">
        <w:rPr>
          <w:rFonts w:cstheme="minorHAnsi"/>
          <w:i/>
          <w:szCs w:val="22"/>
          <w:lang w:eastAsia="en-AU"/>
        </w:rPr>
        <w:t>Fish (Channel)</w:t>
      </w:r>
      <w:r w:rsidR="0028105A" w:rsidRPr="006768A6">
        <w:rPr>
          <w:rFonts w:cstheme="minorHAnsi"/>
          <w:szCs w:val="22"/>
          <w:lang w:eastAsia="en-AU"/>
        </w:rPr>
        <w:t>.</w:t>
      </w:r>
      <w:r w:rsidRPr="00407200">
        <w:rPr>
          <w:rFonts w:cstheme="minorHAnsi"/>
          <w:szCs w:val="22"/>
        </w:rPr>
        <w:t xml:space="preserve"> The methods describe the sampling design and protocol for small- and large-bodied fishes in river channels for the LTIM </w:t>
      </w:r>
      <w:r w:rsidR="00113E55">
        <w:rPr>
          <w:rFonts w:cstheme="minorHAnsi"/>
          <w:szCs w:val="22"/>
        </w:rPr>
        <w:t>P</w:t>
      </w:r>
      <w:r w:rsidRPr="00407200">
        <w:rPr>
          <w:rFonts w:cstheme="minorHAnsi"/>
          <w:szCs w:val="22"/>
        </w:rPr>
        <w:t>roject.</w:t>
      </w:r>
    </w:p>
    <w:p w14:paraId="05A670CF" w14:textId="77777777" w:rsidR="00336C52" w:rsidRPr="00407200" w:rsidRDefault="00336C52" w:rsidP="00336C52">
      <w:pPr>
        <w:rPr>
          <w:rFonts w:cstheme="minorHAnsi"/>
          <w:szCs w:val="22"/>
        </w:rPr>
      </w:pPr>
      <w:r w:rsidRPr="00407200">
        <w:rPr>
          <w:rFonts w:cstheme="minorHAnsi"/>
          <w:szCs w:val="22"/>
        </w:rPr>
        <w:t>This protocol describes sampling once each year during autumn to measure:</w:t>
      </w:r>
    </w:p>
    <w:p w14:paraId="5D425F02" w14:textId="77777777" w:rsidR="00336C52" w:rsidRPr="00407200" w:rsidRDefault="00336C52" w:rsidP="00336C52">
      <w:pPr>
        <w:pStyle w:val="ListBullet"/>
        <w:rPr>
          <w:rFonts w:cstheme="minorHAnsi"/>
        </w:rPr>
      </w:pPr>
      <w:r w:rsidRPr="00407200">
        <w:rPr>
          <w:rFonts w:cstheme="minorHAnsi"/>
        </w:rPr>
        <w:t>Catch-per-unit-effort (CPUE) of each fish species for:</w:t>
      </w:r>
    </w:p>
    <w:p w14:paraId="5643B734" w14:textId="77777777" w:rsidR="00336C52" w:rsidRPr="00407200" w:rsidRDefault="00336C52" w:rsidP="00336C52">
      <w:pPr>
        <w:pStyle w:val="ListParagraph"/>
        <w:numPr>
          <w:ilvl w:val="1"/>
          <w:numId w:val="18"/>
        </w:numPr>
        <w:rPr>
          <w:rFonts w:cstheme="minorHAnsi"/>
          <w:szCs w:val="22"/>
        </w:rPr>
      </w:pPr>
      <w:r w:rsidRPr="00407200">
        <w:rPr>
          <w:rFonts w:cstheme="minorHAnsi"/>
          <w:szCs w:val="22"/>
        </w:rPr>
        <w:t xml:space="preserve">Electrofishing </w:t>
      </w:r>
    </w:p>
    <w:p w14:paraId="7ED819CF" w14:textId="77777777" w:rsidR="00336C52" w:rsidRPr="00407200" w:rsidRDefault="00336C52" w:rsidP="00336C52">
      <w:pPr>
        <w:pStyle w:val="ListParagraph"/>
        <w:numPr>
          <w:ilvl w:val="1"/>
          <w:numId w:val="18"/>
        </w:numPr>
        <w:rPr>
          <w:rFonts w:cstheme="minorHAnsi"/>
          <w:szCs w:val="22"/>
        </w:rPr>
      </w:pPr>
      <w:r w:rsidRPr="00407200">
        <w:rPr>
          <w:rFonts w:cstheme="minorHAnsi"/>
          <w:szCs w:val="22"/>
        </w:rPr>
        <w:t>Small-meshed fyke nets</w:t>
      </w:r>
      <w:r>
        <w:rPr>
          <w:rFonts w:cstheme="minorHAnsi"/>
          <w:szCs w:val="22"/>
        </w:rPr>
        <w:t>.</w:t>
      </w:r>
    </w:p>
    <w:p w14:paraId="436304D3" w14:textId="77777777" w:rsidR="00336C52" w:rsidRPr="00407200" w:rsidRDefault="00336C52" w:rsidP="00336C52">
      <w:pPr>
        <w:pStyle w:val="ListBullet"/>
        <w:rPr>
          <w:rFonts w:cstheme="minorHAnsi"/>
        </w:rPr>
      </w:pPr>
      <w:r w:rsidRPr="00407200">
        <w:rPr>
          <w:rFonts w:cstheme="minorHAnsi"/>
        </w:rPr>
        <w:t>Population structure data for target species:</w:t>
      </w:r>
    </w:p>
    <w:p w14:paraId="48BCD869" w14:textId="77777777" w:rsidR="00336C52" w:rsidRPr="00407200" w:rsidRDefault="00336C52" w:rsidP="00336C52">
      <w:pPr>
        <w:pStyle w:val="ListBullet"/>
        <w:numPr>
          <w:ilvl w:val="1"/>
          <w:numId w:val="1"/>
        </w:numPr>
        <w:rPr>
          <w:rFonts w:cstheme="minorHAnsi"/>
        </w:rPr>
      </w:pPr>
      <w:r w:rsidRPr="00407200">
        <w:rPr>
          <w:rFonts w:cstheme="minorHAnsi"/>
        </w:rPr>
        <w:t>Length</w:t>
      </w:r>
    </w:p>
    <w:p w14:paraId="0FC7121C" w14:textId="77777777" w:rsidR="00336C52" w:rsidRPr="00407200" w:rsidRDefault="00336C52" w:rsidP="00336C52">
      <w:pPr>
        <w:pStyle w:val="ListBullet"/>
        <w:numPr>
          <w:ilvl w:val="1"/>
          <w:numId w:val="1"/>
        </w:numPr>
        <w:rPr>
          <w:rFonts w:cstheme="minorHAnsi"/>
        </w:rPr>
      </w:pPr>
      <w:r w:rsidRPr="00407200">
        <w:rPr>
          <w:rFonts w:cstheme="minorHAnsi"/>
        </w:rPr>
        <w:t>Weight</w:t>
      </w:r>
    </w:p>
    <w:p w14:paraId="630E671B" w14:textId="77777777" w:rsidR="00336C52" w:rsidRPr="00407200" w:rsidRDefault="00336C52" w:rsidP="00336C52">
      <w:pPr>
        <w:pStyle w:val="ListBullet"/>
        <w:numPr>
          <w:ilvl w:val="1"/>
          <w:numId w:val="1"/>
        </w:numPr>
        <w:rPr>
          <w:rFonts w:cstheme="minorHAnsi"/>
        </w:rPr>
      </w:pPr>
      <w:r w:rsidRPr="00407200">
        <w:rPr>
          <w:rFonts w:cstheme="minorHAnsi"/>
        </w:rPr>
        <w:t>Approximate age struc</w:t>
      </w:r>
      <w:r>
        <w:rPr>
          <w:rFonts w:cstheme="minorHAnsi"/>
        </w:rPr>
        <w:t>ture (from otolith examination).</w:t>
      </w:r>
    </w:p>
    <w:p w14:paraId="3A9653B8" w14:textId="77777777" w:rsidR="00336C52" w:rsidRPr="00407200" w:rsidRDefault="00336C52" w:rsidP="00336C52">
      <w:pPr>
        <w:pStyle w:val="ListBullet"/>
        <w:numPr>
          <w:ilvl w:val="0"/>
          <w:numId w:val="0"/>
        </w:numPr>
        <w:ind w:left="357" w:hanging="357"/>
        <w:rPr>
          <w:rFonts w:cstheme="minorHAnsi"/>
          <w:b/>
        </w:rPr>
      </w:pPr>
    </w:p>
    <w:p w14:paraId="34169CAD" w14:textId="77777777" w:rsidR="00336C52" w:rsidRPr="00407200" w:rsidRDefault="00336C52" w:rsidP="00336C52">
      <w:pPr>
        <w:pStyle w:val="ListBullet"/>
        <w:numPr>
          <w:ilvl w:val="0"/>
          <w:numId w:val="0"/>
        </w:numPr>
        <w:ind w:left="357" w:hanging="357"/>
        <w:rPr>
          <w:rFonts w:cstheme="minorHAnsi"/>
        </w:rPr>
      </w:pPr>
      <w:r w:rsidRPr="00407200">
        <w:rPr>
          <w:rFonts w:cstheme="minorHAnsi"/>
        </w:rPr>
        <w:t>Covariates</w:t>
      </w:r>
      <w:r>
        <w:rPr>
          <w:rFonts w:cstheme="minorHAnsi"/>
        </w:rPr>
        <w:t xml:space="preserve"> may</w:t>
      </w:r>
      <w:r w:rsidRPr="00407200">
        <w:rPr>
          <w:rFonts w:cstheme="minorHAnsi"/>
        </w:rPr>
        <w:t xml:space="preserve"> include:</w:t>
      </w:r>
    </w:p>
    <w:p w14:paraId="628562BA" w14:textId="77777777" w:rsidR="00336C52" w:rsidRPr="00407200" w:rsidRDefault="00336C52" w:rsidP="00C77254">
      <w:pPr>
        <w:pStyle w:val="ListBullet"/>
        <w:numPr>
          <w:ilvl w:val="0"/>
          <w:numId w:val="28"/>
        </w:numPr>
        <w:rPr>
          <w:rFonts w:cstheme="minorHAnsi"/>
          <w:b/>
        </w:rPr>
      </w:pPr>
      <w:r w:rsidRPr="00407200">
        <w:rPr>
          <w:rFonts w:cstheme="minorHAnsi"/>
        </w:rPr>
        <w:t>Dissolved oxygen</w:t>
      </w:r>
    </w:p>
    <w:p w14:paraId="32295728" w14:textId="77777777" w:rsidR="00336C52" w:rsidRPr="00407200" w:rsidRDefault="00336C52" w:rsidP="00C77254">
      <w:pPr>
        <w:pStyle w:val="ListBullet"/>
        <w:numPr>
          <w:ilvl w:val="0"/>
          <w:numId w:val="28"/>
        </w:numPr>
        <w:rPr>
          <w:rFonts w:cstheme="minorHAnsi"/>
          <w:b/>
        </w:rPr>
      </w:pPr>
      <w:r w:rsidRPr="00407200">
        <w:rPr>
          <w:rFonts w:cstheme="minorHAnsi"/>
        </w:rPr>
        <w:t>Salinity/electrical conductivity</w:t>
      </w:r>
    </w:p>
    <w:p w14:paraId="77016E59" w14:textId="77777777" w:rsidR="00336C52" w:rsidRPr="00407200" w:rsidRDefault="00336C52" w:rsidP="00C77254">
      <w:pPr>
        <w:pStyle w:val="ListBullet"/>
        <w:numPr>
          <w:ilvl w:val="0"/>
          <w:numId w:val="28"/>
        </w:numPr>
        <w:rPr>
          <w:rFonts w:cstheme="minorHAnsi"/>
          <w:b/>
        </w:rPr>
      </w:pPr>
      <w:r w:rsidRPr="00407200">
        <w:rPr>
          <w:rFonts w:cstheme="minorHAnsi"/>
        </w:rPr>
        <w:t>Discharge/flow</w:t>
      </w:r>
    </w:p>
    <w:p w14:paraId="0CF33DDA" w14:textId="77777777" w:rsidR="00336C52" w:rsidRPr="00407200" w:rsidRDefault="00336C52" w:rsidP="00C77254">
      <w:pPr>
        <w:pStyle w:val="ListBullet"/>
        <w:numPr>
          <w:ilvl w:val="0"/>
          <w:numId w:val="28"/>
        </w:numPr>
        <w:rPr>
          <w:rFonts w:cstheme="minorHAnsi"/>
          <w:b/>
        </w:rPr>
      </w:pPr>
      <w:r w:rsidRPr="00407200">
        <w:rPr>
          <w:rFonts w:cstheme="minorHAnsi"/>
        </w:rPr>
        <w:t>Water temperature</w:t>
      </w:r>
    </w:p>
    <w:p w14:paraId="6A988EDD" w14:textId="77777777" w:rsidR="00336C52" w:rsidRPr="00407200" w:rsidRDefault="00336C52" w:rsidP="00C77254">
      <w:pPr>
        <w:pStyle w:val="ListBullet"/>
        <w:numPr>
          <w:ilvl w:val="0"/>
          <w:numId w:val="28"/>
        </w:numPr>
        <w:rPr>
          <w:rFonts w:cstheme="minorHAnsi"/>
          <w:b/>
        </w:rPr>
      </w:pPr>
      <w:r w:rsidRPr="00407200">
        <w:rPr>
          <w:rFonts w:cstheme="minorHAnsi"/>
        </w:rPr>
        <w:t>Turbidity</w:t>
      </w:r>
    </w:p>
    <w:p w14:paraId="79AD96BD" w14:textId="77777777" w:rsidR="00336C52" w:rsidRPr="00407200" w:rsidRDefault="00336C52" w:rsidP="00C77254">
      <w:pPr>
        <w:pStyle w:val="ListBullet"/>
        <w:numPr>
          <w:ilvl w:val="0"/>
          <w:numId w:val="28"/>
        </w:numPr>
        <w:rPr>
          <w:rFonts w:cstheme="minorHAnsi"/>
          <w:b/>
        </w:rPr>
      </w:pPr>
      <w:r w:rsidRPr="00407200">
        <w:rPr>
          <w:rFonts w:cstheme="minorHAnsi"/>
        </w:rPr>
        <w:t>Relative water level.</w:t>
      </w:r>
    </w:p>
    <w:p w14:paraId="21A3AB6A" w14:textId="7079E0F1" w:rsidR="00C47B2A" w:rsidRDefault="00C47B2A" w:rsidP="00C47B2A">
      <w:pPr>
        <w:pStyle w:val="Heading2"/>
      </w:pPr>
      <w:bookmarkStart w:id="956" w:name="_Ref252788350"/>
      <w:bookmarkStart w:id="957" w:name="_Toc252789489"/>
      <w:bookmarkStart w:id="958" w:name="_Toc252803346"/>
      <w:bookmarkStart w:id="959" w:name="_Toc396825291"/>
      <w:bookmarkStart w:id="960" w:name="_Toc6403833"/>
      <w:bookmarkStart w:id="961" w:name="_Toc10095218"/>
      <w:bookmarkStart w:id="962" w:name="_Toc10192387"/>
      <w:bookmarkStart w:id="963" w:name="_Toc10206702"/>
      <w:bookmarkStart w:id="964" w:name="_Toc10213288"/>
      <w:bookmarkStart w:id="965" w:name="_Toc10732312"/>
      <w:bookmarkStart w:id="966" w:name="_Toc10796871"/>
      <w:bookmarkStart w:id="967" w:name="_Toc12022756"/>
      <w:bookmarkStart w:id="968" w:name="_Toc12630586"/>
      <w:bookmarkStart w:id="969" w:name="_Toc16154446"/>
      <w:bookmarkStart w:id="970" w:name="_Toc22196808"/>
      <w:r>
        <w:t>Sites</w: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14:paraId="1EF3C432" w14:textId="77777777" w:rsidR="00C47B2A" w:rsidRDefault="00C47B2A" w:rsidP="00C47B2A">
      <w:pPr>
        <w:pStyle w:val="Heading3"/>
      </w:pPr>
      <w:bookmarkStart w:id="971" w:name="_Toc252789490"/>
      <w:bookmarkStart w:id="972" w:name="_Toc6403834"/>
      <w:bookmarkStart w:id="973" w:name="_Toc10095219"/>
      <w:bookmarkStart w:id="974" w:name="_Toc10192388"/>
      <w:bookmarkStart w:id="975" w:name="_Toc10206703"/>
      <w:bookmarkStart w:id="976" w:name="_Toc10213289"/>
      <w:bookmarkStart w:id="977" w:name="_Toc10732313"/>
      <w:bookmarkStart w:id="978" w:name="_Toc10796872"/>
      <w:bookmarkStart w:id="979" w:name="_Toc12022757"/>
      <w:bookmarkStart w:id="980" w:name="_Toc12630587"/>
      <w:bookmarkStart w:id="981" w:name="_Toc16154447"/>
      <w:bookmarkStart w:id="982" w:name="_Toc22196809"/>
      <w:r>
        <w:t>Equipment</w:t>
      </w:r>
      <w:bookmarkEnd w:id="971"/>
      <w:bookmarkEnd w:id="972"/>
      <w:bookmarkEnd w:id="973"/>
      <w:bookmarkEnd w:id="974"/>
      <w:bookmarkEnd w:id="975"/>
      <w:bookmarkEnd w:id="976"/>
      <w:bookmarkEnd w:id="977"/>
      <w:bookmarkEnd w:id="978"/>
      <w:bookmarkEnd w:id="979"/>
      <w:bookmarkEnd w:id="980"/>
      <w:bookmarkEnd w:id="981"/>
      <w:bookmarkEnd w:id="982"/>
    </w:p>
    <w:p w14:paraId="08BA7EF8" w14:textId="77777777" w:rsidR="00C47B2A" w:rsidRDefault="00C47B2A" w:rsidP="00C47B2A">
      <w:pPr>
        <w:pStyle w:val="ListParagraph"/>
        <w:numPr>
          <w:ilvl w:val="0"/>
          <w:numId w:val="20"/>
        </w:numPr>
      </w:pPr>
      <w:r>
        <w:t>Boat</w:t>
      </w:r>
    </w:p>
    <w:p w14:paraId="75A5AA89" w14:textId="77777777" w:rsidR="00C47B2A" w:rsidRPr="00B741BA" w:rsidRDefault="00C47B2A" w:rsidP="00C47B2A">
      <w:pPr>
        <w:pStyle w:val="ListParagraph"/>
        <w:numPr>
          <w:ilvl w:val="0"/>
          <w:numId w:val="20"/>
        </w:numPr>
      </w:pPr>
      <w:r>
        <w:t>GPS</w:t>
      </w:r>
    </w:p>
    <w:p w14:paraId="6F8C3DAE" w14:textId="77777777" w:rsidR="00C47B2A" w:rsidRDefault="00C47B2A" w:rsidP="00C47B2A">
      <w:pPr>
        <w:pStyle w:val="Heading3"/>
      </w:pPr>
      <w:bookmarkStart w:id="983" w:name="_Toc252789491"/>
      <w:bookmarkStart w:id="984" w:name="_Toc6403835"/>
      <w:bookmarkStart w:id="985" w:name="_Toc10095220"/>
      <w:bookmarkStart w:id="986" w:name="_Toc10192389"/>
      <w:bookmarkStart w:id="987" w:name="_Toc10206704"/>
      <w:bookmarkStart w:id="988" w:name="_Toc10213290"/>
      <w:bookmarkStart w:id="989" w:name="_Toc10732314"/>
      <w:bookmarkStart w:id="990" w:name="_Toc10796873"/>
      <w:bookmarkStart w:id="991" w:name="_Toc12022758"/>
      <w:bookmarkStart w:id="992" w:name="_Toc12630588"/>
      <w:bookmarkStart w:id="993" w:name="_Toc16154448"/>
      <w:bookmarkStart w:id="994" w:name="_Toc22196810"/>
      <w:r>
        <w:t>Protocol</w:t>
      </w:r>
      <w:bookmarkEnd w:id="983"/>
      <w:bookmarkEnd w:id="984"/>
      <w:bookmarkEnd w:id="985"/>
      <w:bookmarkEnd w:id="986"/>
      <w:bookmarkEnd w:id="987"/>
      <w:bookmarkEnd w:id="988"/>
      <w:bookmarkEnd w:id="989"/>
      <w:bookmarkEnd w:id="990"/>
      <w:bookmarkEnd w:id="991"/>
      <w:bookmarkEnd w:id="992"/>
      <w:bookmarkEnd w:id="993"/>
      <w:bookmarkEnd w:id="994"/>
    </w:p>
    <w:p w14:paraId="72273C69" w14:textId="697AE044" w:rsidR="00C47B2A" w:rsidRDefault="00C47B2A" w:rsidP="00C47B2A">
      <w:r>
        <w:t>LTIM for Basin-scale evaluation has adopted a hierarchical approach to sample design (see Hale</w:t>
      </w:r>
      <w:r w:rsidRPr="00CE5A38">
        <w:t xml:space="preserve"> </w:t>
      </w:r>
      <w:r w:rsidRPr="00CE5A38">
        <w:rPr>
          <w:i/>
        </w:rPr>
        <w:t>et al.</w:t>
      </w:r>
      <w:r>
        <w:t xml:space="preserve"> 2014</w:t>
      </w:r>
      <w:r w:rsidRPr="00CE5A38">
        <w:t>)</w:t>
      </w:r>
      <w:r>
        <w:t xml:space="preserve">. The spatial hierarchy for </w:t>
      </w:r>
      <w:r w:rsidR="0033415C" w:rsidRPr="004914FD">
        <w:rPr>
          <w:i/>
        </w:rPr>
        <w:t xml:space="preserve">Fish </w:t>
      </w:r>
      <w:r w:rsidRPr="004914FD">
        <w:rPr>
          <w:i/>
        </w:rPr>
        <w:t>(Channel)</w:t>
      </w:r>
      <w:r>
        <w:t xml:space="preserve"> monitoring is as follows:</w:t>
      </w:r>
    </w:p>
    <w:p w14:paraId="66458041" w14:textId="0D5026FE" w:rsidR="00C47B2A" w:rsidRDefault="00C47B2A" w:rsidP="00C47B2A">
      <w:pPr>
        <w:pStyle w:val="ListParagraph"/>
        <w:numPr>
          <w:ilvl w:val="0"/>
          <w:numId w:val="17"/>
        </w:numPr>
      </w:pPr>
      <w:r>
        <w:t>Selected Area (</w:t>
      </w:r>
      <w:r w:rsidRPr="00C304CC">
        <w:t>Lower Murray</w:t>
      </w:r>
      <w:r>
        <w:t>)</w:t>
      </w:r>
    </w:p>
    <w:p w14:paraId="13561E0D" w14:textId="77777777" w:rsidR="00C47B2A" w:rsidRDefault="00C47B2A" w:rsidP="00C47B2A">
      <w:pPr>
        <w:pStyle w:val="ListParagraph"/>
        <w:numPr>
          <w:ilvl w:val="1"/>
          <w:numId w:val="17"/>
        </w:numPr>
      </w:pPr>
      <w:r>
        <w:t>Zone (</w:t>
      </w:r>
      <w:r w:rsidRPr="00841D07">
        <w:rPr>
          <w:i/>
        </w:rPr>
        <w:t>Gorge</w:t>
      </w:r>
      <w:r>
        <w:t>)</w:t>
      </w:r>
    </w:p>
    <w:p w14:paraId="69CB836E" w14:textId="77777777" w:rsidR="00C47B2A" w:rsidRDefault="00C47B2A" w:rsidP="00C47B2A">
      <w:pPr>
        <w:pStyle w:val="ListParagraph"/>
        <w:numPr>
          <w:ilvl w:val="2"/>
          <w:numId w:val="17"/>
        </w:numPr>
      </w:pPr>
      <w:r>
        <w:t xml:space="preserve">Site (river km 286, 302, 323, 326, 336, 376, 392, 400, 419, 426). </w:t>
      </w:r>
    </w:p>
    <w:p w14:paraId="3F7E0155" w14:textId="77777777" w:rsidR="00C47B2A" w:rsidRPr="00110B3D" w:rsidRDefault="00C47B2A" w:rsidP="00C47B2A">
      <w:pPr>
        <w:pStyle w:val="Heading4"/>
        <w:rPr>
          <w:b w:val="0"/>
        </w:rPr>
      </w:pPr>
      <w:r>
        <w:t>Zone p</w:t>
      </w:r>
      <w:r w:rsidRPr="00110B3D">
        <w:t>lacement</w:t>
      </w:r>
      <w:r>
        <w:t xml:space="preserve"> within Selected Areas</w:t>
      </w:r>
    </w:p>
    <w:p w14:paraId="6005E2B5" w14:textId="56F48B01" w:rsidR="00C47B2A" w:rsidRPr="00F3170D" w:rsidRDefault="00C47B2A" w:rsidP="00C47B2A">
      <w:pPr>
        <w:rPr>
          <w:szCs w:val="22"/>
        </w:rPr>
      </w:pPr>
      <w:r w:rsidRPr="00F3170D">
        <w:rPr>
          <w:szCs w:val="22"/>
        </w:rPr>
        <w:t xml:space="preserve">The </w:t>
      </w:r>
      <w:r w:rsidRPr="00C304CC">
        <w:rPr>
          <w:szCs w:val="22"/>
        </w:rPr>
        <w:t>Lower Murray</w:t>
      </w:r>
      <w:r>
        <w:rPr>
          <w:szCs w:val="22"/>
        </w:rPr>
        <w:t xml:space="preserve"> Selected Area</w:t>
      </w:r>
      <w:r w:rsidRPr="00F3170D">
        <w:rPr>
          <w:szCs w:val="22"/>
        </w:rPr>
        <w:t xml:space="preserve"> is comprised of two distinct geomorphological units, namely the </w:t>
      </w:r>
      <w:r w:rsidRPr="00841D07">
        <w:rPr>
          <w:i/>
          <w:szCs w:val="22"/>
        </w:rPr>
        <w:t>Gorge</w:t>
      </w:r>
      <w:r w:rsidRPr="00F3170D">
        <w:rPr>
          <w:szCs w:val="22"/>
        </w:rPr>
        <w:t xml:space="preserve"> and the </w:t>
      </w:r>
      <w:r w:rsidRPr="00841D07">
        <w:rPr>
          <w:i/>
          <w:szCs w:val="22"/>
        </w:rPr>
        <w:t>Floodplain</w:t>
      </w:r>
      <w:r w:rsidRPr="00F3170D">
        <w:rPr>
          <w:szCs w:val="22"/>
        </w:rPr>
        <w:t xml:space="preserve">. </w:t>
      </w:r>
      <w:r w:rsidRPr="00F3170D">
        <w:t xml:space="preserve">The </w:t>
      </w:r>
      <w:r w:rsidRPr="00841D07">
        <w:rPr>
          <w:i/>
        </w:rPr>
        <w:t>Gorge</w:t>
      </w:r>
      <w:r w:rsidRPr="00F3170D">
        <w:t xml:space="preserve"> zone has been selected as a subset of a Selected Area that </w:t>
      </w:r>
      <w:r w:rsidRPr="00F3170D">
        <w:rPr>
          <w:szCs w:val="22"/>
        </w:rPr>
        <w:t xml:space="preserve">represents a spatially, geomorphological and/or hydrological distinct unit at a broad landscape scale.  </w:t>
      </w:r>
    </w:p>
    <w:p w14:paraId="4004871C" w14:textId="77777777" w:rsidR="00C47B2A" w:rsidRPr="00110B3D" w:rsidRDefault="00C47B2A" w:rsidP="00C47B2A">
      <w:pPr>
        <w:pStyle w:val="Heading4"/>
        <w:rPr>
          <w:b w:val="0"/>
        </w:rPr>
      </w:pPr>
      <w:r w:rsidRPr="00110B3D">
        <w:t>Site placement within zones</w:t>
      </w:r>
    </w:p>
    <w:p w14:paraId="38A3BE2B" w14:textId="5F46B6AF" w:rsidR="00C47B2A" w:rsidRDefault="00C47B2A" w:rsidP="00C47B2A">
      <w:r>
        <w:t xml:space="preserve">Ten long-term sites, located between Lock 1 and 3, were selected for the </w:t>
      </w:r>
      <w:r w:rsidRPr="00C304CC">
        <w:t>Lower Murray</w:t>
      </w:r>
      <w:r>
        <w:t xml:space="preserve"> Selected Area at the commencement of the LTIM Project (</w:t>
      </w:r>
      <w:r w:rsidR="00D86D18">
        <w:t>Table B.4</w:t>
      </w:r>
      <w:r>
        <w:t xml:space="preserve">). These sites followed the following Basin-scale criteria from Hale </w:t>
      </w:r>
      <w:r w:rsidRPr="00992869">
        <w:rPr>
          <w:i/>
        </w:rPr>
        <w:t>et al.</w:t>
      </w:r>
      <w:r>
        <w:t xml:space="preserve"> (2014), including:</w:t>
      </w:r>
    </w:p>
    <w:p w14:paraId="7CC34731" w14:textId="7A471F73" w:rsidR="00C47B2A" w:rsidRDefault="00C47B2A" w:rsidP="00C47B2A">
      <w:pPr>
        <w:pStyle w:val="ListParagraph"/>
        <w:numPr>
          <w:ilvl w:val="0"/>
          <w:numId w:val="19"/>
        </w:numPr>
        <w:ind w:left="765" w:hanging="357"/>
      </w:pPr>
      <w:r w:rsidRPr="00CE2279">
        <w:lastRenderedPageBreak/>
        <w:t>An</w:t>
      </w:r>
      <w:r>
        <w:rPr>
          <w:b/>
        </w:rPr>
        <w:t xml:space="preserve"> </w:t>
      </w:r>
      <w:r w:rsidRPr="00211C68">
        <w:rPr>
          <w:b/>
        </w:rPr>
        <w:t>800 m reach of channel within a zone</w:t>
      </w:r>
      <w:r>
        <w:t>.</w:t>
      </w:r>
    </w:p>
    <w:p w14:paraId="6A8F1F41" w14:textId="77777777" w:rsidR="00C47B2A" w:rsidRDefault="00C47B2A" w:rsidP="00C47B2A">
      <w:pPr>
        <w:pStyle w:val="ListParagraph"/>
        <w:numPr>
          <w:ilvl w:val="0"/>
          <w:numId w:val="19"/>
        </w:numPr>
        <w:ind w:left="765" w:hanging="357"/>
      </w:pPr>
      <w:r>
        <w:t>L</w:t>
      </w:r>
      <w:r w:rsidRPr="00A31764">
        <w:t>ocated on a single channel</w:t>
      </w:r>
    </w:p>
    <w:p w14:paraId="6D83725F" w14:textId="1642B997" w:rsidR="00C47B2A" w:rsidRDefault="00C47B2A" w:rsidP="00C47B2A">
      <w:pPr>
        <w:pStyle w:val="ListParagraph"/>
        <w:numPr>
          <w:ilvl w:val="0"/>
          <w:numId w:val="19"/>
        </w:numPr>
        <w:ind w:left="765" w:hanging="357"/>
      </w:pPr>
      <w:r>
        <w:t>Where appropriate</w:t>
      </w:r>
      <w:r w:rsidRPr="0069291D">
        <w:t xml:space="preserve">, coincide with a pre-existing discharge and river height gauging station. </w:t>
      </w:r>
    </w:p>
    <w:p w14:paraId="66C78944" w14:textId="7995F117" w:rsidR="00C47B2A" w:rsidRDefault="00C47B2A" w:rsidP="00C47B2A">
      <w:pPr>
        <w:pStyle w:val="ListParagraph"/>
        <w:numPr>
          <w:ilvl w:val="0"/>
          <w:numId w:val="19"/>
        </w:numPr>
        <w:ind w:left="765" w:hanging="357"/>
      </w:pPr>
      <w:r>
        <w:t>Not within 1 km of a significant tributary and/or distributary.</w:t>
      </w:r>
    </w:p>
    <w:p w14:paraId="1B8D2945" w14:textId="36314872" w:rsidR="00C47B2A" w:rsidRPr="00BD28D7" w:rsidRDefault="00C47B2A" w:rsidP="00C47B2A">
      <w:pPr>
        <w:pStyle w:val="ListParagraph"/>
        <w:numPr>
          <w:ilvl w:val="0"/>
          <w:numId w:val="19"/>
        </w:numPr>
        <w:ind w:left="765" w:hanging="357"/>
      </w:pPr>
      <w:r w:rsidRPr="00992869">
        <w:t>D</w:t>
      </w:r>
      <w:r w:rsidRPr="00BD28D7">
        <w:t xml:space="preserve">istributed randomly throughout the zone selected for Basin-scale data collection, </w:t>
      </w:r>
      <w:r>
        <w:t xml:space="preserve">such that the samples collected are representative of that zone. </w:t>
      </w:r>
    </w:p>
    <w:p w14:paraId="11750B7E" w14:textId="4E0C6B39" w:rsidR="00C47B2A" w:rsidRDefault="00992869" w:rsidP="00992869">
      <w:pPr>
        <w:pStyle w:val="Captions"/>
      </w:pPr>
      <w:r>
        <w:t>Table B.</w:t>
      </w:r>
      <w:r w:rsidRPr="00992869">
        <w:rPr>
          <w:noProof/>
        </w:rPr>
        <w:fldChar w:fldCharType="begin"/>
      </w:r>
      <w:r w:rsidRPr="00992869">
        <w:rPr>
          <w:noProof/>
        </w:rPr>
        <w:instrText xml:space="preserve"> SEQ Table_B. \* ARABIC </w:instrText>
      </w:r>
      <w:r w:rsidRPr="00992869">
        <w:rPr>
          <w:noProof/>
        </w:rPr>
        <w:fldChar w:fldCharType="separate"/>
      </w:r>
      <w:r w:rsidR="00DF49CD">
        <w:rPr>
          <w:noProof/>
        </w:rPr>
        <w:t>4</w:t>
      </w:r>
      <w:r w:rsidRPr="00992869">
        <w:rPr>
          <w:noProof/>
        </w:rPr>
        <w:fldChar w:fldCharType="end"/>
      </w:r>
      <w:r w:rsidR="00C47B2A" w:rsidRPr="00992869">
        <w:t xml:space="preserve">. </w:t>
      </w:r>
      <w:r w:rsidR="00C47B2A" w:rsidRPr="00D86D18">
        <w:rPr>
          <w:i/>
        </w:rPr>
        <w:t>Fish</w:t>
      </w:r>
      <w:r w:rsidR="00D86D18" w:rsidRPr="00D86D18">
        <w:rPr>
          <w:i/>
        </w:rPr>
        <w:t xml:space="preserve"> (C</w:t>
      </w:r>
      <w:r w:rsidR="00C47B2A" w:rsidRPr="00D86D18">
        <w:rPr>
          <w:i/>
        </w:rPr>
        <w:t>hannel)</w:t>
      </w:r>
      <w:r w:rsidR="00C47B2A">
        <w:t xml:space="preserve"> site information for the Lower Murray Selected Area. Site ID incorporated dist</w:t>
      </w:r>
      <w:r>
        <w:t>ance from the river mouth in kilometers</w:t>
      </w:r>
      <w:r w:rsidR="00C47B2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54"/>
        <w:gridCol w:w="851"/>
        <w:gridCol w:w="851"/>
        <w:gridCol w:w="1984"/>
        <w:gridCol w:w="1418"/>
        <w:gridCol w:w="1110"/>
        <w:gridCol w:w="1242"/>
      </w:tblGrid>
      <w:tr w:rsidR="00C47B2A" w14:paraId="35043CAC" w14:textId="77777777" w:rsidTr="00992869">
        <w:trPr>
          <w:trHeight w:val="290"/>
        </w:trPr>
        <w:tc>
          <w:tcPr>
            <w:tcW w:w="863" w:type="pct"/>
            <w:shd w:val="clear" w:color="auto" w:fill="BFBFBF" w:themeFill="background1" w:themeFillShade="BF"/>
          </w:tcPr>
          <w:p w14:paraId="5246A8EE" w14:textId="77777777" w:rsidR="00C47B2A" w:rsidRPr="008A7D14" w:rsidRDefault="00C47B2A" w:rsidP="00992869">
            <w:pPr>
              <w:autoSpaceDE w:val="0"/>
              <w:autoSpaceDN w:val="0"/>
              <w:adjustRightInd w:val="0"/>
              <w:spacing w:after="0" w:line="360" w:lineRule="auto"/>
              <w:jc w:val="left"/>
              <w:rPr>
                <w:rFonts w:ascii="Calibri" w:eastAsiaTheme="minorHAnsi" w:hAnsi="Calibri" w:cs="Calibri"/>
                <w:b/>
                <w:kern w:val="0"/>
                <w:szCs w:val="22"/>
              </w:rPr>
            </w:pPr>
            <w:r w:rsidRPr="008A7D14">
              <w:rPr>
                <w:rFonts w:ascii="Calibri" w:eastAsiaTheme="minorHAnsi" w:hAnsi="Calibri" w:cs="Calibri"/>
                <w:b/>
                <w:kern w:val="0"/>
                <w:szCs w:val="22"/>
              </w:rPr>
              <w:t>Selected Area</w:t>
            </w:r>
          </w:p>
        </w:tc>
        <w:tc>
          <w:tcPr>
            <w:tcW w:w="472" w:type="pct"/>
            <w:shd w:val="clear" w:color="auto" w:fill="BFBFBF" w:themeFill="background1" w:themeFillShade="BF"/>
          </w:tcPr>
          <w:p w14:paraId="7BCB8939" w14:textId="77777777" w:rsidR="00C47B2A" w:rsidRPr="008A7D14" w:rsidRDefault="00C47B2A" w:rsidP="00992869">
            <w:pPr>
              <w:autoSpaceDE w:val="0"/>
              <w:autoSpaceDN w:val="0"/>
              <w:adjustRightInd w:val="0"/>
              <w:spacing w:after="0" w:line="360" w:lineRule="auto"/>
              <w:jc w:val="left"/>
              <w:rPr>
                <w:rFonts w:ascii="Calibri" w:eastAsiaTheme="minorHAnsi" w:hAnsi="Calibri" w:cs="Calibri"/>
                <w:b/>
                <w:kern w:val="0"/>
                <w:szCs w:val="22"/>
              </w:rPr>
            </w:pPr>
            <w:r w:rsidRPr="008A7D14">
              <w:rPr>
                <w:rFonts w:ascii="Calibri" w:eastAsiaTheme="minorHAnsi" w:hAnsi="Calibri" w:cs="Calibri"/>
                <w:b/>
                <w:kern w:val="0"/>
                <w:szCs w:val="22"/>
              </w:rPr>
              <w:t>Zone</w:t>
            </w:r>
          </w:p>
        </w:tc>
        <w:tc>
          <w:tcPr>
            <w:tcW w:w="472" w:type="pct"/>
            <w:shd w:val="clear" w:color="auto" w:fill="BFBFBF" w:themeFill="background1" w:themeFillShade="BF"/>
          </w:tcPr>
          <w:p w14:paraId="4A5C5CF2" w14:textId="77777777" w:rsidR="00C47B2A" w:rsidRPr="008A7D14" w:rsidRDefault="00C47B2A" w:rsidP="00992869">
            <w:pPr>
              <w:autoSpaceDE w:val="0"/>
              <w:autoSpaceDN w:val="0"/>
              <w:adjustRightInd w:val="0"/>
              <w:spacing w:after="0" w:line="360" w:lineRule="auto"/>
              <w:jc w:val="left"/>
              <w:rPr>
                <w:rFonts w:ascii="Calibri" w:eastAsiaTheme="minorHAnsi" w:hAnsi="Calibri" w:cs="Calibri"/>
                <w:b/>
                <w:kern w:val="0"/>
                <w:szCs w:val="22"/>
              </w:rPr>
            </w:pPr>
            <w:r w:rsidRPr="008A7D14">
              <w:rPr>
                <w:rFonts w:ascii="Calibri" w:eastAsiaTheme="minorHAnsi" w:hAnsi="Calibri" w:cs="Calibri"/>
                <w:b/>
                <w:kern w:val="0"/>
                <w:szCs w:val="22"/>
              </w:rPr>
              <w:t>Site No.</w:t>
            </w:r>
          </w:p>
        </w:tc>
        <w:tc>
          <w:tcPr>
            <w:tcW w:w="1101" w:type="pct"/>
            <w:shd w:val="clear" w:color="auto" w:fill="BFBFBF" w:themeFill="background1" w:themeFillShade="BF"/>
          </w:tcPr>
          <w:p w14:paraId="546698E3" w14:textId="77777777" w:rsidR="00C47B2A" w:rsidRPr="008A7D14" w:rsidRDefault="00C47B2A" w:rsidP="00992869">
            <w:pPr>
              <w:autoSpaceDE w:val="0"/>
              <w:autoSpaceDN w:val="0"/>
              <w:adjustRightInd w:val="0"/>
              <w:spacing w:after="0" w:line="360" w:lineRule="auto"/>
              <w:jc w:val="left"/>
              <w:rPr>
                <w:rFonts w:ascii="Calibri" w:eastAsiaTheme="minorHAnsi" w:hAnsi="Calibri" w:cs="Calibri"/>
                <w:b/>
                <w:kern w:val="0"/>
                <w:szCs w:val="22"/>
              </w:rPr>
            </w:pPr>
            <w:r w:rsidRPr="008A7D14">
              <w:rPr>
                <w:rFonts w:ascii="Calibri" w:eastAsiaTheme="minorHAnsi" w:hAnsi="Calibri" w:cs="Calibri"/>
                <w:b/>
                <w:kern w:val="0"/>
                <w:szCs w:val="22"/>
              </w:rPr>
              <w:t>Site Name</w:t>
            </w:r>
          </w:p>
        </w:tc>
        <w:tc>
          <w:tcPr>
            <w:tcW w:w="787" w:type="pct"/>
            <w:shd w:val="clear" w:color="auto" w:fill="BFBFBF" w:themeFill="background1" w:themeFillShade="BF"/>
          </w:tcPr>
          <w:p w14:paraId="7F0428A8" w14:textId="77777777" w:rsidR="00C47B2A" w:rsidRPr="008A7D14" w:rsidRDefault="00C47B2A" w:rsidP="00992869">
            <w:pPr>
              <w:autoSpaceDE w:val="0"/>
              <w:autoSpaceDN w:val="0"/>
              <w:adjustRightInd w:val="0"/>
              <w:spacing w:after="0" w:line="360" w:lineRule="auto"/>
              <w:jc w:val="left"/>
              <w:rPr>
                <w:rFonts w:ascii="Calibri" w:eastAsiaTheme="minorHAnsi" w:hAnsi="Calibri" w:cs="Calibri"/>
                <w:b/>
                <w:kern w:val="0"/>
                <w:szCs w:val="22"/>
              </w:rPr>
            </w:pPr>
            <w:r w:rsidRPr="008A7D14">
              <w:rPr>
                <w:rFonts w:ascii="Calibri" w:eastAsiaTheme="minorHAnsi" w:hAnsi="Calibri" w:cs="Calibri"/>
                <w:b/>
                <w:kern w:val="0"/>
                <w:szCs w:val="22"/>
              </w:rPr>
              <w:t>Site ID</w:t>
            </w:r>
          </w:p>
        </w:tc>
        <w:tc>
          <w:tcPr>
            <w:tcW w:w="616" w:type="pct"/>
            <w:shd w:val="clear" w:color="auto" w:fill="BFBFBF" w:themeFill="background1" w:themeFillShade="BF"/>
          </w:tcPr>
          <w:p w14:paraId="5D98C052" w14:textId="77777777" w:rsidR="00C47B2A" w:rsidRPr="008A7D14" w:rsidRDefault="00C47B2A" w:rsidP="00992869">
            <w:pPr>
              <w:autoSpaceDE w:val="0"/>
              <w:autoSpaceDN w:val="0"/>
              <w:adjustRightInd w:val="0"/>
              <w:spacing w:after="0" w:line="360" w:lineRule="auto"/>
              <w:jc w:val="left"/>
              <w:rPr>
                <w:rFonts w:ascii="Calibri" w:eastAsiaTheme="minorHAnsi" w:hAnsi="Calibri" w:cs="Calibri"/>
                <w:b/>
                <w:kern w:val="0"/>
                <w:szCs w:val="22"/>
              </w:rPr>
            </w:pPr>
            <w:r w:rsidRPr="008A7D14">
              <w:rPr>
                <w:rFonts w:ascii="Calibri" w:eastAsiaTheme="minorHAnsi" w:hAnsi="Calibri" w:cs="Calibri"/>
                <w:b/>
                <w:kern w:val="0"/>
                <w:szCs w:val="22"/>
              </w:rPr>
              <w:t>La</w:t>
            </w:r>
            <w:r>
              <w:rPr>
                <w:rFonts w:ascii="Calibri" w:eastAsiaTheme="minorHAnsi" w:hAnsi="Calibri" w:cs="Calibri"/>
                <w:b/>
                <w:kern w:val="0"/>
                <w:szCs w:val="22"/>
              </w:rPr>
              <w:t>t</w:t>
            </w:r>
            <w:r w:rsidRPr="008A7D14">
              <w:rPr>
                <w:rFonts w:ascii="Calibri" w:eastAsiaTheme="minorHAnsi" w:hAnsi="Calibri" w:cs="Calibri"/>
                <w:b/>
                <w:kern w:val="0"/>
                <w:szCs w:val="22"/>
              </w:rPr>
              <w:t>i</w:t>
            </w:r>
            <w:r>
              <w:rPr>
                <w:rFonts w:ascii="Calibri" w:eastAsiaTheme="minorHAnsi" w:hAnsi="Calibri" w:cs="Calibri"/>
                <w:b/>
                <w:kern w:val="0"/>
                <w:szCs w:val="22"/>
              </w:rPr>
              <w:t>tude</w:t>
            </w:r>
          </w:p>
        </w:tc>
        <w:tc>
          <w:tcPr>
            <w:tcW w:w="689" w:type="pct"/>
            <w:shd w:val="clear" w:color="auto" w:fill="BFBFBF" w:themeFill="background1" w:themeFillShade="BF"/>
          </w:tcPr>
          <w:p w14:paraId="4816FD67" w14:textId="77777777" w:rsidR="00C47B2A" w:rsidRPr="008A7D14" w:rsidRDefault="00C47B2A" w:rsidP="00992869">
            <w:pPr>
              <w:autoSpaceDE w:val="0"/>
              <w:autoSpaceDN w:val="0"/>
              <w:adjustRightInd w:val="0"/>
              <w:spacing w:after="0" w:line="360" w:lineRule="auto"/>
              <w:jc w:val="left"/>
              <w:rPr>
                <w:rFonts w:ascii="Calibri" w:eastAsiaTheme="minorHAnsi" w:hAnsi="Calibri" w:cs="Calibri"/>
                <w:b/>
                <w:kern w:val="0"/>
                <w:szCs w:val="22"/>
              </w:rPr>
            </w:pPr>
            <w:r w:rsidRPr="008A7D14">
              <w:rPr>
                <w:rFonts w:ascii="Calibri" w:eastAsiaTheme="minorHAnsi" w:hAnsi="Calibri" w:cs="Calibri"/>
                <w:b/>
                <w:kern w:val="0"/>
                <w:szCs w:val="22"/>
              </w:rPr>
              <w:t>Long</w:t>
            </w:r>
            <w:r>
              <w:rPr>
                <w:rFonts w:ascii="Calibri" w:eastAsiaTheme="minorHAnsi" w:hAnsi="Calibri" w:cs="Calibri"/>
                <w:b/>
                <w:kern w:val="0"/>
                <w:szCs w:val="22"/>
              </w:rPr>
              <w:t>itude</w:t>
            </w:r>
          </w:p>
        </w:tc>
      </w:tr>
      <w:tr w:rsidR="00C47B2A" w14:paraId="0811763D" w14:textId="77777777" w:rsidTr="00230157">
        <w:trPr>
          <w:trHeight w:val="290"/>
        </w:trPr>
        <w:tc>
          <w:tcPr>
            <w:tcW w:w="863" w:type="pct"/>
          </w:tcPr>
          <w:p w14:paraId="7E986DAB"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eastAsiaTheme="minorHAnsi" w:hAnsi="Calibri" w:cs="Calibri"/>
                <w:kern w:val="0"/>
                <w:szCs w:val="22"/>
              </w:rPr>
              <w:t>Lower Murray</w:t>
            </w:r>
          </w:p>
        </w:tc>
        <w:tc>
          <w:tcPr>
            <w:tcW w:w="472" w:type="pct"/>
          </w:tcPr>
          <w:p w14:paraId="38B43B7F"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eastAsiaTheme="minorHAnsi" w:hAnsi="Calibri" w:cs="Calibri"/>
                <w:kern w:val="0"/>
                <w:szCs w:val="22"/>
              </w:rPr>
              <w:t>Gorge</w:t>
            </w:r>
          </w:p>
        </w:tc>
        <w:tc>
          <w:tcPr>
            <w:tcW w:w="472" w:type="pct"/>
            <w:vAlign w:val="bottom"/>
          </w:tcPr>
          <w:p w14:paraId="755B5312"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hAnsi="Calibri"/>
                <w:szCs w:val="22"/>
              </w:rPr>
              <w:t>1</w:t>
            </w:r>
          </w:p>
        </w:tc>
        <w:tc>
          <w:tcPr>
            <w:tcW w:w="1101" w:type="pct"/>
            <w:vAlign w:val="bottom"/>
          </w:tcPr>
          <w:p w14:paraId="4B8ED4DF"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hAnsi="Calibri"/>
                <w:szCs w:val="22"/>
              </w:rPr>
              <w:t>Blanchetown</w:t>
            </w:r>
          </w:p>
        </w:tc>
        <w:tc>
          <w:tcPr>
            <w:tcW w:w="787" w:type="pct"/>
          </w:tcPr>
          <w:p w14:paraId="41894840"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eastAsiaTheme="minorHAnsi" w:hAnsi="Calibri" w:cs="Calibri"/>
                <w:kern w:val="0"/>
                <w:szCs w:val="22"/>
              </w:rPr>
              <w:t>LK2DS_286km</w:t>
            </w:r>
          </w:p>
        </w:tc>
        <w:tc>
          <w:tcPr>
            <w:tcW w:w="616" w:type="pct"/>
          </w:tcPr>
          <w:p w14:paraId="4AA5A5E7" w14:textId="77777777" w:rsidR="00C47B2A" w:rsidRDefault="00C47B2A" w:rsidP="00992869">
            <w:pPr>
              <w:autoSpaceDE w:val="0"/>
              <w:autoSpaceDN w:val="0"/>
              <w:adjustRightInd w:val="0"/>
              <w:spacing w:after="0" w:line="360" w:lineRule="auto"/>
              <w:jc w:val="right"/>
              <w:rPr>
                <w:rFonts w:ascii="Calibri" w:eastAsiaTheme="minorHAnsi" w:hAnsi="Calibri" w:cs="Calibri"/>
                <w:kern w:val="0"/>
                <w:szCs w:val="22"/>
              </w:rPr>
            </w:pPr>
            <w:r>
              <w:rPr>
                <w:rFonts w:ascii="Calibri" w:eastAsiaTheme="minorHAnsi" w:hAnsi="Calibri" w:cs="Calibri"/>
                <w:kern w:val="0"/>
                <w:szCs w:val="22"/>
              </w:rPr>
              <w:t>-34.271</w:t>
            </w:r>
          </w:p>
        </w:tc>
        <w:tc>
          <w:tcPr>
            <w:tcW w:w="689" w:type="pct"/>
          </w:tcPr>
          <w:p w14:paraId="4FDA62E9" w14:textId="77777777" w:rsidR="00C47B2A" w:rsidRDefault="00C47B2A" w:rsidP="00992869">
            <w:pPr>
              <w:autoSpaceDE w:val="0"/>
              <w:autoSpaceDN w:val="0"/>
              <w:adjustRightInd w:val="0"/>
              <w:spacing w:after="0" w:line="360" w:lineRule="auto"/>
              <w:jc w:val="right"/>
              <w:rPr>
                <w:rFonts w:ascii="Calibri" w:eastAsiaTheme="minorHAnsi" w:hAnsi="Calibri" w:cs="Calibri"/>
                <w:kern w:val="0"/>
                <w:szCs w:val="22"/>
              </w:rPr>
            </w:pPr>
            <w:r>
              <w:rPr>
                <w:rFonts w:ascii="Calibri" w:eastAsiaTheme="minorHAnsi" w:hAnsi="Calibri" w:cs="Calibri"/>
                <w:kern w:val="0"/>
                <w:szCs w:val="22"/>
              </w:rPr>
              <w:t>139.62602</w:t>
            </w:r>
          </w:p>
        </w:tc>
      </w:tr>
      <w:tr w:rsidR="00C47B2A" w14:paraId="37781590" w14:textId="77777777" w:rsidTr="00230157">
        <w:trPr>
          <w:trHeight w:val="290"/>
        </w:trPr>
        <w:tc>
          <w:tcPr>
            <w:tcW w:w="863" w:type="pct"/>
          </w:tcPr>
          <w:p w14:paraId="20F1C3BA"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eastAsiaTheme="minorHAnsi" w:hAnsi="Calibri" w:cs="Calibri"/>
                <w:kern w:val="0"/>
                <w:szCs w:val="22"/>
              </w:rPr>
              <w:t>Lower Murray</w:t>
            </w:r>
          </w:p>
        </w:tc>
        <w:tc>
          <w:tcPr>
            <w:tcW w:w="472" w:type="pct"/>
          </w:tcPr>
          <w:p w14:paraId="75EE6792"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eastAsiaTheme="minorHAnsi" w:hAnsi="Calibri" w:cs="Calibri"/>
                <w:kern w:val="0"/>
                <w:szCs w:val="22"/>
              </w:rPr>
              <w:t>Gorge</w:t>
            </w:r>
          </w:p>
        </w:tc>
        <w:tc>
          <w:tcPr>
            <w:tcW w:w="472" w:type="pct"/>
            <w:vAlign w:val="bottom"/>
          </w:tcPr>
          <w:p w14:paraId="5608444C"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hAnsi="Calibri"/>
                <w:szCs w:val="22"/>
              </w:rPr>
              <w:t>2</w:t>
            </w:r>
          </w:p>
        </w:tc>
        <w:tc>
          <w:tcPr>
            <w:tcW w:w="1101" w:type="pct"/>
            <w:vAlign w:val="bottom"/>
          </w:tcPr>
          <w:p w14:paraId="163105FB"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hAnsi="Calibri"/>
                <w:szCs w:val="22"/>
              </w:rPr>
              <w:t>Scott Creek</w:t>
            </w:r>
          </w:p>
        </w:tc>
        <w:tc>
          <w:tcPr>
            <w:tcW w:w="787" w:type="pct"/>
          </w:tcPr>
          <w:p w14:paraId="71BF3703"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eastAsiaTheme="minorHAnsi" w:hAnsi="Calibri" w:cs="Calibri"/>
                <w:kern w:val="0"/>
                <w:szCs w:val="22"/>
              </w:rPr>
              <w:t>LK2DS_302km</w:t>
            </w:r>
          </w:p>
        </w:tc>
        <w:tc>
          <w:tcPr>
            <w:tcW w:w="616" w:type="pct"/>
          </w:tcPr>
          <w:p w14:paraId="4FAE5D35" w14:textId="77777777" w:rsidR="00C47B2A" w:rsidRDefault="00C47B2A" w:rsidP="00992869">
            <w:pPr>
              <w:autoSpaceDE w:val="0"/>
              <w:autoSpaceDN w:val="0"/>
              <w:adjustRightInd w:val="0"/>
              <w:spacing w:after="0" w:line="360" w:lineRule="auto"/>
              <w:jc w:val="right"/>
              <w:rPr>
                <w:rFonts w:ascii="Calibri" w:eastAsiaTheme="minorHAnsi" w:hAnsi="Calibri" w:cs="Calibri"/>
                <w:kern w:val="0"/>
                <w:szCs w:val="22"/>
              </w:rPr>
            </w:pPr>
            <w:r>
              <w:rPr>
                <w:rFonts w:ascii="Calibri" w:eastAsiaTheme="minorHAnsi" w:hAnsi="Calibri" w:cs="Calibri"/>
                <w:kern w:val="0"/>
                <w:szCs w:val="22"/>
              </w:rPr>
              <w:t>-34.1484</w:t>
            </w:r>
          </w:p>
        </w:tc>
        <w:tc>
          <w:tcPr>
            <w:tcW w:w="689" w:type="pct"/>
          </w:tcPr>
          <w:p w14:paraId="6F3AA27A" w14:textId="77777777" w:rsidR="00C47B2A" w:rsidRDefault="00C47B2A" w:rsidP="00992869">
            <w:pPr>
              <w:autoSpaceDE w:val="0"/>
              <w:autoSpaceDN w:val="0"/>
              <w:adjustRightInd w:val="0"/>
              <w:spacing w:after="0" w:line="360" w:lineRule="auto"/>
              <w:jc w:val="right"/>
              <w:rPr>
                <w:rFonts w:ascii="Calibri" w:eastAsiaTheme="minorHAnsi" w:hAnsi="Calibri" w:cs="Calibri"/>
                <w:kern w:val="0"/>
                <w:szCs w:val="22"/>
              </w:rPr>
            </w:pPr>
            <w:r>
              <w:rPr>
                <w:rFonts w:ascii="Calibri" w:eastAsiaTheme="minorHAnsi" w:hAnsi="Calibri" w:cs="Calibri"/>
                <w:kern w:val="0"/>
                <w:szCs w:val="22"/>
              </w:rPr>
              <w:t>139.66095</w:t>
            </w:r>
          </w:p>
        </w:tc>
      </w:tr>
      <w:tr w:rsidR="00C47B2A" w14:paraId="0E4870E4" w14:textId="77777777" w:rsidTr="00230157">
        <w:trPr>
          <w:trHeight w:val="290"/>
        </w:trPr>
        <w:tc>
          <w:tcPr>
            <w:tcW w:w="863" w:type="pct"/>
          </w:tcPr>
          <w:p w14:paraId="14DFF6E1"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eastAsiaTheme="minorHAnsi" w:hAnsi="Calibri" w:cs="Calibri"/>
                <w:kern w:val="0"/>
                <w:szCs w:val="22"/>
              </w:rPr>
              <w:t>Lower Murray</w:t>
            </w:r>
          </w:p>
        </w:tc>
        <w:tc>
          <w:tcPr>
            <w:tcW w:w="472" w:type="pct"/>
          </w:tcPr>
          <w:p w14:paraId="6F0EC6BD"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eastAsiaTheme="minorHAnsi" w:hAnsi="Calibri" w:cs="Calibri"/>
                <w:kern w:val="0"/>
                <w:szCs w:val="22"/>
              </w:rPr>
              <w:t>Gorge</w:t>
            </w:r>
          </w:p>
        </w:tc>
        <w:tc>
          <w:tcPr>
            <w:tcW w:w="472" w:type="pct"/>
            <w:vAlign w:val="bottom"/>
          </w:tcPr>
          <w:p w14:paraId="24EB38EC"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hAnsi="Calibri"/>
                <w:szCs w:val="22"/>
              </w:rPr>
              <w:t>3</w:t>
            </w:r>
          </w:p>
        </w:tc>
        <w:tc>
          <w:tcPr>
            <w:tcW w:w="1101" w:type="pct"/>
            <w:vAlign w:val="bottom"/>
          </w:tcPr>
          <w:p w14:paraId="6EF37DBD"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hAnsi="Calibri"/>
                <w:szCs w:val="22"/>
              </w:rPr>
              <w:t>Morgan</w:t>
            </w:r>
          </w:p>
        </w:tc>
        <w:tc>
          <w:tcPr>
            <w:tcW w:w="787" w:type="pct"/>
          </w:tcPr>
          <w:p w14:paraId="0E2BAADB"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eastAsiaTheme="minorHAnsi" w:hAnsi="Calibri" w:cs="Calibri"/>
                <w:kern w:val="0"/>
                <w:szCs w:val="22"/>
              </w:rPr>
              <w:t>LK2DS_323km</w:t>
            </w:r>
          </w:p>
        </w:tc>
        <w:tc>
          <w:tcPr>
            <w:tcW w:w="616" w:type="pct"/>
          </w:tcPr>
          <w:p w14:paraId="3C465C51" w14:textId="77777777" w:rsidR="00C47B2A" w:rsidRDefault="00C47B2A" w:rsidP="00992869">
            <w:pPr>
              <w:autoSpaceDE w:val="0"/>
              <w:autoSpaceDN w:val="0"/>
              <w:adjustRightInd w:val="0"/>
              <w:spacing w:after="0" w:line="360" w:lineRule="auto"/>
              <w:jc w:val="right"/>
              <w:rPr>
                <w:rFonts w:ascii="Calibri" w:eastAsiaTheme="minorHAnsi" w:hAnsi="Calibri" w:cs="Calibri"/>
                <w:kern w:val="0"/>
                <w:szCs w:val="22"/>
              </w:rPr>
            </w:pPr>
            <w:r>
              <w:rPr>
                <w:rFonts w:ascii="Calibri" w:eastAsiaTheme="minorHAnsi" w:hAnsi="Calibri" w:cs="Calibri"/>
                <w:kern w:val="0"/>
                <w:szCs w:val="22"/>
              </w:rPr>
              <w:t>-34.0209</w:t>
            </w:r>
          </w:p>
        </w:tc>
        <w:tc>
          <w:tcPr>
            <w:tcW w:w="689" w:type="pct"/>
          </w:tcPr>
          <w:p w14:paraId="72505136" w14:textId="77777777" w:rsidR="00C47B2A" w:rsidRDefault="00C47B2A" w:rsidP="00992869">
            <w:pPr>
              <w:autoSpaceDE w:val="0"/>
              <w:autoSpaceDN w:val="0"/>
              <w:adjustRightInd w:val="0"/>
              <w:spacing w:after="0" w:line="360" w:lineRule="auto"/>
              <w:jc w:val="right"/>
              <w:rPr>
                <w:rFonts w:ascii="Calibri" w:eastAsiaTheme="minorHAnsi" w:hAnsi="Calibri" w:cs="Calibri"/>
                <w:kern w:val="0"/>
                <w:szCs w:val="22"/>
              </w:rPr>
            </w:pPr>
            <w:r>
              <w:rPr>
                <w:rFonts w:ascii="Calibri" w:eastAsiaTheme="minorHAnsi" w:hAnsi="Calibri" w:cs="Calibri"/>
                <w:kern w:val="0"/>
                <w:szCs w:val="22"/>
              </w:rPr>
              <w:t>139.69016</w:t>
            </w:r>
          </w:p>
        </w:tc>
      </w:tr>
      <w:tr w:rsidR="00C47B2A" w14:paraId="2F426332" w14:textId="77777777" w:rsidTr="00230157">
        <w:trPr>
          <w:trHeight w:val="290"/>
        </w:trPr>
        <w:tc>
          <w:tcPr>
            <w:tcW w:w="863" w:type="pct"/>
          </w:tcPr>
          <w:p w14:paraId="0C1FA071"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eastAsiaTheme="minorHAnsi" w:hAnsi="Calibri" w:cs="Calibri"/>
                <w:kern w:val="0"/>
                <w:szCs w:val="22"/>
              </w:rPr>
              <w:t>Lower Murray</w:t>
            </w:r>
          </w:p>
        </w:tc>
        <w:tc>
          <w:tcPr>
            <w:tcW w:w="472" w:type="pct"/>
          </w:tcPr>
          <w:p w14:paraId="345AB8B6"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eastAsiaTheme="minorHAnsi" w:hAnsi="Calibri" w:cs="Calibri"/>
                <w:kern w:val="0"/>
                <w:szCs w:val="22"/>
              </w:rPr>
              <w:t>Gorge</w:t>
            </w:r>
          </w:p>
        </w:tc>
        <w:tc>
          <w:tcPr>
            <w:tcW w:w="472" w:type="pct"/>
            <w:vAlign w:val="bottom"/>
          </w:tcPr>
          <w:p w14:paraId="176CF7A9"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hAnsi="Calibri"/>
                <w:szCs w:val="22"/>
              </w:rPr>
              <w:t>4</w:t>
            </w:r>
          </w:p>
        </w:tc>
        <w:tc>
          <w:tcPr>
            <w:tcW w:w="1101" w:type="pct"/>
            <w:vAlign w:val="bottom"/>
          </w:tcPr>
          <w:p w14:paraId="4A65C431"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hAnsi="Calibri"/>
                <w:szCs w:val="22"/>
              </w:rPr>
              <w:t>Cadell</w:t>
            </w:r>
          </w:p>
        </w:tc>
        <w:tc>
          <w:tcPr>
            <w:tcW w:w="787" w:type="pct"/>
          </w:tcPr>
          <w:p w14:paraId="3D2475AD"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eastAsiaTheme="minorHAnsi" w:hAnsi="Calibri" w:cs="Calibri"/>
                <w:kern w:val="0"/>
                <w:szCs w:val="22"/>
              </w:rPr>
              <w:t>LK2DS_326km</w:t>
            </w:r>
          </w:p>
        </w:tc>
        <w:tc>
          <w:tcPr>
            <w:tcW w:w="616" w:type="pct"/>
          </w:tcPr>
          <w:p w14:paraId="3AC33A93" w14:textId="77777777" w:rsidR="00C47B2A" w:rsidRDefault="00C47B2A" w:rsidP="00992869">
            <w:pPr>
              <w:autoSpaceDE w:val="0"/>
              <w:autoSpaceDN w:val="0"/>
              <w:adjustRightInd w:val="0"/>
              <w:spacing w:after="0" w:line="360" w:lineRule="auto"/>
              <w:jc w:val="right"/>
              <w:rPr>
                <w:rFonts w:ascii="Calibri" w:eastAsiaTheme="minorHAnsi" w:hAnsi="Calibri" w:cs="Calibri"/>
                <w:kern w:val="0"/>
                <w:szCs w:val="22"/>
              </w:rPr>
            </w:pPr>
            <w:r>
              <w:rPr>
                <w:rFonts w:ascii="Calibri" w:eastAsiaTheme="minorHAnsi" w:hAnsi="Calibri" w:cs="Calibri"/>
                <w:kern w:val="0"/>
                <w:szCs w:val="22"/>
              </w:rPr>
              <w:t>-34.0437</w:t>
            </w:r>
          </w:p>
        </w:tc>
        <w:tc>
          <w:tcPr>
            <w:tcW w:w="689" w:type="pct"/>
          </w:tcPr>
          <w:p w14:paraId="6EAAF33D" w14:textId="77777777" w:rsidR="00C47B2A" w:rsidRDefault="00C47B2A" w:rsidP="00992869">
            <w:pPr>
              <w:autoSpaceDE w:val="0"/>
              <w:autoSpaceDN w:val="0"/>
              <w:adjustRightInd w:val="0"/>
              <w:spacing w:after="0" w:line="360" w:lineRule="auto"/>
              <w:jc w:val="right"/>
              <w:rPr>
                <w:rFonts w:ascii="Calibri" w:eastAsiaTheme="minorHAnsi" w:hAnsi="Calibri" w:cs="Calibri"/>
                <w:kern w:val="0"/>
                <w:szCs w:val="22"/>
              </w:rPr>
            </w:pPr>
            <w:r>
              <w:rPr>
                <w:rFonts w:ascii="Calibri" w:eastAsiaTheme="minorHAnsi" w:hAnsi="Calibri" w:cs="Calibri"/>
                <w:kern w:val="0"/>
                <w:szCs w:val="22"/>
              </w:rPr>
              <w:t>139.78645</w:t>
            </w:r>
          </w:p>
        </w:tc>
      </w:tr>
      <w:tr w:rsidR="00C47B2A" w14:paraId="7680D541" w14:textId="77777777" w:rsidTr="00230157">
        <w:trPr>
          <w:trHeight w:val="290"/>
        </w:trPr>
        <w:tc>
          <w:tcPr>
            <w:tcW w:w="863" w:type="pct"/>
          </w:tcPr>
          <w:p w14:paraId="20E44EB5"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eastAsiaTheme="minorHAnsi" w:hAnsi="Calibri" w:cs="Calibri"/>
                <w:kern w:val="0"/>
                <w:szCs w:val="22"/>
              </w:rPr>
              <w:t>Lower Murray</w:t>
            </w:r>
          </w:p>
        </w:tc>
        <w:tc>
          <w:tcPr>
            <w:tcW w:w="472" w:type="pct"/>
          </w:tcPr>
          <w:p w14:paraId="71AC2B8D"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eastAsiaTheme="minorHAnsi" w:hAnsi="Calibri" w:cs="Calibri"/>
                <w:kern w:val="0"/>
                <w:szCs w:val="22"/>
              </w:rPr>
              <w:t>Gorge</w:t>
            </w:r>
          </w:p>
        </w:tc>
        <w:tc>
          <w:tcPr>
            <w:tcW w:w="472" w:type="pct"/>
            <w:vAlign w:val="bottom"/>
          </w:tcPr>
          <w:p w14:paraId="750FAA18"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hAnsi="Calibri"/>
                <w:szCs w:val="22"/>
              </w:rPr>
              <w:t>5</w:t>
            </w:r>
          </w:p>
        </w:tc>
        <w:tc>
          <w:tcPr>
            <w:tcW w:w="1101" w:type="pct"/>
            <w:vAlign w:val="bottom"/>
          </w:tcPr>
          <w:p w14:paraId="74FD4DE1"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hAnsi="Calibri"/>
                <w:szCs w:val="22"/>
              </w:rPr>
              <w:t>Qualco</w:t>
            </w:r>
          </w:p>
        </w:tc>
        <w:tc>
          <w:tcPr>
            <w:tcW w:w="787" w:type="pct"/>
          </w:tcPr>
          <w:p w14:paraId="34A1B7FC"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eastAsiaTheme="minorHAnsi" w:hAnsi="Calibri" w:cs="Calibri"/>
                <w:kern w:val="0"/>
                <w:szCs w:val="22"/>
              </w:rPr>
              <w:t>LK2DS_336km</w:t>
            </w:r>
          </w:p>
        </w:tc>
        <w:tc>
          <w:tcPr>
            <w:tcW w:w="616" w:type="pct"/>
          </w:tcPr>
          <w:p w14:paraId="3B1C1324" w14:textId="77777777" w:rsidR="00C47B2A" w:rsidRDefault="00C47B2A" w:rsidP="00992869">
            <w:pPr>
              <w:autoSpaceDE w:val="0"/>
              <w:autoSpaceDN w:val="0"/>
              <w:adjustRightInd w:val="0"/>
              <w:spacing w:after="0" w:line="360" w:lineRule="auto"/>
              <w:jc w:val="right"/>
              <w:rPr>
                <w:rFonts w:ascii="Calibri" w:eastAsiaTheme="minorHAnsi" w:hAnsi="Calibri" w:cs="Calibri"/>
                <w:kern w:val="0"/>
                <w:szCs w:val="22"/>
              </w:rPr>
            </w:pPr>
            <w:r>
              <w:rPr>
                <w:rFonts w:ascii="Calibri" w:eastAsiaTheme="minorHAnsi" w:hAnsi="Calibri" w:cs="Calibri"/>
                <w:kern w:val="0"/>
                <w:szCs w:val="22"/>
              </w:rPr>
              <w:t>-34.1019</w:t>
            </w:r>
          </w:p>
        </w:tc>
        <w:tc>
          <w:tcPr>
            <w:tcW w:w="689" w:type="pct"/>
          </w:tcPr>
          <w:p w14:paraId="3F1728B1" w14:textId="77777777" w:rsidR="00C47B2A" w:rsidRDefault="00C47B2A" w:rsidP="00992869">
            <w:pPr>
              <w:autoSpaceDE w:val="0"/>
              <w:autoSpaceDN w:val="0"/>
              <w:adjustRightInd w:val="0"/>
              <w:spacing w:after="0" w:line="360" w:lineRule="auto"/>
              <w:jc w:val="right"/>
              <w:rPr>
                <w:rFonts w:ascii="Calibri" w:eastAsiaTheme="minorHAnsi" w:hAnsi="Calibri" w:cs="Calibri"/>
                <w:kern w:val="0"/>
                <w:szCs w:val="22"/>
              </w:rPr>
            </w:pPr>
            <w:r>
              <w:rPr>
                <w:rFonts w:ascii="Calibri" w:eastAsiaTheme="minorHAnsi" w:hAnsi="Calibri" w:cs="Calibri"/>
                <w:kern w:val="0"/>
                <w:szCs w:val="22"/>
              </w:rPr>
              <w:t>139.87569</w:t>
            </w:r>
          </w:p>
        </w:tc>
      </w:tr>
      <w:tr w:rsidR="00C47B2A" w14:paraId="44394E31" w14:textId="77777777" w:rsidTr="00230157">
        <w:trPr>
          <w:trHeight w:val="290"/>
        </w:trPr>
        <w:tc>
          <w:tcPr>
            <w:tcW w:w="863" w:type="pct"/>
          </w:tcPr>
          <w:p w14:paraId="47821F57"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eastAsiaTheme="minorHAnsi" w:hAnsi="Calibri" w:cs="Calibri"/>
                <w:kern w:val="0"/>
                <w:szCs w:val="22"/>
              </w:rPr>
              <w:t>Lower Murray</w:t>
            </w:r>
          </w:p>
        </w:tc>
        <w:tc>
          <w:tcPr>
            <w:tcW w:w="472" w:type="pct"/>
          </w:tcPr>
          <w:p w14:paraId="65F928D7"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eastAsiaTheme="minorHAnsi" w:hAnsi="Calibri" w:cs="Calibri"/>
                <w:kern w:val="0"/>
                <w:szCs w:val="22"/>
              </w:rPr>
              <w:t>Gorge</w:t>
            </w:r>
          </w:p>
        </w:tc>
        <w:tc>
          <w:tcPr>
            <w:tcW w:w="472" w:type="pct"/>
            <w:vAlign w:val="bottom"/>
          </w:tcPr>
          <w:p w14:paraId="22A0B0F3"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hAnsi="Calibri"/>
                <w:szCs w:val="22"/>
              </w:rPr>
              <w:t>6</w:t>
            </w:r>
          </w:p>
        </w:tc>
        <w:tc>
          <w:tcPr>
            <w:tcW w:w="1101" w:type="pct"/>
            <w:vAlign w:val="bottom"/>
          </w:tcPr>
          <w:p w14:paraId="09B122E3"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hAnsi="Calibri"/>
                <w:szCs w:val="22"/>
              </w:rPr>
              <w:t xml:space="preserve">Waikerie </w:t>
            </w:r>
          </w:p>
        </w:tc>
        <w:tc>
          <w:tcPr>
            <w:tcW w:w="787" w:type="pct"/>
          </w:tcPr>
          <w:p w14:paraId="6B941250"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eastAsiaTheme="minorHAnsi" w:hAnsi="Calibri" w:cs="Calibri"/>
                <w:kern w:val="0"/>
                <w:szCs w:val="22"/>
              </w:rPr>
              <w:t>LK3DS_376km</w:t>
            </w:r>
          </w:p>
        </w:tc>
        <w:tc>
          <w:tcPr>
            <w:tcW w:w="616" w:type="pct"/>
          </w:tcPr>
          <w:p w14:paraId="2A8F7B94" w14:textId="77777777" w:rsidR="00C47B2A" w:rsidRDefault="00C47B2A" w:rsidP="00992869">
            <w:pPr>
              <w:autoSpaceDE w:val="0"/>
              <w:autoSpaceDN w:val="0"/>
              <w:adjustRightInd w:val="0"/>
              <w:spacing w:after="0" w:line="360" w:lineRule="auto"/>
              <w:jc w:val="right"/>
              <w:rPr>
                <w:rFonts w:ascii="Calibri" w:eastAsiaTheme="minorHAnsi" w:hAnsi="Calibri" w:cs="Calibri"/>
                <w:kern w:val="0"/>
                <w:szCs w:val="22"/>
              </w:rPr>
            </w:pPr>
            <w:r>
              <w:rPr>
                <w:rFonts w:ascii="Calibri" w:eastAsiaTheme="minorHAnsi" w:hAnsi="Calibri" w:cs="Calibri"/>
                <w:kern w:val="0"/>
                <w:szCs w:val="22"/>
              </w:rPr>
              <w:t>-34.1582</w:t>
            </w:r>
          </w:p>
        </w:tc>
        <w:tc>
          <w:tcPr>
            <w:tcW w:w="689" w:type="pct"/>
          </w:tcPr>
          <w:p w14:paraId="5D84A1A0" w14:textId="77777777" w:rsidR="00C47B2A" w:rsidRDefault="00C47B2A" w:rsidP="00992869">
            <w:pPr>
              <w:autoSpaceDE w:val="0"/>
              <w:autoSpaceDN w:val="0"/>
              <w:adjustRightInd w:val="0"/>
              <w:spacing w:after="0" w:line="360" w:lineRule="auto"/>
              <w:jc w:val="right"/>
              <w:rPr>
                <w:rFonts w:ascii="Calibri" w:eastAsiaTheme="minorHAnsi" w:hAnsi="Calibri" w:cs="Calibri"/>
                <w:kern w:val="0"/>
                <w:szCs w:val="22"/>
              </w:rPr>
            </w:pPr>
            <w:r>
              <w:rPr>
                <w:rFonts w:ascii="Calibri" w:eastAsiaTheme="minorHAnsi" w:hAnsi="Calibri" w:cs="Calibri"/>
                <w:kern w:val="0"/>
                <w:szCs w:val="22"/>
              </w:rPr>
              <w:t>139.9241</w:t>
            </w:r>
          </w:p>
        </w:tc>
      </w:tr>
      <w:tr w:rsidR="00C47B2A" w14:paraId="305D0F7F" w14:textId="77777777" w:rsidTr="00230157">
        <w:trPr>
          <w:trHeight w:val="290"/>
        </w:trPr>
        <w:tc>
          <w:tcPr>
            <w:tcW w:w="863" w:type="pct"/>
          </w:tcPr>
          <w:p w14:paraId="65798A2F"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eastAsiaTheme="minorHAnsi" w:hAnsi="Calibri" w:cs="Calibri"/>
                <w:kern w:val="0"/>
                <w:szCs w:val="22"/>
              </w:rPr>
              <w:t>Lower Murray</w:t>
            </w:r>
          </w:p>
        </w:tc>
        <w:tc>
          <w:tcPr>
            <w:tcW w:w="472" w:type="pct"/>
          </w:tcPr>
          <w:p w14:paraId="02B72BDB"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eastAsiaTheme="minorHAnsi" w:hAnsi="Calibri" w:cs="Calibri"/>
                <w:kern w:val="0"/>
                <w:szCs w:val="22"/>
              </w:rPr>
              <w:t>Gorge</w:t>
            </w:r>
          </w:p>
        </w:tc>
        <w:tc>
          <w:tcPr>
            <w:tcW w:w="472" w:type="pct"/>
            <w:vAlign w:val="bottom"/>
          </w:tcPr>
          <w:p w14:paraId="481A30EC"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hAnsi="Calibri"/>
                <w:szCs w:val="22"/>
              </w:rPr>
              <w:t>7</w:t>
            </w:r>
          </w:p>
        </w:tc>
        <w:tc>
          <w:tcPr>
            <w:tcW w:w="1101" w:type="pct"/>
            <w:vAlign w:val="bottom"/>
          </w:tcPr>
          <w:p w14:paraId="2FD3A8B3"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hAnsi="Calibri"/>
                <w:szCs w:val="22"/>
              </w:rPr>
              <w:t>Lowbank DS</w:t>
            </w:r>
          </w:p>
        </w:tc>
        <w:tc>
          <w:tcPr>
            <w:tcW w:w="787" w:type="pct"/>
          </w:tcPr>
          <w:p w14:paraId="65FBB923"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eastAsiaTheme="minorHAnsi" w:hAnsi="Calibri" w:cs="Calibri"/>
                <w:kern w:val="0"/>
                <w:szCs w:val="22"/>
              </w:rPr>
              <w:t>LK3DS_392km</w:t>
            </w:r>
          </w:p>
        </w:tc>
        <w:tc>
          <w:tcPr>
            <w:tcW w:w="616" w:type="pct"/>
          </w:tcPr>
          <w:p w14:paraId="04FA52F4" w14:textId="77777777" w:rsidR="00C47B2A" w:rsidRDefault="00C47B2A" w:rsidP="00992869">
            <w:pPr>
              <w:autoSpaceDE w:val="0"/>
              <w:autoSpaceDN w:val="0"/>
              <w:adjustRightInd w:val="0"/>
              <w:spacing w:after="0" w:line="360" w:lineRule="auto"/>
              <w:jc w:val="right"/>
              <w:rPr>
                <w:rFonts w:ascii="Calibri" w:eastAsiaTheme="minorHAnsi" w:hAnsi="Calibri" w:cs="Calibri"/>
                <w:kern w:val="0"/>
                <w:szCs w:val="22"/>
              </w:rPr>
            </w:pPr>
            <w:r>
              <w:rPr>
                <w:rFonts w:ascii="Calibri" w:eastAsiaTheme="minorHAnsi" w:hAnsi="Calibri" w:cs="Calibri"/>
                <w:kern w:val="0"/>
                <w:szCs w:val="22"/>
              </w:rPr>
              <w:t>-34.1645</w:t>
            </w:r>
          </w:p>
        </w:tc>
        <w:tc>
          <w:tcPr>
            <w:tcW w:w="689" w:type="pct"/>
          </w:tcPr>
          <w:p w14:paraId="124D08F3" w14:textId="77777777" w:rsidR="00C47B2A" w:rsidRDefault="00C47B2A" w:rsidP="00992869">
            <w:pPr>
              <w:autoSpaceDE w:val="0"/>
              <w:autoSpaceDN w:val="0"/>
              <w:adjustRightInd w:val="0"/>
              <w:spacing w:after="0" w:line="360" w:lineRule="auto"/>
              <w:jc w:val="right"/>
              <w:rPr>
                <w:rFonts w:ascii="Calibri" w:eastAsiaTheme="minorHAnsi" w:hAnsi="Calibri" w:cs="Calibri"/>
                <w:kern w:val="0"/>
                <w:szCs w:val="22"/>
              </w:rPr>
            </w:pPr>
            <w:r>
              <w:rPr>
                <w:rFonts w:ascii="Calibri" w:eastAsiaTheme="minorHAnsi" w:hAnsi="Calibri" w:cs="Calibri"/>
                <w:kern w:val="0"/>
                <w:szCs w:val="22"/>
              </w:rPr>
              <w:t>140.03712</w:t>
            </w:r>
          </w:p>
        </w:tc>
      </w:tr>
      <w:tr w:rsidR="00C47B2A" w14:paraId="62AACFD5" w14:textId="77777777" w:rsidTr="00230157">
        <w:trPr>
          <w:trHeight w:val="290"/>
        </w:trPr>
        <w:tc>
          <w:tcPr>
            <w:tcW w:w="863" w:type="pct"/>
          </w:tcPr>
          <w:p w14:paraId="7D283DF8"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eastAsiaTheme="minorHAnsi" w:hAnsi="Calibri" w:cs="Calibri"/>
                <w:kern w:val="0"/>
                <w:szCs w:val="22"/>
              </w:rPr>
              <w:t>Lower Murray</w:t>
            </w:r>
          </w:p>
        </w:tc>
        <w:tc>
          <w:tcPr>
            <w:tcW w:w="472" w:type="pct"/>
          </w:tcPr>
          <w:p w14:paraId="0BDE5433"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eastAsiaTheme="minorHAnsi" w:hAnsi="Calibri" w:cs="Calibri"/>
                <w:kern w:val="0"/>
                <w:szCs w:val="22"/>
              </w:rPr>
              <w:t>Gorge</w:t>
            </w:r>
          </w:p>
        </w:tc>
        <w:tc>
          <w:tcPr>
            <w:tcW w:w="472" w:type="pct"/>
            <w:vAlign w:val="bottom"/>
          </w:tcPr>
          <w:p w14:paraId="6B50DACD"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hAnsi="Calibri"/>
                <w:szCs w:val="22"/>
              </w:rPr>
              <w:t>8</w:t>
            </w:r>
          </w:p>
        </w:tc>
        <w:tc>
          <w:tcPr>
            <w:tcW w:w="1101" w:type="pct"/>
            <w:vAlign w:val="bottom"/>
          </w:tcPr>
          <w:p w14:paraId="17E6E61B"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hAnsi="Calibri"/>
                <w:szCs w:val="22"/>
              </w:rPr>
              <w:t>Lowbank US</w:t>
            </w:r>
          </w:p>
        </w:tc>
        <w:tc>
          <w:tcPr>
            <w:tcW w:w="787" w:type="pct"/>
          </w:tcPr>
          <w:p w14:paraId="10166890"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eastAsiaTheme="minorHAnsi" w:hAnsi="Calibri" w:cs="Calibri"/>
                <w:kern w:val="0"/>
                <w:szCs w:val="22"/>
              </w:rPr>
              <w:t>LK3DS_400km</w:t>
            </w:r>
          </w:p>
        </w:tc>
        <w:tc>
          <w:tcPr>
            <w:tcW w:w="616" w:type="pct"/>
          </w:tcPr>
          <w:p w14:paraId="46B60C1E" w14:textId="77777777" w:rsidR="00C47B2A" w:rsidRDefault="00C47B2A" w:rsidP="00992869">
            <w:pPr>
              <w:autoSpaceDE w:val="0"/>
              <w:autoSpaceDN w:val="0"/>
              <w:adjustRightInd w:val="0"/>
              <w:spacing w:after="0" w:line="360" w:lineRule="auto"/>
              <w:jc w:val="right"/>
              <w:rPr>
                <w:rFonts w:ascii="Calibri" w:eastAsiaTheme="minorHAnsi" w:hAnsi="Calibri" w:cs="Calibri"/>
                <w:kern w:val="0"/>
                <w:szCs w:val="22"/>
              </w:rPr>
            </w:pPr>
            <w:r>
              <w:rPr>
                <w:rFonts w:ascii="Calibri" w:eastAsiaTheme="minorHAnsi" w:hAnsi="Calibri" w:cs="Calibri"/>
                <w:kern w:val="0"/>
                <w:szCs w:val="22"/>
              </w:rPr>
              <w:t>-34.1825</w:t>
            </w:r>
          </w:p>
        </w:tc>
        <w:tc>
          <w:tcPr>
            <w:tcW w:w="689" w:type="pct"/>
          </w:tcPr>
          <w:p w14:paraId="50FBB064" w14:textId="77777777" w:rsidR="00C47B2A" w:rsidRDefault="00C47B2A" w:rsidP="00992869">
            <w:pPr>
              <w:autoSpaceDE w:val="0"/>
              <w:autoSpaceDN w:val="0"/>
              <w:adjustRightInd w:val="0"/>
              <w:spacing w:after="0" w:line="360" w:lineRule="auto"/>
              <w:jc w:val="right"/>
              <w:rPr>
                <w:rFonts w:ascii="Calibri" w:eastAsiaTheme="minorHAnsi" w:hAnsi="Calibri" w:cs="Calibri"/>
                <w:kern w:val="0"/>
                <w:szCs w:val="22"/>
              </w:rPr>
            </w:pPr>
            <w:r>
              <w:rPr>
                <w:rFonts w:ascii="Calibri" w:eastAsiaTheme="minorHAnsi" w:hAnsi="Calibri" w:cs="Calibri"/>
                <w:kern w:val="0"/>
                <w:szCs w:val="22"/>
              </w:rPr>
              <w:t>140.11108</w:t>
            </w:r>
          </w:p>
        </w:tc>
      </w:tr>
      <w:tr w:rsidR="00C47B2A" w14:paraId="73687962" w14:textId="77777777" w:rsidTr="00230157">
        <w:trPr>
          <w:trHeight w:val="290"/>
        </w:trPr>
        <w:tc>
          <w:tcPr>
            <w:tcW w:w="863" w:type="pct"/>
          </w:tcPr>
          <w:p w14:paraId="4DF4009C"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eastAsiaTheme="minorHAnsi" w:hAnsi="Calibri" w:cs="Calibri"/>
                <w:kern w:val="0"/>
                <w:szCs w:val="22"/>
              </w:rPr>
              <w:t>Lower Murray</w:t>
            </w:r>
          </w:p>
        </w:tc>
        <w:tc>
          <w:tcPr>
            <w:tcW w:w="472" w:type="pct"/>
          </w:tcPr>
          <w:p w14:paraId="24C83F88"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eastAsiaTheme="minorHAnsi" w:hAnsi="Calibri" w:cs="Calibri"/>
                <w:kern w:val="0"/>
                <w:szCs w:val="22"/>
              </w:rPr>
              <w:t>Gorge</w:t>
            </w:r>
          </w:p>
        </w:tc>
        <w:tc>
          <w:tcPr>
            <w:tcW w:w="472" w:type="pct"/>
            <w:vAlign w:val="bottom"/>
          </w:tcPr>
          <w:p w14:paraId="313A1C99"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hAnsi="Calibri"/>
                <w:szCs w:val="22"/>
              </w:rPr>
              <w:t>9</w:t>
            </w:r>
          </w:p>
        </w:tc>
        <w:tc>
          <w:tcPr>
            <w:tcW w:w="1101" w:type="pct"/>
            <w:vAlign w:val="bottom"/>
          </w:tcPr>
          <w:p w14:paraId="1D67EB68"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hAnsi="Calibri"/>
                <w:szCs w:val="22"/>
              </w:rPr>
              <w:t>Overland Corner DS</w:t>
            </w:r>
          </w:p>
        </w:tc>
        <w:tc>
          <w:tcPr>
            <w:tcW w:w="787" w:type="pct"/>
          </w:tcPr>
          <w:p w14:paraId="36BEB5BF"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eastAsiaTheme="minorHAnsi" w:hAnsi="Calibri" w:cs="Calibri"/>
                <w:kern w:val="0"/>
                <w:szCs w:val="22"/>
              </w:rPr>
              <w:t>LK3DS_419km</w:t>
            </w:r>
          </w:p>
        </w:tc>
        <w:tc>
          <w:tcPr>
            <w:tcW w:w="616" w:type="pct"/>
          </w:tcPr>
          <w:p w14:paraId="4D4F265F" w14:textId="77777777" w:rsidR="00C47B2A" w:rsidRDefault="00C47B2A" w:rsidP="00992869">
            <w:pPr>
              <w:autoSpaceDE w:val="0"/>
              <w:autoSpaceDN w:val="0"/>
              <w:adjustRightInd w:val="0"/>
              <w:spacing w:after="0" w:line="360" w:lineRule="auto"/>
              <w:jc w:val="right"/>
              <w:rPr>
                <w:rFonts w:ascii="Calibri" w:eastAsiaTheme="minorHAnsi" w:hAnsi="Calibri" w:cs="Calibri"/>
                <w:kern w:val="0"/>
                <w:szCs w:val="22"/>
              </w:rPr>
            </w:pPr>
            <w:r>
              <w:rPr>
                <w:rFonts w:ascii="Calibri" w:eastAsiaTheme="minorHAnsi" w:hAnsi="Calibri" w:cs="Calibri"/>
                <w:kern w:val="0"/>
                <w:szCs w:val="22"/>
              </w:rPr>
              <w:t>-34.1801</w:t>
            </w:r>
          </w:p>
        </w:tc>
        <w:tc>
          <w:tcPr>
            <w:tcW w:w="689" w:type="pct"/>
          </w:tcPr>
          <w:p w14:paraId="707FD703" w14:textId="77777777" w:rsidR="00C47B2A" w:rsidRDefault="00C47B2A" w:rsidP="00992869">
            <w:pPr>
              <w:autoSpaceDE w:val="0"/>
              <w:autoSpaceDN w:val="0"/>
              <w:adjustRightInd w:val="0"/>
              <w:spacing w:after="0" w:line="360" w:lineRule="auto"/>
              <w:jc w:val="right"/>
              <w:rPr>
                <w:rFonts w:ascii="Calibri" w:eastAsiaTheme="minorHAnsi" w:hAnsi="Calibri" w:cs="Calibri"/>
                <w:kern w:val="0"/>
                <w:szCs w:val="22"/>
              </w:rPr>
            </w:pPr>
            <w:r>
              <w:rPr>
                <w:rFonts w:ascii="Calibri" w:eastAsiaTheme="minorHAnsi" w:hAnsi="Calibri" w:cs="Calibri"/>
                <w:kern w:val="0"/>
                <w:szCs w:val="22"/>
              </w:rPr>
              <w:t>140.27827</w:t>
            </w:r>
          </w:p>
        </w:tc>
      </w:tr>
      <w:tr w:rsidR="00C47B2A" w14:paraId="3911286E" w14:textId="77777777" w:rsidTr="00230157">
        <w:trPr>
          <w:trHeight w:val="290"/>
        </w:trPr>
        <w:tc>
          <w:tcPr>
            <w:tcW w:w="863" w:type="pct"/>
          </w:tcPr>
          <w:p w14:paraId="0A05A901"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eastAsiaTheme="minorHAnsi" w:hAnsi="Calibri" w:cs="Calibri"/>
                <w:kern w:val="0"/>
                <w:szCs w:val="22"/>
              </w:rPr>
              <w:t>Lower Murray</w:t>
            </w:r>
          </w:p>
        </w:tc>
        <w:tc>
          <w:tcPr>
            <w:tcW w:w="472" w:type="pct"/>
          </w:tcPr>
          <w:p w14:paraId="16313D58"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eastAsiaTheme="minorHAnsi" w:hAnsi="Calibri" w:cs="Calibri"/>
                <w:kern w:val="0"/>
                <w:szCs w:val="22"/>
              </w:rPr>
              <w:t>Gorge</w:t>
            </w:r>
          </w:p>
        </w:tc>
        <w:tc>
          <w:tcPr>
            <w:tcW w:w="472" w:type="pct"/>
            <w:vAlign w:val="bottom"/>
          </w:tcPr>
          <w:p w14:paraId="7A0B125C"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hAnsi="Calibri"/>
                <w:szCs w:val="22"/>
              </w:rPr>
              <w:t>10</w:t>
            </w:r>
          </w:p>
        </w:tc>
        <w:tc>
          <w:tcPr>
            <w:tcW w:w="1101" w:type="pct"/>
            <w:vAlign w:val="bottom"/>
          </w:tcPr>
          <w:p w14:paraId="15CC58DF"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hAnsi="Calibri"/>
                <w:szCs w:val="22"/>
              </w:rPr>
              <w:t>Overland Corner US</w:t>
            </w:r>
          </w:p>
        </w:tc>
        <w:tc>
          <w:tcPr>
            <w:tcW w:w="787" w:type="pct"/>
          </w:tcPr>
          <w:p w14:paraId="5B7A29D1" w14:textId="77777777" w:rsidR="00C47B2A" w:rsidRDefault="00C47B2A" w:rsidP="00992869">
            <w:pPr>
              <w:autoSpaceDE w:val="0"/>
              <w:autoSpaceDN w:val="0"/>
              <w:adjustRightInd w:val="0"/>
              <w:spacing w:after="0" w:line="360" w:lineRule="auto"/>
              <w:jc w:val="left"/>
              <w:rPr>
                <w:rFonts w:ascii="Calibri" w:eastAsiaTheme="minorHAnsi" w:hAnsi="Calibri" w:cs="Calibri"/>
                <w:kern w:val="0"/>
                <w:szCs w:val="22"/>
              </w:rPr>
            </w:pPr>
            <w:r>
              <w:rPr>
                <w:rFonts w:ascii="Calibri" w:eastAsiaTheme="minorHAnsi" w:hAnsi="Calibri" w:cs="Calibri"/>
                <w:kern w:val="0"/>
                <w:szCs w:val="22"/>
              </w:rPr>
              <w:t>LK3DS_426km</w:t>
            </w:r>
          </w:p>
        </w:tc>
        <w:tc>
          <w:tcPr>
            <w:tcW w:w="616" w:type="pct"/>
          </w:tcPr>
          <w:p w14:paraId="78A329B6" w14:textId="77777777" w:rsidR="00C47B2A" w:rsidRDefault="00C47B2A" w:rsidP="00992869">
            <w:pPr>
              <w:autoSpaceDE w:val="0"/>
              <w:autoSpaceDN w:val="0"/>
              <w:adjustRightInd w:val="0"/>
              <w:spacing w:after="0" w:line="360" w:lineRule="auto"/>
              <w:jc w:val="right"/>
              <w:rPr>
                <w:rFonts w:ascii="Calibri" w:eastAsiaTheme="minorHAnsi" w:hAnsi="Calibri" w:cs="Calibri"/>
                <w:kern w:val="0"/>
                <w:szCs w:val="22"/>
              </w:rPr>
            </w:pPr>
            <w:r>
              <w:rPr>
                <w:rFonts w:ascii="Calibri" w:eastAsiaTheme="minorHAnsi" w:hAnsi="Calibri" w:cs="Calibri"/>
                <w:kern w:val="0"/>
                <w:szCs w:val="22"/>
              </w:rPr>
              <w:t>-34.1594</w:t>
            </w:r>
          </w:p>
        </w:tc>
        <w:tc>
          <w:tcPr>
            <w:tcW w:w="689" w:type="pct"/>
          </w:tcPr>
          <w:p w14:paraId="268435D0" w14:textId="77777777" w:rsidR="00C47B2A" w:rsidRDefault="00C47B2A" w:rsidP="00992869">
            <w:pPr>
              <w:autoSpaceDE w:val="0"/>
              <w:autoSpaceDN w:val="0"/>
              <w:adjustRightInd w:val="0"/>
              <w:spacing w:after="0" w:line="360" w:lineRule="auto"/>
              <w:jc w:val="right"/>
              <w:rPr>
                <w:rFonts w:ascii="Calibri" w:eastAsiaTheme="minorHAnsi" w:hAnsi="Calibri" w:cs="Calibri"/>
                <w:kern w:val="0"/>
                <w:szCs w:val="22"/>
              </w:rPr>
            </w:pPr>
            <w:r>
              <w:rPr>
                <w:rFonts w:ascii="Calibri" w:eastAsiaTheme="minorHAnsi" w:hAnsi="Calibri" w:cs="Calibri"/>
                <w:kern w:val="0"/>
                <w:szCs w:val="22"/>
              </w:rPr>
              <w:t>140.33556</w:t>
            </w:r>
          </w:p>
        </w:tc>
      </w:tr>
    </w:tbl>
    <w:p w14:paraId="6248E2D2" w14:textId="77777777" w:rsidR="00C47B2A" w:rsidRDefault="00C47B2A" w:rsidP="00C47B2A"/>
    <w:p w14:paraId="21326A7B" w14:textId="77777777" w:rsidR="00C47B2A" w:rsidRPr="00110B3D" w:rsidRDefault="00C47B2A" w:rsidP="00C47B2A">
      <w:pPr>
        <w:pStyle w:val="Heading4"/>
        <w:rPr>
          <w:b w:val="0"/>
        </w:rPr>
      </w:pPr>
      <w:r w:rsidRPr="00110B3D">
        <w:t>Sample placement within sites</w:t>
      </w:r>
    </w:p>
    <w:p w14:paraId="1ECD5AAC" w14:textId="1FC61131" w:rsidR="00C47B2A" w:rsidRDefault="00C47B2A" w:rsidP="00C47B2A">
      <w:r>
        <w:t xml:space="preserve">A sampling grid was established within each site to ensure individual samples can be randomly sampled from that site, and are therefore representative of that site as a whole (Hale </w:t>
      </w:r>
      <w:r w:rsidRPr="00992869">
        <w:rPr>
          <w:i/>
        </w:rPr>
        <w:t>et al.</w:t>
      </w:r>
      <w:r>
        <w:t xml:space="preserve"> 2014)</w:t>
      </w:r>
      <w:r w:rsidRPr="00040F5F">
        <w:t xml:space="preserve">. </w:t>
      </w:r>
      <w:r>
        <w:t>Each 800m site was subdivided by fixed transects spaced 50 m apart. Points of intersection between the transects and the rive</w:t>
      </w:r>
      <w:r w:rsidR="00D86D18">
        <w:t>r bank define the sampling grid (</w:t>
      </w:r>
      <w:r w:rsidR="00D86D18">
        <w:fldChar w:fldCharType="begin"/>
      </w:r>
      <w:r w:rsidR="00D86D18">
        <w:instrText xml:space="preserve"> REF _Ref397515721 \h </w:instrText>
      </w:r>
      <w:r w:rsidR="00D86D18">
        <w:fldChar w:fldCharType="separate"/>
      </w:r>
      <w:r w:rsidR="00DF49CD">
        <w:t>Figure B.</w:t>
      </w:r>
      <w:r w:rsidR="00DF49CD">
        <w:rPr>
          <w:noProof/>
        </w:rPr>
        <w:t>4</w:t>
      </w:r>
      <w:r w:rsidR="00D86D18">
        <w:fldChar w:fldCharType="end"/>
      </w:r>
      <w:r w:rsidR="00D86D18">
        <w:t>).</w:t>
      </w:r>
    </w:p>
    <w:p w14:paraId="471C4B5B" w14:textId="598DF74F" w:rsidR="00C47B2A" w:rsidRDefault="00C47B2A" w:rsidP="00C47B2A">
      <w:r>
        <w:t xml:space="preserve">The sample design specified in </w:t>
      </w:r>
      <w:r>
        <w:fldChar w:fldCharType="begin"/>
      </w:r>
      <w:r>
        <w:instrText xml:space="preserve"> REF _Ref397515721 \h </w:instrText>
      </w:r>
      <w:r>
        <w:fldChar w:fldCharType="separate"/>
      </w:r>
      <w:r w:rsidR="00DF49CD">
        <w:t>Figure B.</w:t>
      </w:r>
      <w:r w:rsidR="00DF49CD">
        <w:rPr>
          <w:noProof/>
        </w:rPr>
        <w:t>4</w:t>
      </w:r>
      <w:r>
        <w:fldChar w:fldCharType="end"/>
      </w:r>
      <w:r>
        <w:t xml:space="preserve"> defines two key sampling locations: electrofishing (EF) units (16 in total), and passive-gear sample (PS) waypoints (34 in total). Use of these EF units and PS waypoints will be explained in Section </w:t>
      </w:r>
      <w:r>
        <w:fldChar w:fldCharType="begin"/>
      </w:r>
      <w:r>
        <w:instrText xml:space="preserve"> REF _Ref252788242 \r \h </w:instrText>
      </w:r>
      <w:r>
        <w:fldChar w:fldCharType="separate"/>
      </w:r>
      <w:r w:rsidR="00DF49CD">
        <w:t>3.7</w:t>
      </w:r>
      <w:r>
        <w:fldChar w:fldCharType="end"/>
      </w:r>
      <w:r>
        <w:t xml:space="preserve"> below. </w:t>
      </w:r>
    </w:p>
    <w:p w14:paraId="2383B7DB" w14:textId="77777777" w:rsidR="00C47B2A" w:rsidRDefault="00C47B2A" w:rsidP="00C47B2A"/>
    <w:p w14:paraId="65BB8C5D" w14:textId="77777777" w:rsidR="00C47B2A" w:rsidRDefault="00C47B2A" w:rsidP="00C47B2A">
      <w:pPr>
        <w:jc w:val="center"/>
      </w:pPr>
      <w:r w:rsidRPr="00F4778E">
        <w:rPr>
          <w:noProof/>
          <w:lang w:eastAsia="en-AU"/>
        </w:rPr>
        <w:lastRenderedPageBreak/>
        <w:drawing>
          <wp:inline distT="0" distB="0" distL="0" distR="0" wp14:anchorId="4C472CC8" wp14:editId="618DC73A">
            <wp:extent cx="5727700" cy="32857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727700" cy="3285700"/>
                    </a:xfrm>
                    <a:prstGeom prst="rect">
                      <a:avLst/>
                    </a:prstGeom>
                    <a:noFill/>
                    <a:ln>
                      <a:noFill/>
                    </a:ln>
                  </pic:spPr>
                </pic:pic>
              </a:graphicData>
            </a:graphic>
          </wp:inline>
        </w:drawing>
      </w:r>
    </w:p>
    <w:p w14:paraId="6704AC24" w14:textId="477AA7B2" w:rsidR="00C47B2A" w:rsidRDefault="00C47B2A" w:rsidP="00C47B2A">
      <w:pPr>
        <w:pStyle w:val="Caption"/>
      </w:pPr>
      <w:bookmarkStart w:id="995" w:name="_Ref397515721"/>
      <w:bookmarkStart w:id="996" w:name="_Toc252803504"/>
      <w:r>
        <w:t>Figure B.</w:t>
      </w:r>
      <w:r>
        <w:rPr>
          <w:noProof/>
        </w:rPr>
        <w:fldChar w:fldCharType="begin"/>
      </w:r>
      <w:r>
        <w:rPr>
          <w:noProof/>
        </w:rPr>
        <w:instrText xml:space="preserve"> SEQ Figure_B. \* ARABIC </w:instrText>
      </w:r>
      <w:r>
        <w:rPr>
          <w:noProof/>
        </w:rPr>
        <w:fldChar w:fldCharType="separate"/>
      </w:r>
      <w:r w:rsidR="00DF49CD">
        <w:rPr>
          <w:noProof/>
        </w:rPr>
        <w:t>4</w:t>
      </w:r>
      <w:r>
        <w:rPr>
          <w:noProof/>
        </w:rPr>
        <w:fldChar w:fldCharType="end"/>
      </w:r>
      <w:bookmarkEnd w:id="995"/>
      <w:r>
        <w:t xml:space="preserve">. Diagram of hierarchical sample design illustrating zones, sites and sample locations (taken from Hale </w:t>
      </w:r>
      <w:r w:rsidRPr="00CE5A38">
        <w:rPr>
          <w:i/>
        </w:rPr>
        <w:t>et al.</w:t>
      </w:r>
      <w:r>
        <w:t xml:space="preserve"> 2014).</w:t>
      </w:r>
      <w:bookmarkEnd w:id="996"/>
      <w:r>
        <w:t xml:space="preserve"> </w:t>
      </w:r>
    </w:p>
    <w:p w14:paraId="1C78B95E" w14:textId="77777777" w:rsidR="00C47B2A" w:rsidRPr="008A6EB3" w:rsidRDefault="00C47B2A" w:rsidP="00C47B2A">
      <w:pPr>
        <w:pStyle w:val="Heading2"/>
      </w:pPr>
      <w:bookmarkStart w:id="997" w:name="_Ref252788202"/>
      <w:bookmarkStart w:id="998" w:name="_Toc252789492"/>
      <w:bookmarkStart w:id="999" w:name="_Toc252803347"/>
      <w:bookmarkStart w:id="1000" w:name="_Toc396825292"/>
      <w:bookmarkStart w:id="1001" w:name="_Toc6403836"/>
      <w:bookmarkStart w:id="1002" w:name="_Toc10095221"/>
      <w:bookmarkStart w:id="1003" w:name="_Toc10192390"/>
      <w:bookmarkStart w:id="1004" w:name="_Toc10206705"/>
      <w:bookmarkStart w:id="1005" w:name="_Toc10213291"/>
      <w:bookmarkStart w:id="1006" w:name="_Toc10732315"/>
      <w:bookmarkStart w:id="1007" w:name="_Toc10796874"/>
      <w:bookmarkStart w:id="1008" w:name="_Toc12022759"/>
      <w:bookmarkStart w:id="1009" w:name="_Toc12630589"/>
      <w:bookmarkStart w:id="1010" w:name="_Toc16154449"/>
      <w:bookmarkStart w:id="1011" w:name="_Toc22196811"/>
      <w:r>
        <w:t>Representative species from life-history guilds</w: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5E6C176D" w14:textId="77777777" w:rsidR="00C47B2A" w:rsidRPr="00604A83" w:rsidRDefault="00C47B2A" w:rsidP="00C47B2A">
      <w:pPr>
        <w:pStyle w:val="Heading3"/>
      </w:pPr>
      <w:bookmarkStart w:id="1012" w:name="_Toc252789493"/>
      <w:bookmarkStart w:id="1013" w:name="_Toc6403837"/>
      <w:bookmarkStart w:id="1014" w:name="_Toc10095222"/>
      <w:bookmarkStart w:id="1015" w:name="_Toc10192391"/>
      <w:bookmarkStart w:id="1016" w:name="_Toc10206706"/>
      <w:bookmarkStart w:id="1017" w:name="_Toc10213292"/>
      <w:bookmarkStart w:id="1018" w:name="_Toc10732316"/>
      <w:bookmarkStart w:id="1019" w:name="_Toc10796875"/>
      <w:bookmarkStart w:id="1020" w:name="_Toc12022760"/>
      <w:bookmarkStart w:id="1021" w:name="_Toc12630590"/>
      <w:bookmarkStart w:id="1022" w:name="_Toc16154450"/>
      <w:bookmarkStart w:id="1023" w:name="_Toc22196812"/>
      <w:r w:rsidRPr="00604A83">
        <w:t>Overview</w:t>
      </w:r>
      <w:bookmarkEnd w:id="1012"/>
      <w:bookmarkEnd w:id="1013"/>
      <w:bookmarkEnd w:id="1014"/>
      <w:bookmarkEnd w:id="1015"/>
      <w:bookmarkEnd w:id="1016"/>
      <w:bookmarkEnd w:id="1017"/>
      <w:bookmarkEnd w:id="1018"/>
      <w:bookmarkEnd w:id="1019"/>
      <w:bookmarkEnd w:id="1020"/>
      <w:bookmarkEnd w:id="1021"/>
      <w:bookmarkEnd w:id="1022"/>
      <w:bookmarkEnd w:id="1023"/>
    </w:p>
    <w:p w14:paraId="73CB86FD" w14:textId="4C6D7911" w:rsidR="00C47B2A" w:rsidRPr="00656893" w:rsidRDefault="00C47B2A" w:rsidP="00C47B2A">
      <w:pPr>
        <w:rPr>
          <w:b/>
        </w:rPr>
      </w:pPr>
      <w:r>
        <w:t>Fishes belonging to different life history guilds may respond in different ways to managed and natural flows. Towards a more complete knowledge of fish population response to flows, monitoring will target representatives of the three primary life history guilds: equilibrium, periodic and opportunistic. CEWO/</w:t>
      </w:r>
      <w:r w:rsidR="00D86D18">
        <w:t>Basin-scale Provider</w:t>
      </w:r>
      <w:r>
        <w:t xml:space="preserve"> </w:t>
      </w:r>
      <w:r w:rsidRPr="001D780A">
        <w:t>request additional data collected from these target species.</w:t>
      </w:r>
    </w:p>
    <w:p w14:paraId="6206824E" w14:textId="77777777" w:rsidR="00C47B2A" w:rsidRPr="009B72C4" w:rsidRDefault="00C47B2A" w:rsidP="00C47B2A">
      <w:pPr>
        <w:pStyle w:val="Heading3"/>
      </w:pPr>
      <w:bookmarkStart w:id="1024" w:name="_Toc252789494"/>
      <w:bookmarkStart w:id="1025" w:name="_Toc6403838"/>
      <w:bookmarkStart w:id="1026" w:name="_Toc10095223"/>
      <w:bookmarkStart w:id="1027" w:name="_Toc10192392"/>
      <w:bookmarkStart w:id="1028" w:name="_Toc10206707"/>
      <w:bookmarkStart w:id="1029" w:name="_Toc10213293"/>
      <w:bookmarkStart w:id="1030" w:name="_Toc10732317"/>
      <w:bookmarkStart w:id="1031" w:name="_Toc10796876"/>
      <w:bookmarkStart w:id="1032" w:name="_Toc12022761"/>
      <w:bookmarkStart w:id="1033" w:name="_Toc12630591"/>
      <w:bookmarkStart w:id="1034" w:name="_Toc16154451"/>
      <w:bookmarkStart w:id="1035" w:name="_Toc22196813"/>
      <w:r>
        <w:t>Protocol</w:t>
      </w:r>
      <w:bookmarkEnd w:id="1024"/>
      <w:bookmarkEnd w:id="1025"/>
      <w:bookmarkEnd w:id="1026"/>
      <w:bookmarkEnd w:id="1027"/>
      <w:bookmarkEnd w:id="1028"/>
      <w:bookmarkEnd w:id="1029"/>
      <w:bookmarkEnd w:id="1030"/>
      <w:bookmarkEnd w:id="1031"/>
      <w:bookmarkEnd w:id="1032"/>
      <w:bookmarkEnd w:id="1033"/>
      <w:bookmarkEnd w:id="1034"/>
      <w:bookmarkEnd w:id="1035"/>
    </w:p>
    <w:p w14:paraId="2EC1E7D8" w14:textId="37DE2FFD" w:rsidR="00C47B2A" w:rsidRDefault="00C47B2A" w:rsidP="00C47B2A">
      <w:r>
        <w:t xml:space="preserve">Within each </w:t>
      </w:r>
      <w:r>
        <w:rPr>
          <w:szCs w:val="22"/>
        </w:rPr>
        <w:t>Selected Area</w:t>
      </w:r>
      <w:r>
        <w:t xml:space="preserve"> CEWO/Adviser request providers identified target </w:t>
      </w:r>
      <w:r w:rsidRPr="00BA1532">
        <w:t>species</w:t>
      </w:r>
      <w:r>
        <w:t xml:space="preserve">. Within each guild, some species were fixed, and common to all </w:t>
      </w:r>
      <w:r>
        <w:rPr>
          <w:szCs w:val="22"/>
        </w:rPr>
        <w:t>Selected Areas</w:t>
      </w:r>
      <w:r>
        <w:t xml:space="preserve"> (as much as practicable), while the identity of the other species was flexible across </w:t>
      </w:r>
      <w:r>
        <w:rPr>
          <w:szCs w:val="22"/>
        </w:rPr>
        <w:t>Selected Area</w:t>
      </w:r>
      <w:r>
        <w:t>s.</w:t>
      </w:r>
    </w:p>
    <w:p w14:paraId="5FE80675" w14:textId="61E3D4F4" w:rsidR="00C47B2A" w:rsidRDefault="00C47B2A" w:rsidP="00C47B2A">
      <w:r>
        <w:t xml:space="preserve">Across all </w:t>
      </w:r>
      <w:r>
        <w:rPr>
          <w:szCs w:val="22"/>
        </w:rPr>
        <w:t>Selected Area</w:t>
      </w:r>
      <w:r>
        <w:t xml:space="preserve">s the equilibrium life history species targeted for detailed data collection will be </w:t>
      </w:r>
      <w:r w:rsidRPr="00325E04">
        <w:t>Murray cod</w:t>
      </w:r>
      <w:r>
        <w:t xml:space="preserve">. The second equilibrium species in the </w:t>
      </w:r>
      <w:r w:rsidRPr="00C304CC">
        <w:t>Lower Murray</w:t>
      </w:r>
      <w:r>
        <w:t xml:space="preserve"> will be freshwater catfish.</w:t>
      </w:r>
    </w:p>
    <w:p w14:paraId="634CB129" w14:textId="442DDED7" w:rsidR="00C47B2A" w:rsidRDefault="00C47B2A" w:rsidP="00C47B2A">
      <w:r>
        <w:t xml:space="preserve">Across all </w:t>
      </w:r>
      <w:r>
        <w:rPr>
          <w:szCs w:val="22"/>
        </w:rPr>
        <w:t>Selected Areas</w:t>
      </w:r>
      <w:r>
        <w:t xml:space="preserve"> periodic life-history species targeted will continue to be </w:t>
      </w:r>
      <w:r w:rsidRPr="00325E04">
        <w:t>golden perch</w:t>
      </w:r>
      <w:r>
        <w:t xml:space="preserve"> and bony herring. The third and only other known periodic species </w:t>
      </w:r>
      <w:r w:rsidRPr="00460562">
        <w:t xml:space="preserve">in the </w:t>
      </w:r>
      <w:r w:rsidRPr="00C304CC">
        <w:t>Lower Murray</w:t>
      </w:r>
      <w:r w:rsidRPr="00460562">
        <w:t xml:space="preserve"> </w:t>
      </w:r>
      <w:r>
        <w:t>will continue to be silver perch.</w:t>
      </w:r>
    </w:p>
    <w:p w14:paraId="10355900" w14:textId="33FF3991" w:rsidR="00C47B2A" w:rsidRDefault="00C47B2A" w:rsidP="00C47B2A">
      <w:r>
        <w:t xml:space="preserve">Across all </w:t>
      </w:r>
      <w:r>
        <w:rPr>
          <w:szCs w:val="22"/>
        </w:rPr>
        <w:t>Selected Areas</w:t>
      </w:r>
      <w:r>
        <w:t xml:space="preserve"> the opportunistic life-history species targeted are </w:t>
      </w:r>
      <w:r w:rsidRPr="00325E04">
        <w:t>carp gudgeon</w:t>
      </w:r>
      <w:r>
        <w:t xml:space="preserve">, </w:t>
      </w:r>
      <w:r w:rsidRPr="00BA1532">
        <w:rPr>
          <w:i/>
        </w:rPr>
        <w:t>Hypseleotris</w:t>
      </w:r>
      <w:r>
        <w:t xml:space="preserve"> spp. The second opportunistic species </w:t>
      </w:r>
      <w:r w:rsidRPr="00460562">
        <w:t xml:space="preserve">in the </w:t>
      </w:r>
      <w:r w:rsidRPr="00C304CC">
        <w:t>Lower Murray</w:t>
      </w:r>
      <w:r w:rsidRPr="00460562">
        <w:t xml:space="preserve"> </w:t>
      </w:r>
      <w:r>
        <w:t>will be Murray rainbowfish.</w:t>
      </w:r>
      <w:r w:rsidRPr="00E46F41">
        <w:t xml:space="preserve"> </w:t>
      </w:r>
    </w:p>
    <w:p w14:paraId="548A0621" w14:textId="77777777" w:rsidR="00C47B2A" w:rsidRDefault="00C47B2A" w:rsidP="00C47B2A">
      <w:pPr>
        <w:pStyle w:val="Heading2"/>
      </w:pPr>
      <w:bookmarkStart w:id="1036" w:name="_Ref252788242"/>
      <w:bookmarkStart w:id="1037" w:name="_Toc252789495"/>
      <w:bookmarkStart w:id="1038" w:name="_Toc252803348"/>
      <w:bookmarkStart w:id="1039" w:name="_Toc396825293"/>
      <w:bookmarkStart w:id="1040" w:name="_Toc6403839"/>
      <w:bookmarkStart w:id="1041" w:name="_Toc10095224"/>
      <w:bookmarkStart w:id="1042" w:name="_Toc10192393"/>
      <w:bookmarkStart w:id="1043" w:name="_Toc10206708"/>
      <w:bookmarkStart w:id="1044" w:name="_Toc10213294"/>
      <w:bookmarkStart w:id="1045" w:name="_Toc10732318"/>
      <w:bookmarkStart w:id="1046" w:name="_Toc10796877"/>
      <w:bookmarkStart w:id="1047" w:name="_Toc12022762"/>
      <w:bookmarkStart w:id="1048" w:name="_Toc12630592"/>
      <w:bookmarkStart w:id="1049" w:name="_Toc16154452"/>
      <w:bookmarkStart w:id="1050" w:name="_Toc22196814"/>
      <w:r>
        <w:t>Sampling protocol</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4E1A0A29" w14:textId="77777777" w:rsidR="00C47B2A" w:rsidRDefault="00C47B2A" w:rsidP="00C47B2A">
      <w:pPr>
        <w:pStyle w:val="Heading3"/>
      </w:pPr>
      <w:bookmarkStart w:id="1051" w:name="_Toc252789496"/>
      <w:bookmarkStart w:id="1052" w:name="_Toc6403840"/>
      <w:bookmarkStart w:id="1053" w:name="_Toc10095225"/>
      <w:bookmarkStart w:id="1054" w:name="_Toc10192394"/>
      <w:bookmarkStart w:id="1055" w:name="_Toc10206709"/>
      <w:bookmarkStart w:id="1056" w:name="_Toc10213295"/>
      <w:bookmarkStart w:id="1057" w:name="_Toc10732319"/>
      <w:bookmarkStart w:id="1058" w:name="_Toc10796878"/>
      <w:bookmarkStart w:id="1059" w:name="_Toc12022763"/>
      <w:bookmarkStart w:id="1060" w:name="_Toc12630593"/>
      <w:bookmarkStart w:id="1061" w:name="_Toc16154453"/>
      <w:bookmarkStart w:id="1062" w:name="_Toc22196815"/>
      <w:r>
        <w:t>Equipment</w:t>
      </w:r>
      <w:bookmarkEnd w:id="1051"/>
      <w:bookmarkEnd w:id="1052"/>
      <w:bookmarkEnd w:id="1053"/>
      <w:bookmarkEnd w:id="1054"/>
      <w:bookmarkEnd w:id="1055"/>
      <w:bookmarkEnd w:id="1056"/>
      <w:bookmarkEnd w:id="1057"/>
      <w:bookmarkEnd w:id="1058"/>
      <w:bookmarkEnd w:id="1059"/>
      <w:bookmarkEnd w:id="1060"/>
      <w:bookmarkEnd w:id="1061"/>
      <w:bookmarkEnd w:id="1062"/>
    </w:p>
    <w:p w14:paraId="5804AF7E" w14:textId="77777777" w:rsidR="00C47B2A" w:rsidRDefault="00C47B2A" w:rsidP="00C47B2A">
      <w:pPr>
        <w:pStyle w:val="ListBullet"/>
        <w:ind w:left="765" w:hanging="357"/>
      </w:pPr>
      <w:r>
        <w:t>Boat electrofisher, including nets, storage and processing equipment</w:t>
      </w:r>
    </w:p>
    <w:p w14:paraId="46CD647E" w14:textId="77777777" w:rsidR="00C47B2A" w:rsidRDefault="00C47B2A" w:rsidP="00C47B2A">
      <w:pPr>
        <w:pStyle w:val="ListBullet"/>
        <w:ind w:left="765" w:hanging="357"/>
      </w:pPr>
      <w:r>
        <w:t>Ethics and fisheries permits from relevant institutions</w:t>
      </w:r>
    </w:p>
    <w:p w14:paraId="509508F1" w14:textId="77777777" w:rsidR="00C47B2A" w:rsidRDefault="00C47B2A" w:rsidP="00C47B2A">
      <w:pPr>
        <w:pStyle w:val="ListBullet"/>
        <w:ind w:left="765" w:hanging="357"/>
      </w:pPr>
      <w:r>
        <w:lastRenderedPageBreak/>
        <w:t>GPS</w:t>
      </w:r>
    </w:p>
    <w:p w14:paraId="0084F739" w14:textId="7FB1A981" w:rsidR="00C47B2A" w:rsidRDefault="00C47B2A" w:rsidP="00C47B2A">
      <w:pPr>
        <w:pStyle w:val="ListBullet"/>
        <w:ind w:left="765" w:hanging="357"/>
      </w:pPr>
      <w:r>
        <w:t xml:space="preserve">GPS coordinates of site structure (PS waypoints and EF units; </w:t>
      </w:r>
      <w:r>
        <w:fldChar w:fldCharType="begin"/>
      </w:r>
      <w:r>
        <w:instrText xml:space="preserve"> REF _Ref397515721 \h </w:instrText>
      </w:r>
      <w:r>
        <w:fldChar w:fldCharType="separate"/>
      </w:r>
      <w:r w:rsidR="00DF49CD">
        <w:t>Figure B.</w:t>
      </w:r>
      <w:r w:rsidR="00DF49CD">
        <w:rPr>
          <w:noProof/>
        </w:rPr>
        <w:t>4</w:t>
      </w:r>
      <w:r>
        <w:fldChar w:fldCharType="end"/>
      </w:r>
      <w:r>
        <w:t>)</w:t>
      </w:r>
    </w:p>
    <w:p w14:paraId="080CE7E1" w14:textId="77777777" w:rsidR="00C47B2A" w:rsidRDefault="00C47B2A" w:rsidP="00C47B2A">
      <w:pPr>
        <w:pStyle w:val="ListBullet"/>
        <w:ind w:left="765" w:hanging="357"/>
      </w:pPr>
      <w:r>
        <w:t>PS waypoints determined using random number generator (sample locations within sites)</w:t>
      </w:r>
    </w:p>
    <w:p w14:paraId="72284F9E" w14:textId="77777777" w:rsidR="00C47B2A" w:rsidRDefault="00C47B2A" w:rsidP="00C47B2A">
      <w:pPr>
        <w:pStyle w:val="ListBullet"/>
        <w:ind w:left="765" w:hanging="357"/>
      </w:pPr>
      <w:r>
        <w:t>12 fine-mesh fyke nets (10 for use; 2 spare) per site</w:t>
      </w:r>
    </w:p>
    <w:p w14:paraId="0F83648A" w14:textId="77777777" w:rsidR="00C47B2A" w:rsidRDefault="00C47B2A" w:rsidP="00C47B2A">
      <w:pPr>
        <w:pStyle w:val="ListBullet"/>
        <w:ind w:left="765" w:hanging="357"/>
      </w:pPr>
      <w:r>
        <w:t>Anchoring devices for fyke nets (stakes, chains, etc.)</w:t>
      </w:r>
    </w:p>
    <w:p w14:paraId="3EB4AEDE" w14:textId="77777777" w:rsidR="00C47B2A" w:rsidRDefault="00C47B2A" w:rsidP="00C47B2A">
      <w:pPr>
        <w:pStyle w:val="ListBullet"/>
        <w:ind w:left="765" w:hanging="357"/>
      </w:pPr>
      <w:r>
        <w:t>Large (1000 mm) and small (300 mm) measuring boards</w:t>
      </w:r>
    </w:p>
    <w:p w14:paraId="34A53EFC" w14:textId="77777777" w:rsidR="00C47B2A" w:rsidRDefault="00C47B2A" w:rsidP="00C47B2A">
      <w:pPr>
        <w:pStyle w:val="ListBullet"/>
        <w:ind w:left="765" w:hanging="357"/>
      </w:pPr>
      <w:r>
        <w:t>Scales, either quality hanging scales with bag or bench scales with bucket/tray for fish</w:t>
      </w:r>
    </w:p>
    <w:p w14:paraId="426E1633" w14:textId="77777777" w:rsidR="00C47B2A" w:rsidRDefault="00C47B2A" w:rsidP="00C47B2A">
      <w:pPr>
        <w:pStyle w:val="ListBullet"/>
        <w:ind w:left="765" w:hanging="357"/>
      </w:pPr>
      <w:r>
        <w:t>Water quality multimeter</w:t>
      </w:r>
    </w:p>
    <w:p w14:paraId="14567567" w14:textId="77777777" w:rsidR="00C47B2A" w:rsidRPr="006D430E" w:rsidRDefault="00C47B2A" w:rsidP="00C47B2A">
      <w:pPr>
        <w:pStyle w:val="ListBullet"/>
        <w:ind w:left="765" w:hanging="357"/>
      </w:pPr>
      <w:r>
        <w:t>Data sheets.</w:t>
      </w:r>
    </w:p>
    <w:p w14:paraId="53E29FD9" w14:textId="77777777" w:rsidR="00C47B2A" w:rsidRPr="008A6EB3" w:rsidRDefault="00C47B2A" w:rsidP="00C47B2A">
      <w:pPr>
        <w:pStyle w:val="Heading3"/>
      </w:pPr>
      <w:bookmarkStart w:id="1063" w:name="_Toc252789497"/>
      <w:bookmarkStart w:id="1064" w:name="_Toc6403841"/>
      <w:bookmarkStart w:id="1065" w:name="_Toc10095226"/>
      <w:bookmarkStart w:id="1066" w:name="_Toc10192395"/>
      <w:bookmarkStart w:id="1067" w:name="_Toc10206710"/>
      <w:bookmarkStart w:id="1068" w:name="_Toc10213296"/>
      <w:bookmarkStart w:id="1069" w:name="_Toc10732320"/>
      <w:bookmarkStart w:id="1070" w:name="_Toc10796879"/>
      <w:bookmarkStart w:id="1071" w:name="_Toc12022764"/>
      <w:bookmarkStart w:id="1072" w:name="_Toc12630594"/>
      <w:bookmarkStart w:id="1073" w:name="_Toc16154454"/>
      <w:bookmarkStart w:id="1074" w:name="_Toc22196816"/>
      <w:r>
        <w:t>Protocol</w:t>
      </w:r>
      <w:bookmarkEnd w:id="1063"/>
      <w:bookmarkEnd w:id="1064"/>
      <w:bookmarkEnd w:id="1065"/>
      <w:bookmarkEnd w:id="1066"/>
      <w:bookmarkEnd w:id="1067"/>
      <w:bookmarkEnd w:id="1068"/>
      <w:bookmarkEnd w:id="1069"/>
      <w:bookmarkEnd w:id="1070"/>
      <w:bookmarkEnd w:id="1071"/>
      <w:bookmarkEnd w:id="1072"/>
      <w:bookmarkEnd w:id="1073"/>
      <w:bookmarkEnd w:id="1074"/>
    </w:p>
    <w:p w14:paraId="381B20D9" w14:textId="77777777" w:rsidR="00C47B2A" w:rsidRDefault="00C47B2A" w:rsidP="00C47B2A">
      <w:pPr>
        <w:pStyle w:val="Heading4"/>
      </w:pPr>
      <w:r>
        <w:t>Timing of sampling</w:t>
      </w:r>
    </w:p>
    <w:p w14:paraId="03C7F695" w14:textId="4508376C" w:rsidR="00C47B2A" w:rsidRPr="008C0125" w:rsidRDefault="00C47B2A" w:rsidP="00C47B2A">
      <w:pPr>
        <w:spacing w:before="240"/>
      </w:pPr>
      <w:r>
        <w:t xml:space="preserve">The channel sites of each </w:t>
      </w:r>
      <w:r>
        <w:rPr>
          <w:szCs w:val="22"/>
        </w:rPr>
        <w:t>Selected Area</w:t>
      </w:r>
      <w:r>
        <w:t xml:space="preserve"> will be sampled once each autumn (March</w:t>
      </w:r>
      <w:r>
        <w:rPr>
          <w:rFonts w:eastAsiaTheme="majorEastAsia"/>
        </w:rPr>
        <w:t>–</w:t>
      </w:r>
      <w:r>
        <w:t xml:space="preserve">May inclusive). </w:t>
      </w:r>
      <w:r>
        <w:rPr>
          <w:rFonts w:cs="Calibri"/>
          <w:szCs w:val="22"/>
        </w:rPr>
        <w:t>Refer to</w:t>
      </w:r>
      <w:r w:rsidR="00A64C0A">
        <w:rPr>
          <w:rFonts w:cs="Calibri"/>
          <w:szCs w:val="22"/>
        </w:rPr>
        <w:t xml:space="preserve"> Section </w:t>
      </w:r>
      <w:r w:rsidR="00A64C0A" w:rsidRPr="00A64C0A">
        <w:rPr>
          <w:rFonts w:cs="Calibri"/>
        </w:rPr>
        <w:fldChar w:fldCharType="begin"/>
      </w:r>
      <w:r w:rsidR="00A64C0A" w:rsidRPr="00A64C0A">
        <w:rPr>
          <w:rFonts w:cs="Calibri"/>
        </w:rPr>
        <w:instrText xml:space="preserve"> REF _Ref10197301 \r \h </w:instrText>
      </w:r>
      <w:r w:rsidR="00A64C0A">
        <w:rPr>
          <w:rFonts w:cs="Calibri"/>
        </w:rPr>
        <w:instrText xml:space="preserve"> \* MERGEFORMAT </w:instrText>
      </w:r>
      <w:r w:rsidR="00A64C0A" w:rsidRPr="00A64C0A">
        <w:rPr>
          <w:rFonts w:cs="Calibri"/>
        </w:rPr>
      </w:r>
      <w:r w:rsidR="00A64C0A" w:rsidRPr="00A64C0A">
        <w:rPr>
          <w:rFonts w:cs="Calibri"/>
        </w:rPr>
        <w:fldChar w:fldCharType="separate"/>
      </w:r>
      <w:r w:rsidR="00DF49CD">
        <w:rPr>
          <w:rFonts w:cs="Calibri"/>
        </w:rPr>
        <w:t>7.2</w:t>
      </w:r>
      <w:r w:rsidR="00A64C0A" w:rsidRPr="00A64C0A">
        <w:rPr>
          <w:rFonts w:cs="Calibri"/>
        </w:rPr>
        <w:fldChar w:fldCharType="end"/>
      </w:r>
      <w:r w:rsidR="00A64C0A" w:rsidRPr="00A64C0A">
        <w:rPr>
          <w:rFonts w:cs="Calibri"/>
        </w:rPr>
        <w:t xml:space="preserve"> </w:t>
      </w:r>
      <w:r>
        <w:rPr>
          <w:rFonts w:cs="Calibri"/>
          <w:szCs w:val="22"/>
        </w:rPr>
        <w:t xml:space="preserve">in the MER Plan for a monthly monitoring schedule for </w:t>
      </w:r>
      <w:r w:rsidRPr="00A64C0A">
        <w:rPr>
          <w:rFonts w:cs="Calibri"/>
          <w:i/>
          <w:szCs w:val="22"/>
        </w:rPr>
        <w:t>Fish (Channel)</w:t>
      </w:r>
      <w:r>
        <w:rPr>
          <w:rFonts w:cs="Calibri"/>
          <w:szCs w:val="22"/>
        </w:rPr>
        <w:t>.</w:t>
      </w:r>
      <w:r>
        <w:t xml:space="preserve"> </w:t>
      </w:r>
    </w:p>
    <w:p w14:paraId="294B6C20" w14:textId="77777777" w:rsidR="00C47B2A" w:rsidRPr="00807AD7" w:rsidRDefault="00C47B2A" w:rsidP="00C47B2A">
      <w:pPr>
        <w:pStyle w:val="Heading4"/>
        <w:rPr>
          <w:b w:val="0"/>
        </w:rPr>
      </w:pPr>
      <w:r w:rsidRPr="00807AD7">
        <w:t>Large-bodied species</w:t>
      </w:r>
    </w:p>
    <w:p w14:paraId="4D7FD1BB" w14:textId="77777777" w:rsidR="00C47B2A" w:rsidRPr="001A67B5" w:rsidRDefault="00C47B2A" w:rsidP="00C47B2A">
      <w:pPr>
        <w:pStyle w:val="Heading5"/>
      </w:pPr>
      <w:r w:rsidRPr="001A67B5">
        <w:t>Sampling</w:t>
      </w:r>
    </w:p>
    <w:p w14:paraId="3B9DBF10" w14:textId="77777777" w:rsidR="00C47B2A" w:rsidRDefault="00C47B2A" w:rsidP="00C47B2A">
      <w:r>
        <w:t xml:space="preserve">Large-bodied species will be sampled using boat electrofishing. </w:t>
      </w:r>
    </w:p>
    <w:p w14:paraId="2DB79145" w14:textId="77777777" w:rsidR="00C47B2A" w:rsidRDefault="00C47B2A" w:rsidP="00C47B2A">
      <w:r w:rsidRPr="006D1659">
        <w:t xml:space="preserve">Sustainable Rivers </w:t>
      </w:r>
      <w:r w:rsidRPr="005F4E69">
        <w:t>Audit (SRA) electrofishing</w:t>
      </w:r>
      <w:r>
        <w:t xml:space="preserve"> protocol will be a subset of what is described here, so that data collected as part of the CEWO LTIM Project can be compared and contrasted with SRA large-bodied fish data. Small-bodied species will not be collected for processing using electrofishing, but collect all stages (including juveniles) of large-bodied species for processing.</w:t>
      </w:r>
    </w:p>
    <w:p w14:paraId="764CD057" w14:textId="77777777" w:rsidR="00C47B2A" w:rsidRDefault="00C47B2A" w:rsidP="00C47B2A">
      <w:r>
        <w:t>Herein, ‘small-bodied’ species are those belonging to the following families:</w:t>
      </w:r>
    </w:p>
    <w:p w14:paraId="7BE1965C" w14:textId="77777777" w:rsidR="00C47B2A" w:rsidRDefault="00C47B2A" w:rsidP="00C77254">
      <w:pPr>
        <w:pStyle w:val="ListParagraph"/>
        <w:numPr>
          <w:ilvl w:val="0"/>
          <w:numId w:val="27"/>
        </w:numPr>
        <w:ind w:left="765" w:hanging="357"/>
      </w:pPr>
      <w:r>
        <w:t>Galaxiidae</w:t>
      </w:r>
    </w:p>
    <w:p w14:paraId="185231E6" w14:textId="77777777" w:rsidR="00C47B2A" w:rsidRDefault="00C47B2A" w:rsidP="00C77254">
      <w:pPr>
        <w:pStyle w:val="ListParagraph"/>
        <w:numPr>
          <w:ilvl w:val="0"/>
          <w:numId w:val="27"/>
        </w:numPr>
        <w:ind w:left="765" w:hanging="357"/>
      </w:pPr>
      <w:r>
        <w:t>Retropinnidae</w:t>
      </w:r>
    </w:p>
    <w:p w14:paraId="2450FC61" w14:textId="77777777" w:rsidR="00C47B2A" w:rsidRDefault="00C47B2A" w:rsidP="00C77254">
      <w:pPr>
        <w:pStyle w:val="ListParagraph"/>
        <w:numPr>
          <w:ilvl w:val="0"/>
          <w:numId w:val="27"/>
        </w:numPr>
        <w:ind w:left="765" w:hanging="357"/>
      </w:pPr>
      <w:r>
        <w:t>Atherinidae</w:t>
      </w:r>
    </w:p>
    <w:p w14:paraId="51EED514" w14:textId="77777777" w:rsidR="00C47B2A" w:rsidRDefault="00C47B2A" w:rsidP="00C77254">
      <w:pPr>
        <w:pStyle w:val="ListParagraph"/>
        <w:numPr>
          <w:ilvl w:val="0"/>
          <w:numId w:val="27"/>
        </w:numPr>
        <w:ind w:left="765" w:hanging="357"/>
      </w:pPr>
      <w:r>
        <w:t>Melanotaeniidae</w:t>
      </w:r>
    </w:p>
    <w:p w14:paraId="527130D0" w14:textId="77777777" w:rsidR="00C47B2A" w:rsidRDefault="00C47B2A" w:rsidP="00C77254">
      <w:pPr>
        <w:pStyle w:val="ListParagraph"/>
        <w:numPr>
          <w:ilvl w:val="0"/>
          <w:numId w:val="27"/>
        </w:numPr>
        <w:ind w:left="765" w:hanging="357"/>
      </w:pPr>
      <w:r>
        <w:t>Ambassidae</w:t>
      </w:r>
    </w:p>
    <w:p w14:paraId="5B6A7F84" w14:textId="77777777" w:rsidR="00C47B2A" w:rsidRDefault="00C47B2A" w:rsidP="00C77254">
      <w:pPr>
        <w:pStyle w:val="ListParagraph"/>
        <w:numPr>
          <w:ilvl w:val="0"/>
          <w:numId w:val="27"/>
        </w:numPr>
        <w:ind w:left="765" w:hanging="357"/>
      </w:pPr>
      <w:r>
        <w:t>Nannopercidae</w:t>
      </w:r>
    </w:p>
    <w:p w14:paraId="1FAAD0A2" w14:textId="77777777" w:rsidR="00C47B2A" w:rsidRDefault="00C47B2A" w:rsidP="00C77254">
      <w:pPr>
        <w:pStyle w:val="ListParagraph"/>
        <w:numPr>
          <w:ilvl w:val="0"/>
          <w:numId w:val="27"/>
        </w:numPr>
        <w:ind w:left="765" w:hanging="357"/>
      </w:pPr>
      <w:r>
        <w:t>Eleotridae</w:t>
      </w:r>
    </w:p>
    <w:p w14:paraId="77129CFB" w14:textId="77777777" w:rsidR="00C47B2A" w:rsidRDefault="00C47B2A" w:rsidP="00C77254">
      <w:pPr>
        <w:pStyle w:val="ListParagraph"/>
        <w:numPr>
          <w:ilvl w:val="0"/>
          <w:numId w:val="27"/>
        </w:numPr>
        <w:ind w:left="765" w:hanging="357"/>
      </w:pPr>
      <w:r>
        <w:t>Gobiidae</w:t>
      </w:r>
    </w:p>
    <w:p w14:paraId="201D49FD" w14:textId="77777777" w:rsidR="00C47B2A" w:rsidRDefault="00C47B2A" w:rsidP="00C77254">
      <w:pPr>
        <w:pStyle w:val="ListParagraph"/>
        <w:numPr>
          <w:ilvl w:val="0"/>
          <w:numId w:val="27"/>
        </w:numPr>
        <w:ind w:left="765" w:hanging="357"/>
      </w:pPr>
      <w:r>
        <w:t>Poecilidae.</w:t>
      </w:r>
    </w:p>
    <w:p w14:paraId="1EAC2BAE" w14:textId="77777777" w:rsidR="00C47B2A" w:rsidRDefault="00C47B2A" w:rsidP="00C47B2A">
      <w:r>
        <w:t>All other fish families of the Basin are considered ‘large-bodied’.</w:t>
      </w:r>
    </w:p>
    <w:p w14:paraId="4E14719A" w14:textId="3F32426A" w:rsidR="00C47B2A" w:rsidRDefault="00C47B2A" w:rsidP="00C47B2A">
      <w:r>
        <w:t xml:space="preserve">The entire 800 m site will be electrofished. Within each electrofishing unit of a site (EF unit </w:t>
      </w:r>
      <w:r>
        <w:fldChar w:fldCharType="begin"/>
      </w:r>
      <w:r>
        <w:instrText xml:space="preserve"> REF _Ref397515721 \h </w:instrText>
      </w:r>
      <w:r>
        <w:fldChar w:fldCharType="separate"/>
      </w:r>
      <w:r w:rsidR="00DF49CD">
        <w:t>Figure B.</w:t>
      </w:r>
      <w:r w:rsidR="00DF49CD">
        <w:rPr>
          <w:noProof/>
        </w:rPr>
        <w:t>4</w:t>
      </w:r>
      <w:r>
        <w:fldChar w:fldCharType="end"/>
      </w:r>
      <w:r>
        <w:t xml:space="preserve">) two ‘shots’ of 90 s ‘on-time’ should be carried out. This results in a total of 2880 s (48 min on-time) for each site. No more than 180 s of shocking should be allocated to each EF unit, such that electrofishing effort is spread out across the entire site, thus giving a more random sample with respect to the (site’s) environment. Note that, </w:t>
      </w:r>
      <w:r w:rsidRPr="00BF485C">
        <w:rPr>
          <w:i/>
        </w:rPr>
        <w:t>within</w:t>
      </w:r>
      <w:r>
        <w:t xml:space="preserve"> EF units the location of shots is left to the discretion of the service provider. </w:t>
      </w:r>
    </w:p>
    <w:p w14:paraId="0156EE0D" w14:textId="77777777" w:rsidR="00C47B2A" w:rsidRPr="001A67B5" w:rsidRDefault="00C47B2A" w:rsidP="00C47B2A">
      <w:pPr>
        <w:pStyle w:val="Heading5"/>
      </w:pPr>
      <w:r w:rsidRPr="001A67B5">
        <w:t>Processing</w:t>
      </w:r>
      <w:r>
        <w:t xml:space="preserve"> - electrofishing</w:t>
      </w:r>
    </w:p>
    <w:p w14:paraId="7EF718AC" w14:textId="77777777" w:rsidR="00C47B2A" w:rsidRDefault="00C47B2A" w:rsidP="00C47B2A">
      <w:r>
        <w:t xml:space="preserve">For every individual belonging to a </w:t>
      </w:r>
      <w:r w:rsidRPr="00A625A7">
        <w:t>target</w:t>
      </w:r>
      <w:r>
        <w:t xml:space="preserve"> large-bodied species, the following will be obtained or implemented:</w:t>
      </w:r>
    </w:p>
    <w:p w14:paraId="687A8847" w14:textId="77777777" w:rsidR="00C47B2A" w:rsidRDefault="00C47B2A" w:rsidP="00C77254">
      <w:pPr>
        <w:pStyle w:val="ListParagraph"/>
        <w:numPr>
          <w:ilvl w:val="0"/>
          <w:numId w:val="21"/>
        </w:numPr>
        <w:ind w:left="584" w:hanging="357"/>
      </w:pPr>
      <w:r>
        <w:t>Identified to species.</w:t>
      </w:r>
    </w:p>
    <w:p w14:paraId="3FCAF2AB" w14:textId="77777777" w:rsidR="00C47B2A" w:rsidRDefault="00C47B2A" w:rsidP="00C77254">
      <w:pPr>
        <w:pStyle w:val="ListParagraph"/>
        <w:numPr>
          <w:ilvl w:val="0"/>
          <w:numId w:val="21"/>
        </w:numPr>
        <w:ind w:left="584" w:hanging="357"/>
      </w:pPr>
      <w:r>
        <w:lastRenderedPageBreak/>
        <w:t>Total (TL; round or square caudal fin species) OR fork (FL; fork-tailed species) lengths, in millimetres (mm).</w:t>
      </w:r>
    </w:p>
    <w:p w14:paraId="67CC7305" w14:textId="77777777" w:rsidR="00C47B2A" w:rsidRDefault="00C47B2A" w:rsidP="00C77254">
      <w:pPr>
        <w:pStyle w:val="ListParagraph"/>
        <w:numPr>
          <w:ilvl w:val="0"/>
          <w:numId w:val="21"/>
        </w:numPr>
        <w:ind w:left="584" w:hanging="357"/>
      </w:pPr>
      <w:r>
        <w:t>Mass in grams (g) (use scales that have been recently calibrated).</w:t>
      </w:r>
    </w:p>
    <w:p w14:paraId="29656C0C" w14:textId="1211C235" w:rsidR="00C47B2A" w:rsidRDefault="00C47B2A" w:rsidP="00C47B2A">
      <w:r>
        <w:t xml:space="preserve">If &gt; 20 individuals are obtained within a 90 s shot, the above information on a random sub-sample of 20 individuals will be recorded. The random sub-sample will be the first 20 individuals sampled during a 90 s shot. </w:t>
      </w:r>
    </w:p>
    <w:p w14:paraId="32EECB0C" w14:textId="77777777" w:rsidR="00C47B2A" w:rsidRDefault="00C47B2A" w:rsidP="00C47B2A">
      <w:r>
        <w:t>Non-target species will be identified and enumerated. All species will be returned to the water.</w:t>
      </w:r>
    </w:p>
    <w:p w14:paraId="0DF0582A" w14:textId="77777777" w:rsidR="00C47B2A" w:rsidRDefault="00C47B2A" w:rsidP="00C47B2A"/>
    <w:p w14:paraId="5872FDB3" w14:textId="77777777" w:rsidR="00C47B2A" w:rsidRDefault="00C47B2A" w:rsidP="00C47B2A">
      <w:pPr>
        <w:jc w:val="center"/>
      </w:pPr>
      <w:r w:rsidRPr="00776707">
        <w:rPr>
          <w:noProof/>
          <w:lang w:eastAsia="en-AU"/>
        </w:rPr>
        <w:drawing>
          <wp:inline distT="0" distB="0" distL="0" distR="0" wp14:anchorId="1720DC5B" wp14:editId="62B25231">
            <wp:extent cx="3098822" cy="22607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098950" cy="2260799"/>
                    </a:xfrm>
                    <a:prstGeom prst="rect">
                      <a:avLst/>
                    </a:prstGeom>
                    <a:noFill/>
                    <a:ln>
                      <a:noFill/>
                    </a:ln>
                  </pic:spPr>
                </pic:pic>
              </a:graphicData>
            </a:graphic>
          </wp:inline>
        </w:drawing>
      </w:r>
    </w:p>
    <w:p w14:paraId="4E7BAFF1" w14:textId="1156576A" w:rsidR="00C47B2A" w:rsidRDefault="00C47B2A" w:rsidP="00C47B2A">
      <w:pPr>
        <w:pStyle w:val="Caption"/>
      </w:pPr>
      <w:bookmarkStart w:id="1075" w:name="_Ref397515769"/>
      <w:bookmarkStart w:id="1076" w:name="_Toc252803505"/>
      <w:r>
        <w:t>Figure B.</w:t>
      </w:r>
      <w:r>
        <w:rPr>
          <w:noProof/>
        </w:rPr>
        <w:fldChar w:fldCharType="begin"/>
      </w:r>
      <w:r>
        <w:rPr>
          <w:noProof/>
        </w:rPr>
        <w:instrText xml:space="preserve"> SEQ Figure_B. \* ARABIC </w:instrText>
      </w:r>
      <w:r>
        <w:rPr>
          <w:noProof/>
        </w:rPr>
        <w:fldChar w:fldCharType="separate"/>
      </w:r>
      <w:r w:rsidR="00DF49CD">
        <w:rPr>
          <w:noProof/>
        </w:rPr>
        <w:t>5</w:t>
      </w:r>
      <w:r>
        <w:rPr>
          <w:noProof/>
        </w:rPr>
        <w:fldChar w:fldCharType="end"/>
      </w:r>
      <w:bookmarkEnd w:id="1075"/>
      <w:r>
        <w:t xml:space="preserve">. Diagram indicating the positioning of fine-mesh fyke nets in river channels, relative to the bank and direction of water flow. Cod-end should face upstream so as to not collect debris and act as a water velocity ‘parachute’ (taken from Hale </w:t>
      </w:r>
      <w:r w:rsidRPr="00604A83">
        <w:rPr>
          <w:i/>
        </w:rPr>
        <w:t>et al.</w:t>
      </w:r>
      <w:r>
        <w:t xml:space="preserve"> 2014).</w:t>
      </w:r>
      <w:bookmarkEnd w:id="1076"/>
    </w:p>
    <w:p w14:paraId="7A198A50" w14:textId="77777777" w:rsidR="00C47B2A" w:rsidRPr="00807AD7" w:rsidRDefault="00C47B2A" w:rsidP="00C47B2A">
      <w:pPr>
        <w:pStyle w:val="Heading4"/>
        <w:rPr>
          <w:b w:val="0"/>
        </w:rPr>
      </w:pPr>
      <w:r w:rsidRPr="00807AD7">
        <w:t>Small-bodied species</w:t>
      </w:r>
    </w:p>
    <w:p w14:paraId="40DC1021" w14:textId="77777777" w:rsidR="00C47B2A" w:rsidRPr="00E1510C" w:rsidRDefault="00C47B2A" w:rsidP="00C47B2A">
      <w:pPr>
        <w:pStyle w:val="Heading5"/>
      </w:pPr>
      <w:r w:rsidRPr="00E1510C">
        <w:t>Sampling</w:t>
      </w:r>
    </w:p>
    <w:p w14:paraId="55639F93" w14:textId="730409CD" w:rsidR="00C47B2A" w:rsidRDefault="00C47B2A" w:rsidP="00C47B2A">
      <w:r>
        <w:t>Small-bodied species will be sampled using a passive technique only; fine-mesh fyke nets. The fine-mesh fyke nets (2 mm mesh) should be double wing (</w:t>
      </w:r>
      <w:r>
        <w:fldChar w:fldCharType="begin"/>
      </w:r>
      <w:r>
        <w:instrText xml:space="preserve"> REF _Ref397515769 \h </w:instrText>
      </w:r>
      <w:r>
        <w:fldChar w:fldCharType="separate"/>
      </w:r>
      <w:r w:rsidR="00DF49CD">
        <w:t>Figure B.</w:t>
      </w:r>
      <w:r w:rsidR="00DF49CD">
        <w:rPr>
          <w:noProof/>
        </w:rPr>
        <w:t>5</w:t>
      </w:r>
      <w:r>
        <w:fldChar w:fldCharType="end"/>
      </w:r>
      <w:r>
        <w:t xml:space="preserve">) </w:t>
      </w:r>
      <w:r w:rsidRPr="00076E1F">
        <w:rPr>
          <w:rFonts w:eastAsia="Calibri"/>
        </w:rPr>
        <w:t>(each</w:t>
      </w:r>
      <w:r>
        <w:rPr>
          <w:rFonts w:eastAsia="Calibri"/>
        </w:rPr>
        <w:t xml:space="preserve"> wing:</w:t>
      </w:r>
      <w:r w:rsidRPr="00076E1F">
        <w:rPr>
          <w:rFonts w:eastAsia="Calibri"/>
        </w:rPr>
        <w:t xml:space="preserve"> 2.5 m × 1.2 m), with a first supporting hoop covered by a plastic grid </w:t>
      </w:r>
      <w:r>
        <w:rPr>
          <w:rFonts w:eastAsia="Calibri"/>
        </w:rPr>
        <w:t xml:space="preserve">(5 cm x 5 cm) </w:t>
      </w:r>
      <w:r w:rsidRPr="00076E1F">
        <w:rPr>
          <w:rFonts w:eastAsia="Calibri"/>
        </w:rPr>
        <w:t>to keep large aquatic vertebrates out of the trap.</w:t>
      </w:r>
    </w:p>
    <w:p w14:paraId="69ED9F38" w14:textId="578CC3CA" w:rsidR="00C47B2A" w:rsidRDefault="00C47B2A" w:rsidP="00C47B2A">
      <w:pPr>
        <w:rPr>
          <w:szCs w:val="22"/>
        </w:rPr>
      </w:pPr>
      <w:r w:rsidRPr="00D5570A">
        <w:rPr>
          <w:szCs w:val="22"/>
        </w:rPr>
        <w:t xml:space="preserve">A random number generator </w:t>
      </w:r>
      <w:r>
        <w:rPr>
          <w:szCs w:val="22"/>
        </w:rPr>
        <w:t>will</w:t>
      </w:r>
      <w:r w:rsidRPr="00D5570A">
        <w:rPr>
          <w:szCs w:val="22"/>
        </w:rPr>
        <w:t xml:space="preserve"> be used to randomly select a subset of 10 PS waypoints (</w:t>
      </w:r>
      <w:r>
        <w:fldChar w:fldCharType="begin"/>
      </w:r>
      <w:r>
        <w:rPr>
          <w:szCs w:val="22"/>
        </w:rPr>
        <w:instrText xml:space="preserve"> REF _Ref397515721 \h </w:instrText>
      </w:r>
      <w:r>
        <w:fldChar w:fldCharType="separate"/>
      </w:r>
      <w:r w:rsidR="00DF49CD">
        <w:t>Figure B.</w:t>
      </w:r>
      <w:r w:rsidR="00DF49CD">
        <w:rPr>
          <w:noProof/>
        </w:rPr>
        <w:t>4</w:t>
      </w:r>
      <w:r>
        <w:fldChar w:fldCharType="end"/>
      </w:r>
      <w:r>
        <w:rPr>
          <w:szCs w:val="22"/>
        </w:rPr>
        <w:t xml:space="preserve">) from the total of 34. As noted in </w:t>
      </w:r>
      <w:r>
        <w:rPr>
          <w:szCs w:val="22"/>
        </w:rPr>
        <w:fldChar w:fldCharType="begin"/>
      </w:r>
      <w:r>
        <w:rPr>
          <w:szCs w:val="22"/>
        </w:rPr>
        <w:instrText xml:space="preserve"> REF _Ref397515721 \h </w:instrText>
      </w:r>
      <w:r>
        <w:rPr>
          <w:szCs w:val="22"/>
        </w:rPr>
      </w:r>
      <w:r>
        <w:rPr>
          <w:szCs w:val="22"/>
        </w:rPr>
        <w:fldChar w:fldCharType="separate"/>
      </w:r>
      <w:r w:rsidR="00DF49CD">
        <w:t>Figure B.</w:t>
      </w:r>
      <w:r w:rsidR="00DF49CD">
        <w:rPr>
          <w:noProof/>
        </w:rPr>
        <w:t>4</w:t>
      </w:r>
      <w:r>
        <w:rPr>
          <w:szCs w:val="22"/>
        </w:rPr>
        <w:fldChar w:fldCharType="end"/>
      </w:r>
      <w:r>
        <w:rPr>
          <w:szCs w:val="22"/>
        </w:rPr>
        <w:t xml:space="preserve">, a waypoint encompasses a total of 40 m of bank (20 m either side of specific waypoint), so providers should endeavour to find the point on the bank as close to the exact waypoint as possible. If it is impossible (in the strict sense, not just inconvenient) to set a fyke net at a certain waypoint (current is too fast; bank is far too steep; water too deep; too many emergent macrophytes to be an effective fish sample), then an adjacent, unoccupied waypoint will be used. </w:t>
      </w:r>
    </w:p>
    <w:p w14:paraId="5C0218DC" w14:textId="77777777" w:rsidR="00C47B2A" w:rsidRDefault="00C47B2A" w:rsidP="00C47B2A">
      <w:r>
        <w:t xml:space="preserve">Fine-mesh fyke nets will be set in the afternoon and retrieved the following morning. Set and retrieval times will be recorded for each individual net. </w:t>
      </w:r>
    </w:p>
    <w:p w14:paraId="578090E1" w14:textId="0261942A" w:rsidR="00C47B2A" w:rsidRDefault="00C47B2A" w:rsidP="00C47B2A">
      <w:r>
        <w:t>Fine-mesh fyke nets will be set with the cod end facing the current, so that water velocity is deflected around the net and wings (</w:t>
      </w:r>
      <w:r>
        <w:fldChar w:fldCharType="begin"/>
      </w:r>
      <w:r>
        <w:instrText xml:space="preserve"> REF _Ref397515769 \h </w:instrText>
      </w:r>
      <w:r>
        <w:fldChar w:fldCharType="separate"/>
      </w:r>
      <w:r w:rsidR="00DF49CD">
        <w:t>Figure B.</w:t>
      </w:r>
      <w:r w:rsidR="00DF49CD">
        <w:rPr>
          <w:noProof/>
        </w:rPr>
        <w:t>5</w:t>
      </w:r>
      <w:r>
        <w:fldChar w:fldCharType="end"/>
      </w:r>
      <w:r>
        <w:t>). For the net to be effective both wings and the cod end will be anchored to the bottom. So that sampling effort is held constant across nets, the wings will have an aperture of 1 m (</w:t>
      </w:r>
      <w:r>
        <w:fldChar w:fldCharType="begin"/>
      </w:r>
      <w:r>
        <w:instrText xml:space="preserve"> REF _Ref397515769 \h </w:instrText>
      </w:r>
      <w:r>
        <w:fldChar w:fldCharType="separate"/>
      </w:r>
      <w:r w:rsidR="00DF49CD">
        <w:t>Figure B.</w:t>
      </w:r>
      <w:r w:rsidR="00DF49CD">
        <w:rPr>
          <w:noProof/>
        </w:rPr>
        <w:t>5</w:t>
      </w:r>
      <w:r>
        <w:fldChar w:fldCharType="end"/>
      </w:r>
      <w:r>
        <w:t xml:space="preserve">). </w:t>
      </w:r>
    </w:p>
    <w:p w14:paraId="7A42E339" w14:textId="77777777" w:rsidR="00C47B2A" w:rsidRPr="000224D1" w:rsidRDefault="00C47B2A" w:rsidP="00C47B2A">
      <w:pPr>
        <w:pStyle w:val="Heading5"/>
      </w:pPr>
      <w:r w:rsidRPr="000224D1">
        <w:lastRenderedPageBreak/>
        <w:t>Processing</w:t>
      </w:r>
    </w:p>
    <w:p w14:paraId="7313F997" w14:textId="77777777" w:rsidR="00C47B2A" w:rsidRDefault="00C47B2A" w:rsidP="00C47B2A">
      <w:r>
        <w:t>The following measurements will be made for non-target, small-bodied species:</w:t>
      </w:r>
    </w:p>
    <w:p w14:paraId="605B07AB" w14:textId="77777777" w:rsidR="00C47B2A" w:rsidRDefault="00C47B2A" w:rsidP="00C77254">
      <w:pPr>
        <w:pStyle w:val="ListParagraph"/>
        <w:numPr>
          <w:ilvl w:val="0"/>
          <w:numId w:val="22"/>
        </w:numPr>
        <w:ind w:left="584" w:hanging="357"/>
      </w:pPr>
      <w:r>
        <w:t>Identify (to species) and enumerate all individuals. Random sub-samples may be used if nets capture too many fish for complete processing, as long as proportion of total sample sub-sample represents is recorded.</w:t>
      </w:r>
    </w:p>
    <w:p w14:paraId="1F422807" w14:textId="15DB8388" w:rsidR="00C47B2A" w:rsidRDefault="00C47B2A" w:rsidP="00C47B2A">
      <w:r>
        <w:t xml:space="preserve">Further measurements are required for those small-bodied species targeted as part of the opportunistic guild (see Section </w:t>
      </w:r>
      <w:r>
        <w:fldChar w:fldCharType="begin"/>
      </w:r>
      <w:r>
        <w:instrText xml:space="preserve"> REF _Ref252788202 \r \h </w:instrText>
      </w:r>
      <w:r>
        <w:fldChar w:fldCharType="separate"/>
      </w:r>
      <w:r w:rsidR="00DF49CD">
        <w:t>3.6</w:t>
      </w:r>
      <w:r>
        <w:fldChar w:fldCharType="end"/>
      </w:r>
      <w:r>
        <w:t>):</w:t>
      </w:r>
    </w:p>
    <w:p w14:paraId="48066684" w14:textId="77777777" w:rsidR="00C47B2A" w:rsidRDefault="00C47B2A" w:rsidP="00C77254">
      <w:pPr>
        <w:pStyle w:val="ListParagraph"/>
        <w:numPr>
          <w:ilvl w:val="0"/>
          <w:numId w:val="22"/>
        </w:numPr>
        <w:ind w:left="584" w:hanging="357"/>
      </w:pPr>
      <w:r>
        <w:t>Obtain total (TL; round or square caudal fin species) OR fork (FL; fork-tailed species) lengths, in millimetres (mm), of up to the first 10 individuals from both target species, from each net. Ensure ten are randomly selected from the overall sample. This may be achieved, for example, by using an aquarium net to ‘blindly’ sub-sample from a bucket until 10 individuals have been measured.</w:t>
      </w:r>
    </w:p>
    <w:p w14:paraId="3897A4DA" w14:textId="77777777" w:rsidR="00C47B2A" w:rsidRDefault="00C47B2A" w:rsidP="00C47B2A">
      <w:pPr>
        <w:pStyle w:val="Heading4"/>
      </w:pPr>
      <w:r w:rsidRPr="007F371E">
        <w:t>Covariates</w:t>
      </w:r>
    </w:p>
    <w:p w14:paraId="2C9C234D" w14:textId="4E5429F8" w:rsidR="00C47B2A" w:rsidRDefault="00C47B2A" w:rsidP="00C47B2A">
      <w:pPr>
        <w:ind w:firstLine="1"/>
        <w:rPr>
          <w:bCs/>
        </w:rPr>
      </w:pPr>
      <w:r w:rsidRPr="00BC04E0">
        <w:rPr>
          <w:bCs/>
        </w:rPr>
        <w:t>Water quality parameters will be measured at each site during all sampling times. Dissolved oxygen (</w:t>
      </w:r>
      <w:r>
        <w:rPr>
          <w:bCs/>
        </w:rPr>
        <w:t>ppm</w:t>
      </w:r>
      <w:r w:rsidRPr="00BC04E0">
        <w:rPr>
          <w:bCs/>
        </w:rPr>
        <w:t>), ele</w:t>
      </w:r>
      <w:r>
        <w:rPr>
          <w:bCs/>
        </w:rPr>
        <w:t>ctrical conductivity (µS), water</w:t>
      </w:r>
      <w:r w:rsidRPr="00BC04E0">
        <w:rPr>
          <w:bCs/>
        </w:rPr>
        <w:t xml:space="preserve"> temperature (°C)</w:t>
      </w:r>
      <w:r>
        <w:rPr>
          <w:bCs/>
        </w:rPr>
        <w:t xml:space="preserve"> and turbidity (NTU)</w:t>
      </w:r>
      <w:r w:rsidRPr="00BC04E0">
        <w:rPr>
          <w:bCs/>
        </w:rPr>
        <w:t xml:space="preserve"> will be measured using a water quality multimeter. Discharge data (ML day</w:t>
      </w:r>
      <w:r w:rsidRPr="00956642">
        <w:rPr>
          <w:bCs/>
          <w:vertAlign w:val="superscript"/>
        </w:rPr>
        <w:t>-1</w:t>
      </w:r>
      <w:r w:rsidRPr="00BC04E0">
        <w:rPr>
          <w:bCs/>
        </w:rPr>
        <w:t>) and relative water level (m AHD, relative to the Australian Height Datum) from the closest gauging station will be obtained from the DEW Surface Water Archive (www.waterconnect.sa.gov.au).</w:t>
      </w:r>
    </w:p>
    <w:p w14:paraId="7D030E38" w14:textId="77777777" w:rsidR="00C47B2A" w:rsidRPr="00BF6F1E" w:rsidRDefault="00C47B2A" w:rsidP="00C47B2A">
      <w:pPr>
        <w:pStyle w:val="Heading4"/>
        <w:rPr>
          <w:b w:val="0"/>
        </w:rPr>
      </w:pPr>
      <w:r w:rsidRPr="00BF6F1E">
        <w:t>Otolith collection and analysis</w:t>
      </w:r>
    </w:p>
    <w:p w14:paraId="794584F5" w14:textId="58E4E49D" w:rsidR="00C47B2A" w:rsidRDefault="00C47B2A" w:rsidP="00C47B2A">
      <w:r>
        <w:t xml:space="preserve">Otoliths will be collected from periodic and opportunistic target species (Section </w:t>
      </w:r>
      <w:r>
        <w:fldChar w:fldCharType="begin"/>
      </w:r>
      <w:r>
        <w:instrText xml:space="preserve"> REF _Ref252788202 \r \h  \* MERGEFORMAT </w:instrText>
      </w:r>
      <w:r>
        <w:fldChar w:fldCharType="separate"/>
      </w:r>
      <w:r w:rsidR="00DF49CD">
        <w:t>3.6</w:t>
      </w:r>
      <w:r>
        <w:fldChar w:fldCharType="end"/>
      </w:r>
      <w:r>
        <w:t>) populations for the following purposes:</w:t>
      </w:r>
    </w:p>
    <w:p w14:paraId="7B0AACB4" w14:textId="77777777" w:rsidR="00C47B2A" w:rsidRDefault="00C47B2A" w:rsidP="00C77254">
      <w:pPr>
        <w:pStyle w:val="ListParagraph"/>
        <w:numPr>
          <w:ilvl w:val="0"/>
          <w:numId w:val="26"/>
        </w:numPr>
        <w:ind w:left="584" w:hanging="357"/>
      </w:pPr>
      <w:r>
        <w:t>Estimation of von Bertalanffy (vB) growth parameters, such that we have a vB model for each target species, for each area. These models will be used to coarsely approximate the age distribution (in years) of target species, based on their lengths, within each of the monitoring years. Age distributions will subsequently be used to coarsely approximate survivorships, hence year-class strength, in the absence of capture-mark-recapture data.  Furthermore, otoliths may be used to back-calculate temporal variance in growth rates, in response to changes in flow.</w:t>
      </w:r>
    </w:p>
    <w:p w14:paraId="63905F6A" w14:textId="0DDAEA36" w:rsidR="00C47B2A" w:rsidRDefault="00C47B2A" w:rsidP="00C77254">
      <w:pPr>
        <w:pStyle w:val="ListParagraph"/>
        <w:numPr>
          <w:ilvl w:val="0"/>
          <w:numId w:val="26"/>
        </w:numPr>
        <w:ind w:left="584" w:hanging="357"/>
      </w:pPr>
      <w:r>
        <w:t xml:space="preserve">Determine the relationship between age and length of (approximate, or what one assumes to be) 0+ and 1+ individuals within each year, to reduce uncertainty of age prescription during early life history. </w:t>
      </w:r>
    </w:p>
    <w:p w14:paraId="5C128973" w14:textId="77777777" w:rsidR="00C47B2A" w:rsidRDefault="00C47B2A" w:rsidP="00C47B2A">
      <w:r>
        <w:t>The otolith collection and reading protocol is dependent on which life-history guild the species belongs to:</w:t>
      </w:r>
    </w:p>
    <w:p w14:paraId="7627EDC8" w14:textId="77777777" w:rsidR="00C47B2A" w:rsidRPr="00FD23EF" w:rsidRDefault="00C47B2A" w:rsidP="00C47B2A">
      <w:pPr>
        <w:pStyle w:val="Heading5"/>
      </w:pPr>
      <w:r w:rsidRPr="00FD23EF">
        <w:t>Periodic and Equilibrium species</w:t>
      </w:r>
    </w:p>
    <w:p w14:paraId="74DA1946" w14:textId="4649BBD5" w:rsidR="00C47B2A" w:rsidRDefault="00C47B2A" w:rsidP="00C47B2A">
      <w:r>
        <w:t>One</w:t>
      </w:r>
      <w:r w:rsidRPr="005151A0">
        <w:t xml:space="preserve"> comprehensive otolith sample</w:t>
      </w:r>
      <w:r>
        <w:t xml:space="preserve"> will be collected at the end (2021-22) of the three-year program</w:t>
      </w:r>
      <w:r w:rsidRPr="005151A0">
        <w:t xml:space="preserve"> from</w:t>
      </w:r>
      <w:r>
        <w:t xml:space="preserve"> equilibrium and periodic</w:t>
      </w:r>
      <w:r w:rsidRPr="005151A0">
        <w:t xml:space="preserve"> target species</w:t>
      </w:r>
      <w:r>
        <w:t xml:space="preserve">. We will use these data to obtain vB growth curves for each of the target species of an area. </w:t>
      </w:r>
    </w:p>
    <w:p w14:paraId="6E0889F0" w14:textId="77777777" w:rsidR="00C47B2A" w:rsidRPr="00352A8B" w:rsidRDefault="00C47B2A" w:rsidP="00C47B2A">
      <w:r>
        <w:t>Where possible, otoliths from at least</w:t>
      </w:r>
      <w:r w:rsidRPr="004D3225">
        <w:t xml:space="preserve"> </w:t>
      </w:r>
      <w:r>
        <w:t>5</w:t>
      </w:r>
      <w:r w:rsidRPr="004D3225">
        <w:t>0 individuals</w:t>
      </w:r>
      <w:r>
        <w:t xml:space="preserve"> of each target species will be collected. </w:t>
      </w:r>
      <w:r w:rsidRPr="00486912">
        <w:t xml:space="preserve">Samples for estimating the parameters for vB curves </w:t>
      </w:r>
      <w:r>
        <w:t>will</w:t>
      </w:r>
      <w:r w:rsidRPr="00486912">
        <w:t xml:space="preserve"> not be random with respect to the structure of the population</w:t>
      </w:r>
      <w:r>
        <w:t xml:space="preserve">. Samples containing representatives </w:t>
      </w:r>
      <w:r w:rsidRPr="00352A8B">
        <w:t>across the full range of lengths within the population (ideally), and approximately equal numbers of individuals within each length-class will be collected.</w:t>
      </w:r>
    </w:p>
    <w:p w14:paraId="27CA2CB3" w14:textId="77777777" w:rsidR="00C47B2A" w:rsidRPr="00CF4F75" w:rsidRDefault="00C47B2A" w:rsidP="00C47B2A">
      <w:pPr>
        <w:pStyle w:val="Heading2"/>
      </w:pPr>
      <w:bookmarkStart w:id="1077" w:name="_Toc252789498"/>
      <w:bookmarkStart w:id="1078" w:name="_Toc252803349"/>
      <w:bookmarkStart w:id="1079" w:name="_Toc396825294"/>
      <w:bookmarkStart w:id="1080" w:name="_Toc6403842"/>
      <w:bookmarkStart w:id="1081" w:name="_Toc10095227"/>
      <w:bookmarkStart w:id="1082" w:name="_Toc10192396"/>
      <w:bookmarkStart w:id="1083" w:name="_Toc10206711"/>
      <w:bookmarkStart w:id="1084" w:name="_Toc10213297"/>
      <w:bookmarkStart w:id="1085" w:name="_Toc10732321"/>
      <w:bookmarkStart w:id="1086" w:name="_Toc10796880"/>
      <w:bookmarkStart w:id="1087" w:name="_Toc12022765"/>
      <w:bookmarkStart w:id="1088" w:name="_Toc12630595"/>
      <w:bookmarkStart w:id="1089" w:name="_Toc16154455"/>
      <w:bookmarkStart w:id="1090" w:name="_Toc22196817"/>
      <w:r w:rsidRPr="00CF4F75">
        <w:lastRenderedPageBreak/>
        <w:t xml:space="preserve">Data analysis and </w:t>
      </w:r>
      <w:bookmarkEnd w:id="1077"/>
      <w:bookmarkEnd w:id="1078"/>
      <w:r>
        <w:t>evaluation</w:t>
      </w:r>
      <w:bookmarkEnd w:id="1079"/>
      <w:bookmarkEnd w:id="1080"/>
      <w:bookmarkEnd w:id="1081"/>
      <w:bookmarkEnd w:id="1082"/>
      <w:bookmarkEnd w:id="1083"/>
      <w:bookmarkEnd w:id="1084"/>
      <w:bookmarkEnd w:id="1085"/>
      <w:bookmarkEnd w:id="1086"/>
      <w:bookmarkEnd w:id="1087"/>
      <w:bookmarkEnd w:id="1088"/>
      <w:bookmarkEnd w:id="1089"/>
      <w:bookmarkEnd w:id="1090"/>
    </w:p>
    <w:p w14:paraId="12219B02" w14:textId="77777777" w:rsidR="00C47B2A" w:rsidRDefault="00C47B2A" w:rsidP="00C47B2A">
      <w:pPr>
        <w:pStyle w:val="Heading3"/>
      </w:pPr>
      <w:bookmarkStart w:id="1091" w:name="_Toc252789499"/>
      <w:bookmarkStart w:id="1092" w:name="_Toc6403843"/>
      <w:bookmarkStart w:id="1093" w:name="_Toc10095228"/>
      <w:bookmarkStart w:id="1094" w:name="_Toc10192397"/>
      <w:bookmarkStart w:id="1095" w:name="_Toc10206712"/>
      <w:bookmarkStart w:id="1096" w:name="_Toc10213298"/>
      <w:bookmarkStart w:id="1097" w:name="_Toc10732322"/>
      <w:bookmarkStart w:id="1098" w:name="_Toc10796881"/>
      <w:bookmarkStart w:id="1099" w:name="_Toc12022766"/>
      <w:bookmarkStart w:id="1100" w:name="_Toc12630596"/>
      <w:bookmarkStart w:id="1101" w:name="_Toc16154456"/>
      <w:bookmarkStart w:id="1102" w:name="_Toc22196818"/>
      <w:r>
        <w:t>Relative abundance estimation</w:t>
      </w:r>
      <w:bookmarkEnd w:id="1091"/>
      <w:bookmarkEnd w:id="1092"/>
      <w:bookmarkEnd w:id="1093"/>
      <w:bookmarkEnd w:id="1094"/>
      <w:bookmarkEnd w:id="1095"/>
      <w:bookmarkEnd w:id="1096"/>
      <w:bookmarkEnd w:id="1097"/>
      <w:bookmarkEnd w:id="1098"/>
      <w:bookmarkEnd w:id="1099"/>
      <w:bookmarkEnd w:id="1100"/>
      <w:bookmarkEnd w:id="1101"/>
      <w:bookmarkEnd w:id="1102"/>
    </w:p>
    <w:p w14:paraId="2E44563F" w14:textId="4182491E" w:rsidR="00C47B2A" w:rsidRPr="00E84D0F" w:rsidRDefault="00C47B2A" w:rsidP="00C47B2A">
      <w:r>
        <w:t xml:space="preserve">Abundances will be recorded as ‘catch-per-unit-effort’ (CPUE). Data will be structured in spreadsheets by individual ‘samples’, which are individual net hauls, or abundances within discrete electrofishing shots (see Section </w:t>
      </w:r>
      <w:r>
        <w:fldChar w:fldCharType="begin"/>
      </w:r>
      <w:r>
        <w:instrText xml:space="preserve"> REF _Ref252788242 \r \h </w:instrText>
      </w:r>
      <w:r>
        <w:fldChar w:fldCharType="separate"/>
      </w:r>
      <w:r w:rsidR="00DF49CD">
        <w:t>3.7</w:t>
      </w:r>
      <w:r>
        <w:fldChar w:fldCharType="end"/>
      </w:r>
      <w:r>
        <w:t xml:space="preserve">). Units will depend on sampling method—electrofishing versus fyke netting. </w:t>
      </w:r>
      <w:r w:rsidRPr="00E3303B">
        <w:t>Electrofishing CPUE will have units</w:t>
      </w:r>
      <w:r>
        <w:t xml:space="preserve"> </w:t>
      </w:r>
      <w:r w:rsidRPr="00E3303B">
        <w:t xml:space="preserve">number of individuals per </w:t>
      </w:r>
      <w:r>
        <w:t>second</w:t>
      </w:r>
      <w:r w:rsidRPr="00E3303B">
        <w:t xml:space="preserve"> on-time for each shot</w:t>
      </w:r>
      <w:r>
        <w:t xml:space="preserve">. Fyke netting </w:t>
      </w:r>
      <w:r w:rsidRPr="00E3303B">
        <w:t>CPUE units</w:t>
      </w:r>
      <w:r>
        <w:t xml:space="preserve"> will be number of individuals per net per hour.</w:t>
      </w:r>
    </w:p>
    <w:p w14:paraId="0EAD8369" w14:textId="77777777" w:rsidR="00C47B2A" w:rsidRDefault="00C47B2A" w:rsidP="00C47B2A">
      <w:pPr>
        <w:pStyle w:val="Heading3"/>
      </w:pPr>
      <w:bookmarkStart w:id="1103" w:name="_Toc252789500"/>
      <w:bookmarkStart w:id="1104" w:name="_Toc6403844"/>
      <w:bookmarkStart w:id="1105" w:name="_Toc10095229"/>
      <w:bookmarkStart w:id="1106" w:name="_Toc10192398"/>
      <w:bookmarkStart w:id="1107" w:name="_Toc10206713"/>
      <w:bookmarkStart w:id="1108" w:name="_Toc10213299"/>
      <w:bookmarkStart w:id="1109" w:name="_Toc10732323"/>
      <w:bookmarkStart w:id="1110" w:name="_Toc10796882"/>
      <w:bookmarkStart w:id="1111" w:name="_Toc12022767"/>
      <w:bookmarkStart w:id="1112" w:name="_Toc12630597"/>
      <w:bookmarkStart w:id="1113" w:name="_Toc16154457"/>
      <w:bookmarkStart w:id="1114" w:name="_Toc22196819"/>
      <w:r>
        <w:t>Population structure data for target species</w:t>
      </w:r>
      <w:bookmarkEnd w:id="1103"/>
      <w:bookmarkEnd w:id="1104"/>
      <w:bookmarkEnd w:id="1105"/>
      <w:bookmarkEnd w:id="1106"/>
      <w:bookmarkEnd w:id="1107"/>
      <w:bookmarkEnd w:id="1108"/>
      <w:bookmarkEnd w:id="1109"/>
      <w:bookmarkEnd w:id="1110"/>
      <w:bookmarkEnd w:id="1111"/>
      <w:bookmarkEnd w:id="1112"/>
      <w:bookmarkEnd w:id="1113"/>
      <w:bookmarkEnd w:id="1114"/>
    </w:p>
    <w:p w14:paraId="3197026D" w14:textId="77777777" w:rsidR="00C47B2A" w:rsidRPr="00F96DE2" w:rsidRDefault="00C47B2A" w:rsidP="00C47B2A">
      <w:r>
        <w:t>Additional data is required for equilibrium and periodic target species:</w:t>
      </w:r>
    </w:p>
    <w:p w14:paraId="0944DAAE" w14:textId="180740BC" w:rsidR="00C47B2A" w:rsidRDefault="00C47B2A" w:rsidP="00C77254">
      <w:pPr>
        <w:pStyle w:val="ListParagraph"/>
        <w:numPr>
          <w:ilvl w:val="0"/>
          <w:numId w:val="23"/>
        </w:numPr>
        <w:ind w:left="765" w:hanging="357"/>
      </w:pPr>
      <w:r>
        <w:t xml:space="preserve">Total length or fork length (mm), depending on species (see Section </w:t>
      </w:r>
      <w:r>
        <w:fldChar w:fldCharType="begin"/>
      </w:r>
      <w:r>
        <w:instrText xml:space="preserve"> REF _Ref252788242 \r \h  \* MERGEFORMAT </w:instrText>
      </w:r>
      <w:r>
        <w:fldChar w:fldCharType="separate"/>
      </w:r>
      <w:r w:rsidR="00DF49CD">
        <w:t>3.7</w:t>
      </w:r>
      <w:r>
        <w:fldChar w:fldCharType="end"/>
      </w:r>
      <w:r>
        <w:t xml:space="preserve">). </w:t>
      </w:r>
    </w:p>
    <w:p w14:paraId="3185F8D6" w14:textId="77777777" w:rsidR="00C47B2A" w:rsidRDefault="00C47B2A" w:rsidP="00C77254">
      <w:pPr>
        <w:pStyle w:val="ListParagraph"/>
        <w:numPr>
          <w:ilvl w:val="0"/>
          <w:numId w:val="23"/>
        </w:numPr>
        <w:ind w:left="765" w:hanging="357"/>
      </w:pPr>
      <w:r>
        <w:t>Mass (gm).</w:t>
      </w:r>
    </w:p>
    <w:p w14:paraId="7BA80959" w14:textId="77777777" w:rsidR="00C47B2A" w:rsidRDefault="00C47B2A" w:rsidP="00C77254">
      <w:pPr>
        <w:pStyle w:val="ListParagraph"/>
        <w:numPr>
          <w:ilvl w:val="0"/>
          <w:numId w:val="23"/>
        </w:numPr>
        <w:ind w:left="765" w:hanging="357"/>
      </w:pPr>
      <w:r>
        <w:t>Length</w:t>
      </w:r>
      <w:r>
        <w:rPr>
          <w:rFonts w:eastAsiaTheme="majorEastAsia"/>
        </w:rPr>
        <w:t>–</w:t>
      </w:r>
      <w:r>
        <w:t>age data:</w:t>
      </w:r>
    </w:p>
    <w:p w14:paraId="787B92D7" w14:textId="049DF470" w:rsidR="00C47B2A" w:rsidRDefault="00C47B2A" w:rsidP="00C77254">
      <w:pPr>
        <w:pStyle w:val="ListParagraph"/>
        <w:numPr>
          <w:ilvl w:val="1"/>
          <w:numId w:val="23"/>
        </w:numPr>
        <w:ind w:left="1077" w:hanging="357"/>
      </w:pPr>
      <w:r>
        <w:t>Year 3 data sets;</w:t>
      </w:r>
    </w:p>
    <w:p w14:paraId="7107B511" w14:textId="77777777" w:rsidR="00C47B2A" w:rsidRDefault="00C47B2A" w:rsidP="00C77254">
      <w:pPr>
        <w:pStyle w:val="ListParagraph"/>
        <w:numPr>
          <w:ilvl w:val="1"/>
          <w:numId w:val="23"/>
        </w:numPr>
        <w:ind w:left="1077" w:hanging="357"/>
      </w:pPr>
      <w:r>
        <w:t xml:space="preserve">Raw data required, not just vB parameter estimates. </w:t>
      </w:r>
    </w:p>
    <w:p w14:paraId="4FBA3F84" w14:textId="77777777" w:rsidR="00C47B2A" w:rsidRDefault="00C47B2A" w:rsidP="00C77254">
      <w:pPr>
        <w:pStyle w:val="ListParagraph"/>
        <w:numPr>
          <w:ilvl w:val="1"/>
          <w:numId w:val="23"/>
        </w:numPr>
        <w:ind w:left="1077" w:hanging="357"/>
      </w:pPr>
      <w:r>
        <w:t>Yearly ages of fish (0+, 1+,…x+), will be tagged by their species identity, place and date of capture, total or fork length (mm), and mass (g).</w:t>
      </w:r>
    </w:p>
    <w:p w14:paraId="37238BFC" w14:textId="77777777" w:rsidR="00C47B2A" w:rsidRDefault="00C47B2A" w:rsidP="00C47B2A">
      <w:pPr>
        <w:pStyle w:val="Heading3"/>
      </w:pPr>
      <w:bookmarkStart w:id="1115" w:name="_Toc252789501"/>
      <w:bookmarkStart w:id="1116" w:name="_Toc6403845"/>
      <w:bookmarkStart w:id="1117" w:name="_Toc10095230"/>
      <w:bookmarkStart w:id="1118" w:name="_Toc10192399"/>
      <w:bookmarkStart w:id="1119" w:name="_Toc10206714"/>
      <w:bookmarkStart w:id="1120" w:name="_Toc10213300"/>
      <w:bookmarkStart w:id="1121" w:name="_Toc10732324"/>
      <w:bookmarkStart w:id="1122" w:name="_Toc10796883"/>
      <w:bookmarkStart w:id="1123" w:name="_Toc12022768"/>
      <w:bookmarkStart w:id="1124" w:name="_Toc12630598"/>
      <w:bookmarkStart w:id="1125" w:name="_Toc16154458"/>
      <w:bookmarkStart w:id="1126" w:name="_Toc22196820"/>
      <w:r>
        <w:t>Community data</w:t>
      </w:r>
      <w:bookmarkEnd w:id="1115"/>
      <w:bookmarkEnd w:id="1116"/>
      <w:bookmarkEnd w:id="1117"/>
      <w:bookmarkEnd w:id="1118"/>
      <w:bookmarkEnd w:id="1119"/>
      <w:bookmarkEnd w:id="1120"/>
      <w:bookmarkEnd w:id="1121"/>
      <w:bookmarkEnd w:id="1122"/>
      <w:bookmarkEnd w:id="1123"/>
      <w:bookmarkEnd w:id="1124"/>
      <w:bookmarkEnd w:id="1125"/>
      <w:bookmarkEnd w:id="1126"/>
    </w:p>
    <w:p w14:paraId="69BE2500" w14:textId="5D7C896B" w:rsidR="00C47B2A" w:rsidRDefault="00C47B2A" w:rsidP="00C47B2A">
      <w:pPr>
        <w:pStyle w:val="ListNumber"/>
        <w:numPr>
          <w:ilvl w:val="0"/>
          <w:numId w:val="0"/>
        </w:numPr>
      </w:pPr>
      <w:r w:rsidRPr="004865B2">
        <w:t xml:space="preserve">No evaluation will be undertaken for the Selected Area. </w:t>
      </w:r>
      <w:r>
        <w:t xml:space="preserve">For the analyses of Basin-scale community response to Commonwealth environmental water to be carried out by </w:t>
      </w:r>
      <w:r w:rsidRPr="009A6B62">
        <w:t xml:space="preserve">the </w:t>
      </w:r>
      <w:r w:rsidRPr="00297902">
        <w:t>MER Advis</w:t>
      </w:r>
      <w:r w:rsidRPr="00FC4A6D">
        <w:t>ors</w:t>
      </w:r>
      <w:r w:rsidR="00F911E1">
        <w:t>.</w:t>
      </w:r>
      <w:r w:rsidRPr="009A6B62">
        <w:t xml:space="preserve"> CPUE</w:t>
      </w:r>
      <w:r>
        <w:t xml:space="preserve"> data at the level of the site (species by site matricies) corresponding to each sampling method will be provided:</w:t>
      </w:r>
    </w:p>
    <w:p w14:paraId="3E9E64C4" w14:textId="77777777" w:rsidR="00C47B2A" w:rsidRDefault="00C47B2A" w:rsidP="00C77254">
      <w:pPr>
        <w:pStyle w:val="ListNumber"/>
        <w:numPr>
          <w:ilvl w:val="0"/>
          <w:numId w:val="24"/>
        </w:numPr>
        <w:ind w:left="584" w:hanging="357"/>
      </w:pPr>
      <w:r>
        <w:t>Electrofishing (large-bodied species; target + non-target).</w:t>
      </w:r>
    </w:p>
    <w:p w14:paraId="5D8C7F07" w14:textId="77777777" w:rsidR="00C47B2A" w:rsidRDefault="00C47B2A" w:rsidP="00C77254">
      <w:pPr>
        <w:pStyle w:val="ListNumber"/>
        <w:numPr>
          <w:ilvl w:val="0"/>
          <w:numId w:val="24"/>
        </w:numPr>
        <w:ind w:left="584" w:hanging="357"/>
      </w:pPr>
      <w:r>
        <w:t>Fine-mesh fyke nets (small-bodied species; target + non-target).</w:t>
      </w:r>
    </w:p>
    <w:p w14:paraId="71F228D9" w14:textId="77777777" w:rsidR="00C47B2A" w:rsidRPr="00992869" w:rsidRDefault="00C47B2A" w:rsidP="00992869">
      <w:pPr>
        <w:pStyle w:val="Heading2"/>
      </w:pPr>
      <w:bookmarkStart w:id="1127" w:name="_Ref252788273"/>
      <w:bookmarkStart w:id="1128" w:name="_Toc252789502"/>
      <w:bookmarkStart w:id="1129" w:name="_Toc6403846"/>
      <w:bookmarkStart w:id="1130" w:name="_Toc10095231"/>
      <w:bookmarkStart w:id="1131" w:name="_Toc10192400"/>
      <w:bookmarkStart w:id="1132" w:name="_Toc10206715"/>
      <w:bookmarkStart w:id="1133" w:name="_Toc10213301"/>
      <w:bookmarkStart w:id="1134" w:name="_Toc10732325"/>
      <w:bookmarkStart w:id="1135" w:name="_Toc10796884"/>
      <w:bookmarkStart w:id="1136" w:name="_Toc12022769"/>
      <w:bookmarkStart w:id="1137" w:name="_Toc12630599"/>
      <w:bookmarkStart w:id="1138" w:name="_Toc16154459"/>
      <w:bookmarkStart w:id="1139" w:name="_Toc22196821"/>
      <w:r w:rsidRPr="00992869">
        <w:t>Data management</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14:paraId="24404429" w14:textId="02A439E1" w:rsidR="009E6C53" w:rsidRPr="00992869" w:rsidRDefault="009E6C53" w:rsidP="009E6C53">
      <w:bookmarkStart w:id="1140" w:name="_Toc252789506"/>
      <w:bookmarkStart w:id="1141" w:name="_Toc252803351"/>
      <w:bookmarkStart w:id="1142" w:name="_Toc396825296"/>
      <w:bookmarkStart w:id="1143" w:name="_Toc6403848"/>
      <w:bookmarkStart w:id="1144" w:name="_Toc10095233"/>
      <w:bookmarkStart w:id="1145" w:name="_Toc10192402"/>
      <w:r w:rsidRPr="00992869">
        <w:t>See Section</w:t>
      </w:r>
      <w:r>
        <w:t xml:space="preserve"> </w:t>
      </w:r>
      <w:r>
        <w:fldChar w:fldCharType="begin"/>
      </w:r>
      <w:r>
        <w:instrText xml:space="preserve"> REF _Ref10196755 \r \h </w:instrText>
      </w:r>
      <w:r>
        <w:fldChar w:fldCharType="separate"/>
      </w:r>
      <w:r w:rsidR="00DF49CD">
        <w:t>11</w:t>
      </w:r>
      <w:r>
        <w:fldChar w:fldCharType="end"/>
      </w:r>
      <w:r>
        <w:t xml:space="preserve"> </w:t>
      </w:r>
      <w:r w:rsidRPr="002E3EEF">
        <w:rPr>
          <w:rFonts w:cstheme="minorHAnsi"/>
          <w:szCs w:val="22"/>
        </w:rPr>
        <w:t xml:space="preserve">in the </w:t>
      </w:r>
      <w:r>
        <w:rPr>
          <w:rFonts w:cstheme="minorHAnsi"/>
          <w:szCs w:val="22"/>
        </w:rPr>
        <w:t>MER</w:t>
      </w:r>
      <w:r w:rsidRPr="002E3EEF">
        <w:rPr>
          <w:rFonts w:cstheme="minorHAnsi"/>
          <w:szCs w:val="22"/>
        </w:rPr>
        <w:t xml:space="preserve"> Plan</w:t>
      </w:r>
      <w:r>
        <w:rPr>
          <w:rFonts w:cstheme="minorHAnsi"/>
          <w:szCs w:val="22"/>
        </w:rPr>
        <w:t xml:space="preserve"> for data management procedures</w:t>
      </w:r>
      <w:r w:rsidRPr="00992869">
        <w:t>.</w:t>
      </w:r>
      <w:r>
        <w:t xml:space="preserve"> </w:t>
      </w:r>
      <w:r w:rsidR="008747ED">
        <w:t>The data structure for all Category 1 (Basin-scale) indicators will follow standard templates decided upon by the MER Basin-scale Providers, in consultation with CEWO.</w:t>
      </w:r>
    </w:p>
    <w:p w14:paraId="5083A519" w14:textId="77777777" w:rsidR="009E6C53" w:rsidRPr="00992869" w:rsidRDefault="009E6C53" w:rsidP="009E6C53">
      <w:pPr>
        <w:pStyle w:val="Heading2"/>
      </w:pPr>
      <w:bookmarkStart w:id="1146" w:name="_Toc10206716"/>
      <w:bookmarkStart w:id="1147" w:name="_Toc10213302"/>
      <w:bookmarkStart w:id="1148" w:name="_Toc10732326"/>
      <w:bookmarkStart w:id="1149" w:name="_Toc10796885"/>
      <w:bookmarkStart w:id="1150" w:name="_Toc12022770"/>
      <w:bookmarkStart w:id="1151" w:name="_Toc12630600"/>
      <w:bookmarkStart w:id="1152" w:name="_Toc16154460"/>
      <w:bookmarkStart w:id="1153" w:name="_Toc22196822"/>
      <w:r w:rsidRPr="00992869">
        <w:t>Quality Assurance/Quality Control</w:t>
      </w:r>
      <w:bookmarkEnd w:id="1146"/>
      <w:bookmarkEnd w:id="1147"/>
      <w:bookmarkEnd w:id="1148"/>
      <w:bookmarkEnd w:id="1149"/>
      <w:bookmarkEnd w:id="1150"/>
      <w:bookmarkEnd w:id="1151"/>
      <w:bookmarkEnd w:id="1152"/>
      <w:bookmarkEnd w:id="1153"/>
    </w:p>
    <w:p w14:paraId="65617F81" w14:textId="3929D504" w:rsidR="009E6C53" w:rsidRPr="00992869" w:rsidRDefault="009E6C53" w:rsidP="009E6C53">
      <w:r w:rsidRPr="00992869">
        <w:t xml:space="preserve">See Section </w:t>
      </w:r>
      <w:r w:rsidRPr="00992869">
        <w:fldChar w:fldCharType="begin"/>
      </w:r>
      <w:r w:rsidRPr="00992869">
        <w:instrText xml:space="preserve"> REF _Ref9333977 \r \h  \* MERGEFORMAT </w:instrText>
      </w:r>
      <w:r w:rsidRPr="00992869">
        <w:fldChar w:fldCharType="separate"/>
      </w:r>
      <w:r w:rsidR="00DF49CD">
        <w:t>10.3</w:t>
      </w:r>
      <w:r w:rsidRPr="00992869">
        <w:fldChar w:fldCharType="end"/>
      </w:r>
      <w:r>
        <w:t xml:space="preserve"> </w:t>
      </w:r>
      <w:r w:rsidRPr="002E3EEF">
        <w:rPr>
          <w:rFonts w:cstheme="minorHAnsi"/>
          <w:szCs w:val="22"/>
        </w:rPr>
        <w:t xml:space="preserve">in the </w:t>
      </w:r>
      <w:r>
        <w:rPr>
          <w:rFonts w:cstheme="minorHAnsi"/>
          <w:szCs w:val="22"/>
        </w:rPr>
        <w:t>MER</w:t>
      </w:r>
      <w:r w:rsidRPr="002E3EEF">
        <w:rPr>
          <w:rFonts w:cstheme="minorHAnsi"/>
          <w:szCs w:val="22"/>
        </w:rPr>
        <w:t xml:space="preserve"> Plan</w:t>
      </w:r>
      <w:r>
        <w:rPr>
          <w:rFonts w:cstheme="minorHAnsi"/>
          <w:szCs w:val="22"/>
        </w:rPr>
        <w:t xml:space="preserve"> for quality assurance and control measures</w:t>
      </w:r>
      <w:r w:rsidRPr="00992869">
        <w:t xml:space="preserve">. </w:t>
      </w:r>
    </w:p>
    <w:p w14:paraId="79A9CB6B" w14:textId="77777777" w:rsidR="00C47B2A" w:rsidRPr="00992869" w:rsidRDefault="00C47B2A" w:rsidP="00C47B2A">
      <w:pPr>
        <w:pStyle w:val="Heading2"/>
      </w:pPr>
      <w:bookmarkStart w:id="1154" w:name="_Toc10206717"/>
      <w:bookmarkStart w:id="1155" w:name="_Toc10213303"/>
      <w:bookmarkStart w:id="1156" w:name="_Toc10732327"/>
      <w:bookmarkStart w:id="1157" w:name="_Toc10796886"/>
      <w:bookmarkStart w:id="1158" w:name="_Toc12022771"/>
      <w:bookmarkStart w:id="1159" w:name="_Toc12630601"/>
      <w:bookmarkStart w:id="1160" w:name="_Toc16154461"/>
      <w:bookmarkStart w:id="1161" w:name="_Toc22196823"/>
      <w:r w:rsidRPr="00992869">
        <w:t>Health, safety</w:t>
      </w:r>
      <w:bookmarkEnd w:id="1140"/>
      <w:bookmarkEnd w:id="1141"/>
      <w:r w:rsidRPr="00992869">
        <w:t xml:space="preserve"> and environment plan</w:t>
      </w:r>
      <w:bookmarkEnd w:id="1142"/>
      <w:bookmarkEnd w:id="1143"/>
      <w:bookmarkEnd w:id="1144"/>
      <w:bookmarkEnd w:id="1145"/>
      <w:bookmarkEnd w:id="1154"/>
      <w:bookmarkEnd w:id="1155"/>
      <w:bookmarkEnd w:id="1156"/>
      <w:bookmarkEnd w:id="1157"/>
      <w:bookmarkEnd w:id="1158"/>
      <w:bookmarkEnd w:id="1159"/>
      <w:bookmarkEnd w:id="1160"/>
      <w:bookmarkEnd w:id="1161"/>
    </w:p>
    <w:p w14:paraId="01EDD26B" w14:textId="4A330889" w:rsidR="00C47B2A" w:rsidRDefault="000E285D" w:rsidP="00C47B2A">
      <w:pPr>
        <w:rPr>
          <w:lang w:val="en-US"/>
        </w:rPr>
      </w:pPr>
      <w:r>
        <w:t>See Appendix A</w:t>
      </w:r>
      <w:r w:rsidR="00C47B2A" w:rsidRPr="00992869">
        <w:t>.</w:t>
      </w:r>
    </w:p>
    <w:p w14:paraId="1BAE00CE" w14:textId="77777777" w:rsidR="00C47B2A" w:rsidRPr="00CF4F75" w:rsidRDefault="00C47B2A" w:rsidP="00C47B2A">
      <w:pPr>
        <w:pStyle w:val="Heading2"/>
      </w:pPr>
      <w:bookmarkStart w:id="1162" w:name="_Toc252789507"/>
      <w:bookmarkStart w:id="1163" w:name="_Toc252803352"/>
      <w:bookmarkStart w:id="1164" w:name="_Toc396825297"/>
      <w:bookmarkStart w:id="1165" w:name="_Toc6403849"/>
      <w:bookmarkStart w:id="1166" w:name="_Toc10095234"/>
      <w:bookmarkStart w:id="1167" w:name="_Toc10192403"/>
      <w:bookmarkStart w:id="1168" w:name="_Toc10206718"/>
      <w:bookmarkStart w:id="1169" w:name="_Toc10213304"/>
      <w:bookmarkStart w:id="1170" w:name="_Toc10732328"/>
      <w:bookmarkStart w:id="1171" w:name="_Toc10796887"/>
      <w:bookmarkStart w:id="1172" w:name="_Toc12022772"/>
      <w:bookmarkStart w:id="1173" w:name="_Toc12630602"/>
      <w:bookmarkStart w:id="1174" w:name="_Toc16154462"/>
      <w:bookmarkStart w:id="1175" w:name="_Toc22196824"/>
      <w:r>
        <w:t>References</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14:paraId="43636A87" w14:textId="2D8B714C" w:rsidR="00336C52" w:rsidRPr="002D7D2A" w:rsidRDefault="00C47B2A" w:rsidP="00C47B2A">
      <w:r w:rsidRPr="009F1B02">
        <w:t>Hale, J., Stoffels, R., Butcher, R., Shackleton, M., Brooks, S. and Gawne, B. (2014). Commonwealth Environmental Water Office Long Term Intervention Monitoring Project – Standard Methods. Final Report prepared for the Commonwealth Environmental Water Office by The Murray</w:t>
      </w:r>
      <w:r>
        <w:rPr>
          <w:rFonts w:eastAsiaTheme="majorEastAsia"/>
        </w:rPr>
        <w:t>–</w:t>
      </w:r>
      <w:r w:rsidRPr="009F1B02">
        <w:t>Darling Freshwater Research Centre. Murray</w:t>
      </w:r>
      <w:r>
        <w:rPr>
          <w:rFonts w:eastAsiaTheme="majorEastAsia"/>
        </w:rPr>
        <w:t>–</w:t>
      </w:r>
      <w:r w:rsidRPr="009F1B02">
        <w:t>Darling Freshwater Research Centre, MDFRC Publication 29.2/2014.</w:t>
      </w:r>
    </w:p>
    <w:p w14:paraId="26E7539A" w14:textId="77777777" w:rsidR="00336C52" w:rsidRDefault="00336C52" w:rsidP="00336C52">
      <w:pPr>
        <w:rPr>
          <w:rFonts w:eastAsiaTheme="majorEastAsia" w:cstheme="majorBidi"/>
          <w:color w:val="auto"/>
          <w:sz w:val="32"/>
          <w:szCs w:val="28"/>
        </w:rPr>
      </w:pPr>
      <w:r>
        <w:br w:type="page"/>
      </w:r>
    </w:p>
    <w:p w14:paraId="137EF22C" w14:textId="523C9268" w:rsidR="00336C52" w:rsidRDefault="009633F2" w:rsidP="00336C52">
      <w:pPr>
        <w:pStyle w:val="Heading1"/>
        <w:numPr>
          <w:ilvl w:val="0"/>
          <w:numId w:val="0"/>
        </w:numPr>
        <w:ind w:left="851" w:hanging="851"/>
      </w:pPr>
      <w:bookmarkStart w:id="1176" w:name="_Toc10192404"/>
      <w:bookmarkStart w:id="1177" w:name="_Toc10206719"/>
      <w:bookmarkStart w:id="1178" w:name="_Toc10213305"/>
      <w:bookmarkStart w:id="1179" w:name="_Toc10732329"/>
      <w:bookmarkStart w:id="1180" w:name="_Toc10796888"/>
      <w:bookmarkStart w:id="1181" w:name="_Toc12022773"/>
      <w:bookmarkStart w:id="1182" w:name="_Toc12630603"/>
      <w:bookmarkStart w:id="1183" w:name="_Toc16154463"/>
      <w:bookmarkStart w:id="1184" w:name="_Toc22196825"/>
      <w:r>
        <w:lastRenderedPageBreak/>
        <w:t>Category 3</w:t>
      </w:r>
      <w:bookmarkEnd w:id="1176"/>
      <w:bookmarkEnd w:id="1177"/>
      <w:bookmarkEnd w:id="1178"/>
      <w:bookmarkEnd w:id="1179"/>
      <w:bookmarkEnd w:id="1180"/>
      <w:bookmarkEnd w:id="1181"/>
      <w:bookmarkEnd w:id="1182"/>
      <w:bookmarkEnd w:id="1183"/>
      <w:bookmarkEnd w:id="1184"/>
    </w:p>
    <w:p w14:paraId="31235B95" w14:textId="0E957E74" w:rsidR="006361E1" w:rsidRDefault="00D86D18" w:rsidP="006361E1">
      <w:pPr>
        <w:pStyle w:val="Heading1"/>
      </w:pPr>
      <w:bookmarkStart w:id="1185" w:name="_Toc396825337"/>
      <w:bookmarkStart w:id="1186" w:name="_Ref397516553"/>
      <w:bookmarkStart w:id="1187" w:name="_Toc6403905"/>
      <w:bookmarkStart w:id="1188" w:name="_Toc10095236"/>
      <w:bookmarkStart w:id="1189" w:name="_Toc10192405"/>
      <w:bookmarkStart w:id="1190" w:name="_Toc10206720"/>
      <w:bookmarkStart w:id="1191" w:name="_Toc10213306"/>
      <w:bookmarkStart w:id="1192" w:name="_Toc10732330"/>
      <w:bookmarkStart w:id="1193" w:name="_Toc10796889"/>
      <w:bookmarkStart w:id="1194" w:name="_Toc12022774"/>
      <w:bookmarkStart w:id="1195" w:name="_Toc12630604"/>
      <w:bookmarkStart w:id="1196" w:name="_Toc16154464"/>
      <w:bookmarkStart w:id="1197" w:name="_Toc22196826"/>
      <w:bookmarkStart w:id="1198" w:name="_Ref396395199"/>
      <w:bookmarkStart w:id="1199" w:name="_Toc396825312"/>
      <w:bookmarkStart w:id="1200" w:name="_Toc6403869"/>
      <w:r>
        <w:t>Hydraulic R</w:t>
      </w:r>
      <w:r w:rsidR="006361E1">
        <w:t>egime</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347D33E7" w14:textId="77777777" w:rsidR="006361E1" w:rsidRPr="00525AE9" w:rsidRDefault="006361E1" w:rsidP="006361E1">
      <w:pPr>
        <w:pStyle w:val="Heading2"/>
      </w:pPr>
      <w:bookmarkStart w:id="1201" w:name="_Toc396825338"/>
      <w:bookmarkStart w:id="1202" w:name="_Ref401830173"/>
      <w:bookmarkStart w:id="1203" w:name="_Toc6403906"/>
      <w:bookmarkStart w:id="1204" w:name="_Toc10095237"/>
      <w:bookmarkStart w:id="1205" w:name="_Toc10192406"/>
      <w:bookmarkStart w:id="1206" w:name="_Toc10206721"/>
      <w:bookmarkStart w:id="1207" w:name="_Toc10213307"/>
      <w:bookmarkStart w:id="1208" w:name="_Toc10732331"/>
      <w:bookmarkStart w:id="1209" w:name="_Toc10796890"/>
      <w:bookmarkStart w:id="1210" w:name="_Toc12022775"/>
      <w:bookmarkStart w:id="1211" w:name="_Toc12630605"/>
      <w:bookmarkStart w:id="1212" w:name="_Toc16154465"/>
      <w:bookmarkStart w:id="1213" w:name="_Toc22196827"/>
      <w:r w:rsidRPr="00525AE9">
        <w:t>Evaluation questions</w:t>
      </w:r>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14:paraId="423CF76A" w14:textId="51527408" w:rsidR="006361E1" w:rsidRPr="00557D7E" w:rsidRDefault="006361E1" w:rsidP="006361E1">
      <w:pPr>
        <w:rPr>
          <w:szCs w:val="22"/>
        </w:rPr>
      </w:pPr>
      <w:r w:rsidRPr="00557D7E">
        <w:rPr>
          <w:szCs w:val="22"/>
        </w:rPr>
        <w:t xml:space="preserve">This monitoring protocol addresses the following Selected Area </w:t>
      </w:r>
      <w:r>
        <w:rPr>
          <w:szCs w:val="22"/>
        </w:rPr>
        <w:t xml:space="preserve">scale </w:t>
      </w:r>
      <w:r w:rsidRPr="00557D7E">
        <w:rPr>
          <w:szCs w:val="22"/>
        </w:rPr>
        <w:t>evaluation questions</w:t>
      </w:r>
      <w:r w:rsidR="00803FAA">
        <w:rPr>
          <w:szCs w:val="22"/>
        </w:rPr>
        <w:t xml:space="preserve"> for</w:t>
      </w:r>
      <w:r w:rsidRPr="00557D7E">
        <w:rPr>
          <w:szCs w:val="22"/>
        </w:rPr>
        <w:t>:</w:t>
      </w:r>
    </w:p>
    <w:p w14:paraId="37EC76D3" w14:textId="0D0B6751" w:rsidR="006361E1" w:rsidRPr="00C2634B" w:rsidRDefault="006361E1" w:rsidP="006361E1">
      <w:pPr>
        <w:rPr>
          <w:b/>
        </w:rPr>
      </w:pPr>
      <w:r w:rsidRPr="00C2634B">
        <w:rPr>
          <w:b/>
        </w:rPr>
        <w:t xml:space="preserve">Short-term </w:t>
      </w:r>
      <w:r w:rsidR="00803FAA">
        <w:rPr>
          <w:b/>
        </w:rPr>
        <w:t>responses</w:t>
      </w:r>
      <w:r w:rsidRPr="00C2634B">
        <w:rPr>
          <w:b/>
        </w:rPr>
        <w:t>:</w:t>
      </w:r>
    </w:p>
    <w:p w14:paraId="4F1E0035" w14:textId="77777777" w:rsidR="00803FAA" w:rsidRPr="00803FAA" w:rsidRDefault="006361E1" w:rsidP="006361E1">
      <w:pPr>
        <w:pStyle w:val="TableBullets"/>
        <w:tabs>
          <w:tab w:val="num" w:pos="360"/>
        </w:tabs>
        <w:rPr>
          <w:sz w:val="22"/>
          <w:lang w:eastAsia="en-US"/>
        </w:rPr>
      </w:pPr>
      <w:r w:rsidRPr="00557D7E">
        <w:rPr>
          <w:sz w:val="22"/>
        </w:rPr>
        <w:t xml:space="preserve">What did </w:t>
      </w:r>
      <w:r w:rsidRPr="00803FAA">
        <w:rPr>
          <w:kern w:val="0"/>
          <w:sz w:val="22"/>
        </w:rPr>
        <w:t>Commonwealth environmental water</w:t>
      </w:r>
      <w:r w:rsidRPr="00803FAA">
        <w:rPr>
          <w:sz w:val="22"/>
        </w:rPr>
        <w:t xml:space="preserve"> contribute to hydraulic diversity within weir pools?</w:t>
      </w:r>
    </w:p>
    <w:p w14:paraId="4F337E33" w14:textId="12168CEE" w:rsidR="00D86D18" w:rsidRPr="00803FAA" w:rsidRDefault="006361E1" w:rsidP="006361E1">
      <w:pPr>
        <w:pStyle w:val="TableBullets"/>
        <w:tabs>
          <w:tab w:val="num" w:pos="360"/>
        </w:tabs>
        <w:rPr>
          <w:sz w:val="22"/>
          <w:lang w:eastAsia="en-US"/>
        </w:rPr>
      </w:pPr>
      <w:r w:rsidRPr="00803FAA">
        <w:rPr>
          <w:sz w:val="22"/>
        </w:rPr>
        <w:t xml:space="preserve">What did Commonwealth environmental water contribute to </w:t>
      </w:r>
      <w:r w:rsidR="00F12F4B">
        <w:rPr>
          <w:sz w:val="22"/>
        </w:rPr>
        <w:t xml:space="preserve">in-channel </w:t>
      </w:r>
      <w:r w:rsidRPr="00803FAA">
        <w:rPr>
          <w:sz w:val="22"/>
        </w:rPr>
        <w:t xml:space="preserve">variability in water levels? </w:t>
      </w:r>
    </w:p>
    <w:p w14:paraId="17151185" w14:textId="22CA65AE" w:rsidR="006361E1" w:rsidRPr="00C2634B" w:rsidRDefault="006361E1" w:rsidP="006361E1">
      <w:pPr>
        <w:rPr>
          <w:b/>
        </w:rPr>
      </w:pPr>
      <w:r w:rsidRPr="00C2634B">
        <w:rPr>
          <w:b/>
        </w:rPr>
        <w:t xml:space="preserve">Long-term </w:t>
      </w:r>
      <w:r w:rsidR="00803FAA">
        <w:rPr>
          <w:b/>
        </w:rPr>
        <w:t>outcomes</w:t>
      </w:r>
      <w:r w:rsidRPr="00C2634B">
        <w:rPr>
          <w:b/>
        </w:rPr>
        <w:t>:</w:t>
      </w:r>
    </w:p>
    <w:p w14:paraId="1E4DE6EC" w14:textId="77777777" w:rsidR="006361E1" w:rsidRDefault="006361E1" w:rsidP="006361E1">
      <w:pPr>
        <w:pStyle w:val="TableBullets"/>
        <w:tabs>
          <w:tab w:val="num" w:pos="360"/>
        </w:tabs>
        <w:rPr>
          <w:sz w:val="22"/>
        </w:rPr>
      </w:pPr>
      <w:r w:rsidRPr="00557D7E">
        <w:rPr>
          <w:sz w:val="22"/>
        </w:rPr>
        <w:t xml:space="preserve">What did </w:t>
      </w:r>
      <w:r w:rsidRPr="00557D7E">
        <w:rPr>
          <w:kern w:val="0"/>
          <w:sz w:val="22"/>
        </w:rPr>
        <w:t>Commonwealth environmental water</w:t>
      </w:r>
      <w:r w:rsidRPr="00557D7E">
        <w:rPr>
          <w:sz w:val="22"/>
        </w:rPr>
        <w:t xml:space="preserve"> contribute to hydrological connectivity?</w:t>
      </w:r>
    </w:p>
    <w:p w14:paraId="2DA0A9C7" w14:textId="4D632AFB" w:rsidR="006361E1" w:rsidRPr="00BD56AE" w:rsidRDefault="00013CA7" w:rsidP="00013CA7">
      <w:pPr>
        <w:pStyle w:val="TableBullets"/>
        <w:rPr>
          <w:sz w:val="22"/>
        </w:rPr>
      </w:pPr>
      <w:r>
        <w:rPr>
          <w:sz w:val="22"/>
        </w:rPr>
        <w:t>What did Commonwealth environmental water</w:t>
      </w:r>
      <w:r w:rsidR="004A238E">
        <w:rPr>
          <w:sz w:val="22"/>
        </w:rPr>
        <w:t xml:space="preserve"> contribute to m</w:t>
      </w:r>
      <w:r w:rsidRPr="00013CA7">
        <w:rPr>
          <w:sz w:val="22"/>
        </w:rPr>
        <w:t>eeting Environmental Water Requirements</w:t>
      </w:r>
      <w:r w:rsidR="00CA3DD8">
        <w:rPr>
          <w:sz w:val="22"/>
        </w:rPr>
        <w:t xml:space="preserve"> </w:t>
      </w:r>
      <w:r w:rsidR="00CA3DD8" w:rsidRPr="00397198">
        <w:rPr>
          <w:sz w:val="22"/>
        </w:rPr>
        <w:t>(of the South Australian Murray River Long-Term Watering Plan)</w:t>
      </w:r>
      <w:r w:rsidRPr="00013CA7">
        <w:rPr>
          <w:sz w:val="22"/>
        </w:rPr>
        <w:t xml:space="preserve"> in the main channel of the Lower Murray?</w:t>
      </w:r>
    </w:p>
    <w:p w14:paraId="079DFA0F" w14:textId="77777777" w:rsidR="006361E1" w:rsidRPr="00557D7E" w:rsidRDefault="006361E1" w:rsidP="006361E1">
      <w:pPr>
        <w:pStyle w:val="TableBullets"/>
        <w:numPr>
          <w:ilvl w:val="0"/>
          <w:numId w:val="0"/>
        </w:numPr>
        <w:ind w:left="770"/>
        <w:rPr>
          <w:sz w:val="22"/>
        </w:rPr>
      </w:pPr>
    </w:p>
    <w:p w14:paraId="528EBEDB" w14:textId="76EEB1E6" w:rsidR="006361E1" w:rsidRDefault="006361E1" w:rsidP="006361E1">
      <w:r w:rsidRPr="00557D7E">
        <w:t>The process for evaluating these q</w:t>
      </w:r>
      <w:r w:rsidR="00391A27">
        <w:t>uestions is illustrated below in Figure B.6.</w:t>
      </w:r>
    </w:p>
    <w:p w14:paraId="0D8ECD74" w14:textId="66F10AA8" w:rsidR="00E30C11" w:rsidRDefault="000A5C8D" w:rsidP="00E30C11">
      <w:bookmarkStart w:id="1214" w:name="_Ref397515938"/>
      <w:r w:rsidRPr="000A5C8D">
        <w:rPr>
          <w:noProof/>
          <w:lang w:eastAsia="en-AU"/>
        </w:rPr>
        <w:drawing>
          <wp:inline distT="0" distB="0" distL="0" distR="0" wp14:anchorId="1F7E2B11" wp14:editId="4F284607">
            <wp:extent cx="4826000" cy="4305300"/>
            <wp:effectExtent l="19050" t="19050" r="1270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b="5824"/>
                    <a:stretch/>
                  </pic:blipFill>
                  <pic:spPr bwMode="auto">
                    <a:xfrm>
                      <a:off x="0" y="0"/>
                      <a:ext cx="4850670" cy="4327308"/>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8DBA2D0" w14:textId="3FC7BAC3" w:rsidR="006361E1" w:rsidRPr="0007165A" w:rsidRDefault="006361E1" w:rsidP="006361E1">
      <w:pPr>
        <w:pStyle w:val="Caption"/>
      </w:pPr>
      <w:r>
        <w:t>Figure B.</w:t>
      </w:r>
      <w:r>
        <w:rPr>
          <w:noProof/>
        </w:rPr>
        <w:fldChar w:fldCharType="begin"/>
      </w:r>
      <w:r>
        <w:rPr>
          <w:noProof/>
        </w:rPr>
        <w:instrText xml:space="preserve"> SEQ Figure_B. \* ARABIC </w:instrText>
      </w:r>
      <w:r>
        <w:rPr>
          <w:noProof/>
        </w:rPr>
        <w:fldChar w:fldCharType="separate"/>
      </w:r>
      <w:r w:rsidR="00DF49CD">
        <w:rPr>
          <w:noProof/>
        </w:rPr>
        <w:t>6</w:t>
      </w:r>
      <w:r>
        <w:rPr>
          <w:noProof/>
        </w:rPr>
        <w:fldChar w:fldCharType="end"/>
      </w:r>
      <w:bookmarkEnd w:id="1214"/>
      <w:r w:rsidRPr="0007165A">
        <w:t xml:space="preserve">. Schematic of key elements of the LTIM Standard Protocol: </w:t>
      </w:r>
      <w:r w:rsidRPr="00013CA7">
        <w:rPr>
          <w:i/>
        </w:rPr>
        <w:t>Hydraulic</w:t>
      </w:r>
      <w:r w:rsidR="00013CA7" w:rsidRPr="00013CA7">
        <w:rPr>
          <w:i/>
        </w:rPr>
        <w:t xml:space="preserve"> R</w:t>
      </w:r>
      <w:r w:rsidRPr="00013CA7">
        <w:rPr>
          <w:i/>
        </w:rPr>
        <w:t>egime</w:t>
      </w:r>
      <w:r w:rsidRPr="0007165A">
        <w:t xml:space="preserve"> (adapted from the </w:t>
      </w:r>
      <w:r w:rsidRPr="00013CA7">
        <w:rPr>
          <w:i/>
        </w:rPr>
        <w:t>Hydrology (Channel)</w:t>
      </w:r>
      <w:r w:rsidRPr="0007165A">
        <w:t xml:space="preserve"> schematic in Hale </w:t>
      </w:r>
      <w:r w:rsidRPr="0077102F">
        <w:rPr>
          <w:i/>
        </w:rPr>
        <w:t>et al.</w:t>
      </w:r>
      <w:r w:rsidRPr="0007165A">
        <w:t xml:space="preserve"> 2014).</w:t>
      </w:r>
    </w:p>
    <w:p w14:paraId="5D01DBCE" w14:textId="77777777" w:rsidR="006361E1" w:rsidRPr="00525AE9" w:rsidRDefault="006361E1" w:rsidP="006361E1">
      <w:pPr>
        <w:pStyle w:val="Heading2"/>
      </w:pPr>
      <w:bookmarkStart w:id="1215" w:name="_Toc396825339"/>
      <w:bookmarkStart w:id="1216" w:name="_Toc6403907"/>
      <w:bookmarkStart w:id="1217" w:name="_Toc10095238"/>
      <w:bookmarkStart w:id="1218" w:name="_Toc10192407"/>
      <w:bookmarkStart w:id="1219" w:name="_Toc10206722"/>
      <w:bookmarkStart w:id="1220" w:name="_Toc10213308"/>
      <w:bookmarkStart w:id="1221" w:name="_Toc10732332"/>
      <w:bookmarkStart w:id="1222" w:name="_Toc10796891"/>
      <w:bookmarkStart w:id="1223" w:name="_Toc12022776"/>
      <w:bookmarkStart w:id="1224" w:name="_Toc12630606"/>
      <w:bookmarkStart w:id="1225" w:name="_Toc16154466"/>
      <w:bookmarkStart w:id="1226" w:name="_Toc22196828"/>
      <w:r w:rsidRPr="00525AE9">
        <w:lastRenderedPageBreak/>
        <w:t>Relevant ecosystem types</w:t>
      </w:r>
      <w:bookmarkEnd w:id="1215"/>
      <w:bookmarkEnd w:id="1216"/>
      <w:bookmarkEnd w:id="1217"/>
      <w:bookmarkEnd w:id="1218"/>
      <w:bookmarkEnd w:id="1219"/>
      <w:bookmarkEnd w:id="1220"/>
      <w:bookmarkEnd w:id="1221"/>
      <w:bookmarkEnd w:id="1222"/>
      <w:bookmarkEnd w:id="1223"/>
      <w:bookmarkEnd w:id="1224"/>
      <w:bookmarkEnd w:id="1225"/>
      <w:bookmarkEnd w:id="1226"/>
    </w:p>
    <w:p w14:paraId="2B5A4A4D" w14:textId="77777777" w:rsidR="006361E1" w:rsidRPr="00525AE9" w:rsidRDefault="006361E1" w:rsidP="006361E1">
      <w:r>
        <w:t>All – r</w:t>
      </w:r>
      <w:r w:rsidRPr="00525AE9">
        <w:t>iver</w:t>
      </w:r>
      <w:r>
        <w:t>s, wetlands and floodplains.</w:t>
      </w:r>
    </w:p>
    <w:p w14:paraId="41E124FE" w14:textId="77777777" w:rsidR="006361E1" w:rsidRPr="00525AE9" w:rsidRDefault="006361E1" w:rsidP="006361E1">
      <w:pPr>
        <w:pStyle w:val="Heading2"/>
      </w:pPr>
      <w:bookmarkStart w:id="1227" w:name="_Toc396825340"/>
      <w:bookmarkStart w:id="1228" w:name="_Toc6403908"/>
      <w:bookmarkStart w:id="1229" w:name="_Toc10095239"/>
      <w:bookmarkStart w:id="1230" w:name="_Toc10192408"/>
      <w:bookmarkStart w:id="1231" w:name="_Toc10206723"/>
      <w:bookmarkStart w:id="1232" w:name="_Toc10213309"/>
      <w:bookmarkStart w:id="1233" w:name="_Toc10732333"/>
      <w:bookmarkStart w:id="1234" w:name="_Toc10796892"/>
      <w:bookmarkStart w:id="1235" w:name="_Toc12022777"/>
      <w:bookmarkStart w:id="1236" w:name="_Toc12630607"/>
      <w:bookmarkStart w:id="1237" w:name="_Toc16154467"/>
      <w:bookmarkStart w:id="1238" w:name="_Toc22196829"/>
      <w:r w:rsidRPr="00525AE9">
        <w:t>Relevant flow types</w:t>
      </w:r>
      <w:bookmarkEnd w:id="1227"/>
      <w:bookmarkEnd w:id="1228"/>
      <w:bookmarkEnd w:id="1229"/>
      <w:bookmarkEnd w:id="1230"/>
      <w:bookmarkEnd w:id="1231"/>
      <w:bookmarkEnd w:id="1232"/>
      <w:bookmarkEnd w:id="1233"/>
      <w:bookmarkEnd w:id="1234"/>
      <w:bookmarkEnd w:id="1235"/>
      <w:bookmarkEnd w:id="1236"/>
      <w:bookmarkEnd w:id="1237"/>
      <w:bookmarkEnd w:id="1238"/>
    </w:p>
    <w:p w14:paraId="755506E0" w14:textId="77777777" w:rsidR="006361E1" w:rsidRPr="00525AE9" w:rsidRDefault="006361E1" w:rsidP="006361E1">
      <w:r>
        <w:t>All – baseflow, f</w:t>
      </w:r>
      <w:r w:rsidRPr="00525AE9">
        <w:t>resh</w:t>
      </w:r>
      <w:r>
        <w:t xml:space="preserve">es, </w:t>
      </w:r>
      <w:r w:rsidRPr="00525AE9">
        <w:t>bankfull</w:t>
      </w:r>
      <w:r>
        <w:t xml:space="preserve"> and</w:t>
      </w:r>
      <w:r w:rsidRPr="00525AE9">
        <w:t xml:space="preserve"> overbank</w:t>
      </w:r>
      <w:r>
        <w:t>.</w:t>
      </w:r>
    </w:p>
    <w:p w14:paraId="59F5C113" w14:textId="77777777" w:rsidR="006361E1" w:rsidRDefault="006361E1" w:rsidP="006361E1">
      <w:pPr>
        <w:pStyle w:val="Heading2"/>
      </w:pPr>
      <w:bookmarkStart w:id="1239" w:name="_Toc396825341"/>
      <w:bookmarkStart w:id="1240" w:name="_Toc6403909"/>
      <w:bookmarkStart w:id="1241" w:name="_Toc10095240"/>
      <w:bookmarkStart w:id="1242" w:name="_Toc10192409"/>
      <w:bookmarkStart w:id="1243" w:name="_Toc10206724"/>
      <w:bookmarkStart w:id="1244" w:name="_Toc10213310"/>
      <w:bookmarkStart w:id="1245" w:name="_Toc10732334"/>
      <w:bookmarkStart w:id="1246" w:name="_Toc10796893"/>
      <w:bookmarkStart w:id="1247" w:name="_Toc12022778"/>
      <w:bookmarkStart w:id="1248" w:name="_Toc12630608"/>
      <w:bookmarkStart w:id="1249" w:name="_Toc16154468"/>
      <w:bookmarkStart w:id="1250" w:name="_Toc22196830"/>
      <w:r w:rsidRPr="00525AE9">
        <w:t>Overview and context</w:t>
      </w:r>
      <w:bookmarkEnd w:id="1239"/>
      <w:bookmarkEnd w:id="1240"/>
      <w:bookmarkEnd w:id="1241"/>
      <w:bookmarkEnd w:id="1242"/>
      <w:bookmarkEnd w:id="1243"/>
      <w:bookmarkEnd w:id="1244"/>
      <w:bookmarkEnd w:id="1245"/>
      <w:bookmarkEnd w:id="1246"/>
      <w:bookmarkEnd w:id="1247"/>
      <w:bookmarkEnd w:id="1248"/>
      <w:bookmarkEnd w:id="1249"/>
      <w:bookmarkEnd w:id="1250"/>
    </w:p>
    <w:p w14:paraId="43FCDFED" w14:textId="041F3154" w:rsidR="006361E1" w:rsidRPr="00E42A64" w:rsidRDefault="006361E1" w:rsidP="006361E1">
      <w:pPr>
        <w:rPr>
          <w:szCs w:val="22"/>
        </w:rPr>
      </w:pPr>
      <w:r w:rsidRPr="00E42A64">
        <w:rPr>
          <w:szCs w:val="22"/>
        </w:rPr>
        <w:t>This component will use</w:t>
      </w:r>
      <w:r>
        <w:rPr>
          <w:szCs w:val="22"/>
        </w:rPr>
        <w:t xml:space="preserve"> outputs from</w:t>
      </w:r>
      <w:r w:rsidRPr="00E42A64">
        <w:rPr>
          <w:szCs w:val="22"/>
        </w:rPr>
        <w:t xml:space="preserve"> three 1D</w:t>
      </w:r>
      <w:r>
        <w:rPr>
          <w:rFonts w:eastAsiaTheme="majorEastAsia"/>
        </w:rPr>
        <w:t>–</w:t>
      </w:r>
      <w:r w:rsidRPr="00E42A64">
        <w:rPr>
          <w:szCs w:val="22"/>
        </w:rPr>
        <w:t>2D coupled hydrodynamic models that have been developed and used extensively in the region (</w:t>
      </w:r>
      <w:r>
        <w:t xml:space="preserve">DHI 2014, McCullough </w:t>
      </w:r>
      <w:r w:rsidRPr="00013CA7">
        <w:rPr>
          <w:i/>
        </w:rPr>
        <w:t>et al.</w:t>
      </w:r>
      <w:r>
        <w:t xml:space="preserve"> 2017</w:t>
      </w:r>
      <w:r w:rsidRPr="00E42A64">
        <w:rPr>
          <w:szCs w:val="22"/>
        </w:rPr>
        <w:t xml:space="preserve">). The models represent the majority of the </w:t>
      </w:r>
      <w:r w:rsidRPr="00C304CC">
        <w:rPr>
          <w:szCs w:val="22"/>
        </w:rPr>
        <w:t>Lower Murray</w:t>
      </w:r>
      <w:r w:rsidRPr="00E42A64">
        <w:rPr>
          <w:szCs w:val="22"/>
        </w:rPr>
        <w:t xml:space="preserve"> Selected Area: Lock </w:t>
      </w:r>
      <w:r>
        <w:rPr>
          <w:szCs w:val="22"/>
        </w:rPr>
        <w:t>6</w:t>
      </w:r>
      <w:r w:rsidRPr="00E42A64">
        <w:rPr>
          <w:szCs w:val="22"/>
        </w:rPr>
        <w:t xml:space="preserve"> to </w:t>
      </w:r>
      <w:r>
        <w:rPr>
          <w:szCs w:val="22"/>
        </w:rPr>
        <w:t>Lyrup (between Lock 5 and Lock 4)</w:t>
      </w:r>
      <w:r w:rsidRPr="00E42A64">
        <w:rPr>
          <w:szCs w:val="22"/>
        </w:rPr>
        <w:t xml:space="preserve"> including the Pike River anabranch, </w:t>
      </w:r>
      <w:r>
        <w:rPr>
          <w:szCs w:val="22"/>
        </w:rPr>
        <w:t>Lyrup</w:t>
      </w:r>
      <w:r w:rsidRPr="00E42A64">
        <w:rPr>
          <w:szCs w:val="22"/>
        </w:rPr>
        <w:t xml:space="preserve"> to Lock 3 including the Katarapko River anabranch, and the main river channel from Lock 3 to </w:t>
      </w:r>
      <w:r>
        <w:rPr>
          <w:szCs w:val="22"/>
        </w:rPr>
        <w:t>Lock 1</w:t>
      </w:r>
      <w:r w:rsidRPr="00E42A64">
        <w:rPr>
          <w:szCs w:val="22"/>
        </w:rPr>
        <w:t xml:space="preserve">. </w:t>
      </w:r>
      <w:r>
        <w:rPr>
          <w:szCs w:val="22"/>
        </w:rPr>
        <w:t xml:space="preserve">These hydrodynamic model outputs </w:t>
      </w:r>
      <w:r>
        <w:t>will be used</w:t>
      </w:r>
      <w:r w:rsidRPr="008E3CFD">
        <w:t xml:space="preserve"> </w:t>
      </w:r>
      <w:r>
        <w:t xml:space="preserve">in combination with the hydrological (Source) model </w:t>
      </w:r>
      <w:r w:rsidRPr="008E3CFD">
        <w:t>to simulate the</w:t>
      </w:r>
      <w:r>
        <w:t xml:space="preserve"> with and without</w:t>
      </w:r>
      <w:r w:rsidRPr="008E3CFD">
        <w:t xml:space="preserve"> Commonwealth environmental water </w:t>
      </w:r>
      <w:r>
        <w:t xml:space="preserve">conditions </w:t>
      </w:r>
      <w:r w:rsidRPr="008E3CFD">
        <w:t>that occur</w:t>
      </w:r>
      <w:r>
        <w:t xml:space="preserve"> each year,</w:t>
      </w:r>
      <w:r w:rsidRPr="008E3CFD">
        <w:t xml:space="preserve"> </w:t>
      </w:r>
      <w:r>
        <w:t>simulating</w:t>
      </w:r>
      <w:r w:rsidRPr="008E3CFD">
        <w:t xml:space="preserve"> </w:t>
      </w:r>
      <w:r>
        <w:t xml:space="preserve">daily </w:t>
      </w:r>
      <w:r w:rsidRPr="008E3CFD">
        <w:t>discharge, stage and velocity</w:t>
      </w:r>
      <w:r>
        <w:t>.</w:t>
      </w:r>
      <w:r w:rsidRPr="008E3CFD">
        <w:t xml:space="preserve"> </w:t>
      </w:r>
      <w:r>
        <w:rPr>
          <w:szCs w:val="22"/>
        </w:rPr>
        <w:t xml:space="preserve">These results from this indicator supports the evaluation for all other indicators, as it is recognised that </w:t>
      </w:r>
      <w:r w:rsidRPr="00FF530E">
        <w:t xml:space="preserve">hydraulic characteristics have a profound influence on river ecosystem structure and function (Statzner and </w:t>
      </w:r>
      <w:r>
        <w:t xml:space="preserve">Higler 1986, Biggs </w:t>
      </w:r>
      <w:r w:rsidRPr="00013CA7">
        <w:rPr>
          <w:i/>
        </w:rPr>
        <w:t xml:space="preserve">et al. </w:t>
      </w:r>
      <w:r>
        <w:t xml:space="preserve">2005, Bice </w:t>
      </w:r>
      <w:r w:rsidRPr="00013CA7">
        <w:rPr>
          <w:i/>
        </w:rPr>
        <w:t>et al.</w:t>
      </w:r>
      <w:r>
        <w:t xml:space="preserve"> 2017)</w:t>
      </w:r>
      <w:r>
        <w:rPr>
          <w:szCs w:val="22"/>
        </w:rPr>
        <w:t xml:space="preserve">. </w:t>
      </w:r>
      <w:r w:rsidRPr="006768A6">
        <w:rPr>
          <w:rFonts w:cstheme="minorHAnsi"/>
          <w:szCs w:val="22"/>
        </w:rPr>
        <w:t xml:space="preserve">Refer to Section </w:t>
      </w:r>
      <w:r>
        <w:fldChar w:fldCharType="begin"/>
      </w:r>
      <w:r>
        <w:instrText xml:space="preserve"> REF _Ref399155617 \r \h  \* MERGEFORMAT </w:instrText>
      </w:r>
      <w:r>
        <w:fldChar w:fldCharType="separate"/>
      </w:r>
      <w:r w:rsidR="00DF49CD" w:rsidRPr="00DF49CD">
        <w:rPr>
          <w:rFonts w:cstheme="minorHAnsi"/>
          <w:szCs w:val="22"/>
        </w:rPr>
        <w:t>5.2.1</w:t>
      </w:r>
      <w:r>
        <w:fldChar w:fldCharType="end"/>
      </w:r>
      <w:r w:rsidRPr="006768A6">
        <w:rPr>
          <w:rFonts w:cstheme="minorHAnsi"/>
          <w:szCs w:val="22"/>
          <w:lang w:eastAsia="en-AU"/>
        </w:rPr>
        <w:t xml:space="preserve"> in the </w:t>
      </w:r>
      <w:r>
        <w:rPr>
          <w:rFonts w:cstheme="minorHAnsi"/>
          <w:szCs w:val="22"/>
          <w:lang w:eastAsia="en-AU"/>
        </w:rPr>
        <w:t>MER</w:t>
      </w:r>
      <w:r w:rsidRPr="006768A6">
        <w:rPr>
          <w:rFonts w:cstheme="minorHAnsi"/>
          <w:szCs w:val="22"/>
          <w:lang w:eastAsia="en-AU"/>
        </w:rPr>
        <w:t xml:space="preserve"> Plan for background information, objectives and hypotheses, outputs and staff involvement for </w:t>
      </w:r>
      <w:r>
        <w:rPr>
          <w:rFonts w:cstheme="minorHAnsi"/>
          <w:szCs w:val="22"/>
          <w:lang w:eastAsia="en-AU"/>
        </w:rPr>
        <w:t>Hydraulic regime</w:t>
      </w:r>
      <w:r w:rsidRPr="006768A6">
        <w:rPr>
          <w:rFonts w:cstheme="minorHAnsi"/>
          <w:szCs w:val="22"/>
          <w:lang w:eastAsia="en-AU"/>
        </w:rPr>
        <w:t>.</w:t>
      </w:r>
    </w:p>
    <w:p w14:paraId="572761C3" w14:textId="77777777" w:rsidR="006361E1" w:rsidRDefault="006361E1" w:rsidP="006361E1">
      <w:pPr>
        <w:pStyle w:val="Heading2"/>
      </w:pPr>
      <w:bookmarkStart w:id="1251" w:name="_Toc396825342"/>
      <w:bookmarkStart w:id="1252" w:name="_Toc6403910"/>
      <w:bookmarkStart w:id="1253" w:name="_Toc10095241"/>
      <w:bookmarkStart w:id="1254" w:name="_Toc10192410"/>
      <w:bookmarkStart w:id="1255" w:name="_Toc10206725"/>
      <w:bookmarkStart w:id="1256" w:name="_Toc10213311"/>
      <w:bookmarkStart w:id="1257" w:name="_Toc10732335"/>
      <w:bookmarkStart w:id="1258" w:name="_Toc10796894"/>
      <w:bookmarkStart w:id="1259" w:name="_Toc12022779"/>
      <w:bookmarkStart w:id="1260" w:name="_Toc12630609"/>
      <w:bookmarkStart w:id="1261" w:name="_Toc16154469"/>
      <w:bookmarkStart w:id="1262" w:name="_Toc22196831"/>
      <w:r w:rsidRPr="00525AE9">
        <w:t>Complementary monitoring and data</w:t>
      </w:r>
      <w:bookmarkEnd w:id="1251"/>
      <w:bookmarkEnd w:id="1252"/>
      <w:bookmarkEnd w:id="1253"/>
      <w:bookmarkEnd w:id="1254"/>
      <w:bookmarkEnd w:id="1255"/>
      <w:bookmarkEnd w:id="1256"/>
      <w:bookmarkEnd w:id="1257"/>
      <w:bookmarkEnd w:id="1258"/>
      <w:bookmarkEnd w:id="1259"/>
      <w:bookmarkEnd w:id="1260"/>
      <w:bookmarkEnd w:id="1261"/>
      <w:bookmarkEnd w:id="1262"/>
    </w:p>
    <w:p w14:paraId="1CDE4770" w14:textId="3E90ADFE" w:rsidR="006361E1" w:rsidRPr="00E42A64" w:rsidRDefault="006361E1" w:rsidP="006361E1">
      <w:pPr>
        <w:rPr>
          <w:szCs w:val="22"/>
        </w:rPr>
      </w:pPr>
      <w:r>
        <w:rPr>
          <w:szCs w:val="22"/>
        </w:rPr>
        <w:t>Input data</w:t>
      </w:r>
      <w:r w:rsidRPr="00E42A64">
        <w:rPr>
          <w:szCs w:val="22"/>
        </w:rPr>
        <w:t xml:space="preserve"> will be sought from </w:t>
      </w:r>
      <w:r w:rsidR="00013CA7">
        <w:rPr>
          <w:szCs w:val="22"/>
        </w:rPr>
        <w:t>DEW</w:t>
      </w:r>
      <w:r w:rsidRPr="00E42A64">
        <w:rPr>
          <w:szCs w:val="22"/>
        </w:rPr>
        <w:t xml:space="preserve">, SA Water and </w:t>
      </w:r>
      <w:r w:rsidR="00013CA7">
        <w:rPr>
          <w:szCs w:val="22"/>
        </w:rPr>
        <w:t xml:space="preserve">the </w:t>
      </w:r>
      <w:r w:rsidRPr="00E42A64">
        <w:rPr>
          <w:szCs w:val="22"/>
        </w:rPr>
        <w:t xml:space="preserve">Bureau of Meteorology. Variables required include discharge, water level, extractions, rainfall and Morton’s Lake evaporation. Permission to use this data will be obtained from these organisations prior to use. If permission is not given, adjustments to the budget would be needed to validate the model. </w:t>
      </w:r>
      <w:r>
        <w:rPr>
          <w:szCs w:val="22"/>
        </w:rPr>
        <w:t>Modelling undertaken by the MDBA of the without environmental water scenario (counterfactual modelling) at the SA border is critical to undertaking this work.</w:t>
      </w:r>
    </w:p>
    <w:p w14:paraId="1667661D" w14:textId="77777777" w:rsidR="006361E1" w:rsidRPr="00525AE9" w:rsidRDefault="006361E1" w:rsidP="006361E1">
      <w:pPr>
        <w:pStyle w:val="Heading2"/>
      </w:pPr>
      <w:bookmarkStart w:id="1263" w:name="_Ref396225970"/>
      <w:bookmarkStart w:id="1264" w:name="_Toc396825343"/>
      <w:bookmarkStart w:id="1265" w:name="_Toc6403911"/>
      <w:bookmarkStart w:id="1266" w:name="_Toc10095242"/>
      <w:bookmarkStart w:id="1267" w:name="_Toc10192411"/>
      <w:bookmarkStart w:id="1268" w:name="_Toc10206726"/>
      <w:bookmarkStart w:id="1269" w:name="_Toc10213312"/>
      <w:bookmarkStart w:id="1270" w:name="_Toc10732336"/>
      <w:bookmarkStart w:id="1271" w:name="_Toc10796895"/>
      <w:bookmarkStart w:id="1272" w:name="_Toc12022780"/>
      <w:bookmarkStart w:id="1273" w:name="_Toc12630610"/>
      <w:bookmarkStart w:id="1274" w:name="_Toc16154470"/>
      <w:bookmarkStart w:id="1275" w:name="_Toc22196832"/>
      <w:r w:rsidRPr="00525AE9">
        <w:t>Monitoring locations and timing</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p>
    <w:p w14:paraId="17C51285" w14:textId="77777777" w:rsidR="006361E1" w:rsidRPr="00BB20BF" w:rsidRDefault="006361E1" w:rsidP="006361E1">
      <w:pPr>
        <w:pStyle w:val="Heading3"/>
      </w:pPr>
      <w:bookmarkStart w:id="1276" w:name="_Toc6403912"/>
      <w:bookmarkStart w:id="1277" w:name="_Toc10095243"/>
      <w:bookmarkStart w:id="1278" w:name="_Toc10192412"/>
      <w:bookmarkStart w:id="1279" w:name="_Toc10206727"/>
      <w:bookmarkStart w:id="1280" w:name="_Toc10213313"/>
      <w:bookmarkStart w:id="1281" w:name="_Toc10732337"/>
      <w:bookmarkStart w:id="1282" w:name="_Toc10796896"/>
      <w:bookmarkStart w:id="1283" w:name="_Toc12022781"/>
      <w:bookmarkStart w:id="1284" w:name="_Toc12630611"/>
      <w:bookmarkStart w:id="1285" w:name="_Toc16154471"/>
      <w:bookmarkStart w:id="1286" w:name="_Toc22196833"/>
      <w:r w:rsidRPr="00BB20BF">
        <w:t>Locations</w:t>
      </w:r>
      <w:bookmarkEnd w:id="1276"/>
      <w:bookmarkEnd w:id="1277"/>
      <w:bookmarkEnd w:id="1278"/>
      <w:bookmarkEnd w:id="1279"/>
      <w:bookmarkEnd w:id="1280"/>
      <w:bookmarkEnd w:id="1281"/>
      <w:bookmarkEnd w:id="1282"/>
      <w:bookmarkEnd w:id="1283"/>
      <w:bookmarkEnd w:id="1284"/>
      <w:bookmarkEnd w:id="1285"/>
      <w:bookmarkEnd w:id="1286"/>
    </w:p>
    <w:p w14:paraId="7E6443B1" w14:textId="77BC800A" w:rsidR="006361E1" w:rsidRPr="00E42A64" w:rsidRDefault="006361E1" w:rsidP="006361E1">
      <w:pPr>
        <w:pStyle w:val="TableCaption"/>
        <w:rPr>
          <w:b w:val="0"/>
          <w:sz w:val="22"/>
          <w:szCs w:val="22"/>
        </w:rPr>
      </w:pPr>
      <w:r>
        <w:rPr>
          <w:b w:val="0"/>
          <w:sz w:val="22"/>
          <w:szCs w:val="22"/>
        </w:rPr>
        <w:t>No specific monitoring is undertaken as part of this indicator. Model outputs for the with and without environmental water scenarios will be output at the locations outlined in</w:t>
      </w:r>
      <w:r w:rsidRPr="00506D9D">
        <w:rPr>
          <w:b w:val="0"/>
          <w:sz w:val="22"/>
          <w:szCs w:val="22"/>
        </w:rPr>
        <w:t xml:space="preserve"> </w:t>
      </w:r>
      <w:r>
        <w:fldChar w:fldCharType="begin"/>
      </w:r>
      <w:r>
        <w:instrText xml:space="preserve"> REF _Ref397515501 \h  \* MERGEFORMAT </w:instrText>
      </w:r>
      <w:r>
        <w:fldChar w:fldCharType="separate"/>
      </w:r>
      <w:r w:rsidR="00DF49CD" w:rsidRPr="00DF49CD">
        <w:rPr>
          <w:b w:val="0"/>
          <w:sz w:val="22"/>
          <w:szCs w:val="22"/>
        </w:rPr>
        <w:t>Table B</w:t>
      </w:r>
      <w:r w:rsidR="00DF49CD">
        <w:t>.</w:t>
      </w:r>
      <w:r w:rsidR="00DF49CD" w:rsidRPr="00DF49CD">
        <w:rPr>
          <w:b w:val="0"/>
          <w:sz w:val="22"/>
          <w:szCs w:val="22"/>
        </w:rPr>
        <w:t>5</w:t>
      </w:r>
      <w:r>
        <w:fldChar w:fldCharType="end"/>
      </w:r>
      <w:r w:rsidRPr="00506D9D">
        <w:rPr>
          <w:b w:val="0"/>
          <w:sz w:val="22"/>
          <w:szCs w:val="22"/>
        </w:rPr>
        <w:t>.</w:t>
      </w:r>
    </w:p>
    <w:p w14:paraId="6785D329" w14:textId="7CB91CF9" w:rsidR="006361E1" w:rsidRPr="00272606" w:rsidRDefault="006361E1" w:rsidP="006361E1">
      <w:pPr>
        <w:pStyle w:val="Caption"/>
      </w:pPr>
      <w:bookmarkStart w:id="1287" w:name="_Ref397515501"/>
      <w:r>
        <w:t>Table B.</w:t>
      </w:r>
      <w:r>
        <w:rPr>
          <w:noProof/>
        </w:rPr>
        <w:fldChar w:fldCharType="begin"/>
      </w:r>
      <w:r>
        <w:rPr>
          <w:noProof/>
        </w:rPr>
        <w:instrText xml:space="preserve"> SEQ Table_B. \* ARABIC </w:instrText>
      </w:r>
      <w:r>
        <w:rPr>
          <w:noProof/>
        </w:rPr>
        <w:fldChar w:fldCharType="separate"/>
      </w:r>
      <w:r w:rsidR="00DF49CD">
        <w:rPr>
          <w:noProof/>
        </w:rPr>
        <w:t>5</w:t>
      </w:r>
      <w:r>
        <w:rPr>
          <w:noProof/>
        </w:rPr>
        <w:fldChar w:fldCharType="end"/>
      </w:r>
      <w:bookmarkEnd w:id="1287"/>
      <w:r w:rsidRPr="00272606">
        <w:t>. Station data available for model validation</w:t>
      </w:r>
      <w:r>
        <w:t>.</w:t>
      </w:r>
    </w:p>
    <w:tbl>
      <w:tblPr>
        <w:tblW w:w="3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1598"/>
        <w:gridCol w:w="2913"/>
      </w:tblGrid>
      <w:tr w:rsidR="00E30C11" w:rsidRPr="008E3CFD" w14:paraId="4ACC05F0" w14:textId="77777777" w:rsidTr="0050053E">
        <w:trPr>
          <w:trHeight w:val="300"/>
          <w:tblHeader/>
        </w:trPr>
        <w:tc>
          <w:tcPr>
            <w:tcW w:w="999" w:type="pct"/>
            <w:shd w:val="clear" w:color="auto" w:fill="BFBFBF" w:themeFill="background1" w:themeFillShade="BF"/>
          </w:tcPr>
          <w:p w14:paraId="59E5F6FA" w14:textId="77777777" w:rsidR="00E30C11" w:rsidRPr="008E3CFD" w:rsidRDefault="00E30C11" w:rsidP="0050053E">
            <w:pPr>
              <w:pStyle w:val="TableHeading"/>
            </w:pPr>
            <w:r>
              <w:t>Variable</w:t>
            </w:r>
          </w:p>
        </w:tc>
        <w:tc>
          <w:tcPr>
            <w:tcW w:w="1417" w:type="pct"/>
            <w:shd w:val="clear" w:color="auto" w:fill="BFBFBF" w:themeFill="background1" w:themeFillShade="BF"/>
          </w:tcPr>
          <w:p w14:paraId="6640C7C2" w14:textId="77777777" w:rsidR="00E30C11" w:rsidRPr="008E3CFD" w:rsidRDefault="00E30C11" w:rsidP="0050053E">
            <w:pPr>
              <w:pStyle w:val="TableHeading"/>
            </w:pPr>
            <w:r>
              <w:t>Station Number</w:t>
            </w:r>
          </w:p>
        </w:tc>
        <w:tc>
          <w:tcPr>
            <w:tcW w:w="2584" w:type="pct"/>
            <w:shd w:val="clear" w:color="auto" w:fill="BFBFBF" w:themeFill="background1" w:themeFillShade="BF"/>
          </w:tcPr>
          <w:p w14:paraId="5E3C4FBE" w14:textId="77777777" w:rsidR="00E30C11" w:rsidRPr="008E3CFD" w:rsidRDefault="00E30C11" w:rsidP="0050053E">
            <w:pPr>
              <w:pStyle w:val="TableHeading"/>
            </w:pPr>
            <w:r>
              <w:t>Station</w:t>
            </w:r>
            <w:r w:rsidRPr="008E3CFD">
              <w:t xml:space="preserve"> </w:t>
            </w:r>
            <w:r>
              <w:t>N</w:t>
            </w:r>
            <w:r w:rsidRPr="008E3CFD">
              <w:t>ame</w:t>
            </w:r>
          </w:p>
        </w:tc>
      </w:tr>
      <w:tr w:rsidR="00E30C11" w:rsidRPr="008E3CFD" w14:paraId="3001DA7E" w14:textId="77777777" w:rsidTr="0050053E">
        <w:trPr>
          <w:trHeight w:val="300"/>
        </w:trPr>
        <w:tc>
          <w:tcPr>
            <w:tcW w:w="999" w:type="pct"/>
          </w:tcPr>
          <w:p w14:paraId="100CA0D5" w14:textId="77777777" w:rsidR="00E30C11" w:rsidRDefault="00E30C11" w:rsidP="0050053E">
            <w:pPr>
              <w:pStyle w:val="TableText"/>
            </w:pPr>
            <w:r>
              <w:t>WL, Q</w:t>
            </w:r>
          </w:p>
        </w:tc>
        <w:tc>
          <w:tcPr>
            <w:tcW w:w="1417" w:type="pct"/>
          </w:tcPr>
          <w:p w14:paraId="4F82BA49" w14:textId="77777777" w:rsidR="00E30C11" w:rsidRDefault="00E30C11" w:rsidP="0050053E">
            <w:pPr>
              <w:pStyle w:val="TableText"/>
            </w:pPr>
            <w:r>
              <w:t>A4260511</w:t>
            </w:r>
          </w:p>
        </w:tc>
        <w:tc>
          <w:tcPr>
            <w:tcW w:w="2584" w:type="pct"/>
          </w:tcPr>
          <w:p w14:paraId="6531511E" w14:textId="77777777" w:rsidR="00E30C11" w:rsidRDefault="00E30C11" w:rsidP="0050053E">
            <w:pPr>
              <w:pStyle w:val="TableText"/>
            </w:pPr>
            <w:r>
              <w:t>Lock 6 DS</w:t>
            </w:r>
          </w:p>
        </w:tc>
      </w:tr>
      <w:tr w:rsidR="00E30C11" w:rsidRPr="008E3CFD" w14:paraId="027ED237" w14:textId="77777777" w:rsidTr="0050053E">
        <w:trPr>
          <w:trHeight w:val="300"/>
        </w:trPr>
        <w:tc>
          <w:tcPr>
            <w:tcW w:w="999" w:type="pct"/>
          </w:tcPr>
          <w:p w14:paraId="5227F182" w14:textId="77777777" w:rsidR="00E30C11" w:rsidRPr="008E3CFD" w:rsidRDefault="00E30C11" w:rsidP="0050053E">
            <w:pPr>
              <w:pStyle w:val="TableText"/>
            </w:pPr>
            <w:r>
              <w:t>WL</w:t>
            </w:r>
            <w:r w:rsidRPr="008F70F6">
              <w:rPr>
                <w:vertAlign w:val="superscript"/>
              </w:rPr>
              <w:t>1</w:t>
            </w:r>
          </w:p>
        </w:tc>
        <w:tc>
          <w:tcPr>
            <w:tcW w:w="1417" w:type="pct"/>
          </w:tcPr>
          <w:p w14:paraId="6168EAFB" w14:textId="77777777" w:rsidR="00E30C11" w:rsidRPr="008E3CFD" w:rsidRDefault="00E30C11" w:rsidP="0050053E">
            <w:pPr>
              <w:pStyle w:val="TableText"/>
            </w:pPr>
            <w:r>
              <w:t>A4260512</w:t>
            </w:r>
          </w:p>
        </w:tc>
        <w:tc>
          <w:tcPr>
            <w:tcW w:w="2584" w:type="pct"/>
          </w:tcPr>
          <w:p w14:paraId="110B8876" w14:textId="77777777" w:rsidR="00E30C11" w:rsidRPr="008E3CFD" w:rsidRDefault="00E30C11" w:rsidP="0050053E">
            <w:pPr>
              <w:pStyle w:val="TableText"/>
            </w:pPr>
            <w:r>
              <w:t>Lock 5 US</w:t>
            </w:r>
          </w:p>
        </w:tc>
      </w:tr>
      <w:tr w:rsidR="00E30C11" w:rsidRPr="008E3CFD" w14:paraId="1FABB696" w14:textId="77777777" w:rsidTr="0050053E">
        <w:trPr>
          <w:trHeight w:val="300"/>
        </w:trPr>
        <w:tc>
          <w:tcPr>
            <w:tcW w:w="999" w:type="pct"/>
          </w:tcPr>
          <w:p w14:paraId="5653360F" w14:textId="77777777" w:rsidR="00E30C11" w:rsidRPr="008E3CFD" w:rsidRDefault="00E30C11" w:rsidP="0050053E">
            <w:pPr>
              <w:pStyle w:val="TableText"/>
            </w:pPr>
            <w:r>
              <w:t>WL,Q</w:t>
            </w:r>
          </w:p>
        </w:tc>
        <w:tc>
          <w:tcPr>
            <w:tcW w:w="1417" w:type="pct"/>
          </w:tcPr>
          <w:p w14:paraId="514DD27D" w14:textId="77777777" w:rsidR="00E30C11" w:rsidRPr="008E3CFD" w:rsidRDefault="00E30C11" w:rsidP="0050053E">
            <w:pPr>
              <w:pStyle w:val="TableText"/>
            </w:pPr>
            <w:r>
              <w:t>A4260513</w:t>
            </w:r>
          </w:p>
        </w:tc>
        <w:tc>
          <w:tcPr>
            <w:tcW w:w="2584" w:type="pct"/>
          </w:tcPr>
          <w:p w14:paraId="3190EB9D" w14:textId="77777777" w:rsidR="00E30C11" w:rsidRPr="008E3CFD" w:rsidRDefault="00E30C11" w:rsidP="0050053E">
            <w:pPr>
              <w:pStyle w:val="TableText"/>
            </w:pPr>
            <w:r>
              <w:t>Lock 5 DS</w:t>
            </w:r>
          </w:p>
        </w:tc>
      </w:tr>
      <w:tr w:rsidR="00E30C11" w:rsidRPr="008E3CFD" w14:paraId="4BD6C2D1" w14:textId="77777777" w:rsidTr="0050053E">
        <w:trPr>
          <w:trHeight w:val="300"/>
        </w:trPr>
        <w:tc>
          <w:tcPr>
            <w:tcW w:w="999" w:type="pct"/>
          </w:tcPr>
          <w:p w14:paraId="19885616" w14:textId="77777777" w:rsidR="00E30C11" w:rsidRDefault="00E30C11" w:rsidP="0050053E">
            <w:pPr>
              <w:pStyle w:val="TableText"/>
            </w:pPr>
            <w:r>
              <w:t>WL</w:t>
            </w:r>
            <w:r w:rsidRPr="008F70F6">
              <w:rPr>
                <w:vertAlign w:val="superscript"/>
              </w:rPr>
              <w:t>1</w:t>
            </w:r>
          </w:p>
        </w:tc>
        <w:tc>
          <w:tcPr>
            <w:tcW w:w="1417" w:type="pct"/>
          </w:tcPr>
          <w:p w14:paraId="1E5B494F" w14:textId="77777777" w:rsidR="00E30C11" w:rsidRDefault="00E30C11" w:rsidP="0050053E">
            <w:pPr>
              <w:pStyle w:val="TableText"/>
            </w:pPr>
            <w:r>
              <w:t>A4260514</w:t>
            </w:r>
          </w:p>
        </w:tc>
        <w:tc>
          <w:tcPr>
            <w:tcW w:w="2584" w:type="pct"/>
          </w:tcPr>
          <w:p w14:paraId="2F1821D5" w14:textId="77777777" w:rsidR="00E30C11" w:rsidRDefault="00E30C11" w:rsidP="0050053E">
            <w:pPr>
              <w:pStyle w:val="TableText"/>
            </w:pPr>
            <w:r>
              <w:t>Lock 4 US</w:t>
            </w:r>
          </w:p>
        </w:tc>
      </w:tr>
      <w:tr w:rsidR="00E30C11" w:rsidRPr="008E3CFD" w14:paraId="4AD4215E" w14:textId="77777777" w:rsidTr="0050053E">
        <w:trPr>
          <w:trHeight w:val="300"/>
        </w:trPr>
        <w:tc>
          <w:tcPr>
            <w:tcW w:w="999" w:type="pct"/>
          </w:tcPr>
          <w:p w14:paraId="08FCAEFC" w14:textId="77777777" w:rsidR="00E30C11" w:rsidRDefault="00E30C11" w:rsidP="0050053E">
            <w:pPr>
              <w:pStyle w:val="TableText"/>
            </w:pPr>
            <w:r>
              <w:t>WL,Q</w:t>
            </w:r>
          </w:p>
        </w:tc>
        <w:tc>
          <w:tcPr>
            <w:tcW w:w="1417" w:type="pct"/>
          </w:tcPr>
          <w:p w14:paraId="60D1B1F7" w14:textId="77777777" w:rsidR="00E30C11" w:rsidRDefault="00E30C11" w:rsidP="0050053E">
            <w:pPr>
              <w:pStyle w:val="TableText"/>
            </w:pPr>
            <w:r>
              <w:t>A4260515</w:t>
            </w:r>
          </w:p>
        </w:tc>
        <w:tc>
          <w:tcPr>
            <w:tcW w:w="2584" w:type="pct"/>
          </w:tcPr>
          <w:p w14:paraId="67A54850" w14:textId="77777777" w:rsidR="00E30C11" w:rsidRDefault="00E30C11" w:rsidP="0050053E">
            <w:pPr>
              <w:pStyle w:val="TableText"/>
            </w:pPr>
            <w:r>
              <w:t>Lock 4 DS</w:t>
            </w:r>
          </w:p>
        </w:tc>
      </w:tr>
      <w:tr w:rsidR="00E30C11" w:rsidRPr="008E3CFD" w14:paraId="64595806" w14:textId="77777777" w:rsidTr="0050053E">
        <w:trPr>
          <w:trHeight w:val="300"/>
        </w:trPr>
        <w:tc>
          <w:tcPr>
            <w:tcW w:w="999" w:type="pct"/>
          </w:tcPr>
          <w:p w14:paraId="4710FA1A" w14:textId="77777777" w:rsidR="00E30C11" w:rsidRDefault="00E30C11" w:rsidP="0050053E">
            <w:pPr>
              <w:pStyle w:val="TableText"/>
            </w:pPr>
            <w:r>
              <w:t>WL</w:t>
            </w:r>
            <w:r w:rsidRPr="008F70F6">
              <w:rPr>
                <w:vertAlign w:val="superscript"/>
              </w:rPr>
              <w:t>1</w:t>
            </w:r>
          </w:p>
        </w:tc>
        <w:tc>
          <w:tcPr>
            <w:tcW w:w="1417" w:type="pct"/>
          </w:tcPr>
          <w:p w14:paraId="715780F3" w14:textId="77777777" w:rsidR="00E30C11" w:rsidRDefault="00E30C11" w:rsidP="0050053E">
            <w:pPr>
              <w:pStyle w:val="TableText"/>
            </w:pPr>
            <w:r>
              <w:t>A4260516</w:t>
            </w:r>
          </w:p>
        </w:tc>
        <w:tc>
          <w:tcPr>
            <w:tcW w:w="2584" w:type="pct"/>
          </w:tcPr>
          <w:p w14:paraId="44FACB62" w14:textId="77777777" w:rsidR="00E30C11" w:rsidRDefault="00E30C11" w:rsidP="0050053E">
            <w:pPr>
              <w:pStyle w:val="TableText"/>
            </w:pPr>
            <w:r>
              <w:t>Lock 3 US</w:t>
            </w:r>
          </w:p>
        </w:tc>
      </w:tr>
      <w:tr w:rsidR="00E30C11" w:rsidRPr="008E3CFD" w14:paraId="3AACE6B4" w14:textId="77777777" w:rsidTr="0050053E">
        <w:trPr>
          <w:trHeight w:val="300"/>
        </w:trPr>
        <w:tc>
          <w:tcPr>
            <w:tcW w:w="999" w:type="pct"/>
          </w:tcPr>
          <w:p w14:paraId="5292CDD2" w14:textId="77777777" w:rsidR="00E30C11" w:rsidRDefault="00E30C11" w:rsidP="0050053E">
            <w:pPr>
              <w:pStyle w:val="TableText"/>
            </w:pPr>
            <w:r>
              <w:t>WL,Q</w:t>
            </w:r>
          </w:p>
        </w:tc>
        <w:tc>
          <w:tcPr>
            <w:tcW w:w="1417" w:type="pct"/>
          </w:tcPr>
          <w:p w14:paraId="64EEE3DA" w14:textId="77777777" w:rsidR="00E30C11" w:rsidRDefault="00E30C11" w:rsidP="0050053E">
            <w:pPr>
              <w:pStyle w:val="TableText"/>
            </w:pPr>
            <w:r>
              <w:t>A4260517</w:t>
            </w:r>
          </w:p>
        </w:tc>
        <w:tc>
          <w:tcPr>
            <w:tcW w:w="2584" w:type="pct"/>
          </w:tcPr>
          <w:p w14:paraId="3BA817FC" w14:textId="77777777" w:rsidR="00E30C11" w:rsidRDefault="00E30C11" w:rsidP="0050053E">
            <w:pPr>
              <w:pStyle w:val="TableText"/>
            </w:pPr>
            <w:r>
              <w:t>Lock 3 DS</w:t>
            </w:r>
          </w:p>
        </w:tc>
      </w:tr>
      <w:tr w:rsidR="00E30C11" w:rsidRPr="008E3CFD" w14:paraId="09146171" w14:textId="77777777" w:rsidTr="0050053E">
        <w:trPr>
          <w:trHeight w:val="300"/>
        </w:trPr>
        <w:tc>
          <w:tcPr>
            <w:tcW w:w="999" w:type="pct"/>
          </w:tcPr>
          <w:p w14:paraId="161B5E29" w14:textId="77777777" w:rsidR="00E30C11" w:rsidRDefault="00E30C11" w:rsidP="0050053E">
            <w:pPr>
              <w:pStyle w:val="TableText"/>
            </w:pPr>
            <w:r>
              <w:t>WL</w:t>
            </w:r>
            <w:r w:rsidRPr="003C29D3">
              <w:rPr>
                <w:vertAlign w:val="superscript"/>
              </w:rPr>
              <w:t>1</w:t>
            </w:r>
          </w:p>
        </w:tc>
        <w:tc>
          <w:tcPr>
            <w:tcW w:w="1417" w:type="pct"/>
          </w:tcPr>
          <w:p w14:paraId="32F80B69" w14:textId="77777777" w:rsidR="00E30C11" w:rsidRDefault="00E30C11" w:rsidP="0050053E">
            <w:pPr>
              <w:pStyle w:val="TableText"/>
            </w:pPr>
            <w:r>
              <w:t>A4260518</w:t>
            </w:r>
          </w:p>
        </w:tc>
        <w:tc>
          <w:tcPr>
            <w:tcW w:w="2584" w:type="pct"/>
          </w:tcPr>
          <w:p w14:paraId="70DA7DAE" w14:textId="77777777" w:rsidR="00E30C11" w:rsidRDefault="00E30C11" w:rsidP="0050053E">
            <w:pPr>
              <w:pStyle w:val="TableText"/>
            </w:pPr>
            <w:r>
              <w:t>Lock 2 US</w:t>
            </w:r>
          </w:p>
        </w:tc>
      </w:tr>
      <w:tr w:rsidR="00E30C11" w:rsidRPr="008E3CFD" w14:paraId="2B7FBA58" w14:textId="77777777" w:rsidTr="0050053E">
        <w:trPr>
          <w:trHeight w:val="300"/>
        </w:trPr>
        <w:tc>
          <w:tcPr>
            <w:tcW w:w="999" w:type="pct"/>
          </w:tcPr>
          <w:p w14:paraId="6DEAEECF" w14:textId="77777777" w:rsidR="00E30C11" w:rsidRDefault="00E30C11" w:rsidP="0050053E">
            <w:pPr>
              <w:pStyle w:val="TableText"/>
            </w:pPr>
            <w:r>
              <w:t>WL,Q</w:t>
            </w:r>
          </w:p>
        </w:tc>
        <w:tc>
          <w:tcPr>
            <w:tcW w:w="1417" w:type="pct"/>
          </w:tcPr>
          <w:p w14:paraId="68D87555" w14:textId="77777777" w:rsidR="00E30C11" w:rsidRDefault="00E30C11" w:rsidP="0050053E">
            <w:pPr>
              <w:pStyle w:val="TableText"/>
            </w:pPr>
            <w:r>
              <w:t>A4260619</w:t>
            </w:r>
          </w:p>
        </w:tc>
        <w:tc>
          <w:tcPr>
            <w:tcW w:w="2584" w:type="pct"/>
          </w:tcPr>
          <w:p w14:paraId="531A1AB7" w14:textId="77777777" w:rsidR="00E30C11" w:rsidRDefault="00E30C11" w:rsidP="0050053E">
            <w:pPr>
              <w:pStyle w:val="TableText"/>
            </w:pPr>
            <w:r>
              <w:t>Lock 2 DS</w:t>
            </w:r>
          </w:p>
        </w:tc>
      </w:tr>
      <w:tr w:rsidR="00E30C11" w:rsidRPr="008E3CFD" w14:paraId="1CF97E9C" w14:textId="77777777" w:rsidTr="0050053E">
        <w:trPr>
          <w:trHeight w:val="300"/>
        </w:trPr>
        <w:tc>
          <w:tcPr>
            <w:tcW w:w="999" w:type="pct"/>
          </w:tcPr>
          <w:p w14:paraId="5E1C8FF8" w14:textId="77777777" w:rsidR="00E30C11" w:rsidRDefault="00E30C11" w:rsidP="0050053E">
            <w:pPr>
              <w:pStyle w:val="TableText"/>
            </w:pPr>
            <w:r>
              <w:lastRenderedPageBreak/>
              <w:t>WL</w:t>
            </w:r>
            <w:r w:rsidRPr="008F70F6">
              <w:rPr>
                <w:vertAlign w:val="superscript"/>
              </w:rPr>
              <w:t>1</w:t>
            </w:r>
          </w:p>
        </w:tc>
        <w:tc>
          <w:tcPr>
            <w:tcW w:w="1417" w:type="pct"/>
          </w:tcPr>
          <w:p w14:paraId="08CBFA4F" w14:textId="77777777" w:rsidR="00E30C11" w:rsidRDefault="00E30C11" w:rsidP="0050053E">
            <w:pPr>
              <w:pStyle w:val="TableText"/>
            </w:pPr>
            <w:r>
              <w:t>A4260902</w:t>
            </w:r>
          </w:p>
        </w:tc>
        <w:tc>
          <w:tcPr>
            <w:tcW w:w="2584" w:type="pct"/>
          </w:tcPr>
          <w:p w14:paraId="144E5AAE" w14:textId="77777777" w:rsidR="00E30C11" w:rsidRDefault="00E30C11" w:rsidP="0050053E">
            <w:pPr>
              <w:pStyle w:val="TableText"/>
            </w:pPr>
            <w:r>
              <w:t>Lock 1 US</w:t>
            </w:r>
          </w:p>
        </w:tc>
      </w:tr>
      <w:tr w:rsidR="00E30C11" w:rsidRPr="008E3CFD" w14:paraId="21311C8A" w14:textId="77777777" w:rsidTr="0050053E">
        <w:trPr>
          <w:trHeight w:val="300"/>
        </w:trPr>
        <w:tc>
          <w:tcPr>
            <w:tcW w:w="999" w:type="pct"/>
          </w:tcPr>
          <w:p w14:paraId="2A7ADF65" w14:textId="77777777" w:rsidR="00E30C11" w:rsidRDefault="00E30C11" w:rsidP="0050053E">
            <w:pPr>
              <w:pStyle w:val="TableText"/>
            </w:pPr>
            <w:r>
              <w:t>V</w:t>
            </w:r>
          </w:p>
        </w:tc>
        <w:tc>
          <w:tcPr>
            <w:tcW w:w="1417" w:type="pct"/>
          </w:tcPr>
          <w:p w14:paraId="46D8EC6C" w14:textId="77777777" w:rsidR="00E30C11" w:rsidRDefault="00E30C11" w:rsidP="0050053E">
            <w:pPr>
              <w:pStyle w:val="TableText"/>
            </w:pPr>
            <w:r>
              <w:t>-</w:t>
            </w:r>
          </w:p>
        </w:tc>
        <w:tc>
          <w:tcPr>
            <w:tcW w:w="2584" w:type="pct"/>
          </w:tcPr>
          <w:p w14:paraId="0AF2D70F" w14:textId="77777777" w:rsidR="00E30C11" w:rsidRDefault="00E30C11" w:rsidP="0050053E">
            <w:pPr>
              <w:pStyle w:val="TableText"/>
            </w:pPr>
            <w:r>
              <w:t>Weir pool 5</w:t>
            </w:r>
          </w:p>
        </w:tc>
      </w:tr>
      <w:tr w:rsidR="00E30C11" w:rsidRPr="008E3CFD" w14:paraId="6E9F1523" w14:textId="77777777" w:rsidTr="0050053E">
        <w:trPr>
          <w:trHeight w:val="300"/>
        </w:trPr>
        <w:tc>
          <w:tcPr>
            <w:tcW w:w="999" w:type="pct"/>
          </w:tcPr>
          <w:p w14:paraId="7420958C" w14:textId="77777777" w:rsidR="00E30C11" w:rsidRDefault="00E30C11" w:rsidP="0050053E">
            <w:pPr>
              <w:pStyle w:val="TableText"/>
            </w:pPr>
            <w:r>
              <w:t>V</w:t>
            </w:r>
          </w:p>
        </w:tc>
        <w:tc>
          <w:tcPr>
            <w:tcW w:w="1417" w:type="pct"/>
          </w:tcPr>
          <w:p w14:paraId="21161DA3" w14:textId="77777777" w:rsidR="00E30C11" w:rsidRDefault="00E30C11" w:rsidP="0050053E">
            <w:pPr>
              <w:pStyle w:val="TableText"/>
            </w:pPr>
            <w:r>
              <w:t>-</w:t>
            </w:r>
          </w:p>
        </w:tc>
        <w:tc>
          <w:tcPr>
            <w:tcW w:w="2584" w:type="pct"/>
          </w:tcPr>
          <w:p w14:paraId="687BC0C4" w14:textId="77777777" w:rsidR="00E30C11" w:rsidRDefault="00E30C11" w:rsidP="0050053E">
            <w:pPr>
              <w:pStyle w:val="TableText"/>
            </w:pPr>
            <w:r>
              <w:t>Weir pool 4</w:t>
            </w:r>
          </w:p>
        </w:tc>
      </w:tr>
      <w:tr w:rsidR="00E30C11" w:rsidRPr="008E3CFD" w14:paraId="3912F2F1" w14:textId="77777777" w:rsidTr="0050053E">
        <w:trPr>
          <w:trHeight w:val="300"/>
        </w:trPr>
        <w:tc>
          <w:tcPr>
            <w:tcW w:w="999" w:type="pct"/>
          </w:tcPr>
          <w:p w14:paraId="67FADC2B" w14:textId="77777777" w:rsidR="00E30C11" w:rsidRDefault="00E30C11" w:rsidP="0050053E">
            <w:pPr>
              <w:pStyle w:val="TableText"/>
            </w:pPr>
            <w:r>
              <w:t>V</w:t>
            </w:r>
          </w:p>
        </w:tc>
        <w:tc>
          <w:tcPr>
            <w:tcW w:w="1417" w:type="pct"/>
          </w:tcPr>
          <w:p w14:paraId="1DDD5296" w14:textId="77777777" w:rsidR="00E30C11" w:rsidRDefault="00E30C11" w:rsidP="0050053E">
            <w:pPr>
              <w:pStyle w:val="TableText"/>
            </w:pPr>
            <w:r>
              <w:t>-</w:t>
            </w:r>
          </w:p>
        </w:tc>
        <w:tc>
          <w:tcPr>
            <w:tcW w:w="2584" w:type="pct"/>
          </w:tcPr>
          <w:p w14:paraId="4EB60CB9" w14:textId="77777777" w:rsidR="00E30C11" w:rsidRDefault="00E30C11" w:rsidP="0050053E">
            <w:pPr>
              <w:pStyle w:val="TableText"/>
            </w:pPr>
            <w:r>
              <w:t>Weir pool 3</w:t>
            </w:r>
          </w:p>
        </w:tc>
      </w:tr>
      <w:tr w:rsidR="00E30C11" w:rsidRPr="008E3CFD" w14:paraId="37230AAF" w14:textId="77777777" w:rsidTr="0050053E">
        <w:trPr>
          <w:trHeight w:val="300"/>
        </w:trPr>
        <w:tc>
          <w:tcPr>
            <w:tcW w:w="999" w:type="pct"/>
          </w:tcPr>
          <w:p w14:paraId="26FEEA4F" w14:textId="77777777" w:rsidR="00E30C11" w:rsidRDefault="00E30C11" w:rsidP="0050053E">
            <w:pPr>
              <w:pStyle w:val="TableText"/>
            </w:pPr>
            <w:r>
              <w:t>V</w:t>
            </w:r>
          </w:p>
        </w:tc>
        <w:tc>
          <w:tcPr>
            <w:tcW w:w="1417" w:type="pct"/>
          </w:tcPr>
          <w:p w14:paraId="1C6F9B9D" w14:textId="77777777" w:rsidR="00E30C11" w:rsidRDefault="00E30C11" w:rsidP="0050053E">
            <w:pPr>
              <w:pStyle w:val="TableText"/>
            </w:pPr>
            <w:r>
              <w:t>-</w:t>
            </w:r>
          </w:p>
        </w:tc>
        <w:tc>
          <w:tcPr>
            <w:tcW w:w="2584" w:type="pct"/>
          </w:tcPr>
          <w:p w14:paraId="00B19162" w14:textId="77777777" w:rsidR="00E30C11" w:rsidRDefault="00E30C11" w:rsidP="0050053E">
            <w:pPr>
              <w:pStyle w:val="TableText"/>
            </w:pPr>
            <w:r>
              <w:t>Weir pool 2</w:t>
            </w:r>
          </w:p>
        </w:tc>
      </w:tr>
      <w:tr w:rsidR="00E30C11" w:rsidRPr="008E3CFD" w14:paraId="36C531BB" w14:textId="77777777" w:rsidTr="0050053E">
        <w:trPr>
          <w:trHeight w:val="300"/>
        </w:trPr>
        <w:tc>
          <w:tcPr>
            <w:tcW w:w="999" w:type="pct"/>
          </w:tcPr>
          <w:p w14:paraId="565DAA40" w14:textId="77777777" w:rsidR="00E30C11" w:rsidRDefault="00E30C11" w:rsidP="0050053E">
            <w:pPr>
              <w:pStyle w:val="TableText"/>
            </w:pPr>
            <w:r>
              <w:t>V</w:t>
            </w:r>
          </w:p>
        </w:tc>
        <w:tc>
          <w:tcPr>
            <w:tcW w:w="1417" w:type="pct"/>
          </w:tcPr>
          <w:p w14:paraId="625933E9" w14:textId="77777777" w:rsidR="00E30C11" w:rsidRDefault="00E30C11" w:rsidP="0050053E">
            <w:pPr>
              <w:pStyle w:val="TableText"/>
            </w:pPr>
            <w:r>
              <w:t>-</w:t>
            </w:r>
          </w:p>
        </w:tc>
        <w:tc>
          <w:tcPr>
            <w:tcW w:w="2584" w:type="pct"/>
          </w:tcPr>
          <w:p w14:paraId="1329699C" w14:textId="77777777" w:rsidR="00E30C11" w:rsidRDefault="00E30C11" w:rsidP="0050053E">
            <w:pPr>
              <w:pStyle w:val="TableText"/>
            </w:pPr>
            <w:r>
              <w:t>Weir pool 1</w:t>
            </w:r>
          </w:p>
        </w:tc>
      </w:tr>
    </w:tbl>
    <w:p w14:paraId="08C32501" w14:textId="77777777" w:rsidR="006361E1" w:rsidRDefault="006361E1" w:rsidP="006361E1">
      <w:pPr>
        <w:pStyle w:val="TableBullets"/>
        <w:numPr>
          <w:ilvl w:val="0"/>
          <w:numId w:val="0"/>
        </w:numPr>
      </w:pPr>
      <w:r w:rsidRPr="00AA7F24">
        <w:t>*</w:t>
      </w:r>
      <w:r>
        <w:t xml:space="preserve"> Flow data only valid for certain flow ranges</w:t>
      </w:r>
    </w:p>
    <w:p w14:paraId="416F5EB2" w14:textId="77777777" w:rsidR="006361E1" w:rsidRDefault="006361E1" w:rsidP="006361E1">
      <w:pPr>
        <w:pStyle w:val="TableBullets"/>
        <w:numPr>
          <w:ilvl w:val="0"/>
          <w:numId w:val="0"/>
        </w:numPr>
      </w:pPr>
      <w:r w:rsidRPr="00AA7F24">
        <w:rPr>
          <w:vertAlign w:val="superscript"/>
        </w:rPr>
        <w:t>1</w:t>
      </w:r>
      <w:r>
        <w:t xml:space="preserve"> Data used as an input to the models, hence cannot be used for validation</w:t>
      </w:r>
    </w:p>
    <w:p w14:paraId="6890A981" w14:textId="77777777" w:rsidR="006361E1" w:rsidRPr="00BB20BF" w:rsidRDefault="006361E1" w:rsidP="006361E1">
      <w:pPr>
        <w:pStyle w:val="Heading3"/>
      </w:pPr>
      <w:bookmarkStart w:id="1288" w:name="_Toc6403913"/>
      <w:bookmarkStart w:id="1289" w:name="_Toc10095244"/>
      <w:bookmarkStart w:id="1290" w:name="_Toc10192413"/>
      <w:bookmarkStart w:id="1291" w:name="_Toc10206728"/>
      <w:bookmarkStart w:id="1292" w:name="_Toc10213314"/>
      <w:bookmarkStart w:id="1293" w:name="_Toc10732338"/>
      <w:bookmarkStart w:id="1294" w:name="_Toc10796897"/>
      <w:bookmarkStart w:id="1295" w:name="_Toc12022782"/>
      <w:bookmarkStart w:id="1296" w:name="_Toc12630612"/>
      <w:bookmarkStart w:id="1297" w:name="_Toc16154472"/>
      <w:bookmarkStart w:id="1298" w:name="_Toc22196834"/>
      <w:r w:rsidRPr="00BB20BF">
        <w:t>Timing</w:t>
      </w:r>
      <w:bookmarkEnd w:id="1288"/>
      <w:bookmarkEnd w:id="1289"/>
      <w:bookmarkEnd w:id="1290"/>
      <w:bookmarkEnd w:id="1291"/>
      <w:bookmarkEnd w:id="1292"/>
      <w:bookmarkEnd w:id="1293"/>
      <w:bookmarkEnd w:id="1294"/>
      <w:bookmarkEnd w:id="1295"/>
      <w:bookmarkEnd w:id="1296"/>
      <w:bookmarkEnd w:id="1297"/>
      <w:bookmarkEnd w:id="1298"/>
    </w:p>
    <w:p w14:paraId="10C3A7B6" w14:textId="16B62492" w:rsidR="006361E1" w:rsidRPr="00E42A64" w:rsidRDefault="006361E1" w:rsidP="006361E1">
      <w:bookmarkStart w:id="1299" w:name="_Toc396825344"/>
      <w:bookmarkStart w:id="1300" w:name="_Toc6403914"/>
      <w:r w:rsidRPr="00E42A64">
        <w:t>All</w:t>
      </w:r>
      <w:r>
        <w:t xml:space="preserve"> model outputs</w:t>
      </w:r>
      <w:r w:rsidRPr="009B27E3">
        <w:t xml:space="preserve"> in </w:t>
      </w:r>
      <w:r>
        <w:fldChar w:fldCharType="begin"/>
      </w:r>
      <w:r>
        <w:instrText xml:space="preserve"> REF _Ref397515501 \h  \* MERGEFORMAT </w:instrText>
      </w:r>
      <w:r>
        <w:fldChar w:fldCharType="separate"/>
      </w:r>
      <w:r w:rsidR="00DF49CD">
        <w:t>Table B.5</w:t>
      </w:r>
      <w:r>
        <w:fldChar w:fldCharType="end"/>
      </w:r>
      <w:r w:rsidRPr="009B27E3">
        <w:t xml:space="preserve"> </w:t>
      </w:r>
      <w:r>
        <w:t>will be output on a</w:t>
      </w:r>
      <w:r w:rsidRPr="00E42A64">
        <w:t xml:space="preserve"> daily basis</w:t>
      </w:r>
      <w:r>
        <w:t xml:space="preserve"> over the whole water year each reporting year</w:t>
      </w:r>
      <w:r w:rsidRPr="00E42A64">
        <w:t>.</w:t>
      </w:r>
    </w:p>
    <w:p w14:paraId="3D05AF88" w14:textId="77777777" w:rsidR="006361E1" w:rsidRPr="00525AE9" w:rsidRDefault="006361E1" w:rsidP="006361E1">
      <w:pPr>
        <w:pStyle w:val="Heading2"/>
      </w:pPr>
      <w:bookmarkStart w:id="1301" w:name="_Toc10095245"/>
      <w:bookmarkStart w:id="1302" w:name="_Toc10192414"/>
      <w:bookmarkStart w:id="1303" w:name="_Toc10206729"/>
      <w:bookmarkStart w:id="1304" w:name="_Toc10213315"/>
      <w:bookmarkStart w:id="1305" w:name="_Toc10732339"/>
      <w:bookmarkStart w:id="1306" w:name="_Toc10796898"/>
      <w:bookmarkStart w:id="1307" w:name="_Toc12022783"/>
      <w:bookmarkStart w:id="1308" w:name="_Toc12630613"/>
      <w:bookmarkStart w:id="1309" w:name="_Toc16154473"/>
      <w:bookmarkStart w:id="1310" w:name="_Toc22196835"/>
      <w:r>
        <w:t>Monitoring protocol</w:t>
      </w:r>
      <w:bookmarkEnd w:id="1299"/>
      <w:bookmarkEnd w:id="1300"/>
      <w:bookmarkEnd w:id="1301"/>
      <w:bookmarkEnd w:id="1302"/>
      <w:bookmarkEnd w:id="1303"/>
      <w:bookmarkEnd w:id="1304"/>
      <w:bookmarkEnd w:id="1305"/>
      <w:bookmarkEnd w:id="1306"/>
      <w:bookmarkEnd w:id="1307"/>
      <w:bookmarkEnd w:id="1308"/>
      <w:bookmarkEnd w:id="1309"/>
      <w:bookmarkEnd w:id="1310"/>
    </w:p>
    <w:p w14:paraId="1E2BDA03" w14:textId="77777777" w:rsidR="006361E1" w:rsidRDefault="006361E1" w:rsidP="006361E1">
      <w:pPr>
        <w:pStyle w:val="Heading3"/>
      </w:pPr>
      <w:bookmarkStart w:id="1311" w:name="_Toc6403915"/>
      <w:bookmarkStart w:id="1312" w:name="_Toc10095246"/>
      <w:bookmarkStart w:id="1313" w:name="_Toc10192415"/>
      <w:bookmarkStart w:id="1314" w:name="_Toc10206730"/>
      <w:bookmarkStart w:id="1315" w:name="_Toc10213316"/>
      <w:bookmarkStart w:id="1316" w:name="_Toc10732340"/>
      <w:bookmarkStart w:id="1317" w:name="_Toc10796899"/>
      <w:bookmarkStart w:id="1318" w:name="_Toc12022784"/>
      <w:bookmarkStart w:id="1319" w:name="_Toc12630614"/>
      <w:bookmarkStart w:id="1320" w:name="_Toc16154474"/>
      <w:bookmarkStart w:id="1321" w:name="_Toc22196836"/>
      <w:r w:rsidRPr="00525AE9">
        <w:t>Equipment</w:t>
      </w:r>
      <w:bookmarkEnd w:id="1311"/>
      <w:bookmarkEnd w:id="1312"/>
      <w:bookmarkEnd w:id="1313"/>
      <w:bookmarkEnd w:id="1314"/>
      <w:bookmarkEnd w:id="1315"/>
      <w:bookmarkEnd w:id="1316"/>
      <w:bookmarkEnd w:id="1317"/>
      <w:bookmarkEnd w:id="1318"/>
      <w:bookmarkEnd w:id="1319"/>
      <w:bookmarkEnd w:id="1320"/>
      <w:bookmarkEnd w:id="1321"/>
    </w:p>
    <w:p w14:paraId="13576442" w14:textId="77777777" w:rsidR="006361E1" w:rsidRPr="006361E1" w:rsidRDefault="006361E1" w:rsidP="006361E1">
      <w:pPr>
        <w:pStyle w:val="TableCaption"/>
        <w:rPr>
          <w:b w:val="0"/>
          <w:sz w:val="22"/>
          <w:szCs w:val="22"/>
        </w:rPr>
      </w:pPr>
      <w:bookmarkStart w:id="1322" w:name="_Toc6403916"/>
      <w:r>
        <w:rPr>
          <w:b w:val="0"/>
          <w:sz w:val="22"/>
          <w:szCs w:val="22"/>
        </w:rPr>
        <w:t>Complimentary m</w:t>
      </w:r>
      <w:r w:rsidRPr="00E42A64">
        <w:rPr>
          <w:b w:val="0"/>
          <w:sz w:val="22"/>
          <w:szCs w:val="22"/>
        </w:rPr>
        <w:t xml:space="preserve">onitoring </w:t>
      </w:r>
      <w:r w:rsidRPr="009B27E3">
        <w:rPr>
          <w:b w:val="0"/>
          <w:sz w:val="22"/>
          <w:szCs w:val="22"/>
        </w:rPr>
        <w:t>data is collected</w:t>
      </w:r>
      <w:r w:rsidRPr="00E42A64">
        <w:rPr>
          <w:b w:val="0"/>
          <w:sz w:val="22"/>
          <w:szCs w:val="22"/>
        </w:rPr>
        <w:t xml:space="preserve"> using infrastructure in place, typically moored buoy or structure mounted pressure transducers for water level, and the conversion to flow using existing relationships. </w:t>
      </w:r>
    </w:p>
    <w:p w14:paraId="1AADF02D" w14:textId="77777777" w:rsidR="006361E1" w:rsidRPr="00995CCE" w:rsidRDefault="006361E1" w:rsidP="006361E1">
      <w:pPr>
        <w:pStyle w:val="Heading3"/>
        <w:rPr>
          <w:b w:val="0"/>
        </w:rPr>
      </w:pPr>
      <w:bookmarkStart w:id="1323" w:name="_Toc10095247"/>
      <w:bookmarkStart w:id="1324" w:name="_Toc10192416"/>
      <w:bookmarkStart w:id="1325" w:name="_Toc10206731"/>
      <w:bookmarkStart w:id="1326" w:name="_Toc10213317"/>
      <w:bookmarkStart w:id="1327" w:name="_Toc10732341"/>
      <w:bookmarkStart w:id="1328" w:name="_Toc10796900"/>
      <w:bookmarkStart w:id="1329" w:name="_Toc12022785"/>
      <w:bookmarkStart w:id="1330" w:name="_Toc12630615"/>
      <w:bookmarkStart w:id="1331" w:name="_Toc16154475"/>
      <w:bookmarkStart w:id="1332" w:name="_Toc22196837"/>
      <w:r w:rsidRPr="00525AE9">
        <w:t>Protocol</w:t>
      </w:r>
      <w:bookmarkEnd w:id="1322"/>
      <w:bookmarkEnd w:id="1323"/>
      <w:bookmarkEnd w:id="1324"/>
      <w:bookmarkEnd w:id="1325"/>
      <w:bookmarkEnd w:id="1326"/>
      <w:bookmarkEnd w:id="1327"/>
      <w:bookmarkEnd w:id="1328"/>
      <w:bookmarkEnd w:id="1329"/>
      <w:bookmarkEnd w:id="1330"/>
      <w:bookmarkEnd w:id="1331"/>
      <w:bookmarkEnd w:id="1332"/>
    </w:p>
    <w:p w14:paraId="1DE3AAAB" w14:textId="77777777" w:rsidR="006361E1" w:rsidRPr="00E42A64" w:rsidRDefault="006361E1" w:rsidP="006361E1">
      <w:pPr>
        <w:rPr>
          <w:szCs w:val="22"/>
        </w:rPr>
      </w:pPr>
      <w:r w:rsidRPr="00E42A64">
        <w:rPr>
          <w:szCs w:val="22"/>
        </w:rPr>
        <w:t>Monitoring data collected by complementary monitoring programs will continue to adopt current best practice protocols, as monitored and maintained by the DEW Resource Monitoring Unit based at Berri, as well as SA Water at each Lock. Velocity monitoring will also be undertaken by the DEW Resource Monitoring Unit, again using best practice methods and is considered of high quality, and high spatial resolution, for the purposes of model validation.</w:t>
      </w:r>
    </w:p>
    <w:p w14:paraId="42171E10" w14:textId="77777777" w:rsidR="006361E1" w:rsidRPr="00525AE9" w:rsidRDefault="006361E1" w:rsidP="006361E1">
      <w:pPr>
        <w:pStyle w:val="Heading2"/>
      </w:pPr>
      <w:bookmarkStart w:id="1333" w:name="_Toc396825345"/>
      <w:bookmarkStart w:id="1334" w:name="_Toc6403917"/>
      <w:bookmarkStart w:id="1335" w:name="_Toc10095248"/>
      <w:bookmarkStart w:id="1336" w:name="_Toc10192417"/>
      <w:bookmarkStart w:id="1337" w:name="_Toc10206732"/>
      <w:bookmarkStart w:id="1338" w:name="_Toc10213318"/>
      <w:bookmarkStart w:id="1339" w:name="_Toc10732342"/>
      <w:bookmarkStart w:id="1340" w:name="_Toc10796901"/>
      <w:bookmarkStart w:id="1341" w:name="_Toc12022786"/>
      <w:bookmarkStart w:id="1342" w:name="_Toc12630616"/>
      <w:bookmarkStart w:id="1343" w:name="_Toc16154476"/>
      <w:bookmarkStart w:id="1344" w:name="_Toc22196838"/>
      <w:r w:rsidRPr="00525AE9">
        <w:t xml:space="preserve">Data analysis and </w:t>
      </w:r>
      <w:r>
        <w:t>evaluation</w:t>
      </w:r>
      <w:bookmarkEnd w:id="1333"/>
      <w:bookmarkEnd w:id="1334"/>
      <w:bookmarkEnd w:id="1335"/>
      <w:bookmarkEnd w:id="1336"/>
      <w:bookmarkEnd w:id="1337"/>
      <w:bookmarkEnd w:id="1338"/>
      <w:bookmarkEnd w:id="1339"/>
      <w:bookmarkEnd w:id="1340"/>
      <w:bookmarkEnd w:id="1341"/>
      <w:bookmarkEnd w:id="1342"/>
      <w:bookmarkEnd w:id="1343"/>
      <w:bookmarkEnd w:id="1344"/>
    </w:p>
    <w:p w14:paraId="0BE931A5" w14:textId="43BCF06D" w:rsidR="006361E1" w:rsidRPr="00E42A64" w:rsidRDefault="006361E1" w:rsidP="006361E1">
      <w:pPr>
        <w:rPr>
          <w:szCs w:val="22"/>
        </w:rPr>
      </w:pPr>
      <w:r w:rsidRPr="00E42A64">
        <w:rPr>
          <w:szCs w:val="22"/>
        </w:rPr>
        <w:t xml:space="preserve">The </w:t>
      </w:r>
      <w:r>
        <w:rPr>
          <w:szCs w:val="22"/>
        </w:rPr>
        <w:t>combination of MIKE FLOOD and eWater Source models</w:t>
      </w:r>
      <w:r w:rsidRPr="00E42A64">
        <w:rPr>
          <w:szCs w:val="22"/>
        </w:rPr>
        <w:t xml:space="preserve"> will run scenarios to assess </w:t>
      </w:r>
      <w:r>
        <w:rPr>
          <w:szCs w:val="22"/>
        </w:rPr>
        <w:t>hydraulic</w:t>
      </w:r>
      <w:r w:rsidRPr="00E42A64">
        <w:rPr>
          <w:szCs w:val="22"/>
        </w:rPr>
        <w:t xml:space="preserve"> variables with and without the contribution of environmental water, to make a direct comparison of outcomes with and without </w:t>
      </w:r>
      <w:r w:rsidRPr="00E42A64">
        <w:rPr>
          <w:rFonts w:eastAsia="Calibri"/>
          <w:szCs w:val="22"/>
        </w:rPr>
        <w:t>Commonwealth environmental water</w:t>
      </w:r>
      <w:r w:rsidRPr="00E42A64">
        <w:rPr>
          <w:szCs w:val="22"/>
        </w:rPr>
        <w:t xml:space="preserve"> provisions. It is not possible to replicate the scenarios, so no statistical analyses are possible and validation of the model outputs is essential. </w:t>
      </w:r>
      <w:r>
        <w:rPr>
          <w:szCs w:val="22"/>
        </w:rPr>
        <w:t>Some d</w:t>
      </w:r>
      <w:r w:rsidRPr="00E42A64">
        <w:rPr>
          <w:szCs w:val="22"/>
        </w:rPr>
        <w:t xml:space="preserve">ata collected (outlined in Section </w:t>
      </w:r>
      <w:r>
        <w:fldChar w:fldCharType="begin"/>
      </w:r>
      <w:r>
        <w:instrText xml:space="preserve"> REF _Ref396225970 \r \h  \* MERGEFORMAT </w:instrText>
      </w:r>
      <w:r>
        <w:fldChar w:fldCharType="separate"/>
      </w:r>
      <w:r w:rsidR="00DF49CD" w:rsidRPr="00DF49CD">
        <w:rPr>
          <w:szCs w:val="22"/>
        </w:rPr>
        <w:t>4.6</w:t>
      </w:r>
      <w:r>
        <w:fldChar w:fldCharType="end"/>
      </w:r>
      <w:r w:rsidRPr="00E42A64">
        <w:rPr>
          <w:szCs w:val="22"/>
        </w:rPr>
        <w:t xml:space="preserve">) will be used </w:t>
      </w:r>
      <w:r>
        <w:rPr>
          <w:szCs w:val="22"/>
        </w:rPr>
        <w:t xml:space="preserve">as necessary inputs to the modelling, with the remaining data used </w:t>
      </w:r>
      <w:r w:rsidRPr="00E42A64">
        <w:rPr>
          <w:szCs w:val="22"/>
        </w:rPr>
        <w:t xml:space="preserve">to validate the model for </w:t>
      </w:r>
      <w:r>
        <w:rPr>
          <w:szCs w:val="22"/>
        </w:rPr>
        <w:t>the observed</w:t>
      </w:r>
      <w:r w:rsidRPr="00E42A64">
        <w:rPr>
          <w:szCs w:val="22"/>
        </w:rPr>
        <w:t xml:space="preserve">, with </w:t>
      </w:r>
      <w:r w:rsidRPr="00E42A64">
        <w:rPr>
          <w:kern w:val="0"/>
          <w:szCs w:val="22"/>
        </w:rPr>
        <w:t>Commonwealth environmental water</w:t>
      </w:r>
      <w:r w:rsidRPr="00E42A64">
        <w:rPr>
          <w:szCs w:val="22"/>
        </w:rPr>
        <w:t xml:space="preserve"> provisions</w:t>
      </w:r>
      <w:r>
        <w:rPr>
          <w:szCs w:val="22"/>
        </w:rPr>
        <w:t>, scenario</w:t>
      </w:r>
      <w:r w:rsidRPr="00E42A64">
        <w:rPr>
          <w:szCs w:val="22"/>
        </w:rPr>
        <w:t xml:space="preserve">. This will involve comparing observed and modelled flows, water levels and velocities. In an iterative process, any issues identified will be corrected to minimise </w:t>
      </w:r>
      <w:r>
        <w:rPr>
          <w:szCs w:val="22"/>
        </w:rPr>
        <w:t>errors in</w:t>
      </w:r>
      <w:r w:rsidRPr="00E42A64">
        <w:rPr>
          <w:szCs w:val="22"/>
        </w:rPr>
        <w:t xml:space="preserve"> modell</w:t>
      </w:r>
      <w:r>
        <w:rPr>
          <w:szCs w:val="22"/>
        </w:rPr>
        <w:t>ed</w:t>
      </w:r>
      <w:r w:rsidRPr="00E42A64">
        <w:rPr>
          <w:szCs w:val="22"/>
        </w:rPr>
        <w:t xml:space="preserve"> outputs. The validation process is essential to allow for an adequate assessment of the contributions of </w:t>
      </w:r>
      <w:r w:rsidRPr="00E42A64">
        <w:rPr>
          <w:rFonts w:eastAsia="Calibri"/>
          <w:szCs w:val="22"/>
        </w:rPr>
        <w:t>Commonwealth environmental water</w:t>
      </w:r>
      <w:r w:rsidRPr="00E42A64">
        <w:rPr>
          <w:szCs w:val="22"/>
        </w:rPr>
        <w:t xml:space="preserve"> provisions to </w:t>
      </w:r>
      <w:r>
        <w:rPr>
          <w:szCs w:val="22"/>
        </w:rPr>
        <w:t>hydrology</w:t>
      </w:r>
      <w:r w:rsidRPr="00E42A64">
        <w:rPr>
          <w:szCs w:val="22"/>
        </w:rPr>
        <w:t xml:space="preserve"> in the </w:t>
      </w:r>
      <w:r w:rsidRPr="00C304CC">
        <w:rPr>
          <w:szCs w:val="22"/>
        </w:rPr>
        <w:t>Lower Murray</w:t>
      </w:r>
      <w:r w:rsidRPr="00E42A64">
        <w:rPr>
          <w:szCs w:val="22"/>
        </w:rPr>
        <w:t xml:space="preserve"> Selected Area. </w:t>
      </w:r>
    </w:p>
    <w:p w14:paraId="0C2234A7" w14:textId="77777777" w:rsidR="006361E1" w:rsidRPr="00E42A64" w:rsidRDefault="006361E1" w:rsidP="006361E1">
      <w:r w:rsidRPr="00E42A64">
        <w:t xml:space="preserve">This comparison of modelled outputs for each flow scenario (with and without Commonwealth environmental water) will provide the basis for the evaluation and reporting. The difference between the scenarios can be attributed to Commonwealth environmental water, although uncertainty in model outputs will be appropriately acknowledged. This will be reported annually, with reports building on knowledge </w:t>
      </w:r>
      <w:r>
        <w:t xml:space="preserve">and results </w:t>
      </w:r>
      <w:r w:rsidRPr="00E42A64">
        <w:t>gained from previous watering years</w:t>
      </w:r>
      <w:r>
        <w:t>, including CEWO short-term intervention monitoring where it makes sense to do so</w:t>
      </w:r>
      <w:r w:rsidRPr="00E42A64">
        <w:t>.</w:t>
      </w:r>
    </w:p>
    <w:p w14:paraId="174A9681" w14:textId="77777777" w:rsidR="006361E1" w:rsidRPr="00992869" w:rsidRDefault="006361E1" w:rsidP="006361E1">
      <w:pPr>
        <w:pStyle w:val="Heading2"/>
      </w:pPr>
      <w:bookmarkStart w:id="1345" w:name="_Toc10095249"/>
      <w:bookmarkStart w:id="1346" w:name="_Toc10192418"/>
      <w:bookmarkStart w:id="1347" w:name="_Toc10206733"/>
      <w:bookmarkStart w:id="1348" w:name="_Toc10213319"/>
      <w:bookmarkStart w:id="1349" w:name="_Toc10732343"/>
      <w:bookmarkStart w:id="1350" w:name="_Toc10796902"/>
      <w:bookmarkStart w:id="1351" w:name="_Toc12022787"/>
      <w:bookmarkStart w:id="1352" w:name="_Toc12630617"/>
      <w:bookmarkStart w:id="1353" w:name="_Toc16154477"/>
      <w:bookmarkStart w:id="1354" w:name="_Toc22196839"/>
      <w:bookmarkStart w:id="1355" w:name="_Toc396825349"/>
      <w:bookmarkStart w:id="1356" w:name="_Toc6403921"/>
      <w:r w:rsidRPr="00992869">
        <w:lastRenderedPageBreak/>
        <w:t>Data management</w:t>
      </w:r>
      <w:bookmarkEnd w:id="1345"/>
      <w:bookmarkEnd w:id="1346"/>
      <w:bookmarkEnd w:id="1347"/>
      <w:bookmarkEnd w:id="1348"/>
      <w:bookmarkEnd w:id="1349"/>
      <w:bookmarkEnd w:id="1350"/>
      <w:bookmarkEnd w:id="1351"/>
      <w:bookmarkEnd w:id="1352"/>
      <w:bookmarkEnd w:id="1353"/>
      <w:bookmarkEnd w:id="1354"/>
    </w:p>
    <w:p w14:paraId="68656661" w14:textId="04825126" w:rsidR="009E6C53" w:rsidRDefault="009E6C53" w:rsidP="009E6C53">
      <w:bookmarkStart w:id="1357" w:name="_Toc10095251"/>
      <w:bookmarkStart w:id="1358" w:name="_Toc10192420"/>
      <w:r w:rsidRPr="00992869">
        <w:t>See Section</w:t>
      </w:r>
      <w:r>
        <w:t xml:space="preserve"> </w:t>
      </w:r>
      <w:r>
        <w:fldChar w:fldCharType="begin"/>
      </w:r>
      <w:r>
        <w:instrText xml:space="preserve"> REF _Ref10196755 \r \h </w:instrText>
      </w:r>
      <w:r>
        <w:fldChar w:fldCharType="separate"/>
      </w:r>
      <w:r w:rsidR="00DF49CD">
        <w:t>11</w:t>
      </w:r>
      <w:r>
        <w:fldChar w:fldCharType="end"/>
      </w:r>
      <w:r>
        <w:t xml:space="preserve"> </w:t>
      </w:r>
      <w:r w:rsidRPr="002E3EEF">
        <w:rPr>
          <w:rFonts w:cstheme="minorHAnsi"/>
          <w:szCs w:val="22"/>
        </w:rPr>
        <w:t xml:space="preserve">in the </w:t>
      </w:r>
      <w:r>
        <w:rPr>
          <w:rFonts w:cstheme="minorHAnsi"/>
          <w:szCs w:val="22"/>
        </w:rPr>
        <w:t>MER</w:t>
      </w:r>
      <w:r w:rsidRPr="002E3EEF">
        <w:rPr>
          <w:rFonts w:cstheme="minorHAnsi"/>
          <w:szCs w:val="22"/>
        </w:rPr>
        <w:t xml:space="preserve"> Plan</w:t>
      </w:r>
      <w:r>
        <w:rPr>
          <w:rFonts w:cstheme="minorHAnsi"/>
          <w:szCs w:val="22"/>
        </w:rPr>
        <w:t xml:space="preserve"> for data management procedures</w:t>
      </w:r>
      <w:r w:rsidRPr="00992869">
        <w:t>.</w:t>
      </w:r>
      <w:r>
        <w:t xml:space="preserve"> </w:t>
      </w:r>
      <w:r w:rsidR="00623CFF">
        <w:t xml:space="preserve">The data </w:t>
      </w:r>
      <w:r w:rsidR="00623CFF" w:rsidRPr="000E285D">
        <w:t>templates for</w:t>
      </w:r>
      <w:r w:rsidR="00623CFF" w:rsidRPr="0070750B">
        <w:t xml:space="preserve"> </w:t>
      </w:r>
      <w:r w:rsidR="00623CFF" w:rsidRPr="009F6E46">
        <w:t xml:space="preserve">Category 3 (Selected Area) indicators </w:t>
      </w:r>
      <w:r w:rsidR="00623CFF">
        <w:t>will be</w:t>
      </w:r>
      <w:r w:rsidR="00623CFF" w:rsidRPr="009F6E46">
        <w:t xml:space="preserve"> developed</w:t>
      </w:r>
      <w:r w:rsidR="00623CFF">
        <w:t xml:space="preserve"> by the Selected Area,</w:t>
      </w:r>
      <w:r w:rsidR="00623CFF" w:rsidRPr="009F6E46">
        <w:t xml:space="preserve"> in consultation with CEWO</w:t>
      </w:r>
      <w:r w:rsidR="00623CFF">
        <w:t>,</w:t>
      </w:r>
      <w:r w:rsidR="00623CFF" w:rsidRPr="009F6E46">
        <w:t xml:space="preserve"> and </w:t>
      </w:r>
      <w:r w:rsidR="00623CFF">
        <w:t xml:space="preserve">will </w:t>
      </w:r>
      <w:r w:rsidR="00623CFF" w:rsidRPr="009F6E46">
        <w:t>conform to data standards</w:t>
      </w:r>
      <w:r w:rsidR="00623CFF">
        <w:t>. The</w:t>
      </w:r>
      <w:r w:rsidR="009F6E46">
        <w:t xml:space="preserve"> template for </w:t>
      </w:r>
      <w:r w:rsidR="009F6E46" w:rsidRPr="00AD53DB">
        <w:rPr>
          <w:i/>
        </w:rPr>
        <w:t>Hydraulic Regime</w:t>
      </w:r>
      <w:r w:rsidR="009F6E46">
        <w:t xml:space="preserve"> is provided below</w:t>
      </w:r>
      <w:r w:rsidR="009F6E46" w:rsidRPr="009F6E46">
        <w:t>.</w:t>
      </w:r>
    </w:p>
    <w:tbl>
      <w:tblPr>
        <w:tblStyle w:val="TableGrid"/>
        <w:tblW w:w="9428" w:type="dxa"/>
        <w:tblLayout w:type="fixed"/>
        <w:tblLook w:val="04A0" w:firstRow="1" w:lastRow="0" w:firstColumn="1" w:lastColumn="0" w:noHBand="0" w:noVBand="1"/>
      </w:tblPr>
      <w:tblGrid>
        <w:gridCol w:w="1699"/>
        <w:gridCol w:w="2395"/>
        <w:gridCol w:w="1401"/>
        <w:gridCol w:w="850"/>
        <w:gridCol w:w="1247"/>
        <w:gridCol w:w="1836"/>
      </w:tblGrid>
      <w:tr w:rsidR="00DA312A" w:rsidRPr="00CC474D" w14:paraId="7CA5369F" w14:textId="77777777" w:rsidTr="0050053E">
        <w:trPr>
          <w:cantSplit/>
          <w:tblHeader/>
        </w:trPr>
        <w:tc>
          <w:tcPr>
            <w:tcW w:w="1699" w:type="dxa"/>
            <w:shd w:val="clear" w:color="auto" w:fill="BFBFBF" w:themeFill="background1" w:themeFillShade="BF"/>
            <w:vAlign w:val="center"/>
            <w:hideMark/>
          </w:tcPr>
          <w:p w14:paraId="61C07BD2" w14:textId="77777777" w:rsidR="00DA312A" w:rsidRPr="00CC474D" w:rsidRDefault="00DA312A" w:rsidP="0050053E">
            <w:pPr>
              <w:pStyle w:val="TableHeading"/>
              <w:rPr>
                <w:rFonts w:cstheme="minorHAnsi"/>
                <w:szCs w:val="20"/>
              </w:rPr>
            </w:pPr>
            <w:r w:rsidRPr="00CC474D">
              <w:rPr>
                <w:rFonts w:cstheme="minorHAnsi"/>
                <w:szCs w:val="20"/>
              </w:rPr>
              <w:t>Variable</w:t>
            </w:r>
          </w:p>
        </w:tc>
        <w:tc>
          <w:tcPr>
            <w:tcW w:w="2395" w:type="dxa"/>
            <w:shd w:val="clear" w:color="auto" w:fill="BFBFBF" w:themeFill="background1" w:themeFillShade="BF"/>
            <w:vAlign w:val="center"/>
            <w:hideMark/>
          </w:tcPr>
          <w:p w14:paraId="305B0447" w14:textId="77777777" w:rsidR="00DA312A" w:rsidRPr="00CC474D" w:rsidRDefault="00DA312A" w:rsidP="0050053E">
            <w:pPr>
              <w:pStyle w:val="TableHeading"/>
              <w:rPr>
                <w:rFonts w:cstheme="minorHAnsi"/>
                <w:szCs w:val="20"/>
              </w:rPr>
            </w:pPr>
            <w:r w:rsidRPr="00CC474D">
              <w:rPr>
                <w:rFonts w:cstheme="minorHAnsi"/>
                <w:szCs w:val="20"/>
              </w:rPr>
              <w:t>Description</w:t>
            </w:r>
          </w:p>
        </w:tc>
        <w:tc>
          <w:tcPr>
            <w:tcW w:w="1401" w:type="dxa"/>
            <w:shd w:val="clear" w:color="auto" w:fill="BFBFBF" w:themeFill="background1" w:themeFillShade="BF"/>
            <w:vAlign w:val="center"/>
            <w:hideMark/>
          </w:tcPr>
          <w:p w14:paraId="2EBFDB3B" w14:textId="77777777" w:rsidR="00DA312A" w:rsidRPr="00CC474D" w:rsidRDefault="00DA312A" w:rsidP="0050053E">
            <w:pPr>
              <w:pStyle w:val="TableHeading"/>
              <w:rPr>
                <w:rFonts w:cstheme="minorHAnsi"/>
                <w:szCs w:val="20"/>
              </w:rPr>
            </w:pPr>
            <w:r w:rsidRPr="00CC474D">
              <w:rPr>
                <w:rFonts w:cstheme="minorHAnsi"/>
                <w:szCs w:val="20"/>
              </w:rPr>
              <w:t>Type</w:t>
            </w:r>
          </w:p>
        </w:tc>
        <w:tc>
          <w:tcPr>
            <w:tcW w:w="850" w:type="dxa"/>
            <w:shd w:val="clear" w:color="auto" w:fill="BFBFBF" w:themeFill="background1" w:themeFillShade="BF"/>
            <w:vAlign w:val="center"/>
            <w:hideMark/>
          </w:tcPr>
          <w:p w14:paraId="114A2C32" w14:textId="77777777" w:rsidR="00DA312A" w:rsidRPr="00CC474D" w:rsidRDefault="00DA312A" w:rsidP="0050053E">
            <w:pPr>
              <w:pStyle w:val="TableHeading"/>
              <w:rPr>
                <w:rFonts w:cstheme="minorHAnsi"/>
                <w:szCs w:val="20"/>
              </w:rPr>
            </w:pPr>
            <w:r w:rsidRPr="00CC474D">
              <w:rPr>
                <w:rFonts w:cstheme="minorHAnsi"/>
                <w:szCs w:val="20"/>
              </w:rPr>
              <w:t>Req</w:t>
            </w:r>
          </w:p>
        </w:tc>
        <w:tc>
          <w:tcPr>
            <w:tcW w:w="1247" w:type="dxa"/>
            <w:shd w:val="clear" w:color="auto" w:fill="BFBFBF" w:themeFill="background1" w:themeFillShade="BF"/>
            <w:vAlign w:val="center"/>
            <w:hideMark/>
          </w:tcPr>
          <w:p w14:paraId="658E31C2" w14:textId="77777777" w:rsidR="00DA312A" w:rsidRPr="00CC474D" w:rsidRDefault="00DA312A" w:rsidP="0050053E">
            <w:pPr>
              <w:pStyle w:val="TableHeading"/>
              <w:rPr>
                <w:rFonts w:cstheme="minorHAnsi"/>
                <w:szCs w:val="20"/>
              </w:rPr>
            </w:pPr>
            <w:r w:rsidRPr="00CC474D">
              <w:rPr>
                <w:rFonts w:cstheme="minorHAnsi"/>
                <w:szCs w:val="20"/>
              </w:rPr>
              <w:t>Range</w:t>
            </w:r>
          </w:p>
        </w:tc>
        <w:tc>
          <w:tcPr>
            <w:tcW w:w="1836" w:type="dxa"/>
            <w:shd w:val="clear" w:color="auto" w:fill="BFBFBF" w:themeFill="background1" w:themeFillShade="BF"/>
          </w:tcPr>
          <w:p w14:paraId="1B17D724" w14:textId="77777777" w:rsidR="00DA312A" w:rsidRPr="00CC474D" w:rsidRDefault="00DA312A" w:rsidP="0050053E">
            <w:pPr>
              <w:pStyle w:val="TableHeading"/>
              <w:rPr>
                <w:rFonts w:cstheme="minorHAnsi"/>
                <w:szCs w:val="20"/>
              </w:rPr>
            </w:pPr>
            <w:r w:rsidRPr="00CC474D">
              <w:rPr>
                <w:rFonts w:cstheme="minorHAnsi"/>
                <w:szCs w:val="20"/>
              </w:rPr>
              <w:t>Example</w:t>
            </w:r>
          </w:p>
        </w:tc>
      </w:tr>
      <w:tr w:rsidR="00B47EF5" w:rsidRPr="00CC474D" w14:paraId="64C1A71A" w14:textId="77777777" w:rsidTr="00BA28FA">
        <w:trPr>
          <w:cantSplit/>
          <w:tblHeader/>
        </w:trPr>
        <w:tc>
          <w:tcPr>
            <w:tcW w:w="1699" w:type="dxa"/>
            <w:hideMark/>
          </w:tcPr>
          <w:p w14:paraId="692D7AF4" w14:textId="4A97BF1F" w:rsidR="00B47EF5" w:rsidRPr="00CC474D" w:rsidRDefault="0099206B" w:rsidP="00B47EF5">
            <w:pPr>
              <w:rPr>
                <w:rFonts w:eastAsiaTheme="minorHAnsi" w:cstheme="minorHAnsi"/>
                <w:sz w:val="20"/>
              </w:rPr>
            </w:pPr>
            <w:r w:rsidRPr="00CC474D">
              <w:rPr>
                <w:rFonts w:cstheme="minorHAnsi"/>
                <w:sz w:val="20"/>
              </w:rPr>
              <w:t>s</w:t>
            </w:r>
            <w:r w:rsidR="00B47EF5" w:rsidRPr="00CC474D">
              <w:rPr>
                <w:rFonts w:cstheme="minorHAnsi"/>
                <w:sz w:val="20"/>
              </w:rPr>
              <w:t>amplePointName</w:t>
            </w:r>
          </w:p>
        </w:tc>
        <w:tc>
          <w:tcPr>
            <w:tcW w:w="2395" w:type="dxa"/>
            <w:hideMark/>
          </w:tcPr>
          <w:p w14:paraId="10D2D2F6" w14:textId="3488E6BE" w:rsidR="00B47EF5" w:rsidRPr="00CC474D" w:rsidRDefault="00B47EF5" w:rsidP="00B47EF5">
            <w:pPr>
              <w:rPr>
                <w:rFonts w:eastAsiaTheme="minorHAnsi" w:cstheme="minorHAnsi"/>
                <w:sz w:val="20"/>
              </w:rPr>
            </w:pPr>
            <w:r w:rsidRPr="00CC474D">
              <w:rPr>
                <w:rFonts w:cstheme="minorHAnsi"/>
                <w:color w:val="auto"/>
                <w:sz w:val="20"/>
              </w:rPr>
              <w:t xml:space="preserve">a single reach of the Lower Murray River in either the </w:t>
            </w:r>
            <w:r w:rsidRPr="00CC474D">
              <w:rPr>
                <w:rFonts w:cstheme="minorHAnsi"/>
                <w:i/>
                <w:color w:val="auto"/>
                <w:sz w:val="20"/>
              </w:rPr>
              <w:t>Gorge</w:t>
            </w:r>
            <w:r w:rsidRPr="00CC474D">
              <w:rPr>
                <w:rFonts w:cstheme="minorHAnsi"/>
                <w:color w:val="auto"/>
                <w:sz w:val="20"/>
              </w:rPr>
              <w:t xml:space="preserve"> or </w:t>
            </w:r>
            <w:r w:rsidRPr="00CC474D">
              <w:rPr>
                <w:rFonts w:cstheme="minorHAnsi"/>
                <w:i/>
                <w:color w:val="auto"/>
                <w:sz w:val="20"/>
              </w:rPr>
              <w:t>Floodplain</w:t>
            </w:r>
            <w:r w:rsidRPr="00CC474D">
              <w:rPr>
                <w:rFonts w:cstheme="minorHAnsi"/>
                <w:color w:val="auto"/>
                <w:sz w:val="20"/>
              </w:rPr>
              <w:t xml:space="preserve"> zone represented by either a name or polygon within which observations are made</w:t>
            </w:r>
          </w:p>
        </w:tc>
        <w:tc>
          <w:tcPr>
            <w:tcW w:w="1401" w:type="dxa"/>
            <w:hideMark/>
          </w:tcPr>
          <w:p w14:paraId="02F3E590" w14:textId="051AA1CF" w:rsidR="00B47EF5" w:rsidRPr="00CC474D" w:rsidRDefault="00B47EF5" w:rsidP="00B47EF5">
            <w:pPr>
              <w:rPr>
                <w:rFonts w:eastAsiaTheme="minorHAnsi" w:cstheme="minorHAnsi"/>
                <w:sz w:val="20"/>
              </w:rPr>
            </w:pPr>
            <w:r w:rsidRPr="00CC474D">
              <w:rPr>
                <w:rFonts w:cstheme="minorHAnsi"/>
                <w:sz w:val="20"/>
              </w:rPr>
              <w:t>String</w:t>
            </w:r>
          </w:p>
        </w:tc>
        <w:tc>
          <w:tcPr>
            <w:tcW w:w="850" w:type="dxa"/>
            <w:hideMark/>
          </w:tcPr>
          <w:p w14:paraId="61BA6FA5" w14:textId="400A22EE" w:rsidR="00B47EF5" w:rsidRPr="00CC474D" w:rsidRDefault="00B47EF5" w:rsidP="00B47EF5">
            <w:pPr>
              <w:rPr>
                <w:rFonts w:eastAsiaTheme="minorHAnsi" w:cstheme="minorHAnsi"/>
                <w:sz w:val="20"/>
              </w:rPr>
            </w:pPr>
            <w:r w:rsidRPr="00CC474D">
              <w:rPr>
                <w:rFonts w:cstheme="minorHAnsi"/>
                <w:sz w:val="20"/>
              </w:rPr>
              <w:t>Y</w:t>
            </w:r>
          </w:p>
        </w:tc>
        <w:tc>
          <w:tcPr>
            <w:tcW w:w="1247" w:type="dxa"/>
            <w:hideMark/>
          </w:tcPr>
          <w:p w14:paraId="4859FED6" w14:textId="77777777" w:rsidR="00B47EF5" w:rsidRPr="00CC474D" w:rsidRDefault="00B47EF5" w:rsidP="00B47EF5">
            <w:pPr>
              <w:rPr>
                <w:rFonts w:eastAsiaTheme="minorEastAsia" w:cstheme="minorHAnsi"/>
                <w:sz w:val="20"/>
              </w:rPr>
            </w:pPr>
          </w:p>
        </w:tc>
        <w:tc>
          <w:tcPr>
            <w:tcW w:w="1836" w:type="dxa"/>
          </w:tcPr>
          <w:p w14:paraId="3F9225D1" w14:textId="4E7377C2" w:rsidR="00B47EF5" w:rsidRPr="00CC474D" w:rsidRDefault="00B47EF5" w:rsidP="00B47EF5">
            <w:pPr>
              <w:pStyle w:val="TableHeading"/>
              <w:rPr>
                <w:rFonts w:cstheme="minorHAnsi"/>
                <w:b w:val="0"/>
                <w:szCs w:val="20"/>
              </w:rPr>
            </w:pPr>
            <w:r w:rsidRPr="00CC474D">
              <w:rPr>
                <w:rFonts w:cstheme="minorHAnsi"/>
                <w:b w:val="0"/>
                <w:szCs w:val="20"/>
              </w:rPr>
              <w:t>LK6DS_616km</w:t>
            </w:r>
          </w:p>
        </w:tc>
      </w:tr>
      <w:tr w:rsidR="00B47EF5" w:rsidRPr="00CC474D" w14:paraId="2046943E" w14:textId="77777777" w:rsidTr="00BA28FA">
        <w:trPr>
          <w:cantSplit/>
          <w:tblHeader/>
        </w:trPr>
        <w:tc>
          <w:tcPr>
            <w:tcW w:w="1699" w:type="dxa"/>
            <w:vAlign w:val="center"/>
            <w:hideMark/>
          </w:tcPr>
          <w:p w14:paraId="74348B06" w14:textId="77777777" w:rsidR="00B47EF5" w:rsidRPr="00CC474D" w:rsidRDefault="00B47EF5" w:rsidP="00B47EF5">
            <w:pPr>
              <w:rPr>
                <w:rFonts w:eastAsiaTheme="minorHAnsi" w:cstheme="minorHAnsi"/>
                <w:sz w:val="20"/>
              </w:rPr>
            </w:pPr>
            <w:r w:rsidRPr="00CC474D">
              <w:rPr>
                <w:rFonts w:cstheme="minorHAnsi"/>
                <w:sz w:val="20"/>
              </w:rPr>
              <w:t>samplingTime</w:t>
            </w:r>
          </w:p>
        </w:tc>
        <w:tc>
          <w:tcPr>
            <w:tcW w:w="2395" w:type="dxa"/>
            <w:vAlign w:val="center"/>
            <w:hideMark/>
          </w:tcPr>
          <w:p w14:paraId="1EC66BAE" w14:textId="77777777" w:rsidR="00B47EF5" w:rsidRPr="00CC474D" w:rsidRDefault="00B47EF5" w:rsidP="00B47EF5">
            <w:pPr>
              <w:rPr>
                <w:rFonts w:eastAsiaTheme="minorHAnsi" w:cstheme="minorHAnsi"/>
                <w:sz w:val="20"/>
              </w:rPr>
            </w:pPr>
            <w:r w:rsidRPr="00CC474D">
              <w:rPr>
                <w:rFonts w:cstheme="minorHAnsi"/>
                <w:sz w:val="20"/>
              </w:rPr>
              <w:t>The date/time that water variables are measured</w:t>
            </w:r>
          </w:p>
        </w:tc>
        <w:tc>
          <w:tcPr>
            <w:tcW w:w="1401" w:type="dxa"/>
            <w:vAlign w:val="center"/>
            <w:hideMark/>
          </w:tcPr>
          <w:p w14:paraId="3D1DA77C" w14:textId="77777777" w:rsidR="00B47EF5" w:rsidRPr="00CC474D" w:rsidRDefault="00B47EF5" w:rsidP="00B47EF5">
            <w:pPr>
              <w:rPr>
                <w:rFonts w:eastAsiaTheme="minorHAnsi" w:cstheme="minorHAnsi"/>
                <w:sz w:val="20"/>
              </w:rPr>
            </w:pPr>
            <w:r w:rsidRPr="00CC474D">
              <w:rPr>
                <w:rFonts w:cstheme="minorHAnsi"/>
                <w:sz w:val="20"/>
              </w:rPr>
              <w:t>Date Time</w:t>
            </w:r>
          </w:p>
        </w:tc>
        <w:tc>
          <w:tcPr>
            <w:tcW w:w="850" w:type="dxa"/>
            <w:vAlign w:val="center"/>
            <w:hideMark/>
          </w:tcPr>
          <w:p w14:paraId="35AF1F82" w14:textId="77777777" w:rsidR="00B47EF5" w:rsidRPr="00CC474D" w:rsidRDefault="00B47EF5" w:rsidP="00B47EF5">
            <w:pPr>
              <w:rPr>
                <w:rFonts w:eastAsiaTheme="minorHAnsi" w:cstheme="minorHAnsi"/>
                <w:sz w:val="20"/>
              </w:rPr>
            </w:pPr>
            <w:r w:rsidRPr="00CC474D">
              <w:rPr>
                <w:rFonts w:cstheme="minorHAnsi"/>
                <w:sz w:val="20"/>
              </w:rPr>
              <w:t>Y</w:t>
            </w:r>
          </w:p>
        </w:tc>
        <w:tc>
          <w:tcPr>
            <w:tcW w:w="1247" w:type="dxa"/>
            <w:hideMark/>
          </w:tcPr>
          <w:p w14:paraId="1A588171" w14:textId="77777777" w:rsidR="00B47EF5" w:rsidRPr="00CC474D" w:rsidRDefault="00B47EF5" w:rsidP="00B47EF5">
            <w:pPr>
              <w:rPr>
                <w:rFonts w:eastAsiaTheme="minorEastAsia" w:cstheme="minorHAnsi"/>
                <w:sz w:val="20"/>
              </w:rPr>
            </w:pPr>
          </w:p>
        </w:tc>
        <w:tc>
          <w:tcPr>
            <w:tcW w:w="1836" w:type="dxa"/>
          </w:tcPr>
          <w:p w14:paraId="506A7CE7" w14:textId="6B22E84F" w:rsidR="00B47EF5" w:rsidRPr="00CC474D" w:rsidRDefault="00B47EF5" w:rsidP="00B47EF5">
            <w:pPr>
              <w:pStyle w:val="TableHeading"/>
              <w:rPr>
                <w:rFonts w:cstheme="minorHAnsi"/>
                <w:b w:val="0"/>
                <w:szCs w:val="20"/>
              </w:rPr>
            </w:pPr>
            <w:r w:rsidRPr="00CC474D">
              <w:rPr>
                <w:rFonts w:cstheme="minorHAnsi"/>
                <w:b w:val="0"/>
                <w:szCs w:val="20"/>
              </w:rPr>
              <w:t>03/10/2019  00:00</w:t>
            </w:r>
          </w:p>
        </w:tc>
      </w:tr>
      <w:tr w:rsidR="00DA312A" w:rsidRPr="00CC474D" w14:paraId="36DA7567" w14:textId="77777777" w:rsidTr="0050053E">
        <w:trPr>
          <w:cantSplit/>
        </w:trPr>
        <w:tc>
          <w:tcPr>
            <w:tcW w:w="1699" w:type="dxa"/>
            <w:noWrap/>
            <w:hideMark/>
          </w:tcPr>
          <w:p w14:paraId="4EB1DEB2" w14:textId="77777777" w:rsidR="00DA312A" w:rsidRPr="00CC474D" w:rsidRDefault="00DA312A" w:rsidP="0050053E">
            <w:pPr>
              <w:pStyle w:val="TableText"/>
              <w:rPr>
                <w:rFonts w:cstheme="minorHAnsi"/>
                <w:szCs w:val="20"/>
              </w:rPr>
            </w:pPr>
            <w:r w:rsidRPr="00CC474D">
              <w:rPr>
                <w:rFonts w:cstheme="minorHAnsi"/>
                <w:szCs w:val="20"/>
              </w:rPr>
              <w:t>discharge</w:t>
            </w:r>
          </w:p>
        </w:tc>
        <w:tc>
          <w:tcPr>
            <w:tcW w:w="2395" w:type="dxa"/>
            <w:noWrap/>
            <w:hideMark/>
          </w:tcPr>
          <w:p w14:paraId="18B93A25" w14:textId="77777777" w:rsidR="00DA312A" w:rsidRPr="00CC474D" w:rsidRDefault="00DA312A" w:rsidP="0050053E">
            <w:pPr>
              <w:pStyle w:val="TableText"/>
              <w:rPr>
                <w:rFonts w:cstheme="minorHAnsi"/>
                <w:szCs w:val="20"/>
              </w:rPr>
            </w:pPr>
            <w:r w:rsidRPr="00CC474D">
              <w:rPr>
                <w:rFonts w:cstheme="minorHAnsi"/>
                <w:szCs w:val="20"/>
              </w:rPr>
              <w:t>Water discharge in megalitres per day</w:t>
            </w:r>
          </w:p>
        </w:tc>
        <w:tc>
          <w:tcPr>
            <w:tcW w:w="1401" w:type="dxa"/>
            <w:noWrap/>
            <w:hideMark/>
          </w:tcPr>
          <w:p w14:paraId="14F84B00" w14:textId="77777777" w:rsidR="00DA312A" w:rsidRPr="00CC474D" w:rsidRDefault="00DA312A" w:rsidP="0050053E">
            <w:pPr>
              <w:pStyle w:val="TableText"/>
              <w:rPr>
                <w:rFonts w:cstheme="minorHAnsi"/>
                <w:szCs w:val="20"/>
              </w:rPr>
            </w:pPr>
            <w:r w:rsidRPr="00CC474D">
              <w:rPr>
                <w:rFonts w:cstheme="minorHAnsi"/>
                <w:szCs w:val="20"/>
              </w:rPr>
              <w:t>Number (0 decimals)</w:t>
            </w:r>
          </w:p>
        </w:tc>
        <w:tc>
          <w:tcPr>
            <w:tcW w:w="850" w:type="dxa"/>
            <w:noWrap/>
            <w:hideMark/>
          </w:tcPr>
          <w:p w14:paraId="14620343" w14:textId="77777777" w:rsidR="00DA312A" w:rsidRPr="00CC474D" w:rsidRDefault="00DA312A" w:rsidP="0050053E">
            <w:pPr>
              <w:pStyle w:val="TableText"/>
              <w:rPr>
                <w:rFonts w:cstheme="minorHAnsi"/>
                <w:szCs w:val="20"/>
              </w:rPr>
            </w:pPr>
            <w:r w:rsidRPr="00CC474D">
              <w:rPr>
                <w:rFonts w:cstheme="minorHAnsi"/>
                <w:szCs w:val="20"/>
              </w:rPr>
              <w:t>Y</w:t>
            </w:r>
          </w:p>
        </w:tc>
        <w:tc>
          <w:tcPr>
            <w:tcW w:w="1247" w:type="dxa"/>
            <w:noWrap/>
            <w:hideMark/>
          </w:tcPr>
          <w:p w14:paraId="0F23E707" w14:textId="77777777" w:rsidR="00DA312A" w:rsidRPr="00CC474D" w:rsidRDefault="00DA312A" w:rsidP="0050053E">
            <w:pPr>
              <w:pStyle w:val="TableText"/>
              <w:rPr>
                <w:rFonts w:cstheme="minorHAnsi"/>
                <w:szCs w:val="20"/>
              </w:rPr>
            </w:pPr>
            <w:r w:rsidRPr="00CC474D">
              <w:rPr>
                <w:rFonts w:cstheme="minorHAnsi"/>
                <w:szCs w:val="20"/>
              </w:rPr>
              <w:t>[0,+]</w:t>
            </w:r>
          </w:p>
        </w:tc>
        <w:tc>
          <w:tcPr>
            <w:tcW w:w="1836" w:type="dxa"/>
          </w:tcPr>
          <w:p w14:paraId="6F62A82B" w14:textId="77777777" w:rsidR="00DA312A" w:rsidRPr="00CC474D" w:rsidRDefault="00DA312A" w:rsidP="0050053E">
            <w:pPr>
              <w:pStyle w:val="TableText"/>
              <w:rPr>
                <w:rFonts w:cstheme="minorHAnsi"/>
                <w:szCs w:val="20"/>
              </w:rPr>
            </w:pPr>
            <w:r w:rsidRPr="00CC474D">
              <w:rPr>
                <w:rFonts w:cstheme="minorHAnsi"/>
                <w:szCs w:val="20"/>
              </w:rPr>
              <w:t>12,042 ML/d</w:t>
            </w:r>
          </w:p>
        </w:tc>
      </w:tr>
      <w:tr w:rsidR="00DA312A" w:rsidRPr="00CC474D" w14:paraId="3A991CFD" w14:textId="77777777" w:rsidTr="0050053E">
        <w:trPr>
          <w:cantSplit/>
        </w:trPr>
        <w:tc>
          <w:tcPr>
            <w:tcW w:w="1699" w:type="dxa"/>
            <w:noWrap/>
            <w:hideMark/>
          </w:tcPr>
          <w:p w14:paraId="75D6CCF4" w14:textId="77777777" w:rsidR="00DA312A" w:rsidRPr="00CC474D" w:rsidRDefault="00DA312A" w:rsidP="0050053E">
            <w:pPr>
              <w:pStyle w:val="TableText"/>
              <w:rPr>
                <w:rFonts w:cstheme="minorHAnsi"/>
                <w:szCs w:val="20"/>
              </w:rPr>
            </w:pPr>
            <w:r w:rsidRPr="00CC474D">
              <w:rPr>
                <w:rFonts w:cstheme="minorHAnsi"/>
                <w:szCs w:val="20"/>
              </w:rPr>
              <w:t>velocityMedian</w:t>
            </w:r>
          </w:p>
        </w:tc>
        <w:tc>
          <w:tcPr>
            <w:tcW w:w="2395" w:type="dxa"/>
            <w:noWrap/>
            <w:hideMark/>
          </w:tcPr>
          <w:p w14:paraId="4C8192FE" w14:textId="44AB6C92" w:rsidR="00DA312A" w:rsidRPr="00CC474D" w:rsidRDefault="0050053E" w:rsidP="0050053E">
            <w:pPr>
              <w:pStyle w:val="TableText"/>
              <w:rPr>
                <w:rFonts w:cstheme="minorHAnsi"/>
                <w:szCs w:val="20"/>
              </w:rPr>
            </w:pPr>
            <w:r w:rsidRPr="00CC474D">
              <w:rPr>
                <w:rFonts w:cstheme="minorHAnsi"/>
                <w:szCs w:val="20"/>
              </w:rPr>
              <w:t>M</w:t>
            </w:r>
            <w:r w:rsidR="00DA312A" w:rsidRPr="00CC474D">
              <w:rPr>
                <w:rFonts w:cstheme="minorHAnsi"/>
                <w:szCs w:val="20"/>
              </w:rPr>
              <w:t>edian daily velocity in weir pool in metres per second</w:t>
            </w:r>
          </w:p>
        </w:tc>
        <w:tc>
          <w:tcPr>
            <w:tcW w:w="1401" w:type="dxa"/>
            <w:noWrap/>
            <w:hideMark/>
          </w:tcPr>
          <w:p w14:paraId="21F0F8E9" w14:textId="77777777" w:rsidR="00DA312A" w:rsidRPr="00CC474D" w:rsidRDefault="00DA312A" w:rsidP="0050053E">
            <w:pPr>
              <w:pStyle w:val="TableText"/>
              <w:rPr>
                <w:rFonts w:cstheme="minorHAnsi"/>
                <w:szCs w:val="20"/>
              </w:rPr>
            </w:pPr>
            <w:r w:rsidRPr="00CC474D">
              <w:rPr>
                <w:rFonts w:cstheme="minorHAnsi"/>
                <w:szCs w:val="20"/>
              </w:rPr>
              <w:t>Number (2 decimals)</w:t>
            </w:r>
          </w:p>
        </w:tc>
        <w:tc>
          <w:tcPr>
            <w:tcW w:w="850" w:type="dxa"/>
            <w:noWrap/>
            <w:hideMark/>
          </w:tcPr>
          <w:p w14:paraId="3489C5EE" w14:textId="77777777" w:rsidR="00DA312A" w:rsidRPr="00CC474D" w:rsidRDefault="00DA312A" w:rsidP="0050053E">
            <w:pPr>
              <w:pStyle w:val="TableText"/>
              <w:rPr>
                <w:rFonts w:cstheme="minorHAnsi"/>
                <w:szCs w:val="20"/>
              </w:rPr>
            </w:pPr>
            <w:r w:rsidRPr="00CC474D">
              <w:rPr>
                <w:rFonts w:cstheme="minorHAnsi"/>
                <w:szCs w:val="20"/>
              </w:rPr>
              <w:t>Y</w:t>
            </w:r>
          </w:p>
        </w:tc>
        <w:tc>
          <w:tcPr>
            <w:tcW w:w="1247" w:type="dxa"/>
            <w:noWrap/>
            <w:hideMark/>
          </w:tcPr>
          <w:p w14:paraId="247B19A6" w14:textId="77777777" w:rsidR="00DA312A" w:rsidRPr="00CC474D" w:rsidRDefault="00DA312A" w:rsidP="0050053E">
            <w:pPr>
              <w:pStyle w:val="TableText"/>
              <w:rPr>
                <w:rFonts w:cstheme="minorHAnsi"/>
                <w:szCs w:val="20"/>
              </w:rPr>
            </w:pPr>
            <w:r w:rsidRPr="00CC474D">
              <w:rPr>
                <w:rFonts w:cstheme="minorHAnsi"/>
                <w:szCs w:val="20"/>
              </w:rPr>
              <w:t>[0,+]</w:t>
            </w:r>
          </w:p>
        </w:tc>
        <w:tc>
          <w:tcPr>
            <w:tcW w:w="1836" w:type="dxa"/>
          </w:tcPr>
          <w:p w14:paraId="2193B525" w14:textId="77777777" w:rsidR="00DA312A" w:rsidRPr="00CC474D" w:rsidRDefault="00DA312A" w:rsidP="0050053E">
            <w:pPr>
              <w:pStyle w:val="TableText"/>
              <w:rPr>
                <w:rFonts w:cstheme="minorHAnsi"/>
                <w:szCs w:val="20"/>
              </w:rPr>
            </w:pPr>
            <w:r w:rsidRPr="00CC474D">
              <w:rPr>
                <w:rFonts w:cstheme="minorHAnsi"/>
                <w:szCs w:val="20"/>
              </w:rPr>
              <w:t>0.86 m/s</w:t>
            </w:r>
          </w:p>
        </w:tc>
      </w:tr>
      <w:tr w:rsidR="00DA312A" w:rsidRPr="00CC474D" w14:paraId="29FF30BD" w14:textId="77777777" w:rsidTr="0050053E">
        <w:trPr>
          <w:cantSplit/>
        </w:trPr>
        <w:tc>
          <w:tcPr>
            <w:tcW w:w="1699" w:type="dxa"/>
            <w:noWrap/>
            <w:hideMark/>
          </w:tcPr>
          <w:p w14:paraId="1EF9F9DE" w14:textId="77777777" w:rsidR="00DA312A" w:rsidRPr="00CC474D" w:rsidRDefault="00DA312A" w:rsidP="0050053E">
            <w:pPr>
              <w:pStyle w:val="TableText"/>
              <w:rPr>
                <w:rFonts w:cstheme="minorHAnsi"/>
                <w:szCs w:val="20"/>
              </w:rPr>
            </w:pPr>
            <w:r w:rsidRPr="00CC474D">
              <w:rPr>
                <w:rFonts w:cstheme="minorHAnsi"/>
                <w:szCs w:val="20"/>
              </w:rPr>
              <w:t>velocityLotic</w:t>
            </w:r>
          </w:p>
        </w:tc>
        <w:tc>
          <w:tcPr>
            <w:tcW w:w="2395" w:type="dxa"/>
            <w:noWrap/>
            <w:hideMark/>
          </w:tcPr>
          <w:p w14:paraId="76F378F6" w14:textId="77777777" w:rsidR="00DA312A" w:rsidRPr="00CC474D" w:rsidRDefault="00DA312A" w:rsidP="0050053E">
            <w:pPr>
              <w:pStyle w:val="TableText"/>
              <w:rPr>
                <w:rFonts w:cstheme="minorHAnsi"/>
                <w:szCs w:val="20"/>
              </w:rPr>
            </w:pPr>
            <w:r w:rsidRPr="00CC474D">
              <w:rPr>
                <w:rFonts w:cstheme="minorHAnsi"/>
                <w:szCs w:val="20"/>
              </w:rPr>
              <w:t>Percentage of reach with velocity exceeding 0.3 m/s</w:t>
            </w:r>
          </w:p>
        </w:tc>
        <w:tc>
          <w:tcPr>
            <w:tcW w:w="1401" w:type="dxa"/>
            <w:noWrap/>
            <w:hideMark/>
          </w:tcPr>
          <w:p w14:paraId="757461DC" w14:textId="77777777" w:rsidR="00DA312A" w:rsidRPr="00CC474D" w:rsidRDefault="00DA312A" w:rsidP="0050053E">
            <w:pPr>
              <w:pStyle w:val="TableText"/>
              <w:rPr>
                <w:rFonts w:cstheme="minorHAnsi"/>
                <w:szCs w:val="20"/>
              </w:rPr>
            </w:pPr>
            <w:r w:rsidRPr="00CC474D">
              <w:rPr>
                <w:rFonts w:cstheme="minorHAnsi"/>
                <w:szCs w:val="20"/>
              </w:rPr>
              <w:t>Number (0 decimals)</w:t>
            </w:r>
          </w:p>
        </w:tc>
        <w:tc>
          <w:tcPr>
            <w:tcW w:w="850" w:type="dxa"/>
            <w:noWrap/>
            <w:hideMark/>
          </w:tcPr>
          <w:p w14:paraId="0CDB35BA" w14:textId="77777777" w:rsidR="00DA312A" w:rsidRPr="00CC474D" w:rsidRDefault="00DA312A" w:rsidP="0050053E">
            <w:pPr>
              <w:pStyle w:val="TableText"/>
              <w:rPr>
                <w:rFonts w:cstheme="minorHAnsi"/>
                <w:szCs w:val="20"/>
              </w:rPr>
            </w:pPr>
            <w:r w:rsidRPr="00CC474D">
              <w:rPr>
                <w:rFonts w:cstheme="minorHAnsi"/>
                <w:szCs w:val="20"/>
              </w:rPr>
              <w:t>Y</w:t>
            </w:r>
          </w:p>
        </w:tc>
        <w:tc>
          <w:tcPr>
            <w:tcW w:w="1247" w:type="dxa"/>
            <w:noWrap/>
            <w:hideMark/>
          </w:tcPr>
          <w:p w14:paraId="50A8DD56" w14:textId="77777777" w:rsidR="00DA312A" w:rsidRPr="00CC474D" w:rsidRDefault="00DA312A" w:rsidP="0050053E">
            <w:pPr>
              <w:pStyle w:val="TableText"/>
              <w:rPr>
                <w:rFonts w:cstheme="minorHAnsi"/>
                <w:szCs w:val="20"/>
              </w:rPr>
            </w:pPr>
            <w:r w:rsidRPr="00CC474D">
              <w:rPr>
                <w:rFonts w:cstheme="minorHAnsi"/>
                <w:szCs w:val="20"/>
              </w:rPr>
              <w:t>[0,+]</w:t>
            </w:r>
          </w:p>
        </w:tc>
        <w:tc>
          <w:tcPr>
            <w:tcW w:w="1836" w:type="dxa"/>
          </w:tcPr>
          <w:p w14:paraId="794011FE" w14:textId="77777777" w:rsidR="00DA312A" w:rsidRPr="00CC474D" w:rsidRDefault="00DA312A" w:rsidP="0050053E">
            <w:pPr>
              <w:pStyle w:val="TableText"/>
              <w:rPr>
                <w:rFonts w:cstheme="minorHAnsi"/>
                <w:szCs w:val="20"/>
              </w:rPr>
            </w:pPr>
            <w:r w:rsidRPr="00CC474D">
              <w:rPr>
                <w:rFonts w:cstheme="minorHAnsi"/>
                <w:szCs w:val="20"/>
              </w:rPr>
              <w:t>31%</w:t>
            </w:r>
          </w:p>
        </w:tc>
      </w:tr>
    </w:tbl>
    <w:p w14:paraId="3917D12D" w14:textId="77777777" w:rsidR="00DA312A" w:rsidRPr="00992869" w:rsidRDefault="00DA312A" w:rsidP="009E6C53"/>
    <w:p w14:paraId="1515945F" w14:textId="77777777" w:rsidR="009E6C53" w:rsidRPr="00992869" w:rsidRDefault="009E6C53" w:rsidP="009E6C53">
      <w:pPr>
        <w:pStyle w:val="Heading2"/>
      </w:pPr>
      <w:bookmarkStart w:id="1359" w:name="_Toc10206734"/>
      <w:bookmarkStart w:id="1360" w:name="_Toc10213320"/>
      <w:bookmarkStart w:id="1361" w:name="_Toc10732344"/>
      <w:bookmarkStart w:id="1362" w:name="_Toc10796903"/>
      <w:bookmarkStart w:id="1363" w:name="_Toc12022788"/>
      <w:bookmarkStart w:id="1364" w:name="_Toc12630618"/>
      <w:bookmarkStart w:id="1365" w:name="_Toc16154478"/>
      <w:bookmarkStart w:id="1366" w:name="_Toc22196840"/>
      <w:r w:rsidRPr="00992869">
        <w:t>Quality Assurance/Quality Control</w:t>
      </w:r>
      <w:bookmarkEnd w:id="1359"/>
      <w:bookmarkEnd w:id="1360"/>
      <w:bookmarkEnd w:id="1361"/>
      <w:bookmarkEnd w:id="1362"/>
      <w:bookmarkEnd w:id="1363"/>
      <w:bookmarkEnd w:id="1364"/>
      <w:bookmarkEnd w:id="1365"/>
      <w:bookmarkEnd w:id="1366"/>
    </w:p>
    <w:p w14:paraId="77E9C106" w14:textId="5D52A9C3" w:rsidR="009E6C53" w:rsidRPr="00992869" w:rsidRDefault="009E6C53" w:rsidP="009E6C53">
      <w:r w:rsidRPr="00992869">
        <w:t xml:space="preserve">See Section </w:t>
      </w:r>
      <w:r w:rsidRPr="00992869">
        <w:fldChar w:fldCharType="begin"/>
      </w:r>
      <w:r w:rsidRPr="00992869">
        <w:instrText xml:space="preserve"> REF _Ref9333977 \r \h  \* MERGEFORMAT </w:instrText>
      </w:r>
      <w:r w:rsidRPr="00992869">
        <w:fldChar w:fldCharType="separate"/>
      </w:r>
      <w:r w:rsidR="00DF49CD">
        <w:t>10.3</w:t>
      </w:r>
      <w:r w:rsidRPr="00992869">
        <w:fldChar w:fldCharType="end"/>
      </w:r>
      <w:r>
        <w:t xml:space="preserve"> </w:t>
      </w:r>
      <w:r w:rsidRPr="002E3EEF">
        <w:rPr>
          <w:rFonts w:cstheme="minorHAnsi"/>
          <w:szCs w:val="22"/>
        </w:rPr>
        <w:t xml:space="preserve">in the </w:t>
      </w:r>
      <w:r>
        <w:rPr>
          <w:rFonts w:cstheme="minorHAnsi"/>
          <w:szCs w:val="22"/>
        </w:rPr>
        <w:t>MER</w:t>
      </w:r>
      <w:r w:rsidRPr="002E3EEF">
        <w:rPr>
          <w:rFonts w:cstheme="minorHAnsi"/>
          <w:szCs w:val="22"/>
        </w:rPr>
        <w:t xml:space="preserve"> Plan</w:t>
      </w:r>
      <w:r>
        <w:rPr>
          <w:rFonts w:cstheme="minorHAnsi"/>
          <w:szCs w:val="22"/>
        </w:rPr>
        <w:t xml:space="preserve"> for quality assurance and control measures</w:t>
      </w:r>
      <w:r w:rsidRPr="00992869">
        <w:t xml:space="preserve">. </w:t>
      </w:r>
    </w:p>
    <w:p w14:paraId="72DC21A3" w14:textId="77777777" w:rsidR="006361E1" w:rsidRPr="00992869" w:rsidRDefault="006361E1" w:rsidP="006361E1">
      <w:pPr>
        <w:pStyle w:val="Heading2"/>
      </w:pPr>
      <w:bookmarkStart w:id="1367" w:name="_Toc10206735"/>
      <w:bookmarkStart w:id="1368" w:name="_Toc10213321"/>
      <w:bookmarkStart w:id="1369" w:name="_Toc10732345"/>
      <w:bookmarkStart w:id="1370" w:name="_Toc10796904"/>
      <w:bookmarkStart w:id="1371" w:name="_Toc12022789"/>
      <w:bookmarkStart w:id="1372" w:name="_Toc12630619"/>
      <w:bookmarkStart w:id="1373" w:name="_Toc16154479"/>
      <w:bookmarkStart w:id="1374" w:name="_Toc22196841"/>
      <w:r w:rsidRPr="00992869">
        <w:t>Health, safety and environment plan</w:t>
      </w:r>
      <w:bookmarkEnd w:id="1357"/>
      <w:bookmarkEnd w:id="1358"/>
      <w:bookmarkEnd w:id="1367"/>
      <w:bookmarkEnd w:id="1368"/>
      <w:bookmarkEnd w:id="1369"/>
      <w:bookmarkEnd w:id="1370"/>
      <w:bookmarkEnd w:id="1371"/>
      <w:bookmarkEnd w:id="1372"/>
      <w:bookmarkEnd w:id="1373"/>
      <w:bookmarkEnd w:id="1374"/>
    </w:p>
    <w:p w14:paraId="02037104" w14:textId="53E29D7A" w:rsidR="006361E1" w:rsidRDefault="006361E1" w:rsidP="006361E1">
      <w:pPr>
        <w:rPr>
          <w:lang w:val="en-US"/>
        </w:rPr>
      </w:pPr>
      <w:r w:rsidRPr="00992869">
        <w:t>See Appen</w:t>
      </w:r>
      <w:r w:rsidR="000E285D">
        <w:t>dix A</w:t>
      </w:r>
      <w:r w:rsidRPr="00992869">
        <w:t>.</w:t>
      </w:r>
    </w:p>
    <w:p w14:paraId="5913513C" w14:textId="77777777" w:rsidR="006361E1" w:rsidRPr="004B7CC1" w:rsidRDefault="006361E1" w:rsidP="006361E1">
      <w:pPr>
        <w:pStyle w:val="Heading2"/>
      </w:pPr>
      <w:bookmarkStart w:id="1375" w:name="_Toc10095252"/>
      <w:bookmarkStart w:id="1376" w:name="_Toc10192421"/>
      <w:bookmarkStart w:id="1377" w:name="_Toc10206736"/>
      <w:bookmarkStart w:id="1378" w:name="_Toc10213322"/>
      <w:bookmarkStart w:id="1379" w:name="_Toc10732346"/>
      <w:bookmarkStart w:id="1380" w:name="_Toc10796905"/>
      <w:bookmarkStart w:id="1381" w:name="_Toc12022790"/>
      <w:bookmarkStart w:id="1382" w:name="_Toc12630620"/>
      <w:bookmarkStart w:id="1383" w:name="_Toc16154480"/>
      <w:bookmarkStart w:id="1384" w:name="_Toc22196842"/>
      <w:r w:rsidRPr="004B7CC1">
        <w:t>References</w:t>
      </w:r>
      <w:bookmarkEnd w:id="1355"/>
      <w:bookmarkEnd w:id="1356"/>
      <w:bookmarkEnd w:id="1375"/>
      <w:bookmarkEnd w:id="1376"/>
      <w:bookmarkEnd w:id="1377"/>
      <w:bookmarkEnd w:id="1378"/>
      <w:bookmarkEnd w:id="1379"/>
      <w:bookmarkEnd w:id="1380"/>
      <w:bookmarkEnd w:id="1381"/>
      <w:bookmarkEnd w:id="1382"/>
      <w:bookmarkEnd w:id="1383"/>
      <w:bookmarkEnd w:id="1384"/>
    </w:p>
    <w:p w14:paraId="55206023" w14:textId="77777777" w:rsidR="006361E1" w:rsidRPr="009E403C" w:rsidRDefault="006361E1" w:rsidP="006361E1">
      <w:pPr>
        <w:rPr>
          <w:szCs w:val="22"/>
        </w:rPr>
      </w:pPr>
      <w:r w:rsidRPr="009E403C">
        <w:rPr>
          <w:szCs w:val="22"/>
        </w:rPr>
        <w:t>Bice, C. M., Gibbs, M. S., Kilsby, N. N., Mallen-Cooper, M., &amp; Zampatti, B. P. (2017). Putting the "river" back into the Lower River Murray: quantifying the hydraulic impact of river regulation to guide ecological restoration. Transactions of the Royal Society of South Australia, 141(2), 108-131.</w:t>
      </w:r>
    </w:p>
    <w:p w14:paraId="5614FA6D" w14:textId="77777777" w:rsidR="006361E1" w:rsidRPr="009E403C" w:rsidRDefault="006361E1" w:rsidP="006361E1">
      <w:r w:rsidRPr="009E403C">
        <w:t>Biggs, B. J. F., V. I. Nikora and T. H. Snelder (2005). Linking scales of flow variability to lotic ecosystem structure and function. Regulated Rivers: Research &amp; Mangement 21: 283–298.</w:t>
      </w:r>
    </w:p>
    <w:p w14:paraId="7DD80E05" w14:textId="77777777" w:rsidR="006361E1" w:rsidRPr="009E403C" w:rsidRDefault="006361E1" w:rsidP="006361E1">
      <w:r w:rsidRPr="009E403C">
        <w:t xml:space="preserve">DHI (2014) </w:t>
      </w:r>
      <w:r w:rsidRPr="009E403C">
        <w:rPr>
          <w:i/>
        </w:rPr>
        <w:t xml:space="preserve">Lower Murray Hydrodynamic Model – Model development and calibration report. </w:t>
      </w:r>
      <w:r w:rsidRPr="009E403C">
        <w:t>Final Report to Department For Water, Dec 2014</w:t>
      </w:r>
    </w:p>
    <w:p w14:paraId="649EE1A1" w14:textId="77777777" w:rsidR="006361E1" w:rsidRPr="00E42A64" w:rsidRDefault="006361E1" w:rsidP="006361E1">
      <w:r w:rsidRPr="00E42A64">
        <w:t>Hale, J., Stoffels, R., Butcher, R., Shackleton, M., Brooks, S. and Gawne, B. (2014). Commonwealth Environmental Water Office Long Term Intervention Monitoring Project – Standard Methods. Final Report prepared for the Commonwealth Environmental Water Office by The Murray</w:t>
      </w:r>
      <w:r>
        <w:rPr>
          <w:rFonts w:eastAsiaTheme="majorEastAsia"/>
        </w:rPr>
        <w:t>–</w:t>
      </w:r>
      <w:r w:rsidRPr="00E42A64">
        <w:t>Darling Freshwater Research Centre. Murray</w:t>
      </w:r>
      <w:r>
        <w:rPr>
          <w:rFonts w:eastAsiaTheme="majorEastAsia"/>
        </w:rPr>
        <w:t>–</w:t>
      </w:r>
      <w:r w:rsidRPr="00E42A64">
        <w:t xml:space="preserve">Darling Freshwater Research Centre, MDFRC Publication 29.2/2014. </w:t>
      </w:r>
    </w:p>
    <w:p w14:paraId="51E06B78" w14:textId="77777777" w:rsidR="004F011F" w:rsidRDefault="004F011F">
      <w:pPr>
        <w:spacing w:after="200" w:line="276" w:lineRule="auto"/>
        <w:jc w:val="left"/>
      </w:pPr>
      <w:r>
        <w:br w:type="page"/>
      </w:r>
    </w:p>
    <w:p w14:paraId="572D5A13" w14:textId="44642B5D" w:rsidR="006361E1" w:rsidRDefault="006361E1" w:rsidP="006361E1">
      <w:r w:rsidRPr="009E403C">
        <w:lastRenderedPageBreak/>
        <w:t xml:space="preserve">McCullough DP, Montazeri M &amp; Esprey L (2017). </w:t>
      </w:r>
      <w:r w:rsidRPr="009E403C">
        <w:rPr>
          <w:i/>
        </w:rPr>
        <w:t>Refinement and calibration of Pike and Katarapko floodplain flexible mesh models</w:t>
      </w:r>
      <w:r w:rsidRPr="009E403C">
        <w:t>. DEWNR Technical note 2017/11, Government of South Australia, Department of Environment, Water and Natural Resources, Adelaide.</w:t>
      </w:r>
    </w:p>
    <w:p w14:paraId="3E76D920" w14:textId="10AF2430" w:rsidR="00013CA7" w:rsidRDefault="006361E1" w:rsidP="006361E1">
      <w:r w:rsidRPr="009E403C">
        <w:t>Statzner, B. and B. Higler (1986). Stream hydraulics as a major determinant of benthic invertebrate zonation patterns. Freshwater Biology 16: 127–139.</w:t>
      </w:r>
    </w:p>
    <w:p w14:paraId="2A0C0833" w14:textId="77777777" w:rsidR="00013CA7" w:rsidRDefault="00013CA7">
      <w:pPr>
        <w:spacing w:after="200" w:line="276" w:lineRule="auto"/>
        <w:jc w:val="left"/>
      </w:pPr>
      <w:r>
        <w:br w:type="page"/>
      </w:r>
    </w:p>
    <w:p w14:paraId="693ADC7C" w14:textId="4995E51F" w:rsidR="006361E1" w:rsidRDefault="008818C4" w:rsidP="006361E1">
      <w:pPr>
        <w:pStyle w:val="Heading1"/>
      </w:pPr>
      <w:bookmarkStart w:id="1385" w:name="_Toc396825325"/>
      <w:bookmarkStart w:id="1386" w:name="_Ref397516535"/>
      <w:bookmarkStart w:id="1387" w:name="_Toc6403888"/>
      <w:bookmarkStart w:id="1388" w:name="_Toc10095253"/>
      <w:bookmarkStart w:id="1389" w:name="_Toc10192422"/>
      <w:bookmarkStart w:id="1390" w:name="_Toc10206737"/>
      <w:bookmarkStart w:id="1391" w:name="_Toc10213323"/>
      <w:bookmarkStart w:id="1392" w:name="_Toc10732347"/>
      <w:bookmarkStart w:id="1393" w:name="_Toc10796906"/>
      <w:bookmarkStart w:id="1394" w:name="_Toc12022791"/>
      <w:bookmarkStart w:id="1395" w:name="_Toc12630621"/>
      <w:bookmarkStart w:id="1396" w:name="_Toc16154481"/>
      <w:bookmarkStart w:id="1397" w:name="_Toc22196843"/>
      <w:r>
        <w:lastRenderedPageBreak/>
        <w:t>Matter T</w:t>
      </w:r>
      <w:r w:rsidR="006361E1">
        <w:t>ransport</w:t>
      </w:r>
      <w:bookmarkEnd w:id="1385"/>
      <w:bookmarkEnd w:id="1386"/>
      <w:bookmarkEnd w:id="1387"/>
      <w:r>
        <w:t xml:space="preserve"> and Coorong H</w:t>
      </w:r>
      <w:r w:rsidR="006361E1">
        <w:t>abitat</w:t>
      </w:r>
      <w:bookmarkEnd w:id="1388"/>
      <w:bookmarkEnd w:id="1389"/>
      <w:bookmarkEnd w:id="1390"/>
      <w:bookmarkEnd w:id="1391"/>
      <w:bookmarkEnd w:id="1392"/>
      <w:bookmarkEnd w:id="1393"/>
      <w:bookmarkEnd w:id="1394"/>
      <w:bookmarkEnd w:id="1395"/>
      <w:bookmarkEnd w:id="1396"/>
      <w:bookmarkEnd w:id="1397"/>
    </w:p>
    <w:p w14:paraId="122975DD" w14:textId="10A6B85F" w:rsidR="006361E1" w:rsidRPr="00230157" w:rsidRDefault="00F466A7" w:rsidP="006361E1">
      <w:pPr>
        <w:pStyle w:val="Heading2"/>
      </w:pPr>
      <w:bookmarkStart w:id="1398" w:name="_Toc10095254"/>
      <w:bookmarkStart w:id="1399" w:name="_Toc10192423"/>
      <w:bookmarkStart w:id="1400" w:name="_Toc10206738"/>
      <w:bookmarkStart w:id="1401" w:name="_Toc10213324"/>
      <w:bookmarkStart w:id="1402" w:name="_Toc10732348"/>
      <w:bookmarkStart w:id="1403" w:name="_Toc10796907"/>
      <w:bookmarkStart w:id="1404" w:name="_Toc12022792"/>
      <w:bookmarkStart w:id="1405" w:name="_Toc12630622"/>
      <w:bookmarkStart w:id="1406" w:name="_Toc16154482"/>
      <w:bookmarkStart w:id="1407" w:name="_Toc22196844"/>
      <w:r>
        <w:t>Matter T</w:t>
      </w:r>
      <w:r w:rsidR="006361E1" w:rsidRPr="00230157">
        <w:t>ransport</w:t>
      </w:r>
      <w:bookmarkEnd w:id="1398"/>
      <w:bookmarkEnd w:id="1399"/>
      <w:bookmarkEnd w:id="1400"/>
      <w:bookmarkEnd w:id="1401"/>
      <w:bookmarkEnd w:id="1402"/>
      <w:bookmarkEnd w:id="1403"/>
      <w:bookmarkEnd w:id="1404"/>
      <w:bookmarkEnd w:id="1405"/>
      <w:bookmarkEnd w:id="1406"/>
      <w:bookmarkEnd w:id="1407"/>
    </w:p>
    <w:p w14:paraId="5B9B5994" w14:textId="77777777" w:rsidR="006361E1" w:rsidRPr="00525AE9" w:rsidRDefault="006361E1" w:rsidP="006361E1">
      <w:pPr>
        <w:pStyle w:val="Heading3"/>
      </w:pPr>
      <w:bookmarkStart w:id="1408" w:name="_Toc396825326"/>
      <w:bookmarkStart w:id="1409" w:name="_Ref401830171"/>
      <w:bookmarkStart w:id="1410" w:name="_Toc6403889"/>
      <w:bookmarkStart w:id="1411" w:name="_Toc10095255"/>
      <w:bookmarkStart w:id="1412" w:name="_Toc10192424"/>
      <w:bookmarkStart w:id="1413" w:name="_Toc10206739"/>
      <w:bookmarkStart w:id="1414" w:name="_Toc10213325"/>
      <w:bookmarkStart w:id="1415" w:name="_Toc10732349"/>
      <w:bookmarkStart w:id="1416" w:name="_Toc10796908"/>
      <w:bookmarkStart w:id="1417" w:name="_Toc12022793"/>
      <w:bookmarkStart w:id="1418" w:name="_Toc12630623"/>
      <w:bookmarkStart w:id="1419" w:name="_Toc16154483"/>
      <w:bookmarkStart w:id="1420" w:name="_Toc22196845"/>
      <w:r w:rsidRPr="00525AE9">
        <w:t>Evaluation questions</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14:paraId="71C868BE" w14:textId="77777777" w:rsidR="006361E1" w:rsidRPr="00E42A64" w:rsidRDefault="006361E1" w:rsidP="006361E1">
      <w:pPr>
        <w:rPr>
          <w:rFonts w:cstheme="minorHAnsi"/>
          <w:szCs w:val="22"/>
        </w:rPr>
      </w:pPr>
      <w:r w:rsidRPr="00E42A64">
        <w:rPr>
          <w:rFonts w:cstheme="minorHAnsi"/>
          <w:szCs w:val="22"/>
        </w:rPr>
        <w:t xml:space="preserve">This monitoring protocol addresses the following </w:t>
      </w:r>
      <w:r>
        <w:rPr>
          <w:rFonts w:cstheme="minorHAnsi"/>
          <w:szCs w:val="22"/>
        </w:rPr>
        <w:t>Selected Area</w:t>
      </w:r>
      <w:r w:rsidRPr="00E42A64">
        <w:rPr>
          <w:rFonts w:cstheme="minorHAnsi"/>
          <w:szCs w:val="22"/>
        </w:rPr>
        <w:t xml:space="preserve"> scale evaluation questions:</w:t>
      </w:r>
    </w:p>
    <w:p w14:paraId="7FB7B3DB" w14:textId="77777777" w:rsidR="006361E1" w:rsidRPr="00E42A64" w:rsidRDefault="006361E1" w:rsidP="00C77254">
      <w:pPr>
        <w:pStyle w:val="TableBullets"/>
        <w:widowControl w:val="0"/>
        <w:numPr>
          <w:ilvl w:val="0"/>
          <w:numId w:val="50"/>
        </w:numPr>
        <w:rPr>
          <w:rFonts w:cstheme="minorHAnsi"/>
          <w:sz w:val="22"/>
        </w:rPr>
      </w:pPr>
      <w:r w:rsidRPr="00E42A64">
        <w:rPr>
          <w:rFonts w:cstheme="minorHAnsi"/>
          <w:sz w:val="22"/>
        </w:rPr>
        <w:t xml:space="preserve">What did </w:t>
      </w:r>
      <w:r w:rsidRPr="00E42A64">
        <w:rPr>
          <w:rFonts w:cstheme="minorHAnsi"/>
          <w:kern w:val="0"/>
          <w:sz w:val="22"/>
        </w:rPr>
        <w:t>Commonwealth environmental water</w:t>
      </w:r>
      <w:r w:rsidRPr="00E42A64">
        <w:rPr>
          <w:rFonts w:cstheme="minorHAnsi"/>
          <w:sz w:val="22"/>
        </w:rPr>
        <w:t xml:space="preserve"> contribute to </w:t>
      </w:r>
      <w:r w:rsidRPr="009B4023">
        <w:rPr>
          <w:rFonts w:cstheme="minorHAnsi"/>
          <w:sz w:val="22"/>
        </w:rPr>
        <w:t>concentrations and transport of phytoplankton</w:t>
      </w:r>
      <w:r w:rsidRPr="00E42A64">
        <w:rPr>
          <w:rFonts w:cstheme="minorHAnsi"/>
          <w:sz w:val="22"/>
        </w:rPr>
        <w:t>?</w:t>
      </w:r>
    </w:p>
    <w:p w14:paraId="457BE37A" w14:textId="77777777" w:rsidR="006361E1" w:rsidRDefault="006361E1" w:rsidP="00C77254">
      <w:pPr>
        <w:pStyle w:val="TableBullets"/>
        <w:widowControl w:val="0"/>
        <w:numPr>
          <w:ilvl w:val="0"/>
          <w:numId w:val="50"/>
        </w:numPr>
        <w:rPr>
          <w:rFonts w:cstheme="minorHAnsi"/>
          <w:sz w:val="22"/>
        </w:rPr>
      </w:pPr>
      <w:r w:rsidRPr="00E42A64">
        <w:rPr>
          <w:rFonts w:cstheme="minorHAnsi"/>
          <w:sz w:val="22"/>
        </w:rPr>
        <w:t xml:space="preserve">What did </w:t>
      </w:r>
      <w:r w:rsidRPr="00E42A64">
        <w:rPr>
          <w:rFonts w:cstheme="minorHAnsi"/>
          <w:kern w:val="0"/>
          <w:sz w:val="22"/>
        </w:rPr>
        <w:t>Commonwealth environmental water</w:t>
      </w:r>
      <w:r w:rsidRPr="00E42A64">
        <w:rPr>
          <w:rFonts w:cstheme="minorHAnsi"/>
          <w:sz w:val="22"/>
        </w:rPr>
        <w:t xml:space="preserve"> contribute to salinity </w:t>
      </w:r>
      <w:r>
        <w:rPr>
          <w:rFonts w:cstheme="minorHAnsi"/>
          <w:sz w:val="22"/>
        </w:rPr>
        <w:t>levels and transport</w:t>
      </w:r>
      <w:r w:rsidRPr="00E42A64">
        <w:rPr>
          <w:rFonts w:cstheme="minorHAnsi"/>
          <w:sz w:val="22"/>
        </w:rPr>
        <w:t>?</w:t>
      </w:r>
    </w:p>
    <w:p w14:paraId="3CD2902B" w14:textId="77777777" w:rsidR="006361E1" w:rsidRDefault="006361E1" w:rsidP="00C77254">
      <w:pPr>
        <w:pStyle w:val="TableBullets"/>
        <w:widowControl w:val="0"/>
        <w:numPr>
          <w:ilvl w:val="0"/>
          <w:numId w:val="50"/>
        </w:numPr>
        <w:rPr>
          <w:rFonts w:cstheme="minorHAnsi"/>
          <w:sz w:val="22"/>
        </w:rPr>
      </w:pPr>
      <w:r w:rsidRPr="00E42A64">
        <w:rPr>
          <w:rFonts w:cstheme="minorHAnsi"/>
          <w:sz w:val="22"/>
        </w:rPr>
        <w:t xml:space="preserve">What did </w:t>
      </w:r>
      <w:r w:rsidRPr="00E42A64">
        <w:rPr>
          <w:rFonts w:cstheme="minorHAnsi"/>
          <w:kern w:val="0"/>
          <w:sz w:val="22"/>
        </w:rPr>
        <w:t>Commonwealth environmental water</w:t>
      </w:r>
      <w:r w:rsidRPr="00E42A64">
        <w:rPr>
          <w:rFonts w:cstheme="minorHAnsi"/>
          <w:sz w:val="22"/>
        </w:rPr>
        <w:t xml:space="preserve"> contribute to </w:t>
      </w:r>
      <w:r>
        <w:rPr>
          <w:rFonts w:cstheme="minorHAnsi"/>
          <w:sz w:val="22"/>
        </w:rPr>
        <w:t>nutrient concentrations and transport?</w:t>
      </w:r>
    </w:p>
    <w:p w14:paraId="73D7702F" w14:textId="0F61CB0B" w:rsidR="006361E1" w:rsidRPr="00E42A64" w:rsidRDefault="006361E1" w:rsidP="00C77254">
      <w:pPr>
        <w:pStyle w:val="TableBullets"/>
        <w:widowControl w:val="0"/>
        <w:numPr>
          <w:ilvl w:val="0"/>
          <w:numId w:val="50"/>
        </w:numPr>
        <w:rPr>
          <w:rFonts w:cstheme="minorHAnsi"/>
          <w:sz w:val="22"/>
        </w:rPr>
      </w:pPr>
      <w:r>
        <w:rPr>
          <w:rFonts w:cstheme="minorHAnsi"/>
          <w:sz w:val="22"/>
        </w:rPr>
        <w:t xml:space="preserve">What did </w:t>
      </w:r>
      <w:r w:rsidRPr="00E42A64">
        <w:rPr>
          <w:rFonts w:cstheme="minorHAnsi"/>
          <w:kern w:val="0"/>
          <w:sz w:val="22"/>
        </w:rPr>
        <w:t>Commonwealth environmental water</w:t>
      </w:r>
      <w:r w:rsidRPr="00E42A64">
        <w:rPr>
          <w:rFonts w:cstheme="minorHAnsi"/>
          <w:sz w:val="22"/>
        </w:rPr>
        <w:t xml:space="preserve"> contribute </w:t>
      </w:r>
      <w:r>
        <w:rPr>
          <w:rFonts w:cstheme="minorHAnsi"/>
          <w:sz w:val="22"/>
        </w:rPr>
        <w:t>to water quality?</w:t>
      </w:r>
    </w:p>
    <w:p w14:paraId="2AF7A925" w14:textId="77777777" w:rsidR="006361E1" w:rsidRDefault="006361E1" w:rsidP="006361E1">
      <w:pPr>
        <w:pStyle w:val="CM22"/>
        <w:spacing w:line="271" w:lineRule="atLeast"/>
        <w:rPr>
          <w:rFonts w:asciiTheme="minorHAnsi" w:hAnsiTheme="minorHAnsi" w:cstheme="minorHAnsi"/>
          <w:color w:val="000000"/>
          <w:sz w:val="22"/>
          <w:szCs w:val="22"/>
        </w:rPr>
      </w:pPr>
    </w:p>
    <w:p w14:paraId="71C8E5FF" w14:textId="2AFB3D9B" w:rsidR="006361E1" w:rsidRDefault="006361E1" w:rsidP="006361E1">
      <w:pPr>
        <w:pStyle w:val="CM22"/>
        <w:spacing w:line="271" w:lineRule="atLeast"/>
        <w:rPr>
          <w:rFonts w:asciiTheme="minorHAnsi" w:hAnsiTheme="minorHAnsi" w:cstheme="minorHAnsi"/>
          <w:color w:val="000000"/>
          <w:sz w:val="22"/>
          <w:szCs w:val="22"/>
        </w:rPr>
      </w:pPr>
      <w:r w:rsidRPr="00E42A64">
        <w:rPr>
          <w:rFonts w:asciiTheme="minorHAnsi" w:hAnsiTheme="minorHAnsi" w:cstheme="minorHAnsi"/>
          <w:color w:val="000000"/>
          <w:sz w:val="22"/>
          <w:szCs w:val="22"/>
        </w:rPr>
        <w:t xml:space="preserve">The process for evaluating these questions is </w:t>
      </w:r>
      <w:r w:rsidRPr="009B27E3">
        <w:rPr>
          <w:rFonts w:asciiTheme="minorHAnsi" w:hAnsiTheme="minorHAnsi" w:cstheme="minorHAnsi"/>
          <w:color w:val="000000"/>
          <w:sz w:val="22"/>
          <w:szCs w:val="22"/>
        </w:rPr>
        <w:t>illustrated in</w:t>
      </w:r>
      <w:r w:rsidRPr="009B27E3">
        <w:rPr>
          <w:rFonts w:asciiTheme="minorHAnsi" w:hAnsiTheme="minorHAnsi" w:cstheme="minorHAnsi"/>
          <w:sz w:val="22"/>
          <w:szCs w:val="22"/>
        </w:rPr>
        <w:t xml:space="preserve"> </w:t>
      </w:r>
      <w:r>
        <w:fldChar w:fldCharType="begin"/>
      </w:r>
      <w:r>
        <w:instrText xml:space="preserve"> REF _Ref397515911 \h  \* MERGEFORMAT </w:instrText>
      </w:r>
      <w:r>
        <w:fldChar w:fldCharType="separate"/>
      </w:r>
      <w:r w:rsidR="00DF49CD" w:rsidRPr="00DF49CD">
        <w:rPr>
          <w:rFonts w:asciiTheme="minorHAnsi" w:hAnsiTheme="minorHAnsi" w:cstheme="minorHAnsi"/>
          <w:sz w:val="22"/>
          <w:szCs w:val="22"/>
        </w:rPr>
        <w:t>Figure B.7</w:t>
      </w:r>
      <w:r>
        <w:fldChar w:fldCharType="end"/>
      </w:r>
      <w:r w:rsidRPr="009B27E3">
        <w:rPr>
          <w:rFonts w:asciiTheme="minorHAnsi" w:hAnsiTheme="minorHAnsi" w:cstheme="minorHAnsi"/>
          <w:color w:val="000000"/>
          <w:sz w:val="22"/>
          <w:szCs w:val="22"/>
        </w:rPr>
        <w:t>, with</w:t>
      </w:r>
      <w:r w:rsidRPr="00E42A64">
        <w:rPr>
          <w:rFonts w:asciiTheme="minorHAnsi" w:hAnsiTheme="minorHAnsi" w:cstheme="minorHAnsi"/>
          <w:color w:val="000000"/>
          <w:sz w:val="22"/>
          <w:szCs w:val="22"/>
        </w:rPr>
        <w:t xml:space="preserve"> components covered by this protocol highlighted in blue. </w:t>
      </w:r>
    </w:p>
    <w:tbl>
      <w:tblPr>
        <w:tblStyle w:val="TableGrid"/>
        <w:tblW w:w="0" w:type="auto"/>
        <w:tblLook w:val="04A0" w:firstRow="1" w:lastRow="0" w:firstColumn="1" w:lastColumn="0" w:noHBand="0" w:noVBand="1"/>
      </w:tblPr>
      <w:tblGrid>
        <w:gridCol w:w="9010"/>
      </w:tblGrid>
      <w:tr w:rsidR="006361E1" w14:paraId="4AFE8BDC" w14:textId="77777777" w:rsidTr="00384929">
        <w:trPr>
          <w:trHeight w:val="2139"/>
        </w:trPr>
        <w:tc>
          <w:tcPr>
            <w:tcW w:w="9010" w:type="dxa"/>
            <w:tcBorders>
              <w:bottom w:val="dotted" w:sz="4" w:space="0" w:color="auto"/>
            </w:tcBorders>
          </w:tcPr>
          <w:p w14:paraId="0C18DD20" w14:textId="77777777" w:rsidR="006361E1" w:rsidRPr="00C43C64" w:rsidRDefault="006361E1" w:rsidP="00E863E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0" distB="0" distL="114300" distR="114300" simplePos="0" relativeHeight="251705344" behindDoc="0" locked="0" layoutInCell="1" allowOverlap="1" wp14:anchorId="701203B0" wp14:editId="013CF095">
                      <wp:simplePos x="0" y="0"/>
                      <wp:positionH relativeFrom="column">
                        <wp:posOffset>544933</wp:posOffset>
                      </wp:positionH>
                      <wp:positionV relativeFrom="paragraph">
                        <wp:posOffset>117357</wp:posOffset>
                      </wp:positionV>
                      <wp:extent cx="4977130" cy="1212111"/>
                      <wp:effectExtent l="0" t="0" r="13970" b="26670"/>
                      <wp:wrapNone/>
                      <wp:docPr id="3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7130" cy="1212111"/>
                              </a:xfrm>
                              <a:prstGeom prst="rect">
                                <a:avLst/>
                              </a:prstGeom>
                              <a:solidFill>
                                <a:srgbClr val="FFFFFF"/>
                              </a:solidFill>
                              <a:ln w="9525">
                                <a:solidFill>
                                  <a:srgbClr val="000000"/>
                                </a:solidFill>
                                <a:miter lim="800000"/>
                                <a:headEnd/>
                                <a:tailEnd/>
                              </a:ln>
                            </wps:spPr>
                            <wps:txbx>
                              <w:txbxContent>
                                <w:p w14:paraId="56496DD9" w14:textId="77777777" w:rsidR="00A8252A" w:rsidRPr="007A77B7" w:rsidRDefault="00A8252A" w:rsidP="006361E1">
                                  <w:pPr>
                                    <w:spacing w:after="0"/>
                                    <w:rPr>
                                      <w:b/>
                                      <w:sz w:val="20"/>
                                    </w:rPr>
                                  </w:pPr>
                                  <w:r>
                                    <w:rPr>
                                      <w:b/>
                                      <w:sz w:val="20"/>
                                    </w:rPr>
                                    <w:t>Selected Area</w:t>
                                  </w:r>
                                  <w:r w:rsidRPr="007A77B7">
                                    <w:rPr>
                                      <w:b/>
                                      <w:sz w:val="20"/>
                                    </w:rPr>
                                    <w:t xml:space="preserve"> scale evaluation:</w:t>
                                  </w:r>
                                </w:p>
                                <w:p w14:paraId="5A07F56C" w14:textId="77777777" w:rsidR="00A8252A" w:rsidRPr="007A77B7" w:rsidRDefault="00A8252A" w:rsidP="00C77254">
                                  <w:pPr>
                                    <w:pStyle w:val="TableBullets"/>
                                    <w:widowControl w:val="0"/>
                                    <w:numPr>
                                      <w:ilvl w:val="0"/>
                                      <w:numId w:val="50"/>
                                    </w:numPr>
                                    <w:ind w:left="714" w:hanging="357"/>
                                    <w:contextualSpacing/>
                                    <w:rPr>
                                      <w:rFonts w:cstheme="minorHAnsi"/>
                                      <w:szCs w:val="20"/>
                                    </w:rPr>
                                  </w:pPr>
                                  <w:r w:rsidRPr="007A77B7">
                                    <w:rPr>
                                      <w:rFonts w:cstheme="minorHAnsi"/>
                                      <w:szCs w:val="20"/>
                                    </w:rPr>
                                    <w:t xml:space="preserve">What did </w:t>
                                  </w:r>
                                  <w:r w:rsidRPr="007A77B7">
                                    <w:rPr>
                                      <w:rFonts w:cstheme="minorHAnsi"/>
                                      <w:kern w:val="0"/>
                                      <w:szCs w:val="20"/>
                                    </w:rPr>
                                    <w:t>Commonwealth environmental water</w:t>
                                  </w:r>
                                  <w:r w:rsidRPr="007A77B7">
                                    <w:rPr>
                                      <w:rFonts w:cstheme="minorHAnsi"/>
                                      <w:szCs w:val="20"/>
                                    </w:rPr>
                                    <w:t xml:space="preserve"> contribute to nutrient </w:t>
                                  </w:r>
                                  <w:r>
                                    <w:rPr>
                                      <w:rFonts w:cstheme="minorHAnsi"/>
                                      <w:szCs w:val="20"/>
                                    </w:rPr>
                                    <w:t>concentrations and transport</w:t>
                                  </w:r>
                                  <w:r w:rsidRPr="007A77B7">
                                    <w:rPr>
                                      <w:rFonts w:cstheme="minorHAnsi"/>
                                      <w:szCs w:val="20"/>
                                    </w:rPr>
                                    <w:t>?</w:t>
                                  </w:r>
                                </w:p>
                                <w:p w14:paraId="7E5F1708" w14:textId="77777777" w:rsidR="00A8252A" w:rsidRPr="007A77B7" w:rsidRDefault="00A8252A" w:rsidP="00C77254">
                                  <w:pPr>
                                    <w:pStyle w:val="TableBullets"/>
                                    <w:widowControl w:val="0"/>
                                    <w:numPr>
                                      <w:ilvl w:val="0"/>
                                      <w:numId w:val="50"/>
                                    </w:numPr>
                                    <w:ind w:left="714" w:hanging="357"/>
                                    <w:contextualSpacing/>
                                    <w:rPr>
                                      <w:rFonts w:cstheme="minorHAnsi"/>
                                      <w:szCs w:val="20"/>
                                    </w:rPr>
                                  </w:pPr>
                                  <w:r w:rsidRPr="007A77B7">
                                    <w:rPr>
                                      <w:rFonts w:cstheme="minorHAnsi"/>
                                      <w:szCs w:val="20"/>
                                    </w:rPr>
                                    <w:t xml:space="preserve">What did </w:t>
                                  </w:r>
                                  <w:r w:rsidRPr="007A77B7">
                                    <w:rPr>
                                      <w:rFonts w:cstheme="minorHAnsi"/>
                                      <w:kern w:val="0"/>
                                      <w:szCs w:val="20"/>
                                    </w:rPr>
                                    <w:t>Commonwealth environmental water</w:t>
                                  </w:r>
                                  <w:r w:rsidRPr="007A77B7">
                                    <w:rPr>
                                      <w:rFonts w:cstheme="minorHAnsi"/>
                                      <w:szCs w:val="20"/>
                                    </w:rPr>
                                    <w:t xml:space="preserve"> contribute to </w:t>
                                  </w:r>
                                  <w:r>
                                    <w:rPr>
                                      <w:rFonts w:cstheme="minorHAnsi"/>
                                      <w:szCs w:val="20"/>
                                    </w:rPr>
                                    <w:t xml:space="preserve">the </w:t>
                                  </w:r>
                                  <w:r w:rsidRPr="007A77B7">
                                    <w:rPr>
                                      <w:rFonts w:cstheme="minorHAnsi"/>
                                      <w:szCs w:val="20"/>
                                    </w:rPr>
                                    <w:t>salinity regime?</w:t>
                                  </w:r>
                                </w:p>
                                <w:p w14:paraId="21039634" w14:textId="77777777" w:rsidR="00A8252A" w:rsidRPr="007A77B7" w:rsidRDefault="00A8252A" w:rsidP="00C77254">
                                  <w:pPr>
                                    <w:pStyle w:val="TableBullets"/>
                                    <w:widowControl w:val="0"/>
                                    <w:numPr>
                                      <w:ilvl w:val="0"/>
                                      <w:numId w:val="50"/>
                                    </w:numPr>
                                    <w:ind w:left="714" w:hanging="357"/>
                                    <w:contextualSpacing/>
                                    <w:rPr>
                                      <w:rFonts w:cstheme="minorHAnsi"/>
                                      <w:szCs w:val="20"/>
                                    </w:rPr>
                                  </w:pPr>
                                  <w:r w:rsidRPr="007A77B7">
                                    <w:rPr>
                                      <w:rFonts w:cstheme="minorHAnsi"/>
                                      <w:szCs w:val="20"/>
                                    </w:rPr>
                                    <w:t xml:space="preserve">What did </w:t>
                                  </w:r>
                                  <w:r w:rsidRPr="007A77B7">
                                    <w:rPr>
                                      <w:rFonts w:cstheme="minorHAnsi"/>
                                      <w:kern w:val="0"/>
                                      <w:szCs w:val="20"/>
                                    </w:rPr>
                                    <w:t>Commonwealth environmental water</w:t>
                                  </w:r>
                                  <w:r w:rsidRPr="007A77B7">
                                    <w:rPr>
                                      <w:rFonts w:cstheme="minorHAnsi"/>
                                      <w:szCs w:val="20"/>
                                    </w:rPr>
                                    <w:t xml:space="preserve"> </w:t>
                                  </w:r>
                                  <w:r>
                                    <w:rPr>
                                      <w:rFonts w:cstheme="minorHAnsi"/>
                                      <w:szCs w:val="20"/>
                                    </w:rPr>
                                    <w:t>concentration and transport of phytoplankton</w:t>
                                  </w:r>
                                  <w:r w:rsidRPr="007A77B7">
                                    <w:rPr>
                                      <w:rFonts w:cstheme="minorHAnsi"/>
                                      <w:szCs w:val="20"/>
                                    </w:rPr>
                                    <w:t>?</w:t>
                                  </w:r>
                                </w:p>
                                <w:p w14:paraId="05D121F1" w14:textId="7237B807" w:rsidR="00A8252A" w:rsidRPr="00384929" w:rsidRDefault="00A8252A" w:rsidP="003F3E85">
                                  <w:pPr>
                                    <w:pStyle w:val="TableBullets"/>
                                    <w:widowControl w:val="0"/>
                                    <w:numPr>
                                      <w:ilvl w:val="0"/>
                                      <w:numId w:val="50"/>
                                    </w:numPr>
                                    <w:rPr>
                                      <w:rFonts w:cstheme="minorHAnsi"/>
                                      <w:szCs w:val="20"/>
                                    </w:rPr>
                                  </w:pPr>
                                  <w:r w:rsidRPr="00384929">
                                    <w:rPr>
                                      <w:rFonts w:cstheme="minorHAnsi"/>
                                      <w:szCs w:val="20"/>
                                    </w:rPr>
                                    <w:t xml:space="preserve">What did </w:t>
                                  </w:r>
                                  <w:r w:rsidRPr="00384929">
                                    <w:rPr>
                                      <w:rFonts w:cstheme="minorHAnsi"/>
                                      <w:kern w:val="0"/>
                                      <w:szCs w:val="20"/>
                                    </w:rPr>
                                    <w:t>Commonwealth environmental water</w:t>
                                  </w:r>
                                  <w:r w:rsidRPr="00384929">
                                    <w:rPr>
                                      <w:rFonts w:cstheme="minorHAnsi"/>
                                      <w:szCs w:val="20"/>
                                    </w:rPr>
                                    <w:t xml:space="preserve"> contribute to water quality?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1203B0" id="Text Box 76" o:spid="_x0000_s1059" type="#_x0000_t202" style="position:absolute;margin-left:42.9pt;margin-top:9.25pt;width:391.9pt;height:95.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">
                      <v:textbox>
                        <w:txbxContent>
                          <w:p w14:paraId="56496DD9" w14:textId="77777777" w:rsidR="00A8252A" w:rsidRPr="007A77B7" w:rsidRDefault="00A8252A" w:rsidP="006361E1">
                            <w:pPr>
                              <w:spacing w:after="0"/>
                              <w:rPr>
                                <w:b/>
                                <w:sz w:val="20"/>
                              </w:rPr>
                            </w:pPr>
                            <w:r>
                              <w:rPr>
                                <w:b/>
                                <w:sz w:val="20"/>
                              </w:rPr>
                              <w:t>Selected Area</w:t>
                            </w:r>
                            <w:r w:rsidRPr="007A77B7">
                              <w:rPr>
                                <w:b/>
                                <w:sz w:val="20"/>
                              </w:rPr>
                              <w:t xml:space="preserve"> scale evaluation:</w:t>
                            </w:r>
                          </w:p>
                          <w:p w14:paraId="5A07F56C" w14:textId="77777777" w:rsidR="00A8252A" w:rsidRPr="007A77B7" w:rsidRDefault="00A8252A" w:rsidP="00C77254">
                            <w:pPr>
                              <w:pStyle w:val="TableBullets"/>
                              <w:widowControl w:val="0"/>
                              <w:numPr>
                                <w:ilvl w:val="0"/>
                                <w:numId w:val="50"/>
                              </w:numPr>
                              <w:ind w:left="714" w:hanging="357"/>
                              <w:contextualSpacing/>
                              <w:rPr>
                                <w:rFonts w:cstheme="minorHAnsi"/>
                                <w:szCs w:val="20"/>
                              </w:rPr>
                            </w:pPr>
                            <w:r w:rsidRPr="007A77B7">
                              <w:rPr>
                                <w:rFonts w:cstheme="minorHAnsi"/>
                                <w:szCs w:val="20"/>
                              </w:rPr>
                              <w:t xml:space="preserve">What did </w:t>
                            </w:r>
                            <w:r w:rsidRPr="007A77B7">
                              <w:rPr>
                                <w:rFonts w:cstheme="minorHAnsi"/>
                                <w:kern w:val="0"/>
                                <w:szCs w:val="20"/>
                              </w:rPr>
                              <w:t>Commonwealth environmental water</w:t>
                            </w:r>
                            <w:r w:rsidRPr="007A77B7">
                              <w:rPr>
                                <w:rFonts w:cstheme="minorHAnsi"/>
                                <w:szCs w:val="20"/>
                              </w:rPr>
                              <w:t xml:space="preserve"> contribute to nutrient </w:t>
                            </w:r>
                            <w:r>
                              <w:rPr>
                                <w:rFonts w:cstheme="minorHAnsi"/>
                                <w:szCs w:val="20"/>
                              </w:rPr>
                              <w:t>concentrations and transport</w:t>
                            </w:r>
                            <w:r w:rsidRPr="007A77B7">
                              <w:rPr>
                                <w:rFonts w:cstheme="minorHAnsi"/>
                                <w:szCs w:val="20"/>
                              </w:rPr>
                              <w:t>?</w:t>
                            </w:r>
                          </w:p>
                          <w:p w14:paraId="7E5F1708" w14:textId="77777777" w:rsidR="00A8252A" w:rsidRPr="007A77B7" w:rsidRDefault="00A8252A" w:rsidP="00C77254">
                            <w:pPr>
                              <w:pStyle w:val="TableBullets"/>
                              <w:widowControl w:val="0"/>
                              <w:numPr>
                                <w:ilvl w:val="0"/>
                                <w:numId w:val="50"/>
                              </w:numPr>
                              <w:ind w:left="714" w:hanging="357"/>
                              <w:contextualSpacing/>
                              <w:rPr>
                                <w:rFonts w:cstheme="minorHAnsi"/>
                                <w:szCs w:val="20"/>
                              </w:rPr>
                            </w:pPr>
                            <w:r w:rsidRPr="007A77B7">
                              <w:rPr>
                                <w:rFonts w:cstheme="minorHAnsi"/>
                                <w:szCs w:val="20"/>
                              </w:rPr>
                              <w:t xml:space="preserve">What did </w:t>
                            </w:r>
                            <w:r w:rsidRPr="007A77B7">
                              <w:rPr>
                                <w:rFonts w:cstheme="minorHAnsi"/>
                                <w:kern w:val="0"/>
                                <w:szCs w:val="20"/>
                              </w:rPr>
                              <w:t>Commonwealth environmental water</w:t>
                            </w:r>
                            <w:r w:rsidRPr="007A77B7">
                              <w:rPr>
                                <w:rFonts w:cstheme="minorHAnsi"/>
                                <w:szCs w:val="20"/>
                              </w:rPr>
                              <w:t xml:space="preserve"> contribute to </w:t>
                            </w:r>
                            <w:r>
                              <w:rPr>
                                <w:rFonts w:cstheme="minorHAnsi"/>
                                <w:szCs w:val="20"/>
                              </w:rPr>
                              <w:t xml:space="preserve">the </w:t>
                            </w:r>
                            <w:r w:rsidRPr="007A77B7">
                              <w:rPr>
                                <w:rFonts w:cstheme="minorHAnsi"/>
                                <w:szCs w:val="20"/>
                              </w:rPr>
                              <w:t>salinity regime?</w:t>
                            </w:r>
                          </w:p>
                          <w:p w14:paraId="21039634" w14:textId="77777777" w:rsidR="00A8252A" w:rsidRPr="007A77B7" w:rsidRDefault="00A8252A" w:rsidP="00C77254">
                            <w:pPr>
                              <w:pStyle w:val="TableBullets"/>
                              <w:widowControl w:val="0"/>
                              <w:numPr>
                                <w:ilvl w:val="0"/>
                                <w:numId w:val="50"/>
                              </w:numPr>
                              <w:ind w:left="714" w:hanging="357"/>
                              <w:contextualSpacing/>
                              <w:rPr>
                                <w:rFonts w:cstheme="minorHAnsi"/>
                                <w:szCs w:val="20"/>
                              </w:rPr>
                            </w:pPr>
                            <w:r w:rsidRPr="007A77B7">
                              <w:rPr>
                                <w:rFonts w:cstheme="minorHAnsi"/>
                                <w:szCs w:val="20"/>
                              </w:rPr>
                              <w:t xml:space="preserve">What did </w:t>
                            </w:r>
                            <w:r w:rsidRPr="007A77B7">
                              <w:rPr>
                                <w:rFonts w:cstheme="minorHAnsi"/>
                                <w:kern w:val="0"/>
                                <w:szCs w:val="20"/>
                              </w:rPr>
                              <w:t>Commonwealth environmental water</w:t>
                            </w:r>
                            <w:r w:rsidRPr="007A77B7">
                              <w:rPr>
                                <w:rFonts w:cstheme="minorHAnsi"/>
                                <w:szCs w:val="20"/>
                              </w:rPr>
                              <w:t xml:space="preserve"> </w:t>
                            </w:r>
                            <w:r>
                              <w:rPr>
                                <w:rFonts w:cstheme="minorHAnsi"/>
                                <w:szCs w:val="20"/>
                              </w:rPr>
                              <w:t>concentration and transport of phytoplankton</w:t>
                            </w:r>
                            <w:r w:rsidRPr="007A77B7">
                              <w:rPr>
                                <w:rFonts w:cstheme="minorHAnsi"/>
                                <w:szCs w:val="20"/>
                              </w:rPr>
                              <w:t>?</w:t>
                            </w:r>
                          </w:p>
                          <w:p w14:paraId="05D121F1" w14:textId="7237B807" w:rsidR="00A8252A" w:rsidRPr="00384929" w:rsidRDefault="00A8252A" w:rsidP="003F3E85">
                            <w:pPr>
                              <w:pStyle w:val="TableBullets"/>
                              <w:widowControl w:val="0"/>
                              <w:numPr>
                                <w:ilvl w:val="0"/>
                                <w:numId w:val="50"/>
                              </w:numPr>
                              <w:rPr>
                                <w:rFonts w:cstheme="minorHAnsi"/>
                                <w:szCs w:val="20"/>
                              </w:rPr>
                            </w:pPr>
                            <w:r w:rsidRPr="00384929">
                              <w:rPr>
                                <w:rFonts w:cstheme="minorHAnsi"/>
                                <w:szCs w:val="20"/>
                              </w:rPr>
                              <w:t xml:space="preserve">What did </w:t>
                            </w:r>
                            <w:r w:rsidRPr="00384929">
                              <w:rPr>
                                <w:rFonts w:cstheme="minorHAnsi"/>
                                <w:kern w:val="0"/>
                                <w:szCs w:val="20"/>
                              </w:rPr>
                              <w:t>Commonwealth environmental water</w:t>
                            </w:r>
                            <w:r w:rsidRPr="00384929">
                              <w:rPr>
                                <w:rFonts w:cstheme="minorHAnsi"/>
                                <w:szCs w:val="20"/>
                              </w:rPr>
                              <w:t xml:space="preserve"> contribute to water quality?</w:t>
                            </w:r>
                          </w:p>
                        </w:txbxContent>
                      </v:textbox>
                    </v:shape>
                  </w:pict>
                </mc:Fallback>
              </mc:AlternateContent>
            </w:r>
          </w:p>
          <w:p w14:paraId="30E7C4CE" w14:textId="77777777" w:rsidR="006361E1" w:rsidRPr="00C43C64" w:rsidRDefault="006361E1" w:rsidP="00E863E9">
            <w:pPr>
              <w:pStyle w:val="Default"/>
              <w:rPr>
                <w:rFonts w:asciiTheme="minorHAnsi" w:hAnsiTheme="minorHAnsi" w:cstheme="minorHAnsi"/>
                <w:sz w:val="20"/>
                <w:szCs w:val="20"/>
              </w:rPr>
            </w:pPr>
            <w:r w:rsidRPr="00C43C64">
              <w:rPr>
                <w:rFonts w:asciiTheme="minorHAnsi" w:hAnsiTheme="minorHAnsi" w:cstheme="minorHAnsi"/>
                <w:sz w:val="20"/>
                <w:szCs w:val="20"/>
              </w:rPr>
              <w:t>Reporting</w:t>
            </w:r>
          </w:p>
          <w:p w14:paraId="04FBCD45" w14:textId="77777777" w:rsidR="006361E1" w:rsidRPr="00C43C64" w:rsidRDefault="006361E1" w:rsidP="00E863E9">
            <w:pPr>
              <w:pStyle w:val="Default"/>
              <w:rPr>
                <w:rFonts w:asciiTheme="minorHAnsi" w:hAnsiTheme="minorHAnsi" w:cstheme="minorHAnsi"/>
                <w:sz w:val="20"/>
                <w:szCs w:val="20"/>
              </w:rPr>
            </w:pPr>
          </w:p>
        </w:tc>
      </w:tr>
      <w:tr w:rsidR="006361E1" w14:paraId="5FC8B3AC" w14:textId="77777777" w:rsidTr="00384929">
        <w:trPr>
          <w:trHeight w:val="994"/>
        </w:trPr>
        <w:tc>
          <w:tcPr>
            <w:tcW w:w="9010" w:type="dxa"/>
            <w:tcBorders>
              <w:top w:val="dotted" w:sz="4" w:space="0" w:color="auto"/>
              <w:bottom w:val="dotted" w:sz="4" w:space="0" w:color="auto"/>
            </w:tcBorders>
          </w:tcPr>
          <w:p w14:paraId="4B045DE0" w14:textId="41EA795B" w:rsidR="006361E1" w:rsidRDefault="00384929" w:rsidP="00E863E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0" distB="0" distL="114300" distR="114300" simplePos="0" relativeHeight="251704320" behindDoc="0" locked="0" layoutInCell="1" allowOverlap="1" wp14:anchorId="57299B57" wp14:editId="0EDBC43D">
                      <wp:simplePos x="0" y="0"/>
                      <wp:positionH relativeFrom="column">
                        <wp:posOffset>1517015</wp:posOffset>
                      </wp:positionH>
                      <wp:positionV relativeFrom="paragraph">
                        <wp:posOffset>17824</wp:posOffset>
                      </wp:positionV>
                      <wp:extent cx="1482090" cy="457200"/>
                      <wp:effectExtent l="0" t="0" r="22860" b="19050"/>
                      <wp:wrapNone/>
                      <wp:docPr id="3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457200"/>
                              </a:xfrm>
                              <a:prstGeom prst="rect">
                                <a:avLst/>
                              </a:prstGeom>
                              <a:solidFill>
                                <a:schemeClr val="accent1">
                                  <a:lumMod val="40000"/>
                                  <a:lumOff val="60000"/>
                                </a:schemeClr>
                              </a:solidFill>
                              <a:ln w="9525">
                                <a:solidFill>
                                  <a:srgbClr val="000000"/>
                                </a:solidFill>
                                <a:miter lim="800000"/>
                                <a:headEnd/>
                                <a:tailEnd/>
                              </a:ln>
                            </wps:spPr>
                            <wps:txbx>
                              <w:txbxContent>
                                <w:p w14:paraId="430FC3B0" w14:textId="77777777" w:rsidR="00A8252A" w:rsidRPr="00C43C64" w:rsidRDefault="00A8252A" w:rsidP="006361E1">
                                  <w:pPr>
                                    <w:jc w:val="center"/>
                                    <w:rPr>
                                      <w:sz w:val="20"/>
                                    </w:rPr>
                                  </w:pPr>
                                  <w:r w:rsidRPr="00C43C64">
                                    <w:rPr>
                                      <w:sz w:val="20"/>
                                    </w:rPr>
                                    <w:t>Interpretation of modelling outputs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299B57" id="Text Box 75" o:spid="_x0000_s1060" type="#_x0000_t202" style="position:absolute;margin-left:119.45pt;margin-top:1.4pt;width:116.7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" fillcolor="#b8cce4 [1300]">
                      <v:textbox>
                        <w:txbxContent>
                          <w:p w14:paraId="430FC3B0" w14:textId="77777777" w:rsidR="00A8252A" w:rsidRPr="00C43C64" w:rsidRDefault="00A8252A" w:rsidP="006361E1">
                            <w:pPr>
                              <w:jc w:val="center"/>
                              <w:rPr>
                                <w:sz w:val="20"/>
                              </w:rPr>
                            </w:pPr>
                            <w:r w:rsidRPr="00C43C64">
                              <w:rPr>
                                <w:sz w:val="20"/>
                              </w:rPr>
                              <w:t>Interpretation of modelling outputs</w:t>
                            </w:r>
                          </w:p>
                        </w:txbxContent>
                      </v:textbox>
                    </v:shape>
                  </w:pict>
                </mc:Fallback>
              </mc:AlternateContent>
            </w:r>
            <w:r w:rsidR="006361E1" w:rsidRPr="00C43C64">
              <w:rPr>
                <w:rFonts w:asciiTheme="minorHAnsi" w:hAnsiTheme="minorHAnsi" w:cstheme="minorHAnsi"/>
                <w:sz w:val="20"/>
                <w:szCs w:val="20"/>
              </w:rPr>
              <w:t>Evaluation</w:t>
            </w:r>
          </w:p>
          <w:p w14:paraId="01922BD4" w14:textId="541843B6" w:rsidR="006361E1" w:rsidRPr="00C43C64" w:rsidRDefault="006361E1" w:rsidP="00E863E9">
            <w:pPr>
              <w:pStyle w:val="Default"/>
              <w:rPr>
                <w:rFonts w:asciiTheme="minorHAnsi" w:hAnsiTheme="minorHAnsi" w:cstheme="minorHAnsi"/>
                <w:sz w:val="20"/>
                <w:szCs w:val="20"/>
              </w:rPr>
            </w:pPr>
          </w:p>
          <w:p w14:paraId="5FA80223" w14:textId="77777777" w:rsidR="006361E1" w:rsidRPr="00C43C64" w:rsidRDefault="006361E1" w:rsidP="00E863E9">
            <w:pPr>
              <w:pStyle w:val="Default"/>
              <w:rPr>
                <w:rFonts w:asciiTheme="minorHAnsi" w:hAnsiTheme="minorHAnsi" w:cstheme="minorHAnsi"/>
                <w:sz w:val="20"/>
                <w:szCs w:val="20"/>
              </w:rPr>
            </w:pPr>
          </w:p>
          <w:p w14:paraId="216CA37D" w14:textId="29D9598A" w:rsidR="006361E1" w:rsidRPr="00C43C64" w:rsidRDefault="006361E1" w:rsidP="0038492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0" distB="0" distL="114299" distR="114299" simplePos="0" relativeHeight="251712512" behindDoc="0" locked="0" layoutInCell="1" allowOverlap="1" wp14:anchorId="18708428" wp14:editId="3A50A57B">
                      <wp:simplePos x="0" y="0"/>
                      <wp:positionH relativeFrom="column">
                        <wp:posOffset>2171715</wp:posOffset>
                      </wp:positionH>
                      <wp:positionV relativeFrom="paragraph">
                        <wp:posOffset>21029</wp:posOffset>
                      </wp:positionV>
                      <wp:extent cx="10633" cy="233916"/>
                      <wp:effectExtent l="57150" t="38100" r="66040" b="13970"/>
                      <wp:wrapNone/>
                      <wp:docPr id="29"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33" cy="233916"/>
                              </a:xfrm>
                              <a:prstGeom prst="straightConnector1">
                                <a:avLst/>
                              </a:prstGeom>
                              <a:noFill/>
                              <a:ln w="9525">
                                <a:solidFill>
                                  <a:srgbClr val="000000"/>
                                </a:solidFill>
                                <a:round/>
                                <a:headEnd/>
                                <a:tailEnd type="triangle"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A2E4E46" id="AutoShape 83" o:spid="_x0000_s1026" type="#_x0000_t32" style="position:absolute;margin-left:171pt;margin-top:1.65pt;width:.85pt;height:18.4pt;flip:y;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">
                      <v:stroke endarrow="block"/>
                    </v:shape>
                  </w:pict>
                </mc:Fallback>
              </mc:AlternateContent>
            </w:r>
          </w:p>
        </w:tc>
      </w:tr>
      <w:tr w:rsidR="006361E1" w14:paraId="30B823AE" w14:textId="77777777" w:rsidTr="00E863E9">
        <w:trPr>
          <w:trHeight w:val="3061"/>
        </w:trPr>
        <w:tc>
          <w:tcPr>
            <w:tcW w:w="9010" w:type="dxa"/>
            <w:tcBorders>
              <w:top w:val="dotted" w:sz="4" w:space="0" w:color="auto"/>
              <w:bottom w:val="dotted" w:sz="4" w:space="0" w:color="auto"/>
            </w:tcBorders>
          </w:tcPr>
          <w:p w14:paraId="22D07EFD" w14:textId="0EF22047" w:rsidR="006361E1" w:rsidRPr="00C43C64" w:rsidRDefault="006361E1" w:rsidP="00E863E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0" distB="0" distL="114300" distR="114300" simplePos="0" relativeHeight="251707392" behindDoc="0" locked="0" layoutInCell="1" allowOverlap="1" wp14:anchorId="767F5BD7" wp14:editId="0EF35074">
                      <wp:simplePos x="0" y="0"/>
                      <wp:positionH relativeFrom="column">
                        <wp:posOffset>1537335</wp:posOffset>
                      </wp:positionH>
                      <wp:positionV relativeFrom="paragraph">
                        <wp:posOffset>86995</wp:posOffset>
                      </wp:positionV>
                      <wp:extent cx="1472565" cy="571500"/>
                      <wp:effectExtent l="0" t="0" r="13335" b="19050"/>
                      <wp:wrapNone/>
                      <wp:docPr id="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571500"/>
                              </a:xfrm>
                              <a:prstGeom prst="rect">
                                <a:avLst/>
                              </a:prstGeom>
                              <a:solidFill>
                                <a:schemeClr val="accent1">
                                  <a:lumMod val="40000"/>
                                  <a:lumOff val="60000"/>
                                </a:schemeClr>
                              </a:solidFill>
                              <a:ln w="9525">
                                <a:solidFill>
                                  <a:srgbClr val="000000"/>
                                </a:solidFill>
                                <a:miter lim="800000"/>
                                <a:headEnd/>
                                <a:tailEnd/>
                              </a:ln>
                            </wps:spPr>
                            <wps:txbx>
                              <w:txbxContent>
                                <w:p w14:paraId="4ED30610" w14:textId="77777777" w:rsidR="00A8252A" w:rsidRPr="00055D3E" w:rsidRDefault="00A8252A" w:rsidP="006361E1">
                                  <w:pPr>
                                    <w:jc w:val="center"/>
                                    <w:rPr>
                                      <w:sz w:val="20"/>
                                    </w:rPr>
                                  </w:pPr>
                                  <w:r w:rsidRPr="00055D3E">
                                    <w:rPr>
                                      <w:sz w:val="20"/>
                                    </w:rPr>
                                    <w:t>Model outputs (concentrations and loads of matter)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F5BD7" id="Text Box 78" o:spid="_x0000_s1061" type="#_x0000_t202" style="position:absolute;margin-left:121.05pt;margin-top:6.85pt;width:115.95pt;height: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" fillcolor="#b8cce4 [1300]">
                      <v:textbox>
                        <w:txbxContent>
                          <w:p w14:paraId="4ED30610" w14:textId="77777777" w:rsidR="00A8252A" w:rsidRPr="00055D3E" w:rsidRDefault="00A8252A" w:rsidP="006361E1">
                            <w:pPr>
                              <w:jc w:val="center"/>
                              <w:rPr>
                                <w:sz w:val="20"/>
                              </w:rPr>
                            </w:pPr>
                            <w:r w:rsidRPr="00055D3E">
                              <w:rPr>
                                <w:sz w:val="20"/>
                              </w:rPr>
                              <w:t>Model outputs (concentrations and loads of matter)</w:t>
                            </w:r>
                          </w:p>
                        </w:txbxContent>
                      </v:textbox>
                    </v:shape>
                  </w:pict>
                </mc:Fallback>
              </mc:AlternateContent>
            </w:r>
            <w:r w:rsidRPr="00C43C64">
              <w:rPr>
                <w:rFonts w:asciiTheme="minorHAnsi" w:hAnsiTheme="minorHAnsi" w:cstheme="minorHAnsi"/>
                <w:sz w:val="20"/>
                <w:szCs w:val="20"/>
              </w:rPr>
              <w:t>Analysis</w:t>
            </w:r>
          </w:p>
          <w:p w14:paraId="33A47658" w14:textId="77777777" w:rsidR="006361E1" w:rsidRPr="00C43C64" w:rsidRDefault="006361E1" w:rsidP="00E863E9">
            <w:pPr>
              <w:pStyle w:val="Default"/>
              <w:rPr>
                <w:rFonts w:asciiTheme="minorHAnsi" w:hAnsiTheme="minorHAnsi" w:cstheme="minorHAnsi"/>
                <w:sz w:val="20"/>
                <w:szCs w:val="20"/>
              </w:rPr>
            </w:pPr>
          </w:p>
          <w:p w14:paraId="475CDDEB" w14:textId="77777777" w:rsidR="006361E1" w:rsidRPr="00C43C64" w:rsidRDefault="006361E1" w:rsidP="00E863E9">
            <w:pPr>
              <w:pStyle w:val="Default"/>
              <w:rPr>
                <w:rFonts w:asciiTheme="minorHAnsi" w:hAnsiTheme="minorHAnsi" w:cstheme="minorHAnsi"/>
                <w:sz w:val="20"/>
                <w:szCs w:val="20"/>
              </w:rPr>
            </w:pPr>
          </w:p>
          <w:p w14:paraId="50BA52F1" w14:textId="490DF9A1" w:rsidR="006361E1" w:rsidRPr="00C43C64" w:rsidRDefault="006361E1" w:rsidP="00E863E9">
            <w:pPr>
              <w:pStyle w:val="Default"/>
              <w:rPr>
                <w:rFonts w:asciiTheme="minorHAnsi" w:hAnsiTheme="minorHAnsi" w:cstheme="minorHAnsi"/>
                <w:sz w:val="20"/>
                <w:szCs w:val="20"/>
              </w:rPr>
            </w:pPr>
          </w:p>
          <w:p w14:paraId="170CC7D6" w14:textId="382E613E" w:rsidR="006361E1" w:rsidRDefault="00384929" w:rsidP="00E863E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0" distB="0" distL="114299" distR="114299" simplePos="0" relativeHeight="251711488" behindDoc="0" locked="0" layoutInCell="1" allowOverlap="1" wp14:anchorId="276223AC" wp14:editId="26E741C0">
                      <wp:simplePos x="0" y="0"/>
                      <wp:positionH relativeFrom="column">
                        <wp:posOffset>1948430</wp:posOffset>
                      </wp:positionH>
                      <wp:positionV relativeFrom="paragraph">
                        <wp:posOffset>42589</wp:posOffset>
                      </wp:positionV>
                      <wp:extent cx="10633" cy="284658"/>
                      <wp:effectExtent l="57150" t="38100" r="66040" b="20320"/>
                      <wp:wrapNone/>
                      <wp:docPr id="27"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33" cy="284658"/>
                              </a:xfrm>
                              <a:prstGeom prst="straightConnector1">
                                <a:avLst/>
                              </a:prstGeom>
                              <a:noFill/>
                              <a:ln w="9525">
                                <a:solidFill>
                                  <a:srgbClr val="000000"/>
                                </a:solidFill>
                                <a:round/>
                                <a:headEnd/>
                                <a:tailEnd type="triangle"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D386464" id="AutoShape 82" o:spid="_x0000_s1026" type="#_x0000_t32" style="position:absolute;margin-left:153.4pt;margin-top:3.35pt;width:.85pt;height:22.4pt;flip:y;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">
                      <v:stroke endarrow="block"/>
                    </v:shape>
                  </w:pict>
                </mc:Fallback>
              </mc:AlternateContent>
            </w:r>
          </w:p>
          <w:p w14:paraId="605B1FE0" w14:textId="77777777" w:rsidR="006361E1" w:rsidRPr="00C43C64" w:rsidRDefault="006361E1" w:rsidP="00E863E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0" distB="0" distL="114300" distR="114300" simplePos="0" relativeHeight="251702272" behindDoc="0" locked="0" layoutInCell="1" allowOverlap="1" wp14:anchorId="2B64FAC6" wp14:editId="5BF5427D">
                      <wp:simplePos x="0" y="0"/>
                      <wp:positionH relativeFrom="column">
                        <wp:posOffset>3156585</wp:posOffset>
                      </wp:positionH>
                      <wp:positionV relativeFrom="paragraph">
                        <wp:posOffset>125730</wp:posOffset>
                      </wp:positionV>
                      <wp:extent cx="1453515" cy="590550"/>
                      <wp:effectExtent l="0" t="0" r="13335" b="19050"/>
                      <wp:wrapNone/>
                      <wp:docPr id="2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590550"/>
                              </a:xfrm>
                              <a:prstGeom prst="rect">
                                <a:avLst/>
                              </a:prstGeom>
                              <a:solidFill>
                                <a:srgbClr val="FFFFFF"/>
                              </a:solidFill>
                              <a:ln w="9525">
                                <a:solidFill>
                                  <a:srgbClr val="000000"/>
                                </a:solidFill>
                                <a:miter lim="800000"/>
                                <a:headEnd/>
                                <a:tailEnd/>
                              </a:ln>
                            </wps:spPr>
                            <wps:txbx>
                              <w:txbxContent>
                                <w:p w14:paraId="109C6676" w14:textId="77777777" w:rsidR="00A8252A" w:rsidRPr="00055D3E" w:rsidRDefault="00A8252A" w:rsidP="006361E1">
                                  <w:pPr>
                                    <w:jc w:val="center"/>
                                    <w:rPr>
                                      <w:sz w:val="20"/>
                                    </w:rPr>
                                  </w:pPr>
                                  <w:r w:rsidRPr="00055D3E">
                                    <w:rPr>
                                      <w:sz w:val="20"/>
                                    </w:rPr>
                                    <w:t>Hydrological scenarios (eg. with and without environmental water)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64FAC6" id="Text Box 73" o:spid="_x0000_s1062" type="#_x0000_t202" style="position:absolute;margin-left:248.55pt;margin-top:9.9pt;width:114.45pt;height:4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">
                      <v:textbox>
                        <w:txbxContent>
                          <w:p w14:paraId="109C6676" w14:textId="77777777" w:rsidR="00A8252A" w:rsidRPr="00055D3E" w:rsidRDefault="00A8252A" w:rsidP="006361E1">
                            <w:pPr>
                              <w:jc w:val="center"/>
                              <w:rPr>
                                <w:sz w:val="20"/>
                              </w:rPr>
                            </w:pPr>
                            <w:r w:rsidRPr="00055D3E">
                              <w:rPr>
                                <w:sz w:val="20"/>
                              </w:rPr>
                              <w:t>Hydrological scenarios (eg. with and without environmental water)</w:t>
                            </w:r>
                          </w:p>
                        </w:txbxContent>
                      </v:textbox>
                    </v:shape>
                  </w:pict>
                </mc:Fallback>
              </mc:AlternateContent>
            </w:r>
          </w:p>
          <w:p w14:paraId="22E2CAFD" w14:textId="77777777" w:rsidR="006361E1" w:rsidRPr="00C43C64" w:rsidRDefault="006361E1" w:rsidP="00E863E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0" distB="0" distL="114300" distR="114300" simplePos="0" relativeHeight="251706368" behindDoc="0" locked="0" layoutInCell="1" allowOverlap="1" wp14:anchorId="6B0496F7" wp14:editId="2A206E9A">
                      <wp:simplePos x="0" y="0"/>
                      <wp:positionH relativeFrom="column">
                        <wp:posOffset>1537335</wp:posOffset>
                      </wp:positionH>
                      <wp:positionV relativeFrom="paragraph">
                        <wp:posOffset>27940</wp:posOffset>
                      </wp:positionV>
                      <wp:extent cx="834390" cy="457200"/>
                      <wp:effectExtent l="0" t="0" r="22860" b="19050"/>
                      <wp:wrapNone/>
                      <wp:docPr id="2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457200"/>
                              </a:xfrm>
                              <a:prstGeom prst="rect">
                                <a:avLst/>
                              </a:prstGeom>
                              <a:solidFill>
                                <a:schemeClr val="accent1">
                                  <a:lumMod val="40000"/>
                                  <a:lumOff val="60000"/>
                                </a:schemeClr>
                              </a:solidFill>
                              <a:ln w="9525">
                                <a:solidFill>
                                  <a:srgbClr val="000000"/>
                                </a:solidFill>
                                <a:miter lim="800000"/>
                                <a:headEnd/>
                                <a:tailEnd/>
                              </a:ln>
                            </wps:spPr>
                            <wps:txbx>
                              <w:txbxContent>
                                <w:p w14:paraId="5B137DC1" w14:textId="77777777" w:rsidR="00A8252A" w:rsidRPr="00055D3E" w:rsidRDefault="00A8252A" w:rsidP="006361E1">
                                  <w:pPr>
                                    <w:jc w:val="center"/>
                                    <w:rPr>
                                      <w:sz w:val="20"/>
                                    </w:rPr>
                                  </w:pPr>
                                  <w:r w:rsidRPr="00055D3E">
                                    <w:rPr>
                                      <w:sz w:val="20"/>
                                    </w:rPr>
                                    <w:t>Run scenarios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0496F7" id="Text Box 77" o:spid="_x0000_s1063" type="#_x0000_t202" style="position:absolute;margin-left:121.05pt;margin-top:2.2pt;width:65.7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" fillcolor="#b8cce4 [1300]">
                      <v:textbox>
                        <w:txbxContent>
                          <w:p w14:paraId="5B137DC1" w14:textId="77777777" w:rsidR="00A8252A" w:rsidRPr="00055D3E" w:rsidRDefault="00A8252A" w:rsidP="006361E1">
                            <w:pPr>
                              <w:jc w:val="center"/>
                              <w:rPr>
                                <w:sz w:val="20"/>
                              </w:rPr>
                            </w:pPr>
                            <w:r w:rsidRPr="00055D3E">
                              <w:rPr>
                                <w:sz w:val="20"/>
                              </w:rPr>
                              <w:t>Run scenarios</w:t>
                            </w:r>
                          </w:p>
                        </w:txbxContent>
                      </v:textbox>
                    </v:shape>
                  </w:pict>
                </mc:Fallback>
              </mc:AlternateContent>
            </w:r>
          </w:p>
          <w:p w14:paraId="719213FD" w14:textId="77777777" w:rsidR="006361E1" w:rsidRPr="00C43C64" w:rsidRDefault="006361E1" w:rsidP="00E863E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4294967295" distB="4294967295" distL="114300" distR="114300" simplePos="0" relativeHeight="251717632" behindDoc="0" locked="0" layoutInCell="1" allowOverlap="1" wp14:anchorId="393FE0F0" wp14:editId="62A52C9B">
                      <wp:simplePos x="0" y="0"/>
                      <wp:positionH relativeFrom="column">
                        <wp:posOffset>2371725</wp:posOffset>
                      </wp:positionH>
                      <wp:positionV relativeFrom="paragraph">
                        <wp:posOffset>100329</wp:posOffset>
                      </wp:positionV>
                      <wp:extent cx="784860" cy="0"/>
                      <wp:effectExtent l="38100" t="76200" r="0" b="95250"/>
                      <wp:wrapNone/>
                      <wp:docPr id="24"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4860" cy="0"/>
                              </a:xfrm>
                              <a:prstGeom prst="straightConnector1">
                                <a:avLst/>
                              </a:prstGeom>
                              <a:noFill/>
                              <a:ln w="9525">
                                <a:solidFill>
                                  <a:srgbClr val="000000"/>
                                </a:solidFill>
                                <a:round/>
                                <a:headEnd/>
                                <a:tailEnd type="triangle"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3E5A792" id="AutoShape 88" o:spid="_x0000_s1026" type="#_x0000_t32" style="position:absolute;margin-left:186.75pt;margin-top:7.9pt;width:61.8pt;height:0;flip:x;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">
                      <v:stroke endarrow="block"/>
                    </v:shape>
                  </w:pict>
                </mc:Fallback>
              </mc:AlternateContent>
            </w:r>
          </w:p>
          <w:p w14:paraId="0C15C713" w14:textId="77777777" w:rsidR="006361E1" w:rsidRPr="00C43C64" w:rsidRDefault="006361E1" w:rsidP="00E863E9">
            <w:pPr>
              <w:pStyle w:val="Default"/>
              <w:rPr>
                <w:rFonts w:asciiTheme="minorHAnsi" w:hAnsiTheme="minorHAnsi" w:cstheme="minorHAnsi"/>
                <w:sz w:val="20"/>
                <w:szCs w:val="20"/>
              </w:rPr>
            </w:pPr>
          </w:p>
          <w:p w14:paraId="3A82E89D" w14:textId="77777777" w:rsidR="006361E1" w:rsidRPr="00C43C64" w:rsidRDefault="006361E1" w:rsidP="00E863E9">
            <w:pPr>
              <w:pStyle w:val="Default"/>
              <w:rPr>
                <w:rFonts w:asciiTheme="minorHAnsi" w:hAnsiTheme="minorHAnsi" w:cstheme="minorHAnsi"/>
                <w:sz w:val="20"/>
                <w:szCs w:val="20"/>
              </w:rPr>
            </w:pPr>
            <w:r>
              <w:rPr>
                <w:rFonts w:asciiTheme="minorHAnsi" w:hAnsiTheme="minorHAnsi" w:cstheme="minorHAnsi"/>
                <w:noProof/>
                <w:sz w:val="22"/>
                <w:szCs w:val="22"/>
                <w:lang w:eastAsia="en-AU"/>
              </w:rPr>
              <mc:AlternateContent>
                <mc:Choice Requires="wps">
                  <w:drawing>
                    <wp:anchor distT="0" distB="0" distL="114300" distR="114300" simplePos="0" relativeHeight="251716608" behindDoc="0" locked="0" layoutInCell="1" allowOverlap="1" wp14:anchorId="75AD12D8" wp14:editId="0BB8CED3">
                      <wp:simplePos x="0" y="0"/>
                      <wp:positionH relativeFrom="column">
                        <wp:posOffset>4181475</wp:posOffset>
                      </wp:positionH>
                      <wp:positionV relativeFrom="paragraph">
                        <wp:posOffset>96520</wp:posOffset>
                      </wp:positionV>
                      <wp:extent cx="635" cy="1263650"/>
                      <wp:effectExtent l="76200" t="38100" r="75565" b="12700"/>
                      <wp:wrapNone/>
                      <wp:docPr id="23"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63650"/>
                              </a:xfrm>
                              <a:prstGeom prst="straightConnector1">
                                <a:avLst/>
                              </a:prstGeom>
                              <a:noFill/>
                              <a:ln w="9525">
                                <a:solidFill>
                                  <a:srgbClr val="000000"/>
                                </a:solidFill>
                                <a:round/>
                                <a:headEnd/>
                                <a:tailEnd type="triangle"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6A67A7D" id="AutoShape 87" o:spid="_x0000_s1026" type="#_x0000_t32" style="position:absolute;margin-left:329.25pt;margin-top:7.6pt;width:.05pt;height:99.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">
                      <v:stroke endarrow="block"/>
                    </v:shape>
                  </w:pict>
                </mc:Fallback>
              </mc:AlternateContent>
            </w:r>
            <w:r>
              <w:rPr>
                <w:rFonts w:asciiTheme="minorHAnsi" w:hAnsiTheme="minorHAnsi" w:cstheme="minorHAnsi"/>
                <w:noProof/>
                <w:sz w:val="20"/>
                <w:szCs w:val="20"/>
                <w:lang w:eastAsia="en-AU"/>
              </w:rPr>
              <mc:AlternateContent>
                <mc:Choice Requires="wps">
                  <w:drawing>
                    <wp:anchor distT="0" distB="0" distL="114299" distR="114299" simplePos="0" relativeHeight="251710464" behindDoc="0" locked="0" layoutInCell="1" allowOverlap="1" wp14:anchorId="4BE32CEC" wp14:editId="653F4362">
                      <wp:simplePos x="0" y="0"/>
                      <wp:positionH relativeFrom="column">
                        <wp:posOffset>1952624</wp:posOffset>
                      </wp:positionH>
                      <wp:positionV relativeFrom="paragraph">
                        <wp:posOffset>3175</wp:posOffset>
                      </wp:positionV>
                      <wp:extent cx="0" cy="452120"/>
                      <wp:effectExtent l="76200" t="38100" r="57150" b="24130"/>
                      <wp:wrapNone/>
                      <wp:docPr id="22"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2120"/>
                              </a:xfrm>
                              <a:prstGeom prst="straightConnector1">
                                <a:avLst/>
                              </a:prstGeom>
                              <a:noFill/>
                              <a:ln w="9525">
                                <a:solidFill>
                                  <a:srgbClr val="000000"/>
                                </a:solidFill>
                                <a:round/>
                                <a:headEnd/>
                                <a:tailEnd type="triangle"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8C3B4CA" id="AutoShape 81" o:spid="_x0000_s1026" type="#_x0000_t32" style="position:absolute;margin-left:153.75pt;margin-top:.25pt;width:0;height:35.6pt;flip:y;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">
                      <v:stroke endarrow="block"/>
                    </v:shape>
                  </w:pict>
                </mc:Fallback>
              </mc:AlternateContent>
            </w:r>
          </w:p>
          <w:p w14:paraId="4B22982A" w14:textId="77777777" w:rsidR="006361E1" w:rsidRPr="00C43C64" w:rsidRDefault="006361E1" w:rsidP="00E863E9">
            <w:pPr>
              <w:pStyle w:val="Default"/>
              <w:rPr>
                <w:rFonts w:asciiTheme="minorHAnsi" w:hAnsiTheme="minorHAnsi" w:cstheme="minorHAnsi"/>
                <w:sz w:val="20"/>
                <w:szCs w:val="20"/>
              </w:rPr>
            </w:pPr>
          </w:p>
          <w:p w14:paraId="093467E4" w14:textId="77777777" w:rsidR="006361E1" w:rsidRPr="00C43C64" w:rsidRDefault="006361E1" w:rsidP="00E863E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0" distB="0" distL="114300" distR="114300" simplePos="0" relativeHeight="251703296" behindDoc="0" locked="0" layoutInCell="1" allowOverlap="1" wp14:anchorId="4708E4C9" wp14:editId="3B3DD939">
                      <wp:simplePos x="0" y="0"/>
                      <wp:positionH relativeFrom="column">
                        <wp:posOffset>1527810</wp:posOffset>
                      </wp:positionH>
                      <wp:positionV relativeFrom="paragraph">
                        <wp:posOffset>140335</wp:posOffset>
                      </wp:positionV>
                      <wp:extent cx="834390" cy="457200"/>
                      <wp:effectExtent l="0" t="0" r="22860" b="19050"/>
                      <wp:wrapNone/>
                      <wp:docPr id="2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457200"/>
                              </a:xfrm>
                              <a:prstGeom prst="rect">
                                <a:avLst/>
                              </a:prstGeom>
                              <a:solidFill>
                                <a:schemeClr val="accent1">
                                  <a:lumMod val="40000"/>
                                  <a:lumOff val="60000"/>
                                </a:schemeClr>
                              </a:solidFill>
                              <a:ln w="9525">
                                <a:solidFill>
                                  <a:srgbClr val="000000"/>
                                </a:solidFill>
                                <a:miter lim="800000"/>
                                <a:headEnd/>
                                <a:tailEnd/>
                              </a:ln>
                            </wps:spPr>
                            <wps:txbx>
                              <w:txbxContent>
                                <w:p w14:paraId="15CC3A7F" w14:textId="77777777" w:rsidR="00A8252A" w:rsidRPr="00055D3E" w:rsidRDefault="00A8252A" w:rsidP="006361E1">
                                  <w:pPr>
                                    <w:jc w:val="center"/>
                                    <w:rPr>
                                      <w:sz w:val="20"/>
                                    </w:rPr>
                                  </w:pPr>
                                  <w:r w:rsidRPr="00055D3E">
                                    <w:rPr>
                                      <w:sz w:val="20"/>
                                    </w:rPr>
                                    <w:t>Model validation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08E4C9" id="Text Box 74" o:spid="_x0000_s1064" type="#_x0000_t202" style="position:absolute;margin-left:120.3pt;margin-top:11.05pt;width:65.7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" fillcolor="#b8cce4 [1300]">
                      <v:textbox>
                        <w:txbxContent>
                          <w:p w14:paraId="15CC3A7F" w14:textId="77777777" w:rsidR="00A8252A" w:rsidRPr="00055D3E" w:rsidRDefault="00A8252A" w:rsidP="006361E1">
                            <w:pPr>
                              <w:jc w:val="center"/>
                              <w:rPr>
                                <w:sz w:val="20"/>
                              </w:rPr>
                            </w:pPr>
                            <w:r w:rsidRPr="00055D3E">
                              <w:rPr>
                                <w:sz w:val="20"/>
                              </w:rPr>
                              <w:t>Model validation</w:t>
                            </w:r>
                          </w:p>
                        </w:txbxContent>
                      </v:textbox>
                    </v:shape>
                  </w:pict>
                </mc:Fallback>
              </mc:AlternateContent>
            </w:r>
            <w:r>
              <w:rPr>
                <w:rFonts w:asciiTheme="minorHAnsi" w:hAnsiTheme="minorHAnsi" w:cstheme="minorHAnsi"/>
                <w:noProof/>
                <w:sz w:val="20"/>
                <w:szCs w:val="20"/>
                <w:lang w:eastAsia="en-AU"/>
              </w:rPr>
              <mc:AlternateContent>
                <mc:Choice Requires="wps">
                  <w:drawing>
                    <wp:anchor distT="0" distB="0" distL="114300" distR="114300" simplePos="0" relativeHeight="251708416" behindDoc="0" locked="0" layoutInCell="1" allowOverlap="1" wp14:anchorId="4EC33041" wp14:editId="311F1192">
                      <wp:simplePos x="0" y="0"/>
                      <wp:positionH relativeFrom="column">
                        <wp:posOffset>3156585</wp:posOffset>
                      </wp:positionH>
                      <wp:positionV relativeFrom="paragraph">
                        <wp:posOffset>140335</wp:posOffset>
                      </wp:positionV>
                      <wp:extent cx="834390" cy="457200"/>
                      <wp:effectExtent l="0" t="0" r="22860" b="19050"/>
                      <wp:wrapNone/>
                      <wp:docPr id="2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457200"/>
                              </a:xfrm>
                              <a:prstGeom prst="rect">
                                <a:avLst/>
                              </a:prstGeom>
                              <a:solidFill>
                                <a:schemeClr val="accent1">
                                  <a:lumMod val="40000"/>
                                  <a:lumOff val="60000"/>
                                </a:schemeClr>
                              </a:solidFill>
                              <a:ln w="9525">
                                <a:solidFill>
                                  <a:srgbClr val="000000"/>
                                </a:solidFill>
                                <a:miter lim="800000"/>
                                <a:headEnd/>
                                <a:tailEnd/>
                              </a:ln>
                            </wps:spPr>
                            <wps:txbx>
                              <w:txbxContent>
                                <w:p w14:paraId="56ECC465" w14:textId="77777777" w:rsidR="00A8252A" w:rsidRPr="00055D3E" w:rsidRDefault="00A8252A" w:rsidP="006361E1">
                                  <w:pPr>
                                    <w:jc w:val="center"/>
                                    <w:rPr>
                                      <w:sz w:val="20"/>
                                    </w:rPr>
                                  </w:pPr>
                                  <w:r w:rsidRPr="00055D3E">
                                    <w:rPr>
                                      <w:sz w:val="20"/>
                                    </w:rPr>
                                    <w:t>Model set-up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C33041" id="Text Box 79" o:spid="_x0000_s1065" type="#_x0000_t202" style="position:absolute;margin-left:248.55pt;margin-top:11.05pt;width:65.7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" fillcolor="#b8cce4 [1300]">
                      <v:textbox>
                        <w:txbxContent>
                          <w:p w14:paraId="56ECC465" w14:textId="77777777" w:rsidR="00A8252A" w:rsidRPr="00055D3E" w:rsidRDefault="00A8252A" w:rsidP="006361E1">
                            <w:pPr>
                              <w:jc w:val="center"/>
                              <w:rPr>
                                <w:sz w:val="20"/>
                              </w:rPr>
                            </w:pPr>
                            <w:r w:rsidRPr="00055D3E">
                              <w:rPr>
                                <w:sz w:val="20"/>
                              </w:rPr>
                              <w:t>Model set-up</w:t>
                            </w:r>
                          </w:p>
                        </w:txbxContent>
                      </v:textbox>
                    </v:shape>
                  </w:pict>
                </mc:Fallback>
              </mc:AlternateContent>
            </w:r>
          </w:p>
          <w:p w14:paraId="3A824722" w14:textId="77777777" w:rsidR="006361E1" w:rsidRPr="00C43C64" w:rsidRDefault="006361E1" w:rsidP="00E863E9">
            <w:pPr>
              <w:pStyle w:val="Default"/>
              <w:rPr>
                <w:rFonts w:asciiTheme="minorHAnsi" w:hAnsiTheme="minorHAnsi" w:cstheme="minorHAnsi"/>
                <w:sz w:val="20"/>
                <w:szCs w:val="20"/>
              </w:rPr>
            </w:pPr>
          </w:p>
          <w:p w14:paraId="32EFAAC2" w14:textId="77777777" w:rsidR="006361E1" w:rsidRPr="00C43C64" w:rsidRDefault="006361E1" w:rsidP="00E863E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4294967295" distB="4294967295" distL="114300" distR="114300" simplePos="0" relativeHeight="251715584" behindDoc="0" locked="0" layoutInCell="1" allowOverlap="1" wp14:anchorId="0FF1CD5B" wp14:editId="4A5FE231">
                      <wp:simplePos x="0" y="0"/>
                      <wp:positionH relativeFrom="column">
                        <wp:posOffset>2371725</wp:posOffset>
                      </wp:positionH>
                      <wp:positionV relativeFrom="paragraph">
                        <wp:posOffset>24764</wp:posOffset>
                      </wp:positionV>
                      <wp:extent cx="784860" cy="0"/>
                      <wp:effectExtent l="38100" t="76200" r="0" b="95250"/>
                      <wp:wrapNone/>
                      <wp:docPr id="19"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4860" cy="0"/>
                              </a:xfrm>
                              <a:prstGeom prst="straightConnector1">
                                <a:avLst/>
                              </a:prstGeom>
                              <a:noFill/>
                              <a:ln w="9525">
                                <a:solidFill>
                                  <a:srgbClr val="000000"/>
                                </a:solidFill>
                                <a:round/>
                                <a:headEnd/>
                                <a:tailEnd type="triangle"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D320CE7" id="AutoShape 86" o:spid="_x0000_s1026" type="#_x0000_t32" style="position:absolute;margin-left:186.75pt;margin-top:1.95pt;width:61.8pt;height:0;flip:x;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">
                      <v:stroke endarrow="block"/>
                    </v:shape>
                  </w:pict>
                </mc:Fallback>
              </mc:AlternateContent>
            </w:r>
          </w:p>
          <w:p w14:paraId="2F76B24A" w14:textId="77777777" w:rsidR="006361E1" w:rsidRPr="00C43C64" w:rsidRDefault="006361E1" w:rsidP="00E863E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0" distB="0" distL="114300" distR="114300" simplePos="0" relativeHeight="251714560" behindDoc="0" locked="0" layoutInCell="1" allowOverlap="1" wp14:anchorId="5B754C3D" wp14:editId="3DFAA337">
                      <wp:simplePos x="0" y="0"/>
                      <wp:positionH relativeFrom="column">
                        <wp:posOffset>3553460</wp:posOffset>
                      </wp:positionH>
                      <wp:positionV relativeFrom="paragraph">
                        <wp:posOffset>132715</wp:posOffset>
                      </wp:positionV>
                      <wp:extent cx="628015" cy="452120"/>
                      <wp:effectExtent l="38100" t="38100" r="19685" b="24130"/>
                      <wp:wrapNone/>
                      <wp:docPr id="18"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8015" cy="452120"/>
                              </a:xfrm>
                              <a:prstGeom prst="straightConnector1">
                                <a:avLst/>
                              </a:prstGeom>
                              <a:noFill/>
                              <a:ln w="9525">
                                <a:solidFill>
                                  <a:srgbClr val="000000"/>
                                </a:solidFill>
                                <a:round/>
                                <a:headEnd/>
                                <a:tailEnd type="triangle"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B545259" id="AutoShape 85" o:spid="_x0000_s1026" type="#_x0000_t32" style="position:absolute;margin-left:279.8pt;margin-top:10.45pt;width:49.45pt;height:35.6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">
                      <v:stroke endarrow="block"/>
                    </v:shape>
                  </w:pict>
                </mc:Fallback>
              </mc:AlternateContent>
            </w:r>
            <w:r>
              <w:rPr>
                <w:rFonts w:asciiTheme="minorHAnsi" w:hAnsiTheme="minorHAnsi" w:cstheme="minorHAnsi"/>
                <w:noProof/>
                <w:sz w:val="20"/>
                <w:szCs w:val="20"/>
                <w:lang w:eastAsia="en-AU"/>
              </w:rPr>
              <mc:AlternateContent>
                <mc:Choice Requires="wps">
                  <w:drawing>
                    <wp:anchor distT="0" distB="0" distL="114300" distR="114300" simplePos="0" relativeHeight="251713536" behindDoc="0" locked="0" layoutInCell="1" allowOverlap="1" wp14:anchorId="535453C4" wp14:editId="651E576C">
                      <wp:simplePos x="0" y="0"/>
                      <wp:positionH relativeFrom="column">
                        <wp:posOffset>3009900</wp:posOffset>
                      </wp:positionH>
                      <wp:positionV relativeFrom="paragraph">
                        <wp:posOffset>132715</wp:posOffset>
                      </wp:positionV>
                      <wp:extent cx="543560" cy="452120"/>
                      <wp:effectExtent l="0" t="38100" r="46990" b="24130"/>
                      <wp:wrapNone/>
                      <wp:docPr id="16"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3560" cy="452120"/>
                              </a:xfrm>
                              <a:prstGeom prst="straightConnector1">
                                <a:avLst/>
                              </a:prstGeom>
                              <a:noFill/>
                              <a:ln w="9525">
                                <a:solidFill>
                                  <a:srgbClr val="000000"/>
                                </a:solidFill>
                                <a:round/>
                                <a:headEnd/>
                                <a:tailEnd type="triangle"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9580CAA" id="AutoShape 84" o:spid="_x0000_s1026" type="#_x0000_t32" style="position:absolute;margin-left:237pt;margin-top:10.45pt;width:42.8pt;height:35.6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">
                      <v:stroke endarrow="block"/>
                    </v:shape>
                  </w:pict>
                </mc:Fallback>
              </mc:AlternateContent>
            </w:r>
            <w:r>
              <w:rPr>
                <w:rFonts w:asciiTheme="minorHAnsi" w:hAnsiTheme="minorHAnsi" w:cstheme="minorHAnsi"/>
                <w:noProof/>
                <w:sz w:val="20"/>
                <w:szCs w:val="20"/>
                <w:lang w:eastAsia="en-AU"/>
              </w:rPr>
              <mc:AlternateContent>
                <mc:Choice Requires="wps">
                  <w:drawing>
                    <wp:anchor distT="0" distB="0" distL="114299" distR="114299" simplePos="0" relativeHeight="251709440" behindDoc="0" locked="0" layoutInCell="1" allowOverlap="1" wp14:anchorId="580CC68A" wp14:editId="7D298315">
                      <wp:simplePos x="0" y="0"/>
                      <wp:positionH relativeFrom="column">
                        <wp:posOffset>1952624</wp:posOffset>
                      </wp:positionH>
                      <wp:positionV relativeFrom="paragraph">
                        <wp:posOffset>132715</wp:posOffset>
                      </wp:positionV>
                      <wp:extent cx="0" cy="452120"/>
                      <wp:effectExtent l="76200" t="38100" r="57150" b="24130"/>
                      <wp:wrapNone/>
                      <wp:docPr id="14"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2120"/>
                              </a:xfrm>
                              <a:prstGeom prst="straightConnector1">
                                <a:avLst/>
                              </a:prstGeom>
                              <a:noFill/>
                              <a:ln w="9525">
                                <a:solidFill>
                                  <a:srgbClr val="000000"/>
                                </a:solidFill>
                                <a:round/>
                                <a:headEnd/>
                                <a:tailEnd type="triangle"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6E1341E" id="AutoShape 80" o:spid="_x0000_s1026" type="#_x0000_t32" style="position:absolute;margin-left:153.75pt;margin-top:10.45pt;width:0;height:35.6pt;flip:y;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">
                      <v:stroke endarrow="block"/>
                    </v:shape>
                  </w:pict>
                </mc:Fallback>
              </mc:AlternateContent>
            </w:r>
          </w:p>
          <w:p w14:paraId="77A2843E" w14:textId="77777777" w:rsidR="006361E1" w:rsidRPr="00C43C64" w:rsidRDefault="006361E1" w:rsidP="00E863E9">
            <w:pPr>
              <w:pStyle w:val="Default"/>
              <w:rPr>
                <w:rFonts w:asciiTheme="minorHAnsi" w:hAnsiTheme="minorHAnsi" w:cstheme="minorHAnsi"/>
                <w:sz w:val="20"/>
                <w:szCs w:val="20"/>
              </w:rPr>
            </w:pPr>
          </w:p>
        </w:tc>
      </w:tr>
      <w:tr w:rsidR="006361E1" w14:paraId="6FF3D676" w14:textId="77777777" w:rsidTr="00E863E9">
        <w:trPr>
          <w:trHeight w:val="1358"/>
        </w:trPr>
        <w:tc>
          <w:tcPr>
            <w:tcW w:w="9010" w:type="dxa"/>
            <w:tcBorders>
              <w:top w:val="dotted" w:sz="4" w:space="0" w:color="auto"/>
            </w:tcBorders>
          </w:tcPr>
          <w:p w14:paraId="233D8615" w14:textId="77777777" w:rsidR="006361E1" w:rsidRDefault="006361E1" w:rsidP="00E863E9">
            <w:pPr>
              <w:pStyle w:val="Default"/>
              <w:rPr>
                <w:rFonts w:asciiTheme="minorHAnsi" w:hAnsiTheme="minorHAnsi" w:cstheme="minorHAnsi"/>
                <w:sz w:val="22"/>
                <w:szCs w:val="22"/>
              </w:rPr>
            </w:pPr>
          </w:p>
          <w:p w14:paraId="0A4D8C21" w14:textId="77777777" w:rsidR="006361E1" w:rsidRPr="00055D3E" w:rsidRDefault="006361E1" w:rsidP="00E863E9">
            <w:pPr>
              <w:pStyle w:val="Default"/>
              <w:rPr>
                <w:rFonts w:asciiTheme="minorHAnsi" w:hAnsiTheme="minorHAnsi" w:cstheme="minorHAnsi"/>
                <w:sz w:val="20"/>
                <w:szCs w:val="20"/>
              </w:rPr>
            </w:pPr>
            <w:r>
              <w:rPr>
                <w:noProof/>
                <w:sz w:val="20"/>
                <w:szCs w:val="20"/>
                <w:lang w:eastAsia="en-AU"/>
              </w:rPr>
              <mc:AlternateContent>
                <mc:Choice Requires="wps">
                  <w:drawing>
                    <wp:anchor distT="0" distB="0" distL="114300" distR="114300" simplePos="0" relativeHeight="251699200" behindDoc="0" locked="0" layoutInCell="1" allowOverlap="1" wp14:anchorId="3C96AC7F" wp14:editId="7B646551">
                      <wp:simplePos x="0" y="0"/>
                      <wp:positionH relativeFrom="column">
                        <wp:posOffset>1537335</wp:posOffset>
                      </wp:positionH>
                      <wp:positionV relativeFrom="paragraph">
                        <wp:posOffset>97790</wp:posOffset>
                      </wp:positionV>
                      <wp:extent cx="834390" cy="457200"/>
                      <wp:effectExtent l="0" t="0" r="2286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457200"/>
                              </a:xfrm>
                              <a:prstGeom prst="rect">
                                <a:avLst/>
                              </a:prstGeom>
                              <a:solidFill>
                                <a:srgbClr val="FFFFFF"/>
                              </a:solidFill>
                              <a:ln w="9525">
                                <a:solidFill>
                                  <a:srgbClr val="000000"/>
                                </a:solidFill>
                                <a:miter lim="800000"/>
                                <a:headEnd/>
                                <a:tailEnd/>
                              </a:ln>
                            </wps:spPr>
                            <wps:txbx>
                              <w:txbxContent>
                                <w:p w14:paraId="5437419D" w14:textId="77777777" w:rsidR="00A8252A" w:rsidRPr="00055D3E" w:rsidRDefault="00A8252A" w:rsidP="006361E1">
                                  <w:pPr>
                                    <w:jc w:val="center"/>
                                    <w:rPr>
                                      <w:sz w:val="20"/>
                                    </w:rPr>
                                  </w:pPr>
                                  <w:r w:rsidRPr="00055D3E">
                                    <w:rPr>
                                      <w:sz w:val="20"/>
                                    </w:rPr>
                                    <w:t>Water quality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96AC7F" id="Text Box 2" o:spid="_x0000_s1066" type="#_x0000_t202" style="position:absolute;margin-left:121.05pt;margin-top:7.7pt;width:65.7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">
                      <v:textbox>
                        <w:txbxContent>
                          <w:p w14:paraId="5437419D" w14:textId="77777777" w:rsidR="00A8252A" w:rsidRPr="00055D3E" w:rsidRDefault="00A8252A" w:rsidP="006361E1">
                            <w:pPr>
                              <w:jc w:val="center"/>
                              <w:rPr>
                                <w:sz w:val="20"/>
                              </w:rPr>
                            </w:pPr>
                            <w:r w:rsidRPr="00055D3E">
                              <w:rPr>
                                <w:sz w:val="20"/>
                              </w:rPr>
                              <w:t>Water quality</w:t>
                            </w:r>
                          </w:p>
                        </w:txbxContent>
                      </v:textbox>
                    </v:shape>
                  </w:pict>
                </mc:Fallback>
              </mc:AlternateContent>
            </w:r>
            <w:r>
              <w:rPr>
                <w:noProof/>
                <w:sz w:val="20"/>
                <w:szCs w:val="20"/>
                <w:lang w:eastAsia="en-AU"/>
              </w:rPr>
              <mc:AlternateContent>
                <mc:Choice Requires="wps">
                  <w:drawing>
                    <wp:anchor distT="0" distB="0" distL="114300" distR="114300" simplePos="0" relativeHeight="251700224" behindDoc="0" locked="0" layoutInCell="1" allowOverlap="1" wp14:anchorId="558FC4D1" wp14:editId="077E7174">
                      <wp:simplePos x="0" y="0"/>
                      <wp:positionH relativeFrom="column">
                        <wp:posOffset>2634615</wp:posOffset>
                      </wp:positionH>
                      <wp:positionV relativeFrom="paragraph">
                        <wp:posOffset>97790</wp:posOffset>
                      </wp:positionV>
                      <wp:extent cx="744855" cy="457200"/>
                      <wp:effectExtent l="0" t="0" r="17145" b="19050"/>
                      <wp:wrapNone/>
                      <wp:docPr id="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457200"/>
                              </a:xfrm>
                              <a:prstGeom prst="rect">
                                <a:avLst/>
                              </a:prstGeom>
                              <a:solidFill>
                                <a:srgbClr val="FFFFFF"/>
                              </a:solidFill>
                              <a:ln w="9525">
                                <a:solidFill>
                                  <a:srgbClr val="000000"/>
                                </a:solidFill>
                                <a:miter lim="800000"/>
                                <a:headEnd/>
                                <a:tailEnd/>
                              </a:ln>
                            </wps:spPr>
                            <wps:txbx>
                              <w:txbxContent>
                                <w:p w14:paraId="66DD0597" w14:textId="77777777" w:rsidR="00A8252A" w:rsidRPr="00055D3E" w:rsidRDefault="00A8252A" w:rsidP="006361E1">
                                  <w:pPr>
                                    <w:jc w:val="center"/>
                                    <w:rPr>
                                      <w:sz w:val="20"/>
                                    </w:rPr>
                                  </w:pPr>
                                  <w:r w:rsidRPr="00055D3E">
                                    <w:rPr>
                                      <w:sz w:val="20"/>
                                    </w:rPr>
                                    <w:t>Climate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8FC4D1" id="Text Box 71" o:spid="_x0000_s1067" type="#_x0000_t202" style="position:absolute;margin-left:207.45pt;margin-top:7.7pt;width:58.65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">
                      <v:textbox>
                        <w:txbxContent>
                          <w:p w14:paraId="66DD0597" w14:textId="77777777" w:rsidR="00A8252A" w:rsidRPr="00055D3E" w:rsidRDefault="00A8252A" w:rsidP="006361E1">
                            <w:pPr>
                              <w:jc w:val="center"/>
                              <w:rPr>
                                <w:sz w:val="20"/>
                              </w:rPr>
                            </w:pPr>
                            <w:r w:rsidRPr="00055D3E">
                              <w:rPr>
                                <w:sz w:val="20"/>
                              </w:rPr>
                              <w:t>Climate</w:t>
                            </w:r>
                          </w:p>
                        </w:txbxContent>
                      </v:textbox>
                    </v:shape>
                  </w:pict>
                </mc:Fallback>
              </mc:AlternateContent>
            </w:r>
            <w:r>
              <w:rPr>
                <w:noProof/>
                <w:sz w:val="20"/>
                <w:szCs w:val="20"/>
                <w:lang w:eastAsia="en-AU"/>
              </w:rPr>
              <mc:AlternateContent>
                <mc:Choice Requires="wps">
                  <w:drawing>
                    <wp:anchor distT="0" distB="0" distL="114300" distR="114300" simplePos="0" relativeHeight="251701248" behindDoc="0" locked="0" layoutInCell="1" allowOverlap="1" wp14:anchorId="18D3155B" wp14:editId="74E70FF5">
                      <wp:simplePos x="0" y="0"/>
                      <wp:positionH relativeFrom="column">
                        <wp:posOffset>3789045</wp:posOffset>
                      </wp:positionH>
                      <wp:positionV relativeFrom="paragraph">
                        <wp:posOffset>97790</wp:posOffset>
                      </wp:positionV>
                      <wp:extent cx="773430" cy="457200"/>
                      <wp:effectExtent l="0" t="0" r="26670" b="19050"/>
                      <wp:wrapNone/>
                      <wp:docPr id="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457200"/>
                              </a:xfrm>
                              <a:prstGeom prst="rect">
                                <a:avLst/>
                              </a:prstGeom>
                              <a:solidFill>
                                <a:srgbClr val="FFFFFF"/>
                              </a:solidFill>
                              <a:ln w="9525">
                                <a:solidFill>
                                  <a:srgbClr val="000000"/>
                                </a:solidFill>
                                <a:miter lim="800000"/>
                                <a:headEnd/>
                                <a:tailEnd/>
                              </a:ln>
                            </wps:spPr>
                            <wps:txbx>
                              <w:txbxContent>
                                <w:p w14:paraId="482C5EBA" w14:textId="77777777" w:rsidR="00A8252A" w:rsidRPr="00055D3E" w:rsidRDefault="00A8252A" w:rsidP="006361E1">
                                  <w:pPr>
                                    <w:jc w:val="center"/>
                                    <w:rPr>
                                      <w:sz w:val="20"/>
                                    </w:rPr>
                                  </w:pPr>
                                  <w:r w:rsidRPr="00055D3E">
                                    <w:rPr>
                                      <w:sz w:val="20"/>
                                    </w:rPr>
                                    <w:t>Hydrology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D3155B" id="Text Box 72" o:spid="_x0000_s1068" type="#_x0000_t202" style="position:absolute;margin-left:298.35pt;margin-top:7.7pt;width:60.9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">
                      <v:textbox>
                        <w:txbxContent>
                          <w:p w14:paraId="482C5EBA" w14:textId="77777777" w:rsidR="00A8252A" w:rsidRPr="00055D3E" w:rsidRDefault="00A8252A" w:rsidP="006361E1">
                            <w:pPr>
                              <w:jc w:val="center"/>
                              <w:rPr>
                                <w:sz w:val="20"/>
                              </w:rPr>
                            </w:pPr>
                            <w:r w:rsidRPr="00055D3E">
                              <w:rPr>
                                <w:sz w:val="20"/>
                              </w:rPr>
                              <w:t>Hydrology</w:t>
                            </w:r>
                          </w:p>
                        </w:txbxContent>
                      </v:textbox>
                    </v:shape>
                  </w:pict>
                </mc:Fallback>
              </mc:AlternateContent>
            </w:r>
            <w:r w:rsidRPr="00055D3E">
              <w:rPr>
                <w:rFonts w:asciiTheme="minorHAnsi" w:hAnsiTheme="minorHAnsi" w:cstheme="minorHAnsi"/>
                <w:sz w:val="20"/>
                <w:szCs w:val="20"/>
              </w:rPr>
              <w:t>Field measurement</w:t>
            </w:r>
          </w:p>
          <w:p w14:paraId="5C057FD0" w14:textId="77777777" w:rsidR="006361E1" w:rsidRDefault="006361E1" w:rsidP="00E863E9">
            <w:pPr>
              <w:pStyle w:val="Default"/>
              <w:rPr>
                <w:rFonts w:asciiTheme="minorHAnsi" w:hAnsiTheme="minorHAnsi" w:cstheme="minorHAnsi"/>
                <w:sz w:val="22"/>
                <w:szCs w:val="22"/>
              </w:rPr>
            </w:pPr>
          </w:p>
          <w:p w14:paraId="5A0546BF" w14:textId="77777777" w:rsidR="006361E1" w:rsidRDefault="006361E1" w:rsidP="00E863E9">
            <w:pPr>
              <w:pStyle w:val="Default"/>
              <w:rPr>
                <w:rFonts w:asciiTheme="minorHAnsi" w:hAnsiTheme="minorHAnsi" w:cstheme="minorHAnsi"/>
                <w:sz w:val="22"/>
                <w:szCs w:val="22"/>
              </w:rPr>
            </w:pPr>
          </w:p>
          <w:p w14:paraId="1777F4B7" w14:textId="77777777" w:rsidR="006361E1" w:rsidRDefault="006361E1" w:rsidP="00E863E9">
            <w:pPr>
              <w:pStyle w:val="Default"/>
              <w:rPr>
                <w:rFonts w:asciiTheme="minorHAnsi" w:hAnsiTheme="minorHAnsi" w:cstheme="minorHAnsi"/>
                <w:sz w:val="22"/>
                <w:szCs w:val="22"/>
              </w:rPr>
            </w:pPr>
          </w:p>
        </w:tc>
      </w:tr>
    </w:tbl>
    <w:p w14:paraId="78775FBB" w14:textId="77777777" w:rsidR="006361E1" w:rsidRDefault="006361E1" w:rsidP="006361E1">
      <w:pPr>
        <w:pStyle w:val="Default"/>
        <w:rPr>
          <w:rFonts w:asciiTheme="minorHAnsi" w:hAnsiTheme="minorHAnsi" w:cstheme="minorHAnsi"/>
          <w:sz w:val="22"/>
          <w:szCs w:val="22"/>
        </w:rPr>
      </w:pPr>
    </w:p>
    <w:p w14:paraId="16A0744F" w14:textId="54ED385C" w:rsidR="006361E1" w:rsidRPr="00C2634B" w:rsidRDefault="006361E1" w:rsidP="006361E1">
      <w:pPr>
        <w:pStyle w:val="Caption"/>
      </w:pPr>
      <w:bookmarkStart w:id="1421" w:name="_Ref397515911"/>
      <w:r>
        <w:t>Figure B.</w:t>
      </w:r>
      <w:r>
        <w:rPr>
          <w:noProof/>
        </w:rPr>
        <w:fldChar w:fldCharType="begin"/>
      </w:r>
      <w:r>
        <w:rPr>
          <w:noProof/>
        </w:rPr>
        <w:instrText xml:space="preserve"> SEQ Figure_B. \* ARABIC </w:instrText>
      </w:r>
      <w:r>
        <w:rPr>
          <w:noProof/>
        </w:rPr>
        <w:fldChar w:fldCharType="separate"/>
      </w:r>
      <w:r w:rsidR="00DF49CD">
        <w:rPr>
          <w:noProof/>
        </w:rPr>
        <w:t>7</w:t>
      </w:r>
      <w:r>
        <w:rPr>
          <w:noProof/>
        </w:rPr>
        <w:fldChar w:fldCharType="end"/>
      </w:r>
      <w:bookmarkEnd w:id="1421"/>
      <w:r w:rsidRPr="00C2634B">
        <w:t>. Schematic of key elements of the LTIM Protocol: Matter transport.</w:t>
      </w:r>
    </w:p>
    <w:p w14:paraId="249AB96B" w14:textId="77777777" w:rsidR="006361E1" w:rsidRPr="00525AE9" w:rsidRDefault="006361E1" w:rsidP="006361E1">
      <w:pPr>
        <w:pStyle w:val="Heading3"/>
      </w:pPr>
      <w:bookmarkStart w:id="1422" w:name="_Toc396825327"/>
      <w:bookmarkStart w:id="1423" w:name="_Toc6403890"/>
      <w:bookmarkStart w:id="1424" w:name="_Toc10095256"/>
      <w:bookmarkStart w:id="1425" w:name="_Toc10192425"/>
      <w:bookmarkStart w:id="1426" w:name="_Toc10206740"/>
      <w:bookmarkStart w:id="1427" w:name="_Toc10213326"/>
      <w:bookmarkStart w:id="1428" w:name="_Toc10732350"/>
      <w:bookmarkStart w:id="1429" w:name="_Toc10796909"/>
      <w:bookmarkStart w:id="1430" w:name="_Toc12022794"/>
      <w:bookmarkStart w:id="1431" w:name="_Toc12630624"/>
      <w:bookmarkStart w:id="1432" w:name="_Toc16154484"/>
      <w:bookmarkStart w:id="1433" w:name="_Toc22196846"/>
      <w:r w:rsidRPr="00525AE9">
        <w:lastRenderedPageBreak/>
        <w:t>Relevant ecosystem types</w:t>
      </w:r>
      <w:bookmarkEnd w:id="1422"/>
      <w:bookmarkEnd w:id="1423"/>
      <w:bookmarkEnd w:id="1424"/>
      <w:bookmarkEnd w:id="1425"/>
      <w:bookmarkEnd w:id="1426"/>
      <w:bookmarkEnd w:id="1427"/>
      <w:bookmarkEnd w:id="1428"/>
      <w:bookmarkEnd w:id="1429"/>
      <w:bookmarkEnd w:id="1430"/>
      <w:bookmarkEnd w:id="1431"/>
      <w:bookmarkEnd w:id="1432"/>
      <w:bookmarkEnd w:id="1433"/>
    </w:p>
    <w:p w14:paraId="5EC7F29E" w14:textId="77777777" w:rsidR="006361E1" w:rsidRPr="00525AE9" w:rsidRDefault="006361E1" w:rsidP="006361E1">
      <w:r>
        <w:t>All – r</w:t>
      </w:r>
      <w:r w:rsidRPr="00525AE9">
        <w:t>iver</w:t>
      </w:r>
      <w:r>
        <w:t>s, wetlands and floodplains.</w:t>
      </w:r>
    </w:p>
    <w:p w14:paraId="37B392CE" w14:textId="77777777" w:rsidR="006361E1" w:rsidRPr="00525AE9" w:rsidRDefault="006361E1" w:rsidP="006361E1">
      <w:pPr>
        <w:pStyle w:val="Heading3"/>
      </w:pPr>
      <w:bookmarkStart w:id="1434" w:name="_Toc396825328"/>
      <w:bookmarkStart w:id="1435" w:name="_Toc6403891"/>
      <w:bookmarkStart w:id="1436" w:name="_Toc10095257"/>
      <w:bookmarkStart w:id="1437" w:name="_Toc10192426"/>
      <w:bookmarkStart w:id="1438" w:name="_Toc10206741"/>
      <w:bookmarkStart w:id="1439" w:name="_Toc10213327"/>
      <w:bookmarkStart w:id="1440" w:name="_Toc10732351"/>
      <w:bookmarkStart w:id="1441" w:name="_Toc10796910"/>
      <w:bookmarkStart w:id="1442" w:name="_Toc12022795"/>
      <w:bookmarkStart w:id="1443" w:name="_Toc12630625"/>
      <w:bookmarkStart w:id="1444" w:name="_Toc16154485"/>
      <w:bookmarkStart w:id="1445" w:name="_Toc22196847"/>
      <w:r w:rsidRPr="00525AE9">
        <w:t>Relevant flow types</w:t>
      </w:r>
      <w:bookmarkEnd w:id="1434"/>
      <w:bookmarkEnd w:id="1435"/>
      <w:bookmarkEnd w:id="1436"/>
      <w:bookmarkEnd w:id="1437"/>
      <w:bookmarkEnd w:id="1438"/>
      <w:bookmarkEnd w:id="1439"/>
      <w:bookmarkEnd w:id="1440"/>
      <w:bookmarkEnd w:id="1441"/>
      <w:bookmarkEnd w:id="1442"/>
      <w:bookmarkEnd w:id="1443"/>
      <w:bookmarkEnd w:id="1444"/>
      <w:bookmarkEnd w:id="1445"/>
    </w:p>
    <w:p w14:paraId="7F13C8E4" w14:textId="73D941D1" w:rsidR="006361E1" w:rsidRPr="00525AE9" w:rsidRDefault="006361E1" w:rsidP="006361E1">
      <w:r>
        <w:t>All – baseflow, f</w:t>
      </w:r>
      <w:r w:rsidRPr="00525AE9">
        <w:t>resh</w:t>
      </w:r>
      <w:r>
        <w:t xml:space="preserve">, </w:t>
      </w:r>
      <w:r w:rsidRPr="00525AE9">
        <w:t>bankfull</w:t>
      </w:r>
      <w:r>
        <w:t xml:space="preserve"> and</w:t>
      </w:r>
      <w:r w:rsidRPr="00525AE9">
        <w:t xml:space="preserve"> overbank</w:t>
      </w:r>
      <w:r>
        <w:t>.</w:t>
      </w:r>
    </w:p>
    <w:p w14:paraId="350ECDC9" w14:textId="77777777" w:rsidR="006361E1" w:rsidRDefault="006361E1" w:rsidP="006361E1">
      <w:pPr>
        <w:pStyle w:val="Heading3"/>
      </w:pPr>
      <w:bookmarkStart w:id="1446" w:name="_Toc396825329"/>
      <w:bookmarkStart w:id="1447" w:name="_Toc6403892"/>
      <w:bookmarkStart w:id="1448" w:name="_Toc10095258"/>
      <w:bookmarkStart w:id="1449" w:name="_Toc10192427"/>
      <w:bookmarkStart w:id="1450" w:name="_Toc10206742"/>
      <w:bookmarkStart w:id="1451" w:name="_Toc10213328"/>
      <w:bookmarkStart w:id="1452" w:name="_Toc10732352"/>
      <w:bookmarkStart w:id="1453" w:name="_Toc10796911"/>
      <w:bookmarkStart w:id="1454" w:name="_Toc12022796"/>
      <w:bookmarkStart w:id="1455" w:name="_Toc12630626"/>
      <w:bookmarkStart w:id="1456" w:name="_Toc16154486"/>
      <w:bookmarkStart w:id="1457" w:name="_Toc22196848"/>
      <w:r w:rsidRPr="00525AE9">
        <w:t>Overview and context</w:t>
      </w:r>
      <w:bookmarkEnd w:id="1446"/>
      <w:bookmarkEnd w:id="1447"/>
      <w:bookmarkEnd w:id="1448"/>
      <w:bookmarkEnd w:id="1449"/>
      <w:bookmarkEnd w:id="1450"/>
      <w:bookmarkEnd w:id="1451"/>
      <w:bookmarkEnd w:id="1452"/>
      <w:bookmarkEnd w:id="1453"/>
      <w:bookmarkEnd w:id="1454"/>
      <w:bookmarkEnd w:id="1455"/>
      <w:bookmarkEnd w:id="1456"/>
      <w:bookmarkEnd w:id="1457"/>
    </w:p>
    <w:p w14:paraId="13F974B5" w14:textId="099F8AAC" w:rsidR="006361E1" w:rsidRDefault="006361E1" w:rsidP="006361E1">
      <w:pPr>
        <w:rPr>
          <w:rFonts w:cstheme="minorHAnsi"/>
          <w:szCs w:val="22"/>
          <w:lang w:eastAsia="en-AU"/>
        </w:rPr>
      </w:pPr>
      <w:r w:rsidRPr="008E3CFD">
        <w:t>This component will u</w:t>
      </w:r>
      <w:r>
        <w:t>se a 3D hydrodynamic</w:t>
      </w:r>
      <w:r>
        <w:rPr>
          <w:rFonts w:eastAsiaTheme="majorEastAsia"/>
        </w:rPr>
        <w:t>–</w:t>
      </w:r>
      <w:r w:rsidRPr="008E3CFD">
        <w:t xml:space="preserve">biogeochemical model </w:t>
      </w:r>
      <w:r>
        <w:t>to evaluate</w:t>
      </w:r>
      <w:r w:rsidRPr="008E3CFD">
        <w:t xml:space="preserve"> the response of concentrations and transport of dissolved and particulate matter</w:t>
      </w:r>
      <w:r>
        <w:t xml:space="preserve"> (salt, nutrients and organic matter) to environmental water provisions in the Lower Murray River, Lower Lakes and Coorong (see</w:t>
      </w:r>
      <w:r w:rsidR="00A264FC">
        <w:t xml:space="preserve"> Section</w:t>
      </w:r>
      <w:r>
        <w:t xml:space="preserve"> </w:t>
      </w:r>
      <w:r>
        <w:fldChar w:fldCharType="begin"/>
      </w:r>
      <w:r>
        <w:instrText xml:space="preserve"> REF _Ref401315316 \r \h </w:instrText>
      </w:r>
      <w:r>
        <w:fldChar w:fldCharType="separate"/>
      </w:r>
      <w:r w:rsidR="00DF49CD">
        <w:t>5.2.2</w:t>
      </w:r>
      <w:r>
        <w:fldChar w:fldCharType="end"/>
      </w:r>
      <w:r w:rsidR="00A264FC">
        <w:t xml:space="preserve"> in the MER Plan </w:t>
      </w:r>
      <w:r>
        <w:t>for more details)</w:t>
      </w:r>
      <w:r w:rsidRPr="008E3CFD">
        <w:t xml:space="preserve">. </w:t>
      </w:r>
      <w:r>
        <w:rPr>
          <w:u w:color="0B4CB4"/>
          <w:lang w:val="en-US"/>
        </w:rPr>
        <w:t xml:space="preserve">The model platform used was the coupled hydrodynamic-biogeochemical model TUFLOW-FV-AED, developed by BMTWBM and the University of Western Australia. </w:t>
      </w:r>
      <w:r>
        <w:t xml:space="preserve">TUFLOW-FV is now used extensively in the region for hydrological purposes. </w:t>
      </w:r>
      <w:r>
        <w:rPr>
          <w:lang w:val="en-US"/>
        </w:rPr>
        <w:t xml:space="preserve">A single model domain was applied spanning Lock 1 to the Southern Ocean, including the </w:t>
      </w:r>
      <w:r w:rsidRPr="00EA458F">
        <w:rPr>
          <w:lang w:val="en-US"/>
        </w:rPr>
        <w:t>Coorong</w:t>
      </w:r>
      <w:r>
        <w:t xml:space="preserve">. </w:t>
      </w:r>
      <w:r w:rsidRPr="008E3CFD">
        <w:t xml:space="preserve">Although outside of the </w:t>
      </w:r>
      <w:r w:rsidRPr="00C304CC">
        <w:t>Lower Murray</w:t>
      </w:r>
      <w:r w:rsidRPr="008E3CFD">
        <w:t xml:space="preserve"> Selected Area, incorporation of Coorong, Lower Lakes and Murray Mouth increases the capacity of the </w:t>
      </w:r>
      <w:r>
        <w:t>MER Project</w:t>
      </w:r>
      <w:r w:rsidRPr="008E3CFD">
        <w:t xml:space="preserve"> to demonstrate outcomes within other areas</w:t>
      </w:r>
      <w:r>
        <w:t xml:space="preserve"> and allows an assessment of exports to the Southern Ocean</w:t>
      </w:r>
      <w:r w:rsidRPr="008E3CFD">
        <w:t>.</w:t>
      </w:r>
      <w:r>
        <w:t xml:space="preserve"> No data will be collected through the MER program, but validation of the models will rely solely on complementary monitoring data. Water quality monitoring is likely to cease within the Lower Lakes and Coorong during 2015-16. This will limit the model validation and may mean that for some parameters model outputs will not be provided for the Lower Lakes and Coorong. </w:t>
      </w:r>
      <w:r w:rsidRPr="006768A6">
        <w:rPr>
          <w:rFonts w:cstheme="minorHAnsi"/>
          <w:szCs w:val="22"/>
        </w:rPr>
        <w:t xml:space="preserve">Refer to Section </w:t>
      </w:r>
      <w:r>
        <w:fldChar w:fldCharType="begin"/>
      </w:r>
      <w:r>
        <w:instrText xml:space="preserve"> REF _Ref399155460 \r \h  \* MERGEFORMAT </w:instrText>
      </w:r>
      <w:r>
        <w:fldChar w:fldCharType="separate"/>
      </w:r>
      <w:r w:rsidR="00DF49CD" w:rsidRPr="00DF49CD">
        <w:rPr>
          <w:rFonts w:cstheme="minorHAnsi"/>
          <w:szCs w:val="22"/>
        </w:rPr>
        <w:t>5.2.2</w:t>
      </w:r>
      <w:r>
        <w:fldChar w:fldCharType="end"/>
      </w:r>
      <w:r w:rsidR="00373051">
        <w:rPr>
          <w:rFonts w:cstheme="minorHAnsi"/>
          <w:szCs w:val="22"/>
          <w:lang w:eastAsia="en-AU"/>
        </w:rPr>
        <w:t xml:space="preserve"> </w:t>
      </w:r>
      <w:r w:rsidRPr="006768A6">
        <w:rPr>
          <w:rFonts w:cstheme="minorHAnsi"/>
          <w:szCs w:val="22"/>
          <w:lang w:eastAsia="en-AU"/>
        </w:rPr>
        <w:t xml:space="preserve">in the </w:t>
      </w:r>
      <w:r>
        <w:rPr>
          <w:rFonts w:cstheme="minorHAnsi"/>
          <w:szCs w:val="22"/>
          <w:lang w:eastAsia="en-AU"/>
        </w:rPr>
        <w:t>MER</w:t>
      </w:r>
      <w:r w:rsidRPr="006768A6">
        <w:rPr>
          <w:rFonts w:cstheme="minorHAnsi"/>
          <w:szCs w:val="22"/>
          <w:lang w:eastAsia="en-AU"/>
        </w:rPr>
        <w:t xml:space="preserve"> Plan for background information, objectives and hypotheses, outputs and staff involvement for</w:t>
      </w:r>
      <w:r>
        <w:rPr>
          <w:rFonts w:cstheme="minorHAnsi"/>
          <w:szCs w:val="22"/>
          <w:lang w:eastAsia="en-AU"/>
        </w:rPr>
        <w:t xml:space="preserve"> Matter transport</w:t>
      </w:r>
      <w:r w:rsidRPr="006768A6">
        <w:rPr>
          <w:rFonts w:cstheme="minorHAnsi"/>
          <w:szCs w:val="22"/>
          <w:lang w:eastAsia="en-AU"/>
        </w:rPr>
        <w:t>.</w:t>
      </w:r>
    </w:p>
    <w:p w14:paraId="63FF11AD" w14:textId="77777777" w:rsidR="006361E1" w:rsidRDefault="006361E1" w:rsidP="006361E1">
      <w:pPr>
        <w:rPr>
          <w:u w:color="0B4CB4"/>
          <w:lang w:val="en-US"/>
        </w:rPr>
      </w:pPr>
      <w:r w:rsidRPr="006D4361">
        <w:rPr>
          <w:rFonts w:eastAsia="Arial Unicode MS"/>
          <w:lang w:eastAsia="en-AU"/>
        </w:rPr>
        <w:t xml:space="preserve">The contribution of environmental water to the transport of salt, nutrients and phytoplankton </w:t>
      </w:r>
      <w:r>
        <w:rPr>
          <w:rFonts w:eastAsia="Arial Unicode MS"/>
          <w:lang w:eastAsia="en-AU"/>
        </w:rPr>
        <w:t>will be</w:t>
      </w:r>
      <w:r w:rsidRPr="006D4361">
        <w:rPr>
          <w:rFonts w:eastAsia="Arial Unicode MS"/>
          <w:lang w:eastAsia="en-AU"/>
        </w:rPr>
        <w:t xml:space="preserve"> assessed with a coupled hydrodynamic-biogeochemical model for the reach b</w:t>
      </w:r>
      <w:r>
        <w:rPr>
          <w:rFonts w:eastAsia="Arial Unicode MS"/>
          <w:lang w:eastAsia="en-AU"/>
        </w:rPr>
        <w:t>elow Lock 1 to the Murray Mouth</w:t>
      </w:r>
      <w:r w:rsidRPr="006D4361">
        <w:rPr>
          <w:rFonts w:eastAsia="Arial Unicode MS"/>
          <w:lang w:eastAsia="en-AU"/>
        </w:rPr>
        <w:t xml:space="preserve"> </w:t>
      </w:r>
      <w:r>
        <w:rPr>
          <w:u w:color="0B4CB4"/>
          <w:lang w:val="en-US"/>
        </w:rPr>
        <w:t>(TUFLOW-FV-AED). The model runs will be initialised with data from a range of data sources. Inflow data (Lock 1), used to drive the main river domain, will be provided by the MDBA for three scenarios</w:t>
      </w:r>
      <w:r w:rsidRPr="00EA458F">
        <w:rPr>
          <w:u w:color="0B4CB4"/>
          <w:lang w:val="en-US"/>
        </w:rPr>
        <w:t>:</w:t>
      </w:r>
      <w:r>
        <w:t xml:space="preserve"> (1) ‘</w:t>
      </w:r>
      <w:r w:rsidRPr="00A67C76">
        <w:t xml:space="preserve">with </w:t>
      </w:r>
      <w:r>
        <w:t xml:space="preserve">all </w:t>
      </w:r>
      <w:r w:rsidRPr="00A67C76">
        <w:t>water</w:t>
      </w:r>
      <w:r>
        <w:t>’ (i.e. observed, including all environmental and consumptive water)</w:t>
      </w:r>
      <w:r w:rsidRPr="00A67C76">
        <w:t>;</w:t>
      </w:r>
      <w:r>
        <w:t xml:space="preserve"> (2) </w:t>
      </w:r>
      <w:r w:rsidRPr="00A67C76">
        <w:t>with</w:t>
      </w:r>
      <w:r>
        <w:t>out C</w:t>
      </w:r>
      <w:r w:rsidRPr="00A67C76">
        <w:t>ommonwealth environmental water</w:t>
      </w:r>
      <w:r w:rsidRPr="00996267">
        <w:t xml:space="preserve"> </w:t>
      </w:r>
      <w:r>
        <w:t>(‘no CEW’)</w:t>
      </w:r>
      <w:r w:rsidRPr="00A67C76">
        <w:t xml:space="preserve">; </w:t>
      </w:r>
      <w:r>
        <w:t xml:space="preserve">and (3) </w:t>
      </w:r>
      <w:r w:rsidRPr="00A67C76">
        <w:t xml:space="preserve">without </w:t>
      </w:r>
      <w:r>
        <w:t xml:space="preserve">any environmental water (‘no eWater’). </w:t>
      </w:r>
      <w:r>
        <w:rPr>
          <w:u w:color="0B4CB4"/>
          <w:lang w:val="en-US"/>
        </w:rPr>
        <w:t xml:space="preserve">These simulations were run for the period between July in one year and June the following year. </w:t>
      </w:r>
    </w:p>
    <w:p w14:paraId="4B561674" w14:textId="77777777" w:rsidR="006361E1" w:rsidRDefault="006361E1" w:rsidP="006361E1">
      <w:r w:rsidRPr="001462BD">
        <w:t>The inf</w:t>
      </w:r>
      <w:r>
        <w:t>luence of environmental water</w:t>
      </w:r>
      <w:r w:rsidRPr="001462BD">
        <w:t xml:space="preserve"> on the concentrations of </w:t>
      </w:r>
      <w:r>
        <w:t>matter will be</w:t>
      </w:r>
      <w:r w:rsidRPr="001462BD">
        <w:t xml:space="preserve"> assessed through a comparison of modelled concentrations </w:t>
      </w:r>
      <w:r>
        <w:t xml:space="preserve">for the various scenarios </w:t>
      </w:r>
      <w:r w:rsidRPr="001462BD">
        <w:t xml:space="preserve">for the </w:t>
      </w:r>
      <w:r w:rsidRPr="00622496">
        <w:t xml:space="preserve">Murray </w:t>
      </w:r>
      <w:r w:rsidRPr="00C457C7">
        <w:t xml:space="preserve">River Channel (Wellington), Lower Lakes (Lake Alexandrina Middle) and Coorong (Murray Mouth). Modelled concentrations </w:t>
      </w:r>
      <w:r>
        <w:t>will be</w:t>
      </w:r>
      <w:r w:rsidRPr="00C457C7">
        <w:t xml:space="preserve"> presented as medians of modelled cells within areas surro</w:t>
      </w:r>
      <w:r>
        <w:t xml:space="preserve">unding sampling sites. </w:t>
      </w:r>
    </w:p>
    <w:p w14:paraId="40A83C9A" w14:textId="742B8E6E" w:rsidR="004F011F" w:rsidRDefault="006361E1" w:rsidP="006361E1">
      <w:r w:rsidRPr="001462BD">
        <w:t xml:space="preserve">The transport of </w:t>
      </w:r>
      <w:r>
        <w:t>matter</w:t>
      </w:r>
      <w:r w:rsidRPr="001462BD">
        <w:t xml:space="preserve"> </w:t>
      </w:r>
      <w:r>
        <w:t>will be</w:t>
      </w:r>
      <w:r w:rsidRPr="001462BD">
        <w:t xml:space="preserve"> assessed through modelled exports from the </w:t>
      </w:r>
      <w:r w:rsidRPr="00622496">
        <w:t>Murray River Channel</w:t>
      </w:r>
      <w:r w:rsidRPr="003F53C1">
        <w:t xml:space="preserve"> </w:t>
      </w:r>
      <w:r w:rsidRPr="001462BD">
        <w:t xml:space="preserve">(Wellington), Lower Lakes (Barrages) and </w:t>
      </w:r>
      <w:r>
        <w:t>Coorong (</w:t>
      </w:r>
      <w:r w:rsidRPr="001462BD">
        <w:t>Murray Mouth</w:t>
      </w:r>
      <w:r>
        <w:t>)</w:t>
      </w:r>
      <w:r w:rsidRPr="001462BD">
        <w:t xml:space="preserve"> for salinity, ammonium, phosphate, dissolved silica, organic nitrogen, organic phosphorus</w:t>
      </w:r>
      <w:r>
        <w:t xml:space="preserve"> and</w:t>
      </w:r>
      <w:r w:rsidRPr="001462BD">
        <w:t xml:space="preserve"> chlorophyll </w:t>
      </w:r>
      <w:r w:rsidRPr="001462BD">
        <w:rPr>
          <w:i/>
        </w:rPr>
        <w:t>a</w:t>
      </w:r>
      <w:r w:rsidRPr="001462BD">
        <w:t xml:space="preserve">. </w:t>
      </w:r>
    </w:p>
    <w:p w14:paraId="4603FCE2" w14:textId="77777777" w:rsidR="004F011F" w:rsidRDefault="004F011F">
      <w:pPr>
        <w:spacing w:after="200" w:line="276" w:lineRule="auto"/>
        <w:jc w:val="left"/>
      </w:pPr>
      <w:r>
        <w:br w:type="page"/>
      </w:r>
    </w:p>
    <w:p w14:paraId="1129BF55" w14:textId="77777777" w:rsidR="006361E1" w:rsidRDefault="006361E1" w:rsidP="006361E1">
      <w:pPr>
        <w:jc w:val="center"/>
      </w:pPr>
      <w:r>
        <w:rPr>
          <w:noProof/>
          <w:lang w:eastAsia="en-AU"/>
        </w:rPr>
        <w:lastRenderedPageBreak/>
        <w:drawing>
          <wp:inline distT="0" distB="0" distL="0" distR="0" wp14:anchorId="5F5C2A48" wp14:editId="6DCEE4CB">
            <wp:extent cx="4462272" cy="3383280"/>
            <wp:effectExtent l="0" t="0" r="0" b="762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e 16.jpg"/>
                    <pic:cNvPicPr/>
                  </pic:nvPicPr>
                  <pic:blipFill>
                    <a:blip r:embed="rId46">
                      <a:extLst>
                        <a:ext uri="{28A0092B-C50C-407E-A947-70E740481C1C}">
                          <a14:useLocalDpi xmlns:a14="http://schemas.microsoft.com/office/drawing/2010/main"/>
                        </a:ext>
                      </a:extLst>
                    </a:blip>
                    <a:stretch>
                      <a:fillRect/>
                    </a:stretch>
                  </pic:blipFill>
                  <pic:spPr>
                    <a:xfrm>
                      <a:off x="0" y="0"/>
                      <a:ext cx="4462272" cy="3383280"/>
                    </a:xfrm>
                    <a:prstGeom prst="rect">
                      <a:avLst/>
                    </a:prstGeom>
                  </pic:spPr>
                </pic:pic>
              </a:graphicData>
            </a:graphic>
          </wp:inline>
        </w:drawing>
      </w:r>
    </w:p>
    <w:p w14:paraId="099DDC20" w14:textId="741E69D2" w:rsidR="006361E1" w:rsidRDefault="00BC7FDF" w:rsidP="006361E1">
      <w:pPr>
        <w:pStyle w:val="Captions"/>
      </w:pPr>
      <w:bookmarkStart w:id="1458" w:name="_Ref532815398"/>
      <w:bookmarkStart w:id="1459" w:name="_Toc883073"/>
      <w:r>
        <w:t>Figure B.</w:t>
      </w:r>
      <w:r>
        <w:rPr>
          <w:noProof/>
        </w:rPr>
        <w:fldChar w:fldCharType="begin"/>
      </w:r>
      <w:r>
        <w:rPr>
          <w:noProof/>
        </w:rPr>
        <w:instrText xml:space="preserve"> SEQ Figure_B. \* ARABIC </w:instrText>
      </w:r>
      <w:r>
        <w:rPr>
          <w:noProof/>
        </w:rPr>
        <w:fldChar w:fldCharType="separate"/>
      </w:r>
      <w:r w:rsidR="00DF49CD">
        <w:rPr>
          <w:noProof/>
        </w:rPr>
        <w:t>8</w:t>
      </w:r>
      <w:r>
        <w:rPr>
          <w:noProof/>
        </w:rPr>
        <w:fldChar w:fldCharType="end"/>
      </w:r>
      <w:r>
        <w:t xml:space="preserve">. </w:t>
      </w:r>
      <w:r w:rsidR="006361E1">
        <w:t>Modelled cells (circled) used for calculating the modelled concentration of nutrients or salt at the Wellington, Lake Alexandrina Middle and Murray Mouth sites.</w:t>
      </w:r>
      <w:bookmarkEnd w:id="1458"/>
      <w:bookmarkEnd w:id="1459"/>
    </w:p>
    <w:p w14:paraId="08126C9A" w14:textId="77777777" w:rsidR="006361E1" w:rsidRDefault="006361E1" w:rsidP="006361E1">
      <w:pPr>
        <w:pStyle w:val="Heading3"/>
      </w:pPr>
      <w:bookmarkStart w:id="1460" w:name="_Toc396825330"/>
      <w:bookmarkStart w:id="1461" w:name="_Toc6403893"/>
      <w:bookmarkStart w:id="1462" w:name="_Toc10095259"/>
      <w:bookmarkStart w:id="1463" w:name="_Toc10192428"/>
      <w:bookmarkStart w:id="1464" w:name="_Toc10206743"/>
      <w:bookmarkStart w:id="1465" w:name="_Toc10213329"/>
      <w:bookmarkStart w:id="1466" w:name="_Toc10732353"/>
      <w:bookmarkStart w:id="1467" w:name="_Toc10796912"/>
      <w:bookmarkStart w:id="1468" w:name="_Toc12022797"/>
      <w:bookmarkStart w:id="1469" w:name="_Toc12630627"/>
      <w:bookmarkStart w:id="1470" w:name="_Toc16154487"/>
      <w:bookmarkStart w:id="1471" w:name="_Toc22196849"/>
      <w:r w:rsidRPr="00525AE9">
        <w:t>Complementary monitoring and data</w:t>
      </w:r>
      <w:bookmarkEnd w:id="1460"/>
      <w:bookmarkEnd w:id="1461"/>
      <w:bookmarkEnd w:id="1462"/>
      <w:bookmarkEnd w:id="1463"/>
      <w:bookmarkEnd w:id="1464"/>
      <w:bookmarkEnd w:id="1465"/>
      <w:bookmarkEnd w:id="1466"/>
      <w:bookmarkEnd w:id="1467"/>
      <w:bookmarkEnd w:id="1468"/>
      <w:bookmarkEnd w:id="1469"/>
      <w:bookmarkEnd w:id="1470"/>
      <w:bookmarkEnd w:id="1471"/>
    </w:p>
    <w:p w14:paraId="6DAD150B" w14:textId="1992AD19" w:rsidR="00875DA8" w:rsidRPr="008E3CFD" w:rsidRDefault="00E01895" w:rsidP="006361E1">
      <w:r w:rsidRPr="00875DA8">
        <w:t xml:space="preserve">Essential information such discharge, </w:t>
      </w:r>
      <w:r w:rsidR="00743785">
        <w:t>water level and salinity data are</w:t>
      </w:r>
      <w:r w:rsidRPr="00875DA8">
        <w:t xml:space="preserve"> freely available through DEW’s open data policy. </w:t>
      </w:r>
      <w:r w:rsidR="00743785">
        <w:t>Additional</w:t>
      </w:r>
      <w:r w:rsidR="00743785" w:rsidRPr="008E3CFD">
        <w:t xml:space="preserve"> climatic and hydrological input data will be sourced from the Bureau of Meteorology (climate), MDBA (inflow) and Flinders Ports (Southern Ocean water </w:t>
      </w:r>
      <w:r w:rsidR="00743785">
        <w:t>level). Further</w:t>
      </w:r>
      <w:r>
        <w:t xml:space="preserve"> v</w:t>
      </w:r>
      <w:r w:rsidR="006361E1" w:rsidRPr="008E3CFD">
        <w:t xml:space="preserve">alidation data </w:t>
      </w:r>
      <w:r w:rsidR="006361E1" w:rsidRPr="009F591A">
        <w:t xml:space="preserve">for the Coorong, Lower Lakes and Murray River </w:t>
      </w:r>
      <w:r w:rsidR="006361E1" w:rsidRPr="008E3CFD">
        <w:t xml:space="preserve">will </w:t>
      </w:r>
      <w:r w:rsidR="006361E1">
        <w:t>be sought from</w:t>
      </w:r>
      <w:r w:rsidR="00875DA8">
        <w:t xml:space="preserve"> relevant</w:t>
      </w:r>
      <w:r w:rsidR="006361E1" w:rsidRPr="008E3CFD">
        <w:t xml:space="preserve"> </w:t>
      </w:r>
      <w:r w:rsidR="00875DA8">
        <w:t xml:space="preserve">State </w:t>
      </w:r>
      <w:r>
        <w:t>organisations (EPA, DEW and SA Water), s</w:t>
      </w:r>
      <w:r w:rsidR="00875DA8" w:rsidRPr="00875DA8">
        <w:t xml:space="preserve">uch as other water quality parameters or ecological monitoring </w:t>
      </w:r>
      <w:r>
        <w:t>data. Permission to use these data</w:t>
      </w:r>
      <w:r w:rsidRPr="008E3CFD">
        <w:t xml:space="preserve"> will be </w:t>
      </w:r>
      <w:r>
        <w:t>sought from</w:t>
      </w:r>
      <w:r w:rsidRPr="008E3CFD">
        <w:t xml:space="preserve"> the</w:t>
      </w:r>
      <w:r>
        <w:t>se organisations prior to use</w:t>
      </w:r>
      <w:r w:rsidRPr="008E3CFD">
        <w:t xml:space="preserve">. </w:t>
      </w:r>
      <w:r>
        <w:t xml:space="preserve">These information </w:t>
      </w:r>
      <w:r w:rsidR="00875DA8" w:rsidRPr="00875DA8">
        <w:t xml:space="preserve">are useful but not essential; as models are well established and previously validated.  </w:t>
      </w:r>
    </w:p>
    <w:p w14:paraId="4D431C1A" w14:textId="77777777" w:rsidR="006361E1" w:rsidRPr="00525AE9" w:rsidRDefault="006361E1" w:rsidP="006361E1">
      <w:pPr>
        <w:pStyle w:val="Heading3"/>
      </w:pPr>
      <w:bookmarkStart w:id="1472" w:name="_Toc396825331"/>
      <w:bookmarkStart w:id="1473" w:name="_Toc6403894"/>
      <w:bookmarkStart w:id="1474" w:name="_Toc10095260"/>
      <w:bookmarkStart w:id="1475" w:name="_Toc10192429"/>
      <w:bookmarkStart w:id="1476" w:name="_Toc10206744"/>
      <w:bookmarkStart w:id="1477" w:name="_Toc10213330"/>
      <w:bookmarkStart w:id="1478" w:name="_Toc10732354"/>
      <w:bookmarkStart w:id="1479" w:name="_Toc10796913"/>
      <w:bookmarkStart w:id="1480" w:name="_Toc12022798"/>
      <w:bookmarkStart w:id="1481" w:name="_Toc12630628"/>
      <w:bookmarkStart w:id="1482" w:name="_Toc16154488"/>
      <w:bookmarkStart w:id="1483" w:name="_Toc22196850"/>
      <w:r w:rsidRPr="00525AE9">
        <w:t xml:space="preserve">Monitoring </w:t>
      </w:r>
      <w:r>
        <w:t xml:space="preserve">sites </w:t>
      </w:r>
      <w:r w:rsidRPr="00525AE9">
        <w:t>and timing</w:t>
      </w:r>
      <w:bookmarkEnd w:id="1472"/>
      <w:bookmarkEnd w:id="1473"/>
      <w:bookmarkEnd w:id="1474"/>
      <w:bookmarkEnd w:id="1475"/>
      <w:bookmarkEnd w:id="1476"/>
      <w:bookmarkEnd w:id="1477"/>
      <w:bookmarkEnd w:id="1478"/>
      <w:bookmarkEnd w:id="1479"/>
      <w:bookmarkEnd w:id="1480"/>
      <w:bookmarkEnd w:id="1481"/>
      <w:bookmarkEnd w:id="1482"/>
      <w:bookmarkEnd w:id="1483"/>
    </w:p>
    <w:p w14:paraId="2299E72A" w14:textId="77777777" w:rsidR="006361E1" w:rsidRDefault="006361E1" w:rsidP="006361E1">
      <w:pPr>
        <w:pStyle w:val="Heading4"/>
      </w:pPr>
      <w:bookmarkStart w:id="1484" w:name="_Toc6403895"/>
      <w:r>
        <w:t>Sites</w:t>
      </w:r>
      <w:bookmarkEnd w:id="1484"/>
    </w:p>
    <w:p w14:paraId="0546084F" w14:textId="0CC8B727" w:rsidR="006361E1" w:rsidRPr="00875DA8" w:rsidRDefault="006361E1" w:rsidP="006361E1">
      <w:pPr>
        <w:pStyle w:val="TableCaption"/>
        <w:rPr>
          <w:b w:val="0"/>
          <w:sz w:val="22"/>
          <w:szCs w:val="22"/>
        </w:rPr>
      </w:pPr>
      <w:r>
        <w:rPr>
          <w:b w:val="0"/>
          <w:sz w:val="22"/>
          <w:szCs w:val="22"/>
        </w:rPr>
        <w:t xml:space="preserve">The modelling of matter transport will conducted for the area between Lock 1 and the Southern Ocean in the </w:t>
      </w:r>
      <w:r w:rsidRPr="00841D07">
        <w:rPr>
          <w:b w:val="0"/>
          <w:i/>
          <w:sz w:val="22"/>
          <w:szCs w:val="22"/>
        </w:rPr>
        <w:t>Gorge</w:t>
      </w:r>
      <w:r>
        <w:rPr>
          <w:b w:val="0"/>
          <w:sz w:val="22"/>
          <w:szCs w:val="22"/>
        </w:rPr>
        <w:t xml:space="preserve"> zone of the Lower Murray River and the Lower Lakes and Coorong.  </w:t>
      </w:r>
      <w:r w:rsidRPr="00496501">
        <w:rPr>
          <w:b w:val="0"/>
          <w:sz w:val="22"/>
          <w:szCs w:val="22"/>
        </w:rPr>
        <w:t xml:space="preserve">As all monitoring data </w:t>
      </w:r>
      <w:r w:rsidR="00875DA8">
        <w:rPr>
          <w:b w:val="0"/>
          <w:sz w:val="22"/>
          <w:szCs w:val="22"/>
        </w:rPr>
        <w:t xml:space="preserve">for validation </w:t>
      </w:r>
      <w:r w:rsidRPr="00496501">
        <w:rPr>
          <w:b w:val="0"/>
          <w:sz w:val="22"/>
          <w:szCs w:val="22"/>
        </w:rPr>
        <w:t xml:space="preserve">will be collected by complementary monitoring programs and the exact </w:t>
      </w:r>
      <w:r>
        <w:rPr>
          <w:b w:val="0"/>
          <w:sz w:val="22"/>
          <w:szCs w:val="22"/>
        </w:rPr>
        <w:t xml:space="preserve">sites </w:t>
      </w:r>
      <w:r w:rsidRPr="00496501">
        <w:rPr>
          <w:b w:val="0"/>
          <w:sz w:val="22"/>
          <w:szCs w:val="22"/>
        </w:rPr>
        <w:t>of these monitoring programs have not been finalised</w:t>
      </w:r>
      <w:r>
        <w:rPr>
          <w:b w:val="0"/>
          <w:sz w:val="22"/>
          <w:szCs w:val="22"/>
        </w:rPr>
        <w:t>,</w:t>
      </w:r>
      <w:r w:rsidRPr="00496501">
        <w:rPr>
          <w:b w:val="0"/>
          <w:sz w:val="22"/>
          <w:szCs w:val="22"/>
        </w:rPr>
        <w:t xml:space="preserve"> it is impossible to provide final locations of sampling sites. </w:t>
      </w:r>
      <w:r>
        <w:rPr>
          <w:b w:val="0"/>
          <w:sz w:val="22"/>
          <w:szCs w:val="22"/>
        </w:rPr>
        <w:t xml:space="preserve">However, a list of </w:t>
      </w:r>
      <w:r w:rsidRPr="00875DA8">
        <w:rPr>
          <w:b w:val="0"/>
          <w:sz w:val="22"/>
          <w:szCs w:val="22"/>
        </w:rPr>
        <w:t>likely sites is provided below (Table B.</w:t>
      </w:r>
      <w:r w:rsidR="008818C4" w:rsidRPr="00875DA8">
        <w:rPr>
          <w:b w:val="0"/>
          <w:sz w:val="22"/>
          <w:szCs w:val="22"/>
        </w:rPr>
        <w:t>6</w:t>
      </w:r>
      <w:r w:rsidRPr="00875DA8">
        <w:rPr>
          <w:b w:val="0"/>
          <w:sz w:val="22"/>
          <w:szCs w:val="22"/>
        </w:rPr>
        <w:t xml:space="preserve">), based on sampling sites used in previous years. Water quality monitoring </w:t>
      </w:r>
      <w:r w:rsidR="000A028D" w:rsidRPr="00875DA8">
        <w:rPr>
          <w:b w:val="0"/>
          <w:sz w:val="22"/>
          <w:szCs w:val="22"/>
        </w:rPr>
        <w:t xml:space="preserve">of nutrients </w:t>
      </w:r>
      <w:r w:rsidRPr="00875DA8">
        <w:rPr>
          <w:b w:val="0"/>
          <w:sz w:val="22"/>
          <w:szCs w:val="22"/>
        </w:rPr>
        <w:t>cease</w:t>
      </w:r>
      <w:r w:rsidR="000A028D" w:rsidRPr="00875DA8">
        <w:rPr>
          <w:b w:val="0"/>
          <w:sz w:val="22"/>
          <w:szCs w:val="22"/>
        </w:rPr>
        <w:t>d</w:t>
      </w:r>
      <w:r w:rsidRPr="00875DA8">
        <w:rPr>
          <w:b w:val="0"/>
          <w:sz w:val="22"/>
          <w:szCs w:val="22"/>
        </w:rPr>
        <w:t xml:space="preserve"> within the Lower Lakes and Coorong during 2015-16.</w:t>
      </w:r>
    </w:p>
    <w:p w14:paraId="496BC9B7" w14:textId="77777777" w:rsidR="004F011F" w:rsidRDefault="004F011F">
      <w:pPr>
        <w:spacing w:after="200" w:line="276" w:lineRule="auto"/>
        <w:jc w:val="left"/>
        <w:rPr>
          <w:b/>
          <w:bCs/>
          <w:color w:val="auto"/>
          <w:sz w:val="20"/>
          <w:szCs w:val="18"/>
        </w:rPr>
      </w:pPr>
      <w:bookmarkStart w:id="1485" w:name="_Ref397515454"/>
      <w:r>
        <w:br w:type="page"/>
      </w:r>
    </w:p>
    <w:p w14:paraId="6AB96E34" w14:textId="6FA88D1B" w:rsidR="006361E1" w:rsidRPr="00C2634B" w:rsidRDefault="006361E1" w:rsidP="006361E1">
      <w:pPr>
        <w:pStyle w:val="Caption"/>
      </w:pPr>
      <w:r w:rsidRPr="00875DA8">
        <w:lastRenderedPageBreak/>
        <w:t>Table B.</w:t>
      </w:r>
      <w:r w:rsidRPr="00875DA8">
        <w:rPr>
          <w:noProof/>
        </w:rPr>
        <w:fldChar w:fldCharType="begin"/>
      </w:r>
      <w:r w:rsidRPr="00875DA8">
        <w:rPr>
          <w:noProof/>
        </w:rPr>
        <w:instrText xml:space="preserve"> SEQ Table_B. \* ARABIC </w:instrText>
      </w:r>
      <w:r w:rsidRPr="00875DA8">
        <w:rPr>
          <w:noProof/>
        </w:rPr>
        <w:fldChar w:fldCharType="separate"/>
      </w:r>
      <w:r w:rsidR="00DF49CD">
        <w:rPr>
          <w:noProof/>
        </w:rPr>
        <w:t>6</w:t>
      </w:r>
      <w:r w:rsidRPr="00875DA8">
        <w:rPr>
          <w:noProof/>
        </w:rPr>
        <w:fldChar w:fldCharType="end"/>
      </w:r>
      <w:bookmarkEnd w:id="1485"/>
      <w:r w:rsidRPr="00875DA8">
        <w:t xml:space="preserve">. Possible sites </w:t>
      </w:r>
      <w:r w:rsidR="000A028D" w:rsidRPr="00875DA8">
        <w:t xml:space="preserve">where data is available for </w:t>
      </w:r>
      <w:r w:rsidRPr="00875DA8">
        <w:t>model validation. Exact sites will depend on data availability.</w:t>
      </w:r>
      <w:r w:rsidRPr="00C2634B">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2905"/>
        <w:gridCol w:w="1539"/>
        <w:gridCol w:w="1539"/>
        <w:gridCol w:w="1539"/>
      </w:tblGrid>
      <w:tr w:rsidR="006361E1" w:rsidRPr="008E3CFD" w14:paraId="76C8F673" w14:textId="77777777" w:rsidTr="00E863E9">
        <w:trPr>
          <w:trHeight w:val="300"/>
          <w:tblHeader/>
        </w:trPr>
        <w:tc>
          <w:tcPr>
            <w:tcW w:w="826" w:type="pct"/>
            <w:shd w:val="clear" w:color="auto" w:fill="BFBFBF" w:themeFill="background1" w:themeFillShade="BF"/>
          </w:tcPr>
          <w:p w14:paraId="66C5A0DF" w14:textId="77777777" w:rsidR="006361E1" w:rsidRPr="008E3CFD" w:rsidRDefault="006361E1" w:rsidP="00E863E9">
            <w:pPr>
              <w:pStyle w:val="TableHeading"/>
            </w:pPr>
            <w:r>
              <w:t>Water</w:t>
            </w:r>
            <w:r w:rsidRPr="008E3CFD">
              <w:t>body</w:t>
            </w:r>
          </w:p>
        </w:tc>
        <w:tc>
          <w:tcPr>
            <w:tcW w:w="1612" w:type="pct"/>
            <w:shd w:val="clear" w:color="auto" w:fill="BFBFBF" w:themeFill="background1" w:themeFillShade="BF"/>
          </w:tcPr>
          <w:p w14:paraId="46B97F00" w14:textId="77777777" w:rsidR="006361E1" w:rsidRPr="008E3CFD" w:rsidRDefault="006361E1" w:rsidP="00E863E9">
            <w:pPr>
              <w:pStyle w:val="TableHeading"/>
            </w:pPr>
            <w:r w:rsidRPr="008E3CFD">
              <w:t>Site name</w:t>
            </w:r>
          </w:p>
        </w:tc>
        <w:tc>
          <w:tcPr>
            <w:tcW w:w="854" w:type="pct"/>
            <w:shd w:val="clear" w:color="auto" w:fill="BFBFBF" w:themeFill="background1" w:themeFillShade="BF"/>
            <w:noWrap/>
            <w:hideMark/>
          </w:tcPr>
          <w:p w14:paraId="554A03BB" w14:textId="77777777" w:rsidR="006361E1" w:rsidRPr="008E3CFD" w:rsidRDefault="006361E1" w:rsidP="00E863E9">
            <w:pPr>
              <w:pStyle w:val="TableHeading"/>
            </w:pPr>
            <w:r w:rsidRPr="008E3CFD">
              <w:t>X</w:t>
            </w:r>
          </w:p>
        </w:tc>
        <w:tc>
          <w:tcPr>
            <w:tcW w:w="854" w:type="pct"/>
            <w:shd w:val="clear" w:color="auto" w:fill="BFBFBF" w:themeFill="background1" w:themeFillShade="BF"/>
            <w:noWrap/>
            <w:hideMark/>
          </w:tcPr>
          <w:p w14:paraId="137E09E2" w14:textId="77777777" w:rsidR="006361E1" w:rsidRPr="008E3CFD" w:rsidRDefault="006361E1" w:rsidP="00E863E9">
            <w:pPr>
              <w:pStyle w:val="TableHeading"/>
            </w:pPr>
            <w:r w:rsidRPr="008E3CFD">
              <w:t>Y</w:t>
            </w:r>
          </w:p>
        </w:tc>
        <w:tc>
          <w:tcPr>
            <w:tcW w:w="854" w:type="pct"/>
            <w:shd w:val="clear" w:color="auto" w:fill="BFBFBF" w:themeFill="background1" w:themeFillShade="BF"/>
            <w:noWrap/>
            <w:hideMark/>
          </w:tcPr>
          <w:p w14:paraId="654DDA9F" w14:textId="77777777" w:rsidR="006361E1" w:rsidRPr="008E3CFD" w:rsidRDefault="006361E1" w:rsidP="00E863E9">
            <w:pPr>
              <w:pStyle w:val="TableHeading"/>
            </w:pPr>
            <w:r w:rsidRPr="008E3CFD">
              <w:t>Zone</w:t>
            </w:r>
          </w:p>
        </w:tc>
      </w:tr>
      <w:tr w:rsidR="006361E1" w:rsidRPr="008E3CFD" w14:paraId="0879C4C4" w14:textId="77777777" w:rsidTr="00E863E9">
        <w:trPr>
          <w:trHeight w:val="300"/>
        </w:trPr>
        <w:tc>
          <w:tcPr>
            <w:tcW w:w="826" w:type="pct"/>
            <w:vMerge w:val="restart"/>
          </w:tcPr>
          <w:p w14:paraId="16A3A12D" w14:textId="29956657" w:rsidR="006361E1" w:rsidRPr="008E3CFD" w:rsidRDefault="006361E1" w:rsidP="00E863E9">
            <w:pPr>
              <w:pStyle w:val="TableText"/>
            </w:pPr>
            <w:r w:rsidRPr="00C304CC">
              <w:t>Lower Murray</w:t>
            </w:r>
            <w:r>
              <w:t xml:space="preserve"> Selected Area</w:t>
            </w:r>
          </w:p>
        </w:tc>
        <w:tc>
          <w:tcPr>
            <w:tcW w:w="1612" w:type="pct"/>
          </w:tcPr>
          <w:p w14:paraId="1E6AF784" w14:textId="77777777" w:rsidR="006361E1" w:rsidRPr="008E3CFD" w:rsidRDefault="006361E1" w:rsidP="00E863E9">
            <w:pPr>
              <w:pStyle w:val="TableText"/>
            </w:pPr>
            <w:r w:rsidRPr="008E3CFD">
              <w:t>Blanchetown (Lock 1)</w:t>
            </w:r>
          </w:p>
        </w:tc>
        <w:tc>
          <w:tcPr>
            <w:tcW w:w="854" w:type="pct"/>
            <w:noWrap/>
            <w:hideMark/>
          </w:tcPr>
          <w:p w14:paraId="08A65753" w14:textId="77777777" w:rsidR="006361E1" w:rsidRPr="008E3CFD" w:rsidRDefault="006361E1" w:rsidP="00E863E9">
            <w:pPr>
              <w:pStyle w:val="TableText"/>
            </w:pPr>
            <w:r w:rsidRPr="008E3CFD">
              <w:t>373768.9</w:t>
            </w:r>
          </w:p>
        </w:tc>
        <w:tc>
          <w:tcPr>
            <w:tcW w:w="854" w:type="pct"/>
            <w:noWrap/>
            <w:hideMark/>
          </w:tcPr>
          <w:p w14:paraId="7070D2DB" w14:textId="77777777" w:rsidR="006361E1" w:rsidRPr="008E3CFD" w:rsidRDefault="006361E1" w:rsidP="00E863E9">
            <w:pPr>
              <w:pStyle w:val="TableText"/>
            </w:pPr>
            <w:r w:rsidRPr="008E3CFD">
              <w:t>6195837</w:t>
            </w:r>
          </w:p>
        </w:tc>
        <w:tc>
          <w:tcPr>
            <w:tcW w:w="854" w:type="pct"/>
            <w:noWrap/>
            <w:hideMark/>
          </w:tcPr>
          <w:p w14:paraId="3356153E" w14:textId="77777777" w:rsidR="006361E1" w:rsidRPr="008E3CFD" w:rsidRDefault="006361E1" w:rsidP="00E863E9">
            <w:pPr>
              <w:pStyle w:val="TableText"/>
            </w:pPr>
            <w:r w:rsidRPr="008E3CFD">
              <w:t>UTM 54S</w:t>
            </w:r>
          </w:p>
        </w:tc>
      </w:tr>
      <w:tr w:rsidR="006361E1" w:rsidRPr="008E3CFD" w14:paraId="3CBDDD18" w14:textId="77777777" w:rsidTr="00E863E9">
        <w:trPr>
          <w:trHeight w:val="300"/>
        </w:trPr>
        <w:tc>
          <w:tcPr>
            <w:tcW w:w="826" w:type="pct"/>
            <w:vMerge/>
          </w:tcPr>
          <w:p w14:paraId="427E537E" w14:textId="77777777" w:rsidR="006361E1" w:rsidRPr="008E3CFD" w:rsidRDefault="006361E1" w:rsidP="00E863E9">
            <w:pPr>
              <w:pStyle w:val="TableText"/>
            </w:pPr>
          </w:p>
        </w:tc>
        <w:tc>
          <w:tcPr>
            <w:tcW w:w="1612" w:type="pct"/>
          </w:tcPr>
          <w:p w14:paraId="0355DCC6" w14:textId="77777777" w:rsidR="006361E1" w:rsidRPr="008E3CFD" w:rsidRDefault="006361E1" w:rsidP="00E863E9">
            <w:pPr>
              <w:pStyle w:val="TableText"/>
            </w:pPr>
            <w:r w:rsidRPr="008E3CFD">
              <w:t>Wellington</w:t>
            </w:r>
          </w:p>
        </w:tc>
        <w:tc>
          <w:tcPr>
            <w:tcW w:w="854" w:type="pct"/>
            <w:noWrap/>
          </w:tcPr>
          <w:p w14:paraId="10033CCC" w14:textId="77777777" w:rsidR="006361E1" w:rsidRPr="008E3CFD" w:rsidRDefault="006361E1" w:rsidP="00E863E9">
            <w:pPr>
              <w:pStyle w:val="TableText"/>
            </w:pPr>
            <w:r w:rsidRPr="008E3CFD">
              <w:t>353152.5</w:t>
            </w:r>
          </w:p>
        </w:tc>
        <w:tc>
          <w:tcPr>
            <w:tcW w:w="854" w:type="pct"/>
            <w:noWrap/>
          </w:tcPr>
          <w:p w14:paraId="67401FAB" w14:textId="77777777" w:rsidR="006361E1" w:rsidRPr="008E3CFD" w:rsidRDefault="006361E1" w:rsidP="00E863E9">
            <w:pPr>
              <w:pStyle w:val="TableText"/>
            </w:pPr>
            <w:r w:rsidRPr="008E3CFD">
              <w:t>6086654</w:t>
            </w:r>
          </w:p>
        </w:tc>
        <w:tc>
          <w:tcPr>
            <w:tcW w:w="854" w:type="pct"/>
            <w:noWrap/>
            <w:hideMark/>
          </w:tcPr>
          <w:p w14:paraId="220BE0DA" w14:textId="77777777" w:rsidR="006361E1" w:rsidRPr="008E3CFD" w:rsidRDefault="006361E1" w:rsidP="00E863E9">
            <w:pPr>
              <w:pStyle w:val="TableText"/>
            </w:pPr>
            <w:r w:rsidRPr="008E3CFD">
              <w:t>UTM 54S</w:t>
            </w:r>
          </w:p>
        </w:tc>
      </w:tr>
      <w:tr w:rsidR="006361E1" w:rsidRPr="008E3CFD" w14:paraId="178B25C1" w14:textId="77777777" w:rsidTr="00E863E9">
        <w:trPr>
          <w:trHeight w:val="300"/>
        </w:trPr>
        <w:tc>
          <w:tcPr>
            <w:tcW w:w="826" w:type="pct"/>
            <w:vMerge w:val="restart"/>
          </w:tcPr>
          <w:p w14:paraId="5AD7A9A6" w14:textId="77777777" w:rsidR="006361E1" w:rsidRPr="008E3CFD" w:rsidRDefault="006361E1" w:rsidP="00E863E9">
            <w:pPr>
              <w:pStyle w:val="TableText"/>
            </w:pPr>
            <w:r w:rsidRPr="008E3CFD">
              <w:t>Lower Lakes</w:t>
            </w:r>
          </w:p>
        </w:tc>
        <w:tc>
          <w:tcPr>
            <w:tcW w:w="1612" w:type="pct"/>
          </w:tcPr>
          <w:p w14:paraId="1E942D88" w14:textId="77777777" w:rsidR="006361E1" w:rsidRPr="008E3CFD" w:rsidRDefault="006361E1" w:rsidP="00E863E9">
            <w:pPr>
              <w:pStyle w:val="TableText"/>
            </w:pPr>
            <w:r w:rsidRPr="008E3CFD">
              <w:t>Lake Albert Middle</w:t>
            </w:r>
          </w:p>
        </w:tc>
        <w:tc>
          <w:tcPr>
            <w:tcW w:w="854" w:type="pct"/>
            <w:noWrap/>
            <w:hideMark/>
          </w:tcPr>
          <w:p w14:paraId="35A38749" w14:textId="77777777" w:rsidR="006361E1" w:rsidRPr="008E3CFD" w:rsidRDefault="006361E1" w:rsidP="00E863E9">
            <w:pPr>
              <w:pStyle w:val="TableText"/>
            </w:pPr>
            <w:r w:rsidRPr="008E3CFD">
              <w:t>346724.2</w:t>
            </w:r>
          </w:p>
        </w:tc>
        <w:tc>
          <w:tcPr>
            <w:tcW w:w="854" w:type="pct"/>
            <w:noWrap/>
            <w:hideMark/>
          </w:tcPr>
          <w:p w14:paraId="5D89BCEE" w14:textId="77777777" w:rsidR="006361E1" w:rsidRPr="008E3CFD" w:rsidRDefault="006361E1" w:rsidP="00E863E9">
            <w:pPr>
              <w:pStyle w:val="TableText"/>
            </w:pPr>
            <w:r w:rsidRPr="008E3CFD">
              <w:t>6056213</w:t>
            </w:r>
          </w:p>
        </w:tc>
        <w:tc>
          <w:tcPr>
            <w:tcW w:w="854" w:type="pct"/>
            <w:noWrap/>
            <w:hideMark/>
          </w:tcPr>
          <w:p w14:paraId="0821E642" w14:textId="77777777" w:rsidR="006361E1" w:rsidRPr="008E3CFD" w:rsidRDefault="006361E1" w:rsidP="00E863E9">
            <w:pPr>
              <w:pStyle w:val="TableText"/>
            </w:pPr>
            <w:r w:rsidRPr="008E3CFD">
              <w:t>UTM 54S</w:t>
            </w:r>
          </w:p>
        </w:tc>
      </w:tr>
      <w:tr w:rsidR="006361E1" w:rsidRPr="008E3CFD" w14:paraId="586EF131" w14:textId="77777777" w:rsidTr="00E863E9">
        <w:trPr>
          <w:trHeight w:val="300"/>
        </w:trPr>
        <w:tc>
          <w:tcPr>
            <w:tcW w:w="826" w:type="pct"/>
            <w:vMerge/>
          </w:tcPr>
          <w:p w14:paraId="5034244B" w14:textId="77777777" w:rsidR="006361E1" w:rsidRPr="008E3CFD" w:rsidRDefault="006361E1" w:rsidP="00E863E9">
            <w:pPr>
              <w:pStyle w:val="TableText"/>
            </w:pPr>
          </w:p>
        </w:tc>
        <w:tc>
          <w:tcPr>
            <w:tcW w:w="1612" w:type="pct"/>
          </w:tcPr>
          <w:p w14:paraId="7B614083" w14:textId="77777777" w:rsidR="006361E1" w:rsidRPr="008E3CFD" w:rsidRDefault="006361E1" w:rsidP="00E863E9">
            <w:pPr>
              <w:pStyle w:val="TableText"/>
            </w:pPr>
            <w:r w:rsidRPr="008E3CFD">
              <w:t>Lake Alexandrina Opening</w:t>
            </w:r>
          </w:p>
        </w:tc>
        <w:tc>
          <w:tcPr>
            <w:tcW w:w="854" w:type="pct"/>
            <w:noWrap/>
            <w:hideMark/>
          </w:tcPr>
          <w:p w14:paraId="5CF4D7AD" w14:textId="77777777" w:rsidR="006361E1" w:rsidRPr="008E3CFD" w:rsidRDefault="006361E1" w:rsidP="00E863E9">
            <w:pPr>
              <w:pStyle w:val="TableText"/>
            </w:pPr>
            <w:r w:rsidRPr="008E3CFD">
              <w:t>348468.4</w:t>
            </w:r>
          </w:p>
        </w:tc>
        <w:tc>
          <w:tcPr>
            <w:tcW w:w="854" w:type="pct"/>
            <w:noWrap/>
            <w:hideMark/>
          </w:tcPr>
          <w:p w14:paraId="3802EBE1" w14:textId="77777777" w:rsidR="006361E1" w:rsidRPr="008E3CFD" w:rsidRDefault="006361E1" w:rsidP="00E863E9">
            <w:pPr>
              <w:pStyle w:val="TableText"/>
            </w:pPr>
            <w:r w:rsidRPr="008E3CFD">
              <w:t>6080369</w:t>
            </w:r>
          </w:p>
        </w:tc>
        <w:tc>
          <w:tcPr>
            <w:tcW w:w="854" w:type="pct"/>
            <w:noWrap/>
            <w:hideMark/>
          </w:tcPr>
          <w:p w14:paraId="631FDD05" w14:textId="77777777" w:rsidR="006361E1" w:rsidRPr="008E3CFD" w:rsidRDefault="006361E1" w:rsidP="00E863E9">
            <w:pPr>
              <w:pStyle w:val="TableText"/>
            </w:pPr>
            <w:r w:rsidRPr="008E3CFD">
              <w:t>UTM 54S</w:t>
            </w:r>
          </w:p>
        </w:tc>
      </w:tr>
      <w:tr w:rsidR="006361E1" w:rsidRPr="008E3CFD" w14:paraId="4DD1489E" w14:textId="77777777" w:rsidTr="00E863E9">
        <w:trPr>
          <w:trHeight w:val="300"/>
        </w:trPr>
        <w:tc>
          <w:tcPr>
            <w:tcW w:w="826" w:type="pct"/>
            <w:vMerge/>
          </w:tcPr>
          <w:p w14:paraId="3327BF9D" w14:textId="77777777" w:rsidR="006361E1" w:rsidRPr="008E3CFD" w:rsidRDefault="006361E1" w:rsidP="00E863E9">
            <w:pPr>
              <w:pStyle w:val="TableText"/>
            </w:pPr>
          </w:p>
        </w:tc>
        <w:tc>
          <w:tcPr>
            <w:tcW w:w="1612" w:type="pct"/>
          </w:tcPr>
          <w:p w14:paraId="16EEC992" w14:textId="77777777" w:rsidR="006361E1" w:rsidRPr="008E3CFD" w:rsidRDefault="006361E1" w:rsidP="00E863E9">
            <w:pPr>
              <w:pStyle w:val="TableText"/>
            </w:pPr>
            <w:r w:rsidRPr="008E3CFD">
              <w:t>Lake Alexandrina Middle</w:t>
            </w:r>
          </w:p>
        </w:tc>
        <w:tc>
          <w:tcPr>
            <w:tcW w:w="854" w:type="pct"/>
            <w:noWrap/>
            <w:hideMark/>
          </w:tcPr>
          <w:p w14:paraId="61B7B037" w14:textId="77777777" w:rsidR="006361E1" w:rsidRPr="008E3CFD" w:rsidRDefault="006361E1" w:rsidP="00E863E9">
            <w:pPr>
              <w:pStyle w:val="TableText"/>
            </w:pPr>
            <w:r w:rsidRPr="008E3CFD">
              <w:t>331761.4</w:t>
            </w:r>
          </w:p>
        </w:tc>
        <w:tc>
          <w:tcPr>
            <w:tcW w:w="854" w:type="pct"/>
            <w:noWrap/>
            <w:hideMark/>
          </w:tcPr>
          <w:p w14:paraId="5EF02770" w14:textId="77777777" w:rsidR="006361E1" w:rsidRPr="008E3CFD" w:rsidRDefault="006361E1" w:rsidP="00E863E9">
            <w:pPr>
              <w:pStyle w:val="TableText"/>
            </w:pPr>
            <w:r w:rsidRPr="008E3CFD">
              <w:t>6077836</w:t>
            </w:r>
          </w:p>
        </w:tc>
        <w:tc>
          <w:tcPr>
            <w:tcW w:w="854" w:type="pct"/>
            <w:noWrap/>
            <w:hideMark/>
          </w:tcPr>
          <w:p w14:paraId="3E25DE63" w14:textId="77777777" w:rsidR="006361E1" w:rsidRPr="008E3CFD" w:rsidRDefault="006361E1" w:rsidP="00E863E9">
            <w:pPr>
              <w:pStyle w:val="TableText"/>
            </w:pPr>
            <w:r w:rsidRPr="008E3CFD">
              <w:t>UTM 54S</w:t>
            </w:r>
          </w:p>
        </w:tc>
      </w:tr>
      <w:tr w:rsidR="006361E1" w:rsidRPr="008E3CFD" w14:paraId="7C0A1561" w14:textId="77777777" w:rsidTr="00E863E9">
        <w:trPr>
          <w:trHeight w:val="300"/>
        </w:trPr>
        <w:tc>
          <w:tcPr>
            <w:tcW w:w="826" w:type="pct"/>
            <w:vMerge/>
          </w:tcPr>
          <w:p w14:paraId="70DBA844" w14:textId="77777777" w:rsidR="006361E1" w:rsidRPr="008E3CFD" w:rsidRDefault="006361E1" w:rsidP="00E863E9">
            <w:pPr>
              <w:pStyle w:val="TableText"/>
            </w:pPr>
          </w:p>
        </w:tc>
        <w:tc>
          <w:tcPr>
            <w:tcW w:w="1612" w:type="pct"/>
          </w:tcPr>
          <w:p w14:paraId="35D334DC" w14:textId="77777777" w:rsidR="006361E1" w:rsidRPr="008E3CFD" w:rsidRDefault="006361E1" w:rsidP="00E863E9">
            <w:pPr>
              <w:pStyle w:val="TableText"/>
            </w:pPr>
            <w:r w:rsidRPr="008E3CFD">
              <w:t>Point McLeay</w:t>
            </w:r>
          </w:p>
        </w:tc>
        <w:tc>
          <w:tcPr>
            <w:tcW w:w="854" w:type="pct"/>
            <w:noWrap/>
            <w:hideMark/>
          </w:tcPr>
          <w:p w14:paraId="029FB504" w14:textId="77777777" w:rsidR="006361E1" w:rsidRPr="008E3CFD" w:rsidRDefault="006361E1" w:rsidP="00E863E9">
            <w:pPr>
              <w:pStyle w:val="TableText"/>
            </w:pPr>
            <w:r w:rsidRPr="008E3CFD">
              <w:t>324379.4</w:t>
            </w:r>
          </w:p>
        </w:tc>
        <w:tc>
          <w:tcPr>
            <w:tcW w:w="854" w:type="pct"/>
            <w:noWrap/>
            <w:hideMark/>
          </w:tcPr>
          <w:p w14:paraId="43F00CCE" w14:textId="77777777" w:rsidR="006361E1" w:rsidRPr="008E3CFD" w:rsidRDefault="006361E1" w:rsidP="00E863E9">
            <w:pPr>
              <w:pStyle w:val="TableText"/>
            </w:pPr>
            <w:r w:rsidRPr="008E3CFD">
              <w:t>6068672</w:t>
            </w:r>
          </w:p>
        </w:tc>
        <w:tc>
          <w:tcPr>
            <w:tcW w:w="854" w:type="pct"/>
            <w:noWrap/>
            <w:hideMark/>
          </w:tcPr>
          <w:p w14:paraId="6B281713" w14:textId="77777777" w:rsidR="006361E1" w:rsidRPr="008E3CFD" w:rsidRDefault="006361E1" w:rsidP="00E863E9">
            <w:pPr>
              <w:pStyle w:val="TableText"/>
            </w:pPr>
            <w:r w:rsidRPr="008E3CFD">
              <w:t>UTM 54S</w:t>
            </w:r>
          </w:p>
        </w:tc>
      </w:tr>
      <w:tr w:rsidR="006361E1" w:rsidRPr="008E3CFD" w14:paraId="58FA69FB" w14:textId="77777777" w:rsidTr="00E863E9">
        <w:trPr>
          <w:trHeight w:val="300"/>
        </w:trPr>
        <w:tc>
          <w:tcPr>
            <w:tcW w:w="826" w:type="pct"/>
            <w:vMerge w:val="restart"/>
          </w:tcPr>
          <w:p w14:paraId="29E33695" w14:textId="77777777" w:rsidR="006361E1" w:rsidRPr="008E3CFD" w:rsidRDefault="006361E1" w:rsidP="00E863E9">
            <w:pPr>
              <w:pStyle w:val="TableText"/>
            </w:pPr>
            <w:r w:rsidRPr="008E3CFD">
              <w:t>Coorong</w:t>
            </w:r>
          </w:p>
        </w:tc>
        <w:tc>
          <w:tcPr>
            <w:tcW w:w="1612" w:type="pct"/>
          </w:tcPr>
          <w:p w14:paraId="0CB1ADDA" w14:textId="77777777" w:rsidR="006361E1" w:rsidRPr="008E3CFD" w:rsidRDefault="006361E1" w:rsidP="00E863E9">
            <w:pPr>
              <w:pStyle w:val="TableText"/>
            </w:pPr>
            <w:r w:rsidRPr="008E3CFD">
              <w:t>Goolwa Barrage</w:t>
            </w:r>
          </w:p>
        </w:tc>
        <w:tc>
          <w:tcPr>
            <w:tcW w:w="854" w:type="pct"/>
            <w:noWrap/>
            <w:hideMark/>
          </w:tcPr>
          <w:p w14:paraId="17672EC2" w14:textId="77777777" w:rsidR="006361E1" w:rsidRPr="008E3CFD" w:rsidRDefault="006361E1" w:rsidP="00E863E9">
            <w:pPr>
              <w:pStyle w:val="TableText"/>
            </w:pPr>
            <w:r w:rsidRPr="008E3CFD">
              <w:t>302100.7</w:t>
            </w:r>
          </w:p>
        </w:tc>
        <w:tc>
          <w:tcPr>
            <w:tcW w:w="854" w:type="pct"/>
            <w:noWrap/>
            <w:hideMark/>
          </w:tcPr>
          <w:p w14:paraId="6C79828B" w14:textId="77777777" w:rsidR="006361E1" w:rsidRPr="008E3CFD" w:rsidRDefault="006361E1" w:rsidP="00E863E9">
            <w:pPr>
              <w:pStyle w:val="TableText"/>
            </w:pPr>
            <w:r w:rsidRPr="008E3CFD">
              <w:t>6066302</w:t>
            </w:r>
          </w:p>
        </w:tc>
        <w:tc>
          <w:tcPr>
            <w:tcW w:w="854" w:type="pct"/>
            <w:noWrap/>
            <w:hideMark/>
          </w:tcPr>
          <w:p w14:paraId="0C9205EF" w14:textId="77777777" w:rsidR="006361E1" w:rsidRPr="008E3CFD" w:rsidRDefault="006361E1" w:rsidP="00E863E9">
            <w:pPr>
              <w:pStyle w:val="TableText"/>
            </w:pPr>
            <w:r w:rsidRPr="008E3CFD">
              <w:t>UTM 54S</w:t>
            </w:r>
          </w:p>
        </w:tc>
      </w:tr>
      <w:tr w:rsidR="006361E1" w:rsidRPr="008E3CFD" w14:paraId="20F41766" w14:textId="77777777" w:rsidTr="00E863E9">
        <w:trPr>
          <w:trHeight w:val="300"/>
        </w:trPr>
        <w:tc>
          <w:tcPr>
            <w:tcW w:w="826" w:type="pct"/>
            <w:vMerge/>
          </w:tcPr>
          <w:p w14:paraId="19C098F4" w14:textId="77777777" w:rsidR="006361E1" w:rsidRPr="008E3CFD" w:rsidRDefault="006361E1" w:rsidP="00E863E9">
            <w:pPr>
              <w:pStyle w:val="TableText"/>
            </w:pPr>
          </w:p>
        </w:tc>
        <w:tc>
          <w:tcPr>
            <w:tcW w:w="1612" w:type="pct"/>
          </w:tcPr>
          <w:p w14:paraId="0CB88928" w14:textId="77777777" w:rsidR="006361E1" w:rsidRPr="008E3CFD" w:rsidRDefault="006361E1" w:rsidP="00E863E9">
            <w:pPr>
              <w:pStyle w:val="TableText"/>
            </w:pPr>
            <w:r w:rsidRPr="008E3CFD">
              <w:t>Murray Mouth</w:t>
            </w:r>
          </w:p>
        </w:tc>
        <w:tc>
          <w:tcPr>
            <w:tcW w:w="854" w:type="pct"/>
            <w:noWrap/>
            <w:hideMark/>
          </w:tcPr>
          <w:p w14:paraId="1E728612" w14:textId="77777777" w:rsidR="006361E1" w:rsidRPr="008E3CFD" w:rsidRDefault="006361E1" w:rsidP="00E863E9">
            <w:pPr>
              <w:pStyle w:val="TableText"/>
            </w:pPr>
            <w:r w:rsidRPr="008E3CFD">
              <w:t>308001.3</w:t>
            </w:r>
          </w:p>
        </w:tc>
        <w:tc>
          <w:tcPr>
            <w:tcW w:w="854" w:type="pct"/>
            <w:noWrap/>
            <w:hideMark/>
          </w:tcPr>
          <w:p w14:paraId="2A8E1F68" w14:textId="77777777" w:rsidR="006361E1" w:rsidRPr="008E3CFD" w:rsidRDefault="006361E1" w:rsidP="00E863E9">
            <w:pPr>
              <w:pStyle w:val="TableText"/>
            </w:pPr>
            <w:r w:rsidRPr="008E3CFD">
              <w:t>6063098</w:t>
            </w:r>
          </w:p>
        </w:tc>
        <w:tc>
          <w:tcPr>
            <w:tcW w:w="854" w:type="pct"/>
            <w:noWrap/>
            <w:hideMark/>
          </w:tcPr>
          <w:p w14:paraId="29579B78" w14:textId="77777777" w:rsidR="006361E1" w:rsidRPr="008E3CFD" w:rsidRDefault="006361E1" w:rsidP="00E863E9">
            <w:pPr>
              <w:pStyle w:val="TableText"/>
            </w:pPr>
            <w:r w:rsidRPr="008E3CFD">
              <w:t>UTM 54S</w:t>
            </w:r>
          </w:p>
        </w:tc>
      </w:tr>
      <w:tr w:rsidR="006361E1" w:rsidRPr="008E3CFD" w14:paraId="7AD52C35" w14:textId="77777777" w:rsidTr="00E863E9">
        <w:trPr>
          <w:trHeight w:val="300"/>
        </w:trPr>
        <w:tc>
          <w:tcPr>
            <w:tcW w:w="826" w:type="pct"/>
            <w:vMerge/>
          </w:tcPr>
          <w:p w14:paraId="4F325E80" w14:textId="77777777" w:rsidR="006361E1" w:rsidRPr="008E3CFD" w:rsidRDefault="006361E1" w:rsidP="00E863E9">
            <w:pPr>
              <w:pStyle w:val="TableText"/>
            </w:pPr>
          </w:p>
        </w:tc>
        <w:tc>
          <w:tcPr>
            <w:tcW w:w="1612" w:type="pct"/>
          </w:tcPr>
          <w:p w14:paraId="5A60220D" w14:textId="77777777" w:rsidR="006361E1" w:rsidRPr="008E3CFD" w:rsidRDefault="006361E1" w:rsidP="00E863E9">
            <w:pPr>
              <w:pStyle w:val="TableText"/>
            </w:pPr>
            <w:r w:rsidRPr="008E3CFD">
              <w:t>Ewe Island</w:t>
            </w:r>
          </w:p>
        </w:tc>
        <w:tc>
          <w:tcPr>
            <w:tcW w:w="854" w:type="pct"/>
            <w:noWrap/>
            <w:hideMark/>
          </w:tcPr>
          <w:p w14:paraId="3507267D" w14:textId="77777777" w:rsidR="006361E1" w:rsidRPr="008E3CFD" w:rsidRDefault="006361E1" w:rsidP="00E863E9">
            <w:pPr>
              <w:pStyle w:val="TableText"/>
            </w:pPr>
            <w:r w:rsidRPr="008E3CFD">
              <w:t>315228.9</w:t>
            </w:r>
          </w:p>
        </w:tc>
        <w:tc>
          <w:tcPr>
            <w:tcW w:w="854" w:type="pct"/>
            <w:noWrap/>
            <w:hideMark/>
          </w:tcPr>
          <w:p w14:paraId="6E5C541C" w14:textId="77777777" w:rsidR="006361E1" w:rsidRPr="008E3CFD" w:rsidRDefault="006361E1" w:rsidP="00E863E9">
            <w:pPr>
              <w:pStyle w:val="TableText"/>
            </w:pPr>
            <w:r w:rsidRPr="008E3CFD">
              <w:t>6062110</w:t>
            </w:r>
          </w:p>
        </w:tc>
        <w:tc>
          <w:tcPr>
            <w:tcW w:w="854" w:type="pct"/>
            <w:noWrap/>
            <w:hideMark/>
          </w:tcPr>
          <w:p w14:paraId="6713BA0B" w14:textId="77777777" w:rsidR="006361E1" w:rsidRPr="008E3CFD" w:rsidRDefault="006361E1" w:rsidP="00E863E9">
            <w:pPr>
              <w:pStyle w:val="TableText"/>
            </w:pPr>
            <w:r w:rsidRPr="008E3CFD">
              <w:t>UTM 54S</w:t>
            </w:r>
          </w:p>
        </w:tc>
      </w:tr>
      <w:tr w:rsidR="006361E1" w:rsidRPr="008E3CFD" w14:paraId="5F1A6B1F" w14:textId="77777777" w:rsidTr="00E863E9">
        <w:trPr>
          <w:trHeight w:val="300"/>
        </w:trPr>
        <w:tc>
          <w:tcPr>
            <w:tcW w:w="826" w:type="pct"/>
            <w:vMerge/>
          </w:tcPr>
          <w:p w14:paraId="5F0DE2E4" w14:textId="77777777" w:rsidR="006361E1" w:rsidRPr="008E3CFD" w:rsidRDefault="006361E1" w:rsidP="00E863E9">
            <w:pPr>
              <w:pStyle w:val="TableText"/>
            </w:pPr>
          </w:p>
        </w:tc>
        <w:tc>
          <w:tcPr>
            <w:tcW w:w="1612" w:type="pct"/>
          </w:tcPr>
          <w:p w14:paraId="32C62590" w14:textId="77777777" w:rsidR="006361E1" w:rsidRPr="008E3CFD" w:rsidRDefault="006361E1" w:rsidP="00E863E9">
            <w:pPr>
              <w:pStyle w:val="TableText"/>
            </w:pPr>
            <w:r w:rsidRPr="008E3CFD">
              <w:t>Mark Point</w:t>
            </w:r>
          </w:p>
        </w:tc>
        <w:tc>
          <w:tcPr>
            <w:tcW w:w="854" w:type="pct"/>
            <w:noWrap/>
            <w:hideMark/>
          </w:tcPr>
          <w:p w14:paraId="769BCBE4" w14:textId="77777777" w:rsidR="006361E1" w:rsidRPr="008E3CFD" w:rsidRDefault="006361E1" w:rsidP="00E863E9">
            <w:pPr>
              <w:pStyle w:val="TableText"/>
            </w:pPr>
            <w:r w:rsidRPr="008E3CFD">
              <w:t>325761.5</w:t>
            </w:r>
          </w:p>
        </w:tc>
        <w:tc>
          <w:tcPr>
            <w:tcW w:w="854" w:type="pct"/>
            <w:noWrap/>
            <w:hideMark/>
          </w:tcPr>
          <w:p w14:paraId="51E9EE13" w14:textId="77777777" w:rsidR="006361E1" w:rsidRPr="008E3CFD" w:rsidRDefault="006361E1" w:rsidP="00E863E9">
            <w:pPr>
              <w:pStyle w:val="TableText"/>
            </w:pPr>
            <w:r w:rsidRPr="008E3CFD">
              <w:t>6054914</w:t>
            </w:r>
          </w:p>
        </w:tc>
        <w:tc>
          <w:tcPr>
            <w:tcW w:w="854" w:type="pct"/>
            <w:noWrap/>
            <w:hideMark/>
          </w:tcPr>
          <w:p w14:paraId="165F3FAC" w14:textId="77777777" w:rsidR="006361E1" w:rsidRPr="008E3CFD" w:rsidRDefault="006361E1" w:rsidP="00E863E9">
            <w:pPr>
              <w:pStyle w:val="TableText"/>
            </w:pPr>
            <w:r w:rsidRPr="008E3CFD">
              <w:t>UTM 54S</w:t>
            </w:r>
          </w:p>
        </w:tc>
      </w:tr>
      <w:tr w:rsidR="006361E1" w:rsidRPr="008E3CFD" w14:paraId="130DD98A" w14:textId="77777777" w:rsidTr="00E863E9">
        <w:trPr>
          <w:trHeight w:val="300"/>
        </w:trPr>
        <w:tc>
          <w:tcPr>
            <w:tcW w:w="826" w:type="pct"/>
            <w:vMerge/>
          </w:tcPr>
          <w:p w14:paraId="138C6299" w14:textId="77777777" w:rsidR="006361E1" w:rsidRPr="008E3CFD" w:rsidRDefault="006361E1" w:rsidP="00E863E9">
            <w:pPr>
              <w:pStyle w:val="TableText"/>
            </w:pPr>
          </w:p>
        </w:tc>
        <w:tc>
          <w:tcPr>
            <w:tcW w:w="1612" w:type="pct"/>
          </w:tcPr>
          <w:p w14:paraId="0BAF555C" w14:textId="77777777" w:rsidR="006361E1" w:rsidRPr="008E3CFD" w:rsidRDefault="006361E1" w:rsidP="00E863E9">
            <w:pPr>
              <w:pStyle w:val="TableText"/>
            </w:pPr>
            <w:r w:rsidRPr="008E3CFD">
              <w:t>Parnka Point</w:t>
            </w:r>
          </w:p>
        </w:tc>
        <w:tc>
          <w:tcPr>
            <w:tcW w:w="854" w:type="pct"/>
            <w:noWrap/>
            <w:hideMark/>
          </w:tcPr>
          <w:p w14:paraId="606A72BA" w14:textId="77777777" w:rsidR="006361E1" w:rsidRPr="008E3CFD" w:rsidRDefault="006361E1" w:rsidP="00E863E9">
            <w:pPr>
              <w:pStyle w:val="TableText"/>
            </w:pPr>
            <w:r w:rsidRPr="008E3CFD">
              <w:t>355250.6</w:t>
            </w:r>
          </w:p>
        </w:tc>
        <w:tc>
          <w:tcPr>
            <w:tcW w:w="854" w:type="pct"/>
            <w:noWrap/>
            <w:hideMark/>
          </w:tcPr>
          <w:p w14:paraId="6EC02E45" w14:textId="77777777" w:rsidR="006361E1" w:rsidRPr="008E3CFD" w:rsidRDefault="006361E1" w:rsidP="00E863E9">
            <w:pPr>
              <w:pStyle w:val="TableText"/>
            </w:pPr>
            <w:r w:rsidRPr="008E3CFD">
              <w:t>6025735</w:t>
            </w:r>
          </w:p>
        </w:tc>
        <w:tc>
          <w:tcPr>
            <w:tcW w:w="854" w:type="pct"/>
            <w:noWrap/>
            <w:hideMark/>
          </w:tcPr>
          <w:p w14:paraId="5DBC1210" w14:textId="77777777" w:rsidR="006361E1" w:rsidRPr="008E3CFD" w:rsidRDefault="006361E1" w:rsidP="00E863E9">
            <w:pPr>
              <w:pStyle w:val="TableText"/>
            </w:pPr>
            <w:r w:rsidRPr="008E3CFD">
              <w:t>UTM 54S</w:t>
            </w:r>
          </w:p>
        </w:tc>
      </w:tr>
    </w:tbl>
    <w:p w14:paraId="155F41ED" w14:textId="77777777" w:rsidR="006361E1" w:rsidRDefault="006361E1" w:rsidP="006361E1">
      <w:pPr>
        <w:pStyle w:val="Heading4"/>
      </w:pPr>
      <w:bookmarkStart w:id="1486" w:name="_Toc6403896"/>
      <w:r w:rsidRPr="00525AE9">
        <w:t>Timing</w:t>
      </w:r>
      <w:bookmarkEnd w:id="1486"/>
    </w:p>
    <w:p w14:paraId="0270DCD2" w14:textId="22CEA89F" w:rsidR="006361E1" w:rsidRPr="00496501" w:rsidRDefault="006361E1" w:rsidP="006361E1">
      <w:pPr>
        <w:pStyle w:val="TableCaption"/>
        <w:rPr>
          <w:b w:val="0"/>
          <w:sz w:val="22"/>
          <w:szCs w:val="22"/>
        </w:rPr>
      </w:pPr>
      <w:r>
        <w:rPr>
          <w:b w:val="0"/>
          <w:sz w:val="22"/>
          <w:szCs w:val="22"/>
        </w:rPr>
        <w:t>A</w:t>
      </w:r>
      <w:r w:rsidRPr="00496501">
        <w:rPr>
          <w:b w:val="0"/>
          <w:sz w:val="22"/>
          <w:szCs w:val="22"/>
        </w:rPr>
        <w:t xml:space="preserve">ll monitoring data </w:t>
      </w:r>
      <w:r>
        <w:rPr>
          <w:b w:val="0"/>
          <w:sz w:val="22"/>
          <w:szCs w:val="22"/>
        </w:rPr>
        <w:t xml:space="preserve">for validation </w:t>
      </w:r>
      <w:r w:rsidR="000A028D">
        <w:rPr>
          <w:b w:val="0"/>
          <w:sz w:val="22"/>
          <w:szCs w:val="22"/>
        </w:rPr>
        <w:t>was collected</w:t>
      </w:r>
      <w:r w:rsidRPr="00496501">
        <w:rPr>
          <w:b w:val="0"/>
          <w:sz w:val="22"/>
          <w:szCs w:val="22"/>
        </w:rPr>
        <w:t xml:space="preserve"> by complementary monitoring programs</w:t>
      </w:r>
      <w:r w:rsidR="00743785">
        <w:rPr>
          <w:b w:val="0"/>
          <w:sz w:val="22"/>
          <w:szCs w:val="22"/>
        </w:rPr>
        <w:t xml:space="preserve"> during </w:t>
      </w:r>
      <w:r w:rsidR="004914FD">
        <w:rPr>
          <w:b w:val="0"/>
          <w:sz w:val="22"/>
          <w:szCs w:val="22"/>
        </w:rPr>
        <w:t xml:space="preserve">the </w:t>
      </w:r>
      <w:r w:rsidR="00743785">
        <w:rPr>
          <w:b w:val="0"/>
          <w:sz w:val="22"/>
          <w:szCs w:val="22"/>
        </w:rPr>
        <w:t>LTIM Project. T</w:t>
      </w:r>
      <w:r w:rsidRPr="00496501">
        <w:rPr>
          <w:b w:val="0"/>
          <w:sz w:val="22"/>
          <w:szCs w:val="22"/>
        </w:rPr>
        <w:t xml:space="preserve">he exact </w:t>
      </w:r>
      <w:r>
        <w:rPr>
          <w:b w:val="0"/>
          <w:sz w:val="22"/>
          <w:szCs w:val="22"/>
        </w:rPr>
        <w:t>timing of sample collection cannot be determined for the next three years of the MER Project</w:t>
      </w:r>
      <w:r w:rsidRPr="00496501">
        <w:rPr>
          <w:b w:val="0"/>
          <w:sz w:val="22"/>
          <w:szCs w:val="22"/>
        </w:rPr>
        <w:t xml:space="preserve">. </w:t>
      </w:r>
      <w:r>
        <w:rPr>
          <w:b w:val="0"/>
          <w:sz w:val="22"/>
          <w:szCs w:val="22"/>
        </w:rPr>
        <w:t>However, it is anticipated that sampling will vary between weekly (Murray River) and quarterly (Coorong and Lower Lakes).</w:t>
      </w:r>
    </w:p>
    <w:p w14:paraId="3ED40ED9" w14:textId="77777777" w:rsidR="006361E1" w:rsidRPr="00525AE9" w:rsidRDefault="006361E1" w:rsidP="006361E1">
      <w:pPr>
        <w:pStyle w:val="Heading3"/>
      </w:pPr>
      <w:bookmarkStart w:id="1487" w:name="_Toc396825332"/>
      <w:bookmarkStart w:id="1488" w:name="_Toc6403897"/>
      <w:bookmarkStart w:id="1489" w:name="_Toc10095261"/>
      <w:bookmarkStart w:id="1490" w:name="_Toc10192430"/>
      <w:bookmarkStart w:id="1491" w:name="_Toc10206745"/>
      <w:bookmarkStart w:id="1492" w:name="_Toc10213331"/>
      <w:bookmarkStart w:id="1493" w:name="_Toc10732355"/>
      <w:bookmarkStart w:id="1494" w:name="_Toc10796914"/>
      <w:bookmarkStart w:id="1495" w:name="_Toc12022799"/>
      <w:bookmarkStart w:id="1496" w:name="_Toc12630629"/>
      <w:bookmarkStart w:id="1497" w:name="_Toc16154489"/>
      <w:bookmarkStart w:id="1498" w:name="_Toc22196851"/>
      <w:r>
        <w:t>Monitoring protocol</w:t>
      </w:r>
      <w:bookmarkEnd w:id="1487"/>
      <w:bookmarkEnd w:id="1488"/>
      <w:bookmarkEnd w:id="1489"/>
      <w:bookmarkEnd w:id="1490"/>
      <w:bookmarkEnd w:id="1491"/>
      <w:bookmarkEnd w:id="1492"/>
      <w:bookmarkEnd w:id="1493"/>
      <w:bookmarkEnd w:id="1494"/>
      <w:bookmarkEnd w:id="1495"/>
      <w:bookmarkEnd w:id="1496"/>
      <w:bookmarkEnd w:id="1497"/>
      <w:bookmarkEnd w:id="1498"/>
    </w:p>
    <w:p w14:paraId="684A7B44" w14:textId="77777777" w:rsidR="006361E1" w:rsidRDefault="006361E1" w:rsidP="006361E1">
      <w:pPr>
        <w:pStyle w:val="Heading4"/>
      </w:pPr>
      <w:bookmarkStart w:id="1499" w:name="_Toc6403898"/>
      <w:r w:rsidRPr="00525AE9">
        <w:t>Equipment</w:t>
      </w:r>
      <w:bookmarkEnd w:id="1499"/>
    </w:p>
    <w:p w14:paraId="0C67C7C8" w14:textId="5AF21A40" w:rsidR="006361E1" w:rsidRDefault="000A028D" w:rsidP="006361E1">
      <w:pPr>
        <w:pStyle w:val="TableCaption"/>
        <w:rPr>
          <w:b w:val="0"/>
          <w:sz w:val="22"/>
          <w:szCs w:val="22"/>
        </w:rPr>
      </w:pPr>
      <w:r>
        <w:rPr>
          <w:b w:val="0"/>
          <w:sz w:val="22"/>
          <w:szCs w:val="22"/>
        </w:rPr>
        <w:t>Additional</w:t>
      </w:r>
      <w:r w:rsidRPr="00496501">
        <w:rPr>
          <w:b w:val="0"/>
          <w:sz w:val="22"/>
          <w:szCs w:val="22"/>
        </w:rPr>
        <w:t xml:space="preserve"> </w:t>
      </w:r>
      <w:r w:rsidR="006361E1" w:rsidRPr="00496501">
        <w:rPr>
          <w:b w:val="0"/>
          <w:sz w:val="22"/>
          <w:szCs w:val="22"/>
        </w:rPr>
        <w:t xml:space="preserve">monitoring data </w:t>
      </w:r>
      <w:r>
        <w:rPr>
          <w:b w:val="0"/>
          <w:sz w:val="22"/>
          <w:szCs w:val="22"/>
        </w:rPr>
        <w:t>may be available from</w:t>
      </w:r>
      <w:r w:rsidR="006361E1" w:rsidRPr="00496501">
        <w:rPr>
          <w:b w:val="0"/>
          <w:sz w:val="22"/>
          <w:szCs w:val="22"/>
        </w:rPr>
        <w:t xml:space="preserve"> complementary monitoring programs</w:t>
      </w:r>
      <w:r w:rsidR="006361E1">
        <w:rPr>
          <w:b w:val="0"/>
          <w:sz w:val="22"/>
          <w:szCs w:val="22"/>
        </w:rPr>
        <w:t xml:space="preserve"> and</w:t>
      </w:r>
      <w:r w:rsidR="006361E1" w:rsidRPr="00496501">
        <w:rPr>
          <w:b w:val="0"/>
          <w:sz w:val="22"/>
          <w:szCs w:val="22"/>
        </w:rPr>
        <w:t xml:space="preserve"> </w:t>
      </w:r>
      <w:r w:rsidR="006361E1">
        <w:rPr>
          <w:b w:val="0"/>
          <w:sz w:val="22"/>
          <w:szCs w:val="22"/>
        </w:rPr>
        <w:t xml:space="preserve">so </w:t>
      </w:r>
      <w:r w:rsidR="006361E1" w:rsidRPr="00496501">
        <w:rPr>
          <w:b w:val="0"/>
          <w:sz w:val="22"/>
          <w:szCs w:val="22"/>
        </w:rPr>
        <w:t xml:space="preserve">the exact </w:t>
      </w:r>
      <w:r w:rsidR="006361E1">
        <w:rPr>
          <w:b w:val="0"/>
          <w:sz w:val="22"/>
          <w:szCs w:val="22"/>
        </w:rPr>
        <w:t>equipment to be used cannot be defined in the MER Plan. However, broadly, the equipment will likely include:</w:t>
      </w:r>
    </w:p>
    <w:p w14:paraId="0468029A" w14:textId="77777777" w:rsidR="006361E1" w:rsidRDefault="006361E1" w:rsidP="00C77254">
      <w:pPr>
        <w:pStyle w:val="TableCaption"/>
        <w:numPr>
          <w:ilvl w:val="0"/>
          <w:numId w:val="48"/>
        </w:numPr>
        <w:tabs>
          <w:tab w:val="clear" w:pos="993"/>
        </w:tabs>
        <w:ind w:left="765" w:hanging="357"/>
        <w:contextualSpacing/>
        <w:rPr>
          <w:b w:val="0"/>
          <w:sz w:val="22"/>
          <w:szCs w:val="22"/>
        </w:rPr>
      </w:pPr>
      <w:r>
        <w:rPr>
          <w:b w:val="0"/>
          <w:sz w:val="22"/>
          <w:szCs w:val="22"/>
        </w:rPr>
        <w:t>water samplers</w:t>
      </w:r>
    </w:p>
    <w:p w14:paraId="2538713D" w14:textId="77777777" w:rsidR="006361E1" w:rsidRDefault="006361E1" w:rsidP="00C77254">
      <w:pPr>
        <w:pStyle w:val="TableCaption"/>
        <w:numPr>
          <w:ilvl w:val="0"/>
          <w:numId w:val="48"/>
        </w:numPr>
        <w:tabs>
          <w:tab w:val="clear" w:pos="993"/>
        </w:tabs>
        <w:ind w:left="765" w:hanging="357"/>
        <w:contextualSpacing/>
        <w:rPr>
          <w:b w:val="0"/>
          <w:sz w:val="22"/>
          <w:szCs w:val="22"/>
        </w:rPr>
      </w:pPr>
      <w:r>
        <w:rPr>
          <w:b w:val="0"/>
          <w:sz w:val="22"/>
          <w:szCs w:val="22"/>
        </w:rPr>
        <w:t>water quality probes</w:t>
      </w:r>
    </w:p>
    <w:p w14:paraId="015CF9D8" w14:textId="77777777" w:rsidR="006361E1" w:rsidRDefault="006361E1" w:rsidP="00C77254">
      <w:pPr>
        <w:pStyle w:val="TableCaption"/>
        <w:numPr>
          <w:ilvl w:val="0"/>
          <w:numId w:val="48"/>
        </w:numPr>
        <w:tabs>
          <w:tab w:val="clear" w:pos="993"/>
        </w:tabs>
        <w:ind w:left="765" w:hanging="357"/>
        <w:contextualSpacing/>
        <w:rPr>
          <w:b w:val="0"/>
          <w:sz w:val="22"/>
          <w:szCs w:val="22"/>
        </w:rPr>
      </w:pPr>
      <w:r>
        <w:rPr>
          <w:b w:val="0"/>
          <w:sz w:val="22"/>
          <w:szCs w:val="22"/>
        </w:rPr>
        <w:t>various laboratory apparatuses.</w:t>
      </w:r>
    </w:p>
    <w:p w14:paraId="66E98E49" w14:textId="77777777" w:rsidR="006361E1" w:rsidRPr="00525AE9" w:rsidRDefault="006361E1" w:rsidP="006361E1">
      <w:pPr>
        <w:pStyle w:val="Heading4"/>
      </w:pPr>
      <w:bookmarkStart w:id="1500" w:name="_Toc6403899"/>
      <w:r w:rsidRPr="00525AE9">
        <w:t>Protocol</w:t>
      </w:r>
      <w:bookmarkEnd w:id="1500"/>
    </w:p>
    <w:p w14:paraId="290476EA" w14:textId="10E3EA11" w:rsidR="006361E1" w:rsidRDefault="006361E1" w:rsidP="006361E1">
      <w:r w:rsidRPr="00187CA1">
        <w:t xml:space="preserve">As all monitoring data </w:t>
      </w:r>
      <w:r w:rsidR="000A028D">
        <w:t>may</w:t>
      </w:r>
      <w:r w:rsidR="000A028D" w:rsidRPr="00187CA1">
        <w:t xml:space="preserve"> </w:t>
      </w:r>
      <w:r w:rsidRPr="00187CA1">
        <w:t>be collected by complementary monitoring programs</w:t>
      </w:r>
      <w:r>
        <w:t>. Broadly, it is anticipated that:</w:t>
      </w:r>
    </w:p>
    <w:p w14:paraId="2B52BFA2" w14:textId="77777777" w:rsidR="006361E1" w:rsidRDefault="006361E1" w:rsidP="00C77254">
      <w:pPr>
        <w:pStyle w:val="ListParagraph"/>
        <w:numPr>
          <w:ilvl w:val="0"/>
          <w:numId w:val="49"/>
        </w:numPr>
        <w:ind w:left="584" w:hanging="357"/>
      </w:pPr>
      <w:r>
        <w:t>M</w:t>
      </w:r>
      <w:r w:rsidRPr="008E3CFD">
        <w:t xml:space="preserve">easurements of water temperature, electrical conductivity, dissolved oxygen, pH and turbidity will be taken at 0.5 </w:t>
      </w:r>
      <w:r>
        <w:t>metre</w:t>
      </w:r>
      <w:r w:rsidRPr="008E3CFD">
        <w:t xml:space="preserve"> intervals through the water </w:t>
      </w:r>
      <w:r>
        <w:t>column</w:t>
      </w:r>
      <w:r w:rsidRPr="008E3CFD">
        <w:t xml:space="preserve">. </w:t>
      </w:r>
    </w:p>
    <w:p w14:paraId="208E6E6A" w14:textId="77777777" w:rsidR="006361E1" w:rsidRDefault="006361E1" w:rsidP="00C77254">
      <w:pPr>
        <w:pStyle w:val="ListParagraph"/>
        <w:numPr>
          <w:ilvl w:val="0"/>
          <w:numId w:val="49"/>
        </w:numPr>
        <w:ind w:left="584" w:hanging="357"/>
      </w:pPr>
      <w:r>
        <w:t>I</w:t>
      </w:r>
      <w:r w:rsidRPr="008E3CFD">
        <w:t>ntegrated-depth water samples will be collected and sent to the Australian Water Quality Centre, a</w:t>
      </w:r>
      <w:r>
        <w:t xml:space="preserve"> NATA</w:t>
      </w:r>
      <w:r w:rsidRPr="008E3CFD">
        <w:t xml:space="preserve"> accredited laboratory</w:t>
      </w:r>
      <w:r>
        <w:t xml:space="preserve"> for analysis</w:t>
      </w:r>
      <w:r w:rsidRPr="008E3CFD">
        <w:t xml:space="preserve">. </w:t>
      </w:r>
    </w:p>
    <w:p w14:paraId="132E93B4" w14:textId="77777777" w:rsidR="006361E1" w:rsidRPr="00525AE9" w:rsidRDefault="006361E1" w:rsidP="00C77254">
      <w:pPr>
        <w:pStyle w:val="ListParagraph"/>
        <w:numPr>
          <w:ilvl w:val="0"/>
          <w:numId w:val="49"/>
        </w:numPr>
        <w:ind w:left="584" w:hanging="357"/>
      </w:pPr>
      <w:r w:rsidRPr="008E3CFD">
        <w:t xml:space="preserve">Samples will be analysed for filterable reactive phosphorus, total phosphorus, nitrate, ammonium, total Kjeldahl nitrogen, dissolved silica, and chlorophyll </w:t>
      </w:r>
      <w:r w:rsidRPr="00ED61D8">
        <w:rPr>
          <w:i/>
        </w:rPr>
        <w:t>a</w:t>
      </w:r>
      <w:r w:rsidRPr="008E3CFD">
        <w:t xml:space="preserve"> concentrations, using standard techniques</w:t>
      </w:r>
      <w:r>
        <w:t xml:space="preserve"> </w:t>
      </w:r>
      <w:r w:rsidRPr="008E3CFD">
        <w:t xml:space="preserve">(Aldridge </w:t>
      </w:r>
      <w:r w:rsidRPr="008E3CFD">
        <w:rPr>
          <w:i/>
        </w:rPr>
        <w:t>et al.</w:t>
      </w:r>
      <w:r w:rsidRPr="008E3CFD">
        <w:t xml:space="preserve"> 2013).</w:t>
      </w:r>
    </w:p>
    <w:p w14:paraId="7CE526E5" w14:textId="77777777" w:rsidR="006361E1" w:rsidRPr="00525AE9" w:rsidRDefault="006361E1" w:rsidP="006361E1">
      <w:pPr>
        <w:pStyle w:val="Heading3"/>
      </w:pPr>
      <w:bookmarkStart w:id="1501" w:name="_Toc396825333"/>
      <w:bookmarkStart w:id="1502" w:name="_Toc6403900"/>
      <w:bookmarkStart w:id="1503" w:name="_Toc10095262"/>
      <w:bookmarkStart w:id="1504" w:name="_Toc10192431"/>
      <w:bookmarkStart w:id="1505" w:name="_Toc10206746"/>
      <w:bookmarkStart w:id="1506" w:name="_Toc10213332"/>
      <w:bookmarkStart w:id="1507" w:name="_Toc10732356"/>
      <w:bookmarkStart w:id="1508" w:name="_Toc10796915"/>
      <w:bookmarkStart w:id="1509" w:name="_Toc12022800"/>
      <w:bookmarkStart w:id="1510" w:name="_Toc12630630"/>
      <w:bookmarkStart w:id="1511" w:name="_Toc16154490"/>
      <w:bookmarkStart w:id="1512" w:name="_Toc22196852"/>
      <w:r w:rsidRPr="00525AE9">
        <w:t xml:space="preserve">Data analysis and </w:t>
      </w:r>
      <w:r>
        <w:t>evaluation</w:t>
      </w:r>
      <w:bookmarkEnd w:id="1501"/>
      <w:bookmarkEnd w:id="1502"/>
      <w:bookmarkEnd w:id="1503"/>
      <w:bookmarkEnd w:id="1504"/>
      <w:bookmarkEnd w:id="1505"/>
      <w:bookmarkEnd w:id="1506"/>
      <w:bookmarkEnd w:id="1507"/>
      <w:bookmarkEnd w:id="1508"/>
      <w:bookmarkEnd w:id="1509"/>
      <w:bookmarkEnd w:id="1510"/>
      <w:bookmarkEnd w:id="1511"/>
      <w:bookmarkEnd w:id="1512"/>
    </w:p>
    <w:p w14:paraId="7E121C78" w14:textId="24527F69" w:rsidR="006361E1" w:rsidRPr="000B0946" w:rsidRDefault="006361E1" w:rsidP="006361E1">
      <w:pPr>
        <w:rPr>
          <w:color w:val="auto"/>
        </w:rPr>
      </w:pPr>
      <w:r w:rsidRPr="008E3CFD">
        <w:t xml:space="preserve">The model will run scenarios </w:t>
      </w:r>
      <w:r>
        <w:t>to a</w:t>
      </w:r>
      <w:r w:rsidRPr="008E3CFD">
        <w:t>ssess the response of concentrations and transport of dissolved and particulate matter</w:t>
      </w:r>
      <w:r>
        <w:t>,</w:t>
      </w:r>
      <w:r w:rsidRPr="004E2B2D">
        <w:t xml:space="preserve"> </w:t>
      </w:r>
      <w:r>
        <w:t xml:space="preserve">making a </w:t>
      </w:r>
      <w:r w:rsidRPr="008E3CFD">
        <w:t>direct comparison of outcomes with and without</w:t>
      </w:r>
      <w:r>
        <w:t xml:space="preserve"> </w:t>
      </w:r>
      <w:r w:rsidRPr="00443EDA">
        <w:rPr>
          <w:rFonts w:eastAsia="Calibri"/>
        </w:rPr>
        <w:t>C</w:t>
      </w:r>
      <w:r>
        <w:rPr>
          <w:rFonts w:eastAsia="Calibri"/>
        </w:rPr>
        <w:t xml:space="preserve">ommonwealth </w:t>
      </w:r>
      <w:r>
        <w:rPr>
          <w:rFonts w:eastAsia="Calibri"/>
        </w:rPr>
        <w:lastRenderedPageBreak/>
        <w:t>environmental water</w:t>
      </w:r>
      <w:r>
        <w:t xml:space="preserve"> provisions</w:t>
      </w:r>
      <w:r w:rsidRPr="008E3CFD">
        <w:t xml:space="preserve">. </w:t>
      </w:r>
      <w:r>
        <w:t>It</w:t>
      </w:r>
      <w:r w:rsidRPr="008E3CFD">
        <w:t xml:space="preserve"> is not possible to replicate the scenarios</w:t>
      </w:r>
      <w:r>
        <w:t xml:space="preserve"> and so </w:t>
      </w:r>
      <w:r w:rsidRPr="008E3CFD">
        <w:t xml:space="preserve">no statistical analyses are possible and validation of the model outputs is essential. </w:t>
      </w:r>
      <w:r>
        <w:t>The</w:t>
      </w:r>
      <w:r w:rsidRPr="008E3CFD">
        <w:t xml:space="preserve"> model incorporates a large number of complicated biogeochemical processes</w:t>
      </w:r>
      <w:r>
        <w:t xml:space="preserve">, </w:t>
      </w:r>
      <w:r w:rsidRPr="008E3CFD">
        <w:t>for which there is often no data available</w:t>
      </w:r>
      <w:r>
        <w:t>,</w:t>
      </w:r>
      <w:r w:rsidRPr="008E3CFD">
        <w:t xml:space="preserve"> and at a relatively fine spatial scale. The detailed nature of the model means that it is only validated for a given set of climatic conditions</w:t>
      </w:r>
      <w:r>
        <w:t>, so</w:t>
      </w:r>
      <w:r w:rsidRPr="008E3CFD">
        <w:t xml:space="preserve"> it is essential that validation is conducted routinely. Information collected from field and laboratory work through existing monitoring programs will be used </w:t>
      </w:r>
      <w:r>
        <w:t xml:space="preserve">to </w:t>
      </w:r>
      <w:r w:rsidRPr="008E3CFD">
        <w:t>validat</w:t>
      </w:r>
      <w:r>
        <w:t>e</w:t>
      </w:r>
      <w:r w:rsidRPr="008E3CFD">
        <w:t xml:space="preserve"> the </w:t>
      </w:r>
      <w:r w:rsidRPr="000B0946">
        <w:rPr>
          <w:color w:val="auto"/>
        </w:rPr>
        <w:t>model. This d</w:t>
      </w:r>
      <w:r>
        <w:rPr>
          <w:color w:val="auto"/>
        </w:rPr>
        <w:t>ata</w:t>
      </w:r>
      <w:r w:rsidRPr="000B0946">
        <w:rPr>
          <w:color w:val="auto"/>
        </w:rPr>
        <w:t xml:space="preserve">, and permission to use it, will be sought from the Environment Protection Authority, </w:t>
      </w:r>
      <w:r w:rsidR="005C4E33">
        <w:rPr>
          <w:color w:val="auto"/>
        </w:rPr>
        <w:t>DEW</w:t>
      </w:r>
      <w:r w:rsidRPr="000B0946">
        <w:rPr>
          <w:color w:val="auto"/>
        </w:rPr>
        <w:t xml:space="preserve"> and SA Water. Additional climatic and hydrological input data will be sourced from the Bureau of Meteorology (climate), MDBA/CEWO (inflow) and Flinders Ports (Southern Ocean water level). The model validation will involve comparing observed and modelled concentrations of the various parameters for each flow scenario. In an iterative process, any issues identified will be corrected to minimise uncertainty with modelling outputs. The validation process is essential to allow for an adequate assessment of the contributions of </w:t>
      </w:r>
      <w:r w:rsidRPr="000B0946">
        <w:rPr>
          <w:rFonts w:eastAsia="Calibri"/>
          <w:color w:val="auto"/>
        </w:rPr>
        <w:t>Commonwealth environmental water</w:t>
      </w:r>
      <w:r w:rsidRPr="000B0946">
        <w:rPr>
          <w:color w:val="auto"/>
        </w:rPr>
        <w:t xml:space="preserve"> provisions to matter transport in the </w:t>
      </w:r>
      <w:r w:rsidRPr="00C304CC">
        <w:rPr>
          <w:color w:val="auto"/>
        </w:rPr>
        <w:t>Lower Murray</w:t>
      </w:r>
      <w:r w:rsidRPr="000B0946">
        <w:rPr>
          <w:color w:val="auto"/>
        </w:rPr>
        <w:t xml:space="preserve"> Selected Area. </w:t>
      </w:r>
    </w:p>
    <w:p w14:paraId="17DB1C69" w14:textId="77777777" w:rsidR="006361E1" w:rsidRDefault="006361E1" w:rsidP="006361E1">
      <w:pPr>
        <w:pStyle w:val="ListNumber"/>
        <w:numPr>
          <w:ilvl w:val="0"/>
          <w:numId w:val="0"/>
        </w:numPr>
      </w:pPr>
      <w:r w:rsidRPr="000B0946">
        <w:rPr>
          <w:color w:val="auto"/>
        </w:rPr>
        <w:t>Following validation, the model will be run for defined (flow) scenarios to assess the response of concentrations and transport of di</w:t>
      </w:r>
      <w:r>
        <w:rPr>
          <w:color w:val="auto"/>
        </w:rPr>
        <w:t>ssolved and particulate matter.</w:t>
      </w:r>
      <w:r w:rsidRPr="000B0946">
        <w:rPr>
          <w:color w:val="auto"/>
        </w:rPr>
        <w:t xml:space="preserve"> The comparison of modelled concentrations of the various parameters for each flow scenario (with and without Commonwealth environmental water) will provide the basis for the evaluation and reporting. The difference</w:t>
      </w:r>
      <w:r>
        <w:t xml:space="preserve"> between the scenarios can be attributed to Commonwealth environmental water, although uncertainty in model outputs will be appropriately acknowledged. The model outputs will be presented as changes in concentrations and cumulative loads (at Lock 1, Wellington, Barrages and Murray Mouth) throughout the watering year. This will be reported on annually, with reports building on knowledge and results gained from previous watering years, including from CEWO short-term intervention monitoring. </w:t>
      </w:r>
    </w:p>
    <w:p w14:paraId="4BDDA283" w14:textId="77777777" w:rsidR="006361E1" w:rsidRPr="00992869" w:rsidRDefault="006361E1" w:rsidP="006361E1">
      <w:pPr>
        <w:pStyle w:val="Heading3"/>
      </w:pPr>
      <w:bookmarkStart w:id="1513" w:name="_Toc10095263"/>
      <w:bookmarkStart w:id="1514" w:name="_Toc10192432"/>
      <w:bookmarkStart w:id="1515" w:name="_Toc10206747"/>
      <w:bookmarkStart w:id="1516" w:name="_Toc10213333"/>
      <w:bookmarkStart w:id="1517" w:name="_Toc10732357"/>
      <w:bookmarkStart w:id="1518" w:name="_Toc10796916"/>
      <w:bookmarkStart w:id="1519" w:name="_Toc12022801"/>
      <w:bookmarkStart w:id="1520" w:name="_Toc12630631"/>
      <w:bookmarkStart w:id="1521" w:name="_Toc16154491"/>
      <w:bookmarkStart w:id="1522" w:name="_Toc22196853"/>
      <w:bookmarkStart w:id="1523" w:name="_Toc6403904"/>
      <w:r w:rsidRPr="00992869">
        <w:t>Data management</w:t>
      </w:r>
      <w:bookmarkEnd w:id="1513"/>
      <w:bookmarkEnd w:id="1514"/>
      <w:bookmarkEnd w:id="1515"/>
      <w:bookmarkEnd w:id="1516"/>
      <w:bookmarkEnd w:id="1517"/>
      <w:bookmarkEnd w:id="1518"/>
      <w:bookmarkEnd w:id="1519"/>
      <w:bookmarkEnd w:id="1520"/>
      <w:bookmarkEnd w:id="1521"/>
      <w:bookmarkEnd w:id="1522"/>
    </w:p>
    <w:p w14:paraId="6F28480D" w14:textId="4656B72F" w:rsidR="00DA312A" w:rsidRDefault="009E6C53" w:rsidP="009E6C53">
      <w:bookmarkStart w:id="1524" w:name="_Toc10095265"/>
      <w:bookmarkStart w:id="1525" w:name="_Toc10192434"/>
      <w:r w:rsidRPr="00623CFF">
        <w:t xml:space="preserve">See Section </w:t>
      </w:r>
      <w:r w:rsidRPr="00623CFF">
        <w:fldChar w:fldCharType="begin"/>
      </w:r>
      <w:r w:rsidRPr="00623CFF">
        <w:instrText xml:space="preserve"> REF _Ref10196755 \r \h </w:instrText>
      </w:r>
      <w:r w:rsidR="00623CFF" w:rsidRPr="00623CFF">
        <w:instrText xml:space="preserve"> \* MERGEFORMAT </w:instrText>
      </w:r>
      <w:r w:rsidRPr="00623CFF">
        <w:fldChar w:fldCharType="separate"/>
      </w:r>
      <w:r w:rsidR="00DF49CD">
        <w:t>11</w:t>
      </w:r>
      <w:r w:rsidRPr="00623CFF">
        <w:fldChar w:fldCharType="end"/>
      </w:r>
      <w:r w:rsidRPr="00623CFF">
        <w:t xml:space="preserve"> </w:t>
      </w:r>
      <w:r w:rsidRPr="00623CFF">
        <w:rPr>
          <w:rFonts w:cstheme="minorHAnsi"/>
          <w:szCs w:val="22"/>
        </w:rPr>
        <w:t>in the MER Plan for data management procedures</w:t>
      </w:r>
      <w:r w:rsidRPr="00623CFF">
        <w:t>.</w:t>
      </w:r>
      <w:r w:rsidR="00623CFF" w:rsidRPr="00623CFF">
        <w:t xml:space="preserve"> The data templates for Category 3 (Selected Area) indicators will be developed by the Selected Area, in consultation with CEWO, and will conform to data standards. The </w:t>
      </w:r>
      <w:r w:rsidR="00623CFF" w:rsidRPr="00623CFF">
        <w:rPr>
          <w:i/>
        </w:rPr>
        <w:t xml:space="preserve">Matter </w:t>
      </w:r>
      <w:r w:rsidR="00623CFF" w:rsidRPr="00623CFF">
        <w:t>Transport template</w:t>
      </w:r>
      <w:r w:rsidR="00623CFF">
        <w:t>s for concentrations and loads</w:t>
      </w:r>
      <w:r w:rsidR="00623CFF" w:rsidRPr="00623CFF">
        <w:t xml:space="preserve"> </w:t>
      </w:r>
      <w:r w:rsidR="00623CFF">
        <w:t>are</w:t>
      </w:r>
      <w:r w:rsidR="00623CFF" w:rsidRPr="00623CFF">
        <w:t xml:space="preserve"> provided below.</w:t>
      </w:r>
    </w:p>
    <w:p w14:paraId="5DA2AAD7" w14:textId="4480E507" w:rsidR="00756633" w:rsidRPr="001155B3" w:rsidRDefault="00756633" w:rsidP="009E6C53">
      <w:pPr>
        <w:rPr>
          <w:b/>
        </w:rPr>
      </w:pPr>
      <w:r w:rsidRPr="001155B3">
        <w:rPr>
          <w:b/>
        </w:rPr>
        <w:t>Concentrations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5"/>
        <w:gridCol w:w="2036"/>
        <w:gridCol w:w="969"/>
        <w:gridCol w:w="1503"/>
        <w:gridCol w:w="1501"/>
        <w:gridCol w:w="1496"/>
      </w:tblGrid>
      <w:tr w:rsidR="00756633" w:rsidRPr="00CC474D" w14:paraId="2D3A549F" w14:textId="490D50CF" w:rsidTr="001155B3">
        <w:trPr>
          <w:tblHeader/>
        </w:trPr>
        <w:tc>
          <w:tcPr>
            <w:tcW w:w="835" w:type="pct"/>
            <w:shd w:val="clear" w:color="auto" w:fill="D9D9D9"/>
          </w:tcPr>
          <w:p w14:paraId="00231DAD" w14:textId="77777777" w:rsidR="00756633" w:rsidRPr="00CC474D" w:rsidRDefault="00756633" w:rsidP="0050053E">
            <w:pPr>
              <w:pStyle w:val="TableHeading"/>
              <w:rPr>
                <w:szCs w:val="20"/>
              </w:rPr>
            </w:pPr>
            <w:r w:rsidRPr="00CC474D">
              <w:rPr>
                <w:szCs w:val="20"/>
              </w:rPr>
              <w:t>Variable</w:t>
            </w:r>
          </w:p>
        </w:tc>
        <w:tc>
          <w:tcPr>
            <w:tcW w:w="1130" w:type="pct"/>
            <w:shd w:val="clear" w:color="auto" w:fill="D9D9D9"/>
          </w:tcPr>
          <w:p w14:paraId="5E361AF0" w14:textId="77777777" w:rsidR="00756633" w:rsidRPr="00CC474D" w:rsidRDefault="00756633" w:rsidP="0050053E">
            <w:pPr>
              <w:pStyle w:val="TableHeading"/>
              <w:rPr>
                <w:szCs w:val="20"/>
              </w:rPr>
            </w:pPr>
            <w:r w:rsidRPr="00CC474D">
              <w:rPr>
                <w:szCs w:val="20"/>
              </w:rPr>
              <w:t>Description</w:t>
            </w:r>
          </w:p>
        </w:tc>
        <w:tc>
          <w:tcPr>
            <w:tcW w:w="538" w:type="pct"/>
            <w:shd w:val="clear" w:color="auto" w:fill="D9D9D9"/>
          </w:tcPr>
          <w:p w14:paraId="5CB43FA8" w14:textId="71071F7C" w:rsidR="00756633" w:rsidRPr="00CC474D" w:rsidRDefault="00756633" w:rsidP="0050053E">
            <w:pPr>
              <w:pStyle w:val="TableHeading"/>
              <w:rPr>
                <w:szCs w:val="20"/>
              </w:rPr>
            </w:pPr>
            <w:r w:rsidRPr="00CC474D">
              <w:rPr>
                <w:szCs w:val="20"/>
              </w:rPr>
              <w:t>Type</w:t>
            </w:r>
          </w:p>
        </w:tc>
        <w:tc>
          <w:tcPr>
            <w:tcW w:w="834" w:type="pct"/>
            <w:shd w:val="clear" w:color="auto" w:fill="D9D9D9"/>
          </w:tcPr>
          <w:p w14:paraId="09FAE96D" w14:textId="77777777" w:rsidR="00756633" w:rsidRPr="00CC474D" w:rsidRDefault="00756633" w:rsidP="0050053E">
            <w:pPr>
              <w:pStyle w:val="TableHeading"/>
              <w:rPr>
                <w:szCs w:val="20"/>
              </w:rPr>
            </w:pPr>
            <w:r w:rsidRPr="00CC474D">
              <w:rPr>
                <w:szCs w:val="20"/>
              </w:rPr>
              <w:t>Required</w:t>
            </w:r>
          </w:p>
        </w:tc>
        <w:tc>
          <w:tcPr>
            <w:tcW w:w="833" w:type="pct"/>
            <w:shd w:val="clear" w:color="auto" w:fill="D9D9D9"/>
          </w:tcPr>
          <w:p w14:paraId="79D9A275" w14:textId="77777777" w:rsidR="00756633" w:rsidRPr="00CC474D" w:rsidRDefault="00756633" w:rsidP="0050053E">
            <w:pPr>
              <w:pStyle w:val="TableHeading"/>
              <w:rPr>
                <w:szCs w:val="20"/>
              </w:rPr>
            </w:pPr>
            <w:r w:rsidRPr="00CC474D">
              <w:rPr>
                <w:szCs w:val="20"/>
              </w:rPr>
              <w:t>Range</w:t>
            </w:r>
          </w:p>
        </w:tc>
        <w:tc>
          <w:tcPr>
            <w:tcW w:w="830" w:type="pct"/>
            <w:shd w:val="clear" w:color="auto" w:fill="D9D9D9"/>
          </w:tcPr>
          <w:p w14:paraId="1EE1FF86" w14:textId="3B381787" w:rsidR="00756633" w:rsidRPr="00CC474D" w:rsidRDefault="00756633" w:rsidP="0050053E">
            <w:pPr>
              <w:pStyle w:val="TableHeading"/>
              <w:rPr>
                <w:szCs w:val="20"/>
              </w:rPr>
            </w:pPr>
            <w:r w:rsidRPr="00CC474D">
              <w:rPr>
                <w:szCs w:val="20"/>
              </w:rPr>
              <w:t>Example</w:t>
            </w:r>
          </w:p>
        </w:tc>
      </w:tr>
      <w:tr w:rsidR="001155B3" w:rsidRPr="00CC474D" w14:paraId="6FEBE1CA" w14:textId="5F1487DA" w:rsidTr="001155B3">
        <w:tc>
          <w:tcPr>
            <w:tcW w:w="835" w:type="pct"/>
          </w:tcPr>
          <w:p w14:paraId="31CD23D1" w14:textId="7FC4C631" w:rsidR="001155B3" w:rsidRPr="00CC474D" w:rsidRDefault="001155B3" w:rsidP="001155B3">
            <w:pPr>
              <w:pStyle w:val="TableText"/>
              <w:rPr>
                <w:szCs w:val="20"/>
              </w:rPr>
            </w:pPr>
            <w:r w:rsidRPr="00CC474D">
              <w:rPr>
                <w:szCs w:val="20"/>
              </w:rPr>
              <w:t>Sample Point Name</w:t>
            </w:r>
          </w:p>
        </w:tc>
        <w:tc>
          <w:tcPr>
            <w:tcW w:w="1130" w:type="pct"/>
            <w:vAlign w:val="center"/>
          </w:tcPr>
          <w:p w14:paraId="25E3CA6A" w14:textId="24864F60" w:rsidR="001155B3" w:rsidRPr="00CC474D" w:rsidRDefault="001155B3" w:rsidP="001155B3">
            <w:pPr>
              <w:pStyle w:val="TableText"/>
              <w:rPr>
                <w:szCs w:val="20"/>
              </w:rPr>
            </w:pPr>
            <w:r w:rsidRPr="00CC474D">
              <w:rPr>
                <w:rStyle w:val="Emphasis"/>
                <w:rFonts w:cstheme="minorHAnsi"/>
                <w:i w:val="0"/>
                <w:szCs w:val="20"/>
              </w:rPr>
              <w:t>A specific location within water-bodies represented by either a name or polygon within which observations are made</w:t>
            </w:r>
          </w:p>
        </w:tc>
        <w:tc>
          <w:tcPr>
            <w:tcW w:w="538" w:type="pct"/>
            <w:vAlign w:val="center"/>
          </w:tcPr>
          <w:p w14:paraId="2ED914E8" w14:textId="41AB7FF8" w:rsidR="001155B3" w:rsidRPr="00CC474D" w:rsidRDefault="001155B3" w:rsidP="001155B3">
            <w:pPr>
              <w:pStyle w:val="TableText"/>
              <w:rPr>
                <w:szCs w:val="20"/>
              </w:rPr>
            </w:pPr>
            <w:r w:rsidRPr="00CC474D">
              <w:rPr>
                <w:rFonts w:cstheme="minorHAnsi"/>
                <w:szCs w:val="20"/>
              </w:rPr>
              <w:t>string</w:t>
            </w:r>
          </w:p>
        </w:tc>
        <w:tc>
          <w:tcPr>
            <w:tcW w:w="834" w:type="pct"/>
            <w:shd w:val="clear" w:color="auto" w:fill="auto"/>
            <w:vAlign w:val="center"/>
          </w:tcPr>
          <w:p w14:paraId="5903DE4C" w14:textId="557F78C6" w:rsidR="001155B3" w:rsidRPr="00CC474D" w:rsidRDefault="001155B3" w:rsidP="001155B3">
            <w:pPr>
              <w:pStyle w:val="TableText"/>
              <w:rPr>
                <w:szCs w:val="20"/>
              </w:rPr>
            </w:pPr>
            <w:r w:rsidRPr="00CC474D">
              <w:rPr>
                <w:rFonts w:cstheme="minorHAnsi"/>
                <w:szCs w:val="20"/>
              </w:rPr>
              <w:t>Y</w:t>
            </w:r>
          </w:p>
        </w:tc>
        <w:tc>
          <w:tcPr>
            <w:tcW w:w="833" w:type="pct"/>
          </w:tcPr>
          <w:p w14:paraId="0473F788" w14:textId="68C0571B" w:rsidR="001155B3" w:rsidRPr="00CC474D" w:rsidRDefault="001155B3" w:rsidP="001155B3">
            <w:pPr>
              <w:pStyle w:val="TableText"/>
              <w:rPr>
                <w:szCs w:val="20"/>
              </w:rPr>
            </w:pPr>
          </w:p>
        </w:tc>
        <w:tc>
          <w:tcPr>
            <w:tcW w:w="830" w:type="pct"/>
          </w:tcPr>
          <w:p w14:paraId="31AC9DAC" w14:textId="184CED92" w:rsidR="001155B3" w:rsidRPr="00CC474D" w:rsidRDefault="001155B3" w:rsidP="001155B3">
            <w:pPr>
              <w:pStyle w:val="TableText"/>
              <w:rPr>
                <w:szCs w:val="20"/>
              </w:rPr>
            </w:pPr>
            <w:r w:rsidRPr="00CC474D">
              <w:rPr>
                <w:szCs w:val="20"/>
              </w:rPr>
              <w:t>LK1DS_8km</w:t>
            </w:r>
          </w:p>
        </w:tc>
      </w:tr>
      <w:tr w:rsidR="001155B3" w:rsidRPr="00CC474D" w14:paraId="551DA333" w14:textId="77777777" w:rsidTr="001155B3">
        <w:tc>
          <w:tcPr>
            <w:tcW w:w="835" w:type="pct"/>
            <w:vAlign w:val="center"/>
          </w:tcPr>
          <w:p w14:paraId="4DB762C7" w14:textId="77A1846F" w:rsidR="001155B3" w:rsidRPr="00CC474D" w:rsidRDefault="001155B3" w:rsidP="001155B3">
            <w:pPr>
              <w:pStyle w:val="TableText"/>
              <w:rPr>
                <w:szCs w:val="20"/>
              </w:rPr>
            </w:pPr>
            <w:r w:rsidRPr="00CC474D">
              <w:rPr>
                <w:rFonts w:cstheme="minorHAnsi"/>
                <w:szCs w:val="20"/>
              </w:rPr>
              <w:t>sampleDate</w:t>
            </w:r>
          </w:p>
        </w:tc>
        <w:tc>
          <w:tcPr>
            <w:tcW w:w="1130" w:type="pct"/>
            <w:vAlign w:val="center"/>
          </w:tcPr>
          <w:p w14:paraId="0F55465C" w14:textId="01A95385" w:rsidR="001155B3" w:rsidRPr="00CC474D" w:rsidRDefault="001155B3" w:rsidP="001155B3">
            <w:pPr>
              <w:pStyle w:val="TableText"/>
              <w:rPr>
                <w:szCs w:val="20"/>
              </w:rPr>
            </w:pPr>
            <w:r w:rsidRPr="00CC474D">
              <w:rPr>
                <w:rFonts w:cstheme="minorHAnsi"/>
                <w:szCs w:val="20"/>
              </w:rPr>
              <w:t>Specific dates for outputs of modelled scenarios (each day within a watering year)</w:t>
            </w:r>
          </w:p>
        </w:tc>
        <w:tc>
          <w:tcPr>
            <w:tcW w:w="538" w:type="pct"/>
            <w:vAlign w:val="center"/>
          </w:tcPr>
          <w:p w14:paraId="5578F7A2" w14:textId="0CA0545A" w:rsidR="001155B3" w:rsidRPr="00CC474D" w:rsidRDefault="001155B3" w:rsidP="001155B3">
            <w:pPr>
              <w:pStyle w:val="TableText"/>
              <w:rPr>
                <w:szCs w:val="20"/>
              </w:rPr>
            </w:pPr>
            <w:r w:rsidRPr="00CC474D">
              <w:rPr>
                <w:rFonts w:cstheme="minorHAnsi"/>
                <w:color w:val="auto"/>
                <w:szCs w:val="20"/>
              </w:rPr>
              <w:t>date</w:t>
            </w:r>
          </w:p>
        </w:tc>
        <w:tc>
          <w:tcPr>
            <w:tcW w:w="834" w:type="pct"/>
            <w:shd w:val="clear" w:color="auto" w:fill="auto"/>
            <w:vAlign w:val="center"/>
          </w:tcPr>
          <w:p w14:paraId="1CC0F53E" w14:textId="4B3AE68B" w:rsidR="001155B3" w:rsidRPr="00CC474D" w:rsidRDefault="001155B3" w:rsidP="001155B3">
            <w:pPr>
              <w:pStyle w:val="TableText"/>
              <w:rPr>
                <w:szCs w:val="20"/>
              </w:rPr>
            </w:pPr>
            <w:r w:rsidRPr="00CC474D">
              <w:rPr>
                <w:rFonts w:cstheme="minorHAnsi"/>
                <w:color w:val="auto"/>
                <w:szCs w:val="20"/>
              </w:rPr>
              <w:t>Y</w:t>
            </w:r>
          </w:p>
        </w:tc>
        <w:tc>
          <w:tcPr>
            <w:tcW w:w="833" w:type="pct"/>
            <w:vAlign w:val="center"/>
          </w:tcPr>
          <w:p w14:paraId="318D1AE0" w14:textId="77777777" w:rsidR="001155B3" w:rsidRPr="00CC474D" w:rsidRDefault="001155B3" w:rsidP="001155B3">
            <w:pPr>
              <w:pStyle w:val="TableText"/>
              <w:rPr>
                <w:szCs w:val="20"/>
              </w:rPr>
            </w:pPr>
          </w:p>
        </w:tc>
        <w:tc>
          <w:tcPr>
            <w:tcW w:w="830" w:type="pct"/>
          </w:tcPr>
          <w:p w14:paraId="0D4CC491" w14:textId="0EBF58AD" w:rsidR="001155B3" w:rsidRPr="00CC474D" w:rsidRDefault="001155B3" w:rsidP="001155B3">
            <w:pPr>
              <w:pStyle w:val="TableText"/>
              <w:rPr>
                <w:szCs w:val="20"/>
              </w:rPr>
            </w:pPr>
            <w:r w:rsidRPr="00CC474D">
              <w:rPr>
                <w:rFonts w:cstheme="minorHAnsi"/>
                <w:bCs/>
                <w:szCs w:val="20"/>
              </w:rPr>
              <w:t>12/09/2019</w:t>
            </w:r>
          </w:p>
        </w:tc>
      </w:tr>
      <w:tr w:rsidR="001155B3" w:rsidRPr="00CC474D" w14:paraId="490AE948" w14:textId="77777777" w:rsidTr="00BA28FA">
        <w:tc>
          <w:tcPr>
            <w:tcW w:w="835" w:type="pct"/>
            <w:vAlign w:val="center"/>
          </w:tcPr>
          <w:p w14:paraId="047FA518" w14:textId="70E36D21" w:rsidR="001155B3" w:rsidRPr="00CC474D" w:rsidRDefault="001155B3" w:rsidP="001155B3">
            <w:pPr>
              <w:pStyle w:val="TableText"/>
              <w:rPr>
                <w:szCs w:val="20"/>
              </w:rPr>
            </w:pPr>
            <w:r w:rsidRPr="00CC474D">
              <w:rPr>
                <w:rFonts w:cstheme="minorHAnsi"/>
                <w:szCs w:val="20"/>
              </w:rPr>
              <w:t>salinity</w:t>
            </w:r>
          </w:p>
        </w:tc>
        <w:tc>
          <w:tcPr>
            <w:tcW w:w="1130" w:type="pct"/>
            <w:vAlign w:val="center"/>
          </w:tcPr>
          <w:p w14:paraId="2FED2B96" w14:textId="7566C160" w:rsidR="001155B3" w:rsidRPr="00CC474D" w:rsidRDefault="001155B3" w:rsidP="001155B3">
            <w:pPr>
              <w:pStyle w:val="TableText"/>
              <w:rPr>
                <w:szCs w:val="20"/>
              </w:rPr>
            </w:pPr>
            <w:r w:rsidRPr="00CC474D">
              <w:rPr>
                <w:rFonts w:cstheme="minorHAnsi"/>
                <w:szCs w:val="20"/>
              </w:rPr>
              <w:t>A measure of salinity in practical salinity units</w:t>
            </w:r>
          </w:p>
        </w:tc>
        <w:tc>
          <w:tcPr>
            <w:tcW w:w="538" w:type="pct"/>
            <w:vAlign w:val="center"/>
          </w:tcPr>
          <w:p w14:paraId="38ADF73A" w14:textId="0CB17EAC" w:rsidR="001155B3" w:rsidRPr="00CC474D" w:rsidRDefault="001155B3" w:rsidP="001155B3">
            <w:pPr>
              <w:pStyle w:val="TableText"/>
              <w:rPr>
                <w:szCs w:val="20"/>
              </w:rPr>
            </w:pPr>
            <w:r w:rsidRPr="00CC474D">
              <w:rPr>
                <w:rFonts w:cstheme="minorHAnsi"/>
                <w:szCs w:val="20"/>
              </w:rPr>
              <w:t>Number (2 decimals)</w:t>
            </w:r>
          </w:p>
        </w:tc>
        <w:tc>
          <w:tcPr>
            <w:tcW w:w="834" w:type="pct"/>
            <w:shd w:val="clear" w:color="auto" w:fill="auto"/>
            <w:vAlign w:val="center"/>
          </w:tcPr>
          <w:p w14:paraId="04F24ED4" w14:textId="2F64617A" w:rsidR="001155B3" w:rsidRPr="00CC474D" w:rsidRDefault="001155B3" w:rsidP="001155B3">
            <w:pPr>
              <w:pStyle w:val="TableText"/>
              <w:rPr>
                <w:szCs w:val="20"/>
              </w:rPr>
            </w:pPr>
            <w:r w:rsidRPr="00CC474D">
              <w:rPr>
                <w:rFonts w:cstheme="minorHAnsi"/>
                <w:szCs w:val="20"/>
              </w:rPr>
              <w:t>Y</w:t>
            </w:r>
          </w:p>
        </w:tc>
        <w:tc>
          <w:tcPr>
            <w:tcW w:w="833" w:type="pct"/>
            <w:vAlign w:val="center"/>
          </w:tcPr>
          <w:p w14:paraId="5EC6DDED" w14:textId="42E30043" w:rsidR="001155B3" w:rsidRPr="00CC474D" w:rsidRDefault="001155B3" w:rsidP="001155B3">
            <w:pPr>
              <w:pStyle w:val="TableText"/>
              <w:rPr>
                <w:szCs w:val="20"/>
              </w:rPr>
            </w:pPr>
            <w:r w:rsidRPr="00CC474D">
              <w:rPr>
                <w:rFonts w:cstheme="minorHAnsi"/>
                <w:szCs w:val="20"/>
              </w:rPr>
              <w:t>0–42 PSU</w:t>
            </w:r>
          </w:p>
        </w:tc>
        <w:tc>
          <w:tcPr>
            <w:tcW w:w="830" w:type="pct"/>
            <w:vAlign w:val="center"/>
          </w:tcPr>
          <w:p w14:paraId="0E3CAECF" w14:textId="198DF14B" w:rsidR="001155B3" w:rsidRPr="00CC474D" w:rsidRDefault="001155B3" w:rsidP="001155B3">
            <w:pPr>
              <w:pStyle w:val="TableText"/>
              <w:rPr>
                <w:szCs w:val="20"/>
              </w:rPr>
            </w:pPr>
            <w:r w:rsidRPr="00CC474D">
              <w:rPr>
                <w:rFonts w:cstheme="minorHAnsi"/>
                <w:szCs w:val="20"/>
              </w:rPr>
              <w:t>10.16 PSU</w:t>
            </w:r>
          </w:p>
        </w:tc>
      </w:tr>
      <w:tr w:rsidR="001155B3" w:rsidRPr="00CC474D" w14:paraId="3A2C319A" w14:textId="4629A367" w:rsidTr="00BA28FA">
        <w:tc>
          <w:tcPr>
            <w:tcW w:w="835" w:type="pct"/>
            <w:vAlign w:val="center"/>
          </w:tcPr>
          <w:p w14:paraId="4741E3DD" w14:textId="00A051B2" w:rsidR="001155B3" w:rsidRPr="00CC474D" w:rsidRDefault="001155B3" w:rsidP="001155B3">
            <w:pPr>
              <w:pStyle w:val="TableText"/>
              <w:rPr>
                <w:szCs w:val="20"/>
              </w:rPr>
            </w:pPr>
            <w:r w:rsidRPr="00CC474D">
              <w:rPr>
                <w:rFonts w:cstheme="minorHAnsi"/>
                <w:szCs w:val="20"/>
              </w:rPr>
              <w:lastRenderedPageBreak/>
              <w:t>phosphateConcentration</w:t>
            </w:r>
          </w:p>
        </w:tc>
        <w:tc>
          <w:tcPr>
            <w:tcW w:w="1130" w:type="pct"/>
            <w:vAlign w:val="center"/>
          </w:tcPr>
          <w:p w14:paraId="45CF7B43" w14:textId="188658AD" w:rsidR="001155B3" w:rsidRPr="00CC474D" w:rsidRDefault="001155B3" w:rsidP="001155B3">
            <w:pPr>
              <w:rPr>
                <w:sz w:val="20"/>
              </w:rPr>
            </w:pPr>
            <w:r w:rsidRPr="00CC474D">
              <w:rPr>
                <w:rFonts w:cstheme="minorHAnsi"/>
                <w:sz w:val="20"/>
              </w:rPr>
              <w:t>A measure of dissolved inorganic phosphorus concentration in milligrams per litre</w:t>
            </w:r>
          </w:p>
        </w:tc>
        <w:tc>
          <w:tcPr>
            <w:tcW w:w="538" w:type="pct"/>
            <w:vAlign w:val="center"/>
          </w:tcPr>
          <w:p w14:paraId="43B89B59" w14:textId="505AFB76" w:rsidR="001155B3" w:rsidRPr="00CC474D" w:rsidRDefault="001155B3" w:rsidP="001155B3">
            <w:pPr>
              <w:pStyle w:val="TableText"/>
              <w:rPr>
                <w:szCs w:val="20"/>
              </w:rPr>
            </w:pPr>
            <w:r w:rsidRPr="00CC474D">
              <w:rPr>
                <w:rFonts w:cstheme="minorHAnsi"/>
                <w:szCs w:val="20"/>
              </w:rPr>
              <w:t>Number (3 decimal)</w:t>
            </w:r>
          </w:p>
        </w:tc>
        <w:tc>
          <w:tcPr>
            <w:tcW w:w="834" w:type="pct"/>
            <w:shd w:val="clear" w:color="auto" w:fill="auto"/>
            <w:vAlign w:val="center"/>
          </w:tcPr>
          <w:p w14:paraId="1C2C6F4A" w14:textId="0510ADB9" w:rsidR="001155B3" w:rsidRPr="00CC474D" w:rsidRDefault="001155B3" w:rsidP="001155B3">
            <w:pPr>
              <w:pStyle w:val="TableText"/>
              <w:rPr>
                <w:szCs w:val="20"/>
              </w:rPr>
            </w:pPr>
            <w:r w:rsidRPr="00CC474D">
              <w:rPr>
                <w:rFonts w:cstheme="minorHAnsi"/>
                <w:szCs w:val="20"/>
              </w:rPr>
              <w:t>Y</w:t>
            </w:r>
          </w:p>
        </w:tc>
        <w:tc>
          <w:tcPr>
            <w:tcW w:w="833" w:type="pct"/>
            <w:vAlign w:val="center"/>
          </w:tcPr>
          <w:p w14:paraId="6FB62812" w14:textId="560B181B" w:rsidR="001155B3" w:rsidRPr="00CC474D" w:rsidRDefault="001155B3" w:rsidP="001155B3">
            <w:pPr>
              <w:rPr>
                <w:sz w:val="20"/>
              </w:rPr>
            </w:pPr>
            <w:r w:rsidRPr="00CC474D">
              <w:rPr>
                <w:rFonts w:cstheme="minorHAnsi"/>
                <w:sz w:val="20"/>
              </w:rPr>
              <w:t>0–0.3 mg/L</w:t>
            </w:r>
          </w:p>
        </w:tc>
        <w:tc>
          <w:tcPr>
            <w:tcW w:w="830" w:type="pct"/>
            <w:vAlign w:val="center"/>
          </w:tcPr>
          <w:p w14:paraId="466E910A" w14:textId="02A8B2EE" w:rsidR="001155B3" w:rsidRPr="00CC474D" w:rsidRDefault="001155B3" w:rsidP="001155B3">
            <w:pPr>
              <w:rPr>
                <w:sz w:val="20"/>
              </w:rPr>
            </w:pPr>
            <w:r w:rsidRPr="00CC474D">
              <w:rPr>
                <w:rFonts w:cstheme="minorHAnsi"/>
                <w:sz w:val="20"/>
              </w:rPr>
              <w:t>0.010 mg/L</w:t>
            </w:r>
          </w:p>
        </w:tc>
      </w:tr>
      <w:tr w:rsidR="001155B3" w:rsidRPr="00CC474D" w14:paraId="5717D4DD" w14:textId="1ABF18AF" w:rsidTr="00BA28FA">
        <w:tc>
          <w:tcPr>
            <w:tcW w:w="835" w:type="pct"/>
            <w:vAlign w:val="center"/>
          </w:tcPr>
          <w:p w14:paraId="4C77AC8C" w14:textId="0807AC4E" w:rsidR="001155B3" w:rsidRPr="00CC474D" w:rsidRDefault="001155B3" w:rsidP="001155B3">
            <w:pPr>
              <w:pStyle w:val="TableText"/>
              <w:rPr>
                <w:szCs w:val="20"/>
              </w:rPr>
            </w:pPr>
            <w:r w:rsidRPr="00CC474D">
              <w:rPr>
                <w:rFonts w:cstheme="minorHAnsi"/>
                <w:szCs w:val="20"/>
              </w:rPr>
              <w:t>particulate OrganicPhosphorusConcentration</w:t>
            </w:r>
          </w:p>
        </w:tc>
        <w:tc>
          <w:tcPr>
            <w:tcW w:w="1130" w:type="pct"/>
            <w:vAlign w:val="center"/>
          </w:tcPr>
          <w:p w14:paraId="26235B44" w14:textId="5D6B83DB" w:rsidR="001155B3" w:rsidRPr="00CC474D" w:rsidRDefault="001155B3" w:rsidP="001155B3">
            <w:pPr>
              <w:rPr>
                <w:sz w:val="20"/>
              </w:rPr>
            </w:pPr>
            <w:r w:rsidRPr="00CC474D">
              <w:rPr>
                <w:rFonts w:cstheme="minorHAnsi"/>
                <w:sz w:val="20"/>
              </w:rPr>
              <w:t>A measure of dissolved organic phosphorus concentration in milligrams per litre</w:t>
            </w:r>
          </w:p>
        </w:tc>
        <w:tc>
          <w:tcPr>
            <w:tcW w:w="538" w:type="pct"/>
            <w:vAlign w:val="center"/>
          </w:tcPr>
          <w:p w14:paraId="35710277" w14:textId="383054FC" w:rsidR="001155B3" w:rsidRPr="00CC474D" w:rsidRDefault="001155B3" w:rsidP="001155B3">
            <w:pPr>
              <w:pStyle w:val="TableText"/>
              <w:rPr>
                <w:szCs w:val="20"/>
              </w:rPr>
            </w:pPr>
            <w:r w:rsidRPr="00CC474D">
              <w:rPr>
                <w:rFonts w:cstheme="minorHAnsi"/>
                <w:szCs w:val="20"/>
              </w:rPr>
              <w:t>Number (3 decimal)</w:t>
            </w:r>
          </w:p>
        </w:tc>
        <w:tc>
          <w:tcPr>
            <w:tcW w:w="834" w:type="pct"/>
            <w:shd w:val="clear" w:color="auto" w:fill="auto"/>
            <w:vAlign w:val="center"/>
          </w:tcPr>
          <w:p w14:paraId="4B786300" w14:textId="78EDA2A6" w:rsidR="001155B3" w:rsidRPr="00CC474D" w:rsidRDefault="001155B3" w:rsidP="001155B3">
            <w:pPr>
              <w:pStyle w:val="TableText"/>
              <w:rPr>
                <w:szCs w:val="20"/>
              </w:rPr>
            </w:pPr>
            <w:r w:rsidRPr="00CC474D">
              <w:rPr>
                <w:rFonts w:cstheme="minorHAnsi"/>
                <w:szCs w:val="20"/>
              </w:rPr>
              <w:t>Y</w:t>
            </w:r>
          </w:p>
        </w:tc>
        <w:tc>
          <w:tcPr>
            <w:tcW w:w="833" w:type="pct"/>
            <w:vAlign w:val="center"/>
          </w:tcPr>
          <w:p w14:paraId="647AD3AF" w14:textId="560F190B" w:rsidR="001155B3" w:rsidRPr="00CC474D" w:rsidRDefault="001155B3" w:rsidP="001155B3">
            <w:pPr>
              <w:rPr>
                <w:sz w:val="20"/>
              </w:rPr>
            </w:pPr>
            <w:r w:rsidRPr="00CC474D">
              <w:rPr>
                <w:rFonts w:cstheme="minorHAnsi"/>
                <w:sz w:val="20"/>
              </w:rPr>
              <w:t>0–1 mg/L</w:t>
            </w:r>
          </w:p>
        </w:tc>
        <w:tc>
          <w:tcPr>
            <w:tcW w:w="830" w:type="pct"/>
            <w:vAlign w:val="center"/>
          </w:tcPr>
          <w:p w14:paraId="3022A234" w14:textId="1C4092AA" w:rsidR="001155B3" w:rsidRPr="00CC474D" w:rsidRDefault="001155B3" w:rsidP="001155B3">
            <w:pPr>
              <w:rPr>
                <w:sz w:val="20"/>
              </w:rPr>
            </w:pPr>
            <w:r w:rsidRPr="00CC474D">
              <w:rPr>
                <w:rFonts w:cstheme="minorHAnsi"/>
                <w:sz w:val="20"/>
              </w:rPr>
              <w:t>0.053 mg/L</w:t>
            </w:r>
          </w:p>
        </w:tc>
      </w:tr>
      <w:tr w:rsidR="001155B3" w:rsidRPr="00CC474D" w14:paraId="0397AD03" w14:textId="002FB527" w:rsidTr="00BA28FA">
        <w:tc>
          <w:tcPr>
            <w:tcW w:w="835" w:type="pct"/>
            <w:vAlign w:val="center"/>
          </w:tcPr>
          <w:p w14:paraId="0452F02A" w14:textId="26C6A135" w:rsidR="001155B3" w:rsidRPr="00CC474D" w:rsidRDefault="001155B3" w:rsidP="001155B3">
            <w:pPr>
              <w:pStyle w:val="TableText"/>
              <w:rPr>
                <w:szCs w:val="20"/>
              </w:rPr>
            </w:pPr>
            <w:r w:rsidRPr="00CC474D">
              <w:rPr>
                <w:rFonts w:cstheme="minorHAnsi"/>
                <w:szCs w:val="20"/>
              </w:rPr>
              <w:t>ammoniumConcentration</w:t>
            </w:r>
          </w:p>
        </w:tc>
        <w:tc>
          <w:tcPr>
            <w:tcW w:w="1130" w:type="pct"/>
            <w:vAlign w:val="center"/>
          </w:tcPr>
          <w:p w14:paraId="7CD4273D" w14:textId="3944A3EC" w:rsidR="001155B3" w:rsidRPr="00CC474D" w:rsidRDefault="001155B3" w:rsidP="001155B3">
            <w:pPr>
              <w:rPr>
                <w:sz w:val="20"/>
              </w:rPr>
            </w:pPr>
            <w:r w:rsidRPr="00CC474D">
              <w:rPr>
                <w:rFonts w:cstheme="minorHAnsi"/>
                <w:sz w:val="20"/>
              </w:rPr>
              <w:t>A form of dissolved nitrogen concentration in milligrams per litre</w:t>
            </w:r>
          </w:p>
        </w:tc>
        <w:tc>
          <w:tcPr>
            <w:tcW w:w="538" w:type="pct"/>
            <w:vAlign w:val="center"/>
          </w:tcPr>
          <w:p w14:paraId="71F240E6" w14:textId="64CC6668" w:rsidR="001155B3" w:rsidRPr="00CC474D" w:rsidRDefault="001155B3" w:rsidP="001155B3">
            <w:pPr>
              <w:rPr>
                <w:sz w:val="20"/>
              </w:rPr>
            </w:pPr>
            <w:r w:rsidRPr="00CC474D">
              <w:rPr>
                <w:rFonts w:cstheme="minorHAnsi"/>
                <w:sz w:val="20"/>
              </w:rPr>
              <w:t>Number (3 decimal)</w:t>
            </w:r>
          </w:p>
        </w:tc>
        <w:tc>
          <w:tcPr>
            <w:tcW w:w="834" w:type="pct"/>
            <w:shd w:val="clear" w:color="auto" w:fill="auto"/>
            <w:vAlign w:val="center"/>
          </w:tcPr>
          <w:p w14:paraId="75B0AD90" w14:textId="57493A0E" w:rsidR="001155B3" w:rsidRPr="00CC474D" w:rsidRDefault="001155B3" w:rsidP="001155B3">
            <w:pPr>
              <w:pStyle w:val="TableText"/>
              <w:rPr>
                <w:szCs w:val="20"/>
              </w:rPr>
            </w:pPr>
            <w:r w:rsidRPr="00CC474D">
              <w:rPr>
                <w:rFonts w:cstheme="minorHAnsi"/>
                <w:szCs w:val="20"/>
              </w:rPr>
              <w:t>Y</w:t>
            </w:r>
          </w:p>
        </w:tc>
        <w:tc>
          <w:tcPr>
            <w:tcW w:w="833" w:type="pct"/>
            <w:vAlign w:val="center"/>
          </w:tcPr>
          <w:p w14:paraId="15FF70D1" w14:textId="08A0C9D4" w:rsidR="001155B3" w:rsidRPr="00CC474D" w:rsidRDefault="001155B3" w:rsidP="001155B3">
            <w:pPr>
              <w:rPr>
                <w:sz w:val="20"/>
              </w:rPr>
            </w:pPr>
            <w:r w:rsidRPr="00CC474D">
              <w:rPr>
                <w:rFonts w:cstheme="minorHAnsi"/>
                <w:sz w:val="20"/>
              </w:rPr>
              <w:t>0–0.300 mg/L</w:t>
            </w:r>
          </w:p>
        </w:tc>
        <w:tc>
          <w:tcPr>
            <w:tcW w:w="830" w:type="pct"/>
            <w:vAlign w:val="center"/>
          </w:tcPr>
          <w:p w14:paraId="4145514A" w14:textId="1B6B8EF4" w:rsidR="001155B3" w:rsidRPr="00CC474D" w:rsidRDefault="001155B3" w:rsidP="001155B3">
            <w:pPr>
              <w:rPr>
                <w:sz w:val="20"/>
              </w:rPr>
            </w:pPr>
            <w:r w:rsidRPr="00CC474D">
              <w:rPr>
                <w:rFonts w:cstheme="minorHAnsi"/>
                <w:sz w:val="20"/>
              </w:rPr>
              <w:t>0.054 mg/L</w:t>
            </w:r>
          </w:p>
        </w:tc>
      </w:tr>
      <w:tr w:rsidR="001155B3" w:rsidRPr="00CC474D" w14:paraId="45C2AE35" w14:textId="1B4C5F99" w:rsidTr="00BA28FA">
        <w:tc>
          <w:tcPr>
            <w:tcW w:w="835" w:type="pct"/>
            <w:vAlign w:val="center"/>
          </w:tcPr>
          <w:p w14:paraId="6CD51092" w14:textId="2DF87B54" w:rsidR="001155B3" w:rsidRPr="00CC474D" w:rsidRDefault="001155B3" w:rsidP="001155B3">
            <w:pPr>
              <w:pStyle w:val="TableText"/>
              <w:rPr>
                <w:szCs w:val="20"/>
              </w:rPr>
            </w:pPr>
            <w:r w:rsidRPr="00CC474D">
              <w:rPr>
                <w:rFonts w:cstheme="minorHAnsi"/>
                <w:szCs w:val="20"/>
              </w:rPr>
              <w:t xml:space="preserve">particulateOrganicNitrogenConcentration </w:t>
            </w:r>
          </w:p>
        </w:tc>
        <w:tc>
          <w:tcPr>
            <w:tcW w:w="1130" w:type="pct"/>
            <w:vAlign w:val="center"/>
          </w:tcPr>
          <w:p w14:paraId="44E9B1FE" w14:textId="09B7798B" w:rsidR="001155B3" w:rsidRPr="00CC474D" w:rsidRDefault="001155B3" w:rsidP="001155B3">
            <w:pPr>
              <w:rPr>
                <w:sz w:val="20"/>
              </w:rPr>
            </w:pPr>
            <w:r w:rsidRPr="00CC474D">
              <w:rPr>
                <w:rFonts w:cstheme="minorHAnsi"/>
                <w:sz w:val="20"/>
              </w:rPr>
              <w:t>A measure of particulate organic nitrogen concentration in milligrams per litre</w:t>
            </w:r>
          </w:p>
        </w:tc>
        <w:tc>
          <w:tcPr>
            <w:tcW w:w="538" w:type="pct"/>
            <w:vAlign w:val="center"/>
          </w:tcPr>
          <w:p w14:paraId="545E27FA" w14:textId="4FA18D8A" w:rsidR="001155B3" w:rsidRPr="00CC474D" w:rsidRDefault="001155B3" w:rsidP="001155B3">
            <w:pPr>
              <w:rPr>
                <w:sz w:val="20"/>
              </w:rPr>
            </w:pPr>
            <w:r w:rsidRPr="00CC474D">
              <w:rPr>
                <w:rFonts w:cstheme="minorHAnsi"/>
                <w:sz w:val="20"/>
              </w:rPr>
              <w:t>Number (3 decimal)</w:t>
            </w:r>
          </w:p>
        </w:tc>
        <w:tc>
          <w:tcPr>
            <w:tcW w:w="834" w:type="pct"/>
            <w:shd w:val="clear" w:color="auto" w:fill="auto"/>
            <w:vAlign w:val="center"/>
          </w:tcPr>
          <w:p w14:paraId="3B307F55" w14:textId="6DE2278F" w:rsidR="001155B3" w:rsidRPr="00CC474D" w:rsidRDefault="001155B3" w:rsidP="001155B3">
            <w:pPr>
              <w:pStyle w:val="TableText"/>
              <w:rPr>
                <w:szCs w:val="20"/>
              </w:rPr>
            </w:pPr>
            <w:r w:rsidRPr="00CC474D">
              <w:rPr>
                <w:rFonts w:cstheme="minorHAnsi"/>
                <w:szCs w:val="20"/>
              </w:rPr>
              <w:t>Y</w:t>
            </w:r>
          </w:p>
        </w:tc>
        <w:tc>
          <w:tcPr>
            <w:tcW w:w="833" w:type="pct"/>
            <w:vAlign w:val="center"/>
          </w:tcPr>
          <w:p w14:paraId="4E91ADBB" w14:textId="66646005" w:rsidR="001155B3" w:rsidRPr="00CC474D" w:rsidRDefault="001155B3" w:rsidP="001155B3">
            <w:pPr>
              <w:rPr>
                <w:sz w:val="20"/>
              </w:rPr>
            </w:pPr>
            <w:r w:rsidRPr="00CC474D">
              <w:rPr>
                <w:rFonts w:cstheme="minorHAnsi"/>
                <w:sz w:val="20"/>
              </w:rPr>
              <w:t>0–5.000 mg/L</w:t>
            </w:r>
          </w:p>
        </w:tc>
        <w:tc>
          <w:tcPr>
            <w:tcW w:w="830" w:type="pct"/>
            <w:vAlign w:val="center"/>
          </w:tcPr>
          <w:p w14:paraId="5BFC3F08" w14:textId="33C4935B" w:rsidR="001155B3" w:rsidRPr="00CC474D" w:rsidRDefault="001155B3" w:rsidP="001155B3">
            <w:pPr>
              <w:rPr>
                <w:sz w:val="20"/>
              </w:rPr>
            </w:pPr>
            <w:r w:rsidRPr="00CC474D">
              <w:rPr>
                <w:rFonts w:cstheme="minorHAnsi"/>
                <w:sz w:val="20"/>
              </w:rPr>
              <w:t>1.193 mg/L</w:t>
            </w:r>
          </w:p>
        </w:tc>
      </w:tr>
      <w:tr w:rsidR="001155B3" w:rsidRPr="00CC474D" w14:paraId="2E681DCE" w14:textId="770AF690" w:rsidTr="00BA28FA">
        <w:tc>
          <w:tcPr>
            <w:tcW w:w="835" w:type="pct"/>
            <w:vAlign w:val="center"/>
          </w:tcPr>
          <w:p w14:paraId="58A207D6" w14:textId="5598FA47" w:rsidR="001155B3" w:rsidRPr="00CC474D" w:rsidRDefault="001155B3" w:rsidP="001155B3">
            <w:pPr>
              <w:pStyle w:val="TableText"/>
              <w:rPr>
                <w:szCs w:val="20"/>
              </w:rPr>
            </w:pPr>
            <w:r w:rsidRPr="00CC474D">
              <w:rPr>
                <w:rFonts w:cstheme="minorHAnsi"/>
                <w:szCs w:val="20"/>
              </w:rPr>
              <w:t>dissolvedSilica concentration</w:t>
            </w:r>
          </w:p>
        </w:tc>
        <w:tc>
          <w:tcPr>
            <w:tcW w:w="1130" w:type="pct"/>
            <w:vAlign w:val="center"/>
          </w:tcPr>
          <w:p w14:paraId="5B137BC0" w14:textId="1B2EC86C" w:rsidR="001155B3" w:rsidRPr="00CC474D" w:rsidRDefault="001155B3" w:rsidP="001155B3">
            <w:pPr>
              <w:rPr>
                <w:sz w:val="20"/>
              </w:rPr>
            </w:pPr>
            <w:r w:rsidRPr="00CC474D">
              <w:rPr>
                <w:rFonts w:cstheme="minorHAnsi"/>
                <w:sz w:val="20"/>
              </w:rPr>
              <w:t>A measure of inorganic silica concentration in milligrams per litre</w:t>
            </w:r>
          </w:p>
        </w:tc>
        <w:tc>
          <w:tcPr>
            <w:tcW w:w="538" w:type="pct"/>
            <w:vAlign w:val="center"/>
          </w:tcPr>
          <w:p w14:paraId="157F5AE1" w14:textId="59F0DEA1" w:rsidR="001155B3" w:rsidRPr="00CC474D" w:rsidRDefault="001155B3" w:rsidP="001155B3">
            <w:pPr>
              <w:rPr>
                <w:sz w:val="20"/>
              </w:rPr>
            </w:pPr>
            <w:r w:rsidRPr="00CC474D">
              <w:rPr>
                <w:rFonts w:cstheme="minorHAnsi"/>
                <w:sz w:val="20"/>
              </w:rPr>
              <w:t>Number (0 decimal)</w:t>
            </w:r>
          </w:p>
        </w:tc>
        <w:tc>
          <w:tcPr>
            <w:tcW w:w="834" w:type="pct"/>
            <w:shd w:val="clear" w:color="auto" w:fill="auto"/>
            <w:vAlign w:val="center"/>
          </w:tcPr>
          <w:p w14:paraId="51CE3351" w14:textId="0B20EBBD" w:rsidR="001155B3" w:rsidRPr="00CC474D" w:rsidRDefault="001155B3" w:rsidP="001155B3">
            <w:pPr>
              <w:pStyle w:val="TableText"/>
              <w:rPr>
                <w:szCs w:val="20"/>
              </w:rPr>
            </w:pPr>
            <w:r w:rsidRPr="00CC474D">
              <w:rPr>
                <w:rFonts w:cstheme="minorHAnsi"/>
                <w:szCs w:val="20"/>
              </w:rPr>
              <w:t>Y</w:t>
            </w:r>
          </w:p>
        </w:tc>
        <w:tc>
          <w:tcPr>
            <w:tcW w:w="833" w:type="pct"/>
            <w:vAlign w:val="center"/>
          </w:tcPr>
          <w:p w14:paraId="6E939280" w14:textId="713FE9D9" w:rsidR="001155B3" w:rsidRPr="00CC474D" w:rsidRDefault="001155B3" w:rsidP="001155B3">
            <w:pPr>
              <w:rPr>
                <w:sz w:val="20"/>
              </w:rPr>
            </w:pPr>
            <w:r w:rsidRPr="00CC474D">
              <w:rPr>
                <w:rFonts w:cstheme="minorHAnsi"/>
                <w:sz w:val="20"/>
              </w:rPr>
              <w:t>0–10 mg/L</w:t>
            </w:r>
          </w:p>
        </w:tc>
        <w:tc>
          <w:tcPr>
            <w:tcW w:w="830" w:type="pct"/>
            <w:vAlign w:val="center"/>
          </w:tcPr>
          <w:p w14:paraId="7AA1D849" w14:textId="3BFB1475" w:rsidR="001155B3" w:rsidRPr="00CC474D" w:rsidRDefault="001155B3" w:rsidP="001155B3">
            <w:pPr>
              <w:rPr>
                <w:sz w:val="20"/>
              </w:rPr>
            </w:pPr>
            <w:r w:rsidRPr="00CC474D">
              <w:rPr>
                <w:rFonts w:cstheme="minorHAnsi"/>
                <w:sz w:val="20"/>
              </w:rPr>
              <w:t>8 mg/L</w:t>
            </w:r>
          </w:p>
        </w:tc>
      </w:tr>
      <w:tr w:rsidR="001155B3" w:rsidRPr="00CC474D" w14:paraId="3415FADB" w14:textId="2DF370F7" w:rsidTr="00BA28FA">
        <w:tc>
          <w:tcPr>
            <w:tcW w:w="835" w:type="pct"/>
            <w:vAlign w:val="center"/>
          </w:tcPr>
          <w:p w14:paraId="6B4C317D" w14:textId="5693F24D" w:rsidR="001155B3" w:rsidRPr="00CC474D" w:rsidRDefault="001155B3" w:rsidP="001155B3">
            <w:pPr>
              <w:pStyle w:val="TableText"/>
              <w:rPr>
                <w:szCs w:val="20"/>
              </w:rPr>
            </w:pPr>
            <w:r w:rsidRPr="00CC474D">
              <w:rPr>
                <w:rFonts w:cstheme="minorHAnsi"/>
                <w:szCs w:val="20"/>
              </w:rPr>
              <w:t>chlorophyll-</w:t>
            </w:r>
            <w:r w:rsidRPr="00CC474D">
              <w:rPr>
                <w:rFonts w:cstheme="minorHAnsi"/>
                <w:i/>
                <w:szCs w:val="20"/>
              </w:rPr>
              <w:t>a</w:t>
            </w:r>
            <w:r w:rsidRPr="00CC474D">
              <w:rPr>
                <w:rFonts w:cstheme="minorHAnsi"/>
                <w:szCs w:val="20"/>
              </w:rPr>
              <w:t>Concentration</w:t>
            </w:r>
          </w:p>
        </w:tc>
        <w:tc>
          <w:tcPr>
            <w:tcW w:w="1130" w:type="pct"/>
            <w:vAlign w:val="center"/>
          </w:tcPr>
          <w:p w14:paraId="65137774" w14:textId="524544FA" w:rsidR="001155B3" w:rsidRPr="00CC474D" w:rsidRDefault="001155B3" w:rsidP="001155B3">
            <w:pPr>
              <w:rPr>
                <w:sz w:val="20"/>
              </w:rPr>
            </w:pPr>
            <w:r w:rsidRPr="00CC474D">
              <w:rPr>
                <w:rFonts w:cstheme="minorHAnsi"/>
                <w:sz w:val="20"/>
              </w:rPr>
              <w:t>A measure of algal biomass concentration in milligrams per litre</w:t>
            </w:r>
          </w:p>
        </w:tc>
        <w:tc>
          <w:tcPr>
            <w:tcW w:w="538" w:type="pct"/>
            <w:vAlign w:val="center"/>
          </w:tcPr>
          <w:p w14:paraId="36DA7E79" w14:textId="6D3C898B" w:rsidR="001155B3" w:rsidRPr="00CC474D" w:rsidRDefault="001155B3" w:rsidP="001155B3">
            <w:pPr>
              <w:rPr>
                <w:sz w:val="20"/>
              </w:rPr>
            </w:pPr>
            <w:r w:rsidRPr="00CC474D">
              <w:rPr>
                <w:rFonts w:cstheme="minorHAnsi"/>
                <w:sz w:val="20"/>
              </w:rPr>
              <w:t>Number (1 decimal)</w:t>
            </w:r>
          </w:p>
        </w:tc>
        <w:tc>
          <w:tcPr>
            <w:tcW w:w="834" w:type="pct"/>
            <w:shd w:val="clear" w:color="auto" w:fill="auto"/>
            <w:vAlign w:val="center"/>
          </w:tcPr>
          <w:p w14:paraId="7732BFEB" w14:textId="2925F34F" w:rsidR="001155B3" w:rsidRPr="00CC474D" w:rsidRDefault="001155B3" w:rsidP="001155B3">
            <w:pPr>
              <w:pStyle w:val="TableText"/>
              <w:rPr>
                <w:szCs w:val="20"/>
              </w:rPr>
            </w:pPr>
            <w:r w:rsidRPr="00CC474D">
              <w:rPr>
                <w:rFonts w:cstheme="minorHAnsi"/>
                <w:szCs w:val="20"/>
              </w:rPr>
              <w:t>Y</w:t>
            </w:r>
          </w:p>
        </w:tc>
        <w:tc>
          <w:tcPr>
            <w:tcW w:w="833" w:type="pct"/>
            <w:vAlign w:val="center"/>
          </w:tcPr>
          <w:p w14:paraId="70F9A403" w14:textId="3C442820" w:rsidR="001155B3" w:rsidRPr="00CC474D" w:rsidRDefault="001155B3" w:rsidP="001155B3">
            <w:pPr>
              <w:rPr>
                <w:sz w:val="20"/>
              </w:rPr>
            </w:pPr>
            <w:r w:rsidRPr="00CC474D">
              <w:rPr>
                <w:rFonts w:cstheme="minorHAnsi"/>
                <w:sz w:val="20"/>
              </w:rPr>
              <w:t>0–200 µg/L</w:t>
            </w:r>
          </w:p>
        </w:tc>
        <w:tc>
          <w:tcPr>
            <w:tcW w:w="830" w:type="pct"/>
            <w:vAlign w:val="center"/>
          </w:tcPr>
          <w:p w14:paraId="6F4184BA" w14:textId="1DC42F7D" w:rsidR="001155B3" w:rsidRPr="00CC474D" w:rsidRDefault="001155B3" w:rsidP="001155B3">
            <w:pPr>
              <w:rPr>
                <w:sz w:val="20"/>
              </w:rPr>
            </w:pPr>
            <w:r w:rsidRPr="00CC474D">
              <w:rPr>
                <w:rFonts w:cstheme="minorHAnsi"/>
                <w:sz w:val="20"/>
              </w:rPr>
              <w:t>54.6 µg/L</w:t>
            </w:r>
          </w:p>
        </w:tc>
      </w:tr>
    </w:tbl>
    <w:p w14:paraId="3D79AE5E" w14:textId="77777777" w:rsidR="00DA312A" w:rsidRDefault="00DA312A" w:rsidP="009E6C53"/>
    <w:p w14:paraId="1FDF1F1A" w14:textId="4AB3DD8F" w:rsidR="00756633" w:rsidRPr="001155B3" w:rsidRDefault="00756633" w:rsidP="009E6C53">
      <w:pPr>
        <w:rPr>
          <w:b/>
        </w:rPr>
      </w:pPr>
      <w:r w:rsidRPr="001155B3">
        <w:rPr>
          <w:b/>
        </w:rPr>
        <w:t>Loads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4"/>
        <w:gridCol w:w="2036"/>
        <w:gridCol w:w="1418"/>
        <w:gridCol w:w="1054"/>
        <w:gridCol w:w="1501"/>
        <w:gridCol w:w="1497"/>
      </w:tblGrid>
      <w:tr w:rsidR="00756633" w:rsidRPr="00CC474D" w14:paraId="3775D0A0" w14:textId="66DB0AA6" w:rsidTr="004F011F">
        <w:trPr>
          <w:tblHeader/>
        </w:trPr>
        <w:tc>
          <w:tcPr>
            <w:tcW w:w="834" w:type="pct"/>
            <w:shd w:val="clear" w:color="auto" w:fill="D9D9D9"/>
          </w:tcPr>
          <w:p w14:paraId="69ED667B" w14:textId="77777777" w:rsidR="00756633" w:rsidRPr="00CC474D" w:rsidRDefault="00756633" w:rsidP="00BA28FA">
            <w:pPr>
              <w:pStyle w:val="TableHeading"/>
              <w:rPr>
                <w:szCs w:val="20"/>
              </w:rPr>
            </w:pPr>
            <w:r w:rsidRPr="00CC474D">
              <w:rPr>
                <w:szCs w:val="20"/>
              </w:rPr>
              <w:t>Variable</w:t>
            </w:r>
          </w:p>
        </w:tc>
        <w:tc>
          <w:tcPr>
            <w:tcW w:w="1130" w:type="pct"/>
            <w:shd w:val="clear" w:color="auto" w:fill="D9D9D9"/>
          </w:tcPr>
          <w:p w14:paraId="5381643C" w14:textId="77777777" w:rsidR="00756633" w:rsidRPr="00CC474D" w:rsidRDefault="00756633" w:rsidP="00BA28FA">
            <w:pPr>
              <w:pStyle w:val="TableHeading"/>
              <w:rPr>
                <w:szCs w:val="20"/>
              </w:rPr>
            </w:pPr>
            <w:r w:rsidRPr="00CC474D">
              <w:rPr>
                <w:szCs w:val="20"/>
              </w:rPr>
              <w:t>Description</w:t>
            </w:r>
          </w:p>
        </w:tc>
        <w:tc>
          <w:tcPr>
            <w:tcW w:w="787" w:type="pct"/>
            <w:shd w:val="clear" w:color="auto" w:fill="D9D9D9"/>
          </w:tcPr>
          <w:p w14:paraId="25EF2CB0" w14:textId="09D1FE0D" w:rsidR="00756633" w:rsidRPr="00CC474D" w:rsidRDefault="00756633" w:rsidP="00BA28FA">
            <w:pPr>
              <w:pStyle w:val="TableHeading"/>
              <w:rPr>
                <w:szCs w:val="20"/>
              </w:rPr>
            </w:pPr>
            <w:r w:rsidRPr="00CC474D">
              <w:rPr>
                <w:szCs w:val="20"/>
              </w:rPr>
              <w:t>Type</w:t>
            </w:r>
          </w:p>
        </w:tc>
        <w:tc>
          <w:tcPr>
            <w:tcW w:w="585" w:type="pct"/>
            <w:shd w:val="clear" w:color="auto" w:fill="D9D9D9"/>
          </w:tcPr>
          <w:p w14:paraId="63921C13" w14:textId="77777777" w:rsidR="00756633" w:rsidRPr="00CC474D" w:rsidRDefault="00756633" w:rsidP="00BA28FA">
            <w:pPr>
              <w:pStyle w:val="TableHeading"/>
              <w:rPr>
                <w:szCs w:val="20"/>
              </w:rPr>
            </w:pPr>
            <w:r w:rsidRPr="00CC474D">
              <w:rPr>
                <w:szCs w:val="20"/>
              </w:rPr>
              <w:t>Required</w:t>
            </w:r>
          </w:p>
        </w:tc>
        <w:tc>
          <w:tcPr>
            <w:tcW w:w="833" w:type="pct"/>
            <w:shd w:val="clear" w:color="auto" w:fill="D9D9D9"/>
          </w:tcPr>
          <w:p w14:paraId="774BF152" w14:textId="77777777" w:rsidR="00756633" w:rsidRPr="00CC474D" w:rsidRDefault="00756633" w:rsidP="00BA28FA">
            <w:pPr>
              <w:pStyle w:val="TableHeading"/>
              <w:rPr>
                <w:szCs w:val="20"/>
              </w:rPr>
            </w:pPr>
            <w:r w:rsidRPr="00CC474D">
              <w:rPr>
                <w:szCs w:val="20"/>
              </w:rPr>
              <w:t>Range</w:t>
            </w:r>
          </w:p>
        </w:tc>
        <w:tc>
          <w:tcPr>
            <w:tcW w:w="831" w:type="pct"/>
            <w:shd w:val="clear" w:color="auto" w:fill="D9D9D9"/>
          </w:tcPr>
          <w:p w14:paraId="7C348161" w14:textId="1C17C367" w:rsidR="00756633" w:rsidRPr="00CC474D" w:rsidRDefault="00756633" w:rsidP="00BA28FA">
            <w:pPr>
              <w:pStyle w:val="TableHeading"/>
              <w:rPr>
                <w:szCs w:val="20"/>
              </w:rPr>
            </w:pPr>
            <w:r w:rsidRPr="00CC474D">
              <w:rPr>
                <w:szCs w:val="20"/>
              </w:rPr>
              <w:t>Example</w:t>
            </w:r>
          </w:p>
        </w:tc>
      </w:tr>
      <w:tr w:rsidR="001155B3" w:rsidRPr="00CC474D" w14:paraId="21E21FBD" w14:textId="055468D8" w:rsidTr="004F011F">
        <w:tc>
          <w:tcPr>
            <w:tcW w:w="834" w:type="pct"/>
          </w:tcPr>
          <w:p w14:paraId="3DD14B17" w14:textId="4FEB0113" w:rsidR="001155B3" w:rsidRPr="00CC474D" w:rsidRDefault="001155B3" w:rsidP="001155B3">
            <w:pPr>
              <w:pStyle w:val="TableText"/>
              <w:rPr>
                <w:szCs w:val="20"/>
              </w:rPr>
            </w:pPr>
            <w:r w:rsidRPr="00CC474D">
              <w:rPr>
                <w:szCs w:val="20"/>
              </w:rPr>
              <w:t>samplePointName</w:t>
            </w:r>
          </w:p>
        </w:tc>
        <w:tc>
          <w:tcPr>
            <w:tcW w:w="1130" w:type="pct"/>
            <w:vAlign w:val="center"/>
          </w:tcPr>
          <w:p w14:paraId="213A7757" w14:textId="6B7CFDFC" w:rsidR="001155B3" w:rsidRPr="00CC474D" w:rsidRDefault="001155B3" w:rsidP="001155B3">
            <w:pPr>
              <w:pStyle w:val="TableText"/>
              <w:rPr>
                <w:szCs w:val="20"/>
              </w:rPr>
            </w:pPr>
            <w:r w:rsidRPr="00CC474D">
              <w:rPr>
                <w:rStyle w:val="Emphasis"/>
                <w:rFonts w:cstheme="minorHAnsi"/>
                <w:i w:val="0"/>
                <w:szCs w:val="20"/>
              </w:rPr>
              <w:t>A specific location within water-bodies represented by either a name or polygon within which observations are made</w:t>
            </w:r>
          </w:p>
        </w:tc>
        <w:tc>
          <w:tcPr>
            <w:tcW w:w="787" w:type="pct"/>
            <w:vAlign w:val="center"/>
          </w:tcPr>
          <w:p w14:paraId="5B01111B" w14:textId="72502C53" w:rsidR="001155B3" w:rsidRPr="00CC474D" w:rsidRDefault="001155B3" w:rsidP="001155B3">
            <w:pPr>
              <w:pStyle w:val="TableText"/>
              <w:rPr>
                <w:szCs w:val="20"/>
              </w:rPr>
            </w:pPr>
            <w:r w:rsidRPr="00CC474D">
              <w:rPr>
                <w:rFonts w:cstheme="minorHAnsi"/>
                <w:szCs w:val="20"/>
              </w:rPr>
              <w:t>string</w:t>
            </w:r>
          </w:p>
        </w:tc>
        <w:tc>
          <w:tcPr>
            <w:tcW w:w="585" w:type="pct"/>
            <w:shd w:val="clear" w:color="auto" w:fill="auto"/>
            <w:vAlign w:val="center"/>
          </w:tcPr>
          <w:p w14:paraId="52FA241B" w14:textId="7E38DE75" w:rsidR="001155B3" w:rsidRPr="00CC474D" w:rsidRDefault="001155B3" w:rsidP="001155B3">
            <w:pPr>
              <w:pStyle w:val="TableText"/>
              <w:rPr>
                <w:szCs w:val="20"/>
              </w:rPr>
            </w:pPr>
            <w:r w:rsidRPr="00CC474D">
              <w:rPr>
                <w:rFonts w:cstheme="minorHAnsi"/>
                <w:szCs w:val="20"/>
              </w:rPr>
              <w:t>Y</w:t>
            </w:r>
          </w:p>
        </w:tc>
        <w:tc>
          <w:tcPr>
            <w:tcW w:w="833" w:type="pct"/>
          </w:tcPr>
          <w:p w14:paraId="6147FDD8" w14:textId="4F65B742" w:rsidR="001155B3" w:rsidRPr="00CC474D" w:rsidRDefault="001155B3" w:rsidP="001155B3">
            <w:pPr>
              <w:pStyle w:val="TableText"/>
              <w:rPr>
                <w:szCs w:val="20"/>
              </w:rPr>
            </w:pPr>
          </w:p>
        </w:tc>
        <w:tc>
          <w:tcPr>
            <w:tcW w:w="831" w:type="pct"/>
          </w:tcPr>
          <w:p w14:paraId="1246CAAA" w14:textId="7D0E0A7D" w:rsidR="001155B3" w:rsidRPr="00CC474D" w:rsidRDefault="001155B3" w:rsidP="001155B3">
            <w:pPr>
              <w:pStyle w:val="TableText"/>
              <w:rPr>
                <w:szCs w:val="20"/>
              </w:rPr>
            </w:pPr>
            <w:r w:rsidRPr="00CC474D">
              <w:rPr>
                <w:szCs w:val="20"/>
              </w:rPr>
              <w:t>LK1DS_8km</w:t>
            </w:r>
          </w:p>
        </w:tc>
      </w:tr>
      <w:tr w:rsidR="001155B3" w:rsidRPr="00CC474D" w14:paraId="61D7E7D3" w14:textId="40D984F8" w:rsidTr="004F011F">
        <w:tc>
          <w:tcPr>
            <w:tcW w:w="834" w:type="pct"/>
            <w:vAlign w:val="center"/>
          </w:tcPr>
          <w:p w14:paraId="2BF11338" w14:textId="14398552" w:rsidR="001155B3" w:rsidRPr="00CC474D" w:rsidRDefault="001155B3" w:rsidP="001155B3">
            <w:pPr>
              <w:pStyle w:val="TableText"/>
              <w:rPr>
                <w:szCs w:val="20"/>
              </w:rPr>
            </w:pPr>
            <w:r w:rsidRPr="00CC474D">
              <w:rPr>
                <w:rFonts w:cstheme="minorHAnsi"/>
                <w:szCs w:val="20"/>
              </w:rPr>
              <w:t>sampleDate</w:t>
            </w:r>
          </w:p>
        </w:tc>
        <w:tc>
          <w:tcPr>
            <w:tcW w:w="1130" w:type="pct"/>
            <w:vAlign w:val="center"/>
          </w:tcPr>
          <w:p w14:paraId="5A7B1A2B" w14:textId="104F6EA1" w:rsidR="001155B3" w:rsidRPr="00CC474D" w:rsidRDefault="001155B3" w:rsidP="001155B3">
            <w:pPr>
              <w:pStyle w:val="TableText"/>
              <w:rPr>
                <w:szCs w:val="20"/>
              </w:rPr>
            </w:pPr>
            <w:r w:rsidRPr="00CC474D">
              <w:rPr>
                <w:rFonts w:cstheme="minorHAnsi"/>
                <w:szCs w:val="20"/>
              </w:rPr>
              <w:t>Specific dates for outputs of modelled scenarios (each day within a watering year)</w:t>
            </w:r>
          </w:p>
        </w:tc>
        <w:tc>
          <w:tcPr>
            <w:tcW w:w="787" w:type="pct"/>
            <w:vAlign w:val="center"/>
          </w:tcPr>
          <w:p w14:paraId="3FA7C0C2" w14:textId="75384639" w:rsidR="001155B3" w:rsidRPr="00CC474D" w:rsidRDefault="001155B3" w:rsidP="001155B3">
            <w:pPr>
              <w:pStyle w:val="TableText"/>
              <w:rPr>
                <w:szCs w:val="20"/>
              </w:rPr>
            </w:pPr>
            <w:r w:rsidRPr="00CC474D">
              <w:rPr>
                <w:rFonts w:cstheme="minorHAnsi"/>
                <w:szCs w:val="20"/>
              </w:rPr>
              <w:t>date</w:t>
            </w:r>
          </w:p>
        </w:tc>
        <w:tc>
          <w:tcPr>
            <w:tcW w:w="585" w:type="pct"/>
            <w:shd w:val="clear" w:color="auto" w:fill="auto"/>
            <w:vAlign w:val="center"/>
          </w:tcPr>
          <w:p w14:paraId="219AA3DA" w14:textId="74AF0521" w:rsidR="001155B3" w:rsidRPr="00CC474D" w:rsidRDefault="001155B3" w:rsidP="001155B3">
            <w:pPr>
              <w:pStyle w:val="TableText"/>
              <w:rPr>
                <w:szCs w:val="20"/>
              </w:rPr>
            </w:pPr>
            <w:r w:rsidRPr="00CC474D">
              <w:rPr>
                <w:rFonts w:cstheme="minorHAnsi"/>
                <w:szCs w:val="20"/>
              </w:rPr>
              <w:t>Y</w:t>
            </w:r>
          </w:p>
        </w:tc>
        <w:tc>
          <w:tcPr>
            <w:tcW w:w="833" w:type="pct"/>
            <w:vAlign w:val="center"/>
          </w:tcPr>
          <w:p w14:paraId="448C9FB6" w14:textId="77777777" w:rsidR="001155B3" w:rsidRPr="00CC474D" w:rsidRDefault="001155B3" w:rsidP="001155B3">
            <w:pPr>
              <w:pStyle w:val="TableText"/>
              <w:rPr>
                <w:szCs w:val="20"/>
              </w:rPr>
            </w:pPr>
          </w:p>
        </w:tc>
        <w:tc>
          <w:tcPr>
            <w:tcW w:w="831" w:type="pct"/>
          </w:tcPr>
          <w:p w14:paraId="73CEF42F" w14:textId="5CD0776D" w:rsidR="001155B3" w:rsidRPr="00CC474D" w:rsidRDefault="001155B3" w:rsidP="001155B3">
            <w:pPr>
              <w:pStyle w:val="TableText"/>
              <w:rPr>
                <w:szCs w:val="20"/>
              </w:rPr>
            </w:pPr>
            <w:r w:rsidRPr="00CC474D">
              <w:rPr>
                <w:rFonts w:cstheme="minorHAnsi"/>
                <w:bCs/>
                <w:szCs w:val="20"/>
              </w:rPr>
              <w:t>12/09/2019</w:t>
            </w:r>
          </w:p>
        </w:tc>
      </w:tr>
      <w:tr w:rsidR="001155B3" w:rsidRPr="00CC474D" w14:paraId="46A4FB87" w14:textId="657AA3F6" w:rsidTr="004F011F">
        <w:tc>
          <w:tcPr>
            <w:tcW w:w="834" w:type="pct"/>
          </w:tcPr>
          <w:p w14:paraId="6A8B5550" w14:textId="73991B80" w:rsidR="001155B3" w:rsidRPr="00CC474D" w:rsidRDefault="001155B3" w:rsidP="001155B3">
            <w:pPr>
              <w:pStyle w:val="TableText"/>
              <w:rPr>
                <w:szCs w:val="20"/>
              </w:rPr>
            </w:pPr>
            <w:r w:rsidRPr="00CC474D">
              <w:rPr>
                <w:rFonts w:cstheme="minorHAnsi"/>
                <w:szCs w:val="20"/>
              </w:rPr>
              <w:t>salinityLoad</w:t>
            </w:r>
          </w:p>
        </w:tc>
        <w:tc>
          <w:tcPr>
            <w:tcW w:w="1130" w:type="pct"/>
          </w:tcPr>
          <w:p w14:paraId="7E54D771" w14:textId="2C4AC5BA" w:rsidR="001155B3" w:rsidRPr="00CC474D" w:rsidRDefault="001155B3" w:rsidP="001155B3">
            <w:pPr>
              <w:pStyle w:val="TableText"/>
              <w:rPr>
                <w:szCs w:val="20"/>
              </w:rPr>
            </w:pPr>
            <w:r w:rsidRPr="00CC474D">
              <w:rPr>
                <w:rFonts w:cstheme="minorHAnsi"/>
                <w:szCs w:val="20"/>
              </w:rPr>
              <w:t>A measure of dissolved solid load in kilograms per day</w:t>
            </w:r>
          </w:p>
        </w:tc>
        <w:tc>
          <w:tcPr>
            <w:tcW w:w="787" w:type="pct"/>
          </w:tcPr>
          <w:p w14:paraId="17DA1425" w14:textId="783E9E6D" w:rsidR="001155B3" w:rsidRPr="00CC474D" w:rsidRDefault="001155B3" w:rsidP="001155B3">
            <w:pPr>
              <w:pStyle w:val="TableText"/>
              <w:rPr>
                <w:szCs w:val="20"/>
              </w:rPr>
            </w:pPr>
            <w:r w:rsidRPr="00CC474D">
              <w:rPr>
                <w:rFonts w:cstheme="minorHAnsi"/>
                <w:szCs w:val="20"/>
              </w:rPr>
              <w:t>Number (0 decimal)</w:t>
            </w:r>
          </w:p>
        </w:tc>
        <w:tc>
          <w:tcPr>
            <w:tcW w:w="585" w:type="pct"/>
            <w:shd w:val="clear" w:color="auto" w:fill="auto"/>
          </w:tcPr>
          <w:p w14:paraId="2443A04B" w14:textId="55FC50BD" w:rsidR="001155B3" w:rsidRPr="00CC474D" w:rsidRDefault="001155B3" w:rsidP="001155B3">
            <w:pPr>
              <w:pStyle w:val="TableText"/>
              <w:rPr>
                <w:szCs w:val="20"/>
              </w:rPr>
            </w:pPr>
            <w:r w:rsidRPr="00CC474D">
              <w:rPr>
                <w:rFonts w:cstheme="minorHAnsi"/>
                <w:szCs w:val="20"/>
              </w:rPr>
              <w:t>Y</w:t>
            </w:r>
          </w:p>
        </w:tc>
        <w:tc>
          <w:tcPr>
            <w:tcW w:w="833" w:type="pct"/>
          </w:tcPr>
          <w:p w14:paraId="51691059" w14:textId="20553BA9" w:rsidR="001155B3" w:rsidRPr="00CC474D" w:rsidRDefault="00CC474D" w:rsidP="001155B3">
            <w:pPr>
              <w:pStyle w:val="TableText"/>
              <w:rPr>
                <w:szCs w:val="20"/>
              </w:rPr>
            </w:pPr>
            <w:r w:rsidRPr="00CC474D">
              <w:rPr>
                <w:rFonts w:cstheme="minorHAnsi"/>
                <w:szCs w:val="20"/>
              </w:rPr>
              <w:t>[0,+]</w:t>
            </w:r>
          </w:p>
        </w:tc>
        <w:tc>
          <w:tcPr>
            <w:tcW w:w="831" w:type="pct"/>
          </w:tcPr>
          <w:p w14:paraId="49C3CB0C" w14:textId="77777777" w:rsidR="001155B3" w:rsidRPr="00CC474D" w:rsidRDefault="001155B3" w:rsidP="001155B3">
            <w:pPr>
              <w:spacing w:after="0"/>
              <w:rPr>
                <w:rFonts w:cstheme="minorHAnsi"/>
                <w:kern w:val="0"/>
                <w:sz w:val="20"/>
                <w:lang w:eastAsia="en-AU"/>
              </w:rPr>
            </w:pPr>
            <w:r w:rsidRPr="00CC474D">
              <w:rPr>
                <w:rFonts w:cstheme="minorHAnsi"/>
                <w:sz w:val="20"/>
              </w:rPr>
              <w:t>2659847</w:t>
            </w:r>
          </w:p>
          <w:p w14:paraId="2CF0FBFF" w14:textId="77515AB5" w:rsidR="001155B3" w:rsidRPr="00CC474D" w:rsidRDefault="001155B3" w:rsidP="001155B3">
            <w:pPr>
              <w:pStyle w:val="TableText"/>
              <w:rPr>
                <w:szCs w:val="20"/>
              </w:rPr>
            </w:pPr>
            <w:r w:rsidRPr="00CC474D">
              <w:rPr>
                <w:rFonts w:cstheme="minorHAnsi"/>
                <w:szCs w:val="20"/>
              </w:rPr>
              <w:t xml:space="preserve"> kg/day</w:t>
            </w:r>
          </w:p>
        </w:tc>
      </w:tr>
      <w:tr w:rsidR="001155B3" w:rsidRPr="00CC474D" w14:paraId="5F4FB5CA" w14:textId="34002121" w:rsidTr="004F011F">
        <w:tc>
          <w:tcPr>
            <w:tcW w:w="834" w:type="pct"/>
          </w:tcPr>
          <w:p w14:paraId="7AE84815" w14:textId="4DFEC060" w:rsidR="001155B3" w:rsidRPr="00CC474D" w:rsidRDefault="001155B3" w:rsidP="001155B3">
            <w:pPr>
              <w:pStyle w:val="TableText"/>
              <w:rPr>
                <w:szCs w:val="20"/>
              </w:rPr>
            </w:pPr>
            <w:r w:rsidRPr="00CC474D">
              <w:rPr>
                <w:rFonts w:cstheme="minorHAnsi"/>
                <w:szCs w:val="20"/>
              </w:rPr>
              <w:t>phosphateLoad</w:t>
            </w:r>
          </w:p>
        </w:tc>
        <w:tc>
          <w:tcPr>
            <w:tcW w:w="1130" w:type="pct"/>
          </w:tcPr>
          <w:p w14:paraId="3C225733" w14:textId="0DF67E76" w:rsidR="001155B3" w:rsidRPr="00CC474D" w:rsidRDefault="001155B3" w:rsidP="001155B3">
            <w:pPr>
              <w:rPr>
                <w:sz w:val="20"/>
              </w:rPr>
            </w:pPr>
            <w:r w:rsidRPr="00CC474D">
              <w:rPr>
                <w:rFonts w:cstheme="minorHAnsi"/>
                <w:sz w:val="20"/>
              </w:rPr>
              <w:t xml:space="preserve">A measure of dissolved inorganic </w:t>
            </w:r>
            <w:r w:rsidRPr="00CC474D">
              <w:rPr>
                <w:rFonts w:cstheme="minorHAnsi"/>
                <w:sz w:val="20"/>
              </w:rPr>
              <w:lastRenderedPageBreak/>
              <w:t>phosphorus load in kilograms per day</w:t>
            </w:r>
          </w:p>
        </w:tc>
        <w:tc>
          <w:tcPr>
            <w:tcW w:w="787" w:type="pct"/>
          </w:tcPr>
          <w:p w14:paraId="0C7805E3" w14:textId="6A66F356" w:rsidR="001155B3" w:rsidRPr="00CC474D" w:rsidRDefault="001155B3" w:rsidP="001155B3">
            <w:pPr>
              <w:pStyle w:val="TableText"/>
              <w:rPr>
                <w:szCs w:val="20"/>
              </w:rPr>
            </w:pPr>
            <w:r w:rsidRPr="00CC474D">
              <w:rPr>
                <w:rFonts w:cstheme="minorHAnsi"/>
                <w:szCs w:val="20"/>
              </w:rPr>
              <w:lastRenderedPageBreak/>
              <w:t>Number (0 decimal)</w:t>
            </w:r>
          </w:p>
        </w:tc>
        <w:tc>
          <w:tcPr>
            <w:tcW w:w="585" w:type="pct"/>
            <w:shd w:val="clear" w:color="auto" w:fill="auto"/>
          </w:tcPr>
          <w:p w14:paraId="73869E71" w14:textId="24B5461D" w:rsidR="001155B3" w:rsidRPr="00CC474D" w:rsidRDefault="001155B3" w:rsidP="001155B3">
            <w:pPr>
              <w:pStyle w:val="TableText"/>
              <w:rPr>
                <w:szCs w:val="20"/>
              </w:rPr>
            </w:pPr>
            <w:r w:rsidRPr="00CC474D">
              <w:rPr>
                <w:rFonts w:cstheme="minorHAnsi"/>
                <w:szCs w:val="20"/>
              </w:rPr>
              <w:t>Y</w:t>
            </w:r>
          </w:p>
        </w:tc>
        <w:tc>
          <w:tcPr>
            <w:tcW w:w="833" w:type="pct"/>
          </w:tcPr>
          <w:p w14:paraId="0E79521C" w14:textId="00DE965B" w:rsidR="001155B3" w:rsidRPr="00CC474D" w:rsidRDefault="00CC474D" w:rsidP="001155B3">
            <w:pPr>
              <w:rPr>
                <w:sz w:val="20"/>
              </w:rPr>
            </w:pPr>
            <w:r w:rsidRPr="00CC474D">
              <w:rPr>
                <w:rFonts w:cstheme="minorHAnsi"/>
                <w:sz w:val="20"/>
              </w:rPr>
              <w:t>[0,+]</w:t>
            </w:r>
          </w:p>
        </w:tc>
        <w:tc>
          <w:tcPr>
            <w:tcW w:w="831" w:type="pct"/>
          </w:tcPr>
          <w:p w14:paraId="0403D160" w14:textId="60702D41" w:rsidR="001155B3" w:rsidRPr="00CC474D" w:rsidRDefault="001155B3" w:rsidP="001155B3">
            <w:pPr>
              <w:rPr>
                <w:sz w:val="20"/>
              </w:rPr>
            </w:pPr>
            <w:r w:rsidRPr="00CC474D">
              <w:rPr>
                <w:rFonts w:cstheme="minorHAnsi"/>
                <w:sz w:val="20"/>
              </w:rPr>
              <w:t>254 kg/day</w:t>
            </w:r>
          </w:p>
        </w:tc>
      </w:tr>
      <w:tr w:rsidR="001155B3" w:rsidRPr="00CC474D" w14:paraId="2F359C20" w14:textId="2183EFF2" w:rsidTr="004F011F">
        <w:tc>
          <w:tcPr>
            <w:tcW w:w="834" w:type="pct"/>
          </w:tcPr>
          <w:p w14:paraId="0FFDFA60" w14:textId="6AAD10EE" w:rsidR="001155B3" w:rsidRPr="00CC474D" w:rsidRDefault="001155B3" w:rsidP="001155B3">
            <w:pPr>
              <w:pStyle w:val="TableText"/>
              <w:rPr>
                <w:szCs w:val="20"/>
              </w:rPr>
            </w:pPr>
            <w:r w:rsidRPr="00CC474D">
              <w:rPr>
                <w:rFonts w:cstheme="minorHAnsi"/>
                <w:szCs w:val="20"/>
              </w:rPr>
              <w:t>particulateOrganicPhosphorus load</w:t>
            </w:r>
          </w:p>
        </w:tc>
        <w:tc>
          <w:tcPr>
            <w:tcW w:w="1130" w:type="pct"/>
          </w:tcPr>
          <w:p w14:paraId="1D7AEF3F" w14:textId="27C24B79" w:rsidR="001155B3" w:rsidRPr="00CC474D" w:rsidRDefault="001155B3" w:rsidP="001155B3">
            <w:pPr>
              <w:rPr>
                <w:sz w:val="20"/>
              </w:rPr>
            </w:pPr>
            <w:r w:rsidRPr="00CC474D">
              <w:rPr>
                <w:rFonts w:cstheme="minorHAnsi"/>
                <w:sz w:val="20"/>
              </w:rPr>
              <w:t>A measure of dissolved organic phosphorus load in kilograms per day</w:t>
            </w:r>
          </w:p>
        </w:tc>
        <w:tc>
          <w:tcPr>
            <w:tcW w:w="787" w:type="pct"/>
          </w:tcPr>
          <w:p w14:paraId="10390A79" w14:textId="282DE8BD" w:rsidR="001155B3" w:rsidRPr="00CC474D" w:rsidRDefault="001155B3" w:rsidP="001155B3">
            <w:pPr>
              <w:pStyle w:val="TableText"/>
              <w:rPr>
                <w:szCs w:val="20"/>
              </w:rPr>
            </w:pPr>
            <w:r w:rsidRPr="00CC474D">
              <w:rPr>
                <w:rFonts w:cstheme="minorHAnsi"/>
                <w:szCs w:val="20"/>
              </w:rPr>
              <w:t>Number (0 decimal)</w:t>
            </w:r>
          </w:p>
        </w:tc>
        <w:tc>
          <w:tcPr>
            <w:tcW w:w="585" w:type="pct"/>
            <w:shd w:val="clear" w:color="auto" w:fill="auto"/>
          </w:tcPr>
          <w:p w14:paraId="77537B7A" w14:textId="19FC51B2" w:rsidR="001155B3" w:rsidRPr="00CC474D" w:rsidRDefault="001155B3" w:rsidP="001155B3">
            <w:pPr>
              <w:pStyle w:val="TableText"/>
              <w:rPr>
                <w:szCs w:val="20"/>
              </w:rPr>
            </w:pPr>
            <w:r w:rsidRPr="00CC474D">
              <w:rPr>
                <w:rFonts w:cstheme="minorHAnsi"/>
                <w:szCs w:val="20"/>
              </w:rPr>
              <w:t>Y</w:t>
            </w:r>
          </w:p>
        </w:tc>
        <w:tc>
          <w:tcPr>
            <w:tcW w:w="833" w:type="pct"/>
          </w:tcPr>
          <w:p w14:paraId="58B4E803" w14:textId="763AD59E" w:rsidR="001155B3" w:rsidRPr="00CC474D" w:rsidRDefault="00CC474D" w:rsidP="001155B3">
            <w:pPr>
              <w:rPr>
                <w:sz w:val="20"/>
              </w:rPr>
            </w:pPr>
            <w:r w:rsidRPr="00CC474D">
              <w:rPr>
                <w:rFonts w:cstheme="minorHAnsi"/>
                <w:sz w:val="20"/>
              </w:rPr>
              <w:t>[0,+]</w:t>
            </w:r>
          </w:p>
        </w:tc>
        <w:tc>
          <w:tcPr>
            <w:tcW w:w="831" w:type="pct"/>
          </w:tcPr>
          <w:p w14:paraId="5D98E6DC" w14:textId="2990C950" w:rsidR="001155B3" w:rsidRPr="00CC474D" w:rsidRDefault="001155B3" w:rsidP="001155B3">
            <w:pPr>
              <w:rPr>
                <w:sz w:val="20"/>
              </w:rPr>
            </w:pPr>
            <w:r w:rsidRPr="00CC474D">
              <w:rPr>
                <w:rFonts w:cstheme="minorHAnsi"/>
                <w:sz w:val="20"/>
              </w:rPr>
              <w:t>1984 kg/day</w:t>
            </w:r>
          </w:p>
        </w:tc>
      </w:tr>
      <w:tr w:rsidR="001155B3" w:rsidRPr="00CC474D" w14:paraId="0BB23307" w14:textId="4DDD7EDB" w:rsidTr="004F011F">
        <w:tc>
          <w:tcPr>
            <w:tcW w:w="834" w:type="pct"/>
          </w:tcPr>
          <w:p w14:paraId="7D2BAF8B" w14:textId="1F571240" w:rsidR="001155B3" w:rsidRPr="00CC474D" w:rsidRDefault="001155B3" w:rsidP="001155B3">
            <w:pPr>
              <w:pStyle w:val="TableText"/>
              <w:rPr>
                <w:szCs w:val="20"/>
              </w:rPr>
            </w:pPr>
            <w:r w:rsidRPr="00CC474D">
              <w:rPr>
                <w:rFonts w:cstheme="minorHAnsi"/>
                <w:szCs w:val="20"/>
              </w:rPr>
              <w:t>ammoniumLoad</w:t>
            </w:r>
          </w:p>
        </w:tc>
        <w:tc>
          <w:tcPr>
            <w:tcW w:w="1130" w:type="pct"/>
          </w:tcPr>
          <w:p w14:paraId="0FFA6AB3" w14:textId="14B6604B" w:rsidR="001155B3" w:rsidRPr="00CC474D" w:rsidRDefault="001155B3" w:rsidP="001155B3">
            <w:pPr>
              <w:rPr>
                <w:sz w:val="20"/>
              </w:rPr>
            </w:pPr>
            <w:r w:rsidRPr="00CC474D">
              <w:rPr>
                <w:rFonts w:cstheme="minorHAnsi"/>
                <w:sz w:val="20"/>
              </w:rPr>
              <w:t>A form of dissolved nitrogen load in kilograms per day</w:t>
            </w:r>
          </w:p>
        </w:tc>
        <w:tc>
          <w:tcPr>
            <w:tcW w:w="787" w:type="pct"/>
          </w:tcPr>
          <w:p w14:paraId="14DC1625" w14:textId="0BEA7416" w:rsidR="001155B3" w:rsidRPr="00CC474D" w:rsidRDefault="001155B3" w:rsidP="001155B3">
            <w:pPr>
              <w:rPr>
                <w:sz w:val="20"/>
              </w:rPr>
            </w:pPr>
            <w:r w:rsidRPr="00CC474D">
              <w:rPr>
                <w:rFonts w:cstheme="minorHAnsi"/>
                <w:sz w:val="20"/>
              </w:rPr>
              <w:t>Number (0 decimal)</w:t>
            </w:r>
          </w:p>
        </w:tc>
        <w:tc>
          <w:tcPr>
            <w:tcW w:w="585" w:type="pct"/>
            <w:shd w:val="clear" w:color="auto" w:fill="auto"/>
          </w:tcPr>
          <w:p w14:paraId="5A4A36FF" w14:textId="4D22D40B" w:rsidR="001155B3" w:rsidRPr="00CC474D" w:rsidRDefault="001155B3" w:rsidP="001155B3">
            <w:pPr>
              <w:pStyle w:val="TableText"/>
              <w:rPr>
                <w:szCs w:val="20"/>
              </w:rPr>
            </w:pPr>
            <w:r w:rsidRPr="00CC474D">
              <w:rPr>
                <w:rFonts w:cstheme="minorHAnsi"/>
                <w:szCs w:val="20"/>
              </w:rPr>
              <w:t>Y</w:t>
            </w:r>
          </w:p>
        </w:tc>
        <w:tc>
          <w:tcPr>
            <w:tcW w:w="833" w:type="pct"/>
          </w:tcPr>
          <w:p w14:paraId="6C2CBF42" w14:textId="4A220B91" w:rsidR="001155B3" w:rsidRPr="00CC474D" w:rsidRDefault="00CC474D" w:rsidP="001155B3">
            <w:pPr>
              <w:rPr>
                <w:sz w:val="20"/>
              </w:rPr>
            </w:pPr>
            <w:r w:rsidRPr="00CC474D">
              <w:rPr>
                <w:rFonts w:cstheme="minorHAnsi"/>
                <w:sz w:val="20"/>
              </w:rPr>
              <w:t>[0,+]</w:t>
            </w:r>
          </w:p>
        </w:tc>
        <w:tc>
          <w:tcPr>
            <w:tcW w:w="831" w:type="pct"/>
          </w:tcPr>
          <w:p w14:paraId="455877D7" w14:textId="77C3E8A5" w:rsidR="001155B3" w:rsidRPr="00CC474D" w:rsidRDefault="001155B3" w:rsidP="001155B3">
            <w:pPr>
              <w:rPr>
                <w:sz w:val="20"/>
              </w:rPr>
            </w:pPr>
            <w:r w:rsidRPr="00CC474D">
              <w:rPr>
                <w:rFonts w:cstheme="minorHAnsi"/>
                <w:sz w:val="20"/>
              </w:rPr>
              <w:t>254 kg/day</w:t>
            </w:r>
          </w:p>
        </w:tc>
      </w:tr>
      <w:tr w:rsidR="001155B3" w:rsidRPr="00CC474D" w14:paraId="08F5F801" w14:textId="6DFA5C9A" w:rsidTr="004F011F">
        <w:tc>
          <w:tcPr>
            <w:tcW w:w="834" w:type="pct"/>
          </w:tcPr>
          <w:p w14:paraId="4E5C4452" w14:textId="55706C1F" w:rsidR="001155B3" w:rsidRPr="00CC474D" w:rsidRDefault="001155B3" w:rsidP="001155B3">
            <w:pPr>
              <w:pStyle w:val="TableText"/>
              <w:rPr>
                <w:szCs w:val="20"/>
              </w:rPr>
            </w:pPr>
            <w:r w:rsidRPr="00CC474D">
              <w:rPr>
                <w:rFonts w:cstheme="minorHAnsi"/>
                <w:szCs w:val="20"/>
              </w:rPr>
              <w:t>particulateOrganicNitrogenLoad</w:t>
            </w:r>
          </w:p>
        </w:tc>
        <w:tc>
          <w:tcPr>
            <w:tcW w:w="1130" w:type="pct"/>
          </w:tcPr>
          <w:p w14:paraId="44B5E125" w14:textId="3174CF8F" w:rsidR="001155B3" w:rsidRPr="00CC474D" w:rsidRDefault="001155B3" w:rsidP="001155B3">
            <w:pPr>
              <w:rPr>
                <w:sz w:val="20"/>
              </w:rPr>
            </w:pPr>
            <w:r w:rsidRPr="00CC474D">
              <w:rPr>
                <w:rFonts w:cstheme="minorHAnsi"/>
                <w:sz w:val="20"/>
              </w:rPr>
              <w:t>A measure of dissolved organic nitrogen load in kg per day</w:t>
            </w:r>
          </w:p>
        </w:tc>
        <w:tc>
          <w:tcPr>
            <w:tcW w:w="787" w:type="pct"/>
          </w:tcPr>
          <w:p w14:paraId="108B1CBD" w14:textId="0EB8544F" w:rsidR="001155B3" w:rsidRPr="00CC474D" w:rsidRDefault="001155B3" w:rsidP="001155B3">
            <w:pPr>
              <w:rPr>
                <w:sz w:val="20"/>
              </w:rPr>
            </w:pPr>
            <w:r w:rsidRPr="00CC474D">
              <w:rPr>
                <w:rFonts w:cstheme="minorHAnsi"/>
                <w:sz w:val="20"/>
              </w:rPr>
              <w:t>Number (0 decimal)</w:t>
            </w:r>
          </w:p>
        </w:tc>
        <w:tc>
          <w:tcPr>
            <w:tcW w:w="585" w:type="pct"/>
            <w:shd w:val="clear" w:color="auto" w:fill="auto"/>
          </w:tcPr>
          <w:p w14:paraId="43DA3F66" w14:textId="6A232FE7" w:rsidR="001155B3" w:rsidRPr="00CC474D" w:rsidRDefault="001155B3" w:rsidP="001155B3">
            <w:pPr>
              <w:pStyle w:val="TableText"/>
              <w:rPr>
                <w:szCs w:val="20"/>
              </w:rPr>
            </w:pPr>
            <w:r w:rsidRPr="00CC474D">
              <w:rPr>
                <w:rFonts w:cstheme="minorHAnsi"/>
                <w:szCs w:val="20"/>
              </w:rPr>
              <w:t>Y</w:t>
            </w:r>
          </w:p>
        </w:tc>
        <w:tc>
          <w:tcPr>
            <w:tcW w:w="833" w:type="pct"/>
          </w:tcPr>
          <w:p w14:paraId="26BF037F" w14:textId="17229C5C" w:rsidR="001155B3" w:rsidRPr="00CC474D" w:rsidRDefault="00CC474D" w:rsidP="001155B3">
            <w:pPr>
              <w:rPr>
                <w:sz w:val="20"/>
              </w:rPr>
            </w:pPr>
            <w:r w:rsidRPr="00CC474D">
              <w:rPr>
                <w:rFonts w:cstheme="minorHAnsi"/>
                <w:sz w:val="20"/>
              </w:rPr>
              <w:t>[0,+]</w:t>
            </w:r>
          </w:p>
        </w:tc>
        <w:tc>
          <w:tcPr>
            <w:tcW w:w="831" w:type="pct"/>
          </w:tcPr>
          <w:p w14:paraId="38BF768F" w14:textId="36DAD889" w:rsidR="001155B3" w:rsidRPr="00CC474D" w:rsidRDefault="001155B3" w:rsidP="001155B3">
            <w:pPr>
              <w:rPr>
                <w:sz w:val="20"/>
              </w:rPr>
            </w:pPr>
            <w:r w:rsidRPr="00CC474D">
              <w:rPr>
                <w:rFonts w:cstheme="minorHAnsi"/>
                <w:sz w:val="20"/>
              </w:rPr>
              <w:t>1984 kg/day</w:t>
            </w:r>
          </w:p>
        </w:tc>
      </w:tr>
      <w:tr w:rsidR="001155B3" w:rsidRPr="00CC474D" w14:paraId="3B6D0ED2" w14:textId="2434141B" w:rsidTr="004F011F">
        <w:tc>
          <w:tcPr>
            <w:tcW w:w="834" w:type="pct"/>
          </w:tcPr>
          <w:p w14:paraId="5F38022C" w14:textId="34CB14CB" w:rsidR="001155B3" w:rsidRPr="00CC474D" w:rsidRDefault="001155B3" w:rsidP="001155B3">
            <w:pPr>
              <w:pStyle w:val="TableText"/>
              <w:rPr>
                <w:szCs w:val="20"/>
              </w:rPr>
            </w:pPr>
            <w:r w:rsidRPr="00CC474D">
              <w:rPr>
                <w:rFonts w:cstheme="minorHAnsi"/>
                <w:szCs w:val="20"/>
              </w:rPr>
              <w:t>dissolvedSilicaLoad</w:t>
            </w:r>
          </w:p>
        </w:tc>
        <w:tc>
          <w:tcPr>
            <w:tcW w:w="1130" w:type="pct"/>
          </w:tcPr>
          <w:p w14:paraId="02B83A97" w14:textId="343BC68F" w:rsidR="001155B3" w:rsidRPr="00CC474D" w:rsidRDefault="001155B3" w:rsidP="001155B3">
            <w:pPr>
              <w:rPr>
                <w:sz w:val="20"/>
              </w:rPr>
            </w:pPr>
            <w:r w:rsidRPr="00CC474D">
              <w:rPr>
                <w:rFonts w:cstheme="minorHAnsi"/>
                <w:sz w:val="20"/>
              </w:rPr>
              <w:t>A measure of inorganic silica load in kilograms per day</w:t>
            </w:r>
          </w:p>
        </w:tc>
        <w:tc>
          <w:tcPr>
            <w:tcW w:w="787" w:type="pct"/>
          </w:tcPr>
          <w:p w14:paraId="70AC55D8" w14:textId="6C4DCC28" w:rsidR="001155B3" w:rsidRPr="00CC474D" w:rsidRDefault="001155B3" w:rsidP="001155B3">
            <w:pPr>
              <w:rPr>
                <w:sz w:val="20"/>
              </w:rPr>
            </w:pPr>
            <w:r w:rsidRPr="00CC474D">
              <w:rPr>
                <w:rFonts w:cstheme="minorHAnsi"/>
                <w:sz w:val="20"/>
              </w:rPr>
              <w:t>Number (0 decimal)</w:t>
            </w:r>
          </w:p>
        </w:tc>
        <w:tc>
          <w:tcPr>
            <w:tcW w:w="585" w:type="pct"/>
            <w:shd w:val="clear" w:color="auto" w:fill="auto"/>
          </w:tcPr>
          <w:p w14:paraId="1E663902" w14:textId="6A55AB04" w:rsidR="001155B3" w:rsidRPr="00CC474D" w:rsidRDefault="001155B3" w:rsidP="001155B3">
            <w:pPr>
              <w:pStyle w:val="TableText"/>
              <w:rPr>
                <w:szCs w:val="20"/>
              </w:rPr>
            </w:pPr>
            <w:r w:rsidRPr="00CC474D">
              <w:rPr>
                <w:rFonts w:cstheme="minorHAnsi"/>
                <w:szCs w:val="20"/>
              </w:rPr>
              <w:t>Y</w:t>
            </w:r>
          </w:p>
        </w:tc>
        <w:tc>
          <w:tcPr>
            <w:tcW w:w="833" w:type="pct"/>
          </w:tcPr>
          <w:p w14:paraId="52A5BDBE" w14:textId="25D5315E" w:rsidR="001155B3" w:rsidRPr="00CC474D" w:rsidRDefault="00CC474D" w:rsidP="001155B3">
            <w:pPr>
              <w:rPr>
                <w:sz w:val="20"/>
              </w:rPr>
            </w:pPr>
            <w:r w:rsidRPr="00CC474D">
              <w:rPr>
                <w:rFonts w:cstheme="minorHAnsi"/>
                <w:sz w:val="20"/>
              </w:rPr>
              <w:t>[0,+]</w:t>
            </w:r>
          </w:p>
        </w:tc>
        <w:tc>
          <w:tcPr>
            <w:tcW w:w="831" w:type="pct"/>
          </w:tcPr>
          <w:p w14:paraId="7CF42692" w14:textId="65BCE029" w:rsidR="001155B3" w:rsidRPr="00CC474D" w:rsidRDefault="001155B3" w:rsidP="001155B3">
            <w:pPr>
              <w:rPr>
                <w:sz w:val="20"/>
              </w:rPr>
            </w:pPr>
            <w:r w:rsidRPr="00CC474D">
              <w:rPr>
                <w:rFonts w:cstheme="minorHAnsi"/>
                <w:sz w:val="20"/>
              </w:rPr>
              <w:t>2238 kg/day</w:t>
            </w:r>
          </w:p>
        </w:tc>
      </w:tr>
      <w:tr w:rsidR="001155B3" w:rsidRPr="00CC474D" w14:paraId="1F6E17E8" w14:textId="3D78BC48" w:rsidTr="004F011F">
        <w:tc>
          <w:tcPr>
            <w:tcW w:w="834" w:type="pct"/>
          </w:tcPr>
          <w:p w14:paraId="61DE5E3C" w14:textId="3A460C3B" w:rsidR="001155B3" w:rsidRPr="00CC474D" w:rsidRDefault="001155B3" w:rsidP="001155B3">
            <w:pPr>
              <w:pStyle w:val="TableText"/>
              <w:rPr>
                <w:szCs w:val="20"/>
              </w:rPr>
            </w:pPr>
            <w:r w:rsidRPr="00CC474D">
              <w:rPr>
                <w:rFonts w:cstheme="minorHAnsi"/>
                <w:szCs w:val="20"/>
              </w:rPr>
              <w:t>chlorophyll-</w:t>
            </w:r>
            <w:r w:rsidRPr="00CC474D">
              <w:rPr>
                <w:rFonts w:cstheme="minorHAnsi"/>
                <w:i/>
                <w:szCs w:val="20"/>
              </w:rPr>
              <w:t>a</w:t>
            </w:r>
            <w:r w:rsidRPr="00CC474D">
              <w:rPr>
                <w:rFonts w:cstheme="minorHAnsi"/>
                <w:szCs w:val="20"/>
              </w:rPr>
              <w:t>Load</w:t>
            </w:r>
          </w:p>
        </w:tc>
        <w:tc>
          <w:tcPr>
            <w:tcW w:w="1130" w:type="pct"/>
          </w:tcPr>
          <w:p w14:paraId="2AD21CBC" w14:textId="1450FCAB" w:rsidR="001155B3" w:rsidRPr="00CC474D" w:rsidRDefault="001155B3" w:rsidP="001155B3">
            <w:pPr>
              <w:rPr>
                <w:sz w:val="20"/>
              </w:rPr>
            </w:pPr>
            <w:r w:rsidRPr="00CC474D">
              <w:rPr>
                <w:rFonts w:cstheme="minorHAnsi"/>
                <w:sz w:val="20"/>
              </w:rPr>
              <w:t>A measure of algal biomass load in kilograms per day</w:t>
            </w:r>
          </w:p>
        </w:tc>
        <w:tc>
          <w:tcPr>
            <w:tcW w:w="787" w:type="pct"/>
          </w:tcPr>
          <w:p w14:paraId="59A51237" w14:textId="6A685DBA" w:rsidR="001155B3" w:rsidRPr="00CC474D" w:rsidRDefault="001155B3" w:rsidP="001155B3">
            <w:pPr>
              <w:rPr>
                <w:sz w:val="20"/>
              </w:rPr>
            </w:pPr>
            <w:r w:rsidRPr="00CC474D">
              <w:rPr>
                <w:rFonts w:cstheme="minorHAnsi"/>
                <w:sz w:val="20"/>
              </w:rPr>
              <w:t>Number (0 decimal)</w:t>
            </w:r>
          </w:p>
        </w:tc>
        <w:tc>
          <w:tcPr>
            <w:tcW w:w="585" w:type="pct"/>
            <w:shd w:val="clear" w:color="auto" w:fill="auto"/>
          </w:tcPr>
          <w:p w14:paraId="2CB8B17B" w14:textId="01482FB1" w:rsidR="001155B3" w:rsidRPr="00CC474D" w:rsidRDefault="001155B3" w:rsidP="001155B3">
            <w:pPr>
              <w:pStyle w:val="TableText"/>
              <w:rPr>
                <w:szCs w:val="20"/>
              </w:rPr>
            </w:pPr>
            <w:r w:rsidRPr="00CC474D">
              <w:rPr>
                <w:rFonts w:cstheme="minorHAnsi"/>
                <w:szCs w:val="20"/>
              </w:rPr>
              <w:t>Y</w:t>
            </w:r>
          </w:p>
        </w:tc>
        <w:tc>
          <w:tcPr>
            <w:tcW w:w="833" w:type="pct"/>
          </w:tcPr>
          <w:p w14:paraId="447D8BEF" w14:textId="7ED3A29C" w:rsidR="001155B3" w:rsidRPr="00CC474D" w:rsidRDefault="00CC474D" w:rsidP="001155B3">
            <w:pPr>
              <w:rPr>
                <w:sz w:val="20"/>
              </w:rPr>
            </w:pPr>
            <w:r w:rsidRPr="00CC474D">
              <w:rPr>
                <w:rFonts w:cstheme="minorHAnsi"/>
                <w:sz w:val="20"/>
              </w:rPr>
              <w:t>[0,+]</w:t>
            </w:r>
          </w:p>
        </w:tc>
        <w:tc>
          <w:tcPr>
            <w:tcW w:w="831" w:type="pct"/>
          </w:tcPr>
          <w:p w14:paraId="5BDBD8C4" w14:textId="41BDAD4E" w:rsidR="001155B3" w:rsidRPr="00CC474D" w:rsidRDefault="001155B3" w:rsidP="001155B3">
            <w:pPr>
              <w:rPr>
                <w:sz w:val="20"/>
              </w:rPr>
            </w:pPr>
            <w:r w:rsidRPr="00CC474D">
              <w:rPr>
                <w:rFonts w:cstheme="minorHAnsi"/>
                <w:sz w:val="20"/>
              </w:rPr>
              <w:t>5650 kg/day</w:t>
            </w:r>
          </w:p>
        </w:tc>
      </w:tr>
    </w:tbl>
    <w:p w14:paraId="4DB8EEF4" w14:textId="77777777" w:rsidR="00756633" w:rsidRPr="00992869" w:rsidRDefault="00756633" w:rsidP="009E6C53"/>
    <w:p w14:paraId="3F75C3AD" w14:textId="77777777" w:rsidR="009E6C53" w:rsidRPr="00992869" w:rsidRDefault="009E6C53" w:rsidP="009E6C53">
      <w:pPr>
        <w:pStyle w:val="Heading3"/>
      </w:pPr>
      <w:bookmarkStart w:id="1526" w:name="_Toc10206748"/>
      <w:bookmarkStart w:id="1527" w:name="_Toc10213334"/>
      <w:bookmarkStart w:id="1528" w:name="_Toc10732358"/>
      <w:bookmarkStart w:id="1529" w:name="_Toc10796917"/>
      <w:bookmarkStart w:id="1530" w:name="_Toc12022802"/>
      <w:bookmarkStart w:id="1531" w:name="_Toc12630632"/>
      <w:bookmarkStart w:id="1532" w:name="_Toc16154492"/>
      <w:bookmarkStart w:id="1533" w:name="_Toc22196854"/>
      <w:r w:rsidRPr="00992869">
        <w:t>Quality Assurance/Quality Control</w:t>
      </w:r>
      <w:bookmarkEnd w:id="1526"/>
      <w:bookmarkEnd w:id="1527"/>
      <w:bookmarkEnd w:id="1528"/>
      <w:bookmarkEnd w:id="1529"/>
      <w:bookmarkEnd w:id="1530"/>
      <w:bookmarkEnd w:id="1531"/>
      <w:bookmarkEnd w:id="1532"/>
      <w:bookmarkEnd w:id="1533"/>
    </w:p>
    <w:p w14:paraId="23E09333" w14:textId="2E6C7A6E" w:rsidR="009E6C53" w:rsidRPr="00992869" w:rsidRDefault="009E6C53" w:rsidP="009E6C53">
      <w:r w:rsidRPr="00992869">
        <w:t xml:space="preserve">See Section </w:t>
      </w:r>
      <w:r w:rsidRPr="00992869">
        <w:fldChar w:fldCharType="begin"/>
      </w:r>
      <w:r w:rsidRPr="00992869">
        <w:instrText xml:space="preserve"> REF _Ref9333977 \r \h  \* MERGEFORMAT </w:instrText>
      </w:r>
      <w:r w:rsidRPr="00992869">
        <w:fldChar w:fldCharType="separate"/>
      </w:r>
      <w:r w:rsidR="00DF49CD">
        <w:t>10.3</w:t>
      </w:r>
      <w:r w:rsidRPr="00992869">
        <w:fldChar w:fldCharType="end"/>
      </w:r>
      <w:r>
        <w:t xml:space="preserve"> </w:t>
      </w:r>
      <w:r w:rsidRPr="002E3EEF">
        <w:rPr>
          <w:rFonts w:cstheme="minorHAnsi"/>
          <w:szCs w:val="22"/>
        </w:rPr>
        <w:t xml:space="preserve">in the </w:t>
      </w:r>
      <w:r>
        <w:rPr>
          <w:rFonts w:cstheme="minorHAnsi"/>
          <w:szCs w:val="22"/>
        </w:rPr>
        <w:t>MER</w:t>
      </w:r>
      <w:r w:rsidRPr="002E3EEF">
        <w:rPr>
          <w:rFonts w:cstheme="minorHAnsi"/>
          <w:szCs w:val="22"/>
        </w:rPr>
        <w:t xml:space="preserve"> Plan</w:t>
      </w:r>
      <w:r>
        <w:rPr>
          <w:rFonts w:cstheme="minorHAnsi"/>
          <w:szCs w:val="22"/>
        </w:rPr>
        <w:t xml:space="preserve"> for quality assurance and control measures</w:t>
      </w:r>
      <w:r w:rsidRPr="00992869">
        <w:t xml:space="preserve">. </w:t>
      </w:r>
    </w:p>
    <w:p w14:paraId="470ABA74" w14:textId="77777777" w:rsidR="006361E1" w:rsidRPr="00992869" w:rsidRDefault="006361E1" w:rsidP="006361E1">
      <w:pPr>
        <w:pStyle w:val="Heading3"/>
      </w:pPr>
      <w:bookmarkStart w:id="1534" w:name="_Toc10206749"/>
      <w:bookmarkStart w:id="1535" w:name="_Toc10213335"/>
      <w:bookmarkStart w:id="1536" w:name="_Toc10732359"/>
      <w:bookmarkStart w:id="1537" w:name="_Toc10796918"/>
      <w:bookmarkStart w:id="1538" w:name="_Toc12022803"/>
      <w:bookmarkStart w:id="1539" w:name="_Toc12630633"/>
      <w:bookmarkStart w:id="1540" w:name="_Toc16154493"/>
      <w:bookmarkStart w:id="1541" w:name="_Toc22196855"/>
      <w:r w:rsidRPr="00992869">
        <w:t>Health, safety and environment plan</w:t>
      </w:r>
      <w:bookmarkEnd w:id="1524"/>
      <w:bookmarkEnd w:id="1525"/>
      <w:bookmarkEnd w:id="1534"/>
      <w:bookmarkEnd w:id="1535"/>
      <w:bookmarkEnd w:id="1536"/>
      <w:bookmarkEnd w:id="1537"/>
      <w:bookmarkEnd w:id="1538"/>
      <w:bookmarkEnd w:id="1539"/>
      <w:bookmarkEnd w:id="1540"/>
      <w:bookmarkEnd w:id="1541"/>
    </w:p>
    <w:p w14:paraId="019FD69A" w14:textId="652A3433" w:rsidR="006361E1" w:rsidRDefault="000E285D" w:rsidP="006361E1">
      <w:pPr>
        <w:rPr>
          <w:lang w:val="en-US"/>
        </w:rPr>
      </w:pPr>
      <w:r>
        <w:t>See Appendix A</w:t>
      </w:r>
      <w:r w:rsidR="006361E1" w:rsidRPr="00992869">
        <w:t>.</w:t>
      </w:r>
    </w:p>
    <w:p w14:paraId="6BF878FB" w14:textId="77777777" w:rsidR="006361E1" w:rsidRDefault="006361E1" w:rsidP="006361E1">
      <w:pPr>
        <w:pStyle w:val="Heading3"/>
      </w:pPr>
      <w:bookmarkStart w:id="1542" w:name="_Toc10095266"/>
      <w:bookmarkStart w:id="1543" w:name="_Toc10192435"/>
      <w:bookmarkStart w:id="1544" w:name="_Toc10206750"/>
      <w:bookmarkStart w:id="1545" w:name="_Toc10213336"/>
      <w:bookmarkStart w:id="1546" w:name="_Toc10732360"/>
      <w:bookmarkStart w:id="1547" w:name="_Toc10796919"/>
      <w:bookmarkStart w:id="1548" w:name="_Toc12022804"/>
      <w:bookmarkStart w:id="1549" w:name="_Toc12630634"/>
      <w:bookmarkStart w:id="1550" w:name="_Toc16154494"/>
      <w:bookmarkStart w:id="1551" w:name="_Toc22196856"/>
      <w:r>
        <w:t>References</w:t>
      </w:r>
      <w:bookmarkEnd w:id="1523"/>
      <w:bookmarkEnd w:id="1542"/>
      <w:bookmarkEnd w:id="1543"/>
      <w:bookmarkEnd w:id="1544"/>
      <w:bookmarkEnd w:id="1545"/>
      <w:bookmarkEnd w:id="1546"/>
      <w:bookmarkEnd w:id="1547"/>
      <w:bookmarkEnd w:id="1548"/>
      <w:bookmarkEnd w:id="1549"/>
      <w:bookmarkEnd w:id="1550"/>
      <w:bookmarkEnd w:id="1551"/>
    </w:p>
    <w:p w14:paraId="36462760" w14:textId="77777777" w:rsidR="006361E1" w:rsidRPr="009F1B02" w:rsidRDefault="006361E1" w:rsidP="006361E1">
      <w:r w:rsidRPr="009F1B02">
        <w:t>Aldridge, K.T., Busch, B.D. and Hipsey, M.R. (2013). An assessment of the contribution of environmental water provisions to salt and nutrient dynamics in the lower Murray, November 2011</w:t>
      </w:r>
      <w:r>
        <w:rPr>
          <w:rFonts w:eastAsiaTheme="majorEastAsia"/>
        </w:rPr>
        <w:t>–</w:t>
      </w:r>
      <w:r w:rsidRPr="009F1B02">
        <w:t>July 2012</w:t>
      </w:r>
      <w:r>
        <w:t xml:space="preserve">. </w:t>
      </w:r>
      <w:r w:rsidRPr="003070F9">
        <w:t>Prepared for the Commonwealth Environmental Water Office, Department of Sustainability, Environment, Water, Populations and Communities, Canberra.</w:t>
      </w:r>
    </w:p>
    <w:p w14:paraId="3C616C5C" w14:textId="77777777" w:rsidR="006361E1" w:rsidRDefault="006361E1" w:rsidP="006361E1">
      <w:pPr>
        <w:spacing w:after="0"/>
      </w:pPr>
    </w:p>
    <w:p w14:paraId="0086E123" w14:textId="77777777" w:rsidR="006361E1" w:rsidRDefault="006361E1" w:rsidP="006361E1">
      <w:pPr>
        <w:spacing w:after="200" w:line="276" w:lineRule="auto"/>
        <w:jc w:val="left"/>
      </w:pPr>
      <w:r>
        <w:br w:type="page"/>
      </w:r>
    </w:p>
    <w:p w14:paraId="5177BBC7" w14:textId="7306D301" w:rsidR="006361E1" w:rsidRDefault="006361E1" w:rsidP="006361E1">
      <w:pPr>
        <w:pStyle w:val="Heading2"/>
      </w:pPr>
      <w:bookmarkStart w:id="1552" w:name="_Toc10095267"/>
      <w:bookmarkStart w:id="1553" w:name="_Ref10126731"/>
      <w:bookmarkStart w:id="1554" w:name="_Toc10192436"/>
      <w:bookmarkStart w:id="1555" w:name="_Toc10206751"/>
      <w:bookmarkStart w:id="1556" w:name="_Toc10213337"/>
      <w:bookmarkStart w:id="1557" w:name="_Toc10732361"/>
      <w:bookmarkStart w:id="1558" w:name="_Toc10796920"/>
      <w:bookmarkStart w:id="1559" w:name="_Toc12022805"/>
      <w:bookmarkStart w:id="1560" w:name="_Toc12630635"/>
      <w:bookmarkStart w:id="1561" w:name="_Toc16154495"/>
      <w:bookmarkStart w:id="1562" w:name="_Toc22196857"/>
      <w:r w:rsidRPr="00C92D3E">
        <w:lastRenderedPageBreak/>
        <w:t xml:space="preserve">Coorong </w:t>
      </w:r>
      <w:r w:rsidR="00DA5568">
        <w:t>H</w:t>
      </w:r>
      <w:r w:rsidRPr="00586B68">
        <w:t>abitat</w:t>
      </w:r>
      <w:bookmarkEnd w:id="1552"/>
      <w:bookmarkEnd w:id="1553"/>
      <w:bookmarkEnd w:id="1554"/>
      <w:bookmarkEnd w:id="1555"/>
      <w:bookmarkEnd w:id="1556"/>
      <w:bookmarkEnd w:id="1557"/>
      <w:bookmarkEnd w:id="1558"/>
      <w:bookmarkEnd w:id="1559"/>
      <w:bookmarkEnd w:id="1560"/>
      <w:bookmarkEnd w:id="1561"/>
      <w:bookmarkEnd w:id="1562"/>
    </w:p>
    <w:p w14:paraId="796BA6BE" w14:textId="77777777" w:rsidR="006361E1" w:rsidRPr="00525AE9" w:rsidRDefault="006361E1" w:rsidP="006361E1">
      <w:pPr>
        <w:pStyle w:val="Heading3"/>
      </w:pPr>
      <w:bookmarkStart w:id="1563" w:name="_Toc10095268"/>
      <w:bookmarkStart w:id="1564" w:name="_Toc10192437"/>
      <w:bookmarkStart w:id="1565" w:name="_Toc10206752"/>
      <w:bookmarkStart w:id="1566" w:name="_Toc10213338"/>
      <w:bookmarkStart w:id="1567" w:name="_Toc10732362"/>
      <w:bookmarkStart w:id="1568" w:name="_Toc10796921"/>
      <w:bookmarkStart w:id="1569" w:name="_Toc12022806"/>
      <w:bookmarkStart w:id="1570" w:name="_Toc12630636"/>
      <w:bookmarkStart w:id="1571" w:name="_Toc16154496"/>
      <w:bookmarkStart w:id="1572" w:name="_Toc22196858"/>
      <w:r w:rsidRPr="00525AE9">
        <w:t>Evaluation questions</w:t>
      </w:r>
      <w:bookmarkEnd w:id="1563"/>
      <w:bookmarkEnd w:id="1564"/>
      <w:bookmarkEnd w:id="1565"/>
      <w:bookmarkEnd w:id="1566"/>
      <w:bookmarkEnd w:id="1567"/>
      <w:bookmarkEnd w:id="1568"/>
      <w:bookmarkEnd w:id="1569"/>
      <w:bookmarkEnd w:id="1570"/>
      <w:bookmarkEnd w:id="1571"/>
      <w:bookmarkEnd w:id="1572"/>
    </w:p>
    <w:p w14:paraId="17D55587" w14:textId="77777777" w:rsidR="00F4533B" w:rsidRPr="00557D7E" w:rsidRDefault="00F4533B" w:rsidP="00F4533B">
      <w:pPr>
        <w:rPr>
          <w:szCs w:val="22"/>
        </w:rPr>
      </w:pPr>
      <w:r w:rsidRPr="00557D7E">
        <w:rPr>
          <w:szCs w:val="22"/>
        </w:rPr>
        <w:t xml:space="preserve">This monitoring protocol addresses the following Selected Area </w:t>
      </w:r>
      <w:r>
        <w:rPr>
          <w:szCs w:val="22"/>
        </w:rPr>
        <w:t xml:space="preserve">scale </w:t>
      </w:r>
      <w:r w:rsidRPr="00557D7E">
        <w:rPr>
          <w:szCs w:val="22"/>
        </w:rPr>
        <w:t>evaluation questions:</w:t>
      </w:r>
    </w:p>
    <w:p w14:paraId="7BFF23B9" w14:textId="77777777" w:rsidR="00F4533B" w:rsidRDefault="00F4533B" w:rsidP="00F4533B">
      <w:pPr>
        <w:pStyle w:val="TableBullets"/>
        <w:tabs>
          <w:tab w:val="num" w:pos="360"/>
        </w:tabs>
        <w:rPr>
          <w:sz w:val="22"/>
        </w:rPr>
      </w:pPr>
      <w:r w:rsidRPr="00557D7E">
        <w:rPr>
          <w:sz w:val="22"/>
        </w:rPr>
        <w:t xml:space="preserve">What did </w:t>
      </w:r>
      <w:r w:rsidRPr="00557D7E">
        <w:rPr>
          <w:kern w:val="0"/>
          <w:sz w:val="22"/>
        </w:rPr>
        <w:t>Commonwealth environmental water</w:t>
      </w:r>
      <w:r w:rsidRPr="00557D7E">
        <w:rPr>
          <w:sz w:val="22"/>
        </w:rPr>
        <w:t xml:space="preserve"> contribute to </w:t>
      </w:r>
      <w:r>
        <w:rPr>
          <w:sz w:val="22"/>
        </w:rPr>
        <w:t xml:space="preserve">improving </w:t>
      </w:r>
      <w:r w:rsidRPr="00EF29F4">
        <w:rPr>
          <w:i/>
          <w:sz w:val="22"/>
        </w:rPr>
        <w:t>Ruppia tuberosa</w:t>
      </w:r>
      <w:r>
        <w:rPr>
          <w:sz w:val="22"/>
        </w:rPr>
        <w:t xml:space="preserve"> habitat in the Coorong</w:t>
      </w:r>
      <w:r w:rsidRPr="00557D7E">
        <w:rPr>
          <w:sz w:val="22"/>
        </w:rPr>
        <w:t>?</w:t>
      </w:r>
    </w:p>
    <w:p w14:paraId="060A7C67" w14:textId="77777777" w:rsidR="00F4533B" w:rsidRPr="004176ED" w:rsidRDefault="00F4533B" w:rsidP="00F4533B">
      <w:pPr>
        <w:pStyle w:val="TableBullets"/>
        <w:tabs>
          <w:tab w:val="num" w:pos="360"/>
        </w:tabs>
        <w:rPr>
          <w:sz w:val="22"/>
        </w:rPr>
      </w:pPr>
      <w:r w:rsidRPr="00557D7E">
        <w:rPr>
          <w:sz w:val="22"/>
        </w:rPr>
        <w:t xml:space="preserve">What did </w:t>
      </w:r>
      <w:r w:rsidRPr="00557D7E">
        <w:rPr>
          <w:kern w:val="0"/>
          <w:sz w:val="22"/>
        </w:rPr>
        <w:t>Commonwealth environmental water</w:t>
      </w:r>
      <w:r w:rsidRPr="00557D7E">
        <w:rPr>
          <w:sz w:val="22"/>
        </w:rPr>
        <w:t xml:space="preserve"> contribute to </w:t>
      </w:r>
      <w:r>
        <w:rPr>
          <w:sz w:val="22"/>
        </w:rPr>
        <w:t>improving fish habitat in the Coorong</w:t>
      </w:r>
      <w:r w:rsidRPr="00557D7E">
        <w:rPr>
          <w:sz w:val="22"/>
        </w:rPr>
        <w:t>?</w:t>
      </w:r>
    </w:p>
    <w:p w14:paraId="31A765D8" w14:textId="77777777" w:rsidR="006361E1" w:rsidRPr="00EF29F4" w:rsidRDefault="006361E1" w:rsidP="006361E1">
      <w:pPr>
        <w:pStyle w:val="TableBullets"/>
        <w:numPr>
          <w:ilvl w:val="0"/>
          <w:numId w:val="0"/>
        </w:numPr>
        <w:ind w:left="770"/>
        <w:rPr>
          <w:sz w:val="22"/>
        </w:rPr>
      </w:pPr>
    </w:p>
    <w:p w14:paraId="7DFAD1ED" w14:textId="55A53BC6" w:rsidR="006361E1" w:rsidRDefault="006361E1" w:rsidP="006361E1">
      <w:r w:rsidRPr="00557D7E">
        <w:t>The process for evaluating these q</w:t>
      </w:r>
      <w:r w:rsidR="00D40887">
        <w:t>uestions is illustrated below in Figure B.9</w:t>
      </w:r>
      <w:r w:rsidRPr="00557D7E">
        <w:t>.</w:t>
      </w:r>
    </w:p>
    <w:p w14:paraId="30753F45" w14:textId="39AE9211" w:rsidR="005808F4" w:rsidRDefault="003A61CA" w:rsidP="003A61CA">
      <w:r w:rsidRPr="003A61CA">
        <w:rPr>
          <w:noProof/>
          <w:lang w:eastAsia="en-AU"/>
        </w:rPr>
        <w:drawing>
          <wp:inline distT="0" distB="0" distL="0" distR="0" wp14:anchorId="6E4871FB" wp14:editId="08919FB3">
            <wp:extent cx="5727700" cy="4115459"/>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5727700" cy="4115459"/>
                    </a:xfrm>
                    <a:prstGeom prst="rect">
                      <a:avLst/>
                    </a:prstGeom>
                    <a:noFill/>
                    <a:ln>
                      <a:noFill/>
                    </a:ln>
                  </pic:spPr>
                </pic:pic>
              </a:graphicData>
            </a:graphic>
          </wp:inline>
        </w:drawing>
      </w:r>
    </w:p>
    <w:p w14:paraId="3535012A" w14:textId="0CD75580" w:rsidR="006361E1" w:rsidRPr="0007165A" w:rsidRDefault="006361E1" w:rsidP="006361E1">
      <w:pPr>
        <w:pStyle w:val="Caption"/>
      </w:pPr>
      <w:r w:rsidRPr="003A61CA">
        <w:t>Figure B.</w:t>
      </w:r>
      <w:r w:rsidRPr="003A61CA">
        <w:rPr>
          <w:noProof/>
        </w:rPr>
        <w:fldChar w:fldCharType="begin"/>
      </w:r>
      <w:r w:rsidRPr="003A61CA">
        <w:rPr>
          <w:noProof/>
        </w:rPr>
        <w:instrText xml:space="preserve"> SEQ Figure_B. \* ARABIC </w:instrText>
      </w:r>
      <w:r w:rsidRPr="003A61CA">
        <w:rPr>
          <w:noProof/>
        </w:rPr>
        <w:fldChar w:fldCharType="separate"/>
      </w:r>
      <w:r w:rsidR="00DF49CD">
        <w:rPr>
          <w:noProof/>
        </w:rPr>
        <w:t>9</w:t>
      </w:r>
      <w:r w:rsidRPr="003A61CA">
        <w:rPr>
          <w:noProof/>
        </w:rPr>
        <w:fldChar w:fldCharType="end"/>
      </w:r>
      <w:r w:rsidRPr="003A61CA">
        <w:t xml:space="preserve">. Schematic of key elements of the LTIM Standard Protocol: </w:t>
      </w:r>
      <w:r w:rsidR="00D40887" w:rsidRPr="003A61CA">
        <w:t>Coorong Habitat</w:t>
      </w:r>
      <w:r w:rsidRPr="003A61CA">
        <w:t>.</w:t>
      </w:r>
    </w:p>
    <w:p w14:paraId="4D7A829F" w14:textId="77777777" w:rsidR="006361E1" w:rsidRPr="00525AE9" w:rsidRDefault="006361E1" w:rsidP="006361E1">
      <w:pPr>
        <w:pStyle w:val="Heading3"/>
      </w:pPr>
      <w:bookmarkStart w:id="1573" w:name="_Toc10095269"/>
      <w:bookmarkStart w:id="1574" w:name="_Toc10192438"/>
      <w:bookmarkStart w:id="1575" w:name="_Toc10206753"/>
      <w:bookmarkStart w:id="1576" w:name="_Toc10213339"/>
      <w:bookmarkStart w:id="1577" w:name="_Toc10732363"/>
      <w:bookmarkStart w:id="1578" w:name="_Toc10796922"/>
      <w:bookmarkStart w:id="1579" w:name="_Toc12022807"/>
      <w:bookmarkStart w:id="1580" w:name="_Toc12630637"/>
      <w:bookmarkStart w:id="1581" w:name="_Toc16154497"/>
      <w:bookmarkStart w:id="1582" w:name="_Toc22196859"/>
      <w:r w:rsidRPr="00525AE9">
        <w:t>Relevant ecosystem types</w:t>
      </w:r>
      <w:bookmarkEnd w:id="1573"/>
      <w:bookmarkEnd w:id="1574"/>
      <w:bookmarkEnd w:id="1575"/>
      <w:bookmarkEnd w:id="1576"/>
      <w:bookmarkEnd w:id="1577"/>
      <w:bookmarkEnd w:id="1578"/>
      <w:bookmarkEnd w:id="1579"/>
      <w:bookmarkEnd w:id="1580"/>
      <w:bookmarkEnd w:id="1581"/>
      <w:bookmarkEnd w:id="1582"/>
    </w:p>
    <w:p w14:paraId="6FF1E9D9" w14:textId="77777777" w:rsidR="006361E1" w:rsidRPr="00525AE9" w:rsidRDefault="006361E1" w:rsidP="006361E1">
      <w:r>
        <w:t>All – r</w:t>
      </w:r>
      <w:r w:rsidRPr="00525AE9">
        <w:t>iver</w:t>
      </w:r>
      <w:r>
        <w:t>s, wetlands and floodplains.</w:t>
      </w:r>
    </w:p>
    <w:p w14:paraId="2EA50CBD" w14:textId="77777777" w:rsidR="006361E1" w:rsidRPr="00525AE9" w:rsidRDefault="006361E1" w:rsidP="006361E1">
      <w:pPr>
        <w:pStyle w:val="Heading3"/>
      </w:pPr>
      <w:bookmarkStart w:id="1583" w:name="_Toc10095270"/>
      <w:bookmarkStart w:id="1584" w:name="_Toc10192439"/>
      <w:bookmarkStart w:id="1585" w:name="_Toc10206754"/>
      <w:bookmarkStart w:id="1586" w:name="_Toc10213340"/>
      <w:bookmarkStart w:id="1587" w:name="_Toc10732364"/>
      <w:bookmarkStart w:id="1588" w:name="_Toc10796923"/>
      <w:bookmarkStart w:id="1589" w:name="_Toc12022808"/>
      <w:bookmarkStart w:id="1590" w:name="_Toc12630638"/>
      <w:bookmarkStart w:id="1591" w:name="_Toc16154498"/>
      <w:bookmarkStart w:id="1592" w:name="_Toc22196860"/>
      <w:r w:rsidRPr="00525AE9">
        <w:t>Relevant flow types</w:t>
      </w:r>
      <w:bookmarkEnd w:id="1583"/>
      <w:bookmarkEnd w:id="1584"/>
      <w:bookmarkEnd w:id="1585"/>
      <w:bookmarkEnd w:id="1586"/>
      <w:bookmarkEnd w:id="1587"/>
      <w:bookmarkEnd w:id="1588"/>
      <w:bookmarkEnd w:id="1589"/>
      <w:bookmarkEnd w:id="1590"/>
      <w:bookmarkEnd w:id="1591"/>
      <w:bookmarkEnd w:id="1592"/>
    </w:p>
    <w:p w14:paraId="0CE67F83" w14:textId="77777777" w:rsidR="006361E1" w:rsidRPr="00525AE9" w:rsidRDefault="006361E1" w:rsidP="006361E1">
      <w:r>
        <w:t>All – baseflow, f</w:t>
      </w:r>
      <w:r w:rsidRPr="00525AE9">
        <w:t>resh</w:t>
      </w:r>
      <w:r>
        <w:t xml:space="preserve">es, </w:t>
      </w:r>
      <w:r w:rsidRPr="00525AE9">
        <w:t>bankfull</w:t>
      </w:r>
      <w:r>
        <w:t xml:space="preserve"> and</w:t>
      </w:r>
      <w:r w:rsidRPr="00525AE9">
        <w:t xml:space="preserve"> overbank</w:t>
      </w:r>
      <w:r>
        <w:t>.</w:t>
      </w:r>
    </w:p>
    <w:p w14:paraId="01B677B2" w14:textId="77777777" w:rsidR="006361E1" w:rsidRDefault="006361E1" w:rsidP="006361E1">
      <w:pPr>
        <w:pStyle w:val="Heading3"/>
      </w:pPr>
      <w:bookmarkStart w:id="1593" w:name="_Toc10095271"/>
      <w:bookmarkStart w:id="1594" w:name="_Toc10192440"/>
      <w:bookmarkStart w:id="1595" w:name="_Toc10206755"/>
      <w:bookmarkStart w:id="1596" w:name="_Toc10213341"/>
      <w:bookmarkStart w:id="1597" w:name="_Toc10732365"/>
      <w:bookmarkStart w:id="1598" w:name="_Toc10796924"/>
      <w:bookmarkStart w:id="1599" w:name="_Toc12022809"/>
      <w:bookmarkStart w:id="1600" w:name="_Toc12630639"/>
      <w:bookmarkStart w:id="1601" w:name="_Toc16154499"/>
      <w:bookmarkStart w:id="1602" w:name="_Toc22196861"/>
      <w:r w:rsidRPr="00525AE9">
        <w:t>Overview and context</w:t>
      </w:r>
      <w:bookmarkEnd w:id="1593"/>
      <w:bookmarkEnd w:id="1594"/>
      <w:bookmarkEnd w:id="1595"/>
      <w:bookmarkEnd w:id="1596"/>
      <w:bookmarkEnd w:id="1597"/>
      <w:bookmarkEnd w:id="1598"/>
      <w:bookmarkEnd w:id="1599"/>
      <w:bookmarkEnd w:id="1600"/>
      <w:bookmarkEnd w:id="1601"/>
      <w:bookmarkEnd w:id="1602"/>
    </w:p>
    <w:p w14:paraId="501A967E" w14:textId="2D7B05EA" w:rsidR="006361E1" w:rsidRPr="00E42A64" w:rsidRDefault="00F4533B" w:rsidP="006361E1">
      <w:pPr>
        <w:rPr>
          <w:szCs w:val="22"/>
        </w:rPr>
      </w:pPr>
      <w:r w:rsidRPr="00E42A64">
        <w:rPr>
          <w:szCs w:val="22"/>
        </w:rPr>
        <w:t>This component will use</w:t>
      </w:r>
      <w:r>
        <w:rPr>
          <w:szCs w:val="22"/>
        </w:rPr>
        <w:t xml:space="preserve"> outputs from</w:t>
      </w:r>
      <w:r w:rsidRPr="00E42A64">
        <w:rPr>
          <w:szCs w:val="22"/>
        </w:rPr>
        <w:t xml:space="preserve"> </w:t>
      </w:r>
      <w:r>
        <w:rPr>
          <w:szCs w:val="22"/>
        </w:rPr>
        <w:t>a hydrodynamic-biogeochemical model</w:t>
      </w:r>
      <w:r w:rsidRPr="00E42A64">
        <w:rPr>
          <w:szCs w:val="22"/>
        </w:rPr>
        <w:t xml:space="preserve"> that have been developed and used in the region</w:t>
      </w:r>
      <w:r>
        <w:rPr>
          <w:szCs w:val="22"/>
        </w:rPr>
        <w:t xml:space="preserve">. The hydrodynamic model outputs </w:t>
      </w:r>
      <w:r>
        <w:t>will be used</w:t>
      </w:r>
      <w:r w:rsidRPr="008E3CFD">
        <w:t xml:space="preserve"> to simulate the</w:t>
      </w:r>
      <w:r>
        <w:t xml:space="preserve"> </w:t>
      </w:r>
      <w:r w:rsidR="00EC3855">
        <w:t>‘</w:t>
      </w:r>
      <w:r>
        <w:t>with and without</w:t>
      </w:r>
      <w:r w:rsidRPr="008E3CFD">
        <w:t xml:space="preserve"> Commonwealth environmental water</w:t>
      </w:r>
      <w:r w:rsidR="00EC3855">
        <w:t>’</w:t>
      </w:r>
      <w:r w:rsidRPr="008E3CFD">
        <w:t xml:space="preserve"> </w:t>
      </w:r>
      <w:r>
        <w:t xml:space="preserve">conditions </w:t>
      </w:r>
      <w:r w:rsidRPr="008E3CFD">
        <w:t>that occur</w:t>
      </w:r>
      <w:r>
        <w:t xml:space="preserve"> each year,</w:t>
      </w:r>
      <w:r w:rsidRPr="008E3CFD">
        <w:t xml:space="preserve"> </w:t>
      </w:r>
      <w:r>
        <w:t>simulating</w:t>
      </w:r>
      <w:r w:rsidRPr="008E3CFD">
        <w:t xml:space="preserve"> </w:t>
      </w:r>
      <w:r w:rsidRPr="002B317B">
        <w:t xml:space="preserve">habitat characteristics for </w:t>
      </w:r>
      <w:r w:rsidRPr="002B317B">
        <w:rPr>
          <w:i/>
        </w:rPr>
        <w:t>Ruppia tuberosa</w:t>
      </w:r>
      <w:r w:rsidRPr="002B317B">
        <w:t xml:space="preserve"> </w:t>
      </w:r>
      <w:r>
        <w:t>and</w:t>
      </w:r>
      <w:r w:rsidRPr="002B317B">
        <w:t xml:space="preserve"> fish species</w:t>
      </w:r>
      <w:r>
        <w:t>.</w:t>
      </w:r>
      <w:r>
        <w:rPr>
          <w:szCs w:val="22"/>
        </w:rPr>
        <w:t xml:space="preserve"> </w:t>
      </w:r>
      <w:r w:rsidR="006361E1" w:rsidRPr="006768A6">
        <w:rPr>
          <w:rFonts w:cstheme="minorHAnsi"/>
          <w:szCs w:val="22"/>
        </w:rPr>
        <w:t xml:space="preserve">Refer to Section </w:t>
      </w:r>
      <w:r w:rsidR="00373051">
        <w:rPr>
          <w:highlight w:val="yellow"/>
        </w:rPr>
        <w:fldChar w:fldCharType="begin"/>
      </w:r>
      <w:r w:rsidR="00373051">
        <w:rPr>
          <w:rFonts w:cstheme="minorHAnsi"/>
          <w:szCs w:val="22"/>
        </w:rPr>
        <w:instrText xml:space="preserve"> REF _Ref9951228 \r \h </w:instrText>
      </w:r>
      <w:r w:rsidR="00373051">
        <w:rPr>
          <w:highlight w:val="yellow"/>
        </w:rPr>
      </w:r>
      <w:r w:rsidR="00373051">
        <w:rPr>
          <w:highlight w:val="yellow"/>
        </w:rPr>
        <w:fldChar w:fldCharType="separate"/>
      </w:r>
      <w:r w:rsidR="00DF49CD">
        <w:rPr>
          <w:rFonts w:cstheme="minorHAnsi"/>
          <w:szCs w:val="22"/>
        </w:rPr>
        <w:t>5.2.2</w:t>
      </w:r>
      <w:r w:rsidR="00373051">
        <w:rPr>
          <w:highlight w:val="yellow"/>
        </w:rPr>
        <w:fldChar w:fldCharType="end"/>
      </w:r>
      <w:r w:rsidR="006361E1" w:rsidRPr="006768A6">
        <w:rPr>
          <w:rFonts w:cstheme="minorHAnsi"/>
          <w:szCs w:val="22"/>
          <w:lang w:eastAsia="en-AU"/>
        </w:rPr>
        <w:t xml:space="preserve"> in the </w:t>
      </w:r>
      <w:r w:rsidR="006361E1">
        <w:rPr>
          <w:rFonts w:cstheme="minorHAnsi"/>
          <w:szCs w:val="22"/>
          <w:lang w:eastAsia="en-AU"/>
        </w:rPr>
        <w:t>MER</w:t>
      </w:r>
      <w:r w:rsidR="006361E1" w:rsidRPr="006768A6">
        <w:rPr>
          <w:rFonts w:cstheme="minorHAnsi"/>
          <w:szCs w:val="22"/>
          <w:lang w:eastAsia="en-AU"/>
        </w:rPr>
        <w:t xml:space="preserve"> Plan for </w:t>
      </w:r>
      <w:r w:rsidR="006361E1" w:rsidRPr="006768A6">
        <w:rPr>
          <w:rFonts w:cstheme="minorHAnsi"/>
          <w:szCs w:val="22"/>
          <w:lang w:eastAsia="en-AU"/>
        </w:rPr>
        <w:lastRenderedPageBreak/>
        <w:t xml:space="preserve">background information, objectives and hypotheses, outputs and staff involvement for </w:t>
      </w:r>
      <w:r w:rsidR="006361E1">
        <w:rPr>
          <w:rFonts w:cstheme="minorHAnsi"/>
          <w:szCs w:val="22"/>
          <w:lang w:eastAsia="en-AU"/>
        </w:rPr>
        <w:t xml:space="preserve">Coorong </w:t>
      </w:r>
      <w:r w:rsidR="00D40887">
        <w:rPr>
          <w:rFonts w:cstheme="minorHAnsi"/>
          <w:szCs w:val="22"/>
          <w:lang w:eastAsia="en-AU"/>
        </w:rPr>
        <w:t>H</w:t>
      </w:r>
      <w:r w:rsidR="006361E1">
        <w:rPr>
          <w:rFonts w:cstheme="minorHAnsi"/>
          <w:szCs w:val="22"/>
          <w:lang w:eastAsia="en-AU"/>
        </w:rPr>
        <w:t>abitat</w:t>
      </w:r>
      <w:r w:rsidR="006361E1" w:rsidRPr="006768A6">
        <w:rPr>
          <w:rFonts w:cstheme="minorHAnsi"/>
          <w:szCs w:val="22"/>
          <w:lang w:eastAsia="en-AU"/>
        </w:rPr>
        <w:t>.</w:t>
      </w:r>
    </w:p>
    <w:p w14:paraId="270C4DC6" w14:textId="77777777" w:rsidR="006361E1" w:rsidRDefault="006361E1" w:rsidP="006361E1">
      <w:pPr>
        <w:pStyle w:val="Heading3"/>
      </w:pPr>
      <w:bookmarkStart w:id="1603" w:name="_Toc10095272"/>
      <w:bookmarkStart w:id="1604" w:name="_Toc10192441"/>
      <w:bookmarkStart w:id="1605" w:name="_Toc10206756"/>
      <w:bookmarkStart w:id="1606" w:name="_Toc10213342"/>
      <w:bookmarkStart w:id="1607" w:name="_Toc10732366"/>
      <w:bookmarkStart w:id="1608" w:name="_Toc10796925"/>
      <w:bookmarkStart w:id="1609" w:name="_Toc12022810"/>
      <w:bookmarkStart w:id="1610" w:name="_Toc12630640"/>
      <w:bookmarkStart w:id="1611" w:name="_Toc16154500"/>
      <w:bookmarkStart w:id="1612" w:name="_Toc22196862"/>
      <w:r w:rsidRPr="00525AE9">
        <w:t>Complementary monitoring and data</w:t>
      </w:r>
      <w:bookmarkEnd w:id="1603"/>
      <w:bookmarkEnd w:id="1604"/>
      <w:bookmarkEnd w:id="1605"/>
      <w:bookmarkEnd w:id="1606"/>
      <w:bookmarkEnd w:id="1607"/>
      <w:bookmarkEnd w:id="1608"/>
      <w:bookmarkEnd w:id="1609"/>
      <w:bookmarkEnd w:id="1610"/>
      <w:bookmarkEnd w:id="1611"/>
      <w:bookmarkEnd w:id="1612"/>
    </w:p>
    <w:p w14:paraId="1E1061EC" w14:textId="79441D32" w:rsidR="006361E1" w:rsidRPr="00E42A64" w:rsidRDefault="006361E1" w:rsidP="006361E1">
      <w:pPr>
        <w:rPr>
          <w:szCs w:val="22"/>
        </w:rPr>
      </w:pPr>
      <w:r w:rsidRPr="00A100D8">
        <w:rPr>
          <w:szCs w:val="22"/>
        </w:rPr>
        <w:t xml:space="preserve">Input data will </w:t>
      </w:r>
      <w:r>
        <w:rPr>
          <w:szCs w:val="22"/>
        </w:rPr>
        <w:t xml:space="preserve">be </w:t>
      </w:r>
      <w:r w:rsidRPr="00096A20">
        <w:rPr>
          <w:szCs w:val="22"/>
        </w:rPr>
        <w:t>sought from DEW, SA Water and Bureau of Meteorology. Variables required include barrage discharge and water level. Permission</w:t>
      </w:r>
      <w:r w:rsidRPr="00A100D8">
        <w:rPr>
          <w:szCs w:val="22"/>
        </w:rPr>
        <w:t xml:space="preserve"> to use this data will be obtained from these organisations prior to use. Modelling undertaken by the MDBA of the without environmental water scenario (counterfactual modelling) at the S</w:t>
      </w:r>
      <w:r w:rsidR="00D67217">
        <w:rPr>
          <w:szCs w:val="22"/>
        </w:rPr>
        <w:t xml:space="preserve">outh </w:t>
      </w:r>
      <w:r w:rsidRPr="00A100D8">
        <w:rPr>
          <w:szCs w:val="22"/>
        </w:rPr>
        <w:t>A</w:t>
      </w:r>
      <w:r w:rsidR="00D67217">
        <w:rPr>
          <w:szCs w:val="22"/>
        </w:rPr>
        <w:t>ustralian</w:t>
      </w:r>
      <w:r w:rsidRPr="00A100D8">
        <w:rPr>
          <w:szCs w:val="22"/>
        </w:rPr>
        <w:t xml:space="preserve"> border is critical to undertaking this work.</w:t>
      </w:r>
    </w:p>
    <w:p w14:paraId="75896F07" w14:textId="77777777" w:rsidR="006361E1" w:rsidRPr="00525AE9" w:rsidRDefault="006361E1" w:rsidP="006361E1">
      <w:pPr>
        <w:pStyle w:val="Heading3"/>
      </w:pPr>
      <w:bookmarkStart w:id="1613" w:name="_Toc10095273"/>
      <w:bookmarkStart w:id="1614" w:name="_Toc10192442"/>
      <w:bookmarkStart w:id="1615" w:name="_Toc10206757"/>
      <w:bookmarkStart w:id="1616" w:name="_Toc10213343"/>
      <w:bookmarkStart w:id="1617" w:name="_Toc10732367"/>
      <w:bookmarkStart w:id="1618" w:name="_Toc10796926"/>
      <w:bookmarkStart w:id="1619" w:name="_Toc12022811"/>
      <w:bookmarkStart w:id="1620" w:name="_Toc12630641"/>
      <w:bookmarkStart w:id="1621" w:name="_Toc16154501"/>
      <w:bookmarkStart w:id="1622" w:name="_Toc22196863"/>
      <w:r w:rsidRPr="00525AE9">
        <w:t>Monitoring locations and timing</w:t>
      </w:r>
      <w:bookmarkEnd w:id="1613"/>
      <w:bookmarkEnd w:id="1614"/>
      <w:bookmarkEnd w:id="1615"/>
      <w:bookmarkEnd w:id="1616"/>
      <w:bookmarkEnd w:id="1617"/>
      <w:bookmarkEnd w:id="1618"/>
      <w:bookmarkEnd w:id="1619"/>
      <w:bookmarkEnd w:id="1620"/>
      <w:bookmarkEnd w:id="1621"/>
      <w:bookmarkEnd w:id="1622"/>
    </w:p>
    <w:p w14:paraId="347546A5" w14:textId="77777777" w:rsidR="006361E1" w:rsidRPr="00BB20BF" w:rsidRDefault="006361E1" w:rsidP="006361E1">
      <w:pPr>
        <w:pStyle w:val="Heading4"/>
      </w:pPr>
      <w:r w:rsidRPr="00BB20BF">
        <w:t>Locations</w:t>
      </w:r>
    </w:p>
    <w:p w14:paraId="1223FF63" w14:textId="77777777" w:rsidR="006361E1" w:rsidRDefault="006361E1" w:rsidP="006361E1">
      <w:pPr>
        <w:pStyle w:val="TableCaption"/>
      </w:pPr>
      <w:r>
        <w:rPr>
          <w:b w:val="0"/>
          <w:sz w:val="22"/>
          <w:szCs w:val="22"/>
        </w:rPr>
        <w:t xml:space="preserve">The habitat modelling will be conducted for the Coorong </w:t>
      </w:r>
      <w:r w:rsidRPr="00796D44">
        <w:rPr>
          <w:b w:val="0"/>
          <w:sz w:val="22"/>
          <w:szCs w:val="22"/>
        </w:rPr>
        <w:t>from the Murray Mouth to the southern end of the South Lagoon</w:t>
      </w:r>
      <w:r>
        <w:rPr>
          <w:b w:val="0"/>
          <w:sz w:val="22"/>
          <w:szCs w:val="22"/>
        </w:rPr>
        <w:t xml:space="preserve"> (102 km).</w:t>
      </w:r>
      <w:r w:rsidRPr="00796D44">
        <w:rPr>
          <w:b w:val="0"/>
          <w:sz w:val="22"/>
          <w:szCs w:val="22"/>
        </w:rPr>
        <w:t xml:space="preserve"> </w:t>
      </w:r>
      <w:r w:rsidRPr="004023F6">
        <w:rPr>
          <w:b w:val="0"/>
          <w:sz w:val="22"/>
          <w:szCs w:val="22"/>
        </w:rPr>
        <w:t xml:space="preserve">All monitoring data will be collected by complementary monitoring programs and so </w:t>
      </w:r>
      <w:r>
        <w:rPr>
          <w:b w:val="0"/>
          <w:sz w:val="22"/>
          <w:szCs w:val="22"/>
        </w:rPr>
        <w:t>no specific monitoring is undertaken as part of this indicator.</w:t>
      </w:r>
    </w:p>
    <w:p w14:paraId="0A092B78" w14:textId="77777777" w:rsidR="006361E1" w:rsidRPr="00BB20BF" w:rsidRDefault="006361E1" w:rsidP="006361E1">
      <w:pPr>
        <w:pStyle w:val="Heading4"/>
      </w:pPr>
      <w:r w:rsidRPr="00BB20BF">
        <w:t>Timing</w:t>
      </w:r>
    </w:p>
    <w:p w14:paraId="7BDCA104" w14:textId="207FE838" w:rsidR="00F4533B" w:rsidRPr="00E42A64" w:rsidRDefault="00DC6ECA" w:rsidP="00F4533B">
      <w:bookmarkStart w:id="1623" w:name="_Toc10095274"/>
      <w:bookmarkStart w:id="1624" w:name="_Toc10192443"/>
      <w:r w:rsidRPr="00E42A64">
        <w:t>All</w:t>
      </w:r>
      <w:r>
        <w:t xml:space="preserve"> model outputs</w:t>
      </w:r>
      <w:r w:rsidRPr="009B27E3">
        <w:t xml:space="preserve"> </w:t>
      </w:r>
      <w:r>
        <w:t>will be simulated on a</w:t>
      </w:r>
      <w:r w:rsidRPr="00E42A64">
        <w:t xml:space="preserve"> </w:t>
      </w:r>
      <w:r>
        <w:t>sub-</w:t>
      </w:r>
      <w:r w:rsidRPr="00E42A64">
        <w:t>daily basis</w:t>
      </w:r>
      <w:r>
        <w:t xml:space="preserve"> over the whole water year, with reporting for the relevant period for each species summarised over the growing season</w:t>
      </w:r>
      <w:r w:rsidR="00F4533B">
        <w:t xml:space="preserve">. </w:t>
      </w:r>
    </w:p>
    <w:p w14:paraId="40937E05" w14:textId="68993574" w:rsidR="006361E1" w:rsidRPr="00525AE9" w:rsidRDefault="006361E1" w:rsidP="006361E1">
      <w:pPr>
        <w:pStyle w:val="Heading3"/>
      </w:pPr>
      <w:bookmarkStart w:id="1625" w:name="_Toc10206758"/>
      <w:bookmarkStart w:id="1626" w:name="_Toc10213344"/>
      <w:bookmarkStart w:id="1627" w:name="_Toc10732368"/>
      <w:bookmarkStart w:id="1628" w:name="_Toc10796927"/>
      <w:bookmarkStart w:id="1629" w:name="_Toc12022812"/>
      <w:bookmarkStart w:id="1630" w:name="_Toc12630642"/>
      <w:bookmarkStart w:id="1631" w:name="_Toc16154502"/>
      <w:bookmarkStart w:id="1632" w:name="_Toc22196864"/>
      <w:r>
        <w:t>Monitoring protocol</w:t>
      </w:r>
      <w:bookmarkEnd w:id="1623"/>
      <w:bookmarkEnd w:id="1624"/>
      <w:bookmarkEnd w:id="1625"/>
      <w:bookmarkEnd w:id="1626"/>
      <w:bookmarkEnd w:id="1627"/>
      <w:bookmarkEnd w:id="1628"/>
      <w:bookmarkEnd w:id="1629"/>
      <w:bookmarkEnd w:id="1630"/>
      <w:bookmarkEnd w:id="1631"/>
      <w:bookmarkEnd w:id="1632"/>
    </w:p>
    <w:p w14:paraId="75564F2B" w14:textId="77777777" w:rsidR="006361E1" w:rsidRDefault="006361E1" w:rsidP="006361E1">
      <w:pPr>
        <w:pStyle w:val="Heading4"/>
      </w:pPr>
      <w:r w:rsidRPr="00525AE9">
        <w:t>Equipment</w:t>
      </w:r>
    </w:p>
    <w:p w14:paraId="0B281E29" w14:textId="77777777" w:rsidR="006361E1" w:rsidRPr="00512341" w:rsidRDefault="006361E1" w:rsidP="006361E1">
      <w:pPr>
        <w:pStyle w:val="TableCaption"/>
        <w:tabs>
          <w:tab w:val="clear" w:pos="993"/>
        </w:tabs>
        <w:contextualSpacing/>
        <w:rPr>
          <w:b w:val="0"/>
          <w:sz w:val="22"/>
          <w:szCs w:val="22"/>
        </w:rPr>
      </w:pPr>
      <w:r w:rsidRPr="00512341">
        <w:rPr>
          <w:b w:val="0"/>
          <w:sz w:val="22"/>
          <w:szCs w:val="22"/>
        </w:rPr>
        <w:t>N/A</w:t>
      </w:r>
    </w:p>
    <w:p w14:paraId="1D19AFFD" w14:textId="77777777" w:rsidR="006361E1" w:rsidRPr="00995CCE" w:rsidRDefault="006361E1" w:rsidP="006361E1">
      <w:pPr>
        <w:pStyle w:val="Heading4"/>
      </w:pPr>
      <w:r w:rsidRPr="00525AE9">
        <w:t>Protocol</w:t>
      </w:r>
    </w:p>
    <w:p w14:paraId="7D812D03" w14:textId="77777777" w:rsidR="006361E1" w:rsidRPr="00E42A64" w:rsidRDefault="006361E1" w:rsidP="006361E1">
      <w:pPr>
        <w:rPr>
          <w:szCs w:val="22"/>
        </w:rPr>
      </w:pPr>
      <w:r>
        <w:rPr>
          <w:szCs w:val="22"/>
        </w:rPr>
        <w:t>N/A</w:t>
      </w:r>
    </w:p>
    <w:p w14:paraId="5FA8BD74" w14:textId="77777777" w:rsidR="006361E1" w:rsidRPr="00525AE9" w:rsidRDefault="006361E1" w:rsidP="006361E1">
      <w:pPr>
        <w:pStyle w:val="Heading3"/>
      </w:pPr>
      <w:bookmarkStart w:id="1633" w:name="_Toc10095275"/>
      <w:bookmarkStart w:id="1634" w:name="_Toc10192444"/>
      <w:bookmarkStart w:id="1635" w:name="_Toc10206759"/>
      <w:bookmarkStart w:id="1636" w:name="_Toc10213345"/>
      <w:bookmarkStart w:id="1637" w:name="_Toc10732369"/>
      <w:bookmarkStart w:id="1638" w:name="_Toc10796928"/>
      <w:bookmarkStart w:id="1639" w:name="_Toc12022813"/>
      <w:bookmarkStart w:id="1640" w:name="_Toc12630643"/>
      <w:bookmarkStart w:id="1641" w:name="_Toc16154503"/>
      <w:bookmarkStart w:id="1642" w:name="_Toc22196865"/>
      <w:r w:rsidRPr="00525AE9">
        <w:t xml:space="preserve">Data analysis and </w:t>
      </w:r>
      <w:r>
        <w:t>evaluation</w:t>
      </w:r>
      <w:bookmarkEnd w:id="1633"/>
      <w:bookmarkEnd w:id="1634"/>
      <w:bookmarkEnd w:id="1635"/>
      <w:bookmarkEnd w:id="1636"/>
      <w:bookmarkEnd w:id="1637"/>
      <w:bookmarkEnd w:id="1638"/>
      <w:bookmarkEnd w:id="1639"/>
      <w:bookmarkEnd w:id="1640"/>
      <w:bookmarkEnd w:id="1641"/>
      <w:bookmarkEnd w:id="1642"/>
    </w:p>
    <w:p w14:paraId="52518CF6" w14:textId="7CEBB82B" w:rsidR="00F4533B" w:rsidRPr="00512341" w:rsidRDefault="00F4533B" w:rsidP="00F4533B">
      <w:pPr>
        <w:rPr>
          <w:szCs w:val="22"/>
        </w:rPr>
      </w:pPr>
      <w:r w:rsidRPr="00512341">
        <w:rPr>
          <w:szCs w:val="22"/>
        </w:rPr>
        <w:t xml:space="preserve">This project will use the </w:t>
      </w:r>
      <w:r>
        <w:rPr>
          <w:szCs w:val="22"/>
        </w:rPr>
        <w:t>TUFLOW-FV – AED2 mo</w:t>
      </w:r>
      <w:r w:rsidR="004F011F">
        <w:rPr>
          <w:szCs w:val="22"/>
        </w:rPr>
        <w:t>d</w:t>
      </w:r>
      <w:r>
        <w:rPr>
          <w:szCs w:val="22"/>
        </w:rPr>
        <w:t xml:space="preserve">elling system that has been developed form the CLLMM system. </w:t>
      </w:r>
      <w:r w:rsidRPr="00512341">
        <w:rPr>
          <w:szCs w:val="22"/>
        </w:rPr>
        <w:t xml:space="preserve">Salinities and water level along the North and South Lagoon of the Coorong will be calculated with a </w:t>
      </w:r>
      <w:r>
        <w:rPr>
          <w:szCs w:val="22"/>
        </w:rPr>
        <w:t xml:space="preserve">hourly </w:t>
      </w:r>
      <w:r w:rsidRPr="00512341">
        <w:rPr>
          <w:szCs w:val="22"/>
        </w:rPr>
        <w:t xml:space="preserve">time step with </w:t>
      </w:r>
      <w:r>
        <w:rPr>
          <w:szCs w:val="22"/>
        </w:rPr>
        <w:t>fine (2D)</w:t>
      </w:r>
      <w:r w:rsidRPr="00512341">
        <w:rPr>
          <w:szCs w:val="22"/>
        </w:rPr>
        <w:t xml:space="preserve"> resolution driven</w:t>
      </w:r>
      <w:r>
        <w:rPr>
          <w:szCs w:val="22"/>
        </w:rPr>
        <w:t xml:space="preserve">, in response to forcing by </w:t>
      </w:r>
      <w:r w:rsidRPr="00512341">
        <w:rPr>
          <w:szCs w:val="22"/>
        </w:rPr>
        <w:t xml:space="preserve">datasets describing tidal forcing, wind velocity, evaporation and precipitation. </w:t>
      </w:r>
    </w:p>
    <w:p w14:paraId="1D998845" w14:textId="77777777" w:rsidR="00F4533B" w:rsidRPr="00CD4F39" w:rsidRDefault="00F4533B" w:rsidP="00F4533B">
      <w:pPr>
        <w:rPr>
          <w:rFonts w:eastAsiaTheme="minorHAnsi" w:cstheme="minorBidi"/>
          <w:color w:val="auto"/>
          <w:kern w:val="0"/>
          <w:szCs w:val="22"/>
        </w:rPr>
      </w:pPr>
      <w:r>
        <w:rPr>
          <w:rFonts w:eastAsiaTheme="minorHAnsi" w:cstheme="minorBidi"/>
          <w:color w:val="auto"/>
          <w:kern w:val="0"/>
          <w:szCs w:val="22"/>
        </w:rPr>
        <w:t>T</w:t>
      </w:r>
      <w:r w:rsidRPr="00CD4F39">
        <w:rPr>
          <w:rFonts w:eastAsiaTheme="minorHAnsi" w:cstheme="minorBidi"/>
          <w:color w:val="auto"/>
          <w:kern w:val="0"/>
          <w:szCs w:val="22"/>
        </w:rPr>
        <w:t xml:space="preserve">o evaluate the effect of environmental watering on ecosystems, three scenarios </w:t>
      </w:r>
      <w:r>
        <w:rPr>
          <w:rFonts w:eastAsiaTheme="minorHAnsi" w:cstheme="minorBidi"/>
          <w:color w:val="auto"/>
          <w:kern w:val="0"/>
          <w:szCs w:val="22"/>
        </w:rPr>
        <w:t>will be</w:t>
      </w:r>
      <w:r w:rsidRPr="00CD4F39">
        <w:rPr>
          <w:rFonts w:eastAsiaTheme="minorHAnsi" w:cstheme="minorBidi"/>
          <w:color w:val="auto"/>
          <w:kern w:val="0"/>
          <w:szCs w:val="22"/>
        </w:rPr>
        <w:t xml:space="preserve"> calculated </w:t>
      </w:r>
      <w:r>
        <w:rPr>
          <w:rFonts w:eastAsiaTheme="minorHAnsi" w:cstheme="minorBidi"/>
          <w:color w:val="auto"/>
          <w:kern w:val="0"/>
          <w:szCs w:val="22"/>
        </w:rPr>
        <w:t>for each</w:t>
      </w:r>
      <w:r w:rsidRPr="00CD4F39">
        <w:rPr>
          <w:rFonts w:eastAsiaTheme="minorHAnsi" w:cstheme="minorBidi"/>
          <w:color w:val="auto"/>
          <w:kern w:val="0"/>
          <w:szCs w:val="22"/>
        </w:rPr>
        <w:t xml:space="preserve"> watering year:</w:t>
      </w:r>
    </w:p>
    <w:p w14:paraId="69C66FF9" w14:textId="2F2803F9" w:rsidR="009647F7" w:rsidRDefault="009647F7" w:rsidP="009647F7">
      <w:pPr>
        <w:pStyle w:val="ListParagraph"/>
        <w:numPr>
          <w:ilvl w:val="0"/>
          <w:numId w:val="71"/>
        </w:numPr>
      </w:pPr>
      <w:bookmarkStart w:id="1643" w:name="_Toc10095276"/>
      <w:bookmarkStart w:id="1644" w:name="_Toc10192445"/>
      <w:r>
        <w:t>‘</w:t>
      </w:r>
      <w:r w:rsidRPr="00A67C76">
        <w:t xml:space="preserve">with </w:t>
      </w:r>
      <w:r>
        <w:t xml:space="preserve">all </w:t>
      </w:r>
      <w:r w:rsidRPr="00A67C76">
        <w:t>water</w:t>
      </w:r>
      <w:r>
        <w:t>’ (i.e. observed, including all environmental and consumptive water)</w:t>
      </w:r>
      <w:r w:rsidRPr="00A67C76">
        <w:t>;</w:t>
      </w:r>
      <w:r>
        <w:t xml:space="preserve"> </w:t>
      </w:r>
    </w:p>
    <w:p w14:paraId="4559C6A6" w14:textId="2796743E" w:rsidR="009647F7" w:rsidRDefault="009647F7" w:rsidP="009647F7">
      <w:pPr>
        <w:pStyle w:val="ListParagraph"/>
        <w:numPr>
          <w:ilvl w:val="0"/>
          <w:numId w:val="71"/>
        </w:numPr>
      </w:pPr>
      <w:r w:rsidRPr="00A67C76">
        <w:t>with</w:t>
      </w:r>
      <w:r>
        <w:t>out C</w:t>
      </w:r>
      <w:r w:rsidRPr="00A67C76">
        <w:t>ommonwealth environmental water</w:t>
      </w:r>
      <w:r w:rsidRPr="00996267">
        <w:t xml:space="preserve"> </w:t>
      </w:r>
      <w:r>
        <w:t>(‘no CEW’)</w:t>
      </w:r>
      <w:r w:rsidRPr="00A67C76">
        <w:t xml:space="preserve">; </w:t>
      </w:r>
      <w:r>
        <w:t xml:space="preserve">and </w:t>
      </w:r>
    </w:p>
    <w:p w14:paraId="737836C3" w14:textId="615120B2" w:rsidR="009647F7" w:rsidRPr="009647F7" w:rsidRDefault="009647F7" w:rsidP="009647F7">
      <w:pPr>
        <w:pStyle w:val="ListParagraph"/>
        <w:numPr>
          <w:ilvl w:val="0"/>
          <w:numId w:val="71"/>
        </w:numPr>
        <w:rPr>
          <w:szCs w:val="22"/>
        </w:rPr>
      </w:pPr>
      <w:r w:rsidRPr="00A67C76">
        <w:t xml:space="preserve">without </w:t>
      </w:r>
      <w:r>
        <w:t>any environmental water (‘no eWater’).</w:t>
      </w:r>
    </w:p>
    <w:p w14:paraId="38FFFA05" w14:textId="2018D38B" w:rsidR="00D67217" w:rsidRPr="00D67217" w:rsidRDefault="00F4533B" w:rsidP="00D67217">
      <w:pPr>
        <w:rPr>
          <w:szCs w:val="22"/>
        </w:rPr>
      </w:pPr>
      <w:r w:rsidRPr="00512341">
        <w:rPr>
          <w:szCs w:val="22"/>
        </w:rPr>
        <w:t xml:space="preserve">Results of salinities and water levels from </w:t>
      </w:r>
      <w:r>
        <w:rPr>
          <w:szCs w:val="22"/>
        </w:rPr>
        <w:t>the</w:t>
      </w:r>
      <w:r w:rsidRPr="00512341">
        <w:rPr>
          <w:szCs w:val="22"/>
        </w:rPr>
        <w:t xml:space="preserve"> scenario runs will be subsequently used to simulate habitat characteristics for </w:t>
      </w:r>
      <w:r w:rsidRPr="00512341">
        <w:rPr>
          <w:i/>
          <w:szCs w:val="22"/>
        </w:rPr>
        <w:t>Ruppia tuberosa</w:t>
      </w:r>
      <w:r w:rsidRPr="00512341">
        <w:rPr>
          <w:szCs w:val="22"/>
        </w:rPr>
        <w:t xml:space="preserve"> as well as fish species based on </w:t>
      </w:r>
      <w:r w:rsidRPr="00512341">
        <w:rPr>
          <w:i/>
          <w:szCs w:val="22"/>
        </w:rPr>
        <w:t>Ruppia tuberosa</w:t>
      </w:r>
      <w:r w:rsidRPr="00512341">
        <w:rPr>
          <w:szCs w:val="22"/>
        </w:rPr>
        <w:t xml:space="preserve"> and fish ecological response models (</w:t>
      </w:r>
      <w:r>
        <w:rPr>
          <w:szCs w:val="22"/>
        </w:rPr>
        <w:t>Collier</w:t>
      </w:r>
      <w:r w:rsidRPr="00512341">
        <w:rPr>
          <w:szCs w:val="22"/>
        </w:rPr>
        <w:t xml:space="preserve"> </w:t>
      </w:r>
      <w:r w:rsidRPr="004176ED">
        <w:rPr>
          <w:i/>
          <w:szCs w:val="22"/>
        </w:rPr>
        <w:t>et al.</w:t>
      </w:r>
      <w:r w:rsidRPr="00512341">
        <w:rPr>
          <w:szCs w:val="22"/>
        </w:rPr>
        <w:t xml:space="preserve"> 201</w:t>
      </w:r>
      <w:r>
        <w:rPr>
          <w:szCs w:val="22"/>
        </w:rPr>
        <w:t>7</w:t>
      </w:r>
      <w:r w:rsidRPr="00512341">
        <w:rPr>
          <w:szCs w:val="22"/>
        </w:rPr>
        <w:t xml:space="preserve">; Ye </w:t>
      </w:r>
      <w:r w:rsidRPr="004176ED">
        <w:rPr>
          <w:i/>
          <w:szCs w:val="22"/>
        </w:rPr>
        <w:t>et al.</w:t>
      </w:r>
      <w:r w:rsidRPr="00512341">
        <w:rPr>
          <w:szCs w:val="22"/>
        </w:rPr>
        <w:t xml:space="preserve"> 2016</w:t>
      </w:r>
      <w:r w:rsidR="0019799F">
        <w:rPr>
          <w:szCs w:val="22"/>
        </w:rPr>
        <w:t>b</w:t>
      </w:r>
      <w:r w:rsidRPr="00512341">
        <w:rPr>
          <w:szCs w:val="22"/>
        </w:rPr>
        <w:t xml:space="preserve">). </w:t>
      </w:r>
      <w:r w:rsidRPr="00E42A64">
        <w:t xml:space="preserve">This comparison of modelled outputs for each flow scenario (with and without Commonwealth environmental water) will provide the basis for the evaluation and reporting. The difference between the scenarios can be attributed to Commonwealth environmental water, although uncertainty in model outputs will be appropriately acknowledged. This will be reported annually, with reports building on knowledge </w:t>
      </w:r>
      <w:r>
        <w:t xml:space="preserve">and results </w:t>
      </w:r>
      <w:r w:rsidRPr="00E42A64">
        <w:t xml:space="preserve">gained from </w:t>
      </w:r>
      <w:r>
        <w:t>CEWO short-term intervention monitoring, where it makes sense to do so</w:t>
      </w:r>
      <w:r w:rsidRPr="00E42A64">
        <w:t>.</w:t>
      </w:r>
    </w:p>
    <w:p w14:paraId="5F4915F0" w14:textId="77777777" w:rsidR="006361E1" w:rsidRPr="00992869" w:rsidRDefault="006361E1" w:rsidP="006361E1">
      <w:pPr>
        <w:pStyle w:val="Heading3"/>
      </w:pPr>
      <w:bookmarkStart w:id="1645" w:name="_Toc10206760"/>
      <w:bookmarkStart w:id="1646" w:name="_Toc10213346"/>
      <w:bookmarkStart w:id="1647" w:name="_Toc10732370"/>
      <w:bookmarkStart w:id="1648" w:name="_Toc10796929"/>
      <w:bookmarkStart w:id="1649" w:name="_Toc12022814"/>
      <w:bookmarkStart w:id="1650" w:name="_Toc12630644"/>
      <w:bookmarkStart w:id="1651" w:name="_Toc16154504"/>
      <w:bookmarkStart w:id="1652" w:name="_Toc22196866"/>
      <w:r w:rsidRPr="00992869">
        <w:lastRenderedPageBreak/>
        <w:t>Data management</w:t>
      </w:r>
      <w:bookmarkEnd w:id="1643"/>
      <w:bookmarkEnd w:id="1644"/>
      <w:bookmarkEnd w:id="1645"/>
      <w:bookmarkEnd w:id="1646"/>
      <w:bookmarkEnd w:id="1647"/>
      <w:bookmarkEnd w:id="1648"/>
      <w:bookmarkEnd w:id="1649"/>
      <w:bookmarkEnd w:id="1650"/>
      <w:bookmarkEnd w:id="1651"/>
      <w:bookmarkEnd w:id="1652"/>
    </w:p>
    <w:p w14:paraId="797BCCB6" w14:textId="5746974B" w:rsidR="009E6C53" w:rsidRDefault="009E6C53" w:rsidP="009E6C53">
      <w:bookmarkStart w:id="1653" w:name="_Toc10095278"/>
      <w:bookmarkStart w:id="1654" w:name="_Toc10192447"/>
      <w:r w:rsidRPr="00992869">
        <w:t>See Section</w:t>
      </w:r>
      <w:r>
        <w:t xml:space="preserve"> </w:t>
      </w:r>
      <w:r>
        <w:fldChar w:fldCharType="begin"/>
      </w:r>
      <w:r>
        <w:instrText xml:space="preserve"> REF _Ref10196755 \r \h </w:instrText>
      </w:r>
      <w:r>
        <w:fldChar w:fldCharType="separate"/>
      </w:r>
      <w:r w:rsidR="00DF49CD">
        <w:t>11</w:t>
      </w:r>
      <w:r>
        <w:fldChar w:fldCharType="end"/>
      </w:r>
      <w:r>
        <w:t xml:space="preserve"> </w:t>
      </w:r>
      <w:r w:rsidRPr="002E3EEF">
        <w:rPr>
          <w:rFonts w:cstheme="minorHAnsi"/>
          <w:szCs w:val="22"/>
        </w:rPr>
        <w:t xml:space="preserve">in the </w:t>
      </w:r>
      <w:r>
        <w:rPr>
          <w:rFonts w:cstheme="minorHAnsi"/>
          <w:szCs w:val="22"/>
        </w:rPr>
        <w:t>MER</w:t>
      </w:r>
      <w:r w:rsidRPr="002E3EEF">
        <w:rPr>
          <w:rFonts w:cstheme="minorHAnsi"/>
          <w:szCs w:val="22"/>
        </w:rPr>
        <w:t xml:space="preserve"> Plan</w:t>
      </w:r>
      <w:r>
        <w:rPr>
          <w:rFonts w:cstheme="minorHAnsi"/>
          <w:szCs w:val="22"/>
        </w:rPr>
        <w:t xml:space="preserve"> for data management procedures</w:t>
      </w:r>
      <w:r w:rsidRPr="00992869">
        <w:t>.</w:t>
      </w:r>
      <w:r>
        <w:t xml:space="preserve"> </w:t>
      </w:r>
      <w:r w:rsidR="00623CFF">
        <w:t xml:space="preserve">The data </w:t>
      </w:r>
      <w:r w:rsidR="00623CFF" w:rsidRPr="000E285D">
        <w:t>templates for</w:t>
      </w:r>
      <w:r w:rsidR="00623CFF" w:rsidRPr="0070750B">
        <w:t xml:space="preserve"> </w:t>
      </w:r>
      <w:r w:rsidR="00623CFF" w:rsidRPr="009F6E46">
        <w:t xml:space="preserve">Category 3 (Selected Area) indicators </w:t>
      </w:r>
      <w:r w:rsidR="00623CFF">
        <w:t>will be</w:t>
      </w:r>
      <w:r w:rsidR="00623CFF" w:rsidRPr="009F6E46">
        <w:t xml:space="preserve"> developed</w:t>
      </w:r>
      <w:r w:rsidR="00623CFF">
        <w:t xml:space="preserve"> by the Selected Area,</w:t>
      </w:r>
      <w:r w:rsidR="00623CFF" w:rsidRPr="009F6E46">
        <w:t xml:space="preserve"> in consultation with CEWO</w:t>
      </w:r>
      <w:r w:rsidR="00623CFF">
        <w:t>,</w:t>
      </w:r>
      <w:r w:rsidR="00623CFF" w:rsidRPr="009F6E46">
        <w:t xml:space="preserve"> and </w:t>
      </w:r>
      <w:r w:rsidR="00623CFF">
        <w:t xml:space="preserve">will </w:t>
      </w:r>
      <w:r w:rsidR="00623CFF" w:rsidRPr="009F6E46">
        <w:t>conform to data standards</w:t>
      </w:r>
      <w:r w:rsidR="00623CFF">
        <w:t xml:space="preserve">. The proposed template for </w:t>
      </w:r>
      <w:r w:rsidR="00623CFF">
        <w:rPr>
          <w:i/>
        </w:rPr>
        <w:t xml:space="preserve">Coorong Habitat </w:t>
      </w:r>
      <w:r w:rsidR="00623CFF">
        <w:t>is provided below</w:t>
      </w:r>
      <w:r w:rsidR="00623CFF" w:rsidRPr="009F6E46">
        <w:t>.</w:t>
      </w:r>
    </w:p>
    <w:tbl>
      <w:tblPr>
        <w:tblStyle w:val="TableGrid"/>
        <w:tblW w:w="9428" w:type="dxa"/>
        <w:tblLayout w:type="fixed"/>
        <w:tblLook w:val="04A0" w:firstRow="1" w:lastRow="0" w:firstColumn="1" w:lastColumn="0" w:noHBand="0" w:noVBand="1"/>
      </w:tblPr>
      <w:tblGrid>
        <w:gridCol w:w="1838"/>
        <w:gridCol w:w="2552"/>
        <w:gridCol w:w="1417"/>
        <w:gridCol w:w="851"/>
        <w:gridCol w:w="934"/>
        <w:gridCol w:w="1836"/>
      </w:tblGrid>
      <w:tr w:rsidR="00DA312A" w:rsidRPr="00CC474D" w14:paraId="3F7C3CAD" w14:textId="77777777" w:rsidTr="004F011F">
        <w:trPr>
          <w:cantSplit/>
          <w:tblHeader/>
        </w:trPr>
        <w:tc>
          <w:tcPr>
            <w:tcW w:w="1838" w:type="dxa"/>
            <w:shd w:val="clear" w:color="auto" w:fill="BFBFBF" w:themeFill="background1" w:themeFillShade="BF"/>
            <w:vAlign w:val="center"/>
            <w:hideMark/>
          </w:tcPr>
          <w:p w14:paraId="6CDA10F7" w14:textId="77777777" w:rsidR="00DA312A" w:rsidRPr="00CC474D" w:rsidRDefault="00DA312A" w:rsidP="0050053E">
            <w:pPr>
              <w:pStyle w:val="TableHeading"/>
              <w:rPr>
                <w:rFonts w:cstheme="minorHAnsi"/>
                <w:szCs w:val="20"/>
              </w:rPr>
            </w:pPr>
            <w:r w:rsidRPr="00CC474D">
              <w:rPr>
                <w:rFonts w:cstheme="minorHAnsi"/>
                <w:szCs w:val="20"/>
              </w:rPr>
              <w:t>Variable</w:t>
            </w:r>
          </w:p>
        </w:tc>
        <w:tc>
          <w:tcPr>
            <w:tcW w:w="2552" w:type="dxa"/>
            <w:shd w:val="clear" w:color="auto" w:fill="BFBFBF" w:themeFill="background1" w:themeFillShade="BF"/>
            <w:vAlign w:val="center"/>
            <w:hideMark/>
          </w:tcPr>
          <w:p w14:paraId="04C9C0FB" w14:textId="77777777" w:rsidR="00DA312A" w:rsidRPr="00CC474D" w:rsidRDefault="00DA312A" w:rsidP="0050053E">
            <w:pPr>
              <w:pStyle w:val="TableHeading"/>
              <w:rPr>
                <w:rFonts w:cstheme="minorHAnsi"/>
                <w:szCs w:val="20"/>
              </w:rPr>
            </w:pPr>
            <w:r w:rsidRPr="00CC474D">
              <w:rPr>
                <w:rFonts w:cstheme="minorHAnsi"/>
                <w:szCs w:val="20"/>
              </w:rPr>
              <w:t>Description</w:t>
            </w:r>
          </w:p>
        </w:tc>
        <w:tc>
          <w:tcPr>
            <w:tcW w:w="1417" w:type="dxa"/>
            <w:shd w:val="clear" w:color="auto" w:fill="BFBFBF" w:themeFill="background1" w:themeFillShade="BF"/>
            <w:vAlign w:val="center"/>
            <w:hideMark/>
          </w:tcPr>
          <w:p w14:paraId="4AFD0A5D" w14:textId="77777777" w:rsidR="00DA312A" w:rsidRPr="00CC474D" w:rsidRDefault="00DA312A" w:rsidP="0050053E">
            <w:pPr>
              <w:pStyle w:val="TableHeading"/>
              <w:rPr>
                <w:rFonts w:cstheme="minorHAnsi"/>
                <w:szCs w:val="20"/>
              </w:rPr>
            </w:pPr>
            <w:r w:rsidRPr="00CC474D">
              <w:rPr>
                <w:rFonts w:cstheme="minorHAnsi"/>
                <w:szCs w:val="20"/>
              </w:rPr>
              <w:t>Type</w:t>
            </w:r>
          </w:p>
        </w:tc>
        <w:tc>
          <w:tcPr>
            <w:tcW w:w="851" w:type="dxa"/>
            <w:shd w:val="clear" w:color="auto" w:fill="BFBFBF" w:themeFill="background1" w:themeFillShade="BF"/>
            <w:vAlign w:val="center"/>
            <w:hideMark/>
          </w:tcPr>
          <w:p w14:paraId="68837FED" w14:textId="77777777" w:rsidR="00DA312A" w:rsidRPr="00CC474D" w:rsidRDefault="00DA312A" w:rsidP="0050053E">
            <w:pPr>
              <w:pStyle w:val="TableHeading"/>
              <w:rPr>
                <w:rFonts w:cstheme="minorHAnsi"/>
                <w:szCs w:val="20"/>
              </w:rPr>
            </w:pPr>
            <w:r w:rsidRPr="00CC474D">
              <w:rPr>
                <w:rFonts w:cstheme="minorHAnsi"/>
                <w:szCs w:val="20"/>
              </w:rPr>
              <w:t>Req</w:t>
            </w:r>
          </w:p>
        </w:tc>
        <w:tc>
          <w:tcPr>
            <w:tcW w:w="934" w:type="dxa"/>
            <w:shd w:val="clear" w:color="auto" w:fill="BFBFBF" w:themeFill="background1" w:themeFillShade="BF"/>
            <w:vAlign w:val="center"/>
            <w:hideMark/>
          </w:tcPr>
          <w:p w14:paraId="17CFA7C1" w14:textId="77777777" w:rsidR="00DA312A" w:rsidRPr="00CC474D" w:rsidRDefault="00DA312A" w:rsidP="0050053E">
            <w:pPr>
              <w:pStyle w:val="TableHeading"/>
              <w:rPr>
                <w:rFonts w:cstheme="minorHAnsi"/>
                <w:szCs w:val="20"/>
              </w:rPr>
            </w:pPr>
            <w:r w:rsidRPr="00CC474D">
              <w:rPr>
                <w:rFonts w:cstheme="minorHAnsi"/>
                <w:szCs w:val="20"/>
              </w:rPr>
              <w:t>Range</w:t>
            </w:r>
          </w:p>
        </w:tc>
        <w:tc>
          <w:tcPr>
            <w:tcW w:w="1836" w:type="dxa"/>
            <w:shd w:val="clear" w:color="auto" w:fill="BFBFBF" w:themeFill="background1" w:themeFillShade="BF"/>
          </w:tcPr>
          <w:p w14:paraId="146345DF" w14:textId="77777777" w:rsidR="00DA312A" w:rsidRPr="00CC474D" w:rsidRDefault="00DA312A" w:rsidP="0050053E">
            <w:pPr>
              <w:pStyle w:val="TableHeading"/>
              <w:rPr>
                <w:rFonts w:cstheme="minorHAnsi"/>
                <w:szCs w:val="20"/>
              </w:rPr>
            </w:pPr>
            <w:r w:rsidRPr="00CC474D">
              <w:rPr>
                <w:rFonts w:cstheme="minorHAnsi"/>
                <w:szCs w:val="20"/>
              </w:rPr>
              <w:t>Example</w:t>
            </w:r>
          </w:p>
        </w:tc>
      </w:tr>
      <w:tr w:rsidR="00DA312A" w:rsidRPr="00CC474D" w14:paraId="400E8820" w14:textId="77777777" w:rsidTr="004F011F">
        <w:trPr>
          <w:cantSplit/>
          <w:tblHeader/>
        </w:trPr>
        <w:tc>
          <w:tcPr>
            <w:tcW w:w="1838" w:type="dxa"/>
            <w:vAlign w:val="center"/>
            <w:hideMark/>
          </w:tcPr>
          <w:p w14:paraId="1C308953" w14:textId="59E0CBC6" w:rsidR="00DA312A" w:rsidRPr="00CC474D" w:rsidRDefault="008747ED" w:rsidP="0050053E">
            <w:pPr>
              <w:rPr>
                <w:rFonts w:eastAsiaTheme="minorHAnsi" w:cstheme="minorHAnsi"/>
                <w:sz w:val="20"/>
              </w:rPr>
            </w:pPr>
            <w:r w:rsidRPr="00CC474D">
              <w:rPr>
                <w:rFonts w:cstheme="minorHAnsi"/>
                <w:sz w:val="20"/>
              </w:rPr>
              <w:t>samplePointName</w:t>
            </w:r>
          </w:p>
        </w:tc>
        <w:tc>
          <w:tcPr>
            <w:tcW w:w="2552" w:type="dxa"/>
            <w:vAlign w:val="center"/>
            <w:hideMark/>
          </w:tcPr>
          <w:p w14:paraId="0D10EBC7" w14:textId="77777777" w:rsidR="00DA312A" w:rsidRPr="00CC474D" w:rsidRDefault="00DA312A" w:rsidP="0050053E">
            <w:pPr>
              <w:rPr>
                <w:rFonts w:eastAsiaTheme="minorHAnsi" w:cstheme="minorHAnsi"/>
                <w:sz w:val="20"/>
              </w:rPr>
            </w:pPr>
            <w:r w:rsidRPr="00CC474D">
              <w:rPr>
                <w:rFonts w:cstheme="minorHAnsi"/>
                <w:sz w:val="20"/>
              </w:rPr>
              <w:t>Spatial grid (km) where the modelled data is for.</w:t>
            </w:r>
          </w:p>
        </w:tc>
        <w:tc>
          <w:tcPr>
            <w:tcW w:w="1417" w:type="dxa"/>
            <w:vAlign w:val="center"/>
            <w:hideMark/>
          </w:tcPr>
          <w:p w14:paraId="5D31F4BA" w14:textId="03ADF40A" w:rsidR="00DA312A" w:rsidRPr="00CC474D" w:rsidRDefault="008747ED" w:rsidP="0050053E">
            <w:pPr>
              <w:rPr>
                <w:rFonts w:eastAsiaTheme="minorHAnsi" w:cstheme="minorHAnsi"/>
                <w:sz w:val="20"/>
              </w:rPr>
            </w:pPr>
            <w:r w:rsidRPr="00CC474D">
              <w:rPr>
                <w:rFonts w:cstheme="minorHAnsi"/>
                <w:sz w:val="20"/>
              </w:rPr>
              <w:t>String</w:t>
            </w:r>
          </w:p>
        </w:tc>
        <w:tc>
          <w:tcPr>
            <w:tcW w:w="851" w:type="dxa"/>
            <w:vAlign w:val="center"/>
            <w:hideMark/>
          </w:tcPr>
          <w:p w14:paraId="60866FB1" w14:textId="77777777" w:rsidR="00DA312A" w:rsidRPr="00CC474D" w:rsidRDefault="00DA312A" w:rsidP="0050053E">
            <w:pPr>
              <w:rPr>
                <w:rFonts w:eastAsiaTheme="minorHAnsi" w:cstheme="minorHAnsi"/>
                <w:sz w:val="20"/>
              </w:rPr>
            </w:pPr>
            <w:r w:rsidRPr="00CC474D">
              <w:rPr>
                <w:rFonts w:cstheme="minorHAnsi"/>
                <w:sz w:val="20"/>
              </w:rPr>
              <w:t>Y</w:t>
            </w:r>
          </w:p>
        </w:tc>
        <w:tc>
          <w:tcPr>
            <w:tcW w:w="934" w:type="dxa"/>
            <w:vAlign w:val="center"/>
            <w:hideMark/>
          </w:tcPr>
          <w:p w14:paraId="2077B743" w14:textId="4377CF94" w:rsidR="00DA312A" w:rsidRPr="00CC474D" w:rsidRDefault="00DA312A" w:rsidP="0050053E">
            <w:pPr>
              <w:rPr>
                <w:rFonts w:eastAsiaTheme="minorEastAsia" w:cstheme="minorHAnsi"/>
                <w:sz w:val="20"/>
              </w:rPr>
            </w:pPr>
          </w:p>
        </w:tc>
        <w:tc>
          <w:tcPr>
            <w:tcW w:w="1836" w:type="dxa"/>
          </w:tcPr>
          <w:p w14:paraId="2BBE56A3" w14:textId="68D7E904" w:rsidR="00DA312A" w:rsidRPr="00CC474D" w:rsidRDefault="008747ED" w:rsidP="0050053E">
            <w:pPr>
              <w:pStyle w:val="TableHeading"/>
              <w:rPr>
                <w:rFonts w:cstheme="minorHAnsi"/>
                <w:b w:val="0"/>
                <w:szCs w:val="20"/>
              </w:rPr>
            </w:pPr>
            <w:r w:rsidRPr="00CC474D">
              <w:rPr>
                <w:rFonts w:cstheme="minorHAnsi"/>
                <w:b w:val="0"/>
                <w:bCs/>
                <w:szCs w:val="20"/>
              </w:rPr>
              <w:t>Coo55</w:t>
            </w:r>
            <w:r w:rsidR="00DA312A" w:rsidRPr="00CC474D">
              <w:rPr>
                <w:rFonts w:cstheme="minorHAnsi"/>
                <w:b w:val="0"/>
                <w:bCs/>
                <w:szCs w:val="20"/>
              </w:rPr>
              <w:t>km</w:t>
            </w:r>
          </w:p>
        </w:tc>
      </w:tr>
      <w:tr w:rsidR="00DA312A" w:rsidRPr="00CC474D" w14:paraId="60B31B66" w14:textId="77777777" w:rsidTr="004F011F">
        <w:trPr>
          <w:cantSplit/>
          <w:tblHeader/>
        </w:trPr>
        <w:tc>
          <w:tcPr>
            <w:tcW w:w="1838" w:type="dxa"/>
            <w:vAlign w:val="center"/>
            <w:hideMark/>
          </w:tcPr>
          <w:p w14:paraId="08891676" w14:textId="5D3D611B" w:rsidR="00DA312A" w:rsidRPr="00CC474D" w:rsidRDefault="008747ED" w:rsidP="008747ED">
            <w:pPr>
              <w:rPr>
                <w:rFonts w:eastAsiaTheme="minorHAnsi" w:cstheme="minorHAnsi"/>
                <w:sz w:val="20"/>
              </w:rPr>
            </w:pPr>
            <w:r w:rsidRPr="00CC474D">
              <w:rPr>
                <w:rFonts w:cstheme="minorHAnsi"/>
                <w:sz w:val="20"/>
              </w:rPr>
              <w:t>sampleDate</w:t>
            </w:r>
          </w:p>
        </w:tc>
        <w:tc>
          <w:tcPr>
            <w:tcW w:w="2552" w:type="dxa"/>
            <w:vAlign w:val="center"/>
            <w:hideMark/>
          </w:tcPr>
          <w:p w14:paraId="0E2F5063" w14:textId="77777777" w:rsidR="00DA312A" w:rsidRPr="00CC474D" w:rsidRDefault="00DA312A" w:rsidP="0050053E">
            <w:pPr>
              <w:rPr>
                <w:rFonts w:eastAsiaTheme="minorHAnsi" w:cstheme="minorHAnsi"/>
                <w:sz w:val="20"/>
              </w:rPr>
            </w:pPr>
            <w:r w:rsidRPr="00CC474D">
              <w:rPr>
                <w:rFonts w:cstheme="minorHAnsi"/>
                <w:sz w:val="20"/>
              </w:rPr>
              <w:t>The date that water variables are modelled.</w:t>
            </w:r>
          </w:p>
        </w:tc>
        <w:tc>
          <w:tcPr>
            <w:tcW w:w="1417" w:type="dxa"/>
            <w:vAlign w:val="center"/>
            <w:hideMark/>
          </w:tcPr>
          <w:p w14:paraId="482B9D30" w14:textId="77777777" w:rsidR="00DA312A" w:rsidRPr="00CC474D" w:rsidRDefault="00DA312A" w:rsidP="0050053E">
            <w:pPr>
              <w:rPr>
                <w:rFonts w:eastAsiaTheme="minorHAnsi" w:cstheme="minorHAnsi"/>
                <w:sz w:val="20"/>
              </w:rPr>
            </w:pPr>
            <w:r w:rsidRPr="00CC474D">
              <w:rPr>
                <w:rFonts w:cstheme="minorHAnsi"/>
                <w:sz w:val="20"/>
              </w:rPr>
              <w:t>Date</w:t>
            </w:r>
          </w:p>
        </w:tc>
        <w:tc>
          <w:tcPr>
            <w:tcW w:w="851" w:type="dxa"/>
            <w:vAlign w:val="center"/>
            <w:hideMark/>
          </w:tcPr>
          <w:p w14:paraId="4C3A0F42" w14:textId="77777777" w:rsidR="00DA312A" w:rsidRPr="00CC474D" w:rsidRDefault="00DA312A" w:rsidP="0050053E">
            <w:pPr>
              <w:rPr>
                <w:rFonts w:eastAsiaTheme="minorHAnsi" w:cstheme="minorHAnsi"/>
                <w:sz w:val="20"/>
              </w:rPr>
            </w:pPr>
            <w:r w:rsidRPr="00CC474D">
              <w:rPr>
                <w:rFonts w:cstheme="minorHAnsi"/>
                <w:sz w:val="20"/>
              </w:rPr>
              <w:t>Y</w:t>
            </w:r>
          </w:p>
        </w:tc>
        <w:tc>
          <w:tcPr>
            <w:tcW w:w="934" w:type="dxa"/>
            <w:vAlign w:val="center"/>
            <w:hideMark/>
          </w:tcPr>
          <w:p w14:paraId="6A682221" w14:textId="77777777" w:rsidR="00DA312A" w:rsidRPr="00CC474D" w:rsidRDefault="00DA312A" w:rsidP="0050053E">
            <w:pPr>
              <w:rPr>
                <w:rFonts w:eastAsiaTheme="minorEastAsia" w:cstheme="minorHAnsi"/>
                <w:sz w:val="20"/>
              </w:rPr>
            </w:pPr>
          </w:p>
        </w:tc>
        <w:tc>
          <w:tcPr>
            <w:tcW w:w="1836" w:type="dxa"/>
          </w:tcPr>
          <w:p w14:paraId="37F22CF2" w14:textId="77777777" w:rsidR="00DA312A" w:rsidRPr="00CC474D" w:rsidRDefault="00DA312A" w:rsidP="0050053E">
            <w:pPr>
              <w:pStyle w:val="TableHeading"/>
              <w:rPr>
                <w:rFonts w:cstheme="minorHAnsi"/>
                <w:b w:val="0"/>
                <w:szCs w:val="20"/>
              </w:rPr>
            </w:pPr>
            <w:r w:rsidRPr="00CC474D">
              <w:rPr>
                <w:rFonts w:cstheme="minorHAnsi"/>
                <w:b w:val="0"/>
                <w:bCs/>
                <w:szCs w:val="20"/>
              </w:rPr>
              <w:t>12/09/2019</w:t>
            </w:r>
          </w:p>
        </w:tc>
      </w:tr>
      <w:tr w:rsidR="00DA312A" w:rsidRPr="00CC474D" w14:paraId="510555F3" w14:textId="77777777" w:rsidTr="004F011F">
        <w:trPr>
          <w:cantSplit/>
          <w:tblHeader/>
        </w:trPr>
        <w:tc>
          <w:tcPr>
            <w:tcW w:w="1838" w:type="dxa"/>
            <w:vAlign w:val="center"/>
          </w:tcPr>
          <w:p w14:paraId="522F0FF0" w14:textId="77777777" w:rsidR="00DA312A" w:rsidRPr="00CC474D" w:rsidRDefault="00DA312A" w:rsidP="0050053E">
            <w:pPr>
              <w:rPr>
                <w:rFonts w:cstheme="minorHAnsi"/>
                <w:sz w:val="20"/>
              </w:rPr>
            </w:pPr>
            <w:r w:rsidRPr="00CC474D">
              <w:rPr>
                <w:rFonts w:cstheme="minorHAnsi"/>
                <w:sz w:val="20"/>
              </w:rPr>
              <w:t>salinity</w:t>
            </w:r>
          </w:p>
        </w:tc>
        <w:tc>
          <w:tcPr>
            <w:tcW w:w="2552" w:type="dxa"/>
            <w:vAlign w:val="center"/>
          </w:tcPr>
          <w:p w14:paraId="72835C00" w14:textId="77777777" w:rsidR="00DA312A" w:rsidRPr="00CC474D" w:rsidRDefault="00DA312A" w:rsidP="0050053E">
            <w:pPr>
              <w:rPr>
                <w:rFonts w:cstheme="minorHAnsi"/>
                <w:sz w:val="20"/>
              </w:rPr>
            </w:pPr>
            <w:r w:rsidRPr="00CC474D">
              <w:rPr>
                <w:rFonts w:cstheme="minorHAnsi"/>
                <w:sz w:val="20"/>
              </w:rPr>
              <w:t>Modelled salinity concentration in grams per litre.</w:t>
            </w:r>
          </w:p>
        </w:tc>
        <w:tc>
          <w:tcPr>
            <w:tcW w:w="1417" w:type="dxa"/>
            <w:vAlign w:val="center"/>
          </w:tcPr>
          <w:p w14:paraId="346D68D5" w14:textId="77777777" w:rsidR="00DA312A" w:rsidRPr="00CC474D" w:rsidRDefault="00DA312A" w:rsidP="0050053E">
            <w:pPr>
              <w:rPr>
                <w:rFonts w:cstheme="minorHAnsi"/>
                <w:sz w:val="20"/>
              </w:rPr>
            </w:pPr>
            <w:r w:rsidRPr="00CC474D">
              <w:rPr>
                <w:rFonts w:cstheme="minorHAnsi"/>
                <w:sz w:val="20"/>
              </w:rPr>
              <w:t>Number (2 decimals)</w:t>
            </w:r>
          </w:p>
        </w:tc>
        <w:tc>
          <w:tcPr>
            <w:tcW w:w="851" w:type="dxa"/>
            <w:vAlign w:val="center"/>
          </w:tcPr>
          <w:p w14:paraId="645B7E88" w14:textId="77777777" w:rsidR="00DA312A" w:rsidRPr="00CC474D" w:rsidRDefault="00DA312A" w:rsidP="0050053E">
            <w:pPr>
              <w:rPr>
                <w:rFonts w:cstheme="minorHAnsi"/>
                <w:sz w:val="20"/>
              </w:rPr>
            </w:pPr>
            <w:r w:rsidRPr="00CC474D">
              <w:rPr>
                <w:rFonts w:cstheme="minorHAnsi"/>
                <w:sz w:val="20"/>
              </w:rPr>
              <w:t>Y</w:t>
            </w:r>
          </w:p>
        </w:tc>
        <w:tc>
          <w:tcPr>
            <w:tcW w:w="934" w:type="dxa"/>
            <w:vAlign w:val="center"/>
          </w:tcPr>
          <w:p w14:paraId="2512085E" w14:textId="77777777" w:rsidR="00DA312A" w:rsidRPr="00CC474D" w:rsidRDefault="00DA312A" w:rsidP="0050053E">
            <w:pPr>
              <w:rPr>
                <w:rFonts w:eastAsiaTheme="minorEastAsia" w:cstheme="minorHAnsi"/>
                <w:sz w:val="20"/>
              </w:rPr>
            </w:pPr>
            <w:r w:rsidRPr="00CC474D">
              <w:rPr>
                <w:rFonts w:cstheme="minorHAnsi"/>
                <w:sz w:val="20"/>
              </w:rPr>
              <w:t>[0,+]</w:t>
            </w:r>
          </w:p>
        </w:tc>
        <w:tc>
          <w:tcPr>
            <w:tcW w:w="1836" w:type="dxa"/>
          </w:tcPr>
          <w:p w14:paraId="3FD7B346" w14:textId="77777777" w:rsidR="00DA312A" w:rsidRPr="00CC474D" w:rsidRDefault="00DA312A" w:rsidP="0050053E">
            <w:pPr>
              <w:pStyle w:val="TableHeading"/>
              <w:rPr>
                <w:rFonts w:cstheme="minorHAnsi"/>
                <w:b w:val="0"/>
                <w:bCs/>
                <w:szCs w:val="20"/>
              </w:rPr>
            </w:pPr>
            <w:r w:rsidRPr="00CC474D">
              <w:rPr>
                <w:rFonts w:cstheme="minorHAnsi"/>
                <w:b w:val="0"/>
                <w:bCs/>
                <w:szCs w:val="20"/>
              </w:rPr>
              <w:t>32.15 g/L</w:t>
            </w:r>
          </w:p>
        </w:tc>
      </w:tr>
      <w:tr w:rsidR="00DA312A" w:rsidRPr="00CC474D" w14:paraId="4B2F1979" w14:textId="77777777" w:rsidTr="004F011F">
        <w:trPr>
          <w:cantSplit/>
          <w:tblHeader/>
        </w:trPr>
        <w:tc>
          <w:tcPr>
            <w:tcW w:w="1838" w:type="dxa"/>
            <w:vAlign w:val="center"/>
          </w:tcPr>
          <w:p w14:paraId="54BF3D18" w14:textId="77777777" w:rsidR="00DA312A" w:rsidRPr="00CC474D" w:rsidRDefault="00DA312A" w:rsidP="0050053E">
            <w:pPr>
              <w:rPr>
                <w:rFonts w:cstheme="minorHAnsi"/>
                <w:sz w:val="20"/>
              </w:rPr>
            </w:pPr>
            <w:r w:rsidRPr="00CC474D">
              <w:rPr>
                <w:rFonts w:cstheme="minorHAnsi"/>
                <w:sz w:val="20"/>
              </w:rPr>
              <w:t>waterLevel</w:t>
            </w:r>
          </w:p>
        </w:tc>
        <w:tc>
          <w:tcPr>
            <w:tcW w:w="2552" w:type="dxa"/>
            <w:vAlign w:val="center"/>
          </w:tcPr>
          <w:p w14:paraId="47979830" w14:textId="77777777" w:rsidR="00DA312A" w:rsidRPr="00CC474D" w:rsidRDefault="00DA312A" w:rsidP="0050053E">
            <w:pPr>
              <w:rPr>
                <w:rFonts w:cstheme="minorHAnsi"/>
                <w:sz w:val="20"/>
              </w:rPr>
            </w:pPr>
            <w:r w:rsidRPr="00CC474D">
              <w:rPr>
                <w:rFonts w:cstheme="minorHAnsi"/>
                <w:sz w:val="20"/>
              </w:rPr>
              <w:t>Modelled water level in metres above height datum (AHD).</w:t>
            </w:r>
          </w:p>
        </w:tc>
        <w:tc>
          <w:tcPr>
            <w:tcW w:w="1417" w:type="dxa"/>
          </w:tcPr>
          <w:p w14:paraId="1DB63471" w14:textId="77777777" w:rsidR="00DA312A" w:rsidRPr="00CC474D" w:rsidRDefault="00DA312A" w:rsidP="0050053E">
            <w:pPr>
              <w:rPr>
                <w:rFonts w:cstheme="minorHAnsi"/>
                <w:sz w:val="20"/>
              </w:rPr>
            </w:pPr>
            <w:r w:rsidRPr="00CC474D">
              <w:rPr>
                <w:rFonts w:cstheme="minorHAnsi"/>
                <w:sz w:val="20"/>
              </w:rPr>
              <w:t>Number (2 decimals)</w:t>
            </w:r>
          </w:p>
        </w:tc>
        <w:tc>
          <w:tcPr>
            <w:tcW w:w="851" w:type="dxa"/>
          </w:tcPr>
          <w:p w14:paraId="7206A612" w14:textId="77777777" w:rsidR="00DA312A" w:rsidRPr="00CC474D" w:rsidRDefault="00DA312A" w:rsidP="0050053E">
            <w:pPr>
              <w:rPr>
                <w:rFonts w:cstheme="minorHAnsi"/>
                <w:sz w:val="20"/>
              </w:rPr>
            </w:pPr>
            <w:r w:rsidRPr="00CC474D">
              <w:rPr>
                <w:rFonts w:cstheme="minorHAnsi"/>
                <w:sz w:val="20"/>
              </w:rPr>
              <w:t>Y</w:t>
            </w:r>
          </w:p>
        </w:tc>
        <w:tc>
          <w:tcPr>
            <w:tcW w:w="934" w:type="dxa"/>
          </w:tcPr>
          <w:p w14:paraId="041DE446" w14:textId="77777777" w:rsidR="00DA312A" w:rsidRPr="00CC474D" w:rsidRDefault="00DA312A" w:rsidP="0050053E">
            <w:pPr>
              <w:rPr>
                <w:rFonts w:eastAsiaTheme="minorEastAsia" w:cstheme="minorHAnsi"/>
                <w:sz w:val="20"/>
              </w:rPr>
            </w:pPr>
            <w:r w:rsidRPr="00CC474D">
              <w:rPr>
                <w:rFonts w:cstheme="minorHAnsi"/>
                <w:sz w:val="20"/>
              </w:rPr>
              <w:t>[0,+]</w:t>
            </w:r>
          </w:p>
        </w:tc>
        <w:tc>
          <w:tcPr>
            <w:tcW w:w="1836" w:type="dxa"/>
          </w:tcPr>
          <w:p w14:paraId="09CAFBEB" w14:textId="77777777" w:rsidR="00DA312A" w:rsidRPr="00CC474D" w:rsidRDefault="00DA312A" w:rsidP="0050053E">
            <w:pPr>
              <w:pStyle w:val="TableHeading"/>
              <w:rPr>
                <w:rFonts w:cstheme="minorHAnsi"/>
                <w:b w:val="0"/>
                <w:bCs/>
                <w:szCs w:val="20"/>
              </w:rPr>
            </w:pPr>
            <w:r w:rsidRPr="00CC474D">
              <w:rPr>
                <w:rFonts w:cstheme="minorHAnsi"/>
                <w:b w:val="0"/>
                <w:szCs w:val="20"/>
              </w:rPr>
              <w:t>0.22 m AHD</w:t>
            </w:r>
          </w:p>
        </w:tc>
      </w:tr>
    </w:tbl>
    <w:p w14:paraId="5166B928" w14:textId="77777777" w:rsidR="00DA312A" w:rsidRPr="00992869" w:rsidRDefault="00DA312A" w:rsidP="009E6C53"/>
    <w:p w14:paraId="1D69635F" w14:textId="77777777" w:rsidR="009E6C53" w:rsidRPr="00992869" w:rsidRDefault="009E6C53" w:rsidP="009E6C53">
      <w:pPr>
        <w:pStyle w:val="Heading3"/>
      </w:pPr>
      <w:bookmarkStart w:id="1655" w:name="_Toc10206761"/>
      <w:bookmarkStart w:id="1656" w:name="_Toc10213347"/>
      <w:bookmarkStart w:id="1657" w:name="_Toc10732371"/>
      <w:bookmarkStart w:id="1658" w:name="_Toc10796930"/>
      <w:bookmarkStart w:id="1659" w:name="_Toc12022815"/>
      <w:bookmarkStart w:id="1660" w:name="_Toc12630645"/>
      <w:bookmarkStart w:id="1661" w:name="_Toc16154505"/>
      <w:bookmarkStart w:id="1662" w:name="_Toc22196867"/>
      <w:r w:rsidRPr="00992869">
        <w:t>Quality Assurance/Quality Control</w:t>
      </w:r>
      <w:bookmarkEnd w:id="1655"/>
      <w:bookmarkEnd w:id="1656"/>
      <w:bookmarkEnd w:id="1657"/>
      <w:bookmarkEnd w:id="1658"/>
      <w:bookmarkEnd w:id="1659"/>
      <w:bookmarkEnd w:id="1660"/>
      <w:bookmarkEnd w:id="1661"/>
      <w:bookmarkEnd w:id="1662"/>
    </w:p>
    <w:p w14:paraId="6F15F3B9" w14:textId="551ED0C6" w:rsidR="009E6C53" w:rsidRPr="00992869" w:rsidRDefault="009E6C53" w:rsidP="009E6C53">
      <w:r w:rsidRPr="00992869">
        <w:t xml:space="preserve">See Section </w:t>
      </w:r>
      <w:r w:rsidRPr="00992869">
        <w:fldChar w:fldCharType="begin"/>
      </w:r>
      <w:r w:rsidRPr="00992869">
        <w:instrText xml:space="preserve"> REF _Ref9333977 \r \h  \* MERGEFORMAT </w:instrText>
      </w:r>
      <w:r w:rsidRPr="00992869">
        <w:fldChar w:fldCharType="separate"/>
      </w:r>
      <w:r w:rsidR="00DF49CD">
        <w:t>10.3</w:t>
      </w:r>
      <w:r w:rsidRPr="00992869">
        <w:fldChar w:fldCharType="end"/>
      </w:r>
      <w:r>
        <w:t xml:space="preserve"> </w:t>
      </w:r>
      <w:r w:rsidRPr="002E3EEF">
        <w:rPr>
          <w:rFonts w:cstheme="minorHAnsi"/>
          <w:szCs w:val="22"/>
        </w:rPr>
        <w:t xml:space="preserve">in the </w:t>
      </w:r>
      <w:r>
        <w:rPr>
          <w:rFonts w:cstheme="minorHAnsi"/>
          <w:szCs w:val="22"/>
        </w:rPr>
        <w:t>MER</w:t>
      </w:r>
      <w:r w:rsidRPr="002E3EEF">
        <w:rPr>
          <w:rFonts w:cstheme="minorHAnsi"/>
          <w:szCs w:val="22"/>
        </w:rPr>
        <w:t xml:space="preserve"> Plan</w:t>
      </w:r>
      <w:r>
        <w:rPr>
          <w:rFonts w:cstheme="minorHAnsi"/>
          <w:szCs w:val="22"/>
        </w:rPr>
        <w:t xml:space="preserve"> for quality assurance and control measures</w:t>
      </w:r>
      <w:r w:rsidRPr="00992869">
        <w:t xml:space="preserve">. </w:t>
      </w:r>
    </w:p>
    <w:p w14:paraId="170390E1" w14:textId="77777777" w:rsidR="006361E1" w:rsidRPr="00992869" w:rsidRDefault="006361E1" w:rsidP="006361E1">
      <w:pPr>
        <w:pStyle w:val="Heading3"/>
      </w:pPr>
      <w:bookmarkStart w:id="1663" w:name="_Toc10206762"/>
      <w:bookmarkStart w:id="1664" w:name="_Toc10213348"/>
      <w:bookmarkStart w:id="1665" w:name="_Toc10732372"/>
      <w:bookmarkStart w:id="1666" w:name="_Toc10796931"/>
      <w:bookmarkStart w:id="1667" w:name="_Toc12022816"/>
      <w:bookmarkStart w:id="1668" w:name="_Toc12630646"/>
      <w:bookmarkStart w:id="1669" w:name="_Toc16154506"/>
      <w:bookmarkStart w:id="1670" w:name="_Toc22196868"/>
      <w:r w:rsidRPr="00992869">
        <w:t>Health, safety and environment plan</w:t>
      </w:r>
      <w:bookmarkEnd w:id="1653"/>
      <w:bookmarkEnd w:id="1654"/>
      <w:bookmarkEnd w:id="1663"/>
      <w:bookmarkEnd w:id="1664"/>
      <w:bookmarkEnd w:id="1665"/>
      <w:bookmarkEnd w:id="1666"/>
      <w:bookmarkEnd w:id="1667"/>
      <w:bookmarkEnd w:id="1668"/>
      <w:bookmarkEnd w:id="1669"/>
      <w:bookmarkEnd w:id="1670"/>
    </w:p>
    <w:p w14:paraId="7ED9C16E" w14:textId="6059EFB7" w:rsidR="006361E1" w:rsidRDefault="000E285D" w:rsidP="006361E1">
      <w:pPr>
        <w:rPr>
          <w:lang w:val="en-US"/>
        </w:rPr>
      </w:pPr>
      <w:r>
        <w:t>See Appendix A</w:t>
      </w:r>
      <w:r w:rsidR="006361E1" w:rsidRPr="00992869">
        <w:t>.</w:t>
      </w:r>
    </w:p>
    <w:p w14:paraId="02DE93EC" w14:textId="77777777" w:rsidR="006361E1" w:rsidRPr="00D40887" w:rsidRDefault="006361E1" w:rsidP="006361E1">
      <w:pPr>
        <w:pStyle w:val="Heading3"/>
      </w:pPr>
      <w:bookmarkStart w:id="1671" w:name="_Toc10095279"/>
      <w:bookmarkStart w:id="1672" w:name="_Toc10192448"/>
      <w:bookmarkStart w:id="1673" w:name="_Toc10206763"/>
      <w:bookmarkStart w:id="1674" w:name="_Toc10213349"/>
      <w:bookmarkStart w:id="1675" w:name="_Toc10732373"/>
      <w:bookmarkStart w:id="1676" w:name="_Toc10796932"/>
      <w:bookmarkStart w:id="1677" w:name="_Toc12022817"/>
      <w:bookmarkStart w:id="1678" w:name="_Toc12630647"/>
      <w:bookmarkStart w:id="1679" w:name="_Toc16154507"/>
      <w:bookmarkStart w:id="1680" w:name="_Toc22196869"/>
      <w:r w:rsidRPr="00D40887">
        <w:t>References</w:t>
      </w:r>
      <w:bookmarkEnd w:id="1671"/>
      <w:bookmarkEnd w:id="1672"/>
      <w:bookmarkEnd w:id="1673"/>
      <w:bookmarkEnd w:id="1674"/>
      <w:bookmarkEnd w:id="1675"/>
      <w:bookmarkEnd w:id="1676"/>
      <w:bookmarkEnd w:id="1677"/>
      <w:bookmarkEnd w:id="1678"/>
      <w:bookmarkEnd w:id="1679"/>
      <w:bookmarkEnd w:id="1680"/>
    </w:p>
    <w:p w14:paraId="30DB4B17" w14:textId="6EF5DBA4" w:rsidR="00D67217" w:rsidRPr="00E80838" w:rsidRDefault="00D67217" w:rsidP="00D67217">
      <w:pPr>
        <w:rPr>
          <w:szCs w:val="22"/>
          <w:lang w:val="en-GB"/>
        </w:rPr>
      </w:pPr>
      <w:r w:rsidRPr="00E80838">
        <w:rPr>
          <w:szCs w:val="22"/>
          <w:lang w:val="en-GB"/>
        </w:rPr>
        <w:t>Collier, C., van Dijk, K.-J., Erftemeijer, P., Foster, N., Hipsey, M., O'Lough</w:t>
      </w:r>
      <w:r w:rsidR="00210EDC">
        <w:rPr>
          <w:szCs w:val="22"/>
          <w:lang w:val="en-GB"/>
        </w:rPr>
        <w:t>lin, E., Ticli, K. and Waycott, M.</w:t>
      </w:r>
      <w:r w:rsidRPr="00E80838">
        <w:rPr>
          <w:szCs w:val="22"/>
          <w:lang w:val="en-GB"/>
        </w:rPr>
        <w:t xml:space="preserve"> </w:t>
      </w:r>
      <w:r w:rsidR="00210EDC">
        <w:rPr>
          <w:szCs w:val="22"/>
          <w:lang w:val="en-GB"/>
        </w:rPr>
        <w:t>(</w:t>
      </w:r>
      <w:r w:rsidRPr="00E80838">
        <w:rPr>
          <w:szCs w:val="22"/>
          <w:lang w:val="en-GB"/>
        </w:rPr>
        <w:t>2017</w:t>
      </w:r>
      <w:r w:rsidR="00210EDC">
        <w:rPr>
          <w:szCs w:val="22"/>
          <w:lang w:val="en-GB"/>
        </w:rPr>
        <w:t>).</w:t>
      </w:r>
      <w:r w:rsidRPr="00E80838">
        <w:rPr>
          <w:szCs w:val="22"/>
          <w:lang w:val="en-GB"/>
        </w:rPr>
        <w:t xml:space="preserve"> Optimising Coorong </w:t>
      </w:r>
      <w:r w:rsidRPr="00E80838">
        <w:rPr>
          <w:i/>
          <w:iCs/>
          <w:szCs w:val="22"/>
          <w:lang w:val="en-GB"/>
        </w:rPr>
        <w:t xml:space="preserve">Ruppia </w:t>
      </w:r>
      <w:r w:rsidRPr="00E80838">
        <w:rPr>
          <w:szCs w:val="22"/>
          <w:lang w:val="en-GB"/>
        </w:rPr>
        <w:t xml:space="preserve">habitat: Strategies to improve habitat conditions for </w:t>
      </w:r>
      <w:r w:rsidRPr="00E80838">
        <w:rPr>
          <w:i/>
          <w:iCs/>
          <w:szCs w:val="22"/>
          <w:lang w:val="en-GB"/>
        </w:rPr>
        <w:t xml:space="preserve">Ruppia tuberosa </w:t>
      </w:r>
      <w:r w:rsidRPr="00E80838">
        <w:rPr>
          <w:szCs w:val="22"/>
          <w:lang w:val="en-GB"/>
        </w:rPr>
        <w:t xml:space="preserve">in the Coorong (South Australia) based on literature review, manipulative experiments and predictive modelling. In: Waycott, M. (Ed.), Reports to Department of Environment and Natural Resources (DEWNR). The University of Adelaide, School of Biological Sciences, Adelaide, South Australia, p. 169 pp. </w:t>
      </w:r>
    </w:p>
    <w:p w14:paraId="6B2DE37B" w14:textId="77777777" w:rsidR="0019799F" w:rsidRDefault="0019799F" w:rsidP="0019799F">
      <w:r>
        <w:t>Ye, Q., Livore, J., Aldridge, K., Giatas, G., Hipsey, M., Joehnk, K., Nicol, J., Wilson, P. and Zampatti, B. (2016b). Monitoring the ecological response to Commonwealth environmental water delivered to the Lower Murray River in 2013-14. Final Report prepared for the Commonwealth Environmental Water Office. South Australian Research and Development Institute.</w:t>
      </w:r>
    </w:p>
    <w:p w14:paraId="491B4480" w14:textId="77777777" w:rsidR="006361E1" w:rsidRDefault="006361E1">
      <w:pPr>
        <w:spacing w:after="200" w:line="276" w:lineRule="auto"/>
        <w:jc w:val="left"/>
        <w:rPr>
          <w:rFonts w:eastAsiaTheme="majorEastAsia" w:cstheme="majorBidi"/>
          <w:b/>
          <w:bCs/>
          <w:color w:val="auto"/>
          <w:sz w:val="32"/>
          <w:szCs w:val="28"/>
        </w:rPr>
      </w:pPr>
      <w:r>
        <w:br w:type="page"/>
      </w:r>
    </w:p>
    <w:p w14:paraId="0A2894C8" w14:textId="0D1CFFE3" w:rsidR="00FB1173" w:rsidRDefault="003E37F9" w:rsidP="00FB1173">
      <w:pPr>
        <w:pStyle w:val="Heading1"/>
      </w:pPr>
      <w:bookmarkStart w:id="1681" w:name="_Toc10095280"/>
      <w:bookmarkStart w:id="1682" w:name="_Ref10128297"/>
      <w:bookmarkStart w:id="1683" w:name="_Toc10192449"/>
      <w:bookmarkStart w:id="1684" w:name="_Toc10206764"/>
      <w:bookmarkStart w:id="1685" w:name="_Toc10213350"/>
      <w:bookmarkStart w:id="1686" w:name="_Toc10732374"/>
      <w:bookmarkStart w:id="1687" w:name="_Toc10796933"/>
      <w:bookmarkStart w:id="1688" w:name="_Toc12022818"/>
      <w:bookmarkStart w:id="1689" w:name="_Toc12630648"/>
      <w:bookmarkStart w:id="1690" w:name="_Toc16154508"/>
      <w:bookmarkStart w:id="1691" w:name="_Toc22196870"/>
      <w:bookmarkStart w:id="1692" w:name="_Toc396825350"/>
      <w:bookmarkStart w:id="1693" w:name="_Ref397516565"/>
      <w:bookmarkStart w:id="1694" w:name="_Toc6403922"/>
      <w:bookmarkStart w:id="1695" w:name="_Toc396825351"/>
      <w:bookmarkStart w:id="1696" w:name="_Toc6403923"/>
      <w:r>
        <w:lastRenderedPageBreak/>
        <w:t>Littoral V</w:t>
      </w:r>
      <w:r w:rsidR="00FB1173">
        <w:t xml:space="preserve">egetation </w:t>
      </w:r>
      <w:r>
        <w:t>Diversity and P</w:t>
      </w:r>
      <w:r w:rsidR="00FB1173" w:rsidRPr="00FB1173">
        <w:t>roductivity</w:t>
      </w:r>
      <w:bookmarkEnd w:id="1681"/>
      <w:bookmarkEnd w:id="1682"/>
      <w:bookmarkEnd w:id="1683"/>
      <w:bookmarkEnd w:id="1684"/>
      <w:bookmarkEnd w:id="1685"/>
      <w:bookmarkEnd w:id="1686"/>
      <w:bookmarkEnd w:id="1687"/>
      <w:bookmarkEnd w:id="1688"/>
      <w:bookmarkEnd w:id="1689"/>
      <w:bookmarkEnd w:id="1690"/>
      <w:bookmarkEnd w:id="1691"/>
    </w:p>
    <w:p w14:paraId="1A0051DC" w14:textId="77777777" w:rsidR="00210F6D" w:rsidRPr="00525AE9" w:rsidRDefault="00210F6D" w:rsidP="00210F6D">
      <w:pPr>
        <w:pStyle w:val="Heading2"/>
      </w:pPr>
      <w:bookmarkStart w:id="1697" w:name="_Toc10095281"/>
      <w:bookmarkStart w:id="1698" w:name="_Toc10192450"/>
      <w:bookmarkStart w:id="1699" w:name="_Toc10206765"/>
      <w:bookmarkStart w:id="1700" w:name="_Toc10213351"/>
      <w:bookmarkStart w:id="1701" w:name="_Toc10732375"/>
      <w:bookmarkStart w:id="1702" w:name="_Toc10796934"/>
      <w:bookmarkStart w:id="1703" w:name="_Toc12022819"/>
      <w:bookmarkStart w:id="1704" w:name="_Toc12630649"/>
      <w:bookmarkStart w:id="1705" w:name="_Toc16154509"/>
      <w:bookmarkStart w:id="1706" w:name="_Toc22196871"/>
      <w:r w:rsidRPr="00525AE9">
        <w:t>Evaluation questions</w:t>
      </w:r>
      <w:bookmarkEnd w:id="1697"/>
      <w:bookmarkEnd w:id="1698"/>
      <w:bookmarkEnd w:id="1699"/>
      <w:bookmarkEnd w:id="1700"/>
      <w:bookmarkEnd w:id="1701"/>
      <w:bookmarkEnd w:id="1702"/>
      <w:bookmarkEnd w:id="1703"/>
      <w:bookmarkEnd w:id="1704"/>
      <w:bookmarkEnd w:id="1705"/>
      <w:bookmarkEnd w:id="1706"/>
    </w:p>
    <w:p w14:paraId="19511FAB" w14:textId="77777777" w:rsidR="00210F6D" w:rsidRPr="00557D7E" w:rsidRDefault="00210F6D" w:rsidP="00210F6D">
      <w:pPr>
        <w:rPr>
          <w:szCs w:val="22"/>
        </w:rPr>
      </w:pPr>
      <w:r w:rsidRPr="00557D7E">
        <w:rPr>
          <w:szCs w:val="22"/>
        </w:rPr>
        <w:t xml:space="preserve">This monitoring protocol addresses the following </w:t>
      </w:r>
      <w:r>
        <w:rPr>
          <w:szCs w:val="22"/>
        </w:rPr>
        <w:t>Selected Area</w:t>
      </w:r>
      <w:r w:rsidRPr="00557D7E">
        <w:rPr>
          <w:szCs w:val="22"/>
        </w:rPr>
        <w:t xml:space="preserve"> scale evaluation questions:</w:t>
      </w:r>
    </w:p>
    <w:p w14:paraId="104C225B" w14:textId="5A1C3E89" w:rsidR="00210F6D" w:rsidRPr="00EC11A9" w:rsidRDefault="00210F6D" w:rsidP="00210F6D">
      <w:pPr>
        <w:pStyle w:val="TableBullets"/>
        <w:rPr>
          <w:sz w:val="22"/>
        </w:rPr>
      </w:pPr>
      <w:r w:rsidRPr="00EC11A9">
        <w:rPr>
          <w:sz w:val="22"/>
        </w:rPr>
        <w:t>What did C</w:t>
      </w:r>
      <w:r w:rsidR="005F416D">
        <w:rPr>
          <w:sz w:val="22"/>
        </w:rPr>
        <w:t>ommonwealth environmental water</w:t>
      </w:r>
      <w:r w:rsidRPr="00EC11A9">
        <w:rPr>
          <w:sz w:val="22"/>
        </w:rPr>
        <w:t xml:space="preserve"> contribute to littoral understorey vegetation diversity and productivity?</w:t>
      </w:r>
    </w:p>
    <w:p w14:paraId="53CEC943" w14:textId="4555FF3A" w:rsidR="00210F6D" w:rsidRDefault="00210F6D" w:rsidP="00210F6D">
      <w:pPr>
        <w:pStyle w:val="TableBullets"/>
        <w:rPr>
          <w:sz w:val="22"/>
        </w:rPr>
      </w:pPr>
      <w:r w:rsidRPr="00EC11A9">
        <w:rPr>
          <w:sz w:val="22"/>
        </w:rPr>
        <w:t>What did C</w:t>
      </w:r>
      <w:r w:rsidR="005F416D">
        <w:rPr>
          <w:sz w:val="22"/>
        </w:rPr>
        <w:t>ommonwealth environmental water</w:t>
      </w:r>
      <w:r w:rsidRPr="00EC11A9">
        <w:rPr>
          <w:sz w:val="22"/>
        </w:rPr>
        <w:t xml:space="preserve"> contribute to above-ground </w:t>
      </w:r>
      <w:r w:rsidR="000E5A7B">
        <w:rPr>
          <w:sz w:val="22"/>
        </w:rPr>
        <w:t>biomass produced</w:t>
      </w:r>
      <w:r w:rsidRPr="00EC11A9">
        <w:rPr>
          <w:sz w:val="22"/>
        </w:rPr>
        <w:t xml:space="preserve"> by understorey littoral vegetation?</w:t>
      </w:r>
    </w:p>
    <w:p w14:paraId="3F0BDEC4" w14:textId="77777777" w:rsidR="00210F6D" w:rsidRPr="00EC11A9" w:rsidRDefault="00210F6D" w:rsidP="00210F6D">
      <w:pPr>
        <w:pStyle w:val="TableBullets"/>
        <w:numPr>
          <w:ilvl w:val="0"/>
          <w:numId w:val="0"/>
        </w:numPr>
        <w:ind w:left="410"/>
        <w:rPr>
          <w:sz w:val="22"/>
        </w:rPr>
      </w:pPr>
    </w:p>
    <w:p w14:paraId="6E0F2D50" w14:textId="69FCA809" w:rsidR="00210F6D" w:rsidRPr="00557D7E" w:rsidRDefault="00654D65" w:rsidP="00210F6D">
      <w:pPr>
        <w:spacing w:before="120"/>
      </w:pPr>
      <w:r w:rsidRPr="00855B72">
        <w:t xml:space="preserve">See additional </w:t>
      </w:r>
      <w:r>
        <w:t xml:space="preserve">evaluation </w:t>
      </w:r>
      <w:r w:rsidRPr="00855B72">
        <w:t>questions</w:t>
      </w:r>
      <w:r>
        <w:t xml:space="preserve"> for long-term </w:t>
      </w:r>
      <w:r w:rsidR="000D6141">
        <w:t xml:space="preserve">outcomes </w:t>
      </w:r>
      <w:r w:rsidRPr="00855B72">
        <w:t>in conti</w:t>
      </w:r>
      <w:r>
        <w:t>ngency monitoring (Section 5.3 in the MER Plan)</w:t>
      </w:r>
      <w:r w:rsidRPr="00855B72">
        <w:t>.</w:t>
      </w:r>
      <w:r w:rsidR="00210F6D" w:rsidRPr="00557D7E">
        <w:t>The process for evaluating these questions is illustrated below in</w:t>
      </w:r>
      <w:r w:rsidR="003E37F9">
        <w:t xml:space="preserve"> Figure B.10</w:t>
      </w:r>
    </w:p>
    <w:p w14:paraId="574A3EF6" w14:textId="1355DC35" w:rsidR="00210F6D" w:rsidRDefault="003A61CA" w:rsidP="00210F6D">
      <w:pPr>
        <w:keepNext/>
      </w:pPr>
      <w:r w:rsidRPr="003A61CA">
        <w:rPr>
          <w:noProof/>
          <w:lang w:eastAsia="en-AU"/>
        </w:rPr>
        <w:drawing>
          <wp:inline distT="0" distB="0" distL="0" distR="0" wp14:anchorId="7DBA6E4D" wp14:editId="235BF2AA">
            <wp:extent cx="5727700" cy="4133831"/>
            <wp:effectExtent l="0" t="0" r="635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727700" cy="4133831"/>
                    </a:xfrm>
                    <a:prstGeom prst="rect">
                      <a:avLst/>
                    </a:prstGeom>
                    <a:noFill/>
                    <a:ln>
                      <a:noFill/>
                    </a:ln>
                  </pic:spPr>
                </pic:pic>
              </a:graphicData>
            </a:graphic>
          </wp:inline>
        </w:drawing>
      </w:r>
    </w:p>
    <w:p w14:paraId="565E4898" w14:textId="4CDA7DD0" w:rsidR="00210F6D" w:rsidRPr="00525AE9" w:rsidRDefault="00210F6D" w:rsidP="00210F6D">
      <w:pPr>
        <w:pStyle w:val="Caption"/>
      </w:pPr>
      <w:r>
        <w:t>Figure B.</w:t>
      </w:r>
      <w:r>
        <w:rPr>
          <w:noProof/>
        </w:rPr>
        <w:fldChar w:fldCharType="begin"/>
      </w:r>
      <w:r>
        <w:rPr>
          <w:noProof/>
        </w:rPr>
        <w:instrText xml:space="preserve"> SEQ Figure_B. \* ARABIC </w:instrText>
      </w:r>
      <w:r>
        <w:rPr>
          <w:noProof/>
        </w:rPr>
        <w:fldChar w:fldCharType="separate"/>
      </w:r>
      <w:r w:rsidR="00DF49CD">
        <w:rPr>
          <w:noProof/>
        </w:rPr>
        <w:t>10</w:t>
      </w:r>
      <w:r>
        <w:rPr>
          <w:noProof/>
        </w:rPr>
        <w:fldChar w:fldCharType="end"/>
      </w:r>
      <w:r>
        <w:t>. Schematic of key elements of the M</w:t>
      </w:r>
      <w:r w:rsidR="003E37F9">
        <w:t xml:space="preserve">ER Standard Protocol: </w:t>
      </w:r>
      <w:r w:rsidR="003E37F9" w:rsidRPr="003E37F9">
        <w:rPr>
          <w:i/>
        </w:rPr>
        <w:t>Littoral V</w:t>
      </w:r>
      <w:r w:rsidRPr="003E37F9">
        <w:rPr>
          <w:i/>
        </w:rPr>
        <w:t xml:space="preserve">egetation </w:t>
      </w:r>
      <w:r w:rsidR="003E37F9" w:rsidRPr="003E37F9">
        <w:rPr>
          <w:i/>
        </w:rPr>
        <w:t>D</w:t>
      </w:r>
      <w:r w:rsidRPr="003E37F9">
        <w:rPr>
          <w:i/>
        </w:rPr>
        <w:t xml:space="preserve">iversity and </w:t>
      </w:r>
      <w:r w:rsidR="003E37F9" w:rsidRPr="003E37F9">
        <w:rPr>
          <w:i/>
        </w:rPr>
        <w:t>P</w:t>
      </w:r>
      <w:r w:rsidRPr="003E37F9">
        <w:rPr>
          <w:i/>
        </w:rPr>
        <w:t>roductivity</w:t>
      </w:r>
      <w:r>
        <w:t>.</w:t>
      </w:r>
    </w:p>
    <w:p w14:paraId="7A13D844" w14:textId="77777777" w:rsidR="00210F6D" w:rsidRPr="00525AE9" w:rsidRDefault="00210F6D" w:rsidP="00210F6D">
      <w:pPr>
        <w:pStyle w:val="Heading2"/>
      </w:pPr>
      <w:bookmarkStart w:id="1707" w:name="_Toc10095282"/>
      <w:bookmarkStart w:id="1708" w:name="_Toc10192451"/>
      <w:bookmarkStart w:id="1709" w:name="_Toc10206766"/>
      <w:bookmarkStart w:id="1710" w:name="_Toc10213352"/>
      <w:bookmarkStart w:id="1711" w:name="_Toc10732376"/>
      <w:bookmarkStart w:id="1712" w:name="_Toc10796935"/>
      <w:bookmarkStart w:id="1713" w:name="_Toc12022820"/>
      <w:bookmarkStart w:id="1714" w:name="_Toc12630650"/>
      <w:bookmarkStart w:id="1715" w:name="_Toc16154510"/>
      <w:bookmarkStart w:id="1716" w:name="_Toc22196872"/>
      <w:r w:rsidRPr="00525AE9">
        <w:t>Relevant ecosystem types</w:t>
      </w:r>
      <w:bookmarkEnd w:id="1707"/>
      <w:bookmarkEnd w:id="1708"/>
      <w:bookmarkEnd w:id="1709"/>
      <w:bookmarkEnd w:id="1710"/>
      <w:bookmarkEnd w:id="1711"/>
      <w:bookmarkEnd w:id="1712"/>
      <w:bookmarkEnd w:id="1713"/>
      <w:bookmarkEnd w:id="1714"/>
      <w:bookmarkEnd w:id="1715"/>
      <w:bookmarkEnd w:id="1716"/>
    </w:p>
    <w:p w14:paraId="665C9BDE" w14:textId="77777777" w:rsidR="00210F6D" w:rsidRPr="00525AE9" w:rsidRDefault="00210F6D" w:rsidP="00210F6D">
      <w:r w:rsidRPr="00525AE9">
        <w:t>River</w:t>
      </w:r>
      <w:r>
        <w:t>s.</w:t>
      </w:r>
    </w:p>
    <w:p w14:paraId="09D47489" w14:textId="77777777" w:rsidR="00210F6D" w:rsidRPr="00525AE9" w:rsidRDefault="00210F6D" w:rsidP="00210F6D">
      <w:pPr>
        <w:pStyle w:val="Heading2"/>
        <w:contextualSpacing/>
      </w:pPr>
      <w:bookmarkStart w:id="1717" w:name="_Toc10095283"/>
      <w:bookmarkStart w:id="1718" w:name="_Toc10192452"/>
      <w:bookmarkStart w:id="1719" w:name="_Toc10206767"/>
      <w:bookmarkStart w:id="1720" w:name="_Toc10213353"/>
      <w:bookmarkStart w:id="1721" w:name="_Toc10732377"/>
      <w:bookmarkStart w:id="1722" w:name="_Toc10796936"/>
      <w:bookmarkStart w:id="1723" w:name="_Toc12022821"/>
      <w:bookmarkStart w:id="1724" w:name="_Toc12630651"/>
      <w:bookmarkStart w:id="1725" w:name="_Toc16154511"/>
      <w:bookmarkStart w:id="1726" w:name="_Toc22196873"/>
      <w:r w:rsidRPr="00525AE9">
        <w:t>Relevant flow types</w:t>
      </w:r>
      <w:bookmarkEnd w:id="1717"/>
      <w:bookmarkEnd w:id="1718"/>
      <w:bookmarkEnd w:id="1719"/>
      <w:bookmarkEnd w:id="1720"/>
      <w:bookmarkEnd w:id="1721"/>
      <w:bookmarkEnd w:id="1722"/>
      <w:bookmarkEnd w:id="1723"/>
      <w:bookmarkEnd w:id="1724"/>
      <w:bookmarkEnd w:id="1725"/>
      <w:bookmarkEnd w:id="1726"/>
    </w:p>
    <w:p w14:paraId="368759ED" w14:textId="77777777" w:rsidR="00210F6D" w:rsidRPr="00525AE9" w:rsidRDefault="00210F6D" w:rsidP="00210F6D">
      <w:r>
        <w:t>These methods describe monitoring to be conducted annually after environmental water has been delivered and water levels are at or close to normal pool level. The methods are therefore relevant to all flow types except baseflow (e.g. f</w:t>
      </w:r>
      <w:r w:rsidRPr="00525AE9">
        <w:t>resh</w:t>
      </w:r>
      <w:r>
        <w:t xml:space="preserve">es, </w:t>
      </w:r>
      <w:r w:rsidRPr="00525AE9">
        <w:t>bankfull</w:t>
      </w:r>
      <w:r>
        <w:t xml:space="preserve"> and</w:t>
      </w:r>
      <w:r w:rsidRPr="00525AE9">
        <w:t xml:space="preserve"> overbank</w:t>
      </w:r>
      <w:r>
        <w:t>).</w:t>
      </w:r>
    </w:p>
    <w:p w14:paraId="0191AEBF" w14:textId="77777777" w:rsidR="00210F6D" w:rsidRDefault="00210F6D" w:rsidP="00210F6D">
      <w:pPr>
        <w:pStyle w:val="Heading2"/>
      </w:pPr>
      <w:bookmarkStart w:id="1727" w:name="_Toc10095284"/>
      <w:bookmarkStart w:id="1728" w:name="_Toc10192453"/>
      <w:bookmarkStart w:id="1729" w:name="_Toc10206768"/>
      <w:bookmarkStart w:id="1730" w:name="_Toc10213354"/>
      <w:bookmarkStart w:id="1731" w:name="_Toc10732378"/>
      <w:bookmarkStart w:id="1732" w:name="_Toc10796937"/>
      <w:bookmarkStart w:id="1733" w:name="_Toc12022822"/>
      <w:bookmarkStart w:id="1734" w:name="_Toc12630652"/>
      <w:bookmarkStart w:id="1735" w:name="_Toc16154512"/>
      <w:bookmarkStart w:id="1736" w:name="_Toc22196874"/>
      <w:r w:rsidRPr="00525AE9">
        <w:lastRenderedPageBreak/>
        <w:t>Overview and context</w:t>
      </w:r>
      <w:bookmarkEnd w:id="1727"/>
      <w:bookmarkEnd w:id="1728"/>
      <w:bookmarkEnd w:id="1729"/>
      <w:bookmarkEnd w:id="1730"/>
      <w:bookmarkEnd w:id="1731"/>
      <w:bookmarkEnd w:id="1732"/>
      <w:bookmarkEnd w:id="1733"/>
      <w:bookmarkEnd w:id="1734"/>
      <w:bookmarkEnd w:id="1735"/>
      <w:bookmarkEnd w:id="1736"/>
    </w:p>
    <w:p w14:paraId="4CE97A1A" w14:textId="6AAD6299" w:rsidR="00210F6D" w:rsidRDefault="00210F6D" w:rsidP="00210F6D">
      <w:pPr>
        <w:rPr>
          <w:rFonts w:cstheme="minorHAnsi"/>
          <w:lang w:eastAsia="en-AU"/>
        </w:rPr>
      </w:pPr>
      <w:r>
        <w:t xml:space="preserve">This </w:t>
      </w:r>
      <w:r w:rsidRPr="00DA0871">
        <w:t>metho</w:t>
      </w:r>
      <w:r>
        <w:t xml:space="preserve">d was developed specifically to determine the benefit of </w:t>
      </w:r>
      <w:r w:rsidR="00F432B5" w:rsidRPr="00717B78">
        <w:t>C</w:t>
      </w:r>
      <w:r w:rsidR="00F432B5">
        <w:t>ommonwealth environmental water</w:t>
      </w:r>
      <w:r>
        <w:t xml:space="preserve"> on littoral vegetation in the</w:t>
      </w:r>
      <w:r w:rsidRPr="00DA0871">
        <w:t xml:space="preserve"> in the </w:t>
      </w:r>
      <w:r w:rsidRPr="00C304CC">
        <w:t>Lower Murray</w:t>
      </w:r>
      <w:r w:rsidRPr="00DA0871">
        <w:t xml:space="preserve"> Selected Area.</w:t>
      </w:r>
      <w:r>
        <w:t xml:space="preserve"> </w:t>
      </w:r>
      <w:r w:rsidR="00A64C0A">
        <w:rPr>
          <w:rFonts w:cstheme="minorHAnsi"/>
          <w:szCs w:val="22"/>
        </w:rPr>
        <w:t xml:space="preserve">Refer to Section </w:t>
      </w:r>
      <w:r w:rsidR="00A64C0A">
        <w:rPr>
          <w:rFonts w:cstheme="minorHAnsi"/>
          <w:szCs w:val="22"/>
        </w:rPr>
        <w:fldChar w:fldCharType="begin"/>
      </w:r>
      <w:r w:rsidR="00A64C0A">
        <w:rPr>
          <w:rFonts w:cstheme="minorHAnsi"/>
          <w:szCs w:val="22"/>
        </w:rPr>
        <w:instrText xml:space="preserve"> REF _Ref10126835 \r \h </w:instrText>
      </w:r>
      <w:r w:rsidR="00A64C0A">
        <w:rPr>
          <w:rFonts w:cstheme="minorHAnsi"/>
          <w:szCs w:val="22"/>
        </w:rPr>
      </w:r>
      <w:r w:rsidR="00A64C0A">
        <w:rPr>
          <w:rFonts w:cstheme="minorHAnsi"/>
          <w:szCs w:val="22"/>
        </w:rPr>
        <w:fldChar w:fldCharType="separate"/>
      </w:r>
      <w:r w:rsidR="00DF49CD">
        <w:rPr>
          <w:rFonts w:cstheme="minorHAnsi"/>
          <w:szCs w:val="22"/>
        </w:rPr>
        <w:t>5.2.3</w:t>
      </w:r>
      <w:r w:rsidR="00A64C0A">
        <w:rPr>
          <w:rFonts w:cstheme="minorHAnsi"/>
          <w:szCs w:val="22"/>
        </w:rPr>
        <w:fldChar w:fldCharType="end"/>
      </w:r>
      <w:r w:rsidRPr="006768A6">
        <w:rPr>
          <w:rFonts w:cstheme="minorHAnsi"/>
          <w:szCs w:val="22"/>
          <w:lang w:eastAsia="en-AU"/>
        </w:rPr>
        <w:t xml:space="preserve"> in the </w:t>
      </w:r>
      <w:r>
        <w:rPr>
          <w:rFonts w:cstheme="minorHAnsi"/>
          <w:szCs w:val="22"/>
          <w:lang w:eastAsia="en-AU"/>
        </w:rPr>
        <w:t>MER</w:t>
      </w:r>
      <w:r w:rsidRPr="006768A6">
        <w:rPr>
          <w:rFonts w:cstheme="minorHAnsi"/>
          <w:szCs w:val="22"/>
          <w:lang w:eastAsia="en-AU"/>
        </w:rPr>
        <w:t xml:space="preserve"> Plan for background information, objectives and hypotheses, outputs and staff involvement for </w:t>
      </w:r>
      <w:r>
        <w:rPr>
          <w:rFonts w:cstheme="minorHAnsi"/>
          <w:szCs w:val="22"/>
          <w:lang w:eastAsia="en-AU"/>
        </w:rPr>
        <w:t>littoral vegetation diversity and productivity</w:t>
      </w:r>
      <w:r w:rsidRPr="006768A6">
        <w:rPr>
          <w:rFonts w:cstheme="minorHAnsi"/>
          <w:szCs w:val="22"/>
          <w:lang w:eastAsia="en-AU"/>
        </w:rPr>
        <w:t>.</w:t>
      </w:r>
    </w:p>
    <w:p w14:paraId="33FE1170" w14:textId="0232C2D2" w:rsidR="00210F6D" w:rsidRDefault="00210F6D" w:rsidP="00210F6D">
      <w:pPr>
        <w:rPr>
          <w:rFonts w:ascii="Calibri" w:hAnsi="Calibri" w:cs="Calibri"/>
        </w:rPr>
      </w:pPr>
      <w:r w:rsidRPr="00BC4EFA">
        <w:rPr>
          <w:rFonts w:ascii="Calibri" w:hAnsi="Calibri" w:cs="Calibri"/>
          <w:bCs/>
        </w:rPr>
        <w:t xml:space="preserve">Sampling </w:t>
      </w:r>
      <w:r>
        <w:rPr>
          <w:rFonts w:ascii="Calibri" w:hAnsi="Calibri" w:cs="Calibri"/>
          <w:bCs/>
        </w:rPr>
        <w:t xml:space="preserve">of littoral vegetation will be conducted </w:t>
      </w:r>
      <w:r w:rsidR="004E3EFB">
        <w:rPr>
          <w:rFonts w:ascii="Calibri" w:hAnsi="Calibri" w:cs="Calibri"/>
          <w:bCs/>
        </w:rPr>
        <w:t>in two t</w:t>
      </w:r>
      <w:r w:rsidR="00071F7F">
        <w:rPr>
          <w:rFonts w:ascii="Calibri" w:hAnsi="Calibri" w:cs="Calibri"/>
          <w:bCs/>
        </w:rPr>
        <w:t>ail</w:t>
      </w:r>
      <w:r w:rsidR="004E3EFB">
        <w:rPr>
          <w:rFonts w:ascii="Calibri" w:hAnsi="Calibri" w:cs="Calibri"/>
          <w:bCs/>
        </w:rPr>
        <w:t xml:space="preserve">waters </w:t>
      </w:r>
      <w:r>
        <w:rPr>
          <w:rFonts w:ascii="Calibri" w:hAnsi="Calibri" w:cs="Calibri"/>
          <w:bCs/>
        </w:rPr>
        <w:t>on the banks of</w:t>
      </w:r>
      <w:r w:rsidRPr="00BC4EFA">
        <w:rPr>
          <w:rFonts w:ascii="Calibri" w:hAnsi="Calibri" w:cs="Calibri"/>
          <w:bCs/>
        </w:rPr>
        <w:t xml:space="preserve"> the main channel of the </w:t>
      </w:r>
      <w:r w:rsidRPr="00C304CC">
        <w:rPr>
          <w:rFonts w:ascii="Calibri" w:hAnsi="Calibri" w:cs="Calibri"/>
          <w:bCs/>
        </w:rPr>
        <w:t>Lower Murray</w:t>
      </w:r>
      <w:r>
        <w:rPr>
          <w:rFonts w:ascii="Calibri" w:hAnsi="Calibri" w:cs="Calibri"/>
          <w:bCs/>
        </w:rPr>
        <w:t xml:space="preserve"> or temporary wetlands that were inundated the previous spring</w:t>
      </w:r>
      <w:r w:rsidRPr="00EB4142">
        <w:rPr>
          <w:rFonts w:ascii="Calibri" w:hAnsi="Calibri" w:cs="Calibri"/>
        </w:rPr>
        <w:t xml:space="preserve">. </w:t>
      </w:r>
    </w:p>
    <w:p w14:paraId="34EFBA66" w14:textId="77777777" w:rsidR="00210F6D" w:rsidRPr="00BC04E0" w:rsidRDefault="00210F6D" w:rsidP="00210F6D">
      <w:pPr>
        <w:pStyle w:val="ListBullet"/>
        <w:numPr>
          <w:ilvl w:val="0"/>
          <w:numId w:val="0"/>
        </w:numPr>
        <w:spacing w:before="40" w:after="40"/>
        <w:ind w:left="357" w:hanging="357"/>
        <w:contextualSpacing w:val="0"/>
        <w:rPr>
          <w:rFonts w:cstheme="minorHAnsi"/>
        </w:rPr>
      </w:pPr>
      <w:r w:rsidRPr="00D00000">
        <w:rPr>
          <w:rFonts w:cstheme="minorHAnsi"/>
        </w:rPr>
        <w:t>Covariates include:</w:t>
      </w:r>
    </w:p>
    <w:p w14:paraId="6BCEA42F" w14:textId="77777777" w:rsidR="00210F6D" w:rsidRPr="00E45EEB" w:rsidRDefault="00210F6D" w:rsidP="00210F6D">
      <w:pPr>
        <w:pStyle w:val="ListBullet"/>
        <w:numPr>
          <w:ilvl w:val="0"/>
          <w:numId w:val="0"/>
        </w:numPr>
        <w:spacing w:before="40" w:after="40"/>
        <w:contextualSpacing w:val="0"/>
        <w:rPr>
          <w:rFonts w:cstheme="minorHAnsi"/>
          <w:b/>
        </w:rPr>
      </w:pPr>
      <w:r w:rsidRPr="00E45EEB">
        <w:rPr>
          <w:rFonts w:cstheme="minorHAnsi"/>
        </w:rPr>
        <w:t>Discharge/flow</w:t>
      </w:r>
    </w:p>
    <w:p w14:paraId="717D83B3" w14:textId="77777777" w:rsidR="00210F6D" w:rsidRPr="00717B78" w:rsidRDefault="00210F6D" w:rsidP="00C77254">
      <w:pPr>
        <w:pStyle w:val="ListBullet"/>
        <w:numPr>
          <w:ilvl w:val="0"/>
          <w:numId w:val="28"/>
        </w:numPr>
        <w:spacing w:before="40" w:after="40"/>
        <w:ind w:left="765" w:hanging="357"/>
        <w:contextualSpacing w:val="0"/>
        <w:rPr>
          <w:rFonts w:cstheme="minorHAnsi"/>
          <w:b/>
        </w:rPr>
      </w:pPr>
      <w:r>
        <w:rPr>
          <w:rFonts w:cstheme="minorHAnsi"/>
        </w:rPr>
        <w:t>Water</w:t>
      </w:r>
      <w:r w:rsidRPr="00BC04E0">
        <w:rPr>
          <w:rFonts w:cstheme="minorHAnsi"/>
        </w:rPr>
        <w:t xml:space="preserve"> level.</w:t>
      </w:r>
    </w:p>
    <w:p w14:paraId="77326821" w14:textId="77777777" w:rsidR="00210F6D" w:rsidRPr="00BC04E0" w:rsidRDefault="00210F6D" w:rsidP="00C77254">
      <w:pPr>
        <w:pStyle w:val="ListBullet"/>
        <w:numPr>
          <w:ilvl w:val="0"/>
          <w:numId w:val="28"/>
        </w:numPr>
        <w:spacing w:before="40" w:after="40"/>
        <w:ind w:left="765" w:hanging="357"/>
        <w:contextualSpacing w:val="0"/>
        <w:rPr>
          <w:rFonts w:cstheme="minorHAnsi"/>
          <w:b/>
        </w:rPr>
      </w:pPr>
      <w:r>
        <w:rPr>
          <w:rFonts w:cstheme="minorHAnsi"/>
        </w:rPr>
        <w:t>Rainfall</w:t>
      </w:r>
    </w:p>
    <w:p w14:paraId="63D1AECD" w14:textId="77777777" w:rsidR="00210F6D" w:rsidRDefault="00210F6D" w:rsidP="00210F6D">
      <w:pPr>
        <w:pStyle w:val="Heading2"/>
      </w:pPr>
      <w:bookmarkStart w:id="1737" w:name="_Toc10095285"/>
      <w:bookmarkStart w:id="1738" w:name="_Toc10192454"/>
      <w:bookmarkStart w:id="1739" w:name="_Toc10206769"/>
      <w:bookmarkStart w:id="1740" w:name="_Toc10213355"/>
      <w:bookmarkStart w:id="1741" w:name="_Toc10732379"/>
      <w:bookmarkStart w:id="1742" w:name="_Toc10796938"/>
      <w:bookmarkStart w:id="1743" w:name="_Toc12022823"/>
      <w:bookmarkStart w:id="1744" w:name="_Toc12630653"/>
      <w:bookmarkStart w:id="1745" w:name="_Toc16154513"/>
      <w:bookmarkStart w:id="1746" w:name="_Toc22196875"/>
      <w:r w:rsidRPr="00525AE9">
        <w:t>Complementary monitoring and data</w:t>
      </w:r>
      <w:bookmarkEnd w:id="1737"/>
      <w:bookmarkEnd w:id="1738"/>
      <w:bookmarkEnd w:id="1739"/>
      <w:bookmarkEnd w:id="1740"/>
      <w:bookmarkEnd w:id="1741"/>
      <w:bookmarkEnd w:id="1742"/>
      <w:bookmarkEnd w:id="1743"/>
      <w:bookmarkEnd w:id="1744"/>
      <w:bookmarkEnd w:id="1745"/>
      <w:bookmarkEnd w:id="1746"/>
    </w:p>
    <w:p w14:paraId="7E2BCF34" w14:textId="430B484C" w:rsidR="00210F6D" w:rsidRDefault="00210F6D" w:rsidP="00210F6D">
      <w:pPr>
        <w:rPr>
          <w:rFonts w:ascii="Calibri" w:hAnsi="Calibri" w:cs="Calibri"/>
        </w:rPr>
      </w:pPr>
      <w:r w:rsidRPr="00DA0871">
        <w:t xml:space="preserve">Sampling for this indicator will be conducted at </w:t>
      </w:r>
      <w:r w:rsidR="004E3EFB">
        <w:t>two</w:t>
      </w:r>
      <w:r w:rsidR="004E3EFB" w:rsidRPr="00DA0871">
        <w:t xml:space="preserve"> </w:t>
      </w:r>
      <w:r w:rsidR="004E3EFB">
        <w:t xml:space="preserve">locations </w:t>
      </w:r>
      <w:r>
        <w:t>corresponding to where other indicators will be monitored</w:t>
      </w:r>
      <w:r w:rsidRPr="00DA0871">
        <w:t>.</w:t>
      </w:r>
      <w:r w:rsidRPr="00BC04E0">
        <w:rPr>
          <w:rFonts w:ascii="Calibri" w:hAnsi="Calibri" w:cs="Calibri"/>
        </w:rPr>
        <w:t xml:space="preserve"> </w:t>
      </w:r>
      <w:r>
        <w:rPr>
          <w:rFonts w:ascii="Calibri" w:hAnsi="Calibri" w:cs="Calibri"/>
        </w:rPr>
        <w:t>This indicator is closely related to the hydrology indicator and will use flood inundation modelling outputs.</w:t>
      </w:r>
    </w:p>
    <w:p w14:paraId="71B8EAD5" w14:textId="77777777" w:rsidR="00210F6D" w:rsidRDefault="00210F6D" w:rsidP="00210F6D">
      <w:pPr>
        <w:pStyle w:val="Heading2"/>
      </w:pPr>
      <w:bookmarkStart w:id="1747" w:name="_Toc10095286"/>
      <w:bookmarkStart w:id="1748" w:name="_Toc10192455"/>
      <w:bookmarkStart w:id="1749" w:name="_Toc10206770"/>
      <w:bookmarkStart w:id="1750" w:name="_Toc10213356"/>
      <w:bookmarkStart w:id="1751" w:name="_Toc10732380"/>
      <w:bookmarkStart w:id="1752" w:name="_Toc10796939"/>
      <w:bookmarkStart w:id="1753" w:name="_Toc12022824"/>
      <w:bookmarkStart w:id="1754" w:name="_Toc12630654"/>
      <w:bookmarkStart w:id="1755" w:name="_Toc16154514"/>
      <w:bookmarkStart w:id="1756" w:name="_Toc22196876"/>
      <w:r w:rsidRPr="004B7CC1">
        <w:t>Monitoring locations and timing</w:t>
      </w:r>
      <w:bookmarkEnd w:id="1747"/>
      <w:bookmarkEnd w:id="1748"/>
      <w:bookmarkEnd w:id="1749"/>
      <w:bookmarkEnd w:id="1750"/>
      <w:bookmarkEnd w:id="1751"/>
      <w:bookmarkEnd w:id="1752"/>
      <w:bookmarkEnd w:id="1753"/>
      <w:bookmarkEnd w:id="1754"/>
      <w:bookmarkEnd w:id="1755"/>
      <w:bookmarkEnd w:id="1756"/>
    </w:p>
    <w:p w14:paraId="5E15F1C7" w14:textId="77777777" w:rsidR="00210F6D" w:rsidRDefault="00210F6D" w:rsidP="00210F6D">
      <w:pPr>
        <w:pStyle w:val="Heading3"/>
      </w:pPr>
      <w:bookmarkStart w:id="1757" w:name="_Toc10095287"/>
      <w:bookmarkStart w:id="1758" w:name="_Toc10192456"/>
      <w:bookmarkStart w:id="1759" w:name="_Toc10206771"/>
      <w:bookmarkStart w:id="1760" w:name="_Toc10213357"/>
      <w:bookmarkStart w:id="1761" w:name="_Toc10732381"/>
      <w:bookmarkStart w:id="1762" w:name="_Toc10796940"/>
      <w:bookmarkStart w:id="1763" w:name="_Toc12022825"/>
      <w:bookmarkStart w:id="1764" w:name="_Toc12630655"/>
      <w:bookmarkStart w:id="1765" w:name="_Toc16154515"/>
      <w:bookmarkStart w:id="1766" w:name="_Toc22196877"/>
      <w:r>
        <w:t>Locations</w:t>
      </w:r>
      <w:bookmarkEnd w:id="1757"/>
      <w:bookmarkEnd w:id="1758"/>
      <w:bookmarkEnd w:id="1759"/>
      <w:bookmarkEnd w:id="1760"/>
      <w:bookmarkEnd w:id="1761"/>
      <w:bookmarkEnd w:id="1762"/>
      <w:bookmarkEnd w:id="1763"/>
      <w:bookmarkEnd w:id="1764"/>
      <w:bookmarkEnd w:id="1765"/>
      <w:bookmarkEnd w:id="1766"/>
    </w:p>
    <w:p w14:paraId="6C75D703" w14:textId="7B1091D6" w:rsidR="004E3EFB" w:rsidRDefault="004E3EFB" w:rsidP="004E3EFB">
      <w:bookmarkStart w:id="1767" w:name="_Toc10095288"/>
      <w:bookmarkStart w:id="1768" w:name="_Toc10192457"/>
      <w:bookmarkStart w:id="1769" w:name="_Toc10206772"/>
      <w:bookmarkStart w:id="1770" w:name="_Toc10213358"/>
      <w:r>
        <w:t>Vegetation surveys</w:t>
      </w:r>
      <w:r w:rsidRPr="00924FD3">
        <w:t xml:space="preserve"> will be conducted at </w:t>
      </w:r>
      <w:r>
        <w:t>two</w:t>
      </w:r>
      <w:r w:rsidRPr="00924FD3">
        <w:t xml:space="preserve"> </w:t>
      </w:r>
      <w:r>
        <w:t>locations</w:t>
      </w:r>
      <w:r w:rsidRPr="00A53BAA">
        <w:t xml:space="preserve"> </w:t>
      </w:r>
      <w:r>
        <w:t>on the banks of</w:t>
      </w:r>
      <w:r w:rsidRPr="00A53BAA">
        <w:t xml:space="preserve"> the main channel of the </w:t>
      </w:r>
      <w:r w:rsidRPr="00C304CC">
        <w:t>Lower Murray</w:t>
      </w:r>
      <w:r w:rsidRPr="00A53BAA">
        <w:t xml:space="preserve"> </w:t>
      </w:r>
      <w:r>
        <w:t>(or adjacent temporary wetlands inundated t</w:t>
      </w:r>
      <w:r w:rsidR="00071F7F">
        <w:t>he previous spring) in the tail</w:t>
      </w:r>
      <w:r>
        <w:t>water sections downstream of Locks 4 and 1</w:t>
      </w:r>
      <w:r w:rsidRPr="00A53BAA">
        <w:t>.</w:t>
      </w:r>
      <w:r>
        <w:t xml:space="preserve"> At each location a minimum of five transects will be established and elevations sampled will depend on how </w:t>
      </w:r>
      <w:r w:rsidRPr="00717B78">
        <w:t>C</w:t>
      </w:r>
      <w:r>
        <w:t>ommonwealth environmental water was delivered.</w:t>
      </w:r>
    </w:p>
    <w:p w14:paraId="3008219C" w14:textId="77777777" w:rsidR="00210F6D" w:rsidRDefault="00210F6D" w:rsidP="00210F6D">
      <w:pPr>
        <w:pStyle w:val="Heading3"/>
        <w:numPr>
          <w:ilvl w:val="0"/>
          <w:numId w:val="0"/>
        </w:numPr>
      </w:pPr>
      <w:bookmarkStart w:id="1771" w:name="_Toc10732382"/>
      <w:bookmarkStart w:id="1772" w:name="_Toc10796941"/>
      <w:bookmarkStart w:id="1773" w:name="_Toc12022826"/>
      <w:bookmarkStart w:id="1774" w:name="_Toc12630656"/>
      <w:bookmarkStart w:id="1775" w:name="_Toc16154516"/>
      <w:bookmarkStart w:id="1776" w:name="_Toc22196878"/>
      <w:r>
        <w:t>Timing</w:t>
      </w:r>
      <w:bookmarkEnd w:id="1767"/>
      <w:bookmarkEnd w:id="1768"/>
      <w:bookmarkEnd w:id="1769"/>
      <w:bookmarkEnd w:id="1770"/>
      <w:bookmarkEnd w:id="1771"/>
      <w:bookmarkEnd w:id="1772"/>
      <w:bookmarkEnd w:id="1773"/>
      <w:bookmarkEnd w:id="1774"/>
      <w:bookmarkEnd w:id="1775"/>
      <w:bookmarkEnd w:id="1776"/>
    </w:p>
    <w:p w14:paraId="42FE3CC2" w14:textId="77777777" w:rsidR="00210F6D" w:rsidRPr="00DA4632" w:rsidRDefault="00210F6D" w:rsidP="00210F6D">
      <w:r>
        <w:t>Surveys will be conducted after environmental water is delivered and water levels have returned to normal pool level.</w:t>
      </w:r>
    </w:p>
    <w:p w14:paraId="2E6DA536" w14:textId="77777777" w:rsidR="00210F6D" w:rsidRPr="004B7CC1" w:rsidRDefault="00210F6D" w:rsidP="00210F6D">
      <w:pPr>
        <w:pStyle w:val="Heading2"/>
      </w:pPr>
      <w:bookmarkStart w:id="1777" w:name="_Toc10095289"/>
      <w:bookmarkStart w:id="1778" w:name="_Toc10192458"/>
      <w:bookmarkStart w:id="1779" w:name="_Toc10206773"/>
      <w:bookmarkStart w:id="1780" w:name="_Toc10213359"/>
      <w:bookmarkStart w:id="1781" w:name="_Toc10732383"/>
      <w:bookmarkStart w:id="1782" w:name="_Toc10796942"/>
      <w:bookmarkStart w:id="1783" w:name="_Toc12022827"/>
      <w:bookmarkStart w:id="1784" w:name="_Toc12630657"/>
      <w:bookmarkStart w:id="1785" w:name="_Toc16154517"/>
      <w:bookmarkStart w:id="1786" w:name="_Toc22196879"/>
      <w:r w:rsidRPr="004B7CC1">
        <w:t>Monitoring protocol</w:t>
      </w:r>
      <w:bookmarkEnd w:id="1777"/>
      <w:bookmarkEnd w:id="1778"/>
      <w:bookmarkEnd w:id="1779"/>
      <w:bookmarkEnd w:id="1780"/>
      <w:bookmarkEnd w:id="1781"/>
      <w:bookmarkEnd w:id="1782"/>
      <w:bookmarkEnd w:id="1783"/>
      <w:bookmarkEnd w:id="1784"/>
      <w:bookmarkEnd w:id="1785"/>
      <w:bookmarkEnd w:id="1786"/>
    </w:p>
    <w:p w14:paraId="3F67CE13" w14:textId="77777777" w:rsidR="00210F6D" w:rsidRPr="00162342" w:rsidRDefault="00210F6D" w:rsidP="00210F6D">
      <w:pPr>
        <w:pStyle w:val="Heading3"/>
      </w:pPr>
      <w:bookmarkStart w:id="1787" w:name="_Toc10095290"/>
      <w:bookmarkStart w:id="1788" w:name="_Toc10192459"/>
      <w:bookmarkStart w:id="1789" w:name="_Toc10206774"/>
      <w:bookmarkStart w:id="1790" w:name="_Toc10213360"/>
      <w:bookmarkStart w:id="1791" w:name="_Toc10732384"/>
      <w:bookmarkStart w:id="1792" w:name="_Toc10796943"/>
      <w:bookmarkStart w:id="1793" w:name="_Toc12022828"/>
      <w:bookmarkStart w:id="1794" w:name="_Toc12630658"/>
      <w:bookmarkStart w:id="1795" w:name="_Toc16154518"/>
      <w:bookmarkStart w:id="1796" w:name="_Toc22196880"/>
      <w:r>
        <w:t>Vegetation surveying protocol</w:t>
      </w:r>
      <w:bookmarkEnd w:id="1787"/>
      <w:bookmarkEnd w:id="1788"/>
      <w:bookmarkEnd w:id="1789"/>
      <w:bookmarkEnd w:id="1790"/>
      <w:bookmarkEnd w:id="1791"/>
      <w:bookmarkEnd w:id="1792"/>
      <w:bookmarkEnd w:id="1793"/>
      <w:bookmarkEnd w:id="1794"/>
      <w:bookmarkEnd w:id="1795"/>
      <w:bookmarkEnd w:id="1796"/>
    </w:p>
    <w:p w14:paraId="250C2579" w14:textId="77777777" w:rsidR="004E3EFB" w:rsidRDefault="004E3EFB" w:rsidP="004E3EFB">
      <w:pPr>
        <w:rPr>
          <w:rFonts w:cstheme="minorHAnsi"/>
        </w:rPr>
      </w:pPr>
      <w:r>
        <w:rPr>
          <w:rFonts w:cstheme="minorHAnsi"/>
        </w:rPr>
        <w:t xml:space="preserve">A minimum of five transects will be established at each location and quadrat dimensions will be 1 x 15 m, split into 15 1 x 1 m cells to determine species frequency in each quadrat. Quadrat placement and numbers will be determined by, magnitude and duration of flow and delivery of Commonwealth environmental water. Quadrats with these dimensions, using frequency as a surrogate for abundance have been used extensively throughout the lower Murray and shown to be effective in detecting differences in floodplain plant communities </w:t>
      </w:r>
      <w:r w:rsidRPr="003A72CB">
        <w:rPr>
          <w:rFonts w:cstheme="minorHAnsi"/>
        </w:rPr>
        <w:t>(</w:t>
      </w:r>
      <w:r>
        <w:rPr>
          <w:rFonts w:cstheme="minorHAnsi"/>
        </w:rPr>
        <w:t xml:space="preserve">e.g. </w:t>
      </w:r>
      <w:r w:rsidRPr="003A72CB">
        <w:rPr>
          <w:rFonts w:cstheme="minorHAnsi"/>
        </w:rPr>
        <w:t xml:space="preserve">Nicol </w:t>
      </w:r>
      <w:r w:rsidRPr="00424124">
        <w:rPr>
          <w:rFonts w:cstheme="minorHAnsi"/>
          <w:i/>
        </w:rPr>
        <w:t>et al.</w:t>
      </w:r>
      <w:r>
        <w:rPr>
          <w:rFonts w:cstheme="minorHAnsi"/>
        </w:rPr>
        <w:t xml:space="preserve"> 2013;</w:t>
      </w:r>
      <w:r w:rsidRPr="003A72CB">
        <w:rPr>
          <w:rFonts w:cstheme="minorHAnsi"/>
        </w:rPr>
        <w:t xml:space="preserve"> Nicol </w:t>
      </w:r>
      <w:r w:rsidRPr="00424124">
        <w:rPr>
          <w:rFonts w:cstheme="minorHAnsi"/>
          <w:i/>
        </w:rPr>
        <w:t>et al.</w:t>
      </w:r>
      <w:r w:rsidRPr="003A72CB">
        <w:rPr>
          <w:rFonts w:cstheme="minorHAnsi"/>
        </w:rPr>
        <w:t xml:space="preserve"> 2018)</w:t>
      </w:r>
      <w:r>
        <w:rPr>
          <w:rFonts w:cstheme="minorHAnsi"/>
        </w:rPr>
        <w:t xml:space="preserve">. Furthermore, it will allow comparison with other data sets and enable data to be used to assess DEW targets. Above ground biomass will also be measured in each quadrat by harvesting a fixed area with the area determined by the biomass present (i.e. a smaller area will be harvested from quadrats with high biomass). </w:t>
      </w:r>
    </w:p>
    <w:p w14:paraId="5D79D8BB" w14:textId="77777777" w:rsidR="00210F6D" w:rsidRPr="00A66F53" w:rsidRDefault="00210F6D" w:rsidP="00210F6D">
      <w:pPr>
        <w:pStyle w:val="Heading4"/>
        <w:rPr>
          <w:szCs w:val="24"/>
        </w:rPr>
      </w:pPr>
      <w:r w:rsidRPr="00A66F53">
        <w:t>Equipment</w:t>
      </w:r>
    </w:p>
    <w:p w14:paraId="267C6EDA" w14:textId="77777777" w:rsidR="00210F6D" w:rsidRDefault="00210F6D" w:rsidP="00C77254">
      <w:pPr>
        <w:pStyle w:val="ListParagraph"/>
        <w:numPr>
          <w:ilvl w:val="0"/>
          <w:numId w:val="43"/>
        </w:numPr>
        <w:ind w:left="765" w:hanging="357"/>
        <w:rPr>
          <w:bCs/>
          <w:szCs w:val="22"/>
        </w:rPr>
      </w:pPr>
      <w:r w:rsidRPr="00717B78">
        <w:rPr>
          <w:bCs/>
          <w:szCs w:val="22"/>
        </w:rPr>
        <w:t>Measuring tapes</w:t>
      </w:r>
    </w:p>
    <w:p w14:paraId="0EB570C6" w14:textId="77777777" w:rsidR="00210F6D" w:rsidRDefault="00210F6D" w:rsidP="00C77254">
      <w:pPr>
        <w:pStyle w:val="ListParagraph"/>
        <w:numPr>
          <w:ilvl w:val="0"/>
          <w:numId w:val="43"/>
        </w:numPr>
        <w:ind w:left="765" w:hanging="357"/>
        <w:rPr>
          <w:bCs/>
          <w:szCs w:val="22"/>
        </w:rPr>
      </w:pPr>
      <w:r>
        <w:rPr>
          <w:bCs/>
          <w:szCs w:val="22"/>
        </w:rPr>
        <w:t>GPS</w:t>
      </w:r>
    </w:p>
    <w:p w14:paraId="61B40BA8" w14:textId="77777777" w:rsidR="00210F6D" w:rsidRDefault="00210F6D" w:rsidP="00C77254">
      <w:pPr>
        <w:pStyle w:val="ListParagraph"/>
        <w:numPr>
          <w:ilvl w:val="0"/>
          <w:numId w:val="43"/>
        </w:numPr>
        <w:ind w:left="765" w:hanging="357"/>
        <w:rPr>
          <w:bCs/>
          <w:szCs w:val="22"/>
        </w:rPr>
      </w:pPr>
      <w:r>
        <w:rPr>
          <w:bCs/>
          <w:szCs w:val="22"/>
        </w:rPr>
        <w:lastRenderedPageBreak/>
        <w:t>Dumpy or laser level</w:t>
      </w:r>
    </w:p>
    <w:p w14:paraId="533020EB" w14:textId="77777777" w:rsidR="00210F6D" w:rsidRDefault="00210F6D" w:rsidP="00C77254">
      <w:pPr>
        <w:pStyle w:val="ListParagraph"/>
        <w:numPr>
          <w:ilvl w:val="0"/>
          <w:numId w:val="43"/>
        </w:numPr>
        <w:ind w:left="765" w:hanging="357"/>
        <w:rPr>
          <w:bCs/>
          <w:szCs w:val="22"/>
        </w:rPr>
      </w:pPr>
      <w:r>
        <w:rPr>
          <w:bCs/>
          <w:szCs w:val="22"/>
        </w:rPr>
        <w:t>Quadrats</w:t>
      </w:r>
    </w:p>
    <w:p w14:paraId="786BBEFE" w14:textId="77777777" w:rsidR="00210F6D" w:rsidRDefault="00210F6D" w:rsidP="00C77254">
      <w:pPr>
        <w:pStyle w:val="ListParagraph"/>
        <w:numPr>
          <w:ilvl w:val="0"/>
          <w:numId w:val="43"/>
        </w:numPr>
        <w:ind w:left="765" w:hanging="357"/>
        <w:rPr>
          <w:bCs/>
          <w:szCs w:val="22"/>
        </w:rPr>
      </w:pPr>
      <w:r>
        <w:rPr>
          <w:bCs/>
          <w:szCs w:val="22"/>
        </w:rPr>
        <w:t>Battery operated hedge clippers for biomass harvests</w:t>
      </w:r>
    </w:p>
    <w:p w14:paraId="588B1E7E" w14:textId="77777777" w:rsidR="00210F6D" w:rsidRDefault="00210F6D" w:rsidP="00C77254">
      <w:pPr>
        <w:pStyle w:val="ListParagraph"/>
        <w:numPr>
          <w:ilvl w:val="0"/>
          <w:numId w:val="43"/>
        </w:numPr>
        <w:ind w:left="765" w:hanging="357"/>
        <w:rPr>
          <w:bCs/>
          <w:szCs w:val="22"/>
        </w:rPr>
      </w:pPr>
      <w:r>
        <w:rPr>
          <w:bCs/>
          <w:szCs w:val="22"/>
        </w:rPr>
        <w:t>Paper bags</w:t>
      </w:r>
    </w:p>
    <w:p w14:paraId="6C1DAA4D" w14:textId="77777777" w:rsidR="00210F6D" w:rsidRPr="00BF3CD0" w:rsidRDefault="00210F6D" w:rsidP="00C77254">
      <w:pPr>
        <w:pStyle w:val="ListParagraph"/>
        <w:numPr>
          <w:ilvl w:val="0"/>
          <w:numId w:val="43"/>
        </w:numPr>
        <w:ind w:left="765" w:hanging="357"/>
        <w:rPr>
          <w:bCs/>
          <w:szCs w:val="22"/>
        </w:rPr>
      </w:pPr>
      <w:r>
        <w:rPr>
          <w:bCs/>
          <w:szCs w:val="22"/>
        </w:rPr>
        <w:t>Marker pens</w:t>
      </w:r>
    </w:p>
    <w:p w14:paraId="491B46B4" w14:textId="77777777" w:rsidR="00210F6D" w:rsidRPr="001F6FDA" w:rsidRDefault="00210F6D" w:rsidP="00C77254">
      <w:pPr>
        <w:pStyle w:val="ListParagraph"/>
        <w:numPr>
          <w:ilvl w:val="0"/>
          <w:numId w:val="43"/>
        </w:numPr>
        <w:ind w:left="765" w:hanging="357"/>
        <w:rPr>
          <w:b/>
          <w:bCs/>
          <w:i/>
          <w:sz w:val="24"/>
        </w:rPr>
      </w:pPr>
      <w:r>
        <w:rPr>
          <w:bCs/>
        </w:rPr>
        <w:t>Field data sheets.</w:t>
      </w:r>
    </w:p>
    <w:p w14:paraId="3674559C" w14:textId="77777777" w:rsidR="00210F6D" w:rsidRPr="00A66F53" w:rsidRDefault="00210F6D" w:rsidP="00210F6D">
      <w:pPr>
        <w:pStyle w:val="Heading4"/>
      </w:pPr>
      <w:r w:rsidRPr="00A66F53">
        <w:t>Protocol</w:t>
      </w:r>
    </w:p>
    <w:p w14:paraId="280522EE" w14:textId="77777777" w:rsidR="00210F6D" w:rsidRDefault="00210F6D" w:rsidP="00CB75AF">
      <w:pPr>
        <w:pStyle w:val="ListParagraph"/>
        <w:numPr>
          <w:ilvl w:val="0"/>
          <w:numId w:val="59"/>
        </w:numPr>
        <w:ind w:left="584" w:hanging="357"/>
        <w:rPr>
          <w:bCs/>
          <w:szCs w:val="22"/>
        </w:rPr>
      </w:pPr>
      <w:r>
        <w:rPr>
          <w:bCs/>
          <w:szCs w:val="22"/>
        </w:rPr>
        <w:t>Transect locations will be determined in year 1 of the project</w:t>
      </w:r>
      <w:r w:rsidRPr="001459C3">
        <w:rPr>
          <w:bCs/>
          <w:szCs w:val="22"/>
        </w:rPr>
        <w:t xml:space="preserve">. </w:t>
      </w:r>
    </w:p>
    <w:p w14:paraId="6819D575" w14:textId="77777777" w:rsidR="00210F6D" w:rsidRDefault="00210F6D" w:rsidP="00CB75AF">
      <w:pPr>
        <w:pStyle w:val="ListParagraph"/>
        <w:numPr>
          <w:ilvl w:val="0"/>
          <w:numId w:val="59"/>
        </w:numPr>
        <w:ind w:left="584" w:hanging="357"/>
        <w:rPr>
          <w:bCs/>
          <w:szCs w:val="22"/>
        </w:rPr>
      </w:pPr>
      <w:r>
        <w:rPr>
          <w:bCs/>
          <w:szCs w:val="22"/>
        </w:rPr>
        <w:t>Extent of inundation determined and quadrat locations along the transects determined by either flood inundation modelling or elevations corresponding to different inundation durations.</w:t>
      </w:r>
    </w:p>
    <w:p w14:paraId="421ED0E8" w14:textId="77777777" w:rsidR="00210F6D" w:rsidRDefault="00210F6D" w:rsidP="00CB75AF">
      <w:pPr>
        <w:pStyle w:val="ListParagraph"/>
        <w:numPr>
          <w:ilvl w:val="0"/>
          <w:numId w:val="59"/>
        </w:numPr>
        <w:ind w:left="584" w:hanging="357"/>
        <w:rPr>
          <w:bCs/>
          <w:szCs w:val="22"/>
        </w:rPr>
      </w:pPr>
      <w:r>
        <w:rPr>
          <w:bCs/>
          <w:szCs w:val="22"/>
        </w:rPr>
        <w:t>Quadrat boundaries established using measuring tapes and vegetation survey data collected.</w:t>
      </w:r>
    </w:p>
    <w:p w14:paraId="3341213C" w14:textId="77777777" w:rsidR="00210F6D" w:rsidRDefault="00210F6D" w:rsidP="00CB75AF">
      <w:pPr>
        <w:pStyle w:val="ListParagraph"/>
        <w:numPr>
          <w:ilvl w:val="0"/>
          <w:numId w:val="59"/>
        </w:numPr>
        <w:ind w:left="584" w:hanging="357"/>
        <w:rPr>
          <w:bCs/>
          <w:szCs w:val="22"/>
        </w:rPr>
      </w:pPr>
      <w:r>
        <w:rPr>
          <w:bCs/>
          <w:szCs w:val="22"/>
        </w:rPr>
        <w:t>Biomass harvest area selected and all above ground material collected and placed in paper bag(s).</w:t>
      </w:r>
    </w:p>
    <w:p w14:paraId="64A4C32D" w14:textId="77777777" w:rsidR="00210F6D" w:rsidRDefault="00210F6D" w:rsidP="00CB75AF">
      <w:pPr>
        <w:pStyle w:val="ListParagraph"/>
        <w:numPr>
          <w:ilvl w:val="0"/>
          <w:numId w:val="59"/>
        </w:numPr>
        <w:ind w:left="584" w:hanging="357"/>
        <w:rPr>
          <w:bCs/>
          <w:szCs w:val="22"/>
        </w:rPr>
      </w:pPr>
      <w:r>
        <w:rPr>
          <w:bCs/>
          <w:szCs w:val="22"/>
        </w:rPr>
        <w:t>Harvested material dried at 40</w:t>
      </w:r>
      <w:r>
        <w:rPr>
          <w:rFonts w:cstheme="minorHAnsi"/>
          <w:bCs/>
          <w:szCs w:val="22"/>
        </w:rPr>
        <w:t>°</w:t>
      </w:r>
      <w:r>
        <w:rPr>
          <w:bCs/>
          <w:szCs w:val="22"/>
        </w:rPr>
        <w:t xml:space="preserve"> C to a constant weight and weighed to determine above ground biomass.</w:t>
      </w:r>
    </w:p>
    <w:p w14:paraId="1FE08106" w14:textId="77777777" w:rsidR="00210F6D" w:rsidRDefault="00210F6D" w:rsidP="00210F6D">
      <w:pPr>
        <w:pStyle w:val="Heading3"/>
      </w:pPr>
      <w:bookmarkStart w:id="1797" w:name="_Toc10095291"/>
      <w:bookmarkStart w:id="1798" w:name="_Toc10192460"/>
      <w:bookmarkStart w:id="1799" w:name="_Toc10206775"/>
      <w:bookmarkStart w:id="1800" w:name="_Toc10213361"/>
      <w:bookmarkStart w:id="1801" w:name="_Toc10732385"/>
      <w:bookmarkStart w:id="1802" w:name="_Toc10796944"/>
      <w:bookmarkStart w:id="1803" w:name="_Toc12022829"/>
      <w:bookmarkStart w:id="1804" w:name="_Toc12630659"/>
      <w:bookmarkStart w:id="1805" w:name="_Toc16154519"/>
      <w:bookmarkStart w:id="1806" w:name="_Toc22196881"/>
      <w:r w:rsidRPr="00162342">
        <w:t>Covariates</w:t>
      </w:r>
      <w:bookmarkEnd w:id="1797"/>
      <w:bookmarkEnd w:id="1798"/>
      <w:bookmarkEnd w:id="1799"/>
      <w:bookmarkEnd w:id="1800"/>
      <w:bookmarkEnd w:id="1801"/>
      <w:bookmarkEnd w:id="1802"/>
      <w:bookmarkEnd w:id="1803"/>
      <w:bookmarkEnd w:id="1804"/>
      <w:bookmarkEnd w:id="1805"/>
      <w:bookmarkEnd w:id="1806"/>
    </w:p>
    <w:p w14:paraId="02C27755" w14:textId="77777777" w:rsidR="00210F6D" w:rsidRDefault="00210F6D" w:rsidP="00210F6D">
      <w:pPr>
        <w:ind w:firstLine="1"/>
        <w:rPr>
          <w:bCs/>
        </w:rPr>
      </w:pPr>
      <w:r w:rsidRPr="00BC04E0">
        <w:rPr>
          <w:bCs/>
        </w:rPr>
        <w:t>Water level (m AHD, relative to the Australian Height Datum) from the closest gauging station will be obtained from the DEW Surface Water Archive (www.waterconnect.sa.gov.au).</w:t>
      </w:r>
    </w:p>
    <w:p w14:paraId="7968BB89" w14:textId="77777777" w:rsidR="00210F6D" w:rsidRPr="004B7CC1" w:rsidRDefault="00210F6D" w:rsidP="00210F6D">
      <w:pPr>
        <w:pStyle w:val="Heading2"/>
      </w:pPr>
      <w:bookmarkStart w:id="1807" w:name="_Toc10095292"/>
      <w:bookmarkStart w:id="1808" w:name="_Toc10192461"/>
      <w:bookmarkStart w:id="1809" w:name="_Toc10206776"/>
      <w:bookmarkStart w:id="1810" w:name="_Toc10213362"/>
      <w:bookmarkStart w:id="1811" w:name="_Toc10732386"/>
      <w:bookmarkStart w:id="1812" w:name="_Toc10796945"/>
      <w:bookmarkStart w:id="1813" w:name="_Toc12022830"/>
      <w:bookmarkStart w:id="1814" w:name="_Toc12630660"/>
      <w:bookmarkStart w:id="1815" w:name="_Toc16154520"/>
      <w:bookmarkStart w:id="1816" w:name="_Toc22196882"/>
      <w:r w:rsidRPr="004B7CC1">
        <w:t xml:space="preserve">Data analysis and </w:t>
      </w:r>
      <w:r>
        <w:t>evaluation</w:t>
      </w:r>
      <w:bookmarkEnd w:id="1807"/>
      <w:bookmarkEnd w:id="1808"/>
      <w:bookmarkEnd w:id="1809"/>
      <w:bookmarkEnd w:id="1810"/>
      <w:bookmarkEnd w:id="1811"/>
      <w:bookmarkEnd w:id="1812"/>
      <w:bookmarkEnd w:id="1813"/>
      <w:bookmarkEnd w:id="1814"/>
      <w:bookmarkEnd w:id="1815"/>
      <w:bookmarkEnd w:id="1816"/>
    </w:p>
    <w:p w14:paraId="41EF77CC" w14:textId="3607C83A" w:rsidR="00210F6D" w:rsidRDefault="00210F6D" w:rsidP="00210F6D">
      <w:pPr>
        <w:ind w:left="1"/>
        <w:rPr>
          <w:bCs/>
        </w:rPr>
      </w:pPr>
      <w:r>
        <w:rPr>
          <w:bCs/>
        </w:rPr>
        <w:t>Species abundances will be expressed as a frequency (0</w:t>
      </w:r>
      <w:r>
        <w:rPr>
          <w:rFonts w:cstheme="minorHAnsi"/>
          <w:bCs/>
        </w:rPr>
        <w:t>–</w:t>
      </w:r>
      <w:r>
        <w:rPr>
          <w:bCs/>
        </w:rPr>
        <w:t>15) within each quadrat and above ground biomass g dry weight m</w:t>
      </w:r>
      <w:r w:rsidRPr="00717B78">
        <w:rPr>
          <w:bCs/>
          <w:vertAlign w:val="superscript"/>
        </w:rPr>
        <w:t>-2</w:t>
      </w:r>
      <w:r>
        <w:rPr>
          <w:bCs/>
        </w:rPr>
        <w:t>. Comparisons of the floristic composition over the elevation gradient will be analysed using multivariate statistics (NMDS ordination, Clustering, PERMANOVA and Indicator Species Analysis). Species richness and biomass will also be compared over the elevation gradien</w:t>
      </w:r>
      <w:r w:rsidR="003E37F9">
        <w:rPr>
          <w:bCs/>
        </w:rPr>
        <w:t>t to evaluate the benefit of Commonwealth environmental water</w:t>
      </w:r>
      <w:r>
        <w:rPr>
          <w:bCs/>
        </w:rPr>
        <w:t>.</w:t>
      </w:r>
    </w:p>
    <w:p w14:paraId="383ABD8C" w14:textId="77777777" w:rsidR="00210F6D" w:rsidRPr="00992869" w:rsidRDefault="00210F6D" w:rsidP="00210F6D">
      <w:pPr>
        <w:pStyle w:val="Heading2"/>
      </w:pPr>
      <w:bookmarkStart w:id="1817" w:name="_Toc10095293"/>
      <w:bookmarkStart w:id="1818" w:name="_Toc10192462"/>
      <w:bookmarkStart w:id="1819" w:name="_Toc10206777"/>
      <w:bookmarkStart w:id="1820" w:name="_Toc10213363"/>
      <w:bookmarkStart w:id="1821" w:name="_Toc10732387"/>
      <w:bookmarkStart w:id="1822" w:name="_Toc10796946"/>
      <w:bookmarkStart w:id="1823" w:name="_Toc12022831"/>
      <w:bookmarkStart w:id="1824" w:name="_Toc12630661"/>
      <w:bookmarkStart w:id="1825" w:name="_Toc16154521"/>
      <w:bookmarkStart w:id="1826" w:name="_Toc22196883"/>
      <w:r w:rsidRPr="00992869">
        <w:t>Data management</w:t>
      </w:r>
      <w:bookmarkEnd w:id="1817"/>
      <w:bookmarkEnd w:id="1818"/>
      <w:bookmarkEnd w:id="1819"/>
      <w:bookmarkEnd w:id="1820"/>
      <w:bookmarkEnd w:id="1821"/>
      <w:bookmarkEnd w:id="1822"/>
      <w:bookmarkEnd w:id="1823"/>
      <w:bookmarkEnd w:id="1824"/>
      <w:bookmarkEnd w:id="1825"/>
      <w:bookmarkEnd w:id="1826"/>
    </w:p>
    <w:p w14:paraId="3C8B1F08" w14:textId="2B4CD970" w:rsidR="009E6C53" w:rsidRDefault="009E6C53" w:rsidP="009E6C53">
      <w:bookmarkStart w:id="1827" w:name="_Toc10095295"/>
      <w:bookmarkStart w:id="1828" w:name="_Toc10192464"/>
      <w:r w:rsidRPr="00992869">
        <w:t>See Section</w:t>
      </w:r>
      <w:r>
        <w:t xml:space="preserve"> </w:t>
      </w:r>
      <w:r>
        <w:fldChar w:fldCharType="begin"/>
      </w:r>
      <w:r>
        <w:instrText xml:space="preserve"> REF _Ref10196755 \r \h </w:instrText>
      </w:r>
      <w:r>
        <w:fldChar w:fldCharType="separate"/>
      </w:r>
      <w:r w:rsidR="00DF49CD">
        <w:t>11</w:t>
      </w:r>
      <w:r>
        <w:fldChar w:fldCharType="end"/>
      </w:r>
      <w:r>
        <w:t xml:space="preserve"> </w:t>
      </w:r>
      <w:r w:rsidRPr="002E3EEF">
        <w:rPr>
          <w:rFonts w:cstheme="minorHAnsi"/>
          <w:szCs w:val="22"/>
        </w:rPr>
        <w:t xml:space="preserve">in the </w:t>
      </w:r>
      <w:r>
        <w:rPr>
          <w:rFonts w:cstheme="minorHAnsi"/>
          <w:szCs w:val="22"/>
        </w:rPr>
        <w:t>MER</w:t>
      </w:r>
      <w:r w:rsidRPr="002E3EEF">
        <w:rPr>
          <w:rFonts w:cstheme="minorHAnsi"/>
          <w:szCs w:val="22"/>
        </w:rPr>
        <w:t xml:space="preserve"> Plan</w:t>
      </w:r>
      <w:r>
        <w:rPr>
          <w:rFonts w:cstheme="minorHAnsi"/>
          <w:szCs w:val="22"/>
        </w:rPr>
        <w:t xml:space="preserve"> for data management procedures</w:t>
      </w:r>
      <w:r w:rsidRPr="00992869">
        <w:t>.</w:t>
      </w:r>
      <w:r>
        <w:t xml:space="preserve"> </w:t>
      </w:r>
      <w:r w:rsidR="00623CFF">
        <w:t xml:space="preserve">The data </w:t>
      </w:r>
      <w:r w:rsidR="00623CFF" w:rsidRPr="000E285D">
        <w:t>templates for</w:t>
      </w:r>
      <w:r w:rsidR="00623CFF" w:rsidRPr="0070750B">
        <w:t xml:space="preserve"> </w:t>
      </w:r>
      <w:r w:rsidR="00623CFF" w:rsidRPr="009F6E46">
        <w:t xml:space="preserve">Category 3 (Selected Area) indicators </w:t>
      </w:r>
      <w:r w:rsidR="00623CFF">
        <w:t>will be</w:t>
      </w:r>
      <w:r w:rsidR="00623CFF" w:rsidRPr="009F6E46">
        <w:t xml:space="preserve"> developed</w:t>
      </w:r>
      <w:r w:rsidR="00623CFF">
        <w:t xml:space="preserve"> by the Selected Area,</w:t>
      </w:r>
      <w:r w:rsidR="00623CFF" w:rsidRPr="009F6E46">
        <w:t xml:space="preserve"> in consultation with CEWO</w:t>
      </w:r>
      <w:r w:rsidR="00623CFF">
        <w:t>,</w:t>
      </w:r>
      <w:r w:rsidR="00623CFF" w:rsidRPr="009F6E46">
        <w:t xml:space="preserve"> and </w:t>
      </w:r>
      <w:r w:rsidR="00623CFF">
        <w:t xml:space="preserve">will </w:t>
      </w:r>
      <w:r w:rsidR="00623CFF" w:rsidRPr="009F6E46">
        <w:t>conform to data standards</w:t>
      </w:r>
      <w:r w:rsidR="00623CFF">
        <w:t xml:space="preserve">. The proposed template for </w:t>
      </w:r>
      <w:r w:rsidR="00623CFF">
        <w:rPr>
          <w:i/>
        </w:rPr>
        <w:t>Littoral Vegetation Diversity and Productivity</w:t>
      </w:r>
      <w:r w:rsidR="00623CFF">
        <w:t xml:space="preserve"> is provided below</w:t>
      </w:r>
      <w:r w:rsidR="00623CFF" w:rsidRPr="009F6E46">
        <w:t>.</w:t>
      </w:r>
    </w:p>
    <w:tbl>
      <w:tblPr>
        <w:tblStyle w:val="TableGrid"/>
        <w:tblW w:w="9212" w:type="dxa"/>
        <w:tblLayout w:type="fixed"/>
        <w:tblLook w:val="04A0" w:firstRow="1" w:lastRow="0" w:firstColumn="1" w:lastColumn="0" w:noHBand="0" w:noVBand="1"/>
      </w:tblPr>
      <w:tblGrid>
        <w:gridCol w:w="1951"/>
        <w:gridCol w:w="3119"/>
        <w:gridCol w:w="1275"/>
        <w:gridCol w:w="709"/>
        <w:gridCol w:w="851"/>
        <w:gridCol w:w="1307"/>
      </w:tblGrid>
      <w:tr w:rsidR="00DA312A" w:rsidRPr="00CC474D" w14:paraId="759C5457" w14:textId="77777777" w:rsidTr="0050053E">
        <w:trPr>
          <w:cantSplit/>
          <w:tblHeader/>
        </w:trPr>
        <w:tc>
          <w:tcPr>
            <w:tcW w:w="1951" w:type="dxa"/>
            <w:shd w:val="clear" w:color="auto" w:fill="BFBFBF" w:themeFill="background1" w:themeFillShade="BF"/>
            <w:vAlign w:val="center"/>
            <w:hideMark/>
          </w:tcPr>
          <w:p w14:paraId="57507820" w14:textId="77777777" w:rsidR="00DA312A" w:rsidRPr="00CC474D" w:rsidRDefault="00DA312A" w:rsidP="0050053E">
            <w:pPr>
              <w:pStyle w:val="TableHeading"/>
              <w:rPr>
                <w:rFonts w:cstheme="minorHAnsi"/>
                <w:szCs w:val="20"/>
              </w:rPr>
            </w:pPr>
            <w:r w:rsidRPr="00CC474D">
              <w:rPr>
                <w:rFonts w:cstheme="minorHAnsi"/>
                <w:szCs w:val="20"/>
              </w:rPr>
              <w:t>Variable</w:t>
            </w:r>
          </w:p>
        </w:tc>
        <w:tc>
          <w:tcPr>
            <w:tcW w:w="3119" w:type="dxa"/>
            <w:shd w:val="clear" w:color="auto" w:fill="BFBFBF" w:themeFill="background1" w:themeFillShade="BF"/>
            <w:vAlign w:val="center"/>
            <w:hideMark/>
          </w:tcPr>
          <w:p w14:paraId="451D42EF" w14:textId="77777777" w:rsidR="00DA312A" w:rsidRPr="00CC474D" w:rsidRDefault="00DA312A" w:rsidP="0050053E">
            <w:pPr>
              <w:pStyle w:val="TableHeading"/>
              <w:rPr>
                <w:rFonts w:cstheme="minorHAnsi"/>
                <w:szCs w:val="20"/>
              </w:rPr>
            </w:pPr>
            <w:r w:rsidRPr="00CC474D">
              <w:rPr>
                <w:rFonts w:cstheme="minorHAnsi"/>
                <w:szCs w:val="20"/>
              </w:rPr>
              <w:t>Description</w:t>
            </w:r>
          </w:p>
        </w:tc>
        <w:tc>
          <w:tcPr>
            <w:tcW w:w="1275" w:type="dxa"/>
            <w:shd w:val="clear" w:color="auto" w:fill="BFBFBF" w:themeFill="background1" w:themeFillShade="BF"/>
            <w:vAlign w:val="center"/>
            <w:hideMark/>
          </w:tcPr>
          <w:p w14:paraId="0E9DA677" w14:textId="77777777" w:rsidR="00DA312A" w:rsidRPr="00CC474D" w:rsidRDefault="00DA312A" w:rsidP="0050053E">
            <w:pPr>
              <w:pStyle w:val="TableHeading"/>
              <w:rPr>
                <w:rFonts w:cstheme="minorHAnsi"/>
                <w:szCs w:val="20"/>
              </w:rPr>
            </w:pPr>
            <w:r w:rsidRPr="00CC474D">
              <w:rPr>
                <w:rFonts w:cstheme="minorHAnsi"/>
                <w:szCs w:val="20"/>
              </w:rPr>
              <w:t>Type</w:t>
            </w:r>
          </w:p>
        </w:tc>
        <w:tc>
          <w:tcPr>
            <w:tcW w:w="709" w:type="dxa"/>
            <w:shd w:val="clear" w:color="auto" w:fill="BFBFBF" w:themeFill="background1" w:themeFillShade="BF"/>
            <w:vAlign w:val="center"/>
            <w:hideMark/>
          </w:tcPr>
          <w:p w14:paraId="5107DC53" w14:textId="77777777" w:rsidR="00DA312A" w:rsidRPr="00CC474D" w:rsidRDefault="00DA312A" w:rsidP="0050053E">
            <w:pPr>
              <w:pStyle w:val="TableHeading"/>
              <w:rPr>
                <w:rFonts w:cstheme="minorHAnsi"/>
                <w:szCs w:val="20"/>
              </w:rPr>
            </w:pPr>
            <w:r w:rsidRPr="00CC474D">
              <w:rPr>
                <w:rFonts w:cstheme="minorHAnsi"/>
                <w:szCs w:val="20"/>
              </w:rPr>
              <w:t>Req</w:t>
            </w:r>
          </w:p>
        </w:tc>
        <w:tc>
          <w:tcPr>
            <w:tcW w:w="851" w:type="dxa"/>
            <w:shd w:val="clear" w:color="auto" w:fill="BFBFBF" w:themeFill="background1" w:themeFillShade="BF"/>
            <w:vAlign w:val="center"/>
            <w:hideMark/>
          </w:tcPr>
          <w:p w14:paraId="359C45BA" w14:textId="77777777" w:rsidR="00DA312A" w:rsidRPr="00CC474D" w:rsidRDefault="00DA312A" w:rsidP="0050053E">
            <w:pPr>
              <w:pStyle w:val="TableHeading"/>
              <w:rPr>
                <w:rFonts w:cstheme="minorHAnsi"/>
                <w:szCs w:val="20"/>
              </w:rPr>
            </w:pPr>
            <w:r w:rsidRPr="00CC474D">
              <w:rPr>
                <w:rFonts w:cstheme="minorHAnsi"/>
                <w:szCs w:val="20"/>
              </w:rPr>
              <w:t>Range</w:t>
            </w:r>
          </w:p>
        </w:tc>
        <w:tc>
          <w:tcPr>
            <w:tcW w:w="1307" w:type="dxa"/>
            <w:shd w:val="clear" w:color="auto" w:fill="BFBFBF" w:themeFill="background1" w:themeFillShade="BF"/>
          </w:tcPr>
          <w:p w14:paraId="472BC7C9" w14:textId="77777777" w:rsidR="00DA312A" w:rsidRPr="00CC474D" w:rsidRDefault="00DA312A" w:rsidP="0050053E">
            <w:pPr>
              <w:pStyle w:val="TableHeading"/>
              <w:rPr>
                <w:rFonts w:cstheme="minorHAnsi"/>
                <w:szCs w:val="20"/>
              </w:rPr>
            </w:pPr>
            <w:r w:rsidRPr="00CC474D">
              <w:rPr>
                <w:rFonts w:cstheme="minorHAnsi"/>
                <w:szCs w:val="20"/>
              </w:rPr>
              <w:t>Example</w:t>
            </w:r>
          </w:p>
        </w:tc>
      </w:tr>
      <w:tr w:rsidR="00DA312A" w:rsidRPr="00CC474D" w14:paraId="74F7C358" w14:textId="77777777" w:rsidTr="0050053E">
        <w:trPr>
          <w:cantSplit/>
        </w:trPr>
        <w:tc>
          <w:tcPr>
            <w:tcW w:w="1951" w:type="dxa"/>
            <w:noWrap/>
            <w:hideMark/>
          </w:tcPr>
          <w:p w14:paraId="095C8425" w14:textId="5F916DF4" w:rsidR="00DA312A" w:rsidRPr="00CC474D" w:rsidRDefault="008747ED" w:rsidP="0050053E">
            <w:pPr>
              <w:rPr>
                <w:rFonts w:cstheme="minorHAnsi"/>
                <w:sz w:val="20"/>
              </w:rPr>
            </w:pPr>
            <w:r w:rsidRPr="00CC474D">
              <w:rPr>
                <w:rFonts w:cstheme="minorHAnsi"/>
                <w:sz w:val="20"/>
              </w:rPr>
              <w:t>samplePointName</w:t>
            </w:r>
          </w:p>
        </w:tc>
        <w:tc>
          <w:tcPr>
            <w:tcW w:w="3119" w:type="dxa"/>
            <w:hideMark/>
          </w:tcPr>
          <w:p w14:paraId="3D4640B4" w14:textId="77777777" w:rsidR="00DA312A" w:rsidRPr="00CC474D" w:rsidRDefault="00DA312A" w:rsidP="0050053E">
            <w:pPr>
              <w:pStyle w:val="TableText"/>
              <w:rPr>
                <w:rFonts w:cstheme="minorHAnsi"/>
                <w:iCs/>
                <w:szCs w:val="20"/>
              </w:rPr>
            </w:pPr>
            <w:r w:rsidRPr="00CC474D">
              <w:rPr>
                <w:rFonts w:cstheme="minorHAnsi"/>
                <w:color w:val="auto"/>
                <w:szCs w:val="20"/>
              </w:rPr>
              <w:t xml:space="preserve">a single reach of the Lower Murray River in either the </w:t>
            </w:r>
            <w:r w:rsidRPr="00CC474D">
              <w:rPr>
                <w:rFonts w:cstheme="minorHAnsi"/>
                <w:i/>
                <w:color w:val="auto"/>
                <w:szCs w:val="20"/>
              </w:rPr>
              <w:t>Gorge</w:t>
            </w:r>
            <w:r w:rsidRPr="00CC474D">
              <w:rPr>
                <w:rFonts w:cstheme="minorHAnsi"/>
                <w:color w:val="auto"/>
                <w:szCs w:val="20"/>
              </w:rPr>
              <w:t xml:space="preserve"> or </w:t>
            </w:r>
            <w:r w:rsidRPr="00CC474D">
              <w:rPr>
                <w:rFonts w:cstheme="minorHAnsi"/>
                <w:i/>
                <w:color w:val="auto"/>
                <w:szCs w:val="20"/>
              </w:rPr>
              <w:t>Floodplain</w:t>
            </w:r>
            <w:r w:rsidRPr="00CC474D">
              <w:rPr>
                <w:rFonts w:cstheme="minorHAnsi"/>
                <w:color w:val="auto"/>
                <w:szCs w:val="20"/>
              </w:rPr>
              <w:t xml:space="preserve"> zone represented by either a name or polygon within which observations are made</w:t>
            </w:r>
          </w:p>
        </w:tc>
        <w:tc>
          <w:tcPr>
            <w:tcW w:w="1275" w:type="dxa"/>
            <w:noWrap/>
            <w:hideMark/>
          </w:tcPr>
          <w:p w14:paraId="4B2D1B3F" w14:textId="77777777" w:rsidR="00DA312A" w:rsidRPr="00CC474D" w:rsidRDefault="00DA312A" w:rsidP="0050053E">
            <w:pPr>
              <w:rPr>
                <w:rFonts w:cstheme="minorHAnsi"/>
                <w:sz w:val="20"/>
              </w:rPr>
            </w:pPr>
            <w:r w:rsidRPr="00CC474D">
              <w:rPr>
                <w:rFonts w:cstheme="minorHAnsi"/>
                <w:sz w:val="20"/>
              </w:rPr>
              <w:t>String</w:t>
            </w:r>
          </w:p>
        </w:tc>
        <w:tc>
          <w:tcPr>
            <w:tcW w:w="709" w:type="dxa"/>
            <w:noWrap/>
            <w:hideMark/>
          </w:tcPr>
          <w:p w14:paraId="1C7B2245" w14:textId="77777777" w:rsidR="00DA312A" w:rsidRPr="00CC474D" w:rsidRDefault="00DA312A" w:rsidP="0050053E">
            <w:pPr>
              <w:rPr>
                <w:rFonts w:cstheme="minorHAnsi"/>
                <w:sz w:val="20"/>
              </w:rPr>
            </w:pPr>
            <w:r w:rsidRPr="00CC474D">
              <w:rPr>
                <w:rFonts w:cstheme="minorHAnsi"/>
                <w:sz w:val="20"/>
              </w:rPr>
              <w:t>Y</w:t>
            </w:r>
          </w:p>
        </w:tc>
        <w:tc>
          <w:tcPr>
            <w:tcW w:w="851" w:type="dxa"/>
            <w:noWrap/>
            <w:hideMark/>
          </w:tcPr>
          <w:p w14:paraId="3ADE7780" w14:textId="77777777" w:rsidR="00DA312A" w:rsidRPr="00CC474D" w:rsidRDefault="00DA312A" w:rsidP="0050053E">
            <w:pPr>
              <w:pStyle w:val="TableText"/>
              <w:rPr>
                <w:rFonts w:cstheme="minorHAnsi"/>
                <w:szCs w:val="20"/>
              </w:rPr>
            </w:pPr>
          </w:p>
        </w:tc>
        <w:tc>
          <w:tcPr>
            <w:tcW w:w="1307" w:type="dxa"/>
          </w:tcPr>
          <w:p w14:paraId="039B3974" w14:textId="338C80FC" w:rsidR="00DA312A" w:rsidRPr="00CC474D" w:rsidRDefault="008747ED" w:rsidP="0050053E">
            <w:pPr>
              <w:pStyle w:val="TableText"/>
              <w:rPr>
                <w:rFonts w:cstheme="minorHAnsi"/>
                <w:szCs w:val="20"/>
              </w:rPr>
            </w:pPr>
            <w:r w:rsidRPr="00CC474D">
              <w:rPr>
                <w:rFonts w:cstheme="minorHAnsi"/>
                <w:szCs w:val="20"/>
              </w:rPr>
              <w:t>LK6DS_616km</w:t>
            </w:r>
          </w:p>
        </w:tc>
      </w:tr>
      <w:tr w:rsidR="008747ED" w:rsidRPr="00CC474D" w14:paraId="5E404BBB" w14:textId="77777777" w:rsidTr="0050053E">
        <w:trPr>
          <w:cantSplit/>
        </w:trPr>
        <w:tc>
          <w:tcPr>
            <w:tcW w:w="1951" w:type="dxa"/>
            <w:hideMark/>
          </w:tcPr>
          <w:p w14:paraId="600E0D9D" w14:textId="0305D2E8" w:rsidR="008747ED" w:rsidRPr="00CC474D" w:rsidRDefault="008747ED" w:rsidP="008747ED">
            <w:pPr>
              <w:rPr>
                <w:rFonts w:cstheme="minorHAnsi"/>
                <w:sz w:val="20"/>
              </w:rPr>
            </w:pPr>
            <w:r w:rsidRPr="00CC474D">
              <w:rPr>
                <w:rFonts w:cstheme="minorHAnsi"/>
                <w:sz w:val="20"/>
              </w:rPr>
              <w:t>sampleDateStart</w:t>
            </w:r>
          </w:p>
        </w:tc>
        <w:tc>
          <w:tcPr>
            <w:tcW w:w="3119" w:type="dxa"/>
            <w:hideMark/>
          </w:tcPr>
          <w:p w14:paraId="162D299D" w14:textId="77777777" w:rsidR="008747ED" w:rsidRPr="00CC474D" w:rsidRDefault="008747ED" w:rsidP="008747ED">
            <w:pPr>
              <w:rPr>
                <w:rFonts w:cstheme="minorHAnsi"/>
                <w:sz w:val="20"/>
              </w:rPr>
            </w:pPr>
            <w:r w:rsidRPr="00CC474D">
              <w:rPr>
                <w:rFonts w:cstheme="minorHAnsi"/>
                <w:sz w:val="20"/>
              </w:rPr>
              <w:t>Start date (inclusive) that these measures were observed</w:t>
            </w:r>
          </w:p>
        </w:tc>
        <w:tc>
          <w:tcPr>
            <w:tcW w:w="1275" w:type="dxa"/>
            <w:hideMark/>
          </w:tcPr>
          <w:p w14:paraId="5DA21CE3" w14:textId="77777777" w:rsidR="008747ED" w:rsidRPr="00CC474D" w:rsidRDefault="008747ED" w:rsidP="008747ED">
            <w:pPr>
              <w:rPr>
                <w:rFonts w:cstheme="minorHAnsi"/>
                <w:sz w:val="20"/>
              </w:rPr>
            </w:pPr>
            <w:r w:rsidRPr="00CC474D">
              <w:rPr>
                <w:rFonts w:cstheme="minorHAnsi"/>
                <w:sz w:val="20"/>
              </w:rPr>
              <w:t>dateTime</w:t>
            </w:r>
          </w:p>
        </w:tc>
        <w:tc>
          <w:tcPr>
            <w:tcW w:w="709" w:type="dxa"/>
            <w:hideMark/>
          </w:tcPr>
          <w:p w14:paraId="2F3B1ACA" w14:textId="77777777" w:rsidR="008747ED" w:rsidRPr="00CC474D" w:rsidRDefault="008747ED" w:rsidP="008747ED">
            <w:pPr>
              <w:rPr>
                <w:rFonts w:cstheme="minorHAnsi"/>
                <w:sz w:val="20"/>
              </w:rPr>
            </w:pPr>
            <w:r w:rsidRPr="00CC474D">
              <w:rPr>
                <w:rFonts w:cstheme="minorHAnsi"/>
                <w:sz w:val="20"/>
              </w:rPr>
              <w:t>Y</w:t>
            </w:r>
          </w:p>
        </w:tc>
        <w:tc>
          <w:tcPr>
            <w:tcW w:w="851" w:type="dxa"/>
            <w:hideMark/>
          </w:tcPr>
          <w:p w14:paraId="097F878F" w14:textId="77777777" w:rsidR="008747ED" w:rsidRPr="00CC474D" w:rsidRDefault="008747ED" w:rsidP="008747ED">
            <w:pPr>
              <w:pStyle w:val="TableText"/>
              <w:rPr>
                <w:rFonts w:cstheme="minorHAnsi"/>
                <w:szCs w:val="20"/>
              </w:rPr>
            </w:pPr>
          </w:p>
        </w:tc>
        <w:tc>
          <w:tcPr>
            <w:tcW w:w="1307" w:type="dxa"/>
          </w:tcPr>
          <w:p w14:paraId="7C803A0F" w14:textId="0CBE089E" w:rsidR="008747ED" w:rsidRPr="00CC474D" w:rsidRDefault="008747ED" w:rsidP="008747ED">
            <w:pPr>
              <w:rPr>
                <w:rFonts w:cstheme="minorHAnsi"/>
                <w:sz w:val="20"/>
              </w:rPr>
            </w:pPr>
            <w:r w:rsidRPr="00CC474D">
              <w:rPr>
                <w:rFonts w:cstheme="minorHAnsi"/>
                <w:sz w:val="20"/>
              </w:rPr>
              <w:t>15/05/2019 11:35</w:t>
            </w:r>
          </w:p>
        </w:tc>
      </w:tr>
      <w:tr w:rsidR="008747ED" w:rsidRPr="00CC474D" w14:paraId="5A5F5C62" w14:textId="77777777" w:rsidTr="0050053E">
        <w:trPr>
          <w:cantSplit/>
        </w:trPr>
        <w:tc>
          <w:tcPr>
            <w:tcW w:w="1951" w:type="dxa"/>
            <w:hideMark/>
          </w:tcPr>
          <w:p w14:paraId="63A62F8E" w14:textId="2C557F2C" w:rsidR="008747ED" w:rsidRPr="00CC474D" w:rsidRDefault="008747ED" w:rsidP="008747ED">
            <w:pPr>
              <w:rPr>
                <w:rFonts w:cstheme="minorHAnsi"/>
                <w:sz w:val="20"/>
              </w:rPr>
            </w:pPr>
            <w:r w:rsidRPr="00CC474D">
              <w:rPr>
                <w:rFonts w:cstheme="minorHAnsi"/>
                <w:sz w:val="20"/>
              </w:rPr>
              <w:t>sampleDateFinish</w:t>
            </w:r>
          </w:p>
        </w:tc>
        <w:tc>
          <w:tcPr>
            <w:tcW w:w="3119" w:type="dxa"/>
            <w:hideMark/>
          </w:tcPr>
          <w:p w14:paraId="797B46A1" w14:textId="77777777" w:rsidR="008747ED" w:rsidRPr="00CC474D" w:rsidRDefault="008747ED" w:rsidP="008747ED">
            <w:pPr>
              <w:rPr>
                <w:rFonts w:cstheme="minorHAnsi"/>
                <w:sz w:val="20"/>
              </w:rPr>
            </w:pPr>
            <w:r w:rsidRPr="00CC474D">
              <w:rPr>
                <w:rFonts w:cstheme="minorHAnsi"/>
                <w:sz w:val="20"/>
              </w:rPr>
              <w:t>End date (exclusive) that these measures were observed</w:t>
            </w:r>
          </w:p>
        </w:tc>
        <w:tc>
          <w:tcPr>
            <w:tcW w:w="1275" w:type="dxa"/>
            <w:hideMark/>
          </w:tcPr>
          <w:p w14:paraId="09518BD9" w14:textId="77777777" w:rsidR="008747ED" w:rsidRPr="00CC474D" w:rsidRDefault="008747ED" w:rsidP="008747ED">
            <w:pPr>
              <w:rPr>
                <w:rFonts w:cstheme="minorHAnsi"/>
                <w:sz w:val="20"/>
              </w:rPr>
            </w:pPr>
            <w:r w:rsidRPr="00CC474D">
              <w:rPr>
                <w:rFonts w:cstheme="minorHAnsi"/>
                <w:sz w:val="20"/>
              </w:rPr>
              <w:t>dateTime</w:t>
            </w:r>
          </w:p>
        </w:tc>
        <w:tc>
          <w:tcPr>
            <w:tcW w:w="709" w:type="dxa"/>
            <w:hideMark/>
          </w:tcPr>
          <w:p w14:paraId="186EB2F7" w14:textId="77777777" w:rsidR="008747ED" w:rsidRPr="00CC474D" w:rsidRDefault="008747ED" w:rsidP="008747ED">
            <w:pPr>
              <w:rPr>
                <w:rFonts w:cstheme="minorHAnsi"/>
                <w:sz w:val="20"/>
              </w:rPr>
            </w:pPr>
            <w:r w:rsidRPr="00CC474D">
              <w:rPr>
                <w:rFonts w:cstheme="minorHAnsi"/>
                <w:sz w:val="20"/>
              </w:rPr>
              <w:t>Y</w:t>
            </w:r>
          </w:p>
        </w:tc>
        <w:tc>
          <w:tcPr>
            <w:tcW w:w="851" w:type="dxa"/>
            <w:hideMark/>
          </w:tcPr>
          <w:p w14:paraId="69D46ADF" w14:textId="77777777" w:rsidR="008747ED" w:rsidRPr="00CC474D" w:rsidRDefault="008747ED" w:rsidP="008747ED">
            <w:pPr>
              <w:pStyle w:val="TableText"/>
              <w:rPr>
                <w:rFonts w:cstheme="minorHAnsi"/>
                <w:szCs w:val="20"/>
              </w:rPr>
            </w:pPr>
          </w:p>
        </w:tc>
        <w:tc>
          <w:tcPr>
            <w:tcW w:w="1307" w:type="dxa"/>
          </w:tcPr>
          <w:p w14:paraId="1514CF3F" w14:textId="21461C1F" w:rsidR="008747ED" w:rsidRPr="00CC474D" w:rsidRDefault="008747ED" w:rsidP="008747ED">
            <w:pPr>
              <w:rPr>
                <w:rFonts w:cstheme="minorHAnsi"/>
                <w:sz w:val="20"/>
              </w:rPr>
            </w:pPr>
            <w:r w:rsidRPr="00CC474D">
              <w:rPr>
                <w:rFonts w:cstheme="minorHAnsi"/>
                <w:sz w:val="20"/>
              </w:rPr>
              <w:t>16/05/2019 2:35</w:t>
            </w:r>
          </w:p>
        </w:tc>
      </w:tr>
      <w:tr w:rsidR="00DA312A" w:rsidRPr="00CC474D" w14:paraId="68524CE1" w14:textId="77777777" w:rsidTr="0050053E">
        <w:trPr>
          <w:cantSplit/>
        </w:trPr>
        <w:tc>
          <w:tcPr>
            <w:tcW w:w="1951" w:type="dxa"/>
            <w:hideMark/>
          </w:tcPr>
          <w:p w14:paraId="1767F3CC" w14:textId="77777777" w:rsidR="00DA312A" w:rsidRPr="00CC474D" w:rsidRDefault="00DA312A" w:rsidP="0050053E">
            <w:pPr>
              <w:rPr>
                <w:rFonts w:cstheme="minorHAnsi"/>
                <w:sz w:val="20"/>
              </w:rPr>
            </w:pPr>
            <w:r w:rsidRPr="00CC474D">
              <w:rPr>
                <w:rFonts w:cstheme="minorHAnsi"/>
                <w:sz w:val="20"/>
              </w:rPr>
              <w:t>speciesName</w:t>
            </w:r>
          </w:p>
        </w:tc>
        <w:tc>
          <w:tcPr>
            <w:tcW w:w="3119" w:type="dxa"/>
            <w:hideMark/>
          </w:tcPr>
          <w:p w14:paraId="0A008492" w14:textId="77777777" w:rsidR="00DA312A" w:rsidRPr="00CC474D" w:rsidRDefault="00DA312A" w:rsidP="0050053E">
            <w:pPr>
              <w:rPr>
                <w:rFonts w:cstheme="minorHAnsi"/>
                <w:sz w:val="20"/>
              </w:rPr>
            </w:pPr>
            <w:r w:rsidRPr="00CC474D">
              <w:rPr>
                <w:rFonts w:cstheme="minorHAnsi"/>
                <w:sz w:val="20"/>
              </w:rPr>
              <w:t>Latin name for species of plant</w:t>
            </w:r>
          </w:p>
        </w:tc>
        <w:tc>
          <w:tcPr>
            <w:tcW w:w="1275" w:type="dxa"/>
            <w:hideMark/>
          </w:tcPr>
          <w:p w14:paraId="50EA9600" w14:textId="77777777" w:rsidR="00DA312A" w:rsidRPr="00CC474D" w:rsidRDefault="00DA312A" w:rsidP="0050053E">
            <w:pPr>
              <w:rPr>
                <w:rFonts w:cstheme="minorHAnsi"/>
                <w:sz w:val="20"/>
              </w:rPr>
            </w:pPr>
            <w:r w:rsidRPr="00CC474D">
              <w:rPr>
                <w:rFonts w:cstheme="minorHAnsi"/>
                <w:sz w:val="20"/>
              </w:rPr>
              <w:t>String</w:t>
            </w:r>
          </w:p>
        </w:tc>
        <w:tc>
          <w:tcPr>
            <w:tcW w:w="709" w:type="dxa"/>
            <w:hideMark/>
          </w:tcPr>
          <w:p w14:paraId="52896A58" w14:textId="77777777" w:rsidR="00DA312A" w:rsidRPr="00CC474D" w:rsidRDefault="00DA312A" w:rsidP="0050053E">
            <w:pPr>
              <w:rPr>
                <w:rFonts w:cstheme="minorHAnsi"/>
                <w:sz w:val="20"/>
              </w:rPr>
            </w:pPr>
            <w:r w:rsidRPr="00CC474D">
              <w:rPr>
                <w:rFonts w:cstheme="minorHAnsi"/>
                <w:sz w:val="20"/>
              </w:rPr>
              <w:t>Y</w:t>
            </w:r>
          </w:p>
        </w:tc>
        <w:tc>
          <w:tcPr>
            <w:tcW w:w="851" w:type="dxa"/>
            <w:shd w:val="clear" w:color="auto" w:fill="auto"/>
            <w:hideMark/>
          </w:tcPr>
          <w:p w14:paraId="7CC1A4D5" w14:textId="77777777" w:rsidR="00DA312A" w:rsidRPr="00CC474D" w:rsidRDefault="00DA312A" w:rsidP="0050053E">
            <w:pPr>
              <w:pStyle w:val="TableText"/>
              <w:rPr>
                <w:rFonts w:cstheme="minorHAnsi"/>
                <w:szCs w:val="20"/>
              </w:rPr>
            </w:pPr>
          </w:p>
        </w:tc>
        <w:tc>
          <w:tcPr>
            <w:tcW w:w="1307" w:type="dxa"/>
          </w:tcPr>
          <w:p w14:paraId="2BDD6AAE" w14:textId="77777777" w:rsidR="00DA312A" w:rsidRPr="00CC474D" w:rsidRDefault="00DA312A" w:rsidP="0050053E">
            <w:pPr>
              <w:pStyle w:val="TableText"/>
              <w:rPr>
                <w:rFonts w:cstheme="minorHAnsi"/>
                <w:i/>
                <w:szCs w:val="20"/>
              </w:rPr>
            </w:pPr>
            <w:r w:rsidRPr="00CC474D">
              <w:rPr>
                <w:rFonts w:cstheme="minorHAnsi"/>
                <w:i/>
                <w:szCs w:val="20"/>
              </w:rPr>
              <w:t>Phragmites australis</w:t>
            </w:r>
          </w:p>
        </w:tc>
      </w:tr>
      <w:tr w:rsidR="00DA312A" w:rsidRPr="00CC474D" w14:paraId="408C478A" w14:textId="77777777" w:rsidTr="0050053E">
        <w:trPr>
          <w:cantSplit/>
        </w:trPr>
        <w:tc>
          <w:tcPr>
            <w:tcW w:w="1951" w:type="dxa"/>
            <w:noWrap/>
            <w:hideMark/>
          </w:tcPr>
          <w:p w14:paraId="385C525E" w14:textId="77777777" w:rsidR="00DA312A" w:rsidRPr="00CC474D" w:rsidRDefault="00DA312A" w:rsidP="0050053E">
            <w:pPr>
              <w:rPr>
                <w:rFonts w:cstheme="minorHAnsi"/>
                <w:sz w:val="20"/>
              </w:rPr>
            </w:pPr>
            <w:r w:rsidRPr="00CC474D">
              <w:rPr>
                <w:rFonts w:cstheme="minorHAnsi"/>
                <w:sz w:val="20"/>
              </w:rPr>
              <w:lastRenderedPageBreak/>
              <w:t>speciesFrequency</w:t>
            </w:r>
          </w:p>
        </w:tc>
        <w:tc>
          <w:tcPr>
            <w:tcW w:w="3119" w:type="dxa"/>
            <w:hideMark/>
          </w:tcPr>
          <w:p w14:paraId="48D0B8F0" w14:textId="77777777" w:rsidR="00DA312A" w:rsidRPr="00CC474D" w:rsidRDefault="00DA312A" w:rsidP="0050053E">
            <w:pPr>
              <w:rPr>
                <w:rFonts w:cstheme="minorHAnsi"/>
                <w:sz w:val="20"/>
              </w:rPr>
            </w:pPr>
            <w:r w:rsidRPr="00CC474D">
              <w:rPr>
                <w:rFonts w:cstheme="minorHAnsi"/>
                <w:sz w:val="20"/>
              </w:rPr>
              <w:t>Frequency of species in each quadrat</w:t>
            </w:r>
          </w:p>
        </w:tc>
        <w:tc>
          <w:tcPr>
            <w:tcW w:w="1275" w:type="dxa"/>
            <w:hideMark/>
          </w:tcPr>
          <w:p w14:paraId="0A53B265" w14:textId="77777777" w:rsidR="00DA312A" w:rsidRPr="00CC474D" w:rsidRDefault="00DA312A" w:rsidP="0050053E">
            <w:pPr>
              <w:rPr>
                <w:rFonts w:cstheme="minorHAnsi"/>
                <w:sz w:val="20"/>
              </w:rPr>
            </w:pPr>
            <w:r w:rsidRPr="00CC474D">
              <w:rPr>
                <w:rFonts w:cstheme="minorHAnsi"/>
                <w:sz w:val="20"/>
              </w:rPr>
              <w:t>Number (0 decimals)</w:t>
            </w:r>
          </w:p>
        </w:tc>
        <w:tc>
          <w:tcPr>
            <w:tcW w:w="709" w:type="dxa"/>
            <w:noWrap/>
            <w:hideMark/>
          </w:tcPr>
          <w:p w14:paraId="47EF930D" w14:textId="77777777" w:rsidR="00DA312A" w:rsidRPr="00CC474D" w:rsidRDefault="00DA312A" w:rsidP="0050053E">
            <w:pPr>
              <w:rPr>
                <w:rFonts w:cstheme="minorHAnsi"/>
                <w:sz w:val="20"/>
              </w:rPr>
            </w:pPr>
            <w:r w:rsidRPr="00CC474D">
              <w:rPr>
                <w:rFonts w:cstheme="minorHAnsi"/>
                <w:sz w:val="20"/>
              </w:rPr>
              <w:t>Y</w:t>
            </w:r>
          </w:p>
        </w:tc>
        <w:tc>
          <w:tcPr>
            <w:tcW w:w="851" w:type="dxa"/>
            <w:noWrap/>
            <w:hideMark/>
          </w:tcPr>
          <w:p w14:paraId="4CE922B4" w14:textId="77777777" w:rsidR="00DA312A" w:rsidRPr="00CC474D" w:rsidRDefault="00DA312A" w:rsidP="0050053E">
            <w:pPr>
              <w:pStyle w:val="TableText"/>
              <w:rPr>
                <w:rFonts w:cstheme="minorHAnsi"/>
                <w:szCs w:val="20"/>
              </w:rPr>
            </w:pPr>
            <w:r w:rsidRPr="00CC474D">
              <w:rPr>
                <w:rFonts w:cstheme="minorHAnsi"/>
                <w:szCs w:val="20"/>
              </w:rPr>
              <w:t>[0, 15]</w:t>
            </w:r>
          </w:p>
        </w:tc>
        <w:tc>
          <w:tcPr>
            <w:tcW w:w="1307" w:type="dxa"/>
          </w:tcPr>
          <w:p w14:paraId="26E52A16" w14:textId="77777777" w:rsidR="00DA312A" w:rsidRPr="00CC474D" w:rsidRDefault="00DA312A" w:rsidP="0050053E">
            <w:pPr>
              <w:pStyle w:val="TableText"/>
              <w:rPr>
                <w:rFonts w:cstheme="minorHAnsi"/>
                <w:szCs w:val="20"/>
                <w:vertAlign w:val="superscript"/>
              </w:rPr>
            </w:pPr>
            <w:r w:rsidRPr="00CC474D">
              <w:rPr>
                <w:rFonts w:cstheme="minorHAnsi"/>
                <w:szCs w:val="20"/>
              </w:rPr>
              <w:t>14</w:t>
            </w:r>
          </w:p>
        </w:tc>
      </w:tr>
      <w:tr w:rsidR="00DA312A" w:rsidRPr="00CC474D" w14:paraId="219B4B2C" w14:textId="77777777" w:rsidTr="0050053E">
        <w:trPr>
          <w:cantSplit/>
        </w:trPr>
        <w:tc>
          <w:tcPr>
            <w:tcW w:w="1951" w:type="dxa"/>
            <w:noWrap/>
            <w:hideMark/>
          </w:tcPr>
          <w:p w14:paraId="60A13FCA" w14:textId="77777777" w:rsidR="00DA312A" w:rsidRPr="00CC474D" w:rsidRDefault="00DA312A" w:rsidP="0050053E">
            <w:pPr>
              <w:rPr>
                <w:rFonts w:cstheme="minorHAnsi"/>
                <w:sz w:val="20"/>
              </w:rPr>
            </w:pPr>
            <w:r w:rsidRPr="00CC474D">
              <w:rPr>
                <w:rFonts w:cstheme="minorHAnsi"/>
                <w:sz w:val="20"/>
              </w:rPr>
              <w:t>abovegBiomass</w:t>
            </w:r>
          </w:p>
        </w:tc>
        <w:tc>
          <w:tcPr>
            <w:tcW w:w="3119" w:type="dxa"/>
            <w:hideMark/>
          </w:tcPr>
          <w:p w14:paraId="25190D3D" w14:textId="77777777" w:rsidR="00DA312A" w:rsidRPr="00CC474D" w:rsidRDefault="00DA312A" w:rsidP="0050053E">
            <w:pPr>
              <w:rPr>
                <w:rFonts w:cstheme="minorHAnsi"/>
                <w:sz w:val="20"/>
              </w:rPr>
            </w:pPr>
            <w:r w:rsidRPr="00CC474D">
              <w:rPr>
                <w:rFonts w:cstheme="minorHAnsi"/>
                <w:sz w:val="20"/>
              </w:rPr>
              <w:t>Above ground biomass harvested from each quadrat</w:t>
            </w:r>
          </w:p>
        </w:tc>
        <w:tc>
          <w:tcPr>
            <w:tcW w:w="1275" w:type="dxa"/>
            <w:hideMark/>
          </w:tcPr>
          <w:p w14:paraId="4D1DA35E" w14:textId="77777777" w:rsidR="00DA312A" w:rsidRPr="00CC474D" w:rsidRDefault="00DA312A" w:rsidP="0050053E">
            <w:pPr>
              <w:rPr>
                <w:rFonts w:cstheme="minorHAnsi"/>
                <w:sz w:val="20"/>
              </w:rPr>
            </w:pPr>
            <w:r w:rsidRPr="00CC474D">
              <w:rPr>
                <w:rFonts w:cstheme="minorHAnsi"/>
                <w:sz w:val="20"/>
              </w:rPr>
              <w:t>Number (3 decimals)</w:t>
            </w:r>
          </w:p>
        </w:tc>
        <w:tc>
          <w:tcPr>
            <w:tcW w:w="709" w:type="dxa"/>
            <w:noWrap/>
            <w:hideMark/>
          </w:tcPr>
          <w:p w14:paraId="05112E8F" w14:textId="77777777" w:rsidR="00DA312A" w:rsidRPr="00CC474D" w:rsidRDefault="00DA312A" w:rsidP="0050053E">
            <w:pPr>
              <w:rPr>
                <w:rFonts w:cstheme="minorHAnsi"/>
                <w:sz w:val="20"/>
              </w:rPr>
            </w:pPr>
            <w:r w:rsidRPr="00CC474D">
              <w:rPr>
                <w:rFonts w:cstheme="minorHAnsi"/>
                <w:sz w:val="20"/>
              </w:rPr>
              <w:t>Y</w:t>
            </w:r>
          </w:p>
        </w:tc>
        <w:tc>
          <w:tcPr>
            <w:tcW w:w="851" w:type="dxa"/>
            <w:noWrap/>
            <w:hideMark/>
          </w:tcPr>
          <w:p w14:paraId="7F33DC84" w14:textId="77777777" w:rsidR="00DA312A" w:rsidRPr="00CC474D" w:rsidRDefault="00DA312A" w:rsidP="0050053E">
            <w:pPr>
              <w:pStyle w:val="TableText"/>
              <w:rPr>
                <w:rFonts w:cstheme="minorHAnsi"/>
                <w:szCs w:val="20"/>
              </w:rPr>
            </w:pPr>
            <w:r w:rsidRPr="00CC474D">
              <w:rPr>
                <w:rFonts w:cstheme="minorHAnsi"/>
                <w:szCs w:val="20"/>
              </w:rPr>
              <w:t>[0,+]</w:t>
            </w:r>
          </w:p>
        </w:tc>
        <w:tc>
          <w:tcPr>
            <w:tcW w:w="1307" w:type="dxa"/>
          </w:tcPr>
          <w:p w14:paraId="039FB97B" w14:textId="77777777" w:rsidR="00DA312A" w:rsidRPr="00CC474D" w:rsidRDefault="00DA312A" w:rsidP="0050053E">
            <w:pPr>
              <w:pStyle w:val="TableText"/>
              <w:rPr>
                <w:rFonts w:cstheme="minorHAnsi"/>
                <w:szCs w:val="20"/>
              </w:rPr>
            </w:pPr>
            <w:r w:rsidRPr="00CC474D">
              <w:rPr>
                <w:rFonts w:cstheme="minorHAnsi"/>
                <w:szCs w:val="20"/>
              </w:rPr>
              <w:t>13.158 g m</w:t>
            </w:r>
            <w:r w:rsidRPr="00CC474D">
              <w:rPr>
                <w:rFonts w:cstheme="minorHAnsi"/>
                <w:szCs w:val="20"/>
                <w:vertAlign w:val="superscript"/>
              </w:rPr>
              <w:t>-2</w:t>
            </w:r>
          </w:p>
        </w:tc>
      </w:tr>
      <w:tr w:rsidR="00DA312A" w:rsidRPr="00CC474D" w14:paraId="4747E726" w14:textId="77777777" w:rsidTr="0050053E">
        <w:trPr>
          <w:cantSplit/>
        </w:trPr>
        <w:tc>
          <w:tcPr>
            <w:tcW w:w="1951" w:type="dxa"/>
            <w:noWrap/>
            <w:hideMark/>
          </w:tcPr>
          <w:p w14:paraId="5D9FA642" w14:textId="77777777" w:rsidR="00DA312A" w:rsidRPr="00CC474D" w:rsidRDefault="00DA312A" w:rsidP="0050053E">
            <w:pPr>
              <w:pStyle w:val="TableText"/>
              <w:rPr>
                <w:rFonts w:cstheme="minorHAnsi"/>
                <w:szCs w:val="20"/>
              </w:rPr>
            </w:pPr>
            <w:r w:rsidRPr="00CC474D">
              <w:rPr>
                <w:rFonts w:cstheme="minorHAnsi"/>
                <w:szCs w:val="20"/>
              </w:rPr>
              <w:t>waterLevel</w:t>
            </w:r>
          </w:p>
        </w:tc>
        <w:tc>
          <w:tcPr>
            <w:tcW w:w="3119" w:type="dxa"/>
            <w:noWrap/>
            <w:hideMark/>
          </w:tcPr>
          <w:p w14:paraId="50BA128F" w14:textId="77777777" w:rsidR="00DA312A" w:rsidRPr="00CC474D" w:rsidRDefault="00DA312A" w:rsidP="0050053E">
            <w:pPr>
              <w:pStyle w:val="TableText"/>
              <w:rPr>
                <w:rFonts w:cstheme="minorHAnsi"/>
                <w:szCs w:val="20"/>
              </w:rPr>
            </w:pPr>
            <w:r w:rsidRPr="00CC474D">
              <w:rPr>
                <w:rFonts w:cstheme="minorHAnsi"/>
                <w:szCs w:val="20"/>
              </w:rPr>
              <w:t>Water level at nearest gauging station</w:t>
            </w:r>
          </w:p>
        </w:tc>
        <w:tc>
          <w:tcPr>
            <w:tcW w:w="1275" w:type="dxa"/>
            <w:noWrap/>
            <w:hideMark/>
          </w:tcPr>
          <w:p w14:paraId="0D66D6F6" w14:textId="77777777" w:rsidR="00DA312A" w:rsidRPr="00CC474D" w:rsidRDefault="00DA312A" w:rsidP="0050053E">
            <w:pPr>
              <w:pStyle w:val="TableText"/>
              <w:rPr>
                <w:rFonts w:cstheme="minorHAnsi"/>
                <w:szCs w:val="20"/>
              </w:rPr>
            </w:pPr>
            <w:r w:rsidRPr="00CC474D">
              <w:rPr>
                <w:rFonts w:cstheme="minorHAnsi"/>
                <w:szCs w:val="20"/>
              </w:rPr>
              <w:t>Number (2 decimals)</w:t>
            </w:r>
          </w:p>
        </w:tc>
        <w:tc>
          <w:tcPr>
            <w:tcW w:w="709" w:type="dxa"/>
            <w:noWrap/>
            <w:hideMark/>
          </w:tcPr>
          <w:p w14:paraId="3D515B22" w14:textId="77777777" w:rsidR="00DA312A" w:rsidRPr="00CC474D" w:rsidRDefault="00DA312A" w:rsidP="0050053E">
            <w:pPr>
              <w:pStyle w:val="TableText"/>
              <w:rPr>
                <w:rFonts w:cstheme="minorHAnsi"/>
                <w:szCs w:val="20"/>
              </w:rPr>
            </w:pPr>
            <w:r w:rsidRPr="00CC474D">
              <w:rPr>
                <w:rFonts w:cstheme="minorHAnsi"/>
                <w:szCs w:val="20"/>
              </w:rPr>
              <w:t>Y</w:t>
            </w:r>
          </w:p>
        </w:tc>
        <w:tc>
          <w:tcPr>
            <w:tcW w:w="851" w:type="dxa"/>
            <w:noWrap/>
            <w:hideMark/>
          </w:tcPr>
          <w:p w14:paraId="7521F0EE" w14:textId="77777777" w:rsidR="00DA312A" w:rsidRPr="00CC474D" w:rsidRDefault="00DA312A" w:rsidP="0050053E">
            <w:pPr>
              <w:pStyle w:val="TableText"/>
              <w:rPr>
                <w:rFonts w:cstheme="minorHAnsi"/>
                <w:szCs w:val="20"/>
              </w:rPr>
            </w:pPr>
            <w:r w:rsidRPr="00CC474D">
              <w:rPr>
                <w:rFonts w:cstheme="minorHAnsi"/>
                <w:szCs w:val="20"/>
              </w:rPr>
              <w:t>[0,+]</w:t>
            </w:r>
          </w:p>
        </w:tc>
        <w:tc>
          <w:tcPr>
            <w:tcW w:w="1307" w:type="dxa"/>
          </w:tcPr>
          <w:p w14:paraId="3224C28A" w14:textId="77777777" w:rsidR="00DA312A" w:rsidRPr="00CC474D" w:rsidRDefault="00DA312A" w:rsidP="0050053E">
            <w:pPr>
              <w:pStyle w:val="TableText"/>
              <w:rPr>
                <w:rFonts w:cstheme="minorHAnsi"/>
                <w:szCs w:val="20"/>
              </w:rPr>
            </w:pPr>
            <w:r w:rsidRPr="00CC474D">
              <w:rPr>
                <w:rFonts w:cstheme="minorHAnsi"/>
                <w:szCs w:val="20"/>
              </w:rPr>
              <w:t>16.72 m AHD</w:t>
            </w:r>
          </w:p>
        </w:tc>
      </w:tr>
    </w:tbl>
    <w:p w14:paraId="5555CAC3" w14:textId="77777777" w:rsidR="00DA312A" w:rsidRPr="00992869" w:rsidRDefault="00DA312A" w:rsidP="009E6C53"/>
    <w:p w14:paraId="40324AA7" w14:textId="77777777" w:rsidR="009E6C53" w:rsidRPr="00992869" w:rsidRDefault="009E6C53" w:rsidP="009E6C53">
      <w:pPr>
        <w:pStyle w:val="Heading2"/>
      </w:pPr>
      <w:bookmarkStart w:id="1829" w:name="_Toc10206778"/>
      <w:bookmarkStart w:id="1830" w:name="_Toc10213364"/>
      <w:bookmarkStart w:id="1831" w:name="_Toc10732388"/>
      <w:bookmarkStart w:id="1832" w:name="_Toc10796947"/>
      <w:bookmarkStart w:id="1833" w:name="_Toc12022832"/>
      <w:bookmarkStart w:id="1834" w:name="_Toc12630662"/>
      <w:bookmarkStart w:id="1835" w:name="_Toc16154522"/>
      <w:bookmarkStart w:id="1836" w:name="_Toc22196884"/>
      <w:r w:rsidRPr="00992869">
        <w:t>Quality Assurance/Quality Control</w:t>
      </w:r>
      <w:bookmarkEnd w:id="1829"/>
      <w:bookmarkEnd w:id="1830"/>
      <w:bookmarkEnd w:id="1831"/>
      <w:bookmarkEnd w:id="1832"/>
      <w:bookmarkEnd w:id="1833"/>
      <w:bookmarkEnd w:id="1834"/>
      <w:bookmarkEnd w:id="1835"/>
      <w:bookmarkEnd w:id="1836"/>
    </w:p>
    <w:p w14:paraId="6466ACDA" w14:textId="7BBBDBE3" w:rsidR="009E6C53" w:rsidRPr="00992869" w:rsidRDefault="009E6C53" w:rsidP="009E6C53">
      <w:r w:rsidRPr="00992869">
        <w:t xml:space="preserve">See Section </w:t>
      </w:r>
      <w:r w:rsidRPr="00992869">
        <w:fldChar w:fldCharType="begin"/>
      </w:r>
      <w:r w:rsidRPr="00992869">
        <w:instrText xml:space="preserve"> REF _Ref9333977 \r \h  \* MERGEFORMAT </w:instrText>
      </w:r>
      <w:r w:rsidRPr="00992869">
        <w:fldChar w:fldCharType="separate"/>
      </w:r>
      <w:r w:rsidR="00DF49CD">
        <w:t>10.3</w:t>
      </w:r>
      <w:r w:rsidRPr="00992869">
        <w:fldChar w:fldCharType="end"/>
      </w:r>
      <w:r>
        <w:t xml:space="preserve"> </w:t>
      </w:r>
      <w:r w:rsidRPr="002E3EEF">
        <w:rPr>
          <w:rFonts w:cstheme="minorHAnsi"/>
          <w:szCs w:val="22"/>
        </w:rPr>
        <w:t xml:space="preserve">in the </w:t>
      </w:r>
      <w:r>
        <w:rPr>
          <w:rFonts w:cstheme="minorHAnsi"/>
          <w:szCs w:val="22"/>
        </w:rPr>
        <w:t>MER</w:t>
      </w:r>
      <w:r w:rsidRPr="002E3EEF">
        <w:rPr>
          <w:rFonts w:cstheme="minorHAnsi"/>
          <w:szCs w:val="22"/>
        </w:rPr>
        <w:t xml:space="preserve"> Plan</w:t>
      </w:r>
      <w:r>
        <w:rPr>
          <w:rFonts w:cstheme="minorHAnsi"/>
          <w:szCs w:val="22"/>
        </w:rPr>
        <w:t xml:space="preserve"> for quality assurance and control measures</w:t>
      </w:r>
      <w:r w:rsidRPr="00992869">
        <w:t xml:space="preserve">. </w:t>
      </w:r>
    </w:p>
    <w:p w14:paraId="350659FF" w14:textId="77777777" w:rsidR="00210F6D" w:rsidRPr="00992869" w:rsidRDefault="00210F6D" w:rsidP="00210F6D">
      <w:pPr>
        <w:pStyle w:val="Heading2"/>
      </w:pPr>
      <w:bookmarkStart w:id="1837" w:name="_Toc10206779"/>
      <w:bookmarkStart w:id="1838" w:name="_Toc10213365"/>
      <w:bookmarkStart w:id="1839" w:name="_Toc10732389"/>
      <w:bookmarkStart w:id="1840" w:name="_Toc10796948"/>
      <w:bookmarkStart w:id="1841" w:name="_Toc12022833"/>
      <w:bookmarkStart w:id="1842" w:name="_Toc12630663"/>
      <w:bookmarkStart w:id="1843" w:name="_Toc16154523"/>
      <w:bookmarkStart w:id="1844" w:name="_Toc22196885"/>
      <w:r w:rsidRPr="00992869">
        <w:t>Health, safety and environment plan</w:t>
      </w:r>
      <w:bookmarkEnd w:id="1827"/>
      <w:bookmarkEnd w:id="1828"/>
      <w:bookmarkEnd w:id="1837"/>
      <w:bookmarkEnd w:id="1838"/>
      <w:bookmarkEnd w:id="1839"/>
      <w:bookmarkEnd w:id="1840"/>
      <w:bookmarkEnd w:id="1841"/>
      <w:bookmarkEnd w:id="1842"/>
      <w:bookmarkEnd w:id="1843"/>
      <w:bookmarkEnd w:id="1844"/>
    </w:p>
    <w:p w14:paraId="2922D464" w14:textId="4FE373D3" w:rsidR="00210F6D" w:rsidRPr="00C420F2" w:rsidRDefault="000E285D" w:rsidP="00210F6D">
      <w:pPr>
        <w:rPr>
          <w:lang w:val="en-US"/>
        </w:rPr>
      </w:pPr>
      <w:r>
        <w:t>See Appendix A</w:t>
      </w:r>
      <w:r w:rsidR="00210F6D" w:rsidRPr="00992869">
        <w:t>.</w:t>
      </w:r>
    </w:p>
    <w:p w14:paraId="5D3915DC" w14:textId="77777777" w:rsidR="00210F6D" w:rsidRPr="004B7CC1" w:rsidRDefault="00210F6D" w:rsidP="00210F6D">
      <w:pPr>
        <w:pStyle w:val="Heading2"/>
      </w:pPr>
      <w:bookmarkStart w:id="1845" w:name="_Toc10095296"/>
      <w:bookmarkStart w:id="1846" w:name="_Toc10192465"/>
      <w:bookmarkStart w:id="1847" w:name="_Toc10206780"/>
      <w:bookmarkStart w:id="1848" w:name="_Toc10213366"/>
      <w:bookmarkStart w:id="1849" w:name="_Toc10732390"/>
      <w:bookmarkStart w:id="1850" w:name="_Toc10796949"/>
      <w:bookmarkStart w:id="1851" w:name="_Toc12022834"/>
      <w:bookmarkStart w:id="1852" w:name="_Toc12630664"/>
      <w:bookmarkStart w:id="1853" w:name="_Toc16154524"/>
      <w:bookmarkStart w:id="1854" w:name="_Toc22196886"/>
      <w:r w:rsidRPr="004B7CC1">
        <w:t>References</w:t>
      </w:r>
      <w:bookmarkEnd w:id="1845"/>
      <w:bookmarkEnd w:id="1846"/>
      <w:bookmarkEnd w:id="1847"/>
      <w:bookmarkEnd w:id="1848"/>
      <w:bookmarkEnd w:id="1849"/>
      <w:bookmarkEnd w:id="1850"/>
      <w:bookmarkEnd w:id="1851"/>
      <w:bookmarkEnd w:id="1852"/>
      <w:bookmarkEnd w:id="1853"/>
      <w:bookmarkEnd w:id="1854"/>
    </w:p>
    <w:p w14:paraId="7BBE6222" w14:textId="77777777" w:rsidR="004844C7" w:rsidRPr="00845274" w:rsidRDefault="004844C7" w:rsidP="004844C7">
      <w:r w:rsidRPr="00845274">
        <w:t>Nicol, J.M., Frahn, K.A., Fredberg, J.F., Gehrig, S.L., Marsland, K.B. and Weedon, J.T. (2018). Chowilla Icon Site – Floodplain Vegetation Monitoring 2018 Interim Report, p. 70, South Australian Research and Development Institute (Aquatic Sciences), Adelaide.</w:t>
      </w:r>
    </w:p>
    <w:p w14:paraId="51C7BD45" w14:textId="77777777" w:rsidR="004844C7" w:rsidRDefault="004844C7" w:rsidP="004844C7">
      <w:r>
        <w:t>Nicol, J.M., Gehrig, S.L., Frahn, K.A. and Strawbridge, A.D. (2013). Resilience and resistance of aquatic plant communities downstream of Lock 1 in the Murray River, p. 57, Goyder Institute for Water Research, Adelaide, South Australia.</w:t>
      </w:r>
    </w:p>
    <w:p w14:paraId="297CE290" w14:textId="022668DC" w:rsidR="00FB1173" w:rsidRDefault="00FB1173" w:rsidP="004844C7">
      <w:pPr>
        <w:spacing w:after="200" w:line="276" w:lineRule="auto"/>
        <w:jc w:val="left"/>
        <w:rPr>
          <w:rFonts w:eastAsiaTheme="majorEastAsia" w:cstheme="majorBidi"/>
          <w:b/>
          <w:bCs/>
          <w:color w:val="auto"/>
          <w:sz w:val="32"/>
          <w:szCs w:val="28"/>
        </w:rPr>
      </w:pPr>
      <w:r>
        <w:br w:type="page"/>
      </w:r>
    </w:p>
    <w:p w14:paraId="7282AEFD" w14:textId="02A878A9" w:rsidR="00FB1173" w:rsidRPr="00572D6F" w:rsidRDefault="000F092C" w:rsidP="00FB1173">
      <w:pPr>
        <w:pStyle w:val="Heading1"/>
      </w:pPr>
      <w:bookmarkStart w:id="1855" w:name="_Toc10095297"/>
      <w:bookmarkStart w:id="1856" w:name="_Toc10192466"/>
      <w:bookmarkStart w:id="1857" w:name="_Toc10206781"/>
      <w:bookmarkStart w:id="1858" w:name="_Toc10213367"/>
      <w:bookmarkStart w:id="1859" w:name="_Toc10732391"/>
      <w:bookmarkStart w:id="1860" w:name="_Toc10796950"/>
      <w:bookmarkStart w:id="1861" w:name="_Toc12022835"/>
      <w:bookmarkStart w:id="1862" w:name="_Toc12630665"/>
      <w:bookmarkStart w:id="1863" w:name="_Toc16154525"/>
      <w:bookmarkStart w:id="1864" w:name="_Toc22196887"/>
      <w:r>
        <w:lastRenderedPageBreak/>
        <w:t>Microinvertebrate A</w:t>
      </w:r>
      <w:r w:rsidR="00FB1173">
        <w:t>ssemblage</w:t>
      </w:r>
      <w:bookmarkEnd w:id="1692"/>
      <w:bookmarkEnd w:id="1693"/>
      <w:bookmarkEnd w:id="1694"/>
      <w:bookmarkEnd w:id="1855"/>
      <w:bookmarkEnd w:id="1856"/>
      <w:bookmarkEnd w:id="1857"/>
      <w:bookmarkEnd w:id="1858"/>
      <w:bookmarkEnd w:id="1859"/>
      <w:bookmarkEnd w:id="1860"/>
      <w:bookmarkEnd w:id="1861"/>
      <w:bookmarkEnd w:id="1862"/>
      <w:bookmarkEnd w:id="1863"/>
      <w:bookmarkEnd w:id="1864"/>
    </w:p>
    <w:p w14:paraId="1A801673" w14:textId="77777777" w:rsidR="00FB1173" w:rsidRPr="00525AE9" w:rsidRDefault="00FB1173" w:rsidP="00FB1173">
      <w:pPr>
        <w:pStyle w:val="Heading2"/>
      </w:pPr>
      <w:bookmarkStart w:id="1865" w:name="_Toc10095298"/>
      <w:bookmarkStart w:id="1866" w:name="_Toc10192467"/>
      <w:bookmarkStart w:id="1867" w:name="_Toc10206782"/>
      <w:bookmarkStart w:id="1868" w:name="_Toc10213368"/>
      <w:bookmarkStart w:id="1869" w:name="_Toc10732392"/>
      <w:bookmarkStart w:id="1870" w:name="_Toc10796951"/>
      <w:bookmarkStart w:id="1871" w:name="_Toc12022836"/>
      <w:bookmarkStart w:id="1872" w:name="_Toc12630666"/>
      <w:bookmarkStart w:id="1873" w:name="_Toc16154526"/>
      <w:bookmarkStart w:id="1874" w:name="_Toc22196888"/>
      <w:r w:rsidRPr="00525AE9">
        <w:t>Evaluation questions</w:t>
      </w:r>
      <w:bookmarkEnd w:id="1695"/>
      <w:bookmarkEnd w:id="1696"/>
      <w:bookmarkEnd w:id="1865"/>
      <w:bookmarkEnd w:id="1866"/>
      <w:bookmarkEnd w:id="1867"/>
      <w:bookmarkEnd w:id="1868"/>
      <w:bookmarkEnd w:id="1869"/>
      <w:bookmarkEnd w:id="1870"/>
      <w:bookmarkEnd w:id="1871"/>
      <w:bookmarkEnd w:id="1872"/>
      <w:bookmarkEnd w:id="1873"/>
      <w:bookmarkEnd w:id="1874"/>
    </w:p>
    <w:p w14:paraId="3EE9FB0A" w14:textId="77777777" w:rsidR="00FB1173" w:rsidRPr="00557D7E" w:rsidRDefault="00FB1173" w:rsidP="00FB1173">
      <w:pPr>
        <w:rPr>
          <w:szCs w:val="22"/>
        </w:rPr>
      </w:pPr>
      <w:r w:rsidRPr="00557D7E">
        <w:rPr>
          <w:szCs w:val="22"/>
        </w:rPr>
        <w:t xml:space="preserve">This monitoring protocol addresses the following </w:t>
      </w:r>
      <w:r>
        <w:rPr>
          <w:szCs w:val="22"/>
        </w:rPr>
        <w:t>Selected Area</w:t>
      </w:r>
      <w:r w:rsidRPr="00557D7E">
        <w:rPr>
          <w:szCs w:val="22"/>
        </w:rPr>
        <w:t xml:space="preserve"> scale evaluation questions:</w:t>
      </w:r>
    </w:p>
    <w:p w14:paraId="174C8299" w14:textId="77777777" w:rsidR="000F092C" w:rsidRDefault="000F092C" w:rsidP="000F092C">
      <w:pPr>
        <w:pStyle w:val="ListParagraph"/>
        <w:numPr>
          <w:ilvl w:val="0"/>
          <w:numId w:val="11"/>
        </w:numPr>
      </w:pPr>
      <w:r>
        <w:t>What did Commonwealth environmental water contribute to microinvertebrate diversity and abundance (density)?</w:t>
      </w:r>
    </w:p>
    <w:p w14:paraId="6D3AE552" w14:textId="7EFF7896" w:rsidR="000F092C" w:rsidRPr="00D22EF9" w:rsidRDefault="000F092C" w:rsidP="000F092C">
      <w:pPr>
        <w:pStyle w:val="ListParagraph"/>
        <w:numPr>
          <w:ilvl w:val="0"/>
          <w:numId w:val="15"/>
        </w:numPr>
        <w:rPr>
          <w:rFonts w:eastAsia="Calibri" w:cs="Arial"/>
          <w:szCs w:val="22"/>
        </w:rPr>
      </w:pPr>
      <w:r w:rsidRPr="00D22EF9">
        <w:rPr>
          <w:rFonts w:eastAsia="Calibri" w:cs="Arial"/>
          <w:szCs w:val="22"/>
        </w:rPr>
        <w:t xml:space="preserve">What did </w:t>
      </w:r>
      <w:r w:rsidRPr="00D22EF9">
        <w:rPr>
          <w:rFonts w:eastAsia="Calibri" w:cs="Arial"/>
          <w:kern w:val="0"/>
          <w:szCs w:val="22"/>
        </w:rPr>
        <w:t>Commonwealth environmental water</w:t>
      </w:r>
      <w:r w:rsidRPr="00D22EF9">
        <w:rPr>
          <w:rFonts w:eastAsia="Calibri" w:cs="Arial"/>
          <w:szCs w:val="22"/>
        </w:rPr>
        <w:t xml:space="preserve"> contribute via </w:t>
      </w:r>
      <w:r>
        <w:rPr>
          <w:rFonts w:eastAsia="Calibri" w:cs="Arial"/>
          <w:szCs w:val="22"/>
        </w:rPr>
        <w:t>longitudinal (</w:t>
      </w:r>
      <w:r w:rsidRPr="00D22EF9">
        <w:rPr>
          <w:rFonts w:eastAsia="Calibri" w:cs="Arial"/>
          <w:szCs w:val="22"/>
        </w:rPr>
        <w:t>upstream</w:t>
      </w:r>
      <w:r>
        <w:rPr>
          <w:rFonts w:eastAsia="Calibri" w:cs="Arial"/>
          <w:szCs w:val="22"/>
        </w:rPr>
        <w:t>)</w:t>
      </w:r>
      <w:r w:rsidRPr="00D22EF9">
        <w:rPr>
          <w:rFonts w:eastAsia="Calibri" w:cs="Arial"/>
          <w:szCs w:val="22"/>
        </w:rPr>
        <w:t xml:space="preserve"> </w:t>
      </w:r>
      <w:r>
        <w:rPr>
          <w:rFonts w:eastAsia="Calibri" w:cs="Arial"/>
          <w:szCs w:val="22"/>
        </w:rPr>
        <w:t xml:space="preserve">and lateral </w:t>
      </w:r>
      <w:r w:rsidRPr="00D22EF9">
        <w:rPr>
          <w:rFonts w:eastAsia="Calibri" w:cs="Arial"/>
          <w:szCs w:val="22"/>
        </w:rPr>
        <w:t>connectivity</w:t>
      </w:r>
      <w:r>
        <w:rPr>
          <w:rFonts w:eastAsia="Calibri" w:cs="Arial"/>
          <w:szCs w:val="22"/>
        </w:rPr>
        <w:t>*</w:t>
      </w:r>
      <w:r w:rsidR="00CC4BF9">
        <w:rPr>
          <w:rFonts w:eastAsia="Calibri" w:cs="Arial"/>
          <w:szCs w:val="22"/>
        </w:rPr>
        <w:t xml:space="preserve"> and thus associated</w:t>
      </w:r>
      <w:r w:rsidRPr="00D22EF9">
        <w:rPr>
          <w:rFonts w:eastAsia="Calibri" w:cs="Arial"/>
          <w:szCs w:val="22"/>
        </w:rPr>
        <w:t xml:space="preserve"> microinvertebrate communities of the </w:t>
      </w:r>
      <w:r w:rsidRPr="000F53E7">
        <w:rPr>
          <w:rFonts w:eastAsia="Calibri" w:cs="Arial"/>
          <w:szCs w:val="22"/>
        </w:rPr>
        <w:t>Lower Murray</w:t>
      </w:r>
      <w:r w:rsidRPr="00D22EF9">
        <w:rPr>
          <w:rFonts w:eastAsia="Calibri" w:cs="Arial"/>
          <w:szCs w:val="22"/>
        </w:rPr>
        <w:t xml:space="preserve"> Selected Area?</w:t>
      </w:r>
    </w:p>
    <w:p w14:paraId="077C6E68" w14:textId="0550EC35" w:rsidR="000F092C" w:rsidRDefault="000F092C" w:rsidP="000F092C">
      <w:pPr>
        <w:pStyle w:val="ListParagraph"/>
        <w:numPr>
          <w:ilvl w:val="0"/>
          <w:numId w:val="15"/>
        </w:numPr>
      </w:pPr>
      <w:r>
        <w:t>What did Commonwealth environmental water contribute to the</w:t>
      </w:r>
      <w:r w:rsidR="00217FA7">
        <w:t xml:space="preserve"> expected</w:t>
      </w:r>
      <w:r>
        <w:t xml:space="preserve"> quality** of food resources (microinvertebrates) for higher trophic organisms?</w:t>
      </w:r>
    </w:p>
    <w:p w14:paraId="7C2A188B" w14:textId="77777777" w:rsidR="000F092C" w:rsidRDefault="000F092C" w:rsidP="000F092C">
      <w:r>
        <w:t>*Our assessment of the influence of longitudinal connectivity will be based on comparing findings to the modelled (Bigmod) flow source data from the MDBA. We acknowledge there are assumptions with this approach, and it may be difficult to distinguish between the responses to environmental water and operational water</w:t>
      </w:r>
      <w:r w:rsidRPr="00F3143B">
        <w:t>.</w:t>
      </w:r>
    </w:p>
    <w:p w14:paraId="75FC8248" w14:textId="04858F21" w:rsidR="000F092C" w:rsidRDefault="000F092C" w:rsidP="000F092C">
      <w:r>
        <w:t>**</w:t>
      </w:r>
      <w:r w:rsidRPr="0086338A">
        <w:t xml:space="preserve"> </w:t>
      </w:r>
      <w:r>
        <w:t xml:space="preserve">Assumptions will be made about the quality of specific groups of zooplankton as a food resource for higher trophic organisms based on what food types they are known to eat, which of those food types are present at the time of sampling and the quality of that food type based on findings in the literature. Due to these assumptions, the complexity of riverine ecosystems and the limited information on Australian specimens, </w:t>
      </w:r>
      <w:r w:rsidR="009C3B8C">
        <w:t xml:space="preserve">it is important to note the potential inaccuracy in defining food quality.  </w:t>
      </w:r>
    </w:p>
    <w:p w14:paraId="731EF2AC" w14:textId="0575D6F3" w:rsidR="000F092C" w:rsidRDefault="00217FA7" w:rsidP="000F092C">
      <w:r w:rsidRPr="00855B72">
        <w:t xml:space="preserve">See additional </w:t>
      </w:r>
      <w:r>
        <w:t xml:space="preserve">evaluation </w:t>
      </w:r>
      <w:r w:rsidRPr="00855B72">
        <w:t>questions</w:t>
      </w:r>
      <w:r>
        <w:t xml:space="preserve"> for long-term outcomes</w:t>
      </w:r>
      <w:r w:rsidRPr="00855B72">
        <w:t xml:space="preserve"> in conti</w:t>
      </w:r>
      <w:r>
        <w:t>ngency monitoring (Section 5.3 in the MER Plan)</w:t>
      </w:r>
      <w:r w:rsidRPr="00855B72">
        <w:t>.</w:t>
      </w:r>
    </w:p>
    <w:p w14:paraId="2CBBBCE4" w14:textId="5A751DFB" w:rsidR="00FB1173" w:rsidRPr="00557D7E" w:rsidRDefault="00FB1173" w:rsidP="00FB1173">
      <w:pPr>
        <w:rPr>
          <w:rFonts w:ascii="Calibri" w:hAnsi="Calibri"/>
          <w:szCs w:val="22"/>
        </w:rPr>
      </w:pPr>
      <w:r w:rsidRPr="00557D7E">
        <w:rPr>
          <w:rFonts w:ascii="Calibri" w:hAnsi="Calibri"/>
          <w:szCs w:val="22"/>
        </w:rPr>
        <w:t>The process for evaluating these questions is illustrated in</w:t>
      </w:r>
      <w:r>
        <w:rPr>
          <w:rFonts w:ascii="Calibri" w:hAnsi="Calibri"/>
          <w:szCs w:val="22"/>
        </w:rPr>
        <w:t xml:space="preserve"> </w:t>
      </w:r>
      <w:r>
        <w:rPr>
          <w:rFonts w:ascii="Calibri" w:hAnsi="Calibri"/>
          <w:szCs w:val="22"/>
        </w:rPr>
        <w:fldChar w:fldCharType="begin"/>
      </w:r>
      <w:r>
        <w:rPr>
          <w:rFonts w:ascii="Calibri" w:hAnsi="Calibri"/>
          <w:szCs w:val="22"/>
        </w:rPr>
        <w:instrText xml:space="preserve"> REF _Ref397515975 \h </w:instrText>
      </w:r>
      <w:r>
        <w:rPr>
          <w:rFonts w:ascii="Calibri" w:hAnsi="Calibri"/>
          <w:szCs w:val="22"/>
        </w:rPr>
      </w:r>
      <w:r>
        <w:rPr>
          <w:rFonts w:ascii="Calibri" w:hAnsi="Calibri"/>
          <w:szCs w:val="22"/>
        </w:rPr>
        <w:fldChar w:fldCharType="separate"/>
      </w:r>
      <w:r w:rsidR="00DF49CD">
        <w:t>Figure B.</w:t>
      </w:r>
      <w:r w:rsidR="00DF49CD">
        <w:rPr>
          <w:noProof/>
        </w:rPr>
        <w:t>11</w:t>
      </w:r>
      <w:r>
        <w:rPr>
          <w:rFonts w:ascii="Calibri" w:hAnsi="Calibri"/>
          <w:szCs w:val="22"/>
        </w:rPr>
        <w:fldChar w:fldCharType="end"/>
      </w:r>
      <w:r w:rsidRPr="00557D7E">
        <w:rPr>
          <w:rFonts w:ascii="Calibri" w:hAnsi="Calibri"/>
          <w:szCs w:val="22"/>
        </w:rPr>
        <w:t>.</w:t>
      </w:r>
    </w:p>
    <w:p w14:paraId="394A46A1" w14:textId="77777777" w:rsidR="00FB1173" w:rsidRPr="000A01BF" w:rsidRDefault="00FB1173" w:rsidP="00FB1173">
      <w:pPr>
        <w:rPr>
          <w:rFonts w:ascii="Calibri" w:hAnsi="Calibri"/>
          <w:szCs w:val="22"/>
        </w:rPr>
      </w:pPr>
      <w:r w:rsidRPr="00AE2110">
        <w:t xml:space="preserve"> </w:t>
      </w:r>
    </w:p>
    <w:p w14:paraId="7184531F" w14:textId="02B5C802" w:rsidR="00FB1173" w:rsidRDefault="00C63C7F" w:rsidP="00FB1173">
      <w:pPr>
        <w:keepNext/>
      </w:pPr>
      <w:r>
        <w:rPr>
          <w:noProof/>
          <w:lang w:eastAsia="en-AU"/>
        </w:rPr>
        <w:lastRenderedPageBreak/>
        <mc:AlternateContent>
          <mc:Choice Requires="wps">
            <w:drawing>
              <wp:anchor distT="0" distB="0" distL="114300" distR="114300" simplePos="0" relativeHeight="251750400" behindDoc="0" locked="0" layoutInCell="1" allowOverlap="1" wp14:anchorId="35B3F921" wp14:editId="26A78C8D">
                <wp:simplePos x="0" y="0"/>
                <wp:positionH relativeFrom="column">
                  <wp:posOffset>-76200</wp:posOffset>
                </wp:positionH>
                <wp:positionV relativeFrom="paragraph">
                  <wp:posOffset>-85725</wp:posOffset>
                </wp:positionV>
                <wp:extent cx="6276975" cy="4305300"/>
                <wp:effectExtent l="0" t="0" r="28575" b="19050"/>
                <wp:wrapNone/>
                <wp:docPr id="50" name="Rectangle 50"/>
                <wp:cNvGraphicFramePr/>
                <a:graphic xmlns:a="http://schemas.openxmlformats.org/drawingml/2006/main">
                  <a:graphicData uri="http://schemas.microsoft.com/office/word/2010/wordprocessingShape">
                    <wps:wsp>
                      <wps:cNvSpPr/>
                      <wps:spPr>
                        <a:xfrm>
                          <a:off x="0" y="0"/>
                          <a:ext cx="6276975" cy="4305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7A7FC5A3" id="Rectangle 50" o:spid="_x0000_s1026" style="position:absolute;margin-left:-6pt;margin-top:-6.75pt;width:494.25pt;height:339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" filled="f" strokecolor="black [3213]" strokeweight="1pt"/>
            </w:pict>
          </mc:Fallback>
        </mc:AlternateContent>
      </w:r>
      <w:r w:rsidR="00FB1173" w:rsidRPr="00400BDB">
        <w:rPr>
          <w:noProof/>
          <w:lang w:eastAsia="en-AU"/>
        </w:rPr>
        <mc:AlternateContent>
          <mc:Choice Requires="wps">
            <w:drawing>
              <wp:anchor distT="0" distB="0" distL="114300" distR="114300" simplePos="0" relativeHeight="251726848" behindDoc="0" locked="0" layoutInCell="1" allowOverlap="1" wp14:anchorId="5B82E3F2" wp14:editId="12C6A5CF">
                <wp:simplePos x="0" y="0"/>
                <wp:positionH relativeFrom="column">
                  <wp:posOffset>3374375</wp:posOffset>
                </wp:positionH>
                <wp:positionV relativeFrom="paragraph">
                  <wp:posOffset>997447</wp:posOffset>
                </wp:positionV>
                <wp:extent cx="45719" cy="467044"/>
                <wp:effectExtent l="76200" t="38100" r="69215" b="28575"/>
                <wp:wrapNone/>
                <wp:docPr id="1435" name="Straight Arrow Connector 1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467044"/>
                        </a:xfrm>
                        <a:prstGeom prst="straightConnector1">
                          <a:avLst/>
                        </a:prstGeom>
                        <a:noFill/>
                        <a:ln w="9525">
                          <a:solidFill>
                            <a:schemeClr val="tx1"/>
                          </a:solidFill>
                          <a:round/>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9283082" id="Straight Arrow Connector 1435" o:spid="_x0000_s1026" type="#_x0000_t32" style="position:absolute;margin-left:265.7pt;margin-top:78.55pt;width:3.6pt;height:36.8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" strokecolor="black [3213]">
                <v:stroke endarrow="open"/>
              </v:shape>
            </w:pict>
          </mc:Fallback>
        </mc:AlternateContent>
      </w:r>
      <w:r w:rsidR="00FB1173" w:rsidRPr="00400BDB">
        <w:rPr>
          <w:noProof/>
          <w:lang w:eastAsia="en-AU"/>
        </w:rPr>
        <mc:AlternateContent>
          <mc:Choice Requires="wps">
            <w:drawing>
              <wp:anchor distT="0" distB="0" distL="114300" distR="114300" simplePos="0" relativeHeight="251727872" behindDoc="0" locked="0" layoutInCell="1" allowOverlap="1" wp14:anchorId="229E5444" wp14:editId="2F136EEC">
                <wp:simplePos x="0" y="0"/>
                <wp:positionH relativeFrom="column">
                  <wp:posOffset>2028263</wp:posOffset>
                </wp:positionH>
                <wp:positionV relativeFrom="paragraph">
                  <wp:posOffset>1009403</wp:posOffset>
                </wp:positionV>
                <wp:extent cx="45719" cy="440756"/>
                <wp:effectExtent l="57150" t="38100" r="50165" b="16510"/>
                <wp:wrapNone/>
                <wp:docPr id="1436" name="Straight Arrow Connector 1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440756"/>
                        </a:xfrm>
                        <a:prstGeom prst="straightConnector1">
                          <a:avLst/>
                        </a:prstGeom>
                        <a:noFill/>
                        <a:ln w="9525">
                          <a:solidFill>
                            <a:schemeClr val="tx1"/>
                          </a:solidFill>
                          <a:round/>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B316E99" id="Straight Arrow Connector 1436" o:spid="_x0000_s1026" type="#_x0000_t32" style="position:absolute;margin-left:159.7pt;margin-top:79.5pt;width:3.6pt;height:34.7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" strokecolor="black [3213]">
                <v:stroke endarrow="open"/>
              </v:shape>
            </w:pict>
          </mc:Fallback>
        </mc:AlternateContent>
      </w:r>
      <w:r w:rsidR="00FB1173">
        <w:rPr>
          <w:noProof/>
          <w:lang w:eastAsia="en-AU"/>
        </w:rPr>
        <mc:AlternateContent>
          <mc:Choice Requires="wps">
            <w:drawing>
              <wp:anchor distT="0" distB="0" distL="114300" distR="114300" simplePos="0" relativeHeight="251721728" behindDoc="0" locked="0" layoutInCell="1" allowOverlap="1" wp14:anchorId="240CB52C" wp14:editId="0ECDA814">
                <wp:simplePos x="0" y="0"/>
                <wp:positionH relativeFrom="column">
                  <wp:posOffset>2880384</wp:posOffset>
                </wp:positionH>
                <wp:positionV relativeFrom="paragraph">
                  <wp:posOffset>2682611</wp:posOffset>
                </wp:positionV>
                <wp:extent cx="1285336" cy="427355"/>
                <wp:effectExtent l="0" t="0" r="10160" b="10795"/>
                <wp:wrapNone/>
                <wp:docPr id="5"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336" cy="427355"/>
                        </a:xfrm>
                        <a:prstGeom prst="rect">
                          <a:avLst/>
                        </a:prstGeom>
                        <a:noFill/>
                        <a:ln w="9525">
                          <a:solidFill>
                            <a:schemeClr val="tx1"/>
                          </a:solidFill>
                          <a:miter lim="800000"/>
                          <a:headEnd/>
                          <a:tailEnd/>
                        </a:ln>
                      </wps:spPr>
                      <wps:txbx>
                        <w:txbxContent>
                          <w:p w14:paraId="4E980802" w14:textId="77777777" w:rsidR="00A8252A" w:rsidRPr="003A56DE" w:rsidRDefault="00A8252A" w:rsidP="00FB1173">
                            <w:pPr>
                              <w:pStyle w:val="NormalWeb"/>
                              <w:spacing w:before="0" w:beforeAutospacing="0" w:after="0" w:afterAutospacing="0"/>
                              <w:jc w:val="center"/>
                              <w:rPr>
                                <w:sz w:val="22"/>
                              </w:rPr>
                            </w:pPr>
                            <w:r>
                              <w:rPr>
                                <w:rFonts w:asciiTheme="minorHAnsi" w:hAnsi="Calibri" w:cstheme="minorBidi"/>
                                <w:color w:val="000000" w:themeColor="text1"/>
                                <w:kern w:val="24"/>
                                <w:sz w:val="20"/>
                              </w:rPr>
                              <w:t>Potamoplankton species composition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0CB52C" id="TextBox 16" o:spid="_x0000_s1069" type="#_x0000_t202" style="position:absolute;left:0;text-align:left;margin-left:226.8pt;margin-top:211.25pt;width:101.2pt;height:33.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" filled="f" strokecolor="black [3213]">
                <v:textbox>
                  <w:txbxContent>
                    <w:p w14:paraId="4E980802" w14:textId="77777777" w:rsidR="00A8252A" w:rsidRPr="003A56DE" w:rsidRDefault="00A8252A" w:rsidP="00FB1173">
                      <w:pPr>
                        <w:pStyle w:val="NormalWeb"/>
                        <w:spacing w:before="0" w:beforeAutospacing="0" w:after="0" w:afterAutospacing="0"/>
                        <w:jc w:val="center"/>
                        <w:rPr>
                          <w:sz w:val="22"/>
                        </w:rPr>
                      </w:pPr>
                      <w:r>
                        <w:rPr>
                          <w:rFonts w:asciiTheme="minorHAnsi" w:hAnsi="Calibri" w:cstheme="minorBidi"/>
                          <w:color w:val="000000" w:themeColor="text1"/>
                          <w:kern w:val="24"/>
                          <w:sz w:val="20"/>
                        </w:rPr>
                        <w:t>Potamoplankton species composition</w:t>
                      </w:r>
                    </w:p>
                  </w:txbxContent>
                </v:textbox>
              </v:shape>
            </w:pict>
          </mc:Fallback>
        </mc:AlternateContent>
      </w:r>
      <w:r w:rsidR="00FB1173">
        <w:rPr>
          <w:noProof/>
          <w:lang w:eastAsia="en-AU"/>
        </w:rPr>
        <mc:AlternateContent>
          <mc:Choice Requires="wps">
            <w:drawing>
              <wp:anchor distT="0" distB="0" distL="114300" distR="114300" simplePos="0" relativeHeight="251728896" behindDoc="0" locked="0" layoutInCell="1" allowOverlap="1" wp14:anchorId="0C30B643" wp14:editId="43CCE329">
                <wp:simplePos x="0" y="0"/>
                <wp:positionH relativeFrom="column">
                  <wp:posOffset>3286292</wp:posOffset>
                </wp:positionH>
                <wp:positionV relativeFrom="paragraph">
                  <wp:posOffset>3122762</wp:posOffset>
                </wp:positionV>
                <wp:extent cx="60756" cy="718928"/>
                <wp:effectExtent l="38100" t="38100" r="53975" b="24130"/>
                <wp:wrapNone/>
                <wp:docPr id="1439"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756" cy="718928"/>
                        </a:xfrm>
                        <a:prstGeom prst="straightConnector1">
                          <a:avLst/>
                        </a:prstGeom>
                        <a:noFill/>
                        <a:ln w="9525">
                          <a:solidFill>
                            <a:schemeClr val="tx1"/>
                          </a:solidFill>
                          <a:round/>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3C6503" id="Straight Arrow Connector 16" o:spid="_x0000_s1026" type="#_x0000_t32" style="position:absolute;margin-left:258.75pt;margin-top:245.9pt;width:4.8pt;height:56.6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" strokecolor="black [3213]">
                <v:stroke endarrow="open"/>
              </v:shape>
            </w:pict>
          </mc:Fallback>
        </mc:AlternateContent>
      </w:r>
      <w:r w:rsidR="00FB1173">
        <w:rPr>
          <w:noProof/>
          <w:lang w:eastAsia="en-AU"/>
        </w:rPr>
        <mc:AlternateContent>
          <mc:Choice Requires="wps">
            <w:drawing>
              <wp:anchor distT="0" distB="0" distL="114300" distR="114300" simplePos="0" relativeHeight="251730944" behindDoc="0" locked="0" layoutInCell="1" allowOverlap="1" wp14:anchorId="7162828D" wp14:editId="4C061257">
                <wp:simplePos x="0" y="0"/>
                <wp:positionH relativeFrom="column">
                  <wp:posOffset>2139351</wp:posOffset>
                </wp:positionH>
                <wp:positionV relativeFrom="paragraph">
                  <wp:posOffset>3165894</wp:posOffset>
                </wp:positionV>
                <wp:extent cx="1035170" cy="658543"/>
                <wp:effectExtent l="38100" t="38100" r="31750" b="27305"/>
                <wp:wrapNone/>
                <wp:docPr id="1441"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170" cy="658543"/>
                        </a:xfrm>
                        <a:prstGeom prst="straightConnector1">
                          <a:avLst/>
                        </a:prstGeom>
                        <a:noFill/>
                        <a:ln w="9525">
                          <a:solidFill>
                            <a:schemeClr val="tx1"/>
                          </a:solidFill>
                          <a:round/>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49611F1" id="Straight Arrow Connector 16" o:spid="_x0000_s1026" type="#_x0000_t32" style="position:absolute;margin-left:168.45pt;margin-top:249.3pt;width:81.5pt;height:51.85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" strokecolor="black [3213]">
                <v:stroke endarrow="open"/>
              </v:shape>
            </w:pict>
          </mc:Fallback>
        </mc:AlternateContent>
      </w:r>
      <w:r w:rsidR="00FB1173">
        <w:rPr>
          <w:noProof/>
          <w:lang w:eastAsia="en-AU"/>
        </w:rPr>
        <mc:AlternateContent>
          <mc:Choice Requires="wps">
            <w:drawing>
              <wp:anchor distT="0" distB="0" distL="114300" distR="114300" simplePos="0" relativeHeight="251729920" behindDoc="0" locked="0" layoutInCell="1" allowOverlap="1" wp14:anchorId="43A48E66" wp14:editId="1AF7BEBE">
                <wp:simplePos x="0" y="0"/>
                <wp:positionH relativeFrom="column">
                  <wp:posOffset>2015119</wp:posOffset>
                </wp:positionH>
                <wp:positionV relativeFrom="paragraph">
                  <wp:posOffset>3124667</wp:posOffset>
                </wp:positionV>
                <wp:extent cx="8626" cy="702083"/>
                <wp:effectExtent l="95250" t="38100" r="67945" b="22225"/>
                <wp:wrapNone/>
                <wp:docPr id="1442"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26" cy="702083"/>
                        </a:xfrm>
                        <a:prstGeom prst="straightConnector1">
                          <a:avLst/>
                        </a:prstGeom>
                        <a:noFill/>
                        <a:ln w="9525">
                          <a:solidFill>
                            <a:schemeClr val="tx1"/>
                          </a:solidFill>
                          <a:round/>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743853" id="Straight Arrow Connector 16" o:spid="_x0000_s1026" type="#_x0000_t32" style="position:absolute;margin-left:158.65pt;margin-top:246.05pt;width:.7pt;height:55.3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" strokecolor="black [3213]">
                <v:stroke endarrow="open"/>
              </v:shape>
            </w:pict>
          </mc:Fallback>
        </mc:AlternateContent>
      </w:r>
      <w:r w:rsidR="00FB1173">
        <w:rPr>
          <w:noProof/>
          <w:lang w:eastAsia="en-AU"/>
        </w:rPr>
        <mc:AlternateContent>
          <mc:Choice Requires="wps">
            <w:drawing>
              <wp:anchor distT="0" distB="0" distL="114300" distR="114300" simplePos="0" relativeHeight="251725824" behindDoc="0" locked="0" layoutInCell="1" allowOverlap="1" wp14:anchorId="2D5D30C7" wp14:editId="6B250D25">
                <wp:simplePos x="0" y="0"/>
                <wp:positionH relativeFrom="column">
                  <wp:posOffset>2302509</wp:posOffset>
                </wp:positionH>
                <wp:positionV relativeFrom="paragraph">
                  <wp:posOffset>1897722</wp:posOffset>
                </wp:positionV>
                <wp:extent cx="776857" cy="811139"/>
                <wp:effectExtent l="0" t="38100" r="61595" b="27305"/>
                <wp:wrapNone/>
                <wp:docPr id="1443"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6857" cy="811139"/>
                        </a:xfrm>
                        <a:prstGeom prst="straightConnector1">
                          <a:avLst/>
                        </a:prstGeom>
                        <a:noFill/>
                        <a:ln w="9525">
                          <a:solidFill>
                            <a:schemeClr val="tx1"/>
                          </a:solidFill>
                          <a:round/>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E5663E" id="Straight Arrow Connector 18" o:spid="_x0000_s1026" type="#_x0000_t32" style="position:absolute;margin-left:181.3pt;margin-top:149.45pt;width:61.15pt;height:63.8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" strokecolor="black [3213]">
                <v:stroke endarrow="open"/>
              </v:shape>
            </w:pict>
          </mc:Fallback>
        </mc:AlternateContent>
      </w:r>
      <w:r w:rsidR="00FB1173">
        <w:rPr>
          <w:noProof/>
          <w:lang w:eastAsia="en-AU"/>
        </w:rPr>
        <mc:AlternateContent>
          <mc:Choice Requires="wps">
            <w:drawing>
              <wp:anchor distT="0" distB="0" distL="114300" distR="114300" simplePos="0" relativeHeight="251724800" behindDoc="0" locked="0" layoutInCell="1" allowOverlap="1" wp14:anchorId="07762FE4" wp14:editId="5C180396">
                <wp:simplePos x="0" y="0"/>
                <wp:positionH relativeFrom="column">
                  <wp:posOffset>2268747</wp:posOffset>
                </wp:positionH>
                <wp:positionV relativeFrom="paragraph">
                  <wp:posOffset>1897811</wp:posOffset>
                </wp:positionV>
                <wp:extent cx="1095555" cy="767343"/>
                <wp:effectExtent l="38100" t="38100" r="28575" b="33020"/>
                <wp:wrapNone/>
                <wp:docPr id="1444"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5555" cy="767343"/>
                        </a:xfrm>
                        <a:prstGeom prst="straightConnector1">
                          <a:avLst/>
                        </a:prstGeom>
                        <a:noFill/>
                        <a:ln w="9525">
                          <a:solidFill>
                            <a:schemeClr val="tx1"/>
                          </a:solidFill>
                          <a:round/>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7202140" id="Straight Arrow Connector 16" o:spid="_x0000_s1026" type="#_x0000_t32" style="position:absolute;margin-left:178.65pt;margin-top:149.45pt;width:86.25pt;height:60.4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" strokecolor="black [3213]">
                <v:stroke endarrow="open"/>
              </v:shape>
            </w:pict>
          </mc:Fallback>
        </mc:AlternateContent>
      </w:r>
      <w:r w:rsidR="00FB1173">
        <w:rPr>
          <w:noProof/>
          <w:lang w:eastAsia="en-AU"/>
        </w:rPr>
        <mc:AlternateContent>
          <mc:Choice Requires="wps">
            <w:drawing>
              <wp:anchor distT="0" distB="0" distL="114300" distR="114300" simplePos="0" relativeHeight="251723776" behindDoc="0" locked="0" layoutInCell="1" allowOverlap="1" wp14:anchorId="204E6F74" wp14:editId="7C16866F">
                <wp:simplePos x="0" y="0"/>
                <wp:positionH relativeFrom="column">
                  <wp:posOffset>2769494</wp:posOffset>
                </wp:positionH>
                <wp:positionV relativeFrom="paragraph">
                  <wp:posOffset>1469256</wp:posOffset>
                </wp:positionV>
                <wp:extent cx="1397479" cy="410818"/>
                <wp:effectExtent l="0" t="0" r="12700" b="27940"/>
                <wp:wrapNone/>
                <wp:docPr id="1445"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410818"/>
                        </a:xfrm>
                        <a:prstGeom prst="rect">
                          <a:avLst/>
                        </a:prstGeom>
                        <a:noFill/>
                        <a:ln w="9525">
                          <a:solidFill>
                            <a:schemeClr val="tx1"/>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solidFill>
                                <a:srgbClr val="FFFFFF"/>
                              </a:solidFill>
                            </a14:hiddenFill>
                          </a:ext>
                        </a:extLst>
                      </wps:spPr>
                      <wps:txbx>
                        <w:txbxContent>
                          <w:p w14:paraId="432E3F41" w14:textId="77777777" w:rsidR="00A8252A" w:rsidRPr="003A56DE" w:rsidRDefault="00A8252A" w:rsidP="00FB1173">
                            <w:pPr>
                              <w:pStyle w:val="NormalWeb"/>
                              <w:spacing w:before="0" w:beforeAutospacing="0" w:after="0" w:afterAutospacing="0"/>
                              <w:jc w:val="center"/>
                              <w:rPr>
                                <w:sz w:val="22"/>
                              </w:rPr>
                            </w:pPr>
                            <w:r>
                              <w:rPr>
                                <w:rFonts w:asciiTheme="minorHAnsi" w:hAnsi="Calibri" w:cstheme="minorBidi"/>
                                <w:color w:val="000000" w:themeColor="text1"/>
                                <w:kern w:val="24"/>
                                <w:sz w:val="20"/>
                              </w:rPr>
                              <w:t>Longitudinal and lateral connectivity</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04E6F74" id="TextBox 24" o:spid="_x0000_s1070" type="#_x0000_t202" style="position:absolute;left:0;text-align:left;margin-left:218.05pt;margin-top:115.7pt;width:110.05pt;height:32.3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" filled="f" strokecolor="black [3213]">
                <v:textbox>
                  <w:txbxContent>
                    <w:p w14:paraId="432E3F41" w14:textId="77777777" w:rsidR="00A8252A" w:rsidRPr="003A56DE" w:rsidRDefault="00A8252A" w:rsidP="00FB1173">
                      <w:pPr>
                        <w:pStyle w:val="NormalWeb"/>
                        <w:spacing w:before="0" w:beforeAutospacing="0" w:after="0" w:afterAutospacing="0"/>
                        <w:jc w:val="center"/>
                        <w:rPr>
                          <w:sz w:val="22"/>
                        </w:rPr>
                      </w:pPr>
                      <w:r>
                        <w:rPr>
                          <w:rFonts w:asciiTheme="minorHAnsi" w:hAnsi="Calibri" w:cstheme="minorBidi"/>
                          <w:color w:val="000000" w:themeColor="text1"/>
                          <w:kern w:val="24"/>
                          <w:sz w:val="20"/>
                        </w:rPr>
                        <w:t>Longitudinal and lateral connectivity</w:t>
                      </w:r>
                    </w:p>
                  </w:txbxContent>
                </v:textbox>
              </v:shape>
            </w:pict>
          </mc:Fallback>
        </mc:AlternateContent>
      </w:r>
      <w:r w:rsidR="00FB1173">
        <w:rPr>
          <w:noProof/>
          <w:lang w:eastAsia="en-AU"/>
        </w:rPr>
        <mc:AlternateContent>
          <mc:Choice Requires="wps">
            <w:drawing>
              <wp:anchor distT="0" distB="0" distL="114300" distR="114300" simplePos="0" relativeHeight="251720704" behindDoc="0" locked="0" layoutInCell="1" allowOverlap="1" wp14:anchorId="0730539A" wp14:editId="63C3A3E0">
                <wp:simplePos x="0" y="0"/>
                <wp:positionH relativeFrom="column">
                  <wp:posOffset>1449865</wp:posOffset>
                </wp:positionH>
                <wp:positionV relativeFrom="paragraph">
                  <wp:posOffset>2725851</wp:posOffset>
                </wp:positionV>
                <wp:extent cx="1283119" cy="393448"/>
                <wp:effectExtent l="0" t="0" r="12700" b="26035"/>
                <wp:wrapNone/>
                <wp:docPr id="144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119" cy="393448"/>
                        </a:xfrm>
                        <a:prstGeom prst="rect">
                          <a:avLst/>
                        </a:prstGeom>
                        <a:noFill/>
                        <a:ln w="9525">
                          <a:solidFill>
                            <a:schemeClr val="tx1"/>
                          </a:solidFill>
                          <a:miter lim="800000"/>
                          <a:headEnd/>
                          <a:tailEnd/>
                        </a:ln>
                      </wps:spPr>
                      <wps:txbx>
                        <w:txbxContent>
                          <w:p w14:paraId="603D6998" w14:textId="77777777" w:rsidR="00A8252A" w:rsidRPr="003A56DE" w:rsidRDefault="00A8252A" w:rsidP="00FB1173">
                            <w:pPr>
                              <w:pStyle w:val="NormalWeb"/>
                              <w:spacing w:before="0" w:beforeAutospacing="0" w:after="0" w:afterAutospacing="0"/>
                              <w:jc w:val="center"/>
                              <w:rPr>
                                <w:sz w:val="22"/>
                              </w:rPr>
                            </w:pPr>
                            <w:r>
                              <w:rPr>
                                <w:rFonts w:asciiTheme="minorHAnsi" w:hAnsi="Calibri" w:cstheme="minorBidi"/>
                                <w:color w:val="000000" w:themeColor="text1"/>
                                <w:kern w:val="24"/>
                                <w:sz w:val="20"/>
                              </w:rPr>
                              <w:t>Potamoplankton abundance/diversity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30539A" id="_x0000_s1071" type="#_x0000_t202" style="position:absolute;left:0;text-align:left;margin-left:114.15pt;margin-top:214.65pt;width:101.05pt;height:3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" filled="f" strokecolor="black [3213]">
                <v:textbox>
                  <w:txbxContent>
                    <w:p w14:paraId="603D6998" w14:textId="77777777" w:rsidR="00A8252A" w:rsidRPr="003A56DE" w:rsidRDefault="00A8252A" w:rsidP="00FB1173">
                      <w:pPr>
                        <w:pStyle w:val="NormalWeb"/>
                        <w:spacing w:before="0" w:beforeAutospacing="0" w:after="0" w:afterAutospacing="0"/>
                        <w:jc w:val="center"/>
                        <w:rPr>
                          <w:sz w:val="22"/>
                        </w:rPr>
                      </w:pPr>
                      <w:r>
                        <w:rPr>
                          <w:rFonts w:asciiTheme="minorHAnsi" w:hAnsi="Calibri" w:cstheme="minorBidi"/>
                          <w:color w:val="000000" w:themeColor="text1"/>
                          <w:kern w:val="24"/>
                          <w:sz w:val="20"/>
                        </w:rPr>
                        <w:t>Potamoplankton abundance/diversity</w:t>
                      </w:r>
                    </w:p>
                  </w:txbxContent>
                </v:textbox>
              </v:shape>
            </w:pict>
          </mc:Fallback>
        </mc:AlternateContent>
      </w:r>
      <w:r w:rsidR="00FB1173">
        <w:rPr>
          <w:noProof/>
          <w:lang w:eastAsia="en-AU"/>
        </w:rPr>
        <mc:AlternateContent>
          <mc:Choice Requires="wpg">
            <w:drawing>
              <wp:inline distT="0" distB="0" distL="0" distR="0" wp14:anchorId="07376764" wp14:editId="73861E8C">
                <wp:extent cx="6128716" cy="4155596"/>
                <wp:effectExtent l="0" t="0" r="24765" b="16510"/>
                <wp:docPr id="144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716" cy="4155596"/>
                          <a:chOff x="10146" y="8392"/>
                          <a:chExt cx="68794" cy="42494"/>
                        </a:xfrm>
                      </wpg:grpSpPr>
                      <wps:wsp>
                        <wps:cNvPr id="1448" name="Straight Connector 4"/>
                        <wps:cNvCnPr>
                          <a:cxnSpLocks noChangeShapeType="1"/>
                        </wps:cNvCnPr>
                        <wps:spPr bwMode="auto">
                          <a:xfrm>
                            <a:off x="10436" y="21492"/>
                            <a:ext cx="68407" cy="0"/>
                          </a:xfrm>
                          <a:prstGeom prst="line">
                            <a:avLst/>
                          </a:prstGeom>
                          <a:noFill/>
                          <a:ln w="19050">
                            <a:solidFill>
                              <a:schemeClr val="tx1"/>
                            </a:solidFill>
                            <a:prstDash val="sysDash"/>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s:wsp>
                        <wps:cNvPr id="1449" name="Straight Connector 5"/>
                        <wps:cNvCnPr>
                          <a:cxnSpLocks noChangeShapeType="1"/>
                        </wps:cNvCnPr>
                        <wps:spPr bwMode="auto">
                          <a:xfrm>
                            <a:off x="10533" y="31118"/>
                            <a:ext cx="68407" cy="0"/>
                          </a:xfrm>
                          <a:prstGeom prst="line">
                            <a:avLst/>
                          </a:prstGeom>
                          <a:noFill/>
                          <a:ln w="19050">
                            <a:solidFill>
                              <a:schemeClr val="tx1"/>
                            </a:solidFill>
                            <a:prstDash val="sysDash"/>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s:wsp>
                        <wps:cNvPr id="1450" name="Straight Connector 6"/>
                        <wps:cNvCnPr>
                          <a:cxnSpLocks noChangeShapeType="1"/>
                        </wps:cNvCnPr>
                        <wps:spPr bwMode="auto">
                          <a:xfrm>
                            <a:off x="10533" y="42963"/>
                            <a:ext cx="68407" cy="0"/>
                          </a:xfrm>
                          <a:prstGeom prst="line">
                            <a:avLst/>
                          </a:prstGeom>
                          <a:noFill/>
                          <a:ln w="19050">
                            <a:solidFill>
                              <a:schemeClr val="tx1"/>
                            </a:solidFill>
                            <a:prstDash val="sysDash"/>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s:wsp>
                        <wps:cNvPr id="1451" name="TextBox 10"/>
                        <wps:cNvSpPr txBox="1">
                          <a:spLocks noChangeArrowheads="1"/>
                        </wps:cNvSpPr>
                        <wps:spPr bwMode="auto">
                          <a:xfrm>
                            <a:off x="10146" y="11037"/>
                            <a:ext cx="9974" cy="360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solidFill>
                                  <a:srgbClr val="FFFFFF"/>
                                </a:solidFill>
                              </a14:hiddenFill>
                            </a:ext>
                          </a:extLst>
                        </wps:spPr>
                        <wps:txbx>
                          <w:txbxContent>
                            <w:p w14:paraId="2F08C2EA" w14:textId="77777777" w:rsidR="00A8252A" w:rsidRPr="002C0A72" w:rsidRDefault="00A8252A" w:rsidP="00FB1173">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Reporting</w:t>
                              </w:r>
                            </w:p>
                          </w:txbxContent>
                        </wps:txbx>
                        <wps:bodyPr rot="0" vert="horz" wrap="square" lIns="91440" tIns="45720" rIns="91440" bIns="45720" anchor="t" anchorCtr="0" upright="1">
                          <a:noAutofit/>
                        </wps:bodyPr>
                      </wps:wsp>
                      <wps:wsp>
                        <wps:cNvPr id="1452" name="TextBox 11"/>
                        <wps:cNvSpPr txBox="1">
                          <a:spLocks noChangeArrowheads="1"/>
                        </wps:cNvSpPr>
                        <wps:spPr bwMode="auto">
                          <a:xfrm>
                            <a:off x="10436" y="26187"/>
                            <a:ext cx="11224" cy="2993"/>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solidFill>
                                  <a:srgbClr val="FFFFFF"/>
                                </a:solidFill>
                              </a14:hiddenFill>
                            </a:ext>
                          </a:extLst>
                        </wps:spPr>
                        <wps:txbx>
                          <w:txbxContent>
                            <w:p w14:paraId="7E2A448D" w14:textId="77777777" w:rsidR="00A8252A" w:rsidRPr="002C0A72" w:rsidRDefault="00A8252A" w:rsidP="00FB1173">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Evaluation</w:t>
                              </w:r>
                            </w:p>
                          </w:txbxContent>
                        </wps:txbx>
                        <wps:bodyPr rot="0" vert="horz" wrap="square" lIns="91440" tIns="45720" rIns="91440" bIns="45720" anchor="t" anchorCtr="0" upright="1">
                          <a:noAutofit/>
                        </wps:bodyPr>
                      </wps:wsp>
                      <wps:wsp>
                        <wps:cNvPr id="1453" name="TextBox 12"/>
                        <wps:cNvSpPr txBox="1">
                          <a:spLocks noChangeArrowheads="1"/>
                        </wps:cNvSpPr>
                        <wps:spPr bwMode="auto">
                          <a:xfrm>
                            <a:off x="10533" y="35738"/>
                            <a:ext cx="9183" cy="2883"/>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solidFill>
                                  <a:srgbClr val="FFFFFF"/>
                                </a:solidFill>
                              </a14:hiddenFill>
                            </a:ext>
                          </a:extLst>
                        </wps:spPr>
                        <wps:txbx>
                          <w:txbxContent>
                            <w:p w14:paraId="3694C23F" w14:textId="77777777" w:rsidR="00A8252A" w:rsidRPr="002C0A72" w:rsidRDefault="00A8252A" w:rsidP="00FB1173">
                              <w:pPr>
                                <w:pStyle w:val="NormalWeb"/>
                                <w:spacing w:before="0" w:beforeAutospacing="0" w:after="0" w:afterAutospacing="0"/>
                                <w:rPr>
                                  <w:sz w:val="26"/>
                                  <w:szCs w:val="26"/>
                                </w:rPr>
                              </w:pPr>
                              <w:r w:rsidRPr="00C1640F">
                                <w:rPr>
                                  <w:rFonts w:asciiTheme="minorHAnsi" w:hAnsi="Calibri" w:cstheme="minorBidi"/>
                                  <w:color w:val="000000" w:themeColor="text1"/>
                                  <w:kern w:val="24"/>
                                  <w:sz w:val="26"/>
                                  <w:szCs w:val="26"/>
                                </w:rPr>
                                <w:t>Analysis</w:t>
                              </w:r>
                            </w:p>
                          </w:txbxContent>
                        </wps:txbx>
                        <wps:bodyPr rot="0" vert="horz" wrap="square" lIns="91440" tIns="45720" rIns="91440" bIns="45720" anchor="t" anchorCtr="0" upright="1">
                          <a:noAutofit/>
                        </wps:bodyPr>
                      </wps:wsp>
                      <wps:wsp>
                        <wps:cNvPr id="1454" name="TextBox 13"/>
                        <wps:cNvSpPr txBox="1">
                          <a:spLocks noChangeArrowheads="1"/>
                        </wps:cNvSpPr>
                        <wps:spPr bwMode="auto">
                          <a:xfrm>
                            <a:off x="10436" y="45093"/>
                            <a:ext cx="15120" cy="5058"/>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solidFill>
                                  <a:srgbClr val="FFFFFF"/>
                                </a:solidFill>
                              </a14:hiddenFill>
                            </a:ext>
                          </a:extLst>
                        </wps:spPr>
                        <wps:txbx>
                          <w:txbxContent>
                            <w:p w14:paraId="03ECA975" w14:textId="77777777" w:rsidR="00A8252A" w:rsidRPr="002C0A72" w:rsidRDefault="00A8252A" w:rsidP="00FB1173">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Field measurement</w:t>
                              </w:r>
                            </w:p>
                          </w:txbxContent>
                        </wps:txbx>
                        <wps:bodyPr rot="0" vert="horz" wrap="square" lIns="91440" tIns="45720" rIns="91440" bIns="45720" anchor="t" anchorCtr="0" upright="1">
                          <a:noAutofit/>
                        </wps:bodyPr>
                      </wps:wsp>
                      <wps:wsp>
                        <wps:cNvPr id="1455" name="TextBox 14"/>
                        <wps:cNvSpPr txBox="1">
                          <a:spLocks noChangeArrowheads="1"/>
                        </wps:cNvSpPr>
                        <wps:spPr bwMode="auto">
                          <a:xfrm>
                            <a:off x="20602" y="8392"/>
                            <a:ext cx="57509" cy="10200"/>
                          </a:xfrm>
                          <a:prstGeom prst="rect">
                            <a:avLst/>
                          </a:prstGeom>
                          <a:noFill/>
                          <a:ln w="9525">
                            <a:solidFill>
                              <a:schemeClr val="tx1"/>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solidFill>
                                  <a:srgbClr val="FFFFFF"/>
                                </a:solidFill>
                              </a14:hiddenFill>
                            </a:ext>
                          </a:extLst>
                        </wps:spPr>
                        <wps:txbx>
                          <w:txbxContent>
                            <w:p w14:paraId="292D9452" w14:textId="77777777" w:rsidR="00A8252A" w:rsidRPr="000A01BF" w:rsidRDefault="00A8252A" w:rsidP="00FB1173">
                              <w:pPr>
                                <w:pStyle w:val="NormalWeb"/>
                                <w:contextualSpacing/>
                                <w:rPr>
                                  <w:rFonts w:asciiTheme="minorHAnsi" w:hAnsiTheme="minorHAnsi"/>
                                  <w:sz w:val="20"/>
                                  <w:szCs w:val="20"/>
                                </w:rPr>
                              </w:pPr>
                              <w:r w:rsidRPr="000A01BF">
                                <w:rPr>
                                  <w:rFonts w:asciiTheme="minorHAnsi" w:hAnsiTheme="minorHAnsi"/>
                                  <w:sz w:val="20"/>
                                  <w:szCs w:val="20"/>
                                </w:rPr>
                                <w:t>What did CEW contribute to microinvertebrate diversity and abundance?</w:t>
                              </w:r>
                            </w:p>
                            <w:p w14:paraId="549FC4B6" w14:textId="77777777" w:rsidR="00A8252A" w:rsidRPr="000A01BF" w:rsidRDefault="00A8252A" w:rsidP="00FB1173">
                              <w:pPr>
                                <w:pStyle w:val="NormalWeb"/>
                                <w:contextualSpacing/>
                                <w:rPr>
                                  <w:rFonts w:asciiTheme="minorHAnsi" w:hAnsiTheme="minorHAnsi"/>
                                  <w:sz w:val="20"/>
                                  <w:szCs w:val="20"/>
                                </w:rPr>
                              </w:pPr>
                              <w:r w:rsidRPr="000A01BF">
                                <w:rPr>
                                  <w:rFonts w:asciiTheme="minorHAnsi" w:hAnsiTheme="minorHAnsi"/>
                                  <w:sz w:val="20"/>
                                  <w:szCs w:val="20"/>
                                </w:rPr>
                                <w:t>What did CEW contribute via longitudinal and lateral connectivity to microinvertebrate communities?</w:t>
                              </w:r>
                            </w:p>
                            <w:p w14:paraId="104A596E" w14:textId="357F448A" w:rsidR="00A8252A" w:rsidRPr="000A01BF" w:rsidRDefault="00A8252A" w:rsidP="00FB1173">
                              <w:pPr>
                                <w:pStyle w:val="NormalWeb"/>
                                <w:contextualSpacing/>
                                <w:rPr>
                                  <w:rFonts w:asciiTheme="minorHAnsi" w:hAnsiTheme="minorHAnsi"/>
                                  <w:sz w:val="20"/>
                                  <w:szCs w:val="20"/>
                                </w:rPr>
                              </w:pPr>
                              <w:r w:rsidRPr="000A01BF">
                                <w:rPr>
                                  <w:rFonts w:asciiTheme="minorHAnsi" w:hAnsiTheme="minorHAnsi"/>
                                  <w:sz w:val="20"/>
                                  <w:szCs w:val="20"/>
                                </w:rPr>
                                <w:t>What did CEW contribute to the</w:t>
                              </w:r>
                              <w:r>
                                <w:rPr>
                                  <w:rFonts w:asciiTheme="minorHAnsi" w:hAnsiTheme="minorHAnsi"/>
                                  <w:sz w:val="20"/>
                                  <w:szCs w:val="20"/>
                                </w:rPr>
                                <w:t xml:space="preserve"> expected</w:t>
                              </w:r>
                              <w:r w:rsidRPr="000A01BF">
                                <w:rPr>
                                  <w:rFonts w:asciiTheme="minorHAnsi" w:hAnsiTheme="minorHAnsi"/>
                                  <w:sz w:val="20"/>
                                  <w:szCs w:val="20"/>
                                </w:rPr>
                                <w:t xml:space="preserve"> quality of food resources for higher trophic organisms? </w:t>
                              </w:r>
                            </w:p>
                            <w:p w14:paraId="0F55863D" w14:textId="1EA31DDC" w:rsidR="00A8252A" w:rsidRPr="000A01BF" w:rsidRDefault="00A8252A" w:rsidP="00FB1173">
                              <w:pPr>
                                <w:pStyle w:val="NormalWeb"/>
                                <w:contextualSpacing/>
                                <w:rPr>
                                  <w:rFonts w:asciiTheme="minorHAnsi" w:hAnsiTheme="minorHAnsi"/>
                                  <w:sz w:val="20"/>
                                  <w:szCs w:val="20"/>
                                </w:rPr>
                              </w:pPr>
                            </w:p>
                          </w:txbxContent>
                        </wps:txbx>
                        <wps:bodyPr rot="0" vert="horz" wrap="square" lIns="91440" tIns="45720" rIns="91440" bIns="45720" anchor="t" anchorCtr="0" upright="1">
                          <a:noAutofit/>
                        </wps:bodyPr>
                      </wps:wsp>
                      <wps:wsp>
                        <wps:cNvPr id="1456" name="TextBox 16"/>
                        <wps:cNvSpPr txBox="1">
                          <a:spLocks noChangeArrowheads="1"/>
                        </wps:cNvSpPr>
                        <wps:spPr bwMode="auto">
                          <a:xfrm>
                            <a:off x="41529" y="47689"/>
                            <a:ext cx="9665" cy="2883"/>
                          </a:xfrm>
                          <a:prstGeom prst="rect">
                            <a:avLst/>
                          </a:prstGeom>
                          <a:solidFill>
                            <a:schemeClr val="tx2">
                              <a:lumMod val="40000"/>
                              <a:lumOff val="60000"/>
                            </a:schemeClr>
                          </a:solidFill>
                          <a:ln w="9525">
                            <a:solidFill>
                              <a:schemeClr val="tx1"/>
                            </a:solidFill>
                            <a:miter lim="800000"/>
                            <a:headEnd/>
                            <a:tailEnd/>
                          </a:ln>
                        </wps:spPr>
                        <wps:txbx>
                          <w:txbxContent>
                            <w:p w14:paraId="5F0B8B41" w14:textId="77777777" w:rsidR="00A8252A" w:rsidRPr="003A56DE" w:rsidRDefault="00A8252A" w:rsidP="00FB1173">
                              <w:pPr>
                                <w:pStyle w:val="NormalWeb"/>
                                <w:spacing w:before="0" w:beforeAutospacing="0" w:after="0" w:afterAutospacing="0"/>
                                <w:jc w:val="center"/>
                                <w:rPr>
                                  <w:sz w:val="22"/>
                                </w:rPr>
                              </w:pPr>
                              <w:r>
                                <w:rPr>
                                  <w:rFonts w:asciiTheme="minorHAnsi" w:hAnsi="Calibri" w:cstheme="minorBidi"/>
                                  <w:color w:val="000000" w:themeColor="text1"/>
                                  <w:kern w:val="24"/>
                                  <w:sz w:val="20"/>
                                </w:rPr>
                                <w:t>Haney trap</w:t>
                              </w:r>
                            </w:p>
                          </w:txbxContent>
                        </wps:txbx>
                        <wps:bodyPr rot="0" vert="horz" wrap="square" lIns="91440" tIns="45720" rIns="91440" bIns="45720" anchor="t" anchorCtr="0" upright="1">
                          <a:noAutofit/>
                        </wps:bodyPr>
                      </wps:wsp>
                      <wps:wsp>
                        <wps:cNvPr id="1457" name="Straight Arrow Connector 16"/>
                        <wps:cNvCnPr>
                          <a:cxnSpLocks noChangeShapeType="1"/>
                        </wps:cNvCnPr>
                        <wps:spPr bwMode="auto">
                          <a:xfrm flipH="1" flipV="1">
                            <a:off x="49068" y="27798"/>
                            <a:ext cx="0" cy="7939"/>
                          </a:xfrm>
                          <a:prstGeom prst="straightConnector1">
                            <a:avLst/>
                          </a:prstGeom>
                          <a:noFill/>
                          <a:ln w="9525">
                            <a:solidFill>
                              <a:schemeClr val="tx1"/>
                            </a:solidFill>
                            <a:round/>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s:wsp>
                        <wps:cNvPr id="1458" name="TextBox 24"/>
                        <wps:cNvSpPr txBox="1">
                          <a:spLocks noChangeArrowheads="1"/>
                        </wps:cNvSpPr>
                        <wps:spPr bwMode="auto">
                          <a:xfrm>
                            <a:off x="27288" y="23419"/>
                            <a:ext cx="12784" cy="4201"/>
                          </a:xfrm>
                          <a:prstGeom prst="rect">
                            <a:avLst/>
                          </a:prstGeom>
                          <a:noFill/>
                          <a:ln w="9525">
                            <a:solidFill>
                              <a:schemeClr val="tx1"/>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solidFill>
                                  <a:srgbClr val="FFFFFF"/>
                                </a:solidFill>
                              </a14:hiddenFill>
                            </a:ext>
                          </a:extLst>
                        </wps:spPr>
                        <wps:txbx>
                          <w:txbxContent>
                            <w:p w14:paraId="58EA2630" w14:textId="77777777" w:rsidR="00A8252A" w:rsidRPr="003A56DE" w:rsidRDefault="00A8252A" w:rsidP="00FB1173">
                              <w:pPr>
                                <w:pStyle w:val="NormalWeb"/>
                                <w:spacing w:before="0" w:beforeAutospacing="0" w:after="0" w:afterAutospacing="0"/>
                                <w:jc w:val="center"/>
                                <w:rPr>
                                  <w:sz w:val="22"/>
                                </w:rPr>
                              </w:pPr>
                              <w:r>
                                <w:rPr>
                                  <w:rFonts w:asciiTheme="minorHAnsi" w:hAnsi="Calibri" w:cstheme="minorBidi"/>
                                  <w:color w:val="000000" w:themeColor="text1"/>
                                  <w:kern w:val="24"/>
                                  <w:sz w:val="20"/>
                                </w:rPr>
                                <w:t>Food resource quality</w:t>
                              </w:r>
                            </w:p>
                          </w:txbxContent>
                        </wps:txbx>
                        <wps:bodyPr rot="0" vert="horz" wrap="square" lIns="91440" tIns="45720" rIns="91440" bIns="45720" anchor="t" anchorCtr="0" upright="1">
                          <a:noAutofit/>
                        </wps:bodyPr>
                      </wps:wsp>
                      <wps:wsp>
                        <wps:cNvPr id="1459" name="Straight Arrow Connector 18"/>
                        <wps:cNvCnPr>
                          <a:cxnSpLocks noChangeShapeType="1"/>
                          <a:endCxn id="1458" idx="2"/>
                        </wps:cNvCnPr>
                        <wps:spPr bwMode="auto">
                          <a:xfrm flipH="1" flipV="1">
                            <a:off x="33678" y="27620"/>
                            <a:ext cx="191" cy="8559"/>
                          </a:xfrm>
                          <a:prstGeom prst="straightConnector1">
                            <a:avLst/>
                          </a:prstGeom>
                          <a:noFill/>
                          <a:ln w="9525">
                            <a:solidFill>
                              <a:schemeClr val="tx1"/>
                            </a:solidFill>
                            <a:round/>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s:wsp>
                        <wps:cNvPr id="1460" name="TextBox 28"/>
                        <wps:cNvSpPr txBox="1">
                          <a:spLocks noChangeArrowheads="1"/>
                        </wps:cNvSpPr>
                        <wps:spPr bwMode="auto">
                          <a:xfrm>
                            <a:off x="28812" y="47412"/>
                            <a:ext cx="9124" cy="3474"/>
                          </a:xfrm>
                          <a:prstGeom prst="rect">
                            <a:avLst/>
                          </a:prstGeom>
                          <a:solidFill>
                            <a:schemeClr val="tx2">
                              <a:lumMod val="40000"/>
                              <a:lumOff val="60000"/>
                            </a:schemeClr>
                          </a:solidFill>
                          <a:ln w="9525">
                            <a:solidFill>
                              <a:schemeClr val="tx1"/>
                            </a:solidFill>
                            <a:miter lim="800000"/>
                            <a:headEnd/>
                            <a:tailEnd/>
                          </a:ln>
                        </wps:spPr>
                        <wps:txbx>
                          <w:txbxContent>
                            <w:p w14:paraId="29C7D6A8" w14:textId="77777777" w:rsidR="00A8252A" w:rsidRPr="003A56DE" w:rsidRDefault="00A8252A" w:rsidP="00FB1173">
                              <w:pPr>
                                <w:pStyle w:val="NormalWeb"/>
                                <w:spacing w:before="0" w:beforeAutospacing="0" w:after="0" w:afterAutospacing="0"/>
                                <w:jc w:val="center"/>
                                <w:rPr>
                                  <w:sz w:val="20"/>
                                </w:rPr>
                              </w:pPr>
                              <w:r>
                                <w:rPr>
                                  <w:rFonts w:asciiTheme="minorHAnsi" w:hAnsi="Calibri" w:cstheme="minorBidi"/>
                                  <w:color w:val="000000" w:themeColor="text1"/>
                                  <w:kern w:val="24"/>
                                  <w:sz w:val="20"/>
                                </w:rPr>
                                <w:t>Hand tows</w:t>
                              </w:r>
                            </w:p>
                          </w:txbxContent>
                        </wps:txbx>
                        <wps:bodyPr rot="0" vert="horz" wrap="square" lIns="91440" tIns="45720" rIns="91440" bIns="45720" anchor="t" anchorCtr="0" upright="1">
                          <a:noAutofit/>
                        </wps:bodyPr>
                      </wps:wsp>
                    </wpg:wgp>
                  </a:graphicData>
                </a:graphic>
              </wp:inline>
            </w:drawing>
          </mc:Choice>
          <mc:Fallback>
            <w:pict>
              <v:group w14:anchorId="07376764" id="Group 82" o:spid="_x0000_s1072" style="width:482.6pt;height:327.2pt;mso-position-horizontal-relative:char;mso-position-vertical-relative:line" coordorigin="10146,8392" coordsize="68794,42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">
                <v:line id="Straight Connector 4" o:spid="_x0000_s1073" style="position:absolute;visibility:visible;mso-wrap-style:square" from="10436,21492" to="78843,21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sscAAADdAAAADwAAAGRycy9kb3ducmV2LnhtbESPQUvDQBCF74L/YRmhN7vRBilpt0XE&#10;QgU9GD20t2l2mqRmZ5fston/3jkIvc3w3rz3zXI9uk5dqI+tZwMP0wwUceVty7WB76/N/RxUTMgW&#10;O89k4JcirFe3N0ssrB/4ky5lqpWEcCzQQJNSKLSOVUMO49QHYtGOvneYZO1rbXscJNx1+jHLnrTD&#10;lqWhwUAvDVU/5dkZSCc7G+rdLOj88O7LDxfm+9c3YyZ34/MCVKIxXc3/11sr+HkuuPKNjK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jMuyxwAAAN0AAAAPAAAAAAAA&#10;AAAAAAAAAKECAABkcnMvZG93bnJldi54bWxQSwUGAAAAAAQABAD5AAAAlQMAAAAA&#10;" strokecolor="black [3213]" strokeweight="1.5pt">
                  <v:stroke dashstyle="3 1"/>
                </v:line>
                <v:line id="Straight Connector 5" o:spid="_x0000_s1074" style="position:absolute;visibility:visible;mso-wrap-style:square" from="10533,31118" to="78940,3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BuKcQAAADdAAAADwAAAGRycy9kb3ducmV2LnhtbERPTWvCQBC9C/0PyxR60001iE1dRcSC&#10;gh5Me2hv0+w0SZudXbKrif/eFYTe5vE+Z77sTSPO1PrasoLnUQKCuLC65lLBx/vbcAbCB2SNjWVS&#10;cCEPy8XDYI6Zth0f6ZyHUsQQ9hkqqEJwmZS+qMigH1lHHLkf2xoMEbal1C12Mdw0cpwkU2mw5thQ&#10;oaN1RcVffjIKwq+edOXnxMn0e2/zg3Gzr81OqafHfvUKIlAf/sV391bH+Wn6Ardv4gl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wG4pxAAAAN0AAAAPAAAAAAAAAAAA&#10;AAAAAKECAABkcnMvZG93bnJldi54bWxQSwUGAAAAAAQABAD5AAAAkgMAAAAA&#10;" strokecolor="black [3213]" strokeweight="1.5pt">
                  <v:stroke dashstyle="3 1"/>
                </v:line>
                <v:line id="Straight Connector 6" o:spid="_x0000_s1075" style="position:absolute;visibility:visible;mso-wrap-style:square" from="10533,42963" to="78940,4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NRaccAAADdAAAADwAAAGRycy9kb3ducmV2LnhtbESPQU/CQBCF7yT8h82QeIMtgoZUFmKM&#10;JpjgwepBb2N3bCvd2U13ofXfMwcSbjN5b977Zr0dXKtO1MXGs4H5LANFXHrbcGXg8+NlugIVE7LF&#10;1jMZ+KcI2814tMbc+p7f6VSkSkkIxxwN1CmFXOtY1uQwznwgFu3Xdw6TrF2lbYe9hLtW32bZvXbY&#10;sDTUGOippvJQHJ2B9GcXffW1CHr5s/fFmwur7+dXY24mw+MDqERDupov1zsr+Ms74ZdvZAS9O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I1FpxwAAAN0AAAAPAAAAAAAA&#10;AAAAAAAAAKECAABkcnMvZG93bnJldi54bWxQSwUGAAAAAAQABAD5AAAAlQMAAAAA&#10;" strokecolor="black [3213]" strokeweight="1.5pt">
                  <v:stroke dashstyle="3 1"/>
                </v:line>
                <v:shape id="TextBox 10" o:spid="_x0000_s1076" type="#_x0000_t202" style="position:absolute;left:10146;top:11037;width:9974;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6EvsYA&#10;AADdAAAADwAAAGRycy9kb3ducmV2LnhtbESPQW/CMAyF70j8h8iTdoMUGIN1BITokDiyDrar15i2&#10;onGqJivdfj1BQtrN1nvf8/Ni1ZlKtNS40rKC0TACQZxZXXKu4PCxHcxBOI+ssbJMCn7JwWrZ7y0w&#10;1vbC79SmPhchhF2MCgrv61hKlxVk0A1tTRy0k20M+rA2udQNXkK4qeQ4ip6lwZLDhQJr2hSUndMf&#10;E2qMvw6TZJ/SbIbfk+Tt7/hy+qyUenzo1q8gPHX+33yndzpwT9MR3L4JI8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6EvsYAAADdAAAADwAAAAAAAAAAAAAAAACYAgAAZHJz&#10;L2Rvd25yZXYueG1sUEsFBgAAAAAEAAQA9QAAAIsDAAAAAA==&#10;" filled="f">
                  <v:textbox>
                    <w:txbxContent>
                      <w:p w14:paraId="2F08C2EA" w14:textId="77777777" w:rsidR="00A8252A" w:rsidRPr="002C0A72" w:rsidRDefault="00A8252A" w:rsidP="00FB1173">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Reporting</w:t>
                        </w:r>
                      </w:p>
                    </w:txbxContent>
                  </v:textbox>
                </v:shape>
                <v:shape id="TextBox 11" o:spid="_x0000_s1077" type="#_x0000_t202" style="position:absolute;left:10436;top:26187;width:11224;height:2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ayccA&#10;AADdAAAADwAAAGRycy9kb3ducmV2LnhtbESPzW7CMBCE70i8g7WVeiNOQ1towKCqtBJHCD+9LvGS&#10;RMTrKHYh8PQ1UqXedjXzzc5O552pxZlaV1lW8BTFIIhzqysuFGw3X4MxCOeRNdaWScGVHMxn/d4U&#10;U20vvKZz5gsRQtilqKD0vkmldHlJBl1kG+KgHW1r0Ie1LaRu8RLCTS2TOH6VBisOF0ps6KOk/JT9&#10;mFAj+d4OF6uMRiM8DBeft93bcV8r9fjQvU9AeOr8v/mPXurAPb8kcP8mjC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cGsnHAAAA3QAAAA8AAAAAAAAAAAAAAAAAmAIAAGRy&#10;cy9kb3ducmV2LnhtbFBLBQYAAAAABAAEAPUAAACMAwAAAAA=&#10;" filled="f">
                  <v:textbox>
                    <w:txbxContent>
                      <w:p w14:paraId="7E2A448D" w14:textId="77777777" w:rsidR="00A8252A" w:rsidRPr="002C0A72" w:rsidRDefault="00A8252A" w:rsidP="00FB1173">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Evaluation</w:t>
                        </w:r>
                      </w:p>
                    </w:txbxContent>
                  </v:textbox>
                </v:shape>
                <v:shape id="TextBox 12" o:spid="_x0000_s1078" type="#_x0000_t202" style="position:absolute;left:10533;top:35738;width:9183;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UscA&#10;AADdAAAADwAAAGRycy9kb3ducmV2LnhtbESPzW7CMBCE70h9B2srcSNOCeUnxaCqUIkjpBSu23hJ&#10;osbrKDaQ9ulrpErcdjXzzc7Ol52pxYVaV1lW8BTFIIhzqysuFOw/3gdTEM4ja6wtk4IfcrBcPPTm&#10;mGp75R1dMl+IEMIuRQWl900qpctLMugi2xAH7WRbgz6sbSF1i9cQbmo5jOOxNFhxuFBiQ28l5d/Z&#10;2YQaw+M+WW0zmkzwK1mtfz9np0OtVP+xe30B4anzd/M/vdGBGz0ncPsmjC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Qv1LHAAAA3QAAAA8AAAAAAAAAAAAAAAAAmAIAAGRy&#10;cy9kb3ducmV2LnhtbFBLBQYAAAAABAAEAPUAAACMAwAAAAA=&#10;" filled="f">
                  <v:textbox>
                    <w:txbxContent>
                      <w:p w14:paraId="3694C23F" w14:textId="77777777" w:rsidR="00A8252A" w:rsidRPr="002C0A72" w:rsidRDefault="00A8252A" w:rsidP="00FB1173">
                        <w:pPr>
                          <w:pStyle w:val="NormalWeb"/>
                          <w:spacing w:before="0" w:beforeAutospacing="0" w:after="0" w:afterAutospacing="0"/>
                          <w:rPr>
                            <w:sz w:val="26"/>
                            <w:szCs w:val="26"/>
                          </w:rPr>
                        </w:pPr>
                        <w:r w:rsidRPr="00C1640F">
                          <w:rPr>
                            <w:rFonts w:asciiTheme="minorHAnsi" w:hAnsi="Calibri" w:cstheme="minorBidi"/>
                            <w:color w:val="000000" w:themeColor="text1"/>
                            <w:kern w:val="24"/>
                            <w:sz w:val="26"/>
                            <w:szCs w:val="26"/>
                          </w:rPr>
                          <w:t>Analysis</w:t>
                        </w:r>
                      </w:p>
                    </w:txbxContent>
                  </v:textbox>
                </v:shape>
                <v:shape id="TextBox 13" o:spid="_x0000_s1079" type="#_x0000_t202" style="position:absolute;left:10436;top:45093;width:15120;height:5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nJsYA&#10;AADdAAAADwAAAGRycy9kb3ducmV2LnhtbESPzW7CMBCE70i8g7VIvYHDX4GAQVUpEkeaQntd4iWJ&#10;Gq+j2IXA02MkpN52NfPNzi5WjSnFmWpXWFbQ70UgiFOrC84U7L823SkI55E1lpZJwZUcrJbt1gJj&#10;bS/8SefEZyKEsItRQe59FUvp0pwMup6tiIN2srVBH9Y6k7rGSwg3pRxE0as0WHC4kGNF7zmlv8mf&#10;CTUGP/vhepfQZILH4frjdpidvkulXjrN2xyEp8b/m5/0VgduNB7B45swgl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knJsYAAADdAAAADwAAAAAAAAAAAAAAAACYAgAAZHJz&#10;L2Rvd25yZXYueG1sUEsFBgAAAAAEAAQA9QAAAIsDAAAAAA==&#10;" filled="f">
                  <v:textbox>
                    <w:txbxContent>
                      <w:p w14:paraId="03ECA975" w14:textId="77777777" w:rsidR="00A8252A" w:rsidRPr="002C0A72" w:rsidRDefault="00A8252A" w:rsidP="00FB1173">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Field measurement</w:t>
                        </w:r>
                      </w:p>
                    </w:txbxContent>
                  </v:textbox>
                </v:shape>
                <v:shape id="TextBox 14" o:spid="_x0000_s1080" type="#_x0000_t202" style="position:absolute;left:20602;top:8392;width:57509;height:10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UosUA&#10;AADdAAAADwAAAGRycy9kb3ducmV2LnhtbERPS2vCQBC+F/wPywi96aalPohugiYIInpQi/Q4ZMck&#10;NDsbsluN/75bEHqbj+85y7Q3jbhR52rLCt7GEQjiwuqaSwWf581oDsJ5ZI2NZVLwIAdpMnhZYqzt&#10;nY90O/lShBB2MSqovG9jKV1RkUE3ti1x4K62M+gD7EqpO7yHcNPI9yiaSoM1h4YKW8oqKr5PP0bB&#10;9vzYHWfZYWp26/xrf5Hussn3Sr0O+9UChKfe/4uf7q0O8z8mE/j7Jpw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hSixQAAAN0AAAAPAAAAAAAAAAAAAAAAAJgCAABkcnMv&#10;ZG93bnJldi54bWxQSwUGAAAAAAQABAD1AAAAigMAAAAA&#10;" filled="f" strokecolor="black [3213]">
                  <v:textbox>
                    <w:txbxContent>
                      <w:p w14:paraId="292D9452" w14:textId="77777777" w:rsidR="00A8252A" w:rsidRPr="000A01BF" w:rsidRDefault="00A8252A" w:rsidP="00FB1173">
                        <w:pPr>
                          <w:pStyle w:val="NormalWeb"/>
                          <w:contextualSpacing/>
                          <w:rPr>
                            <w:rFonts w:asciiTheme="minorHAnsi" w:hAnsiTheme="minorHAnsi"/>
                            <w:sz w:val="20"/>
                            <w:szCs w:val="20"/>
                          </w:rPr>
                        </w:pPr>
                        <w:r w:rsidRPr="000A01BF">
                          <w:rPr>
                            <w:rFonts w:asciiTheme="minorHAnsi" w:hAnsiTheme="minorHAnsi"/>
                            <w:sz w:val="20"/>
                            <w:szCs w:val="20"/>
                          </w:rPr>
                          <w:t>What did CEW contribute to microinvertebrate diversity and abundance?</w:t>
                        </w:r>
                      </w:p>
                      <w:p w14:paraId="549FC4B6" w14:textId="77777777" w:rsidR="00A8252A" w:rsidRPr="000A01BF" w:rsidRDefault="00A8252A" w:rsidP="00FB1173">
                        <w:pPr>
                          <w:pStyle w:val="NormalWeb"/>
                          <w:contextualSpacing/>
                          <w:rPr>
                            <w:rFonts w:asciiTheme="minorHAnsi" w:hAnsiTheme="minorHAnsi"/>
                            <w:sz w:val="20"/>
                            <w:szCs w:val="20"/>
                          </w:rPr>
                        </w:pPr>
                        <w:r w:rsidRPr="000A01BF">
                          <w:rPr>
                            <w:rFonts w:asciiTheme="minorHAnsi" w:hAnsiTheme="minorHAnsi"/>
                            <w:sz w:val="20"/>
                            <w:szCs w:val="20"/>
                          </w:rPr>
                          <w:t>What did CEW contribute via longitudinal and lateral connectivity to microinvertebrate communities?</w:t>
                        </w:r>
                      </w:p>
                      <w:p w14:paraId="104A596E" w14:textId="357F448A" w:rsidR="00A8252A" w:rsidRPr="000A01BF" w:rsidRDefault="00A8252A" w:rsidP="00FB1173">
                        <w:pPr>
                          <w:pStyle w:val="NormalWeb"/>
                          <w:contextualSpacing/>
                          <w:rPr>
                            <w:rFonts w:asciiTheme="minorHAnsi" w:hAnsiTheme="minorHAnsi"/>
                            <w:sz w:val="20"/>
                            <w:szCs w:val="20"/>
                          </w:rPr>
                        </w:pPr>
                        <w:r w:rsidRPr="000A01BF">
                          <w:rPr>
                            <w:rFonts w:asciiTheme="minorHAnsi" w:hAnsiTheme="minorHAnsi"/>
                            <w:sz w:val="20"/>
                            <w:szCs w:val="20"/>
                          </w:rPr>
                          <w:t>What did CEW contribute to the</w:t>
                        </w:r>
                        <w:r>
                          <w:rPr>
                            <w:rFonts w:asciiTheme="minorHAnsi" w:hAnsiTheme="minorHAnsi"/>
                            <w:sz w:val="20"/>
                            <w:szCs w:val="20"/>
                          </w:rPr>
                          <w:t xml:space="preserve"> expected</w:t>
                        </w:r>
                        <w:r w:rsidRPr="000A01BF">
                          <w:rPr>
                            <w:rFonts w:asciiTheme="minorHAnsi" w:hAnsiTheme="minorHAnsi"/>
                            <w:sz w:val="20"/>
                            <w:szCs w:val="20"/>
                          </w:rPr>
                          <w:t xml:space="preserve"> quality of food resources for higher trophic organisms? </w:t>
                        </w:r>
                      </w:p>
                      <w:p w14:paraId="0F55863D" w14:textId="1EA31DDC" w:rsidR="00A8252A" w:rsidRPr="000A01BF" w:rsidRDefault="00A8252A" w:rsidP="00FB1173">
                        <w:pPr>
                          <w:pStyle w:val="NormalWeb"/>
                          <w:contextualSpacing/>
                          <w:rPr>
                            <w:rFonts w:asciiTheme="minorHAnsi" w:hAnsiTheme="minorHAnsi"/>
                            <w:sz w:val="20"/>
                            <w:szCs w:val="20"/>
                          </w:rPr>
                        </w:pPr>
                      </w:p>
                    </w:txbxContent>
                  </v:textbox>
                </v:shape>
                <v:shape id="_x0000_s1081" type="#_x0000_t202" style="position:absolute;left:41529;top:47689;width:9665;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l8IA&#10;AADdAAAADwAAAGRycy9kb3ducmV2LnhtbERPTYvCMBC9C/sfwizsRdZUUZGuUdyFFRE8aMXz0Ixt&#10;sZnUJGr990YQvM3jfc503ppaXMn5yrKCfi8BQZxbXXGhYJ/9f09A+ICssbZMCu7kYT776Ewx1fbG&#10;W7ruQiFiCPsUFZQhNKmUPi/JoO/ZhjhyR+sMhghdIbXDWww3tRwkyVgarDg2lNjQX0n5aXcxCs4H&#10;Wl/yLq8nw/4h2/zywGXJUqmvz3bxAyJQG97il3ul4/zhaAzPb+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T+XwgAAAN0AAAAPAAAAAAAAAAAAAAAAAJgCAABkcnMvZG93&#10;bnJldi54bWxQSwUGAAAAAAQABAD1AAAAhwMAAAAA&#10;" fillcolor="#8db3e2 [1311]" strokecolor="black [3213]">
                  <v:textbox>
                    <w:txbxContent>
                      <w:p w14:paraId="5F0B8B41" w14:textId="77777777" w:rsidR="00A8252A" w:rsidRPr="003A56DE" w:rsidRDefault="00A8252A" w:rsidP="00FB1173">
                        <w:pPr>
                          <w:pStyle w:val="NormalWeb"/>
                          <w:spacing w:before="0" w:beforeAutospacing="0" w:after="0" w:afterAutospacing="0"/>
                          <w:jc w:val="center"/>
                          <w:rPr>
                            <w:sz w:val="22"/>
                          </w:rPr>
                        </w:pPr>
                        <w:r>
                          <w:rPr>
                            <w:rFonts w:asciiTheme="minorHAnsi" w:hAnsi="Calibri" w:cstheme="minorBidi"/>
                            <w:color w:val="000000" w:themeColor="text1"/>
                            <w:kern w:val="24"/>
                            <w:sz w:val="20"/>
                          </w:rPr>
                          <w:t>Haney trap</w:t>
                        </w:r>
                      </w:p>
                    </w:txbxContent>
                  </v:textbox>
                </v:shape>
                <v:shape id="Straight Arrow Connector 16" o:spid="_x0000_s1082" type="#_x0000_t32" style="position:absolute;left:49068;top:27798;width:0;height:79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69cscAAADdAAAADwAAAGRycy9kb3ducmV2LnhtbESPQWvCQBCF70L/wzIFb3XTolaiq9iU&#10;Qr0UTUXxNmSnSTA7m2bXJP57t1DwNsN78743i1VvKtFS40rLCp5HEQjizOqScwX774+nGQjnkTVW&#10;lknBlRyslg+DBcbadryjNvW5CCHsYlRQeF/HUrqsIINuZGvioP3YxqAPa5NL3WAXwk0lX6JoKg2W&#10;HAgF1pQUlJ3TiwmQ3+t2mrSH9zY9avlmLqfNF26UGj726zkIT72/m/+vP3WoP568wt83YQS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3r1yxwAAAN0AAAAPAAAAAAAA&#10;AAAAAAAAAKECAABkcnMvZG93bnJldi54bWxQSwUGAAAAAAQABAD5AAAAlQMAAAAA&#10;" strokecolor="black [3213]">
                  <v:stroke endarrow="open"/>
                </v:shape>
                <v:shape id="_x0000_s1083" type="#_x0000_t202" style="position:absolute;left:27288;top:23419;width:12784;height:4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7PMcA&#10;AADdAAAADwAAAGRycy9kb3ducmV2LnhtbESPT2vCQBDF70K/wzIFb3VTUVtSV/EPgogeokV6HLLT&#10;JDQ7G7Krxm/vHAreZnhv3vvNdN65Wl2pDZVnA++DBBRx7m3FhYHv0+btE1SIyBZrz2TgTgHms5fe&#10;FFPrb5zR9RgLJSEcUjRQxtikWoe8JIdh4Bti0X596zDK2hbatniTcFfrYZJMtMOKpaHEhlYl5X/H&#10;izOwPd132cfqMHG75fpnf9bhvFnvjem/dosvUJG6+DT/X2+t4I/GgivfyAh6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vuzzHAAAA3QAAAA8AAAAAAAAAAAAAAAAAmAIAAGRy&#10;cy9kb3ducmV2LnhtbFBLBQYAAAAABAAEAPUAAACMAwAAAAA=&#10;" filled="f" strokecolor="black [3213]">
                  <v:textbox>
                    <w:txbxContent>
                      <w:p w14:paraId="58EA2630" w14:textId="77777777" w:rsidR="00A8252A" w:rsidRPr="003A56DE" w:rsidRDefault="00A8252A" w:rsidP="00FB1173">
                        <w:pPr>
                          <w:pStyle w:val="NormalWeb"/>
                          <w:spacing w:before="0" w:beforeAutospacing="0" w:after="0" w:afterAutospacing="0"/>
                          <w:jc w:val="center"/>
                          <w:rPr>
                            <w:sz w:val="22"/>
                          </w:rPr>
                        </w:pPr>
                        <w:r>
                          <w:rPr>
                            <w:rFonts w:asciiTheme="minorHAnsi" w:hAnsi="Calibri" w:cstheme="minorBidi"/>
                            <w:color w:val="000000" w:themeColor="text1"/>
                            <w:kern w:val="24"/>
                            <w:sz w:val="20"/>
                          </w:rPr>
                          <w:t>Food resource quality</w:t>
                        </w:r>
                      </w:p>
                    </w:txbxContent>
                  </v:textbox>
                </v:shape>
                <v:shape id="Straight Arrow Connector 18" o:spid="_x0000_s1084" type="#_x0000_t32" style="position:absolute;left:33678;top:27620;width:191;height:85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2Mm8cAAADdAAAADwAAAGRycy9kb3ducmV2LnhtbESPQWvCQBCF70L/wzIFb3XTolKjq9iU&#10;Qr0UTUXxNmSnSTA7m2bXJP57t1DwNsN78743i1VvKtFS40rLCp5HEQjizOqScwX774+nVxDOI2us&#10;LJOCKzlYLR8GC4y17XhHbepzEULYxaig8L6OpXRZQQbdyNbEQfuxjUEf1iaXusEuhJtKvkTRVBos&#10;ORAKrCkpKDunFxMgv9ftNGkP72161PLNXE6bL9woNXzs13MQnnp/N/9ff+pQfzyZwd83YQS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DYybxwAAAN0AAAAPAAAAAAAA&#10;AAAAAAAAAKECAABkcnMvZG93bnJldi54bWxQSwUGAAAAAAQABAD5AAAAlQMAAAAA&#10;" strokecolor="black [3213]">
                  <v:stroke endarrow="open"/>
                </v:shape>
                <v:shape id="TextBox 28" o:spid="_x0000_s1085" type="#_x0000_t202" style="position:absolute;left:28812;top:47412;width:9124;height:3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IxcYA&#10;AADdAAAADwAAAGRycy9kb3ducmV2LnhtbESPQWvCQBCF74X+h2UKXkrdKCKSZiNtoUWEHjTieciO&#10;STA7m+6umv77zqHgbYb35r1vivXoenWlEDvPBmbTDBRx7W3HjYFD9fmyAhUTssXeMxn4pQjr8vGh&#10;wNz6G+/ouk+NkhCOORpoUxpyrWPdksM49QOxaCcfHCZZQ6NtwJuEu17Ps2ypHXYsDS0O9NFSfd5f&#10;nIGfI20v9TNvV4vZsfp+53mosi9jJk/j2yuoRGO6m/+vN1bwF0vhl29kBF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jIxcYAAADdAAAADwAAAAAAAAAAAAAAAACYAgAAZHJz&#10;L2Rvd25yZXYueG1sUEsFBgAAAAAEAAQA9QAAAIsDAAAAAA==&#10;" fillcolor="#8db3e2 [1311]" strokecolor="black [3213]">
                  <v:textbox>
                    <w:txbxContent>
                      <w:p w14:paraId="29C7D6A8" w14:textId="77777777" w:rsidR="00A8252A" w:rsidRPr="003A56DE" w:rsidRDefault="00A8252A" w:rsidP="00FB1173">
                        <w:pPr>
                          <w:pStyle w:val="NormalWeb"/>
                          <w:spacing w:before="0" w:beforeAutospacing="0" w:after="0" w:afterAutospacing="0"/>
                          <w:jc w:val="center"/>
                          <w:rPr>
                            <w:sz w:val="20"/>
                          </w:rPr>
                        </w:pPr>
                        <w:r>
                          <w:rPr>
                            <w:rFonts w:asciiTheme="minorHAnsi" w:hAnsi="Calibri" w:cstheme="minorBidi"/>
                            <w:color w:val="000000" w:themeColor="text1"/>
                            <w:kern w:val="24"/>
                            <w:sz w:val="20"/>
                          </w:rPr>
                          <w:t>Hand tows</w:t>
                        </w:r>
                      </w:p>
                    </w:txbxContent>
                  </v:textbox>
                </v:shape>
                <w10:anchorlock/>
              </v:group>
            </w:pict>
          </mc:Fallback>
        </mc:AlternateContent>
      </w:r>
    </w:p>
    <w:p w14:paraId="7C75B4C9" w14:textId="77777777" w:rsidR="00FB1173" w:rsidRDefault="00FB1173" w:rsidP="00FB1173">
      <w:pPr>
        <w:pStyle w:val="Caption"/>
      </w:pPr>
    </w:p>
    <w:p w14:paraId="4AA56BD8" w14:textId="31B24558" w:rsidR="00FB1173" w:rsidRPr="0007165A" w:rsidRDefault="00FB1173" w:rsidP="00FB1173">
      <w:pPr>
        <w:pStyle w:val="Caption"/>
      </w:pPr>
      <w:bookmarkStart w:id="1875" w:name="_Ref397515975"/>
      <w:r>
        <w:t>Figure B.</w:t>
      </w:r>
      <w:r>
        <w:rPr>
          <w:noProof/>
        </w:rPr>
        <w:fldChar w:fldCharType="begin"/>
      </w:r>
      <w:r>
        <w:rPr>
          <w:noProof/>
        </w:rPr>
        <w:instrText xml:space="preserve"> SEQ Figure_B. \* ARABIC </w:instrText>
      </w:r>
      <w:r>
        <w:rPr>
          <w:noProof/>
        </w:rPr>
        <w:fldChar w:fldCharType="separate"/>
      </w:r>
      <w:r w:rsidR="00DF49CD">
        <w:rPr>
          <w:noProof/>
        </w:rPr>
        <w:t>11</w:t>
      </w:r>
      <w:r>
        <w:rPr>
          <w:noProof/>
        </w:rPr>
        <w:fldChar w:fldCharType="end"/>
      </w:r>
      <w:bookmarkEnd w:id="1875"/>
      <w:r w:rsidRPr="0007165A">
        <w:t xml:space="preserve">. Schematic of key elements of the LTIM Standard Protocol: </w:t>
      </w:r>
      <w:r w:rsidRPr="00715B8B">
        <w:rPr>
          <w:i/>
        </w:rPr>
        <w:t>Microinvertebrate</w:t>
      </w:r>
      <w:r w:rsidR="00715B8B" w:rsidRPr="00715B8B">
        <w:rPr>
          <w:i/>
        </w:rPr>
        <w:t xml:space="preserve"> A</w:t>
      </w:r>
      <w:r w:rsidRPr="00715B8B">
        <w:rPr>
          <w:i/>
        </w:rPr>
        <w:t>ssemblage</w:t>
      </w:r>
      <w:r>
        <w:t>.</w:t>
      </w:r>
    </w:p>
    <w:p w14:paraId="47271BCE" w14:textId="358CCAD2" w:rsidR="00FB1173" w:rsidRPr="00525AE9" w:rsidRDefault="00FB1173" w:rsidP="00FB1173">
      <w:pPr>
        <w:pStyle w:val="Heading2"/>
      </w:pPr>
      <w:bookmarkStart w:id="1876" w:name="_Toc396825352"/>
      <w:bookmarkStart w:id="1877" w:name="_Toc6403924"/>
      <w:bookmarkStart w:id="1878" w:name="_Toc10095299"/>
      <w:bookmarkStart w:id="1879" w:name="_Toc10192468"/>
      <w:bookmarkStart w:id="1880" w:name="_Toc10206783"/>
      <w:bookmarkStart w:id="1881" w:name="_Toc10213369"/>
      <w:bookmarkStart w:id="1882" w:name="_Toc10732393"/>
      <w:bookmarkStart w:id="1883" w:name="_Toc10796952"/>
      <w:bookmarkStart w:id="1884" w:name="_Toc12022837"/>
      <w:bookmarkStart w:id="1885" w:name="_Toc12630667"/>
      <w:bookmarkStart w:id="1886" w:name="_Toc16154527"/>
      <w:bookmarkStart w:id="1887" w:name="_Toc22196889"/>
      <w:r w:rsidRPr="00525AE9">
        <w:t>Relevant ecosystem types</w:t>
      </w:r>
      <w:bookmarkEnd w:id="1876"/>
      <w:bookmarkEnd w:id="1877"/>
      <w:bookmarkEnd w:id="1878"/>
      <w:bookmarkEnd w:id="1879"/>
      <w:bookmarkEnd w:id="1880"/>
      <w:bookmarkEnd w:id="1881"/>
      <w:bookmarkEnd w:id="1882"/>
      <w:bookmarkEnd w:id="1883"/>
      <w:bookmarkEnd w:id="1884"/>
      <w:bookmarkEnd w:id="1885"/>
      <w:bookmarkEnd w:id="1886"/>
      <w:bookmarkEnd w:id="1887"/>
    </w:p>
    <w:p w14:paraId="42627B9D" w14:textId="77777777" w:rsidR="00FB1173" w:rsidRPr="00525AE9" w:rsidRDefault="00FB1173" w:rsidP="00FB1173">
      <w:r w:rsidRPr="00525AE9">
        <w:t>River</w:t>
      </w:r>
      <w:r>
        <w:t>s.</w:t>
      </w:r>
    </w:p>
    <w:p w14:paraId="572CFE57" w14:textId="77777777" w:rsidR="00FB1173" w:rsidRPr="00525AE9" w:rsidRDefault="00FB1173" w:rsidP="00FB1173">
      <w:pPr>
        <w:pStyle w:val="Heading2"/>
        <w:contextualSpacing/>
      </w:pPr>
      <w:bookmarkStart w:id="1888" w:name="_Toc396825353"/>
      <w:bookmarkStart w:id="1889" w:name="_Toc6403925"/>
      <w:bookmarkStart w:id="1890" w:name="_Toc10095300"/>
      <w:bookmarkStart w:id="1891" w:name="_Toc10192469"/>
      <w:bookmarkStart w:id="1892" w:name="_Toc10206784"/>
      <w:bookmarkStart w:id="1893" w:name="_Toc10213370"/>
      <w:bookmarkStart w:id="1894" w:name="_Toc10732394"/>
      <w:bookmarkStart w:id="1895" w:name="_Toc10796953"/>
      <w:bookmarkStart w:id="1896" w:name="_Toc12022838"/>
      <w:bookmarkStart w:id="1897" w:name="_Toc12630668"/>
      <w:bookmarkStart w:id="1898" w:name="_Toc16154528"/>
      <w:bookmarkStart w:id="1899" w:name="_Toc22196890"/>
      <w:r w:rsidRPr="00525AE9">
        <w:t>Relevant flow types</w:t>
      </w:r>
      <w:bookmarkEnd w:id="1888"/>
      <w:bookmarkEnd w:id="1889"/>
      <w:bookmarkEnd w:id="1890"/>
      <w:bookmarkEnd w:id="1891"/>
      <w:bookmarkEnd w:id="1892"/>
      <w:bookmarkEnd w:id="1893"/>
      <w:bookmarkEnd w:id="1894"/>
      <w:bookmarkEnd w:id="1895"/>
      <w:bookmarkEnd w:id="1896"/>
      <w:bookmarkEnd w:id="1897"/>
      <w:bookmarkEnd w:id="1898"/>
      <w:bookmarkEnd w:id="1899"/>
    </w:p>
    <w:p w14:paraId="7426344E" w14:textId="77777777" w:rsidR="00FB1173" w:rsidRPr="00E42A64" w:rsidRDefault="00FB1173" w:rsidP="00FB1173">
      <w:pPr>
        <w:rPr>
          <w:rFonts w:cstheme="minorHAnsi"/>
          <w:szCs w:val="22"/>
        </w:rPr>
      </w:pPr>
      <w:bookmarkStart w:id="1900" w:name="_Toc396825354"/>
      <w:bookmarkStart w:id="1901" w:name="_Toc6403926"/>
      <w:r w:rsidRPr="00E42A64">
        <w:rPr>
          <w:rFonts w:cstheme="minorHAnsi"/>
          <w:szCs w:val="22"/>
        </w:rPr>
        <w:t>These methods describe annual monitoring conducted during the period October to January of each year independent of specific watering events. The methods are therefore relevant to all flow types (baseflow, freshes, bankfull and overbank).</w:t>
      </w:r>
    </w:p>
    <w:p w14:paraId="78B19955" w14:textId="77777777" w:rsidR="00FB1173" w:rsidRDefault="00FB1173" w:rsidP="00FB1173">
      <w:pPr>
        <w:pStyle w:val="Heading2"/>
      </w:pPr>
      <w:bookmarkStart w:id="1902" w:name="_Toc10095301"/>
      <w:bookmarkStart w:id="1903" w:name="_Toc10192470"/>
      <w:bookmarkStart w:id="1904" w:name="_Toc10206785"/>
      <w:bookmarkStart w:id="1905" w:name="_Toc10213371"/>
      <w:bookmarkStart w:id="1906" w:name="_Toc10732395"/>
      <w:bookmarkStart w:id="1907" w:name="_Toc10796954"/>
      <w:bookmarkStart w:id="1908" w:name="_Toc12022839"/>
      <w:bookmarkStart w:id="1909" w:name="_Toc12630669"/>
      <w:bookmarkStart w:id="1910" w:name="_Toc16154529"/>
      <w:bookmarkStart w:id="1911" w:name="_Toc22196891"/>
      <w:r w:rsidRPr="00525AE9">
        <w:t>Overview and context</w:t>
      </w:r>
      <w:bookmarkEnd w:id="1900"/>
      <w:bookmarkEnd w:id="1901"/>
      <w:bookmarkEnd w:id="1902"/>
      <w:bookmarkEnd w:id="1903"/>
      <w:bookmarkEnd w:id="1904"/>
      <w:bookmarkEnd w:id="1905"/>
      <w:bookmarkEnd w:id="1906"/>
      <w:bookmarkEnd w:id="1907"/>
      <w:bookmarkEnd w:id="1908"/>
      <w:bookmarkEnd w:id="1909"/>
      <w:bookmarkEnd w:id="1910"/>
      <w:bookmarkEnd w:id="1911"/>
    </w:p>
    <w:p w14:paraId="50543B9A" w14:textId="18E85DAD" w:rsidR="00FB1173" w:rsidRDefault="00FB1173" w:rsidP="00FB1173">
      <w:pPr>
        <w:rPr>
          <w:rFonts w:cstheme="minorHAnsi"/>
          <w:lang w:eastAsia="en-AU"/>
        </w:rPr>
      </w:pPr>
      <w:bookmarkStart w:id="1912" w:name="_Toc396825355"/>
      <w:bookmarkStart w:id="1913" w:name="_Toc6403927"/>
      <w:r w:rsidRPr="00E42A64">
        <w:rPr>
          <w:rFonts w:cstheme="minorHAnsi"/>
          <w:szCs w:val="22"/>
        </w:rPr>
        <w:t xml:space="preserve">These methods describe monitoring required for the </w:t>
      </w:r>
      <w:r>
        <w:rPr>
          <w:rFonts w:cstheme="minorHAnsi"/>
          <w:szCs w:val="22"/>
        </w:rPr>
        <w:t>Selected Area</w:t>
      </w:r>
      <w:r w:rsidRPr="00E42A64">
        <w:rPr>
          <w:rFonts w:cstheme="minorHAnsi"/>
          <w:szCs w:val="22"/>
        </w:rPr>
        <w:t xml:space="preserve"> evaluation of </w:t>
      </w:r>
      <w:r>
        <w:rPr>
          <w:rFonts w:cstheme="minorHAnsi"/>
          <w:szCs w:val="22"/>
        </w:rPr>
        <w:t xml:space="preserve">the </w:t>
      </w:r>
      <w:r w:rsidRPr="00E42A64">
        <w:rPr>
          <w:rFonts w:cstheme="minorHAnsi"/>
          <w:szCs w:val="22"/>
        </w:rPr>
        <w:t xml:space="preserve">microinvertebrate </w:t>
      </w:r>
      <w:r>
        <w:rPr>
          <w:rFonts w:cstheme="minorHAnsi"/>
          <w:szCs w:val="22"/>
        </w:rPr>
        <w:t>assemblage</w:t>
      </w:r>
      <w:r w:rsidRPr="00E42A64">
        <w:rPr>
          <w:rFonts w:cstheme="minorHAnsi"/>
          <w:szCs w:val="22"/>
        </w:rPr>
        <w:t xml:space="preserve"> in response to Commonwealth environmental water. The methods describe the sampling design and protocol for main stream potamoplankton</w:t>
      </w:r>
      <w:r>
        <w:rPr>
          <w:rFonts w:cstheme="minorHAnsi"/>
          <w:szCs w:val="22"/>
        </w:rPr>
        <w:t xml:space="preserve"> sampling</w:t>
      </w:r>
      <w:r w:rsidRPr="00E42A64">
        <w:rPr>
          <w:rFonts w:cstheme="minorHAnsi"/>
          <w:szCs w:val="22"/>
        </w:rPr>
        <w:t xml:space="preserve"> </w:t>
      </w:r>
      <w:r>
        <w:rPr>
          <w:rFonts w:cstheme="minorHAnsi"/>
          <w:szCs w:val="22"/>
        </w:rPr>
        <w:t>in the</w:t>
      </w:r>
      <w:r w:rsidRPr="00E42A64">
        <w:rPr>
          <w:rFonts w:cstheme="minorHAnsi"/>
          <w:szCs w:val="22"/>
        </w:rPr>
        <w:t xml:space="preserve"> </w:t>
      </w:r>
      <w:r w:rsidRPr="00C304CC">
        <w:rPr>
          <w:rFonts w:cstheme="minorHAnsi"/>
          <w:szCs w:val="22"/>
        </w:rPr>
        <w:t>Lower Murray</w:t>
      </w:r>
      <w:r w:rsidRPr="00E42A64">
        <w:rPr>
          <w:rFonts w:cstheme="minorHAnsi"/>
          <w:szCs w:val="22"/>
        </w:rPr>
        <w:t>.</w:t>
      </w:r>
      <w:r>
        <w:rPr>
          <w:rFonts w:cstheme="minorHAnsi"/>
          <w:szCs w:val="22"/>
        </w:rPr>
        <w:t xml:space="preserve"> </w:t>
      </w:r>
      <w:r w:rsidRPr="006768A6">
        <w:rPr>
          <w:rFonts w:cstheme="minorHAnsi"/>
          <w:szCs w:val="22"/>
        </w:rPr>
        <w:t xml:space="preserve">Refer </w:t>
      </w:r>
      <w:r w:rsidRPr="00A64C0A">
        <w:rPr>
          <w:rFonts w:cstheme="minorHAnsi"/>
          <w:szCs w:val="22"/>
        </w:rPr>
        <w:t xml:space="preserve">to </w:t>
      </w:r>
      <w:r w:rsidR="00A64C0A" w:rsidRPr="00A64C0A">
        <w:rPr>
          <w:rFonts w:cstheme="minorHAnsi"/>
          <w:szCs w:val="22"/>
        </w:rPr>
        <w:t xml:space="preserve">Section </w:t>
      </w:r>
      <w:r w:rsidR="00A64C0A" w:rsidRPr="00A64C0A">
        <w:rPr>
          <w:rFonts w:cstheme="minorHAnsi"/>
          <w:szCs w:val="22"/>
        </w:rPr>
        <w:fldChar w:fldCharType="begin"/>
      </w:r>
      <w:r w:rsidR="00A64C0A" w:rsidRPr="00A64C0A">
        <w:rPr>
          <w:rFonts w:cstheme="minorHAnsi"/>
          <w:szCs w:val="22"/>
        </w:rPr>
        <w:instrText xml:space="preserve"> REF _Ref10197058 \r \h </w:instrText>
      </w:r>
      <w:r w:rsidR="00A64C0A">
        <w:rPr>
          <w:rFonts w:cstheme="minorHAnsi"/>
          <w:szCs w:val="22"/>
        </w:rPr>
        <w:instrText xml:space="preserve"> \* MERGEFORMAT </w:instrText>
      </w:r>
      <w:r w:rsidR="00A64C0A" w:rsidRPr="00A64C0A">
        <w:rPr>
          <w:rFonts w:cstheme="minorHAnsi"/>
          <w:szCs w:val="22"/>
        </w:rPr>
      </w:r>
      <w:r w:rsidR="00A64C0A" w:rsidRPr="00A64C0A">
        <w:rPr>
          <w:rFonts w:cstheme="minorHAnsi"/>
          <w:szCs w:val="22"/>
        </w:rPr>
        <w:fldChar w:fldCharType="separate"/>
      </w:r>
      <w:r w:rsidR="00DF49CD">
        <w:rPr>
          <w:rFonts w:cstheme="minorHAnsi"/>
          <w:szCs w:val="22"/>
        </w:rPr>
        <w:t>5.2.4</w:t>
      </w:r>
      <w:r w:rsidR="00A64C0A" w:rsidRPr="00A64C0A">
        <w:rPr>
          <w:rFonts w:cstheme="minorHAnsi"/>
          <w:szCs w:val="22"/>
        </w:rPr>
        <w:fldChar w:fldCharType="end"/>
      </w:r>
      <w:r w:rsidRPr="00A64C0A">
        <w:rPr>
          <w:rFonts w:cstheme="minorHAnsi"/>
          <w:szCs w:val="22"/>
          <w:lang w:eastAsia="en-AU"/>
        </w:rPr>
        <w:t xml:space="preserve"> in</w:t>
      </w:r>
      <w:r w:rsidRPr="006768A6">
        <w:rPr>
          <w:rFonts w:cstheme="minorHAnsi"/>
          <w:szCs w:val="22"/>
          <w:lang w:eastAsia="en-AU"/>
        </w:rPr>
        <w:t xml:space="preserve"> the </w:t>
      </w:r>
      <w:r>
        <w:rPr>
          <w:rFonts w:cstheme="minorHAnsi"/>
          <w:szCs w:val="22"/>
          <w:lang w:eastAsia="en-AU"/>
        </w:rPr>
        <w:t>MER</w:t>
      </w:r>
      <w:r w:rsidRPr="006768A6">
        <w:rPr>
          <w:rFonts w:cstheme="minorHAnsi"/>
          <w:szCs w:val="22"/>
          <w:lang w:eastAsia="en-AU"/>
        </w:rPr>
        <w:t xml:space="preserve"> Plan for background information, objectives and hypotheses, outputs and staff involvement for </w:t>
      </w:r>
      <w:r w:rsidRPr="00715B8B">
        <w:rPr>
          <w:rFonts w:cstheme="minorHAnsi"/>
          <w:i/>
          <w:szCs w:val="22"/>
          <w:lang w:eastAsia="en-AU"/>
        </w:rPr>
        <w:t xml:space="preserve">Microinvertebrate </w:t>
      </w:r>
      <w:r w:rsidR="00715B8B" w:rsidRPr="00715B8B">
        <w:rPr>
          <w:rFonts w:cstheme="minorHAnsi"/>
          <w:i/>
          <w:szCs w:val="22"/>
          <w:lang w:eastAsia="en-AU"/>
        </w:rPr>
        <w:t>A</w:t>
      </w:r>
      <w:r w:rsidRPr="00715B8B">
        <w:rPr>
          <w:rFonts w:cstheme="minorHAnsi"/>
          <w:i/>
          <w:szCs w:val="22"/>
          <w:lang w:eastAsia="en-AU"/>
        </w:rPr>
        <w:t>ssemblage</w:t>
      </w:r>
      <w:r w:rsidRPr="006768A6">
        <w:rPr>
          <w:rFonts w:cstheme="minorHAnsi"/>
          <w:szCs w:val="22"/>
          <w:lang w:eastAsia="en-AU"/>
        </w:rPr>
        <w:t>.</w:t>
      </w:r>
    </w:p>
    <w:p w14:paraId="4A7F682C" w14:textId="27280A05" w:rsidR="00FB1173" w:rsidRPr="00E42A64" w:rsidRDefault="00FB1173" w:rsidP="00FB1173">
      <w:pPr>
        <w:rPr>
          <w:rFonts w:cstheme="minorHAnsi"/>
          <w:szCs w:val="22"/>
        </w:rPr>
      </w:pPr>
      <w:r w:rsidRPr="00E42A64">
        <w:rPr>
          <w:rFonts w:cstheme="minorHAnsi"/>
          <w:szCs w:val="22"/>
        </w:rPr>
        <w:t xml:space="preserve">Sampling will be from October through to late January each year </w:t>
      </w:r>
      <w:r>
        <w:rPr>
          <w:rFonts w:cstheme="minorHAnsi"/>
          <w:szCs w:val="22"/>
        </w:rPr>
        <w:t>in conjunc</w:t>
      </w:r>
      <w:r w:rsidR="00A64C0A">
        <w:rPr>
          <w:rFonts w:cstheme="minorHAnsi"/>
          <w:szCs w:val="22"/>
        </w:rPr>
        <w:t xml:space="preserve">tion with </w:t>
      </w:r>
      <w:r w:rsidR="00A64C0A" w:rsidRPr="00A64C0A">
        <w:rPr>
          <w:rFonts w:cstheme="minorHAnsi"/>
          <w:i/>
          <w:szCs w:val="22"/>
        </w:rPr>
        <w:t>Stream M</w:t>
      </w:r>
      <w:r w:rsidRPr="00A64C0A">
        <w:rPr>
          <w:rFonts w:cstheme="minorHAnsi"/>
          <w:i/>
          <w:szCs w:val="22"/>
        </w:rPr>
        <w:t>etabolism</w:t>
      </w:r>
      <w:r w:rsidR="00A64C0A" w:rsidRPr="00A64C0A">
        <w:rPr>
          <w:rFonts w:cstheme="minorHAnsi"/>
          <w:i/>
          <w:szCs w:val="22"/>
        </w:rPr>
        <w:t xml:space="preserve"> and Water Quality</w:t>
      </w:r>
      <w:r>
        <w:rPr>
          <w:rFonts w:cstheme="minorHAnsi"/>
          <w:szCs w:val="22"/>
        </w:rPr>
        <w:t xml:space="preserve"> sampling</w:t>
      </w:r>
      <w:r w:rsidRPr="00E42A64">
        <w:rPr>
          <w:rFonts w:cstheme="minorHAnsi"/>
          <w:szCs w:val="22"/>
        </w:rPr>
        <w:t xml:space="preserve"> (</w:t>
      </w:r>
      <w:r w:rsidRPr="00A64C0A">
        <w:rPr>
          <w:rFonts w:cstheme="minorHAnsi"/>
          <w:szCs w:val="22"/>
        </w:rPr>
        <w:t xml:space="preserve">see </w:t>
      </w:r>
      <w:r w:rsidR="00A64C0A" w:rsidRPr="00A64C0A">
        <w:rPr>
          <w:rFonts w:cstheme="minorHAnsi"/>
          <w:szCs w:val="22"/>
        </w:rPr>
        <w:t>SOP</w:t>
      </w:r>
      <w:r w:rsidR="00A64C0A">
        <w:rPr>
          <w:rFonts w:cstheme="minorHAnsi"/>
          <w:szCs w:val="22"/>
        </w:rPr>
        <w:t xml:space="preserve"> for </w:t>
      </w:r>
      <w:r w:rsidR="00A64C0A" w:rsidRPr="00A64C0A">
        <w:rPr>
          <w:rFonts w:cstheme="minorHAnsi"/>
          <w:i/>
          <w:szCs w:val="22"/>
        </w:rPr>
        <w:t>Stream Metabolism and Water Quality</w:t>
      </w:r>
      <w:r w:rsidRPr="00A64C0A">
        <w:rPr>
          <w:rFonts w:cstheme="minorHAnsi"/>
          <w:szCs w:val="22"/>
        </w:rPr>
        <w:t>).</w:t>
      </w:r>
      <w:r w:rsidRPr="00E42A64">
        <w:rPr>
          <w:rFonts w:cstheme="minorHAnsi"/>
          <w:szCs w:val="22"/>
        </w:rPr>
        <w:t xml:space="preserve"> Pelagic habitats will be sampled with a 4-l Haney trap (quantitative, 3</w:t>
      </w:r>
      <w:r>
        <w:rPr>
          <w:rFonts w:cstheme="minorHAnsi"/>
          <w:szCs w:val="22"/>
        </w:rPr>
        <w:t>–5</w:t>
      </w:r>
      <w:r w:rsidRPr="00E42A64">
        <w:rPr>
          <w:rFonts w:cstheme="minorHAnsi"/>
          <w:szCs w:val="22"/>
        </w:rPr>
        <w:t xml:space="preserve"> bulked trap volumes) and a 37 µm-mesh plankton tow (qualitative). The trap provides a site-specific density, but the small volume underestimates zooplankton diversity. The net tow samples a greater volume, and thereby provides a more representative diversity estimate.</w:t>
      </w:r>
    </w:p>
    <w:p w14:paraId="14CC4909" w14:textId="77777777" w:rsidR="00FB1173" w:rsidRPr="00E42A64" w:rsidRDefault="00FB1173" w:rsidP="00FB1173">
      <w:pPr>
        <w:spacing w:after="40"/>
        <w:rPr>
          <w:rFonts w:cstheme="minorHAnsi"/>
          <w:szCs w:val="22"/>
        </w:rPr>
      </w:pPr>
      <w:r w:rsidRPr="00E42A64">
        <w:rPr>
          <w:rFonts w:cstheme="minorHAnsi"/>
          <w:szCs w:val="22"/>
        </w:rPr>
        <w:lastRenderedPageBreak/>
        <w:t>Covariates include:</w:t>
      </w:r>
    </w:p>
    <w:p w14:paraId="7C1AAB11" w14:textId="77777777" w:rsidR="00FB1173" w:rsidRPr="00E42A64" w:rsidRDefault="00FB1173" w:rsidP="00C77254">
      <w:pPr>
        <w:pStyle w:val="ListParagraph"/>
        <w:numPr>
          <w:ilvl w:val="0"/>
          <w:numId w:val="46"/>
        </w:numPr>
        <w:ind w:left="765" w:hanging="357"/>
        <w:rPr>
          <w:rFonts w:cstheme="minorHAnsi"/>
          <w:szCs w:val="22"/>
        </w:rPr>
      </w:pPr>
      <w:r w:rsidRPr="00E42A64">
        <w:rPr>
          <w:rFonts w:cstheme="minorHAnsi"/>
          <w:szCs w:val="22"/>
        </w:rPr>
        <w:t>Dissolved oxygen</w:t>
      </w:r>
    </w:p>
    <w:p w14:paraId="2621B259" w14:textId="77777777" w:rsidR="00FB1173" w:rsidRPr="00E42A64" w:rsidRDefault="00FB1173" w:rsidP="00C77254">
      <w:pPr>
        <w:pStyle w:val="ListParagraph"/>
        <w:numPr>
          <w:ilvl w:val="0"/>
          <w:numId w:val="46"/>
        </w:numPr>
        <w:ind w:left="765" w:hanging="357"/>
        <w:rPr>
          <w:rFonts w:cstheme="minorHAnsi"/>
          <w:szCs w:val="22"/>
        </w:rPr>
      </w:pPr>
      <w:r w:rsidRPr="00E42A64">
        <w:rPr>
          <w:rFonts w:cstheme="minorHAnsi"/>
          <w:szCs w:val="22"/>
        </w:rPr>
        <w:t>Salinity/electrical conductivity</w:t>
      </w:r>
    </w:p>
    <w:p w14:paraId="75C3CDE1" w14:textId="77777777" w:rsidR="00FB1173" w:rsidRPr="00E42A64" w:rsidRDefault="00FB1173" w:rsidP="00C77254">
      <w:pPr>
        <w:pStyle w:val="ListParagraph"/>
        <w:numPr>
          <w:ilvl w:val="0"/>
          <w:numId w:val="46"/>
        </w:numPr>
        <w:ind w:left="765" w:hanging="357"/>
        <w:rPr>
          <w:rFonts w:cstheme="minorHAnsi"/>
          <w:szCs w:val="22"/>
        </w:rPr>
      </w:pPr>
      <w:r w:rsidRPr="00E42A64">
        <w:rPr>
          <w:rFonts w:cstheme="minorHAnsi"/>
          <w:szCs w:val="22"/>
        </w:rPr>
        <w:t>Discharge/flow</w:t>
      </w:r>
    </w:p>
    <w:p w14:paraId="73BE30DD" w14:textId="77777777" w:rsidR="00FB1173" w:rsidRPr="00E42A64" w:rsidRDefault="00FB1173" w:rsidP="00C77254">
      <w:pPr>
        <w:pStyle w:val="ListParagraph"/>
        <w:numPr>
          <w:ilvl w:val="0"/>
          <w:numId w:val="46"/>
        </w:numPr>
        <w:ind w:left="765" w:hanging="357"/>
        <w:rPr>
          <w:rFonts w:cstheme="minorHAnsi"/>
          <w:szCs w:val="22"/>
        </w:rPr>
      </w:pPr>
      <w:r w:rsidRPr="00E42A64">
        <w:rPr>
          <w:rFonts w:cstheme="minorHAnsi"/>
          <w:szCs w:val="22"/>
        </w:rPr>
        <w:t>Water temperature</w:t>
      </w:r>
    </w:p>
    <w:p w14:paraId="62657F80" w14:textId="77777777" w:rsidR="00FB1173" w:rsidRPr="00E42A64" w:rsidRDefault="00FB1173" w:rsidP="00C77254">
      <w:pPr>
        <w:pStyle w:val="ListParagraph"/>
        <w:numPr>
          <w:ilvl w:val="0"/>
          <w:numId w:val="46"/>
        </w:numPr>
        <w:ind w:left="765" w:hanging="357"/>
        <w:rPr>
          <w:rFonts w:cstheme="minorHAnsi"/>
          <w:szCs w:val="22"/>
        </w:rPr>
      </w:pPr>
      <w:r w:rsidRPr="00E42A64">
        <w:rPr>
          <w:rFonts w:cstheme="minorHAnsi"/>
          <w:szCs w:val="22"/>
        </w:rPr>
        <w:t>Turbidity</w:t>
      </w:r>
    </w:p>
    <w:p w14:paraId="6AD93D05" w14:textId="77777777" w:rsidR="00FB1173" w:rsidRPr="00E42A64" w:rsidRDefault="00FB1173" w:rsidP="00C77254">
      <w:pPr>
        <w:pStyle w:val="ListParagraph"/>
        <w:numPr>
          <w:ilvl w:val="0"/>
          <w:numId w:val="46"/>
        </w:numPr>
        <w:ind w:left="765" w:hanging="357"/>
        <w:rPr>
          <w:rFonts w:cstheme="minorHAnsi"/>
          <w:szCs w:val="22"/>
        </w:rPr>
      </w:pPr>
      <w:r w:rsidRPr="00E42A64">
        <w:rPr>
          <w:rFonts w:cstheme="minorHAnsi"/>
          <w:szCs w:val="22"/>
        </w:rPr>
        <w:t>Relative water level.</w:t>
      </w:r>
    </w:p>
    <w:p w14:paraId="2B06DBC2" w14:textId="77777777" w:rsidR="00FB1173" w:rsidRDefault="00FB1173" w:rsidP="00FB1173">
      <w:pPr>
        <w:pStyle w:val="Heading2"/>
      </w:pPr>
      <w:bookmarkStart w:id="1914" w:name="_Toc10095302"/>
      <w:bookmarkStart w:id="1915" w:name="_Toc10192471"/>
      <w:bookmarkStart w:id="1916" w:name="_Toc10206786"/>
      <w:bookmarkStart w:id="1917" w:name="_Toc10213372"/>
      <w:bookmarkStart w:id="1918" w:name="_Toc10732396"/>
      <w:bookmarkStart w:id="1919" w:name="_Toc10796955"/>
      <w:bookmarkStart w:id="1920" w:name="_Toc12022840"/>
      <w:bookmarkStart w:id="1921" w:name="_Toc12630670"/>
      <w:bookmarkStart w:id="1922" w:name="_Toc16154530"/>
      <w:bookmarkStart w:id="1923" w:name="_Toc22196892"/>
      <w:r>
        <w:t>Complementary monitoring and data</w:t>
      </w:r>
      <w:bookmarkEnd w:id="1912"/>
      <w:bookmarkEnd w:id="1913"/>
      <w:bookmarkEnd w:id="1914"/>
      <w:bookmarkEnd w:id="1915"/>
      <w:bookmarkEnd w:id="1916"/>
      <w:bookmarkEnd w:id="1917"/>
      <w:bookmarkEnd w:id="1918"/>
      <w:bookmarkEnd w:id="1919"/>
      <w:bookmarkEnd w:id="1920"/>
      <w:bookmarkEnd w:id="1921"/>
      <w:bookmarkEnd w:id="1922"/>
      <w:bookmarkEnd w:id="1923"/>
    </w:p>
    <w:p w14:paraId="41296D87" w14:textId="28B71827" w:rsidR="00FB1173" w:rsidRPr="00E42A64" w:rsidRDefault="00FB1173" w:rsidP="00FB1173">
      <w:pPr>
        <w:rPr>
          <w:rFonts w:cstheme="minorHAnsi"/>
          <w:szCs w:val="22"/>
        </w:rPr>
      </w:pPr>
      <w:bookmarkStart w:id="1924" w:name="_Toc396825356"/>
      <w:bookmarkStart w:id="1925" w:name="_Toc6403928"/>
      <w:r>
        <w:rPr>
          <w:rFonts w:cstheme="minorHAnsi"/>
          <w:szCs w:val="22"/>
        </w:rPr>
        <w:t>Phytoplankton assemblage information will be collected</w:t>
      </w:r>
      <w:r w:rsidR="00FF799D">
        <w:rPr>
          <w:rFonts w:cstheme="minorHAnsi"/>
          <w:szCs w:val="22"/>
        </w:rPr>
        <w:t xml:space="preserve"> via </w:t>
      </w:r>
      <w:r w:rsidR="00FF799D" w:rsidRPr="00FF799D">
        <w:rPr>
          <w:rFonts w:cstheme="minorHAnsi"/>
          <w:i/>
          <w:szCs w:val="22"/>
        </w:rPr>
        <w:t>Stream Metabolism and Water Quality</w:t>
      </w:r>
      <w:r w:rsidR="00FF799D">
        <w:rPr>
          <w:rFonts w:cstheme="minorHAnsi"/>
          <w:szCs w:val="22"/>
        </w:rPr>
        <w:t xml:space="preserve"> indicator and</w:t>
      </w:r>
      <w:r>
        <w:rPr>
          <w:rFonts w:cstheme="minorHAnsi"/>
          <w:szCs w:val="22"/>
        </w:rPr>
        <w:t xml:space="preserve"> as part of the research component of the MER Project. Larvae of large-bodied species will be collected through </w:t>
      </w:r>
      <w:r w:rsidRPr="001E4123">
        <w:rPr>
          <w:rFonts w:cstheme="minorHAnsi"/>
          <w:i/>
          <w:szCs w:val="22"/>
        </w:rPr>
        <w:t xml:space="preserve">Murray </w:t>
      </w:r>
      <w:r w:rsidR="001E4123" w:rsidRPr="001E4123">
        <w:rPr>
          <w:rFonts w:cstheme="minorHAnsi"/>
          <w:i/>
          <w:szCs w:val="22"/>
        </w:rPr>
        <w:t>Cod Recruitment</w:t>
      </w:r>
      <w:r w:rsidR="001E4123">
        <w:rPr>
          <w:rFonts w:cstheme="minorHAnsi"/>
          <w:szCs w:val="22"/>
        </w:rPr>
        <w:t xml:space="preserve"> and </w:t>
      </w:r>
      <w:r w:rsidR="00BF2864">
        <w:rPr>
          <w:rFonts w:cstheme="minorHAnsi"/>
          <w:szCs w:val="22"/>
        </w:rPr>
        <w:t>contingency monitoring larval sampling</w:t>
      </w:r>
      <w:r>
        <w:rPr>
          <w:rFonts w:cstheme="minorHAnsi"/>
          <w:szCs w:val="22"/>
        </w:rPr>
        <w:t>. These data or samples may be used during the microinvertebrate assemblage assessment.</w:t>
      </w:r>
    </w:p>
    <w:p w14:paraId="6D5BBBE4" w14:textId="77777777" w:rsidR="00FB1173" w:rsidRPr="004B7CC1" w:rsidRDefault="00FB1173" w:rsidP="00FB1173">
      <w:pPr>
        <w:pStyle w:val="Heading2"/>
      </w:pPr>
      <w:bookmarkStart w:id="1926" w:name="_Toc10095303"/>
      <w:bookmarkStart w:id="1927" w:name="_Toc10192472"/>
      <w:bookmarkStart w:id="1928" w:name="_Toc10206787"/>
      <w:bookmarkStart w:id="1929" w:name="_Toc10213373"/>
      <w:bookmarkStart w:id="1930" w:name="_Toc10732397"/>
      <w:bookmarkStart w:id="1931" w:name="_Toc10796956"/>
      <w:bookmarkStart w:id="1932" w:name="_Toc12022841"/>
      <w:bookmarkStart w:id="1933" w:name="_Toc12630671"/>
      <w:bookmarkStart w:id="1934" w:name="_Toc16154531"/>
      <w:bookmarkStart w:id="1935" w:name="_Toc22196893"/>
      <w:r w:rsidRPr="004B7CC1">
        <w:t>Monitoring locations and timing</w:t>
      </w:r>
      <w:bookmarkEnd w:id="1924"/>
      <w:bookmarkEnd w:id="1925"/>
      <w:bookmarkEnd w:id="1926"/>
      <w:bookmarkEnd w:id="1927"/>
      <w:bookmarkEnd w:id="1928"/>
      <w:bookmarkEnd w:id="1929"/>
      <w:bookmarkEnd w:id="1930"/>
      <w:bookmarkEnd w:id="1931"/>
      <w:bookmarkEnd w:id="1932"/>
      <w:bookmarkEnd w:id="1933"/>
      <w:bookmarkEnd w:id="1934"/>
      <w:bookmarkEnd w:id="1935"/>
    </w:p>
    <w:p w14:paraId="73441096" w14:textId="77777777" w:rsidR="00FB1173" w:rsidRPr="00CC3FC1" w:rsidRDefault="00FB1173" w:rsidP="00FB1173">
      <w:pPr>
        <w:pStyle w:val="Heading3"/>
      </w:pPr>
      <w:bookmarkStart w:id="1936" w:name="_Toc6403929"/>
      <w:bookmarkStart w:id="1937" w:name="_Toc10095304"/>
      <w:bookmarkStart w:id="1938" w:name="_Toc10192473"/>
      <w:bookmarkStart w:id="1939" w:name="_Toc10206788"/>
      <w:bookmarkStart w:id="1940" w:name="_Toc10213374"/>
      <w:bookmarkStart w:id="1941" w:name="_Toc10732398"/>
      <w:bookmarkStart w:id="1942" w:name="_Toc10796957"/>
      <w:bookmarkStart w:id="1943" w:name="_Toc12022842"/>
      <w:bookmarkStart w:id="1944" w:name="_Toc12630672"/>
      <w:bookmarkStart w:id="1945" w:name="_Toc16154532"/>
      <w:bookmarkStart w:id="1946" w:name="_Toc22196894"/>
      <w:bookmarkStart w:id="1947" w:name="_Toc396825357"/>
      <w:bookmarkStart w:id="1948" w:name="_Toc6403931"/>
      <w:r>
        <w:t>Locations</w:t>
      </w:r>
      <w:bookmarkEnd w:id="1936"/>
      <w:bookmarkEnd w:id="1937"/>
      <w:bookmarkEnd w:id="1938"/>
      <w:bookmarkEnd w:id="1939"/>
      <w:bookmarkEnd w:id="1940"/>
      <w:bookmarkEnd w:id="1941"/>
      <w:bookmarkEnd w:id="1942"/>
      <w:bookmarkEnd w:id="1943"/>
      <w:bookmarkEnd w:id="1944"/>
      <w:bookmarkEnd w:id="1945"/>
      <w:bookmarkEnd w:id="1946"/>
    </w:p>
    <w:p w14:paraId="153D46F3" w14:textId="77777777" w:rsidR="00FB1173" w:rsidRPr="00E42A64" w:rsidRDefault="00FB1173" w:rsidP="00FB1173">
      <w:pPr>
        <w:rPr>
          <w:rFonts w:cstheme="minorHAnsi"/>
          <w:bCs/>
          <w:szCs w:val="22"/>
        </w:rPr>
      </w:pPr>
      <w:r w:rsidRPr="00E42A64">
        <w:rPr>
          <w:rFonts w:cstheme="minorHAnsi"/>
          <w:bCs/>
          <w:szCs w:val="22"/>
        </w:rPr>
        <w:t xml:space="preserve">Sampling for microinvertebrates will be conducted at </w:t>
      </w:r>
      <w:r>
        <w:rPr>
          <w:rFonts w:cstheme="minorHAnsi"/>
          <w:bCs/>
          <w:szCs w:val="22"/>
        </w:rPr>
        <w:t xml:space="preserve">one site within </w:t>
      </w:r>
      <w:r w:rsidRPr="00E42A64">
        <w:rPr>
          <w:rFonts w:cstheme="minorHAnsi"/>
          <w:bCs/>
          <w:szCs w:val="22"/>
        </w:rPr>
        <w:t>t</w:t>
      </w:r>
      <w:r>
        <w:rPr>
          <w:rFonts w:cstheme="minorHAnsi"/>
          <w:bCs/>
          <w:szCs w:val="22"/>
        </w:rPr>
        <w:t>hree</w:t>
      </w:r>
      <w:r w:rsidRPr="00E42A64">
        <w:rPr>
          <w:rFonts w:cstheme="minorHAnsi"/>
          <w:bCs/>
          <w:szCs w:val="22"/>
        </w:rPr>
        <w:t xml:space="preserve"> locations in the main channel of the </w:t>
      </w:r>
      <w:r w:rsidRPr="00C304CC">
        <w:rPr>
          <w:rFonts w:cstheme="minorHAnsi"/>
          <w:bCs/>
          <w:szCs w:val="22"/>
        </w:rPr>
        <w:t>Lower Murray</w:t>
      </w:r>
      <w:r w:rsidRPr="00E42A64">
        <w:rPr>
          <w:rFonts w:cstheme="minorHAnsi"/>
          <w:bCs/>
          <w:szCs w:val="22"/>
        </w:rPr>
        <w:t>, approximately 5 kilometres below Lock 1 (</w:t>
      </w:r>
      <w:r w:rsidRPr="00841D07">
        <w:rPr>
          <w:rFonts w:cstheme="minorHAnsi"/>
          <w:bCs/>
          <w:i/>
          <w:szCs w:val="22"/>
        </w:rPr>
        <w:t>Gorge</w:t>
      </w:r>
      <w:r w:rsidRPr="00E42A64">
        <w:rPr>
          <w:rFonts w:cstheme="minorHAnsi"/>
          <w:bCs/>
          <w:szCs w:val="22"/>
        </w:rPr>
        <w:t xml:space="preserve"> zone)</w:t>
      </w:r>
      <w:r>
        <w:rPr>
          <w:rFonts w:cstheme="minorHAnsi"/>
          <w:bCs/>
          <w:szCs w:val="22"/>
        </w:rPr>
        <w:t>, Lock 4</w:t>
      </w:r>
      <w:r w:rsidRPr="00E42A64">
        <w:rPr>
          <w:rFonts w:cstheme="minorHAnsi"/>
          <w:bCs/>
          <w:szCs w:val="22"/>
        </w:rPr>
        <w:t xml:space="preserve"> and </w:t>
      </w:r>
      <w:r>
        <w:rPr>
          <w:rFonts w:cstheme="minorHAnsi"/>
          <w:bCs/>
          <w:szCs w:val="22"/>
        </w:rPr>
        <w:t>L</w:t>
      </w:r>
      <w:r w:rsidRPr="00E42A64">
        <w:rPr>
          <w:rFonts w:cstheme="minorHAnsi"/>
          <w:bCs/>
          <w:szCs w:val="22"/>
        </w:rPr>
        <w:t>ock 6 (</w:t>
      </w:r>
      <w:r w:rsidRPr="00841D07">
        <w:rPr>
          <w:rFonts w:cstheme="minorHAnsi"/>
          <w:bCs/>
          <w:i/>
          <w:szCs w:val="22"/>
        </w:rPr>
        <w:t>Floodplain</w:t>
      </w:r>
      <w:r w:rsidRPr="00E42A64">
        <w:rPr>
          <w:rFonts w:cstheme="minorHAnsi"/>
          <w:bCs/>
          <w:szCs w:val="22"/>
        </w:rPr>
        <w:t xml:space="preserve"> zone).  </w:t>
      </w:r>
    </w:p>
    <w:p w14:paraId="6AD7A6E0" w14:textId="77777777" w:rsidR="00FB1173" w:rsidRPr="00CC3FC1" w:rsidRDefault="00FB1173" w:rsidP="00FB1173">
      <w:pPr>
        <w:pStyle w:val="Heading3"/>
      </w:pPr>
      <w:bookmarkStart w:id="1949" w:name="_Ref396478464"/>
      <w:bookmarkStart w:id="1950" w:name="_Toc6403930"/>
      <w:bookmarkStart w:id="1951" w:name="_Toc10095305"/>
      <w:bookmarkStart w:id="1952" w:name="_Toc10192474"/>
      <w:bookmarkStart w:id="1953" w:name="_Toc10206789"/>
      <w:bookmarkStart w:id="1954" w:name="_Toc10213375"/>
      <w:bookmarkStart w:id="1955" w:name="_Toc10732399"/>
      <w:bookmarkStart w:id="1956" w:name="_Toc10796958"/>
      <w:bookmarkStart w:id="1957" w:name="_Toc12022843"/>
      <w:bookmarkStart w:id="1958" w:name="_Toc12630673"/>
      <w:bookmarkStart w:id="1959" w:name="_Toc16154533"/>
      <w:bookmarkStart w:id="1960" w:name="_Toc22196895"/>
      <w:r w:rsidRPr="00CC3FC1">
        <w:t>Timing</w:t>
      </w:r>
      <w:bookmarkEnd w:id="1949"/>
      <w:bookmarkEnd w:id="1950"/>
      <w:bookmarkEnd w:id="1951"/>
      <w:bookmarkEnd w:id="1952"/>
      <w:bookmarkEnd w:id="1953"/>
      <w:bookmarkEnd w:id="1954"/>
      <w:bookmarkEnd w:id="1955"/>
      <w:bookmarkEnd w:id="1956"/>
      <w:bookmarkEnd w:id="1957"/>
      <w:bookmarkEnd w:id="1958"/>
      <w:bookmarkEnd w:id="1959"/>
      <w:bookmarkEnd w:id="1960"/>
    </w:p>
    <w:p w14:paraId="6E29CDF7" w14:textId="30F5D298" w:rsidR="00FB1173" w:rsidRPr="00DA091C" w:rsidRDefault="00FB1173" w:rsidP="00FB1173">
      <w:r w:rsidRPr="00E42A64">
        <w:rPr>
          <w:rFonts w:cstheme="minorHAnsi"/>
          <w:bCs/>
          <w:szCs w:val="22"/>
        </w:rPr>
        <w:t>At each site</w:t>
      </w:r>
      <w:r>
        <w:rPr>
          <w:rFonts w:cstheme="minorHAnsi"/>
          <w:bCs/>
          <w:szCs w:val="22"/>
        </w:rPr>
        <w:t>,</w:t>
      </w:r>
      <w:r w:rsidRPr="00E42A64">
        <w:rPr>
          <w:rFonts w:cstheme="minorHAnsi"/>
          <w:b/>
          <w:bCs/>
          <w:i/>
          <w:szCs w:val="22"/>
        </w:rPr>
        <w:t xml:space="preserve"> </w:t>
      </w:r>
      <w:r w:rsidRPr="00E42A64">
        <w:rPr>
          <w:rFonts w:cstheme="minorHAnsi"/>
          <w:bCs/>
          <w:szCs w:val="22"/>
        </w:rPr>
        <w:t xml:space="preserve">sampling will occur </w:t>
      </w:r>
      <w:r w:rsidRPr="00E601C5">
        <w:rPr>
          <w:rFonts w:cstheme="minorHAnsi"/>
          <w:bCs/>
          <w:szCs w:val="22"/>
        </w:rPr>
        <w:t>three times during spring and three times during summer, approximately two weeks apart and will coincide with stream metabolism sampling</w:t>
      </w:r>
      <w:r>
        <w:rPr>
          <w:rFonts w:cstheme="minorHAnsi"/>
          <w:bCs/>
          <w:szCs w:val="22"/>
        </w:rPr>
        <w:t xml:space="preserve">. </w:t>
      </w:r>
      <w:r w:rsidR="00A64C0A">
        <w:rPr>
          <w:rFonts w:cs="Calibri"/>
          <w:szCs w:val="22"/>
        </w:rPr>
        <w:t xml:space="preserve">Refer to Section </w:t>
      </w:r>
      <w:r w:rsidR="00A64C0A" w:rsidRPr="00A64C0A">
        <w:rPr>
          <w:rFonts w:cs="Calibri"/>
        </w:rPr>
        <w:fldChar w:fldCharType="begin"/>
      </w:r>
      <w:r w:rsidR="00A64C0A" w:rsidRPr="00A64C0A">
        <w:rPr>
          <w:rFonts w:cs="Calibri"/>
        </w:rPr>
        <w:instrText xml:space="preserve"> REF _Ref10197301 \r \h </w:instrText>
      </w:r>
      <w:r w:rsidR="00A64C0A">
        <w:rPr>
          <w:rFonts w:cs="Calibri"/>
        </w:rPr>
        <w:instrText xml:space="preserve"> \* MERGEFORMAT </w:instrText>
      </w:r>
      <w:r w:rsidR="00A64C0A" w:rsidRPr="00A64C0A">
        <w:rPr>
          <w:rFonts w:cs="Calibri"/>
        </w:rPr>
      </w:r>
      <w:r w:rsidR="00A64C0A" w:rsidRPr="00A64C0A">
        <w:rPr>
          <w:rFonts w:cs="Calibri"/>
        </w:rPr>
        <w:fldChar w:fldCharType="separate"/>
      </w:r>
      <w:r w:rsidR="00DF49CD">
        <w:rPr>
          <w:rFonts w:cs="Calibri"/>
        </w:rPr>
        <w:t>7.2</w:t>
      </w:r>
      <w:r w:rsidR="00A64C0A" w:rsidRPr="00A64C0A">
        <w:rPr>
          <w:rFonts w:cs="Calibri"/>
        </w:rPr>
        <w:fldChar w:fldCharType="end"/>
      </w:r>
      <w:r>
        <w:rPr>
          <w:rFonts w:cs="Calibri"/>
          <w:szCs w:val="22"/>
        </w:rPr>
        <w:t xml:space="preserve"> in the MER Plan for a monthly monitoring</w:t>
      </w:r>
      <w:r w:rsidR="00A64C0A">
        <w:rPr>
          <w:rFonts w:cs="Calibri"/>
          <w:szCs w:val="22"/>
        </w:rPr>
        <w:t xml:space="preserve"> schedule for </w:t>
      </w:r>
      <w:r w:rsidR="00A64C0A" w:rsidRPr="00A64C0A">
        <w:rPr>
          <w:rFonts w:cs="Calibri"/>
          <w:i/>
          <w:szCs w:val="22"/>
        </w:rPr>
        <w:t>Microinvertebrate Assemblage</w:t>
      </w:r>
      <w:r>
        <w:rPr>
          <w:rFonts w:cs="Calibri"/>
          <w:szCs w:val="22"/>
        </w:rPr>
        <w:t>.</w:t>
      </w:r>
    </w:p>
    <w:p w14:paraId="54CF80D4" w14:textId="77777777" w:rsidR="00FB1173" w:rsidRDefault="00FB1173" w:rsidP="00FB1173">
      <w:pPr>
        <w:pStyle w:val="Heading2"/>
      </w:pPr>
      <w:bookmarkStart w:id="1961" w:name="_Toc10095306"/>
      <w:bookmarkStart w:id="1962" w:name="_Toc10192475"/>
      <w:bookmarkStart w:id="1963" w:name="_Toc10206790"/>
      <w:bookmarkStart w:id="1964" w:name="_Toc10213376"/>
      <w:bookmarkStart w:id="1965" w:name="_Toc10732400"/>
      <w:bookmarkStart w:id="1966" w:name="_Toc10796959"/>
      <w:bookmarkStart w:id="1967" w:name="_Toc12022844"/>
      <w:bookmarkStart w:id="1968" w:name="_Toc12630674"/>
      <w:bookmarkStart w:id="1969" w:name="_Toc16154534"/>
      <w:bookmarkStart w:id="1970" w:name="_Toc22196896"/>
      <w:r w:rsidRPr="004B7CC1">
        <w:t>Monitoring protocol</w:t>
      </w:r>
      <w:bookmarkEnd w:id="1947"/>
      <w:bookmarkEnd w:id="1948"/>
      <w:bookmarkEnd w:id="1961"/>
      <w:bookmarkEnd w:id="1962"/>
      <w:bookmarkEnd w:id="1963"/>
      <w:bookmarkEnd w:id="1964"/>
      <w:bookmarkEnd w:id="1965"/>
      <w:bookmarkEnd w:id="1966"/>
      <w:bookmarkEnd w:id="1967"/>
      <w:bookmarkEnd w:id="1968"/>
      <w:bookmarkEnd w:id="1969"/>
      <w:bookmarkEnd w:id="1970"/>
    </w:p>
    <w:p w14:paraId="378E27D9" w14:textId="77777777" w:rsidR="00FB1173" w:rsidRDefault="00FB1173" w:rsidP="00FB1173">
      <w:pPr>
        <w:pStyle w:val="Heading3"/>
      </w:pPr>
      <w:bookmarkStart w:id="1971" w:name="_Toc6403933"/>
      <w:bookmarkStart w:id="1972" w:name="_Toc10095307"/>
      <w:bookmarkStart w:id="1973" w:name="_Toc10192476"/>
      <w:bookmarkStart w:id="1974" w:name="_Toc10206791"/>
      <w:bookmarkStart w:id="1975" w:name="_Toc10213377"/>
      <w:bookmarkStart w:id="1976" w:name="_Toc10732401"/>
      <w:bookmarkStart w:id="1977" w:name="_Toc10796960"/>
      <w:bookmarkStart w:id="1978" w:name="_Toc12022845"/>
      <w:bookmarkStart w:id="1979" w:name="_Toc12630675"/>
      <w:bookmarkStart w:id="1980" w:name="_Toc16154535"/>
      <w:bookmarkStart w:id="1981" w:name="_Toc22196897"/>
      <w:r w:rsidRPr="00CB6419">
        <w:t>Collection of potamoplankton</w:t>
      </w:r>
      <w:bookmarkEnd w:id="1971"/>
      <w:bookmarkEnd w:id="1972"/>
      <w:bookmarkEnd w:id="1973"/>
      <w:bookmarkEnd w:id="1974"/>
      <w:bookmarkEnd w:id="1975"/>
      <w:bookmarkEnd w:id="1976"/>
      <w:bookmarkEnd w:id="1977"/>
      <w:bookmarkEnd w:id="1978"/>
      <w:bookmarkEnd w:id="1979"/>
      <w:bookmarkEnd w:id="1980"/>
      <w:bookmarkEnd w:id="1981"/>
    </w:p>
    <w:p w14:paraId="639B79B6" w14:textId="77777777" w:rsidR="00FB1173" w:rsidRPr="00E42A64" w:rsidRDefault="00FB1173" w:rsidP="00FB1173">
      <w:pPr>
        <w:ind w:left="1"/>
        <w:rPr>
          <w:rFonts w:cstheme="minorHAnsi"/>
          <w:szCs w:val="22"/>
        </w:rPr>
      </w:pPr>
      <w:bookmarkStart w:id="1982" w:name="_Toc6403934"/>
      <w:r w:rsidRPr="00E42A64">
        <w:rPr>
          <w:rFonts w:cstheme="minorHAnsi"/>
          <w:szCs w:val="22"/>
        </w:rPr>
        <w:t xml:space="preserve">Composite trap (Haney trap) samples and a pelagic net tow will also be collected at each site. Three </w:t>
      </w:r>
      <w:r>
        <w:rPr>
          <w:rFonts w:cstheme="minorHAnsi"/>
          <w:szCs w:val="22"/>
        </w:rPr>
        <w:t xml:space="preserve">to five replicate 9 L (4.5 L combined top and bottom depth) </w:t>
      </w:r>
      <w:r w:rsidRPr="00E42A64">
        <w:rPr>
          <w:rFonts w:cstheme="minorHAnsi"/>
          <w:szCs w:val="22"/>
        </w:rPr>
        <w:t>Haney trap samples will be taken</w:t>
      </w:r>
      <w:r>
        <w:rPr>
          <w:rFonts w:cstheme="minorHAnsi"/>
          <w:szCs w:val="22"/>
        </w:rPr>
        <w:t xml:space="preserve"> at each site. Each sample is</w:t>
      </w:r>
      <w:r w:rsidRPr="00E42A64">
        <w:rPr>
          <w:rFonts w:cstheme="minorHAnsi"/>
          <w:szCs w:val="22"/>
        </w:rPr>
        <w:t xml:space="preserve"> filtered through the standard plankton net, which is then flushed using a squeeze bottle into the terminal 200 ml PET collecting bottle to provide a </w:t>
      </w:r>
      <w:r>
        <w:rPr>
          <w:rFonts w:cstheme="minorHAnsi"/>
          <w:szCs w:val="22"/>
        </w:rPr>
        <w:t>9</w:t>
      </w:r>
      <w:r w:rsidRPr="00E42A64">
        <w:rPr>
          <w:rFonts w:cstheme="minorHAnsi"/>
          <w:szCs w:val="22"/>
        </w:rPr>
        <w:t>-litre filtrate of potamoplankton, which is then topped up with 90% ethanol. The accompanying net tow will be 3 hauls of a 5-metre line plankton net, the catch decanted through the net to reduce the filtrate volume to approx</w:t>
      </w:r>
      <w:r>
        <w:rPr>
          <w:rFonts w:cstheme="minorHAnsi"/>
          <w:szCs w:val="22"/>
        </w:rPr>
        <w:t>imately</w:t>
      </w:r>
      <w:r w:rsidRPr="00E42A64">
        <w:rPr>
          <w:rFonts w:cstheme="minorHAnsi"/>
          <w:szCs w:val="22"/>
        </w:rPr>
        <w:t xml:space="preserve"> 30</w:t>
      </w:r>
      <w:r>
        <w:rPr>
          <w:rFonts w:eastAsiaTheme="majorEastAsia"/>
        </w:rPr>
        <w:t>–</w:t>
      </w:r>
      <w:r w:rsidRPr="00E42A64">
        <w:rPr>
          <w:rFonts w:cstheme="minorHAnsi"/>
          <w:szCs w:val="22"/>
        </w:rPr>
        <w:t>40 ml in the PET bottle, then topped up with 90% ethanol.</w:t>
      </w:r>
    </w:p>
    <w:p w14:paraId="5E9918B3" w14:textId="77777777" w:rsidR="00FB1173" w:rsidRDefault="00FB1173" w:rsidP="00FB1173">
      <w:pPr>
        <w:pStyle w:val="Heading4"/>
      </w:pPr>
      <w:r w:rsidRPr="001F6FDA">
        <w:t>Equipment</w:t>
      </w:r>
    </w:p>
    <w:p w14:paraId="32558636" w14:textId="77777777" w:rsidR="00FB1173" w:rsidRPr="00E42A64" w:rsidRDefault="00FB1173" w:rsidP="00C77254">
      <w:pPr>
        <w:pStyle w:val="ListParagraph"/>
        <w:numPr>
          <w:ilvl w:val="0"/>
          <w:numId w:val="43"/>
        </w:numPr>
        <w:ind w:left="765" w:hanging="357"/>
        <w:rPr>
          <w:rFonts w:cstheme="minorHAnsi"/>
          <w:b/>
          <w:bCs/>
          <w:i/>
          <w:szCs w:val="22"/>
        </w:rPr>
      </w:pPr>
      <w:r w:rsidRPr="00E42A64">
        <w:rPr>
          <w:rFonts w:cstheme="minorHAnsi"/>
          <w:szCs w:val="22"/>
        </w:rPr>
        <w:t>4</w:t>
      </w:r>
      <w:r>
        <w:rPr>
          <w:rFonts w:cstheme="minorHAnsi"/>
          <w:szCs w:val="22"/>
        </w:rPr>
        <w:t>.5</w:t>
      </w:r>
      <w:r w:rsidRPr="00E42A64">
        <w:rPr>
          <w:rFonts w:cstheme="minorHAnsi"/>
          <w:szCs w:val="22"/>
        </w:rPr>
        <w:t>-litre butterfly door Perspex Haney trap</w:t>
      </w:r>
    </w:p>
    <w:p w14:paraId="160A90C6" w14:textId="77777777" w:rsidR="00FB1173" w:rsidRPr="00E42A64" w:rsidRDefault="00FB1173" w:rsidP="00C77254">
      <w:pPr>
        <w:pStyle w:val="ListParagraph"/>
        <w:numPr>
          <w:ilvl w:val="0"/>
          <w:numId w:val="43"/>
        </w:numPr>
        <w:ind w:left="765" w:hanging="357"/>
        <w:rPr>
          <w:rFonts w:cstheme="minorHAnsi"/>
          <w:b/>
          <w:bCs/>
          <w:i/>
          <w:szCs w:val="22"/>
        </w:rPr>
      </w:pPr>
      <w:r w:rsidRPr="00E42A64">
        <w:rPr>
          <w:rFonts w:cstheme="minorHAnsi"/>
          <w:szCs w:val="22"/>
        </w:rPr>
        <w:t>Standard plankton net</w:t>
      </w:r>
    </w:p>
    <w:p w14:paraId="2E60B686" w14:textId="77777777" w:rsidR="00FB1173" w:rsidRPr="00E42A64" w:rsidRDefault="00FB1173" w:rsidP="00C77254">
      <w:pPr>
        <w:pStyle w:val="ListParagraph"/>
        <w:numPr>
          <w:ilvl w:val="0"/>
          <w:numId w:val="43"/>
        </w:numPr>
        <w:ind w:left="765" w:hanging="357"/>
        <w:rPr>
          <w:rFonts w:cstheme="minorHAnsi"/>
          <w:b/>
          <w:bCs/>
          <w:i/>
          <w:szCs w:val="22"/>
        </w:rPr>
      </w:pPr>
      <w:r w:rsidRPr="00E42A64">
        <w:rPr>
          <w:rFonts w:cstheme="minorHAnsi"/>
          <w:szCs w:val="22"/>
        </w:rPr>
        <w:t>Squeeze bottle</w:t>
      </w:r>
    </w:p>
    <w:p w14:paraId="4F470E2B" w14:textId="77777777" w:rsidR="00FB1173" w:rsidRPr="00E42A64" w:rsidRDefault="00FB1173" w:rsidP="00C77254">
      <w:pPr>
        <w:pStyle w:val="ListParagraph"/>
        <w:numPr>
          <w:ilvl w:val="0"/>
          <w:numId w:val="43"/>
        </w:numPr>
        <w:ind w:left="765" w:hanging="357"/>
        <w:rPr>
          <w:rFonts w:cstheme="minorHAnsi"/>
          <w:b/>
          <w:bCs/>
          <w:i/>
          <w:szCs w:val="22"/>
        </w:rPr>
      </w:pPr>
      <w:r w:rsidRPr="00E42A64">
        <w:rPr>
          <w:rFonts w:cstheme="minorHAnsi"/>
          <w:szCs w:val="22"/>
        </w:rPr>
        <w:t>200 mL PET collecting bottle</w:t>
      </w:r>
    </w:p>
    <w:p w14:paraId="73F75924" w14:textId="77777777" w:rsidR="00FB1173" w:rsidRPr="00E42A64" w:rsidRDefault="00FB1173" w:rsidP="00C77254">
      <w:pPr>
        <w:pStyle w:val="ListParagraph"/>
        <w:numPr>
          <w:ilvl w:val="0"/>
          <w:numId w:val="43"/>
        </w:numPr>
        <w:ind w:left="765" w:hanging="357"/>
        <w:rPr>
          <w:rFonts w:cstheme="minorHAnsi"/>
          <w:b/>
          <w:bCs/>
          <w:i/>
          <w:szCs w:val="22"/>
        </w:rPr>
      </w:pPr>
      <w:r w:rsidRPr="00E42A64">
        <w:rPr>
          <w:rFonts w:cstheme="minorHAnsi"/>
          <w:szCs w:val="22"/>
        </w:rPr>
        <w:t>90% ethanol</w:t>
      </w:r>
    </w:p>
    <w:p w14:paraId="7323ABE4" w14:textId="77777777" w:rsidR="00FB1173" w:rsidRPr="00E42A64" w:rsidRDefault="00FB1173" w:rsidP="00C77254">
      <w:pPr>
        <w:pStyle w:val="ListParagraph"/>
        <w:numPr>
          <w:ilvl w:val="0"/>
          <w:numId w:val="43"/>
        </w:numPr>
        <w:ind w:left="765" w:hanging="357"/>
        <w:rPr>
          <w:rFonts w:cstheme="minorHAnsi"/>
          <w:b/>
          <w:bCs/>
          <w:i/>
          <w:szCs w:val="22"/>
        </w:rPr>
      </w:pPr>
      <w:r w:rsidRPr="00E42A64">
        <w:rPr>
          <w:rFonts w:cstheme="minorHAnsi"/>
          <w:szCs w:val="22"/>
        </w:rPr>
        <w:t>Field sheets</w:t>
      </w:r>
      <w:r>
        <w:rPr>
          <w:rFonts w:cstheme="minorHAnsi"/>
          <w:szCs w:val="22"/>
        </w:rPr>
        <w:t>.</w:t>
      </w:r>
    </w:p>
    <w:p w14:paraId="3A8646BC" w14:textId="77777777" w:rsidR="00FB1173" w:rsidRDefault="00FB1173" w:rsidP="00FB1173">
      <w:pPr>
        <w:pStyle w:val="Heading4"/>
      </w:pPr>
      <w:r>
        <w:t>Protocol</w:t>
      </w:r>
    </w:p>
    <w:p w14:paraId="4C546C58" w14:textId="77777777" w:rsidR="00FB1173" w:rsidRPr="00E42A64" w:rsidRDefault="00FB1173" w:rsidP="00C77254">
      <w:pPr>
        <w:pStyle w:val="ListParagraph"/>
        <w:numPr>
          <w:ilvl w:val="0"/>
          <w:numId w:val="45"/>
        </w:numPr>
        <w:ind w:left="584" w:hanging="357"/>
        <w:rPr>
          <w:rFonts w:cstheme="minorHAnsi"/>
          <w:b/>
          <w:bCs/>
          <w:i/>
          <w:szCs w:val="22"/>
        </w:rPr>
      </w:pPr>
      <w:r w:rsidRPr="00E42A64">
        <w:rPr>
          <w:rFonts w:cstheme="minorHAnsi"/>
          <w:szCs w:val="22"/>
        </w:rPr>
        <w:t>Three</w:t>
      </w:r>
      <w:r>
        <w:rPr>
          <w:rFonts w:cstheme="minorHAnsi"/>
          <w:szCs w:val="22"/>
        </w:rPr>
        <w:t xml:space="preserve"> to five</w:t>
      </w:r>
      <w:r w:rsidRPr="00E42A64">
        <w:rPr>
          <w:rFonts w:cstheme="minorHAnsi"/>
          <w:szCs w:val="22"/>
        </w:rPr>
        <w:t xml:space="preserve"> </w:t>
      </w:r>
      <w:r>
        <w:rPr>
          <w:rFonts w:cstheme="minorHAnsi"/>
          <w:szCs w:val="22"/>
        </w:rPr>
        <w:t xml:space="preserve">replicate 9 L (4.5 L combined top and bottom depth) </w:t>
      </w:r>
      <w:r w:rsidRPr="00E42A64">
        <w:rPr>
          <w:rFonts w:cstheme="minorHAnsi"/>
          <w:szCs w:val="22"/>
        </w:rPr>
        <w:t>Haney trap samples will be taken</w:t>
      </w:r>
      <w:r>
        <w:rPr>
          <w:rFonts w:cstheme="minorHAnsi"/>
          <w:szCs w:val="22"/>
        </w:rPr>
        <w:t xml:space="preserve"> per site.</w:t>
      </w:r>
    </w:p>
    <w:p w14:paraId="5DCD41D6" w14:textId="77777777" w:rsidR="00FB1173" w:rsidRPr="00E42A64" w:rsidRDefault="00FB1173" w:rsidP="00C77254">
      <w:pPr>
        <w:pStyle w:val="ListParagraph"/>
        <w:numPr>
          <w:ilvl w:val="0"/>
          <w:numId w:val="45"/>
        </w:numPr>
        <w:ind w:left="584" w:hanging="357"/>
        <w:rPr>
          <w:rFonts w:cstheme="minorHAnsi"/>
          <w:b/>
          <w:bCs/>
          <w:i/>
          <w:szCs w:val="22"/>
        </w:rPr>
      </w:pPr>
      <w:r w:rsidRPr="00E42A64">
        <w:rPr>
          <w:rFonts w:cstheme="minorHAnsi"/>
          <w:szCs w:val="22"/>
        </w:rPr>
        <w:lastRenderedPageBreak/>
        <w:t>Samples will be filtered th</w:t>
      </w:r>
      <w:r>
        <w:rPr>
          <w:rFonts w:cstheme="minorHAnsi"/>
          <w:szCs w:val="22"/>
        </w:rPr>
        <w:t>rough the standard plankton net.</w:t>
      </w:r>
    </w:p>
    <w:p w14:paraId="26638EBA" w14:textId="77777777" w:rsidR="00FB1173" w:rsidRPr="00E42A64" w:rsidRDefault="00FB1173" w:rsidP="00C77254">
      <w:pPr>
        <w:pStyle w:val="ListParagraph"/>
        <w:numPr>
          <w:ilvl w:val="0"/>
          <w:numId w:val="45"/>
        </w:numPr>
        <w:ind w:left="584" w:hanging="357"/>
        <w:rPr>
          <w:rFonts w:cstheme="minorHAnsi"/>
          <w:b/>
          <w:bCs/>
          <w:i/>
          <w:szCs w:val="22"/>
        </w:rPr>
      </w:pPr>
      <w:r w:rsidRPr="00E42A64">
        <w:rPr>
          <w:rFonts w:cstheme="minorHAnsi"/>
          <w:szCs w:val="22"/>
        </w:rPr>
        <w:t xml:space="preserve">Samples will be then flushed using a squeeze bottle into the terminal 200 ml PET collecting bottle to provide a </w:t>
      </w:r>
      <w:r>
        <w:rPr>
          <w:rFonts w:cstheme="minorHAnsi"/>
          <w:szCs w:val="22"/>
        </w:rPr>
        <w:t>9</w:t>
      </w:r>
      <w:r w:rsidRPr="00E42A64">
        <w:rPr>
          <w:rFonts w:cstheme="minorHAnsi"/>
          <w:szCs w:val="22"/>
        </w:rPr>
        <w:t xml:space="preserve">-litre filtrate of potamoplankton, which is then topped up with 90% ethanol. </w:t>
      </w:r>
    </w:p>
    <w:p w14:paraId="54674332" w14:textId="77777777" w:rsidR="00FB1173" w:rsidRPr="00184FE8" w:rsidRDefault="00FB1173" w:rsidP="00C77254">
      <w:pPr>
        <w:pStyle w:val="ListParagraph"/>
        <w:numPr>
          <w:ilvl w:val="0"/>
          <w:numId w:val="45"/>
        </w:numPr>
        <w:ind w:left="584" w:hanging="357"/>
        <w:rPr>
          <w:rFonts w:cstheme="minorHAnsi"/>
          <w:b/>
          <w:bCs/>
          <w:i/>
          <w:szCs w:val="22"/>
        </w:rPr>
      </w:pPr>
      <w:r w:rsidRPr="00E42A64">
        <w:rPr>
          <w:rFonts w:cstheme="minorHAnsi"/>
          <w:szCs w:val="22"/>
        </w:rPr>
        <w:t>Three hauls of a 5-metre line plankton net will be taken</w:t>
      </w:r>
      <w:r>
        <w:rPr>
          <w:rFonts w:cstheme="minorHAnsi"/>
          <w:szCs w:val="22"/>
        </w:rPr>
        <w:t>.</w:t>
      </w:r>
    </w:p>
    <w:p w14:paraId="1889B5E6" w14:textId="77777777" w:rsidR="00FB1173" w:rsidRPr="00184FE8" w:rsidRDefault="00FB1173" w:rsidP="00C77254">
      <w:pPr>
        <w:pStyle w:val="ListParagraph"/>
        <w:numPr>
          <w:ilvl w:val="0"/>
          <w:numId w:val="45"/>
        </w:numPr>
        <w:ind w:left="584" w:hanging="357"/>
        <w:rPr>
          <w:rFonts w:cstheme="minorHAnsi"/>
          <w:b/>
          <w:bCs/>
          <w:i/>
          <w:szCs w:val="22"/>
        </w:rPr>
      </w:pPr>
      <w:r w:rsidRPr="00184FE8">
        <w:rPr>
          <w:rFonts w:cstheme="minorHAnsi"/>
          <w:szCs w:val="22"/>
        </w:rPr>
        <w:t>Samples then will be decanted through the net to reduce the filtrate volume to approximately 30</w:t>
      </w:r>
      <w:r>
        <w:rPr>
          <w:rFonts w:eastAsiaTheme="majorEastAsia"/>
        </w:rPr>
        <w:t>–</w:t>
      </w:r>
      <w:r w:rsidRPr="00184FE8">
        <w:rPr>
          <w:rFonts w:cstheme="minorHAnsi"/>
          <w:szCs w:val="22"/>
        </w:rPr>
        <w:t>40 ml in the PET bottle, then topped up with 90% ethanol.</w:t>
      </w:r>
    </w:p>
    <w:p w14:paraId="7613FF22" w14:textId="77777777" w:rsidR="00FB1173" w:rsidRDefault="00FB1173" w:rsidP="00FB1173">
      <w:pPr>
        <w:pStyle w:val="Heading3"/>
      </w:pPr>
      <w:bookmarkStart w:id="1983" w:name="_Toc10095308"/>
      <w:bookmarkStart w:id="1984" w:name="_Toc10192477"/>
      <w:bookmarkStart w:id="1985" w:name="_Toc10206792"/>
      <w:bookmarkStart w:id="1986" w:name="_Toc10213378"/>
      <w:bookmarkStart w:id="1987" w:name="_Toc10732402"/>
      <w:bookmarkStart w:id="1988" w:name="_Toc10796961"/>
      <w:bookmarkStart w:id="1989" w:name="_Toc12022846"/>
      <w:bookmarkStart w:id="1990" w:name="_Toc12630676"/>
      <w:bookmarkStart w:id="1991" w:name="_Toc16154536"/>
      <w:bookmarkStart w:id="1992" w:name="_Toc22196898"/>
      <w:r w:rsidRPr="00AF2C40">
        <w:t>Covariates</w:t>
      </w:r>
      <w:bookmarkEnd w:id="1982"/>
      <w:bookmarkEnd w:id="1983"/>
      <w:bookmarkEnd w:id="1984"/>
      <w:bookmarkEnd w:id="1985"/>
      <w:bookmarkEnd w:id="1986"/>
      <w:bookmarkEnd w:id="1987"/>
      <w:bookmarkEnd w:id="1988"/>
      <w:bookmarkEnd w:id="1989"/>
      <w:bookmarkEnd w:id="1990"/>
      <w:bookmarkEnd w:id="1991"/>
      <w:bookmarkEnd w:id="1992"/>
    </w:p>
    <w:p w14:paraId="782FBF99" w14:textId="5F53ECBF" w:rsidR="00FB1173" w:rsidRPr="00E42A64" w:rsidRDefault="00FB1173" w:rsidP="00FB1173">
      <w:pPr>
        <w:ind w:firstLine="1"/>
        <w:rPr>
          <w:rFonts w:cstheme="minorHAnsi"/>
          <w:bCs/>
          <w:szCs w:val="22"/>
        </w:rPr>
      </w:pPr>
      <w:bookmarkStart w:id="1993" w:name="_Toc6403935"/>
      <w:r w:rsidRPr="00E42A64">
        <w:rPr>
          <w:rFonts w:cstheme="minorHAnsi"/>
          <w:bCs/>
          <w:szCs w:val="22"/>
        </w:rPr>
        <w:t>Water quality parameters</w:t>
      </w:r>
      <w:r>
        <w:rPr>
          <w:rFonts w:cstheme="minorHAnsi"/>
          <w:bCs/>
          <w:szCs w:val="22"/>
        </w:rPr>
        <w:t xml:space="preserve"> (e.g. dissolved oxygen and water temperature)</w:t>
      </w:r>
      <w:r w:rsidRPr="00E42A64">
        <w:rPr>
          <w:rFonts w:cstheme="minorHAnsi"/>
          <w:bCs/>
          <w:szCs w:val="22"/>
        </w:rPr>
        <w:t xml:space="preserve"> will be measured </w:t>
      </w:r>
      <w:r>
        <w:rPr>
          <w:rFonts w:cstheme="minorHAnsi"/>
          <w:bCs/>
          <w:szCs w:val="22"/>
        </w:rPr>
        <w:t>during Stream Metabolism sampling (</w:t>
      </w:r>
      <w:r w:rsidR="00715B8B">
        <w:rPr>
          <w:rFonts w:cstheme="minorHAnsi"/>
          <w:bCs/>
          <w:szCs w:val="22"/>
        </w:rPr>
        <w:t xml:space="preserve">See </w:t>
      </w:r>
      <w:r w:rsidR="00715B8B" w:rsidRPr="00715B8B">
        <w:rPr>
          <w:rFonts w:cstheme="minorHAnsi"/>
          <w:bCs/>
          <w:i/>
          <w:szCs w:val="22"/>
        </w:rPr>
        <w:t>Stream Metabolism and Water Quality</w:t>
      </w:r>
      <w:r w:rsidR="00715B8B">
        <w:rPr>
          <w:rFonts w:cstheme="minorHAnsi"/>
          <w:bCs/>
          <w:szCs w:val="22"/>
        </w:rPr>
        <w:t xml:space="preserve"> SOP</w:t>
      </w:r>
      <w:r>
        <w:rPr>
          <w:rFonts w:cstheme="minorHAnsi"/>
          <w:bCs/>
          <w:szCs w:val="22"/>
        </w:rPr>
        <w:t>)</w:t>
      </w:r>
      <w:r w:rsidRPr="00E42A64">
        <w:rPr>
          <w:rFonts w:cstheme="minorHAnsi"/>
          <w:bCs/>
          <w:szCs w:val="22"/>
        </w:rPr>
        <w:t>. Discharge data (ML</w:t>
      </w:r>
      <w:r>
        <w:rPr>
          <w:rFonts w:cstheme="minorHAnsi"/>
          <w:bCs/>
          <w:szCs w:val="22"/>
        </w:rPr>
        <w:t>/</w:t>
      </w:r>
      <w:r w:rsidRPr="00E42A64">
        <w:rPr>
          <w:rFonts w:cstheme="minorHAnsi"/>
          <w:bCs/>
          <w:szCs w:val="22"/>
        </w:rPr>
        <w:t>d) and relative water level (m AHD, relative to the Australian Height Datum) from the closest gauging station will be obtained from the DEW Surface Water Archive (www.waterconnect.sa.gov.au).</w:t>
      </w:r>
    </w:p>
    <w:p w14:paraId="5AD64159" w14:textId="77777777" w:rsidR="00FB1173" w:rsidRDefault="00FB1173" w:rsidP="00FB1173">
      <w:pPr>
        <w:pStyle w:val="Heading3"/>
      </w:pPr>
      <w:bookmarkStart w:id="1994" w:name="_Toc10095309"/>
      <w:bookmarkStart w:id="1995" w:name="_Toc10192478"/>
      <w:bookmarkStart w:id="1996" w:name="_Toc10206793"/>
      <w:bookmarkStart w:id="1997" w:name="_Toc10213379"/>
      <w:bookmarkStart w:id="1998" w:name="_Toc10732403"/>
      <w:bookmarkStart w:id="1999" w:name="_Toc10796962"/>
      <w:bookmarkStart w:id="2000" w:name="_Toc12022847"/>
      <w:bookmarkStart w:id="2001" w:name="_Toc12630677"/>
      <w:bookmarkStart w:id="2002" w:name="_Toc16154537"/>
      <w:bookmarkStart w:id="2003" w:name="_Toc22196899"/>
      <w:r>
        <w:t>Processing</w:t>
      </w:r>
      <w:bookmarkEnd w:id="1993"/>
      <w:bookmarkEnd w:id="1994"/>
      <w:bookmarkEnd w:id="1995"/>
      <w:bookmarkEnd w:id="1996"/>
      <w:bookmarkEnd w:id="1997"/>
      <w:bookmarkEnd w:id="1998"/>
      <w:bookmarkEnd w:id="1999"/>
      <w:bookmarkEnd w:id="2000"/>
      <w:bookmarkEnd w:id="2001"/>
      <w:bookmarkEnd w:id="2002"/>
      <w:bookmarkEnd w:id="2003"/>
    </w:p>
    <w:p w14:paraId="6895DB68" w14:textId="26FBB3C1" w:rsidR="00FB1173" w:rsidRPr="00E42A64" w:rsidRDefault="00FB1173" w:rsidP="00FB1173">
      <w:pPr>
        <w:rPr>
          <w:rFonts w:cstheme="minorHAnsi"/>
          <w:bCs/>
          <w:szCs w:val="22"/>
        </w:rPr>
      </w:pPr>
      <w:bookmarkStart w:id="2004" w:name="_Toc6403936"/>
      <w:r w:rsidRPr="00E42A64">
        <w:rPr>
          <w:rFonts w:cstheme="minorHAnsi"/>
          <w:bCs/>
          <w:szCs w:val="22"/>
        </w:rPr>
        <w:t xml:space="preserve">Entire samples will be preserved individually in 90% ethanol and returned to the laboratory for microinvertebrate identification and enumeration. Quantitative samples will be subsampled (3 x 1 ml Sedgewick-Rafter cell counts to provide an SD and SE of the subsampling method), microinvertebrates identified to species, </w:t>
      </w:r>
      <w:r w:rsidR="0085266D">
        <w:rPr>
          <w:rFonts w:cstheme="minorHAnsi"/>
          <w:bCs/>
          <w:szCs w:val="22"/>
        </w:rPr>
        <w:t>and counts expressed as density/</w:t>
      </w:r>
      <w:r>
        <w:rPr>
          <w:rFonts w:cstheme="minorHAnsi"/>
          <w:bCs/>
          <w:szCs w:val="22"/>
        </w:rPr>
        <w:t>L</w:t>
      </w:r>
      <w:r w:rsidRPr="00E42A64">
        <w:rPr>
          <w:rFonts w:cstheme="minorHAnsi"/>
          <w:bCs/>
          <w:szCs w:val="22"/>
        </w:rPr>
        <w:t>. For the net tows, the settled volume will be decanted into a 125 mm square gridded Greiner tray, the first 200</w:t>
      </w:r>
      <w:r>
        <w:rPr>
          <w:rFonts w:eastAsiaTheme="majorEastAsia"/>
        </w:rPr>
        <w:t>–</w:t>
      </w:r>
      <w:r w:rsidRPr="00E42A64">
        <w:rPr>
          <w:rFonts w:cstheme="minorHAnsi"/>
          <w:bCs/>
          <w:szCs w:val="22"/>
        </w:rPr>
        <w:t xml:space="preserve">300 individual microinvertebrates encountered identified to species, and the counts recorded as proportional composition. The remainder of the tray will be scanned for missed taxa, which will be recorded as ‘present’. </w:t>
      </w:r>
    </w:p>
    <w:p w14:paraId="5402B7A5" w14:textId="77777777" w:rsidR="00FB1173" w:rsidRPr="004B7CC1" w:rsidRDefault="00FB1173" w:rsidP="00FB1173">
      <w:pPr>
        <w:pStyle w:val="Heading2"/>
      </w:pPr>
      <w:bookmarkStart w:id="2005" w:name="_Toc396825358"/>
      <w:bookmarkStart w:id="2006" w:name="_Toc6403937"/>
      <w:bookmarkStart w:id="2007" w:name="_Toc10095310"/>
      <w:bookmarkStart w:id="2008" w:name="_Toc10192479"/>
      <w:bookmarkStart w:id="2009" w:name="_Toc10206794"/>
      <w:bookmarkStart w:id="2010" w:name="_Toc10213380"/>
      <w:bookmarkStart w:id="2011" w:name="_Toc10732404"/>
      <w:bookmarkStart w:id="2012" w:name="_Toc10796963"/>
      <w:bookmarkStart w:id="2013" w:name="_Toc12022848"/>
      <w:bookmarkStart w:id="2014" w:name="_Toc12630678"/>
      <w:bookmarkStart w:id="2015" w:name="_Toc16154538"/>
      <w:bookmarkStart w:id="2016" w:name="_Toc22196900"/>
      <w:bookmarkEnd w:id="2004"/>
      <w:r w:rsidRPr="004B7CC1">
        <w:t xml:space="preserve">Data analysis and </w:t>
      </w:r>
      <w:r>
        <w:t>evaluation</w:t>
      </w:r>
      <w:bookmarkEnd w:id="2005"/>
      <w:bookmarkEnd w:id="2006"/>
      <w:bookmarkEnd w:id="2007"/>
      <w:bookmarkEnd w:id="2008"/>
      <w:bookmarkEnd w:id="2009"/>
      <w:bookmarkEnd w:id="2010"/>
      <w:bookmarkEnd w:id="2011"/>
      <w:bookmarkEnd w:id="2012"/>
      <w:bookmarkEnd w:id="2013"/>
      <w:bookmarkEnd w:id="2014"/>
      <w:bookmarkEnd w:id="2015"/>
      <w:bookmarkEnd w:id="2016"/>
    </w:p>
    <w:p w14:paraId="074C23FD" w14:textId="77777777" w:rsidR="00FB1173" w:rsidRDefault="00FB1173" w:rsidP="00FB1173">
      <w:pPr>
        <w:ind w:left="1"/>
        <w:rPr>
          <w:rFonts w:cstheme="minorHAnsi"/>
          <w:bCs/>
          <w:szCs w:val="22"/>
        </w:rPr>
      </w:pPr>
      <w:bookmarkStart w:id="2017" w:name="_Toc396825359"/>
      <w:bookmarkStart w:id="2018" w:name="_Toc6403938"/>
      <w:r>
        <w:t xml:space="preserve">Spatio-temporal variability in microinvertebrate abundance, diversity and species composition (e.g. ratios of different categories of microinvertebrate) will be investigated using parametric (ANOVA) or non-parametric (e.g. permutational analysis of variance), depending on the nature of the data. </w:t>
      </w:r>
      <w:r w:rsidRPr="00E42A64">
        <w:rPr>
          <w:rFonts w:cstheme="minorHAnsi"/>
          <w:bCs/>
          <w:szCs w:val="22"/>
        </w:rPr>
        <w:t>To model relationships between abundance</w:t>
      </w:r>
      <w:r>
        <w:rPr>
          <w:rFonts w:cstheme="minorHAnsi"/>
          <w:bCs/>
          <w:szCs w:val="22"/>
        </w:rPr>
        <w:t>/species composition</w:t>
      </w:r>
      <w:r w:rsidRPr="00E42A64">
        <w:rPr>
          <w:rFonts w:cstheme="minorHAnsi"/>
          <w:bCs/>
          <w:szCs w:val="22"/>
        </w:rPr>
        <w:t xml:space="preserve"> and one or more </w:t>
      </w:r>
      <w:r>
        <w:rPr>
          <w:rFonts w:cstheme="minorHAnsi"/>
          <w:bCs/>
          <w:szCs w:val="22"/>
        </w:rPr>
        <w:t>water quality (</w:t>
      </w:r>
      <w:r w:rsidRPr="00E42A64">
        <w:rPr>
          <w:rFonts w:cstheme="minorHAnsi"/>
          <w:bCs/>
          <w:szCs w:val="22"/>
        </w:rPr>
        <w:t>WQ</w:t>
      </w:r>
      <w:r>
        <w:rPr>
          <w:rFonts w:cstheme="minorHAnsi"/>
          <w:bCs/>
          <w:szCs w:val="22"/>
        </w:rPr>
        <w:t>)</w:t>
      </w:r>
      <w:r w:rsidRPr="00E42A64">
        <w:rPr>
          <w:rFonts w:cstheme="minorHAnsi"/>
          <w:bCs/>
          <w:szCs w:val="22"/>
        </w:rPr>
        <w:t xml:space="preserve"> predictor variables, we will use distance-based linear model</w:t>
      </w:r>
      <w:r>
        <w:rPr>
          <w:rFonts w:cstheme="minorHAnsi"/>
          <w:bCs/>
          <w:szCs w:val="22"/>
        </w:rPr>
        <w:t xml:space="preserve"> techniques</w:t>
      </w:r>
      <w:r w:rsidRPr="00E42A64">
        <w:rPr>
          <w:rFonts w:cstheme="minorHAnsi"/>
          <w:bCs/>
          <w:szCs w:val="22"/>
        </w:rPr>
        <w:t>.</w:t>
      </w:r>
      <w:r>
        <w:rPr>
          <w:rFonts w:cstheme="minorHAnsi"/>
          <w:bCs/>
          <w:szCs w:val="22"/>
        </w:rPr>
        <w:t xml:space="preserve"> Evaluation of the microinvertebrate community responses to Commonwealth environmental water will be qualitative.</w:t>
      </w:r>
    </w:p>
    <w:p w14:paraId="0F0D5BBB" w14:textId="77777777" w:rsidR="00FB1173" w:rsidRPr="00992869" w:rsidRDefault="00FB1173" w:rsidP="00FB1173">
      <w:pPr>
        <w:pStyle w:val="Heading2"/>
      </w:pPr>
      <w:bookmarkStart w:id="2019" w:name="_Toc10095311"/>
      <w:bookmarkStart w:id="2020" w:name="_Toc10192480"/>
      <w:bookmarkStart w:id="2021" w:name="_Toc10206795"/>
      <w:bookmarkStart w:id="2022" w:name="_Toc10213381"/>
      <w:bookmarkStart w:id="2023" w:name="_Toc10732405"/>
      <w:bookmarkStart w:id="2024" w:name="_Toc10796964"/>
      <w:bookmarkStart w:id="2025" w:name="_Toc12022849"/>
      <w:bookmarkStart w:id="2026" w:name="_Toc12630679"/>
      <w:bookmarkStart w:id="2027" w:name="_Toc16154539"/>
      <w:bookmarkStart w:id="2028" w:name="_Toc22196901"/>
      <w:bookmarkStart w:id="2029" w:name="_Toc396825362"/>
      <w:bookmarkStart w:id="2030" w:name="_Toc6403941"/>
      <w:bookmarkEnd w:id="2017"/>
      <w:bookmarkEnd w:id="2018"/>
      <w:r w:rsidRPr="00992869">
        <w:t>Data management</w:t>
      </w:r>
      <w:bookmarkEnd w:id="2019"/>
      <w:bookmarkEnd w:id="2020"/>
      <w:bookmarkEnd w:id="2021"/>
      <w:bookmarkEnd w:id="2022"/>
      <w:bookmarkEnd w:id="2023"/>
      <w:bookmarkEnd w:id="2024"/>
      <w:bookmarkEnd w:id="2025"/>
      <w:bookmarkEnd w:id="2026"/>
      <w:bookmarkEnd w:id="2027"/>
      <w:bookmarkEnd w:id="2028"/>
    </w:p>
    <w:p w14:paraId="52020C46" w14:textId="5A969FC5" w:rsidR="009E6C53" w:rsidRDefault="009E6C53" w:rsidP="009E6C53">
      <w:bookmarkStart w:id="2031" w:name="_Toc10095313"/>
      <w:bookmarkStart w:id="2032" w:name="_Toc10192482"/>
      <w:r w:rsidRPr="00992869">
        <w:t>See Section</w:t>
      </w:r>
      <w:r>
        <w:t xml:space="preserve"> </w:t>
      </w:r>
      <w:r>
        <w:fldChar w:fldCharType="begin"/>
      </w:r>
      <w:r>
        <w:instrText xml:space="preserve"> REF _Ref10196755 \r \h </w:instrText>
      </w:r>
      <w:r>
        <w:fldChar w:fldCharType="separate"/>
      </w:r>
      <w:r w:rsidR="00DF49CD">
        <w:t>11</w:t>
      </w:r>
      <w:r>
        <w:fldChar w:fldCharType="end"/>
      </w:r>
      <w:r>
        <w:t xml:space="preserve"> </w:t>
      </w:r>
      <w:r w:rsidRPr="002E3EEF">
        <w:rPr>
          <w:rFonts w:cstheme="minorHAnsi"/>
          <w:szCs w:val="22"/>
        </w:rPr>
        <w:t xml:space="preserve">in the </w:t>
      </w:r>
      <w:r>
        <w:rPr>
          <w:rFonts w:cstheme="minorHAnsi"/>
          <w:szCs w:val="22"/>
        </w:rPr>
        <w:t>MER</w:t>
      </w:r>
      <w:r w:rsidRPr="002E3EEF">
        <w:rPr>
          <w:rFonts w:cstheme="minorHAnsi"/>
          <w:szCs w:val="22"/>
        </w:rPr>
        <w:t xml:space="preserve"> Plan</w:t>
      </w:r>
      <w:r>
        <w:rPr>
          <w:rFonts w:cstheme="minorHAnsi"/>
          <w:szCs w:val="22"/>
        </w:rPr>
        <w:t xml:space="preserve"> for data management procedures</w:t>
      </w:r>
      <w:r w:rsidRPr="00992869">
        <w:t>.</w:t>
      </w:r>
      <w:r>
        <w:t xml:space="preserve"> </w:t>
      </w:r>
      <w:r w:rsidR="00623CFF">
        <w:t xml:space="preserve">The data </w:t>
      </w:r>
      <w:r w:rsidR="00623CFF" w:rsidRPr="000E285D">
        <w:t>templates for</w:t>
      </w:r>
      <w:r w:rsidR="00623CFF" w:rsidRPr="0070750B">
        <w:t xml:space="preserve"> </w:t>
      </w:r>
      <w:r w:rsidR="00623CFF" w:rsidRPr="009F6E46">
        <w:t xml:space="preserve">Category 3 (Selected Area) indicators </w:t>
      </w:r>
      <w:r w:rsidR="00623CFF">
        <w:t>will be</w:t>
      </w:r>
      <w:r w:rsidR="00623CFF" w:rsidRPr="009F6E46">
        <w:t xml:space="preserve"> developed</w:t>
      </w:r>
      <w:r w:rsidR="00623CFF">
        <w:t xml:space="preserve"> by the Selected Area,</w:t>
      </w:r>
      <w:r w:rsidR="00623CFF" w:rsidRPr="009F6E46">
        <w:t xml:space="preserve"> in consultation with CEWO</w:t>
      </w:r>
      <w:r w:rsidR="00623CFF">
        <w:t>,</w:t>
      </w:r>
      <w:r w:rsidR="00623CFF" w:rsidRPr="009F6E46">
        <w:t xml:space="preserve"> and </w:t>
      </w:r>
      <w:r w:rsidR="00623CFF">
        <w:t xml:space="preserve">will </w:t>
      </w:r>
      <w:r w:rsidR="00623CFF" w:rsidRPr="009F6E46">
        <w:t>conform to data standards</w:t>
      </w:r>
      <w:r w:rsidR="00623CFF">
        <w:t xml:space="preserve">. The proposed template for </w:t>
      </w:r>
      <w:r w:rsidR="00623CFF" w:rsidRPr="00623CFF">
        <w:rPr>
          <w:i/>
        </w:rPr>
        <w:t>Microinvertebrate Assemblage</w:t>
      </w:r>
      <w:r w:rsidR="00623CFF">
        <w:t xml:space="preserve"> is provided below</w:t>
      </w:r>
      <w:r w:rsidR="00623CFF" w:rsidRPr="009F6E46">
        <w:t>.</w:t>
      </w:r>
    </w:p>
    <w:tbl>
      <w:tblPr>
        <w:tblStyle w:val="TableGrid"/>
        <w:tblW w:w="9428" w:type="dxa"/>
        <w:tblInd w:w="-5" w:type="dxa"/>
        <w:tblLayout w:type="fixed"/>
        <w:tblLook w:val="04A0" w:firstRow="1" w:lastRow="0" w:firstColumn="1" w:lastColumn="0" w:noHBand="0" w:noVBand="1"/>
      </w:tblPr>
      <w:tblGrid>
        <w:gridCol w:w="1809"/>
        <w:gridCol w:w="2977"/>
        <w:gridCol w:w="1276"/>
        <w:gridCol w:w="709"/>
        <w:gridCol w:w="850"/>
        <w:gridCol w:w="1807"/>
      </w:tblGrid>
      <w:tr w:rsidR="0050053E" w:rsidRPr="00CC474D" w14:paraId="65F0EA12" w14:textId="77777777" w:rsidTr="00834EBD">
        <w:trPr>
          <w:cantSplit/>
          <w:tblHeader/>
        </w:trPr>
        <w:tc>
          <w:tcPr>
            <w:tcW w:w="1809" w:type="dxa"/>
            <w:tcBorders>
              <w:top w:val="single" w:sz="4" w:space="0" w:color="auto"/>
            </w:tcBorders>
            <w:shd w:val="clear" w:color="auto" w:fill="BFBFBF" w:themeFill="background1" w:themeFillShade="BF"/>
            <w:vAlign w:val="center"/>
            <w:hideMark/>
          </w:tcPr>
          <w:p w14:paraId="108D27D9" w14:textId="77777777" w:rsidR="0050053E" w:rsidRPr="00CC474D" w:rsidRDefault="0050053E" w:rsidP="0050053E">
            <w:pPr>
              <w:pStyle w:val="TableHeading"/>
              <w:rPr>
                <w:rFonts w:cstheme="minorHAnsi"/>
                <w:szCs w:val="20"/>
              </w:rPr>
            </w:pPr>
            <w:r w:rsidRPr="00CC474D">
              <w:rPr>
                <w:rFonts w:cstheme="minorHAnsi"/>
                <w:szCs w:val="20"/>
              </w:rPr>
              <w:t>Variable</w:t>
            </w:r>
          </w:p>
        </w:tc>
        <w:tc>
          <w:tcPr>
            <w:tcW w:w="2977" w:type="dxa"/>
            <w:tcBorders>
              <w:top w:val="single" w:sz="4" w:space="0" w:color="auto"/>
            </w:tcBorders>
            <w:shd w:val="clear" w:color="auto" w:fill="BFBFBF" w:themeFill="background1" w:themeFillShade="BF"/>
            <w:vAlign w:val="center"/>
            <w:hideMark/>
          </w:tcPr>
          <w:p w14:paraId="123E7478" w14:textId="77777777" w:rsidR="0050053E" w:rsidRPr="00CC474D" w:rsidRDefault="0050053E" w:rsidP="0050053E">
            <w:pPr>
              <w:pStyle w:val="TableHeading"/>
              <w:rPr>
                <w:rFonts w:cstheme="minorHAnsi"/>
                <w:szCs w:val="20"/>
              </w:rPr>
            </w:pPr>
            <w:r w:rsidRPr="00CC474D">
              <w:rPr>
                <w:rFonts w:cstheme="minorHAnsi"/>
                <w:szCs w:val="20"/>
              </w:rPr>
              <w:t>Description</w:t>
            </w:r>
          </w:p>
        </w:tc>
        <w:tc>
          <w:tcPr>
            <w:tcW w:w="1276" w:type="dxa"/>
            <w:tcBorders>
              <w:top w:val="single" w:sz="4" w:space="0" w:color="auto"/>
            </w:tcBorders>
            <w:shd w:val="clear" w:color="auto" w:fill="BFBFBF" w:themeFill="background1" w:themeFillShade="BF"/>
            <w:vAlign w:val="center"/>
            <w:hideMark/>
          </w:tcPr>
          <w:p w14:paraId="0106E1C2" w14:textId="77777777" w:rsidR="0050053E" w:rsidRPr="00CC474D" w:rsidRDefault="0050053E" w:rsidP="0050053E">
            <w:pPr>
              <w:pStyle w:val="TableHeading"/>
              <w:rPr>
                <w:rFonts w:cstheme="minorHAnsi"/>
                <w:szCs w:val="20"/>
              </w:rPr>
            </w:pPr>
            <w:r w:rsidRPr="00CC474D">
              <w:rPr>
                <w:rFonts w:cstheme="minorHAnsi"/>
                <w:szCs w:val="20"/>
              </w:rPr>
              <w:t>Type</w:t>
            </w:r>
          </w:p>
        </w:tc>
        <w:tc>
          <w:tcPr>
            <w:tcW w:w="709" w:type="dxa"/>
            <w:tcBorders>
              <w:top w:val="single" w:sz="4" w:space="0" w:color="auto"/>
            </w:tcBorders>
            <w:shd w:val="clear" w:color="auto" w:fill="BFBFBF" w:themeFill="background1" w:themeFillShade="BF"/>
            <w:vAlign w:val="center"/>
            <w:hideMark/>
          </w:tcPr>
          <w:p w14:paraId="000F91DE" w14:textId="77777777" w:rsidR="0050053E" w:rsidRPr="00CC474D" w:rsidRDefault="0050053E" w:rsidP="0050053E">
            <w:pPr>
              <w:pStyle w:val="TableHeading"/>
              <w:rPr>
                <w:rFonts w:cstheme="minorHAnsi"/>
                <w:szCs w:val="20"/>
              </w:rPr>
            </w:pPr>
            <w:r w:rsidRPr="00CC474D">
              <w:rPr>
                <w:rFonts w:cstheme="minorHAnsi"/>
                <w:szCs w:val="20"/>
              </w:rPr>
              <w:t>Req</w:t>
            </w:r>
          </w:p>
        </w:tc>
        <w:tc>
          <w:tcPr>
            <w:tcW w:w="850" w:type="dxa"/>
            <w:tcBorders>
              <w:top w:val="single" w:sz="4" w:space="0" w:color="auto"/>
            </w:tcBorders>
            <w:shd w:val="clear" w:color="auto" w:fill="BFBFBF" w:themeFill="background1" w:themeFillShade="BF"/>
            <w:vAlign w:val="center"/>
            <w:hideMark/>
          </w:tcPr>
          <w:p w14:paraId="705BA293" w14:textId="77777777" w:rsidR="0050053E" w:rsidRPr="00CC474D" w:rsidRDefault="0050053E" w:rsidP="0050053E">
            <w:pPr>
              <w:pStyle w:val="TableHeading"/>
              <w:rPr>
                <w:rFonts w:cstheme="minorHAnsi"/>
                <w:szCs w:val="20"/>
              </w:rPr>
            </w:pPr>
            <w:r w:rsidRPr="00CC474D">
              <w:rPr>
                <w:rFonts w:cstheme="minorHAnsi"/>
                <w:szCs w:val="20"/>
              </w:rPr>
              <w:t>Range</w:t>
            </w:r>
          </w:p>
        </w:tc>
        <w:tc>
          <w:tcPr>
            <w:tcW w:w="1807" w:type="dxa"/>
            <w:tcBorders>
              <w:top w:val="single" w:sz="4" w:space="0" w:color="auto"/>
            </w:tcBorders>
            <w:shd w:val="clear" w:color="auto" w:fill="BFBFBF" w:themeFill="background1" w:themeFillShade="BF"/>
          </w:tcPr>
          <w:p w14:paraId="0678DE32" w14:textId="77777777" w:rsidR="0050053E" w:rsidRPr="00CC474D" w:rsidRDefault="0050053E" w:rsidP="0050053E">
            <w:pPr>
              <w:pStyle w:val="TableHeading"/>
              <w:rPr>
                <w:rFonts w:cstheme="minorHAnsi"/>
                <w:szCs w:val="20"/>
              </w:rPr>
            </w:pPr>
            <w:r w:rsidRPr="00CC474D">
              <w:rPr>
                <w:rFonts w:cstheme="minorHAnsi"/>
                <w:szCs w:val="20"/>
              </w:rPr>
              <w:t>Example</w:t>
            </w:r>
          </w:p>
        </w:tc>
      </w:tr>
      <w:tr w:rsidR="007A07BD" w:rsidRPr="00CC474D" w14:paraId="404DA4F1" w14:textId="77777777" w:rsidTr="00834EBD">
        <w:trPr>
          <w:cantSplit/>
        </w:trPr>
        <w:tc>
          <w:tcPr>
            <w:tcW w:w="1809" w:type="dxa"/>
            <w:noWrap/>
            <w:hideMark/>
          </w:tcPr>
          <w:p w14:paraId="6650A06F" w14:textId="7697C219" w:rsidR="007A07BD" w:rsidRPr="00CC474D" w:rsidRDefault="007A07BD" w:rsidP="007A07BD">
            <w:pPr>
              <w:rPr>
                <w:rFonts w:cstheme="minorHAnsi"/>
                <w:sz w:val="20"/>
              </w:rPr>
            </w:pPr>
            <w:r w:rsidRPr="00CC474D">
              <w:rPr>
                <w:rFonts w:cstheme="minorHAnsi"/>
                <w:sz w:val="20"/>
              </w:rPr>
              <w:t>SamplePointName</w:t>
            </w:r>
          </w:p>
        </w:tc>
        <w:tc>
          <w:tcPr>
            <w:tcW w:w="2977" w:type="dxa"/>
            <w:hideMark/>
          </w:tcPr>
          <w:p w14:paraId="3E27B1BE" w14:textId="77777777" w:rsidR="007A07BD" w:rsidRPr="00CC474D" w:rsidRDefault="007A07BD" w:rsidP="007A07BD">
            <w:pPr>
              <w:pStyle w:val="TableText"/>
              <w:rPr>
                <w:rFonts w:cstheme="minorHAnsi"/>
                <w:szCs w:val="20"/>
              </w:rPr>
            </w:pPr>
            <w:r w:rsidRPr="00CC474D">
              <w:rPr>
                <w:rFonts w:cstheme="minorHAnsi"/>
                <w:color w:val="auto"/>
                <w:szCs w:val="20"/>
              </w:rPr>
              <w:t xml:space="preserve">A single reach of the Lower Murray River in either the </w:t>
            </w:r>
            <w:r w:rsidRPr="00CC474D">
              <w:rPr>
                <w:rFonts w:cstheme="minorHAnsi"/>
                <w:i/>
                <w:color w:val="auto"/>
                <w:szCs w:val="20"/>
              </w:rPr>
              <w:t>Gorge</w:t>
            </w:r>
            <w:r w:rsidRPr="00CC474D">
              <w:rPr>
                <w:rFonts w:cstheme="minorHAnsi"/>
                <w:color w:val="auto"/>
                <w:szCs w:val="20"/>
              </w:rPr>
              <w:t xml:space="preserve"> or </w:t>
            </w:r>
            <w:r w:rsidRPr="00CC474D">
              <w:rPr>
                <w:rFonts w:cstheme="minorHAnsi"/>
                <w:i/>
                <w:color w:val="auto"/>
                <w:szCs w:val="20"/>
              </w:rPr>
              <w:t>Floodplain</w:t>
            </w:r>
            <w:r w:rsidRPr="00CC474D">
              <w:rPr>
                <w:rFonts w:cstheme="minorHAnsi"/>
                <w:color w:val="auto"/>
                <w:szCs w:val="20"/>
              </w:rPr>
              <w:t xml:space="preserve"> zone represented by either a name or polygon within which observations are made</w:t>
            </w:r>
          </w:p>
        </w:tc>
        <w:tc>
          <w:tcPr>
            <w:tcW w:w="1276" w:type="dxa"/>
            <w:noWrap/>
            <w:hideMark/>
          </w:tcPr>
          <w:p w14:paraId="13DAA3B0" w14:textId="77777777" w:rsidR="007A07BD" w:rsidRPr="00CC474D" w:rsidRDefault="007A07BD" w:rsidP="007A07BD">
            <w:pPr>
              <w:rPr>
                <w:rFonts w:cstheme="minorHAnsi"/>
                <w:sz w:val="20"/>
              </w:rPr>
            </w:pPr>
            <w:r w:rsidRPr="00CC474D">
              <w:rPr>
                <w:rFonts w:cstheme="minorHAnsi"/>
                <w:sz w:val="20"/>
              </w:rPr>
              <w:t>String</w:t>
            </w:r>
          </w:p>
        </w:tc>
        <w:tc>
          <w:tcPr>
            <w:tcW w:w="709" w:type="dxa"/>
            <w:noWrap/>
            <w:hideMark/>
          </w:tcPr>
          <w:p w14:paraId="45C64C5D" w14:textId="77777777" w:rsidR="007A07BD" w:rsidRPr="00CC474D" w:rsidRDefault="007A07BD" w:rsidP="007A07BD">
            <w:pPr>
              <w:rPr>
                <w:rFonts w:cstheme="minorHAnsi"/>
                <w:sz w:val="20"/>
              </w:rPr>
            </w:pPr>
            <w:r w:rsidRPr="00CC474D">
              <w:rPr>
                <w:rFonts w:cstheme="minorHAnsi"/>
                <w:sz w:val="20"/>
              </w:rPr>
              <w:t>Y</w:t>
            </w:r>
          </w:p>
        </w:tc>
        <w:tc>
          <w:tcPr>
            <w:tcW w:w="850" w:type="dxa"/>
            <w:noWrap/>
            <w:hideMark/>
          </w:tcPr>
          <w:p w14:paraId="636C52D1" w14:textId="77777777" w:rsidR="007A07BD" w:rsidRPr="00CC474D" w:rsidRDefault="007A07BD" w:rsidP="007A07BD">
            <w:pPr>
              <w:pStyle w:val="TableText"/>
              <w:rPr>
                <w:rFonts w:cstheme="minorHAnsi"/>
                <w:szCs w:val="20"/>
              </w:rPr>
            </w:pPr>
          </w:p>
        </w:tc>
        <w:tc>
          <w:tcPr>
            <w:tcW w:w="1807" w:type="dxa"/>
          </w:tcPr>
          <w:p w14:paraId="4DB1FD42" w14:textId="7C81454E" w:rsidR="007A07BD" w:rsidRPr="00CC474D" w:rsidRDefault="007A07BD" w:rsidP="007A07BD">
            <w:pPr>
              <w:pStyle w:val="TableText"/>
              <w:rPr>
                <w:rFonts w:cstheme="minorHAnsi"/>
                <w:szCs w:val="20"/>
              </w:rPr>
            </w:pPr>
            <w:r w:rsidRPr="00CC474D">
              <w:rPr>
                <w:rFonts w:cstheme="minorHAnsi"/>
                <w:szCs w:val="20"/>
              </w:rPr>
              <w:t>LK6DS_616km</w:t>
            </w:r>
          </w:p>
        </w:tc>
      </w:tr>
      <w:tr w:rsidR="007A07BD" w:rsidRPr="00CC474D" w14:paraId="270DC8AD" w14:textId="77777777" w:rsidTr="00834EBD">
        <w:trPr>
          <w:cantSplit/>
        </w:trPr>
        <w:tc>
          <w:tcPr>
            <w:tcW w:w="1809" w:type="dxa"/>
            <w:hideMark/>
          </w:tcPr>
          <w:p w14:paraId="7DBD94D4" w14:textId="29C890A6" w:rsidR="007A07BD" w:rsidRPr="00CC474D" w:rsidRDefault="007A07BD" w:rsidP="007A07BD">
            <w:pPr>
              <w:rPr>
                <w:rFonts w:cstheme="minorHAnsi"/>
                <w:sz w:val="20"/>
              </w:rPr>
            </w:pPr>
            <w:r w:rsidRPr="00CC474D">
              <w:rPr>
                <w:rFonts w:cstheme="minorHAnsi"/>
                <w:sz w:val="20"/>
              </w:rPr>
              <w:t>SampleDateStart</w:t>
            </w:r>
          </w:p>
        </w:tc>
        <w:tc>
          <w:tcPr>
            <w:tcW w:w="2977" w:type="dxa"/>
            <w:hideMark/>
          </w:tcPr>
          <w:p w14:paraId="6D037CB4" w14:textId="77777777" w:rsidR="007A07BD" w:rsidRPr="00CC474D" w:rsidRDefault="007A07BD" w:rsidP="007A07BD">
            <w:pPr>
              <w:rPr>
                <w:rFonts w:cstheme="minorHAnsi"/>
                <w:sz w:val="20"/>
              </w:rPr>
            </w:pPr>
            <w:r w:rsidRPr="00CC474D">
              <w:rPr>
                <w:rFonts w:cstheme="minorHAnsi"/>
                <w:sz w:val="20"/>
              </w:rPr>
              <w:t>Start date (inclusive) that these measures were observed</w:t>
            </w:r>
          </w:p>
        </w:tc>
        <w:tc>
          <w:tcPr>
            <w:tcW w:w="1276" w:type="dxa"/>
            <w:hideMark/>
          </w:tcPr>
          <w:p w14:paraId="39D3F09D" w14:textId="77777777" w:rsidR="007A07BD" w:rsidRPr="00CC474D" w:rsidRDefault="007A07BD" w:rsidP="007A07BD">
            <w:pPr>
              <w:rPr>
                <w:rFonts w:cstheme="minorHAnsi"/>
                <w:sz w:val="20"/>
              </w:rPr>
            </w:pPr>
            <w:r w:rsidRPr="00CC474D">
              <w:rPr>
                <w:rFonts w:cstheme="minorHAnsi"/>
                <w:sz w:val="20"/>
              </w:rPr>
              <w:t>dateTime</w:t>
            </w:r>
          </w:p>
        </w:tc>
        <w:tc>
          <w:tcPr>
            <w:tcW w:w="709" w:type="dxa"/>
            <w:hideMark/>
          </w:tcPr>
          <w:p w14:paraId="12C28E2E" w14:textId="77777777" w:rsidR="007A07BD" w:rsidRPr="00CC474D" w:rsidRDefault="007A07BD" w:rsidP="007A07BD">
            <w:pPr>
              <w:rPr>
                <w:rFonts w:cstheme="minorHAnsi"/>
                <w:sz w:val="20"/>
              </w:rPr>
            </w:pPr>
            <w:r w:rsidRPr="00CC474D">
              <w:rPr>
                <w:rFonts w:cstheme="minorHAnsi"/>
                <w:sz w:val="20"/>
              </w:rPr>
              <w:t>Y</w:t>
            </w:r>
          </w:p>
        </w:tc>
        <w:tc>
          <w:tcPr>
            <w:tcW w:w="850" w:type="dxa"/>
            <w:hideMark/>
          </w:tcPr>
          <w:p w14:paraId="4CD537B4" w14:textId="77777777" w:rsidR="007A07BD" w:rsidRPr="00CC474D" w:rsidRDefault="007A07BD" w:rsidP="007A07BD">
            <w:pPr>
              <w:pStyle w:val="TableText"/>
              <w:rPr>
                <w:rFonts w:cstheme="minorHAnsi"/>
                <w:szCs w:val="20"/>
              </w:rPr>
            </w:pPr>
          </w:p>
        </w:tc>
        <w:tc>
          <w:tcPr>
            <w:tcW w:w="1807" w:type="dxa"/>
          </w:tcPr>
          <w:p w14:paraId="2AC6C8B0" w14:textId="22A46E1F" w:rsidR="007A07BD" w:rsidRPr="00CC474D" w:rsidRDefault="007A07BD" w:rsidP="007A07BD">
            <w:pPr>
              <w:rPr>
                <w:rFonts w:cstheme="minorHAnsi"/>
                <w:sz w:val="20"/>
              </w:rPr>
            </w:pPr>
            <w:r w:rsidRPr="00CC474D">
              <w:rPr>
                <w:rFonts w:cstheme="minorHAnsi"/>
                <w:sz w:val="20"/>
              </w:rPr>
              <w:t>03/10/2019  17:55</w:t>
            </w:r>
          </w:p>
        </w:tc>
      </w:tr>
      <w:tr w:rsidR="007A07BD" w:rsidRPr="00CC474D" w14:paraId="5FBCD2A4" w14:textId="77777777" w:rsidTr="00834EBD">
        <w:trPr>
          <w:cantSplit/>
        </w:trPr>
        <w:tc>
          <w:tcPr>
            <w:tcW w:w="1809" w:type="dxa"/>
            <w:hideMark/>
          </w:tcPr>
          <w:p w14:paraId="56D86C4A" w14:textId="02D35A54" w:rsidR="007A07BD" w:rsidRPr="00CC474D" w:rsidRDefault="007A07BD" w:rsidP="007A07BD">
            <w:pPr>
              <w:rPr>
                <w:rFonts w:cstheme="minorHAnsi"/>
                <w:sz w:val="20"/>
              </w:rPr>
            </w:pPr>
            <w:r w:rsidRPr="00CC474D">
              <w:rPr>
                <w:rFonts w:cstheme="minorHAnsi"/>
                <w:sz w:val="20"/>
              </w:rPr>
              <w:t>SampleDateFinish</w:t>
            </w:r>
          </w:p>
        </w:tc>
        <w:tc>
          <w:tcPr>
            <w:tcW w:w="2977" w:type="dxa"/>
            <w:hideMark/>
          </w:tcPr>
          <w:p w14:paraId="47BF2BBF" w14:textId="77777777" w:rsidR="007A07BD" w:rsidRPr="00CC474D" w:rsidRDefault="007A07BD" w:rsidP="007A07BD">
            <w:pPr>
              <w:rPr>
                <w:rFonts w:cstheme="minorHAnsi"/>
                <w:sz w:val="20"/>
              </w:rPr>
            </w:pPr>
            <w:r w:rsidRPr="00CC474D">
              <w:rPr>
                <w:rFonts w:cstheme="minorHAnsi"/>
                <w:sz w:val="20"/>
              </w:rPr>
              <w:t>End date (exclusive) that these measures were observed</w:t>
            </w:r>
          </w:p>
        </w:tc>
        <w:tc>
          <w:tcPr>
            <w:tcW w:w="1276" w:type="dxa"/>
            <w:hideMark/>
          </w:tcPr>
          <w:p w14:paraId="0BFE2890" w14:textId="77777777" w:rsidR="007A07BD" w:rsidRPr="00CC474D" w:rsidRDefault="007A07BD" w:rsidP="007A07BD">
            <w:pPr>
              <w:rPr>
                <w:rFonts w:cstheme="minorHAnsi"/>
                <w:sz w:val="20"/>
              </w:rPr>
            </w:pPr>
            <w:r w:rsidRPr="00CC474D">
              <w:rPr>
                <w:rFonts w:cstheme="minorHAnsi"/>
                <w:sz w:val="20"/>
              </w:rPr>
              <w:t>dateTime</w:t>
            </w:r>
          </w:p>
        </w:tc>
        <w:tc>
          <w:tcPr>
            <w:tcW w:w="709" w:type="dxa"/>
            <w:hideMark/>
          </w:tcPr>
          <w:p w14:paraId="3066DE8D" w14:textId="77777777" w:rsidR="007A07BD" w:rsidRPr="00CC474D" w:rsidRDefault="007A07BD" w:rsidP="007A07BD">
            <w:pPr>
              <w:rPr>
                <w:rFonts w:cstheme="minorHAnsi"/>
                <w:sz w:val="20"/>
              </w:rPr>
            </w:pPr>
            <w:r w:rsidRPr="00CC474D">
              <w:rPr>
                <w:rFonts w:cstheme="minorHAnsi"/>
                <w:sz w:val="20"/>
              </w:rPr>
              <w:t>Y</w:t>
            </w:r>
          </w:p>
        </w:tc>
        <w:tc>
          <w:tcPr>
            <w:tcW w:w="850" w:type="dxa"/>
            <w:hideMark/>
          </w:tcPr>
          <w:p w14:paraId="75749093" w14:textId="77777777" w:rsidR="007A07BD" w:rsidRPr="00CC474D" w:rsidRDefault="007A07BD" w:rsidP="007A07BD">
            <w:pPr>
              <w:pStyle w:val="TableText"/>
              <w:rPr>
                <w:rFonts w:cstheme="minorHAnsi"/>
                <w:szCs w:val="20"/>
              </w:rPr>
            </w:pPr>
          </w:p>
        </w:tc>
        <w:tc>
          <w:tcPr>
            <w:tcW w:w="1807" w:type="dxa"/>
          </w:tcPr>
          <w:p w14:paraId="13DB50F0" w14:textId="506DF743" w:rsidR="007A07BD" w:rsidRPr="00CC474D" w:rsidRDefault="007A07BD" w:rsidP="007A07BD">
            <w:pPr>
              <w:rPr>
                <w:rFonts w:cstheme="minorHAnsi"/>
                <w:sz w:val="20"/>
              </w:rPr>
            </w:pPr>
            <w:r w:rsidRPr="00CC474D">
              <w:rPr>
                <w:rFonts w:cstheme="minorHAnsi"/>
                <w:sz w:val="20"/>
              </w:rPr>
              <w:t>03/10/2019  18:10</w:t>
            </w:r>
          </w:p>
        </w:tc>
      </w:tr>
      <w:tr w:rsidR="0050053E" w:rsidRPr="00CC474D" w14:paraId="3764FA9B" w14:textId="77777777" w:rsidTr="00834EBD">
        <w:trPr>
          <w:cantSplit/>
        </w:trPr>
        <w:tc>
          <w:tcPr>
            <w:tcW w:w="1809" w:type="dxa"/>
            <w:hideMark/>
          </w:tcPr>
          <w:p w14:paraId="5074D8A5" w14:textId="2BC517F0" w:rsidR="0050053E" w:rsidRPr="00CC474D" w:rsidRDefault="00834EBD" w:rsidP="0050053E">
            <w:pPr>
              <w:rPr>
                <w:rFonts w:cstheme="minorHAnsi"/>
                <w:sz w:val="20"/>
              </w:rPr>
            </w:pPr>
            <w:r w:rsidRPr="00CC474D">
              <w:rPr>
                <w:rFonts w:cstheme="minorHAnsi"/>
                <w:sz w:val="20"/>
              </w:rPr>
              <w:t>SpeciesName</w:t>
            </w:r>
          </w:p>
        </w:tc>
        <w:tc>
          <w:tcPr>
            <w:tcW w:w="2977" w:type="dxa"/>
            <w:hideMark/>
          </w:tcPr>
          <w:p w14:paraId="2DA801D1" w14:textId="77777777" w:rsidR="0050053E" w:rsidRPr="00CC474D" w:rsidRDefault="0050053E" w:rsidP="0050053E">
            <w:pPr>
              <w:rPr>
                <w:rFonts w:cstheme="minorHAnsi"/>
                <w:sz w:val="20"/>
              </w:rPr>
            </w:pPr>
            <w:r w:rsidRPr="00CC474D">
              <w:rPr>
                <w:rFonts w:cstheme="minorHAnsi"/>
                <w:sz w:val="20"/>
              </w:rPr>
              <w:t>Latin name for species of microinvertebrate</w:t>
            </w:r>
          </w:p>
        </w:tc>
        <w:tc>
          <w:tcPr>
            <w:tcW w:w="1276" w:type="dxa"/>
            <w:hideMark/>
          </w:tcPr>
          <w:p w14:paraId="215A7A88" w14:textId="77777777" w:rsidR="0050053E" w:rsidRPr="00CC474D" w:rsidRDefault="0050053E" w:rsidP="0050053E">
            <w:pPr>
              <w:rPr>
                <w:rFonts w:cstheme="minorHAnsi"/>
                <w:sz w:val="20"/>
              </w:rPr>
            </w:pPr>
            <w:r w:rsidRPr="00CC474D">
              <w:rPr>
                <w:rFonts w:cstheme="minorHAnsi"/>
                <w:sz w:val="20"/>
              </w:rPr>
              <w:t>String</w:t>
            </w:r>
          </w:p>
        </w:tc>
        <w:tc>
          <w:tcPr>
            <w:tcW w:w="709" w:type="dxa"/>
            <w:hideMark/>
          </w:tcPr>
          <w:p w14:paraId="271B7173" w14:textId="77777777" w:rsidR="0050053E" w:rsidRPr="00CC474D" w:rsidRDefault="0050053E" w:rsidP="0050053E">
            <w:pPr>
              <w:rPr>
                <w:rFonts w:cstheme="minorHAnsi"/>
                <w:sz w:val="20"/>
              </w:rPr>
            </w:pPr>
            <w:r w:rsidRPr="00CC474D">
              <w:rPr>
                <w:rFonts w:cstheme="minorHAnsi"/>
                <w:sz w:val="20"/>
              </w:rPr>
              <w:t>Y</w:t>
            </w:r>
          </w:p>
        </w:tc>
        <w:tc>
          <w:tcPr>
            <w:tcW w:w="850" w:type="dxa"/>
            <w:shd w:val="clear" w:color="auto" w:fill="auto"/>
            <w:hideMark/>
          </w:tcPr>
          <w:p w14:paraId="62DC0B89" w14:textId="77777777" w:rsidR="0050053E" w:rsidRPr="00CC474D" w:rsidRDefault="0050053E" w:rsidP="0050053E">
            <w:pPr>
              <w:pStyle w:val="TableText"/>
              <w:rPr>
                <w:rFonts w:cstheme="minorHAnsi"/>
                <w:szCs w:val="20"/>
              </w:rPr>
            </w:pPr>
          </w:p>
        </w:tc>
        <w:tc>
          <w:tcPr>
            <w:tcW w:w="1807" w:type="dxa"/>
          </w:tcPr>
          <w:p w14:paraId="2EB380E7" w14:textId="77777777" w:rsidR="0050053E" w:rsidRPr="00CC474D" w:rsidRDefault="0050053E" w:rsidP="0050053E">
            <w:pPr>
              <w:pStyle w:val="TableText"/>
              <w:rPr>
                <w:rFonts w:cstheme="minorHAnsi"/>
                <w:i/>
                <w:szCs w:val="20"/>
              </w:rPr>
            </w:pPr>
            <w:r w:rsidRPr="00CC474D">
              <w:rPr>
                <w:rFonts w:cstheme="minorHAnsi"/>
                <w:i/>
                <w:szCs w:val="20"/>
              </w:rPr>
              <w:t>Brachionus novaezealandiae</w:t>
            </w:r>
          </w:p>
        </w:tc>
      </w:tr>
      <w:tr w:rsidR="0050053E" w:rsidRPr="00CC474D" w14:paraId="391CB0F2" w14:textId="77777777" w:rsidTr="00834EBD">
        <w:trPr>
          <w:cantSplit/>
        </w:trPr>
        <w:tc>
          <w:tcPr>
            <w:tcW w:w="1809" w:type="dxa"/>
            <w:noWrap/>
            <w:hideMark/>
          </w:tcPr>
          <w:p w14:paraId="33D261C0" w14:textId="3F455071" w:rsidR="0050053E" w:rsidRPr="00CC474D" w:rsidRDefault="00834EBD" w:rsidP="0050053E">
            <w:pPr>
              <w:rPr>
                <w:rFonts w:cstheme="minorHAnsi"/>
                <w:sz w:val="20"/>
              </w:rPr>
            </w:pPr>
            <w:r w:rsidRPr="00CC474D">
              <w:rPr>
                <w:rFonts w:cstheme="minorHAnsi"/>
                <w:sz w:val="20"/>
              </w:rPr>
              <w:lastRenderedPageBreak/>
              <w:t>HaneyTrapCatch</w:t>
            </w:r>
          </w:p>
        </w:tc>
        <w:tc>
          <w:tcPr>
            <w:tcW w:w="2977" w:type="dxa"/>
            <w:hideMark/>
          </w:tcPr>
          <w:p w14:paraId="28FCD878" w14:textId="301857AE" w:rsidR="0050053E" w:rsidRPr="00CC474D" w:rsidRDefault="00CC474D" w:rsidP="00CC474D">
            <w:pPr>
              <w:rPr>
                <w:rFonts w:cstheme="minorHAnsi"/>
                <w:sz w:val="20"/>
              </w:rPr>
            </w:pPr>
            <w:r>
              <w:rPr>
                <w:rFonts w:cstheme="minorHAnsi"/>
                <w:sz w:val="20"/>
              </w:rPr>
              <w:t>Mean n</w:t>
            </w:r>
            <w:r w:rsidR="0050053E" w:rsidRPr="00CC474D">
              <w:rPr>
                <w:rFonts w:cstheme="minorHAnsi"/>
                <w:sz w:val="20"/>
              </w:rPr>
              <w:t>umber of individuals per litre</w:t>
            </w:r>
          </w:p>
        </w:tc>
        <w:tc>
          <w:tcPr>
            <w:tcW w:w="1276" w:type="dxa"/>
            <w:hideMark/>
          </w:tcPr>
          <w:p w14:paraId="070945A5" w14:textId="77777777" w:rsidR="0050053E" w:rsidRPr="00CC474D" w:rsidRDefault="0050053E" w:rsidP="0050053E">
            <w:pPr>
              <w:rPr>
                <w:rFonts w:cstheme="minorHAnsi"/>
                <w:sz w:val="20"/>
              </w:rPr>
            </w:pPr>
            <w:r w:rsidRPr="00CC474D">
              <w:rPr>
                <w:rFonts w:cstheme="minorHAnsi"/>
                <w:sz w:val="20"/>
              </w:rPr>
              <w:t>Number (0 decimals)</w:t>
            </w:r>
          </w:p>
        </w:tc>
        <w:tc>
          <w:tcPr>
            <w:tcW w:w="709" w:type="dxa"/>
            <w:noWrap/>
            <w:hideMark/>
          </w:tcPr>
          <w:p w14:paraId="09C17A73" w14:textId="77777777" w:rsidR="0050053E" w:rsidRPr="00CC474D" w:rsidRDefault="0050053E" w:rsidP="0050053E">
            <w:pPr>
              <w:rPr>
                <w:rFonts w:cstheme="minorHAnsi"/>
                <w:sz w:val="20"/>
              </w:rPr>
            </w:pPr>
            <w:r w:rsidRPr="00CC474D">
              <w:rPr>
                <w:rFonts w:cstheme="minorHAnsi"/>
                <w:sz w:val="20"/>
              </w:rPr>
              <w:t>Y</w:t>
            </w:r>
          </w:p>
        </w:tc>
        <w:tc>
          <w:tcPr>
            <w:tcW w:w="850" w:type="dxa"/>
            <w:noWrap/>
            <w:hideMark/>
          </w:tcPr>
          <w:p w14:paraId="5E834765" w14:textId="77777777" w:rsidR="0050053E" w:rsidRPr="00CC474D" w:rsidRDefault="0050053E" w:rsidP="0050053E">
            <w:pPr>
              <w:pStyle w:val="TableText"/>
              <w:rPr>
                <w:rFonts w:cstheme="minorHAnsi"/>
                <w:szCs w:val="20"/>
              </w:rPr>
            </w:pPr>
            <w:r w:rsidRPr="00CC474D">
              <w:rPr>
                <w:rFonts w:cstheme="minorHAnsi"/>
                <w:szCs w:val="20"/>
              </w:rPr>
              <w:t>[0,+]</w:t>
            </w:r>
          </w:p>
        </w:tc>
        <w:tc>
          <w:tcPr>
            <w:tcW w:w="1807" w:type="dxa"/>
          </w:tcPr>
          <w:p w14:paraId="6D56E1AE" w14:textId="77777777" w:rsidR="0050053E" w:rsidRPr="00CC474D" w:rsidRDefault="0050053E" w:rsidP="0050053E">
            <w:pPr>
              <w:pStyle w:val="TableText"/>
              <w:rPr>
                <w:rFonts w:cstheme="minorHAnsi"/>
                <w:szCs w:val="20"/>
              </w:rPr>
            </w:pPr>
            <w:r w:rsidRPr="00CC474D">
              <w:rPr>
                <w:rFonts w:cstheme="minorHAnsi"/>
                <w:szCs w:val="20"/>
              </w:rPr>
              <w:t>3,000 ind. L</w:t>
            </w:r>
            <w:r w:rsidRPr="00CC474D">
              <w:rPr>
                <w:rFonts w:cstheme="minorHAnsi"/>
                <w:szCs w:val="20"/>
                <w:vertAlign w:val="superscript"/>
              </w:rPr>
              <w:t>-1</w:t>
            </w:r>
          </w:p>
        </w:tc>
      </w:tr>
    </w:tbl>
    <w:p w14:paraId="548BB586" w14:textId="77777777" w:rsidR="0050053E" w:rsidRPr="00992869" w:rsidRDefault="0050053E" w:rsidP="009E6C53"/>
    <w:p w14:paraId="339DB48B" w14:textId="77777777" w:rsidR="009E6C53" w:rsidRPr="00992869" w:rsidRDefault="009E6C53" w:rsidP="009E6C53">
      <w:pPr>
        <w:pStyle w:val="Heading2"/>
      </w:pPr>
      <w:bookmarkStart w:id="2033" w:name="_Toc10206796"/>
      <w:bookmarkStart w:id="2034" w:name="_Toc10213382"/>
      <w:bookmarkStart w:id="2035" w:name="_Toc10732406"/>
      <w:bookmarkStart w:id="2036" w:name="_Toc10796965"/>
      <w:bookmarkStart w:id="2037" w:name="_Toc12022850"/>
      <w:bookmarkStart w:id="2038" w:name="_Toc12630680"/>
      <w:bookmarkStart w:id="2039" w:name="_Toc16154540"/>
      <w:bookmarkStart w:id="2040" w:name="_Toc22196902"/>
      <w:r w:rsidRPr="00992869">
        <w:t>Quality Assurance/Quality Control</w:t>
      </w:r>
      <w:bookmarkEnd w:id="2033"/>
      <w:bookmarkEnd w:id="2034"/>
      <w:bookmarkEnd w:id="2035"/>
      <w:bookmarkEnd w:id="2036"/>
      <w:bookmarkEnd w:id="2037"/>
      <w:bookmarkEnd w:id="2038"/>
      <w:bookmarkEnd w:id="2039"/>
      <w:bookmarkEnd w:id="2040"/>
    </w:p>
    <w:p w14:paraId="44240D8A" w14:textId="382CA25C" w:rsidR="009E6C53" w:rsidRPr="00992869" w:rsidRDefault="009E6C53" w:rsidP="009E6C53">
      <w:r w:rsidRPr="00992869">
        <w:t xml:space="preserve">See Section </w:t>
      </w:r>
      <w:r w:rsidRPr="00992869">
        <w:fldChar w:fldCharType="begin"/>
      </w:r>
      <w:r w:rsidRPr="00992869">
        <w:instrText xml:space="preserve"> REF _Ref9333977 \r \h  \* MERGEFORMAT </w:instrText>
      </w:r>
      <w:r w:rsidRPr="00992869">
        <w:fldChar w:fldCharType="separate"/>
      </w:r>
      <w:r w:rsidR="00DF49CD">
        <w:t>10.3</w:t>
      </w:r>
      <w:r w:rsidRPr="00992869">
        <w:fldChar w:fldCharType="end"/>
      </w:r>
      <w:r>
        <w:t xml:space="preserve"> </w:t>
      </w:r>
      <w:r w:rsidRPr="002E3EEF">
        <w:rPr>
          <w:rFonts w:cstheme="minorHAnsi"/>
          <w:szCs w:val="22"/>
        </w:rPr>
        <w:t xml:space="preserve">in the </w:t>
      </w:r>
      <w:r>
        <w:rPr>
          <w:rFonts w:cstheme="minorHAnsi"/>
          <w:szCs w:val="22"/>
        </w:rPr>
        <w:t>MER</w:t>
      </w:r>
      <w:r w:rsidRPr="002E3EEF">
        <w:rPr>
          <w:rFonts w:cstheme="minorHAnsi"/>
          <w:szCs w:val="22"/>
        </w:rPr>
        <w:t xml:space="preserve"> Plan</w:t>
      </w:r>
      <w:r>
        <w:rPr>
          <w:rFonts w:cstheme="minorHAnsi"/>
          <w:szCs w:val="22"/>
        </w:rPr>
        <w:t xml:space="preserve"> for quality assurance and control measures</w:t>
      </w:r>
      <w:r w:rsidRPr="00992869">
        <w:t xml:space="preserve">. </w:t>
      </w:r>
    </w:p>
    <w:p w14:paraId="569C7AAF" w14:textId="77777777" w:rsidR="00FB1173" w:rsidRPr="00992869" w:rsidRDefault="00FB1173" w:rsidP="00FB1173">
      <w:pPr>
        <w:pStyle w:val="Heading2"/>
      </w:pPr>
      <w:bookmarkStart w:id="2041" w:name="_Toc10206797"/>
      <w:bookmarkStart w:id="2042" w:name="_Toc10213383"/>
      <w:bookmarkStart w:id="2043" w:name="_Toc10732407"/>
      <w:bookmarkStart w:id="2044" w:name="_Toc10796966"/>
      <w:bookmarkStart w:id="2045" w:name="_Toc12022851"/>
      <w:bookmarkStart w:id="2046" w:name="_Toc12630681"/>
      <w:bookmarkStart w:id="2047" w:name="_Toc16154541"/>
      <w:bookmarkStart w:id="2048" w:name="_Toc22196903"/>
      <w:r w:rsidRPr="00992869">
        <w:t>Health, safety and environment plan</w:t>
      </w:r>
      <w:bookmarkEnd w:id="2031"/>
      <w:bookmarkEnd w:id="2032"/>
      <w:bookmarkEnd w:id="2041"/>
      <w:bookmarkEnd w:id="2042"/>
      <w:bookmarkEnd w:id="2043"/>
      <w:bookmarkEnd w:id="2044"/>
      <w:bookmarkEnd w:id="2045"/>
      <w:bookmarkEnd w:id="2046"/>
      <w:bookmarkEnd w:id="2047"/>
      <w:bookmarkEnd w:id="2048"/>
    </w:p>
    <w:p w14:paraId="4C1B657D" w14:textId="0551A4EF" w:rsidR="00FB1173" w:rsidRDefault="000E285D" w:rsidP="00FB1173">
      <w:pPr>
        <w:rPr>
          <w:lang w:val="en-US"/>
        </w:rPr>
      </w:pPr>
      <w:r>
        <w:t>See Appendix A</w:t>
      </w:r>
      <w:r w:rsidR="00FB1173" w:rsidRPr="00992869">
        <w:t>.</w:t>
      </w:r>
    </w:p>
    <w:p w14:paraId="52115370" w14:textId="77777777" w:rsidR="00FB1173" w:rsidRPr="004B7CC1" w:rsidRDefault="00FB1173" w:rsidP="00FB1173">
      <w:pPr>
        <w:pStyle w:val="Heading2"/>
      </w:pPr>
      <w:bookmarkStart w:id="2049" w:name="_Toc10095314"/>
      <w:bookmarkStart w:id="2050" w:name="_Toc10192483"/>
      <w:bookmarkStart w:id="2051" w:name="_Toc10206798"/>
      <w:bookmarkStart w:id="2052" w:name="_Toc10213384"/>
      <w:bookmarkStart w:id="2053" w:name="_Toc10732408"/>
      <w:bookmarkStart w:id="2054" w:name="_Toc10796967"/>
      <w:bookmarkStart w:id="2055" w:name="_Toc12022852"/>
      <w:bookmarkStart w:id="2056" w:name="_Toc12630682"/>
      <w:bookmarkStart w:id="2057" w:name="_Toc16154542"/>
      <w:bookmarkStart w:id="2058" w:name="_Toc22196904"/>
      <w:r w:rsidRPr="004B7CC1">
        <w:t>References</w:t>
      </w:r>
      <w:bookmarkEnd w:id="2029"/>
      <w:bookmarkEnd w:id="2030"/>
      <w:bookmarkEnd w:id="2049"/>
      <w:bookmarkEnd w:id="2050"/>
      <w:bookmarkEnd w:id="2051"/>
      <w:bookmarkEnd w:id="2052"/>
      <w:bookmarkEnd w:id="2053"/>
      <w:bookmarkEnd w:id="2054"/>
      <w:bookmarkEnd w:id="2055"/>
      <w:bookmarkEnd w:id="2056"/>
      <w:bookmarkEnd w:id="2057"/>
      <w:bookmarkEnd w:id="2058"/>
    </w:p>
    <w:p w14:paraId="53C811B4" w14:textId="28E8AC5C" w:rsidR="00FB1173" w:rsidRDefault="00303F36" w:rsidP="00FB1173">
      <w:r>
        <w:rPr>
          <w:rFonts w:cstheme="minorHAnsi"/>
          <w:szCs w:val="22"/>
        </w:rPr>
        <w:t>None.</w:t>
      </w:r>
    </w:p>
    <w:p w14:paraId="1047A92A" w14:textId="77777777" w:rsidR="00FB1173" w:rsidRDefault="00FB1173">
      <w:pPr>
        <w:spacing w:after="200" w:line="276" w:lineRule="auto"/>
        <w:jc w:val="left"/>
        <w:rPr>
          <w:rFonts w:eastAsiaTheme="majorEastAsia" w:cstheme="majorBidi"/>
          <w:b/>
          <w:bCs/>
          <w:color w:val="auto"/>
          <w:sz w:val="32"/>
          <w:szCs w:val="28"/>
        </w:rPr>
      </w:pPr>
      <w:r>
        <w:br w:type="page"/>
      </w:r>
    </w:p>
    <w:p w14:paraId="081D3072" w14:textId="5DC99C90" w:rsidR="00336C52" w:rsidRDefault="008C1585" w:rsidP="008C1585">
      <w:pPr>
        <w:pStyle w:val="Heading1"/>
      </w:pPr>
      <w:bookmarkStart w:id="2059" w:name="_Toc12022853"/>
      <w:bookmarkStart w:id="2060" w:name="_Toc12630683"/>
      <w:bookmarkStart w:id="2061" w:name="_Toc16154543"/>
      <w:bookmarkStart w:id="2062" w:name="_Toc22196905"/>
      <w:bookmarkEnd w:id="1198"/>
      <w:bookmarkEnd w:id="1199"/>
      <w:bookmarkEnd w:id="1200"/>
      <w:r w:rsidRPr="008C1585">
        <w:lastRenderedPageBreak/>
        <w:t>Flow-cued Spawning Fish Recruitment</w:t>
      </w:r>
      <w:bookmarkEnd w:id="2059"/>
      <w:bookmarkEnd w:id="2060"/>
      <w:bookmarkEnd w:id="2061"/>
      <w:bookmarkEnd w:id="2062"/>
    </w:p>
    <w:p w14:paraId="62D82A34" w14:textId="77777777" w:rsidR="00336C52" w:rsidRPr="00525AE9" w:rsidRDefault="00336C52" w:rsidP="00336C52">
      <w:pPr>
        <w:pStyle w:val="Heading2"/>
      </w:pPr>
      <w:bookmarkStart w:id="2063" w:name="_Toc396825313"/>
      <w:bookmarkStart w:id="2064" w:name="_Toc6403870"/>
      <w:bookmarkStart w:id="2065" w:name="_Toc10095316"/>
      <w:bookmarkStart w:id="2066" w:name="_Toc10192485"/>
      <w:bookmarkStart w:id="2067" w:name="_Toc10206800"/>
      <w:bookmarkStart w:id="2068" w:name="_Toc10213386"/>
      <w:bookmarkStart w:id="2069" w:name="_Toc10732410"/>
      <w:bookmarkStart w:id="2070" w:name="_Toc10796969"/>
      <w:bookmarkStart w:id="2071" w:name="_Toc12022854"/>
      <w:bookmarkStart w:id="2072" w:name="_Toc12630684"/>
      <w:bookmarkStart w:id="2073" w:name="_Toc16154544"/>
      <w:bookmarkStart w:id="2074" w:name="_Toc22196906"/>
      <w:r w:rsidRPr="00525AE9">
        <w:t>Evaluation questions</w:t>
      </w:r>
      <w:bookmarkEnd w:id="2063"/>
      <w:bookmarkEnd w:id="2064"/>
      <w:bookmarkEnd w:id="2065"/>
      <w:bookmarkEnd w:id="2066"/>
      <w:bookmarkEnd w:id="2067"/>
      <w:bookmarkEnd w:id="2068"/>
      <w:bookmarkEnd w:id="2069"/>
      <w:bookmarkEnd w:id="2070"/>
      <w:bookmarkEnd w:id="2071"/>
      <w:bookmarkEnd w:id="2072"/>
      <w:bookmarkEnd w:id="2073"/>
      <w:bookmarkEnd w:id="2074"/>
    </w:p>
    <w:p w14:paraId="19D7EDDA" w14:textId="190CDEB1" w:rsidR="00336C52" w:rsidRPr="00557D7E" w:rsidRDefault="00336C52" w:rsidP="00336C52">
      <w:pPr>
        <w:rPr>
          <w:szCs w:val="22"/>
        </w:rPr>
      </w:pPr>
      <w:r w:rsidRPr="00557D7E">
        <w:rPr>
          <w:szCs w:val="22"/>
        </w:rPr>
        <w:t xml:space="preserve">This monitoring protocol addresses the following </w:t>
      </w:r>
      <w:r w:rsidR="005F1991">
        <w:rPr>
          <w:szCs w:val="22"/>
        </w:rPr>
        <w:t>Selected Area</w:t>
      </w:r>
      <w:r w:rsidRPr="00557D7E">
        <w:rPr>
          <w:szCs w:val="22"/>
        </w:rPr>
        <w:t xml:space="preserve"> scale evaluation questions</w:t>
      </w:r>
      <w:r w:rsidR="00C63C7F">
        <w:rPr>
          <w:szCs w:val="22"/>
        </w:rPr>
        <w:t xml:space="preserve"> for</w:t>
      </w:r>
      <w:r w:rsidRPr="00557D7E">
        <w:rPr>
          <w:szCs w:val="22"/>
        </w:rPr>
        <w:t>:</w:t>
      </w:r>
    </w:p>
    <w:p w14:paraId="0BCC7953" w14:textId="6611E985" w:rsidR="00336C52" w:rsidRPr="00C2634B" w:rsidRDefault="001F661A" w:rsidP="00336C52">
      <w:pPr>
        <w:rPr>
          <w:b/>
        </w:rPr>
      </w:pPr>
      <w:r>
        <w:rPr>
          <w:b/>
        </w:rPr>
        <w:t xml:space="preserve">Short-term </w:t>
      </w:r>
      <w:r w:rsidR="00C63C7F">
        <w:rPr>
          <w:b/>
        </w:rPr>
        <w:t>responses</w:t>
      </w:r>
      <w:r w:rsidR="00336C52" w:rsidRPr="00C2634B">
        <w:rPr>
          <w:b/>
        </w:rPr>
        <w:t>:</w:t>
      </w:r>
    </w:p>
    <w:p w14:paraId="2D199884" w14:textId="1E4946DC" w:rsidR="008803DD" w:rsidRPr="00DE01CF" w:rsidRDefault="00384C69" w:rsidP="00B96968">
      <w:pPr>
        <w:pStyle w:val="TableBullets"/>
        <w:rPr>
          <w:sz w:val="22"/>
        </w:rPr>
      </w:pPr>
      <w:r>
        <w:rPr>
          <w:sz w:val="22"/>
        </w:rPr>
        <w:t>Did the flow regime (including environmental water)</w:t>
      </w:r>
      <w:r w:rsidRPr="00DE01CF">
        <w:rPr>
          <w:sz w:val="22"/>
        </w:rPr>
        <w:t xml:space="preserve"> contribute to </w:t>
      </w:r>
      <w:r>
        <w:rPr>
          <w:kern w:val="0"/>
          <w:sz w:val="22"/>
        </w:rPr>
        <w:t>recruitment</w:t>
      </w:r>
      <w:r w:rsidRPr="00DE01CF">
        <w:rPr>
          <w:kern w:val="0"/>
          <w:sz w:val="22"/>
        </w:rPr>
        <w:t xml:space="preserve"> of golden perch and silver perch</w:t>
      </w:r>
      <w:r w:rsidRPr="00DE01CF">
        <w:rPr>
          <w:sz w:val="22"/>
        </w:rPr>
        <w:t>?</w:t>
      </w:r>
    </w:p>
    <w:p w14:paraId="49FCD66C" w14:textId="5F16EF86" w:rsidR="008803DD" w:rsidRPr="00C2634B" w:rsidRDefault="008803DD" w:rsidP="008803DD">
      <w:pPr>
        <w:rPr>
          <w:b/>
        </w:rPr>
      </w:pPr>
      <w:r>
        <w:rPr>
          <w:b/>
        </w:rPr>
        <w:t xml:space="preserve">Long-term </w:t>
      </w:r>
      <w:r w:rsidR="00C63C7F">
        <w:rPr>
          <w:b/>
        </w:rPr>
        <w:t>outcomes</w:t>
      </w:r>
      <w:r w:rsidRPr="00C2634B">
        <w:rPr>
          <w:b/>
        </w:rPr>
        <w:t>:</w:t>
      </w:r>
    </w:p>
    <w:p w14:paraId="03BAB83E" w14:textId="799F1162" w:rsidR="008803DD" w:rsidRPr="00DE01CF" w:rsidRDefault="00384C69" w:rsidP="008803DD">
      <w:pPr>
        <w:pStyle w:val="TableBullets"/>
        <w:rPr>
          <w:sz w:val="22"/>
        </w:rPr>
      </w:pPr>
      <w:r>
        <w:rPr>
          <w:sz w:val="22"/>
        </w:rPr>
        <w:t>Did the flow regime</w:t>
      </w:r>
      <w:r w:rsidRPr="00DE01CF">
        <w:rPr>
          <w:sz w:val="22"/>
        </w:rPr>
        <w:t xml:space="preserve"> </w:t>
      </w:r>
      <w:r>
        <w:rPr>
          <w:sz w:val="22"/>
        </w:rPr>
        <w:t xml:space="preserve">(including environmental water) </w:t>
      </w:r>
      <w:r w:rsidRPr="00DE01CF">
        <w:rPr>
          <w:sz w:val="22"/>
        </w:rPr>
        <w:t>contribute to</w:t>
      </w:r>
      <w:r>
        <w:rPr>
          <w:sz w:val="22"/>
        </w:rPr>
        <w:t xml:space="preserve"> the resilience</w:t>
      </w:r>
      <w:r w:rsidRPr="00DE01CF">
        <w:rPr>
          <w:sz w:val="22"/>
        </w:rPr>
        <w:t xml:space="preserve"> </w:t>
      </w:r>
      <w:r w:rsidRPr="00DE01CF">
        <w:rPr>
          <w:kern w:val="0"/>
          <w:sz w:val="22"/>
        </w:rPr>
        <w:t>of golden perch and silver perch</w:t>
      </w:r>
      <w:r w:rsidRPr="00E2063F">
        <w:rPr>
          <w:kern w:val="0"/>
          <w:sz w:val="22"/>
        </w:rPr>
        <w:t xml:space="preserve"> </w:t>
      </w:r>
      <w:r w:rsidRPr="00DE01CF">
        <w:rPr>
          <w:kern w:val="0"/>
          <w:sz w:val="22"/>
        </w:rPr>
        <w:t>populations</w:t>
      </w:r>
      <w:r w:rsidRPr="00DE01CF">
        <w:rPr>
          <w:sz w:val="22"/>
        </w:rPr>
        <w:t>?</w:t>
      </w:r>
    </w:p>
    <w:p w14:paraId="3FFCEED3" w14:textId="727BE9C5" w:rsidR="00336C52" w:rsidRPr="00557D7E" w:rsidRDefault="00044CB0" w:rsidP="00336C52">
      <w:pPr>
        <w:spacing w:before="120"/>
      </w:pPr>
      <w:r>
        <w:rPr>
          <w:noProof/>
          <w:lang w:eastAsia="en-AU"/>
        </w:rPr>
        <mc:AlternateContent>
          <mc:Choice Requires="wps">
            <w:drawing>
              <wp:anchor distT="0" distB="0" distL="114300" distR="114300" simplePos="0" relativeHeight="251749376" behindDoc="0" locked="0" layoutInCell="1" allowOverlap="1" wp14:anchorId="347A8658" wp14:editId="0A770F31">
                <wp:simplePos x="0" y="0"/>
                <wp:positionH relativeFrom="margin">
                  <wp:align>left</wp:align>
                </wp:positionH>
                <wp:positionV relativeFrom="paragraph">
                  <wp:posOffset>237491</wp:posOffset>
                </wp:positionV>
                <wp:extent cx="5915025" cy="4038600"/>
                <wp:effectExtent l="0" t="0" r="28575" b="19050"/>
                <wp:wrapNone/>
                <wp:docPr id="1429" name="Rectangle 1429"/>
                <wp:cNvGraphicFramePr/>
                <a:graphic xmlns:a="http://schemas.openxmlformats.org/drawingml/2006/main">
                  <a:graphicData uri="http://schemas.microsoft.com/office/word/2010/wordprocessingShape">
                    <wps:wsp>
                      <wps:cNvSpPr/>
                      <wps:spPr>
                        <a:xfrm>
                          <a:off x="0" y="0"/>
                          <a:ext cx="5915025" cy="4038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52C5E68" id="Rectangle 1429" o:spid="_x0000_s1026" style="position:absolute;margin-left:0;margin-top:18.7pt;width:465.75pt;height:318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" filled="f" strokecolor="black [3213]" strokeweight="1pt">
                <w10:wrap anchorx="margin"/>
              </v:rect>
            </w:pict>
          </mc:Fallback>
        </mc:AlternateContent>
      </w:r>
      <w:r w:rsidR="00336C52" w:rsidRPr="00557D7E">
        <w:t>The process for evaluating these questions is illustrated below in</w:t>
      </w:r>
      <w:r w:rsidR="009B27E3">
        <w:t xml:space="preserve"> </w:t>
      </w:r>
      <w:r w:rsidR="006F4D01">
        <w:fldChar w:fldCharType="begin"/>
      </w:r>
      <w:r w:rsidR="009B27E3">
        <w:instrText xml:space="preserve"> REF _Ref397515873 \h </w:instrText>
      </w:r>
      <w:r w:rsidR="006F4D01">
        <w:fldChar w:fldCharType="separate"/>
      </w:r>
      <w:r w:rsidR="00DF49CD">
        <w:t>Figure B.</w:t>
      </w:r>
      <w:r w:rsidR="00DF49CD">
        <w:rPr>
          <w:noProof/>
        </w:rPr>
        <w:t>12</w:t>
      </w:r>
      <w:r w:rsidR="006F4D01">
        <w:fldChar w:fldCharType="end"/>
      </w:r>
      <w:r w:rsidR="00336C52" w:rsidRPr="00557D7E">
        <w:t>.</w:t>
      </w:r>
    </w:p>
    <w:p w14:paraId="6562E725" w14:textId="6019DFE8" w:rsidR="00336C52" w:rsidRDefault="00044CB0" w:rsidP="00336C52">
      <w:pPr>
        <w:keepNext/>
      </w:pPr>
      <w:r>
        <w:rPr>
          <w:noProof/>
          <w:lang w:eastAsia="en-AU"/>
        </w:rPr>
        <mc:AlternateContent>
          <mc:Choice Requires="wps">
            <w:drawing>
              <wp:anchor distT="0" distB="0" distL="114300" distR="114300" simplePos="0" relativeHeight="251748352" behindDoc="0" locked="0" layoutInCell="1" allowOverlap="1" wp14:anchorId="7334CB0D" wp14:editId="3E1374DD">
                <wp:simplePos x="0" y="0"/>
                <wp:positionH relativeFrom="column">
                  <wp:posOffset>3200119</wp:posOffset>
                </wp:positionH>
                <wp:positionV relativeFrom="paragraph">
                  <wp:posOffset>2304415</wp:posOffset>
                </wp:positionV>
                <wp:extent cx="0" cy="1228725"/>
                <wp:effectExtent l="95250" t="38100" r="57150" b="9525"/>
                <wp:wrapNone/>
                <wp:docPr id="1428"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28725"/>
                        </a:xfrm>
                        <a:prstGeom prst="straightConnector1">
                          <a:avLst/>
                        </a:prstGeom>
                        <a:noFill/>
                        <a:ln w="9525">
                          <a:solidFill>
                            <a:schemeClr val="tx1">
                              <a:lumMod val="100000"/>
                              <a:lumOff val="0"/>
                            </a:schemeClr>
                          </a:solidFill>
                          <a:round/>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F69200C" id="Straight Arrow Connector 32" o:spid="_x0000_s1026" type="#_x0000_t32" style="position:absolute;margin-left:252pt;margin-top:181.45pt;width:0;height:96.7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" strokecolor="black [3213]">
                <v:stroke endarrow="open"/>
              </v:shape>
            </w:pict>
          </mc:Fallback>
        </mc:AlternateContent>
      </w:r>
      <w:r>
        <w:rPr>
          <w:noProof/>
          <w:lang w:eastAsia="en-AU"/>
        </w:rPr>
        <mc:AlternateContent>
          <mc:Choice Requires="wps">
            <w:drawing>
              <wp:anchor distT="0" distB="0" distL="114300" distR="114300" simplePos="0" relativeHeight="251746304" behindDoc="0" locked="0" layoutInCell="1" allowOverlap="1" wp14:anchorId="773B8371" wp14:editId="5BAFAFF4">
                <wp:simplePos x="0" y="0"/>
                <wp:positionH relativeFrom="column">
                  <wp:posOffset>3209290</wp:posOffset>
                </wp:positionH>
                <wp:positionV relativeFrom="paragraph">
                  <wp:posOffset>1381125</wp:posOffset>
                </wp:positionV>
                <wp:extent cx="4765" cy="497840"/>
                <wp:effectExtent l="76200" t="38100" r="71755" b="16510"/>
                <wp:wrapNone/>
                <wp:docPr id="1427"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5" cy="497840"/>
                        </a:xfrm>
                        <a:prstGeom prst="straightConnector1">
                          <a:avLst/>
                        </a:prstGeom>
                        <a:noFill/>
                        <a:ln w="9525">
                          <a:solidFill>
                            <a:schemeClr val="tx1">
                              <a:lumMod val="100000"/>
                              <a:lumOff val="0"/>
                            </a:schemeClr>
                          </a:solidFill>
                          <a:round/>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E6EC45F" id="Straight Arrow Connector 32" o:spid="_x0000_s1026" type="#_x0000_t32" style="position:absolute;margin-left:252.7pt;margin-top:108.75pt;width:.4pt;height:39.2pt;flip:y;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" strokecolor="black [3213]">
                <v:stroke endarrow="open"/>
              </v:shape>
            </w:pict>
          </mc:Fallback>
        </mc:AlternateContent>
      </w:r>
      <w:r w:rsidR="00C123A1">
        <w:rPr>
          <w:noProof/>
          <w:lang w:eastAsia="en-AU"/>
        </w:rPr>
        <mc:AlternateContent>
          <mc:Choice Requires="wpg">
            <w:drawing>
              <wp:inline distT="0" distB="0" distL="0" distR="0" wp14:anchorId="72F08E02" wp14:editId="543F21AA">
                <wp:extent cx="5861050" cy="3828410"/>
                <wp:effectExtent l="0" t="0" r="25400" b="20320"/>
                <wp:docPr id="3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050" cy="3828410"/>
                          <a:chOff x="10436" y="10727"/>
                          <a:chExt cx="68407" cy="38282"/>
                        </a:xfrm>
                      </wpg:grpSpPr>
                      <wps:wsp>
                        <wps:cNvPr id="36" name="Straight Connector 4"/>
                        <wps:cNvCnPr>
                          <a:cxnSpLocks noChangeShapeType="1"/>
                        </wps:cNvCnPr>
                        <wps:spPr bwMode="auto">
                          <a:xfrm>
                            <a:off x="10436" y="17728"/>
                            <a:ext cx="68407" cy="0"/>
                          </a:xfrm>
                          <a:prstGeom prst="line">
                            <a:avLst/>
                          </a:prstGeom>
                          <a:noFill/>
                          <a:ln w="19050">
                            <a:solidFill>
                              <a:schemeClr val="tx1">
                                <a:lumMod val="100000"/>
                                <a:lumOff val="0"/>
                              </a:schemeClr>
                            </a:solidFill>
                            <a:prstDash val="sysDash"/>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s:wsp>
                        <wps:cNvPr id="37" name="Straight Connector 5"/>
                        <wps:cNvCnPr>
                          <a:cxnSpLocks noChangeShapeType="1"/>
                        </wps:cNvCnPr>
                        <wps:spPr bwMode="auto">
                          <a:xfrm>
                            <a:off x="10436" y="25649"/>
                            <a:ext cx="68407" cy="0"/>
                          </a:xfrm>
                          <a:prstGeom prst="line">
                            <a:avLst/>
                          </a:prstGeom>
                          <a:noFill/>
                          <a:ln w="19050">
                            <a:solidFill>
                              <a:schemeClr val="tx1">
                                <a:lumMod val="100000"/>
                                <a:lumOff val="0"/>
                              </a:schemeClr>
                            </a:solidFill>
                            <a:prstDash val="sysDash"/>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s:wsp>
                        <wps:cNvPr id="38" name="Straight Connector 6"/>
                        <wps:cNvCnPr>
                          <a:cxnSpLocks noChangeShapeType="1"/>
                        </wps:cNvCnPr>
                        <wps:spPr bwMode="auto">
                          <a:xfrm>
                            <a:off x="10436" y="35730"/>
                            <a:ext cx="68407" cy="0"/>
                          </a:xfrm>
                          <a:prstGeom prst="line">
                            <a:avLst/>
                          </a:prstGeom>
                          <a:noFill/>
                          <a:ln w="19050">
                            <a:solidFill>
                              <a:schemeClr val="tx1">
                                <a:lumMod val="100000"/>
                                <a:lumOff val="0"/>
                              </a:schemeClr>
                            </a:solidFill>
                            <a:prstDash val="sysDash"/>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s:wsp>
                        <wps:cNvPr id="40" name="TextBox 10"/>
                        <wps:cNvSpPr txBox="1">
                          <a:spLocks noChangeArrowheads="1"/>
                        </wps:cNvSpPr>
                        <wps:spPr bwMode="auto">
                          <a:xfrm>
                            <a:off x="10436" y="14036"/>
                            <a:ext cx="10864" cy="36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5F2ECE2E" w14:textId="77777777" w:rsidR="00A8252A" w:rsidRPr="002C0A72" w:rsidRDefault="00A8252A" w:rsidP="00336C52">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Reporting</w:t>
                              </w:r>
                            </w:p>
                          </w:txbxContent>
                        </wps:txbx>
                        <wps:bodyPr rot="0" vert="horz" wrap="square" lIns="91440" tIns="45720" rIns="91440" bIns="45720" anchor="t" anchorCtr="0" upright="1">
                          <a:noAutofit/>
                        </wps:bodyPr>
                      </wps:wsp>
                      <wps:wsp>
                        <wps:cNvPr id="41" name="TextBox 11"/>
                        <wps:cNvSpPr txBox="1">
                          <a:spLocks noChangeArrowheads="1"/>
                        </wps:cNvSpPr>
                        <wps:spPr bwMode="auto">
                          <a:xfrm>
                            <a:off x="10436" y="21950"/>
                            <a:ext cx="11228" cy="2927"/>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5CFE43E2" w14:textId="77777777" w:rsidR="00A8252A" w:rsidRPr="002C0A72" w:rsidRDefault="00A8252A" w:rsidP="00336C52">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Evaluation</w:t>
                              </w:r>
                            </w:p>
                          </w:txbxContent>
                        </wps:txbx>
                        <wps:bodyPr rot="0" vert="horz" wrap="square" lIns="91440" tIns="45720" rIns="91440" bIns="45720" anchor="t" anchorCtr="0" upright="1">
                          <a:spAutoFit/>
                        </wps:bodyPr>
                      </wps:wsp>
                      <wps:wsp>
                        <wps:cNvPr id="45" name="TextBox 12"/>
                        <wps:cNvSpPr txBox="1">
                          <a:spLocks noChangeArrowheads="1"/>
                        </wps:cNvSpPr>
                        <wps:spPr bwMode="auto">
                          <a:xfrm>
                            <a:off x="10436" y="32031"/>
                            <a:ext cx="9183" cy="2883"/>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238F582A" w14:textId="77777777" w:rsidR="00A8252A" w:rsidRPr="002C0A72" w:rsidRDefault="00A8252A" w:rsidP="00336C52">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Analysis</w:t>
                              </w:r>
                            </w:p>
                          </w:txbxContent>
                        </wps:txbx>
                        <wps:bodyPr rot="0" vert="horz" wrap="square" lIns="91440" tIns="45720" rIns="91440" bIns="45720" anchor="t" anchorCtr="0" upright="1">
                          <a:noAutofit/>
                        </wps:bodyPr>
                      </wps:wsp>
                      <wps:wsp>
                        <wps:cNvPr id="46" name="TextBox 13"/>
                        <wps:cNvSpPr txBox="1">
                          <a:spLocks noChangeArrowheads="1"/>
                        </wps:cNvSpPr>
                        <wps:spPr bwMode="auto">
                          <a:xfrm>
                            <a:off x="10436" y="45077"/>
                            <a:ext cx="18788" cy="2927"/>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2B1372CA" w14:textId="77777777" w:rsidR="00A8252A" w:rsidRPr="002C0A72" w:rsidRDefault="00A8252A" w:rsidP="00336C52">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Field measurement</w:t>
                              </w:r>
                            </w:p>
                          </w:txbxContent>
                        </wps:txbx>
                        <wps:bodyPr rot="0" vert="horz" wrap="square" lIns="91440" tIns="45720" rIns="91440" bIns="45720" anchor="t" anchorCtr="0" upright="1">
                          <a:spAutoFit/>
                        </wps:bodyPr>
                      </wps:wsp>
                      <wps:wsp>
                        <wps:cNvPr id="48" name="TextBox 14"/>
                        <wps:cNvSpPr txBox="1">
                          <a:spLocks noChangeArrowheads="1"/>
                        </wps:cNvSpPr>
                        <wps:spPr bwMode="auto">
                          <a:xfrm>
                            <a:off x="20219" y="10727"/>
                            <a:ext cx="57920" cy="5175"/>
                          </a:xfrm>
                          <a:prstGeom prst="rect">
                            <a:avLst/>
                          </a:prstGeom>
                          <a:noFill/>
                          <a:ln w="9525">
                            <a:solidFill>
                              <a:schemeClr val="tx1">
                                <a:lumMod val="100000"/>
                                <a:lumOff val="0"/>
                              </a:schemeClr>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solidFill>
                                  <a:srgbClr val="FFFFFF"/>
                                </a:solidFill>
                              </a14:hiddenFill>
                            </a:ext>
                          </a:extLst>
                        </wps:spPr>
                        <wps:txbx>
                          <w:txbxContent>
                            <w:p w14:paraId="181C2BAC" w14:textId="598CA25E" w:rsidR="00A8252A" w:rsidRPr="003A56DE" w:rsidRDefault="00A8252A" w:rsidP="008803DD">
                              <w:pPr>
                                <w:pStyle w:val="NormalWeb"/>
                                <w:spacing w:before="0" w:beforeAutospacing="0" w:after="0" w:afterAutospacing="0"/>
                                <w:rPr>
                                  <w:sz w:val="20"/>
                                </w:rPr>
                              </w:pPr>
                              <w:r>
                                <w:rPr>
                                  <w:rFonts w:asciiTheme="minorHAnsi" w:hAnsi="Calibri" w:cstheme="minorBidi"/>
                                  <w:color w:val="000000" w:themeColor="text1"/>
                                  <w:kern w:val="24"/>
                                  <w:sz w:val="20"/>
                                </w:rPr>
                                <w:t xml:space="preserve">Did the flow regime </w:t>
                              </w:r>
                              <w:r w:rsidRPr="00384C69">
                                <w:rPr>
                                  <w:rFonts w:asciiTheme="minorHAnsi" w:hAnsi="Calibri" w:cstheme="minorBidi"/>
                                  <w:color w:val="000000" w:themeColor="text1"/>
                                  <w:kern w:val="24"/>
                                  <w:sz w:val="20"/>
                                </w:rPr>
                                <w:t>contribute to recruitment of golden perch and silver perch?</w:t>
                              </w:r>
                            </w:p>
                            <w:p w14:paraId="7DA7FF68" w14:textId="4D634A92" w:rsidR="00A8252A" w:rsidRPr="003A56DE" w:rsidRDefault="00A8252A" w:rsidP="008803DD">
                              <w:pPr>
                                <w:pStyle w:val="NormalWeb"/>
                                <w:spacing w:before="0" w:beforeAutospacing="0" w:after="0" w:afterAutospacing="0"/>
                                <w:rPr>
                                  <w:sz w:val="20"/>
                                </w:rPr>
                              </w:pPr>
                              <w:r>
                                <w:rPr>
                                  <w:rFonts w:asciiTheme="minorHAnsi" w:hAnsi="Calibri" w:cstheme="minorBidi"/>
                                  <w:color w:val="000000" w:themeColor="text1"/>
                                  <w:kern w:val="24"/>
                                  <w:sz w:val="20"/>
                                </w:rPr>
                                <w:t xml:space="preserve">Did the flow regime </w:t>
                              </w:r>
                              <w:r w:rsidRPr="00384C69">
                                <w:rPr>
                                  <w:rFonts w:asciiTheme="minorHAnsi" w:hAnsi="Calibri" w:cstheme="minorBidi"/>
                                  <w:color w:val="000000" w:themeColor="text1"/>
                                  <w:kern w:val="24"/>
                                  <w:sz w:val="20"/>
                                </w:rPr>
                                <w:t>contribute to the resilience of golden perch and silver perch populations?</w:t>
                              </w:r>
                            </w:p>
                            <w:p w14:paraId="30FE2B93" w14:textId="77777777" w:rsidR="00A8252A" w:rsidRPr="003A56DE" w:rsidRDefault="00A8252A" w:rsidP="00336C52">
                              <w:pPr>
                                <w:pStyle w:val="NormalWeb"/>
                                <w:spacing w:before="0" w:beforeAutospacing="0" w:after="0" w:afterAutospacing="0"/>
                                <w:rPr>
                                  <w:sz w:val="20"/>
                                </w:rPr>
                              </w:pPr>
                            </w:p>
                          </w:txbxContent>
                        </wps:txbx>
                        <wps:bodyPr rot="0" vert="horz" wrap="square" lIns="91440" tIns="45720" rIns="91440" bIns="45720" anchor="t" anchorCtr="0" upright="1">
                          <a:noAutofit/>
                        </wps:bodyPr>
                      </wps:wsp>
                      <wps:wsp>
                        <wps:cNvPr id="56" name="TextBox 28"/>
                        <wps:cNvSpPr txBox="1">
                          <a:spLocks noChangeArrowheads="1"/>
                        </wps:cNvSpPr>
                        <wps:spPr bwMode="auto">
                          <a:xfrm>
                            <a:off x="41134" y="46060"/>
                            <a:ext cx="13444" cy="2949"/>
                          </a:xfrm>
                          <a:prstGeom prst="rect">
                            <a:avLst/>
                          </a:prstGeom>
                          <a:solidFill>
                            <a:schemeClr val="tx2">
                              <a:lumMod val="40000"/>
                              <a:lumOff val="60000"/>
                            </a:schemeClr>
                          </a:solidFill>
                          <a:ln w="9525">
                            <a:solidFill>
                              <a:schemeClr val="tx1">
                                <a:lumMod val="100000"/>
                                <a:lumOff val="0"/>
                              </a:schemeClr>
                            </a:solidFill>
                            <a:miter lim="800000"/>
                            <a:headEnd/>
                            <a:tailEnd/>
                          </a:ln>
                        </wps:spPr>
                        <wps:txbx>
                          <w:txbxContent>
                            <w:p w14:paraId="14299E88" w14:textId="619B2B38" w:rsidR="00A8252A" w:rsidRPr="003A56DE" w:rsidRDefault="00A8252A"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Electro-fishing</w:t>
                              </w:r>
                            </w:p>
                          </w:txbxContent>
                        </wps:txbx>
                        <wps:bodyPr rot="0" vert="horz" wrap="square" lIns="91440" tIns="45720" rIns="91440" bIns="45720" anchor="t" anchorCtr="0" upright="1">
                          <a:noAutofit/>
                        </wps:bodyPr>
                      </wps:wsp>
                      <wps:wsp>
                        <wps:cNvPr id="59" name="TextBox 41"/>
                        <wps:cNvSpPr txBox="1">
                          <a:spLocks noChangeArrowheads="1"/>
                        </wps:cNvSpPr>
                        <wps:spPr bwMode="auto">
                          <a:xfrm>
                            <a:off x="42760" y="20207"/>
                            <a:ext cx="10072" cy="4108"/>
                          </a:xfrm>
                          <a:prstGeom prst="rect">
                            <a:avLst/>
                          </a:prstGeom>
                          <a:noFill/>
                          <a:ln w="9525">
                            <a:solidFill>
                              <a:schemeClr val="tx1">
                                <a:lumMod val="100000"/>
                                <a:lumOff val="0"/>
                              </a:schemeClr>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solidFill>
                                  <a:srgbClr val="FFFFFF"/>
                                </a:solidFill>
                              </a14:hiddenFill>
                            </a:ext>
                          </a:extLst>
                        </wps:spPr>
                        <wps:txbx>
                          <w:txbxContent>
                            <w:p w14:paraId="2CC38C07" w14:textId="77777777" w:rsidR="00A8252A" w:rsidRPr="003A56DE" w:rsidRDefault="00A8252A" w:rsidP="00336C52">
                              <w:pPr>
                                <w:pStyle w:val="NormalWeb"/>
                                <w:spacing w:before="0" w:beforeAutospacing="0" w:after="0" w:afterAutospacing="0"/>
                                <w:jc w:val="center"/>
                                <w:rPr>
                                  <w:sz w:val="20"/>
                                  <w:szCs w:val="20"/>
                                </w:rPr>
                              </w:pPr>
                              <w:r w:rsidRPr="003A56DE">
                                <w:rPr>
                                  <w:rFonts w:asciiTheme="minorHAnsi" w:hAnsi="Calibri" w:cstheme="minorBidi"/>
                                  <w:color w:val="000000" w:themeColor="text1"/>
                                  <w:kern w:val="24"/>
                                  <w:sz w:val="20"/>
                                  <w:szCs w:val="20"/>
                                </w:rPr>
                                <w:t>Recruitment success</w:t>
                              </w:r>
                            </w:p>
                          </w:txbxContent>
                        </wps:txbx>
                        <wps:bodyPr rot="0" vert="horz" wrap="square" lIns="91440" tIns="45720" rIns="91440" bIns="45720" anchor="t" anchorCtr="0" upright="1">
                          <a:spAutoFit/>
                        </wps:bodyPr>
                      </wps:wsp>
                      <wps:wsp>
                        <wps:cNvPr id="60" name="TextBox 44"/>
                        <wps:cNvSpPr txBox="1">
                          <a:spLocks noChangeArrowheads="1"/>
                        </wps:cNvSpPr>
                        <wps:spPr bwMode="auto">
                          <a:xfrm>
                            <a:off x="39892" y="29506"/>
                            <a:ext cx="15838" cy="4108"/>
                          </a:xfrm>
                          <a:prstGeom prst="rect">
                            <a:avLst/>
                          </a:prstGeom>
                          <a:noFill/>
                          <a:ln w="9525">
                            <a:solidFill>
                              <a:schemeClr val="tx1">
                                <a:lumMod val="100000"/>
                                <a:lumOff val="0"/>
                              </a:schemeClr>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solidFill>
                                  <a:srgbClr val="FFFFFF"/>
                                </a:solidFill>
                              </a14:hiddenFill>
                            </a:ext>
                          </a:extLst>
                        </wps:spPr>
                        <wps:txbx>
                          <w:txbxContent>
                            <w:p w14:paraId="722C1514" w14:textId="77777777" w:rsidR="00A8252A" w:rsidRPr="003A56DE" w:rsidRDefault="00A8252A"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Population size and age structures</w:t>
                              </w:r>
                            </w:p>
                          </w:txbxContent>
                        </wps:txbx>
                        <wps:bodyPr rot="0" vert="horz" wrap="square" lIns="91440" tIns="45720" rIns="91440" bIns="45720" anchor="t" anchorCtr="0" upright="1">
                          <a:spAutoFit/>
                        </wps:bodyPr>
                      </wps:wsp>
                      <wps:wsp>
                        <wps:cNvPr id="1382" name="Straight Arrow Connector 32"/>
                        <wps:cNvCnPr>
                          <a:cxnSpLocks noChangeShapeType="1"/>
                        </wps:cNvCnPr>
                        <wps:spPr bwMode="auto">
                          <a:xfrm flipV="1">
                            <a:off x="47573" y="15902"/>
                            <a:ext cx="50" cy="4313"/>
                          </a:xfrm>
                          <a:prstGeom prst="straightConnector1">
                            <a:avLst/>
                          </a:prstGeom>
                          <a:noFill/>
                          <a:ln w="9525">
                            <a:solidFill>
                              <a:schemeClr val="tx1">
                                <a:lumMod val="100000"/>
                                <a:lumOff val="0"/>
                              </a:schemeClr>
                            </a:solidFill>
                            <a:round/>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g:wgp>
                  </a:graphicData>
                </a:graphic>
              </wp:inline>
            </w:drawing>
          </mc:Choice>
          <mc:Fallback>
            <w:pict>
              <v:group w14:anchorId="72F08E02" id="_x0000_s1086" style="width:461.5pt;height:301.45pt;mso-position-horizontal-relative:char;mso-position-vertical-relative:line" coordorigin="10436,10727" coordsize="68407,3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">
                <v:line id="Straight Connector 4" o:spid="_x0000_s1087" style="position:absolute;visibility:visible;mso-wrap-style:square" from="10436,17728" to="78843,17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D6KMUAAADbAAAADwAAAGRycy9kb3ducmV2LnhtbESPQWvCQBSE70L/w/IK3nTTRiREVyml&#10;BQv2YOyh3p7ZZxLNvl2yW5P++25B8DjMzDfMcj2YVlyp841lBU/TBARxaXXDlYKv/fskA+EDssbW&#10;Min4JQ/r1cNoibm2Pe/oWoRKRAj7HBXUIbhcSl/WZNBPrSOO3sl2BkOUXSV1h32Em1Y+J8lcGmw4&#10;LtTo6LWm8lL8GAXhrNO++k6dnB23tvg0Lju8fSg1fhxeFiACDeEevrU3WkE6h/8v8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D6KMUAAADbAAAADwAAAAAAAAAA&#10;AAAAAAChAgAAZHJzL2Rvd25yZXYueG1sUEsFBgAAAAAEAAQA+QAAAJMDAAAAAA==&#10;" strokecolor="black [3213]" strokeweight="1.5pt">
                  <v:stroke dashstyle="3 1"/>
                </v:line>
                <v:line id="Straight Connector 5" o:spid="_x0000_s1088" style="position:absolute;visibility:visible;mso-wrap-style:square" from="10436,25649" to="78843,2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xfs8UAAADbAAAADwAAAGRycy9kb3ducmV2LnhtbESPQWvCQBSE74X+h+UVvNVNjVRJXaWI&#10;goI9NHrQ2zP7mqTNvl2yq4n/3i0Uehxm5htmtuhNI67U+tqygpdhAoK4sLrmUsFhv36egvABWWNj&#10;mRTcyMNi/vgww0zbjj/pmodSRAj7DBVUIbhMSl9UZNAPrSOO3pdtDYYo21LqFrsIN40cJcmrNFhz&#10;XKjQ0bKi4ie/GAXhW6ddeUydHJ93Nv8wbnpabZUaPPXvbyAC9eE//NfeaAXpBH6/xB8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xfs8UAAADbAAAADwAAAAAAAAAA&#10;AAAAAAChAgAAZHJzL2Rvd25yZXYueG1sUEsFBgAAAAAEAAQA+QAAAJMDAAAAAA==&#10;" strokecolor="black [3213]" strokeweight="1.5pt">
                  <v:stroke dashstyle="3 1"/>
                </v:line>
                <v:line id="Straight Connector 6" o:spid="_x0000_s1089" style="position:absolute;visibility:visible;mso-wrap-style:square" from="10436,35730" to="78843,3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PLwcIAAADbAAAADwAAAGRycy9kb3ducmV2LnhtbERPz2vCMBS+C/sfwhvspqlWRDpjEVGY&#10;4A7WHbbbW/PWdmteQhPb7r9fDgOPH9/vTT6aVvTU+caygvksAUFcWt1wpeDtepyuQfiArLG1TAp+&#10;yUO+fZhsMNN24Av1RahEDGGfoYI6BJdJ6cuaDPqZdcSR+7KdwRBhV0nd4RDDTSsXSbKSBhuODTU6&#10;2tdU/hQ3oyB863So3lMnl59nW7wat/44nJR6ehx3zyACjeEu/ne/aAVpHBu/xB8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PLwcIAAADbAAAADwAAAAAAAAAAAAAA&#10;AAChAgAAZHJzL2Rvd25yZXYueG1sUEsFBgAAAAAEAAQA+QAAAJADAAAAAA==&#10;" strokecolor="black [3213]" strokeweight="1.5pt">
                  <v:stroke dashstyle="3 1"/>
                </v:line>
                <v:shape id="TextBox 10" o:spid="_x0000_s1090" type="#_x0000_t202" style="position:absolute;left:10436;top:14036;width:10864;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5F2ECE2E" w14:textId="77777777" w:rsidR="00A8252A" w:rsidRPr="002C0A72" w:rsidRDefault="00A8252A" w:rsidP="00336C52">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Reporting</w:t>
                        </w:r>
                      </w:p>
                    </w:txbxContent>
                  </v:textbox>
                </v:shape>
                <v:shape id="TextBox 11" o:spid="_x0000_s1091" type="#_x0000_t202" style="position:absolute;left:10436;top:21950;width:11228;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vsIA&#10;AADbAAAADwAAAGRycy9kb3ducmV2LnhtbESPzWrDMBCE74W+g9hCb43s0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O2+wgAAANsAAAAPAAAAAAAAAAAAAAAAAJgCAABkcnMvZG93&#10;bnJldi54bWxQSwUGAAAAAAQABAD1AAAAhwMAAAAA&#10;" filled="f" stroked="f">
                  <v:textbox style="mso-fit-shape-to-text:t">
                    <w:txbxContent>
                      <w:p w14:paraId="5CFE43E2" w14:textId="77777777" w:rsidR="00A8252A" w:rsidRPr="002C0A72" w:rsidRDefault="00A8252A" w:rsidP="00336C52">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Evaluation</w:t>
                        </w:r>
                      </w:p>
                    </w:txbxContent>
                  </v:textbox>
                </v:shape>
                <v:shape id="TextBox 12" o:spid="_x0000_s1092" type="#_x0000_t202" style="position:absolute;left:10436;top:32031;width:9183;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238F582A" w14:textId="77777777" w:rsidR="00A8252A" w:rsidRPr="002C0A72" w:rsidRDefault="00A8252A" w:rsidP="00336C52">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Analysis</w:t>
                        </w:r>
                      </w:p>
                    </w:txbxContent>
                  </v:textbox>
                </v:shape>
                <v:shape id="TextBox 13" o:spid="_x0000_s1093" type="#_x0000_t202" style="position:absolute;left:10436;top:45077;width:18788;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1ysIA&#10;AADbAAAADwAAAGRycy9kb3ducmV2LnhtbESPzWrDMBCE74W+g9hAbo2c0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XXKwgAAANsAAAAPAAAAAAAAAAAAAAAAAJgCAABkcnMvZG93&#10;bnJldi54bWxQSwUGAAAAAAQABAD1AAAAhwMAAAAA&#10;" filled="f" stroked="f">
                  <v:textbox style="mso-fit-shape-to-text:t">
                    <w:txbxContent>
                      <w:p w14:paraId="2B1372CA" w14:textId="77777777" w:rsidR="00A8252A" w:rsidRPr="002C0A72" w:rsidRDefault="00A8252A" w:rsidP="00336C52">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Field measurement</w:t>
                        </w:r>
                      </w:p>
                    </w:txbxContent>
                  </v:textbox>
                </v:shape>
                <v:shape id="TextBox 14" o:spid="_x0000_s1094" type="#_x0000_t202" style="position:absolute;left:20219;top:10727;width:57920;height:5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8kL4A&#10;AADbAAAADwAAAGRycy9kb3ducmV2LnhtbERPyQrCMBC9C/5DGMGbpoqoVKO4IIjowQXxODRjW2wm&#10;pYla/94cBI+Pt0/ntSnEiyqXW1bQ60YgiBOrc04VXM6bzhiE88gaC8uk4EMO5rNmY4qxtm8+0uvk&#10;UxFC2MWoIPO+jKV0SUYGXdeWxIG728qgD7BKpa7wHcJNIftRNJQGcw4NGZa0yih5nJ5Gwfb82R1H&#10;q8PQ7Jbr2/4q3XWz3ivVbtWLCQhPtf+Lf+6tVjAIY8OX8APk7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4PJC+AAAA2wAAAA8AAAAAAAAAAAAAAAAAmAIAAGRycy9kb3ducmV2&#10;LnhtbFBLBQYAAAAABAAEAPUAAACDAwAAAAA=&#10;" filled="f" strokecolor="black [3213]">
                  <v:textbox>
                    <w:txbxContent>
                      <w:p w14:paraId="181C2BAC" w14:textId="598CA25E" w:rsidR="00A8252A" w:rsidRPr="003A56DE" w:rsidRDefault="00A8252A" w:rsidP="008803DD">
                        <w:pPr>
                          <w:pStyle w:val="NormalWeb"/>
                          <w:spacing w:before="0" w:beforeAutospacing="0" w:after="0" w:afterAutospacing="0"/>
                          <w:rPr>
                            <w:sz w:val="20"/>
                          </w:rPr>
                        </w:pPr>
                        <w:r>
                          <w:rPr>
                            <w:rFonts w:asciiTheme="minorHAnsi" w:hAnsi="Calibri" w:cstheme="minorBidi"/>
                            <w:color w:val="000000" w:themeColor="text1"/>
                            <w:kern w:val="24"/>
                            <w:sz w:val="20"/>
                          </w:rPr>
                          <w:t xml:space="preserve">Did the flow regime </w:t>
                        </w:r>
                        <w:r w:rsidRPr="00384C69">
                          <w:rPr>
                            <w:rFonts w:asciiTheme="minorHAnsi" w:hAnsi="Calibri" w:cstheme="minorBidi"/>
                            <w:color w:val="000000" w:themeColor="text1"/>
                            <w:kern w:val="24"/>
                            <w:sz w:val="20"/>
                          </w:rPr>
                          <w:t>contribute to recruitment of golden perch and silver perch?</w:t>
                        </w:r>
                      </w:p>
                      <w:p w14:paraId="7DA7FF68" w14:textId="4D634A92" w:rsidR="00A8252A" w:rsidRPr="003A56DE" w:rsidRDefault="00A8252A" w:rsidP="008803DD">
                        <w:pPr>
                          <w:pStyle w:val="NormalWeb"/>
                          <w:spacing w:before="0" w:beforeAutospacing="0" w:after="0" w:afterAutospacing="0"/>
                          <w:rPr>
                            <w:sz w:val="20"/>
                          </w:rPr>
                        </w:pPr>
                        <w:r>
                          <w:rPr>
                            <w:rFonts w:asciiTheme="minorHAnsi" w:hAnsi="Calibri" w:cstheme="minorBidi"/>
                            <w:color w:val="000000" w:themeColor="text1"/>
                            <w:kern w:val="24"/>
                            <w:sz w:val="20"/>
                          </w:rPr>
                          <w:t xml:space="preserve">Did the flow regime </w:t>
                        </w:r>
                        <w:r w:rsidRPr="00384C69">
                          <w:rPr>
                            <w:rFonts w:asciiTheme="minorHAnsi" w:hAnsi="Calibri" w:cstheme="minorBidi"/>
                            <w:color w:val="000000" w:themeColor="text1"/>
                            <w:kern w:val="24"/>
                            <w:sz w:val="20"/>
                          </w:rPr>
                          <w:t>contribute to the resilience of golden perch and silver perch populations?</w:t>
                        </w:r>
                      </w:p>
                      <w:p w14:paraId="30FE2B93" w14:textId="77777777" w:rsidR="00A8252A" w:rsidRPr="003A56DE" w:rsidRDefault="00A8252A" w:rsidP="00336C52">
                        <w:pPr>
                          <w:pStyle w:val="NormalWeb"/>
                          <w:spacing w:before="0" w:beforeAutospacing="0" w:after="0" w:afterAutospacing="0"/>
                          <w:rPr>
                            <w:sz w:val="20"/>
                          </w:rPr>
                        </w:pPr>
                      </w:p>
                    </w:txbxContent>
                  </v:textbox>
                </v:shape>
                <v:shape id="TextBox 28" o:spid="_x0000_s1095" type="#_x0000_t202" style="position:absolute;left:41134;top:46060;width:13444;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KX/MMA&#10;AADbAAAADwAAAGRycy9kb3ducmV2LnhtbESPQYvCMBSE7wv+h/AEL4umiitSjeIKigh7WCueH82z&#10;LTYv3SRq/fdGEPY4zMw3zHzZmlrcyPnKsoLhIAFBnFtdcaHgmG36UxA+IGusLZOCB3lYLjofc0y1&#10;vfMv3Q6hEBHCPkUFZQhNKqXPSzLoB7Yhjt7ZOoMhSldI7fAe4aaWoySZSIMVx4USG1qXlF8OV6Pg&#10;70T7a/7J++l4eMp+vnnksmSrVK/brmYgArXhP/xu77SCrwm8vs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KX/MMAAADbAAAADwAAAAAAAAAAAAAAAACYAgAAZHJzL2Rv&#10;d25yZXYueG1sUEsFBgAAAAAEAAQA9QAAAIgDAAAAAA==&#10;" fillcolor="#8db3e2 [1311]" strokecolor="black [3213]">
                  <v:textbox>
                    <w:txbxContent>
                      <w:p w14:paraId="14299E88" w14:textId="619B2B38" w:rsidR="00A8252A" w:rsidRPr="003A56DE" w:rsidRDefault="00A8252A"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Electro-fishing</w:t>
                        </w:r>
                      </w:p>
                    </w:txbxContent>
                  </v:textbox>
                </v:shape>
                <v:shape id="TextBox 41" o:spid="_x0000_s1096" type="#_x0000_t202" style="position:absolute;left:42760;top:20207;width:10072;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BcQA&#10;AADbAAAADwAAAGRycy9kb3ducmV2LnhtbESPT4vCMBTE7wt+h/AEb5q6oLjVKCKu7EEX1j94fTTP&#10;pti8lCat3W9vhIU9DjPzG2ax6mwpWqp94VjBeJSAIM6cLjhXcD59DmcgfEDWWDomBb/kYbXsvS0w&#10;1e7BP9QeQy4ihH2KCkwIVSqlzwxZ9CNXEUfv5mqLIco6l7rGR4TbUr4nyVRaLDguGKxoYyi7Hxur&#10;YHf/3rf7pNnKc35rsslV88UclBr0u/UcRKAu/If/2l9aweQDXl/i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RPgXEAAAA2wAAAA8AAAAAAAAAAAAAAAAAmAIAAGRycy9k&#10;b3ducmV2LnhtbFBLBQYAAAAABAAEAPUAAACJAwAAAAA=&#10;" filled="f" strokecolor="black [3213]">
                  <v:textbox style="mso-fit-shape-to-text:t">
                    <w:txbxContent>
                      <w:p w14:paraId="2CC38C07" w14:textId="77777777" w:rsidR="00A8252A" w:rsidRPr="003A56DE" w:rsidRDefault="00A8252A" w:rsidP="00336C52">
                        <w:pPr>
                          <w:pStyle w:val="NormalWeb"/>
                          <w:spacing w:before="0" w:beforeAutospacing="0" w:after="0" w:afterAutospacing="0"/>
                          <w:jc w:val="center"/>
                          <w:rPr>
                            <w:sz w:val="20"/>
                            <w:szCs w:val="20"/>
                          </w:rPr>
                        </w:pPr>
                        <w:r w:rsidRPr="003A56DE">
                          <w:rPr>
                            <w:rFonts w:asciiTheme="minorHAnsi" w:hAnsi="Calibri" w:cstheme="minorBidi"/>
                            <w:color w:val="000000" w:themeColor="text1"/>
                            <w:kern w:val="24"/>
                            <w:sz w:val="20"/>
                            <w:szCs w:val="20"/>
                          </w:rPr>
                          <w:t>Recruitment success</w:t>
                        </w:r>
                      </w:p>
                    </w:txbxContent>
                  </v:textbox>
                </v:shape>
                <v:shape id="TextBox 44" o:spid="_x0000_s1097" type="#_x0000_t202" style="position:absolute;left:39892;top:29506;width:15838;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dJcAA&#10;AADbAAAADwAAAGRycy9kb3ducmV2LnhtbERPTYvCMBC9L+x/CLPgbU1XUKQaRWQVDyrYdfE6NGNT&#10;bCalSWv99+YgeHy87/myt5XoqPGlYwU/wwQEce50yYWC89/mewrCB2SNlWNS8CAPy8XnxxxT7e58&#10;oi4LhYgh7FNUYEKoUyl9bsiiH7qaOHJX11gMETaF1A3eY7it5ChJJtJiybHBYE1rQ/kta62C7e24&#10;7/ZJ+yvPxbXNxxfN/+ag1OCrX81ABOrDW/xy77SCSVwfv8Qf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ddJcAAAADbAAAADwAAAAAAAAAAAAAAAACYAgAAZHJzL2Rvd25y&#10;ZXYueG1sUEsFBgAAAAAEAAQA9QAAAIUDAAAAAA==&#10;" filled="f" strokecolor="black [3213]">
                  <v:textbox style="mso-fit-shape-to-text:t">
                    <w:txbxContent>
                      <w:p w14:paraId="722C1514" w14:textId="77777777" w:rsidR="00A8252A" w:rsidRPr="003A56DE" w:rsidRDefault="00A8252A"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Population size and age structures</w:t>
                        </w:r>
                      </w:p>
                    </w:txbxContent>
                  </v:textbox>
                </v:shape>
                <v:shape id="Straight Arrow Connector 32" o:spid="_x0000_s1098" type="#_x0000_t32" style="position:absolute;left:47573;top:15902;width:50;height:43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6V2cMAAADdAAAADwAAAGRycy9kb3ducmV2LnhtbESP3WoCMRCF74W+Q5iCd5qtRZGtUaS1&#10;4J0/7QNMN+MmdjNZkqjr2xtB8G6Gc+Z8Z2aLzjXiTCFazwrehgUI4spry7WC35/vwRRETMgaG8+k&#10;4EoRFvOX3gxL7S+8o/M+1SKHcCxRgUmpLaWMlSGHcehb4qwdfHCY8hpqqQNecrhr5KgoJtKh5Uww&#10;2NKnoep/f3KZu7TH8VfQXK3+jnYbDG4ODSrVf+2WHyASdelpflyvda7/Ph3B/Zs8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eldnDAAAA3QAAAA8AAAAAAAAAAAAA&#10;AAAAoQIAAGRycy9kb3ducmV2LnhtbFBLBQYAAAAABAAEAPkAAACRAwAAAAA=&#10;" strokecolor="black [3213]">
                  <v:stroke endarrow="open"/>
                </v:shape>
                <w10:anchorlock/>
              </v:group>
            </w:pict>
          </mc:Fallback>
        </mc:AlternateContent>
      </w:r>
    </w:p>
    <w:p w14:paraId="1E4A761F" w14:textId="1C7C0B9F" w:rsidR="00336C52" w:rsidRPr="00525AE9" w:rsidRDefault="009B27E3" w:rsidP="009B27E3">
      <w:pPr>
        <w:pStyle w:val="Caption"/>
      </w:pPr>
      <w:bookmarkStart w:id="2075" w:name="_Ref397515873"/>
      <w:r>
        <w:t>Figure B.</w:t>
      </w:r>
      <w:r w:rsidR="00E57080">
        <w:rPr>
          <w:noProof/>
        </w:rPr>
        <w:fldChar w:fldCharType="begin"/>
      </w:r>
      <w:r w:rsidR="00E57080">
        <w:rPr>
          <w:noProof/>
        </w:rPr>
        <w:instrText xml:space="preserve"> SEQ Figure_B. \* ARABIC </w:instrText>
      </w:r>
      <w:r w:rsidR="00E57080">
        <w:rPr>
          <w:noProof/>
        </w:rPr>
        <w:fldChar w:fldCharType="separate"/>
      </w:r>
      <w:r w:rsidR="00DF49CD">
        <w:rPr>
          <w:noProof/>
        </w:rPr>
        <w:t>12</w:t>
      </w:r>
      <w:r w:rsidR="00E57080">
        <w:rPr>
          <w:noProof/>
        </w:rPr>
        <w:fldChar w:fldCharType="end"/>
      </w:r>
      <w:bookmarkEnd w:id="2075"/>
      <w:r w:rsidR="00336C52">
        <w:t xml:space="preserve">. </w:t>
      </w:r>
      <w:r w:rsidR="00BB4EEF">
        <w:t>Schematic of key elements of the LTI</w:t>
      </w:r>
      <w:r w:rsidR="00EE3676">
        <w:t xml:space="preserve">M Standard Protocol: </w:t>
      </w:r>
      <w:r w:rsidR="008C1585" w:rsidRPr="008C1585">
        <w:rPr>
          <w:i/>
        </w:rPr>
        <w:t>Flow-cued Spawning Fish Recruitment</w:t>
      </w:r>
      <w:r w:rsidR="00BB4EEF">
        <w:t>.</w:t>
      </w:r>
    </w:p>
    <w:p w14:paraId="29A24A85" w14:textId="77777777" w:rsidR="00336C52" w:rsidRPr="00525AE9" w:rsidRDefault="00336C52" w:rsidP="00336C52">
      <w:pPr>
        <w:pStyle w:val="Heading2"/>
      </w:pPr>
      <w:bookmarkStart w:id="2076" w:name="_Toc396825314"/>
      <w:bookmarkStart w:id="2077" w:name="_Toc6403871"/>
      <w:bookmarkStart w:id="2078" w:name="_Toc10095317"/>
      <w:bookmarkStart w:id="2079" w:name="_Toc10192486"/>
      <w:bookmarkStart w:id="2080" w:name="_Toc10206801"/>
      <w:bookmarkStart w:id="2081" w:name="_Toc10213387"/>
      <w:bookmarkStart w:id="2082" w:name="_Toc10732411"/>
      <w:bookmarkStart w:id="2083" w:name="_Toc10796970"/>
      <w:bookmarkStart w:id="2084" w:name="_Toc12022855"/>
      <w:bookmarkStart w:id="2085" w:name="_Toc12630685"/>
      <w:bookmarkStart w:id="2086" w:name="_Toc16154545"/>
      <w:bookmarkStart w:id="2087" w:name="_Toc22196907"/>
      <w:r w:rsidRPr="00525AE9">
        <w:t>Relevant ecosystem types</w:t>
      </w:r>
      <w:bookmarkEnd w:id="2076"/>
      <w:bookmarkEnd w:id="2077"/>
      <w:bookmarkEnd w:id="2078"/>
      <w:bookmarkEnd w:id="2079"/>
      <w:bookmarkEnd w:id="2080"/>
      <w:bookmarkEnd w:id="2081"/>
      <w:bookmarkEnd w:id="2082"/>
      <w:bookmarkEnd w:id="2083"/>
      <w:bookmarkEnd w:id="2084"/>
      <w:bookmarkEnd w:id="2085"/>
      <w:bookmarkEnd w:id="2086"/>
      <w:bookmarkEnd w:id="2087"/>
    </w:p>
    <w:p w14:paraId="5211A030" w14:textId="77777777" w:rsidR="00336C52" w:rsidRPr="00525AE9" w:rsidRDefault="00336C52" w:rsidP="00336C52">
      <w:r w:rsidRPr="00525AE9">
        <w:t>River</w:t>
      </w:r>
      <w:r>
        <w:t>s.</w:t>
      </w:r>
    </w:p>
    <w:p w14:paraId="093B4368" w14:textId="77777777" w:rsidR="00336C52" w:rsidRPr="00525AE9" w:rsidRDefault="00336C52" w:rsidP="00336C52">
      <w:pPr>
        <w:pStyle w:val="Heading2"/>
        <w:contextualSpacing/>
      </w:pPr>
      <w:bookmarkStart w:id="2088" w:name="_Toc396825315"/>
      <w:bookmarkStart w:id="2089" w:name="_Toc6403872"/>
      <w:bookmarkStart w:id="2090" w:name="_Toc10095318"/>
      <w:bookmarkStart w:id="2091" w:name="_Toc10192487"/>
      <w:bookmarkStart w:id="2092" w:name="_Toc10206802"/>
      <w:bookmarkStart w:id="2093" w:name="_Toc10213388"/>
      <w:bookmarkStart w:id="2094" w:name="_Toc10732412"/>
      <w:bookmarkStart w:id="2095" w:name="_Toc10796971"/>
      <w:bookmarkStart w:id="2096" w:name="_Toc12022856"/>
      <w:bookmarkStart w:id="2097" w:name="_Toc12630686"/>
      <w:bookmarkStart w:id="2098" w:name="_Toc16154546"/>
      <w:bookmarkStart w:id="2099" w:name="_Toc22196908"/>
      <w:r w:rsidRPr="00525AE9">
        <w:t>Relevant flow types</w:t>
      </w:r>
      <w:bookmarkEnd w:id="2088"/>
      <w:bookmarkEnd w:id="2089"/>
      <w:bookmarkEnd w:id="2090"/>
      <w:bookmarkEnd w:id="2091"/>
      <w:bookmarkEnd w:id="2092"/>
      <w:bookmarkEnd w:id="2093"/>
      <w:bookmarkEnd w:id="2094"/>
      <w:bookmarkEnd w:id="2095"/>
      <w:bookmarkEnd w:id="2096"/>
      <w:bookmarkEnd w:id="2097"/>
      <w:bookmarkEnd w:id="2098"/>
      <w:bookmarkEnd w:id="2099"/>
    </w:p>
    <w:p w14:paraId="58BE1F5D" w14:textId="33E69730" w:rsidR="00BB4EEF" w:rsidRPr="00525AE9" w:rsidRDefault="00D831ED" w:rsidP="00BB4EEF">
      <w:bookmarkStart w:id="2100" w:name="_Ref396292901"/>
      <w:bookmarkStart w:id="2101" w:name="_Toc396825316"/>
      <w:bookmarkStart w:id="2102" w:name="_Toc6403873"/>
      <w:r>
        <w:t>S</w:t>
      </w:r>
      <w:r w:rsidR="00BB4EEF">
        <w:t>ampling is</w:t>
      </w:r>
      <w:r w:rsidR="00BB4EEF" w:rsidRPr="00297902">
        <w:t xml:space="preserve"> </w:t>
      </w:r>
      <w:r w:rsidR="00BB4EEF">
        <w:t>independent of specific watering events and therefore relevant to all flow types (baseflow, freshes, bankfull and overbank).</w:t>
      </w:r>
    </w:p>
    <w:p w14:paraId="25C7236A" w14:textId="77777777" w:rsidR="00336C52" w:rsidRDefault="00336C52" w:rsidP="00336C52">
      <w:pPr>
        <w:pStyle w:val="Heading2"/>
      </w:pPr>
      <w:bookmarkStart w:id="2103" w:name="_Toc10095319"/>
      <w:bookmarkStart w:id="2104" w:name="_Toc10192488"/>
      <w:bookmarkStart w:id="2105" w:name="_Toc10206803"/>
      <w:bookmarkStart w:id="2106" w:name="_Toc10213389"/>
      <w:bookmarkStart w:id="2107" w:name="_Toc10732413"/>
      <w:bookmarkStart w:id="2108" w:name="_Toc10796972"/>
      <w:bookmarkStart w:id="2109" w:name="_Toc12022857"/>
      <w:bookmarkStart w:id="2110" w:name="_Toc12630687"/>
      <w:bookmarkStart w:id="2111" w:name="_Toc16154547"/>
      <w:bookmarkStart w:id="2112" w:name="_Toc22196909"/>
      <w:r w:rsidRPr="00525AE9">
        <w:lastRenderedPageBreak/>
        <w:t>Overview and context</w:t>
      </w:r>
      <w:bookmarkEnd w:id="2100"/>
      <w:bookmarkEnd w:id="2101"/>
      <w:bookmarkEnd w:id="2102"/>
      <w:bookmarkEnd w:id="2103"/>
      <w:bookmarkEnd w:id="2104"/>
      <w:bookmarkEnd w:id="2105"/>
      <w:bookmarkEnd w:id="2106"/>
      <w:bookmarkEnd w:id="2107"/>
      <w:bookmarkEnd w:id="2108"/>
      <w:bookmarkEnd w:id="2109"/>
      <w:bookmarkEnd w:id="2110"/>
      <w:bookmarkEnd w:id="2111"/>
      <w:bookmarkEnd w:id="2112"/>
    </w:p>
    <w:p w14:paraId="089BAA45" w14:textId="022E495C" w:rsidR="00BB4EEF" w:rsidRDefault="00BB4EEF" w:rsidP="00BB4EEF">
      <w:pPr>
        <w:rPr>
          <w:rFonts w:ascii="Calibri" w:hAnsi="Calibri" w:cs="Calibri"/>
        </w:rPr>
      </w:pPr>
      <w:bookmarkStart w:id="2113" w:name="_Toc396825317"/>
      <w:bookmarkStart w:id="2114" w:name="_Toc6403874"/>
      <w:r w:rsidRPr="001F27E6">
        <w:t>This protocol has been developed by the Selected Area</w:t>
      </w:r>
      <w:r>
        <w:t xml:space="preserve"> and </w:t>
      </w:r>
      <w:r w:rsidRPr="001F27E6">
        <w:t>describes the monitoring required for the evaluation of the response of recruitment</w:t>
      </w:r>
      <w:r>
        <w:t xml:space="preserve"> (flow-cued species)</w:t>
      </w:r>
      <w:r w:rsidRPr="001F27E6">
        <w:t xml:space="preserve"> to flow, including environmental water. </w:t>
      </w:r>
      <w:r w:rsidRPr="00C63B77">
        <w:t xml:space="preserve">This indicator will focus on two flow-cued spawning species; golden perch and silver perch. We acknowledge that not enough silver perch may be sampled in the Lower Murray for assessment. </w:t>
      </w:r>
    </w:p>
    <w:p w14:paraId="019E2A24" w14:textId="2EEECA7E" w:rsidR="00BB4EEF" w:rsidRDefault="00BB4EEF" w:rsidP="00FF799D">
      <w:pPr>
        <w:rPr>
          <w:rFonts w:cstheme="minorHAnsi"/>
          <w:b/>
        </w:rPr>
      </w:pPr>
      <w:r w:rsidRPr="003422E9">
        <w:rPr>
          <w:rFonts w:ascii="Calibri" w:hAnsi="Calibri" w:cs="Calibri"/>
        </w:rPr>
        <w:t xml:space="preserve">Juvenile </w:t>
      </w:r>
      <w:r>
        <w:rPr>
          <w:rFonts w:ascii="Calibri" w:hAnsi="Calibri" w:cs="Calibri"/>
        </w:rPr>
        <w:t xml:space="preserve">and adult </w:t>
      </w:r>
      <w:r w:rsidRPr="003422E9">
        <w:rPr>
          <w:rFonts w:ascii="Calibri" w:hAnsi="Calibri" w:cs="Calibri"/>
        </w:rPr>
        <w:t>golden perch</w:t>
      </w:r>
      <w:r>
        <w:rPr>
          <w:rFonts w:ascii="Calibri" w:hAnsi="Calibri" w:cs="Calibri"/>
        </w:rPr>
        <w:t xml:space="preserve"> and silver perch</w:t>
      </w:r>
      <w:r w:rsidRPr="003422E9">
        <w:rPr>
          <w:rFonts w:ascii="Calibri" w:hAnsi="Calibri" w:cs="Calibri"/>
        </w:rPr>
        <w:t xml:space="preserve"> will be obtained </w:t>
      </w:r>
      <w:r>
        <w:rPr>
          <w:rFonts w:ascii="Calibri" w:hAnsi="Calibri" w:cs="Calibri"/>
        </w:rPr>
        <w:t xml:space="preserve">annually </w:t>
      </w:r>
      <w:r w:rsidRPr="003422E9">
        <w:rPr>
          <w:rFonts w:ascii="Calibri" w:hAnsi="Calibri" w:cs="Calibri"/>
        </w:rPr>
        <w:t xml:space="preserve">through </w:t>
      </w:r>
      <w:r w:rsidRPr="00EE3676">
        <w:rPr>
          <w:rFonts w:ascii="Calibri" w:hAnsi="Calibri" w:cs="Calibri"/>
          <w:i/>
        </w:rPr>
        <w:t>Fish (Channel)</w:t>
      </w:r>
      <w:r w:rsidRPr="003422E9">
        <w:rPr>
          <w:rFonts w:ascii="Calibri" w:hAnsi="Calibri" w:cs="Calibri"/>
        </w:rPr>
        <w:t xml:space="preserve"> </w:t>
      </w:r>
      <w:r w:rsidRPr="009E0BCF">
        <w:rPr>
          <w:rFonts w:ascii="Calibri" w:hAnsi="Calibri" w:cs="Calibri"/>
        </w:rPr>
        <w:t xml:space="preserve">and </w:t>
      </w:r>
      <w:r w:rsidRPr="009E0BCF">
        <w:rPr>
          <w:rFonts w:ascii="Calibri" w:hAnsi="Calibri" w:cs="Calibri"/>
          <w:i/>
        </w:rPr>
        <w:t>Murr</w:t>
      </w:r>
      <w:r w:rsidR="00EE3676" w:rsidRPr="009E0BCF">
        <w:rPr>
          <w:rFonts w:ascii="Calibri" w:hAnsi="Calibri" w:cs="Calibri"/>
          <w:i/>
        </w:rPr>
        <w:t>ay Cod R</w:t>
      </w:r>
      <w:r w:rsidRPr="009E0BCF">
        <w:rPr>
          <w:rFonts w:ascii="Calibri" w:hAnsi="Calibri" w:cs="Calibri"/>
          <w:i/>
        </w:rPr>
        <w:t>ecruitment</w:t>
      </w:r>
      <w:r w:rsidR="000B65BE" w:rsidRPr="009E0BCF">
        <w:rPr>
          <w:rFonts w:ascii="Calibri" w:hAnsi="Calibri" w:cs="Calibri"/>
        </w:rPr>
        <w:t xml:space="preserve"> sampling (see each indicator SOPs</w:t>
      </w:r>
      <w:r w:rsidRPr="009E0BCF">
        <w:rPr>
          <w:rFonts w:ascii="Calibri" w:hAnsi="Calibri" w:cs="Calibri"/>
        </w:rPr>
        <w:t>) to</w:t>
      </w:r>
      <w:r>
        <w:rPr>
          <w:rFonts w:ascii="Calibri" w:hAnsi="Calibri" w:cs="Calibri"/>
        </w:rPr>
        <w:t xml:space="preserve"> collect information on golden perch population demographics (length and age)</w:t>
      </w:r>
      <w:r w:rsidRPr="003422E9">
        <w:rPr>
          <w:rFonts w:ascii="Calibri" w:hAnsi="Calibri" w:cs="Calibri"/>
        </w:rPr>
        <w:t>.</w:t>
      </w:r>
    </w:p>
    <w:p w14:paraId="2BC35A41" w14:textId="69C51CDB" w:rsidR="00BB4EEF" w:rsidRPr="00717B78" w:rsidRDefault="0044375F" w:rsidP="00BB4EEF">
      <w:pPr>
        <w:rPr>
          <w:rFonts w:cstheme="minorHAnsi"/>
        </w:rPr>
      </w:pPr>
      <w:r>
        <w:rPr>
          <w:lang w:val="en-US"/>
        </w:rPr>
        <w:t xml:space="preserve">Spawning (presence of eggs and larvae) and the natal origin of larvae/YOY will no longer be investigated as part of the core monitoring for this indicator (also see SARDI </w:t>
      </w:r>
      <w:r w:rsidRPr="007E36E0">
        <w:rPr>
          <w:i/>
          <w:lang w:val="en-US"/>
        </w:rPr>
        <w:t>et al.</w:t>
      </w:r>
      <w:r>
        <w:rPr>
          <w:lang w:val="en-US"/>
        </w:rPr>
        <w:t xml:space="preserve"> 2018).  </w:t>
      </w:r>
      <w:r w:rsidRPr="00E6468B">
        <w:rPr>
          <w:rFonts w:cstheme="minorHAnsi"/>
        </w:rPr>
        <w:t>Results from previous years of low</w:t>
      </w:r>
      <w:r>
        <w:rPr>
          <w:rFonts w:cstheme="minorHAnsi"/>
        </w:rPr>
        <w:t>, in-channel flows (&lt;18,000 </w:t>
      </w:r>
      <w:r w:rsidRPr="00E6468B">
        <w:rPr>
          <w:rFonts w:cstheme="minorHAnsi"/>
        </w:rPr>
        <w:t>ML/d) during LTIM have consistently demonstrated</w:t>
      </w:r>
      <w:r>
        <w:rPr>
          <w:rFonts w:cstheme="minorHAnsi"/>
        </w:rPr>
        <w:t xml:space="preserve"> poor recruitment success of golden perch (Ye </w:t>
      </w:r>
      <w:r w:rsidRPr="007E36E0">
        <w:rPr>
          <w:rFonts w:cstheme="minorHAnsi"/>
          <w:i/>
        </w:rPr>
        <w:t>et al.</w:t>
      </w:r>
      <w:r>
        <w:rPr>
          <w:rFonts w:cstheme="minorHAnsi"/>
        </w:rPr>
        <w:t xml:space="preserve"> 2019). Larval sampling and associated analyses will, therefore, be </w:t>
      </w:r>
      <w:r w:rsidRPr="00E6468B">
        <w:rPr>
          <w:rFonts w:cstheme="minorHAnsi"/>
        </w:rPr>
        <w:t xml:space="preserve">contingent upon spring-summer flows exceeding 20,000 ML/d (see contingency monitoring, Section </w:t>
      </w:r>
      <w:r w:rsidRPr="00E6468B">
        <w:rPr>
          <w:rFonts w:cstheme="minorHAnsi"/>
        </w:rPr>
        <w:fldChar w:fldCharType="begin"/>
      </w:r>
      <w:r w:rsidRPr="00E6468B">
        <w:rPr>
          <w:rFonts w:cstheme="minorHAnsi"/>
        </w:rPr>
        <w:instrText xml:space="preserve"> REF _Ref10127934 \r \h </w:instrText>
      </w:r>
      <w:r>
        <w:rPr>
          <w:rFonts w:cstheme="minorHAnsi"/>
        </w:rPr>
        <w:instrText xml:space="preserve"> \* MERGEFORMAT </w:instrText>
      </w:r>
      <w:r w:rsidRPr="00E6468B">
        <w:rPr>
          <w:rFonts w:cstheme="minorHAnsi"/>
        </w:rPr>
      </w:r>
      <w:r w:rsidRPr="00E6468B">
        <w:rPr>
          <w:rFonts w:cstheme="minorHAnsi"/>
        </w:rPr>
        <w:fldChar w:fldCharType="separate"/>
      </w:r>
      <w:r w:rsidR="00DF49CD">
        <w:rPr>
          <w:rFonts w:cstheme="minorHAnsi"/>
        </w:rPr>
        <w:t>5.3</w:t>
      </w:r>
      <w:r w:rsidRPr="00E6468B">
        <w:rPr>
          <w:rFonts w:cstheme="minorHAnsi"/>
        </w:rPr>
        <w:fldChar w:fldCharType="end"/>
      </w:r>
      <w:r w:rsidRPr="00E6468B">
        <w:rPr>
          <w:rFonts w:cstheme="minorHAnsi"/>
        </w:rPr>
        <w:t xml:space="preserve">). </w:t>
      </w:r>
      <w:r w:rsidR="00A64C0A">
        <w:rPr>
          <w:rFonts w:cstheme="minorHAnsi"/>
          <w:szCs w:val="22"/>
        </w:rPr>
        <w:t xml:space="preserve">Refer to </w:t>
      </w:r>
      <w:r w:rsidR="002B749A">
        <w:rPr>
          <w:rFonts w:cstheme="minorHAnsi"/>
          <w:szCs w:val="22"/>
        </w:rPr>
        <w:t xml:space="preserve">Section </w:t>
      </w:r>
      <w:r w:rsidR="002B749A">
        <w:rPr>
          <w:rFonts w:cstheme="minorHAnsi"/>
          <w:szCs w:val="22"/>
        </w:rPr>
        <w:fldChar w:fldCharType="begin"/>
      </w:r>
      <w:r w:rsidR="002B749A">
        <w:rPr>
          <w:rFonts w:cstheme="minorHAnsi"/>
          <w:szCs w:val="22"/>
        </w:rPr>
        <w:instrText xml:space="preserve"> REF _Ref12003582 \r \h </w:instrText>
      </w:r>
      <w:r w:rsidR="002B749A">
        <w:rPr>
          <w:rFonts w:cstheme="minorHAnsi"/>
          <w:szCs w:val="22"/>
        </w:rPr>
      </w:r>
      <w:r w:rsidR="002B749A">
        <w:rPr>
          <w:rFonts w:cstheme="minorHAnsi"/>
          <w:szCs w:val="22"/>
        </w:rPr>
        <w:fldChar w:fldCharType="separate"/>
      </w:r>
      <w:r w:rsidR="00DF49CD">
        <w:rPr>
          <w:rFonts w:cstheme="minorHAnsi"/>
          <w:szCs w:val="22"/>
        </w:rPr>
        <w:t>5.2.5</w:t>
      </w:r>
      <w:r w:rsidR="002B749A">
        <w:rPr>
          <w:rFonts w:cstheme="minorHAnsi"/>
          <w:szCs w:val="22"/>
        </w:rPr>
        <w:fldChar w:fldCharType="end"/>
      </w:r>
      <w:r w:rsidR="002B749A">
        <w:rPr>
          <w:rFonts w:cstheme="minorHAnsi"/>
          <w:szCs w:val="22"/>
        </w:rPr>
        <w:t xml:space="preserve"> in </w:t>
      </w:r>
      <w:r w:rsidR="00BB4EEF" w:rsidRPr="006768A6">
        <w:rPr>
          <w:rFonts w:cstheme="minorHAnsi"/>
          <w:szCs w:val="22"/>
          <w:lang w:eastAsia="en-AU"/>
        </w:rPr>
        <w:t xml:space="preserve">the </w:t>
      </w:r>
      <w:r w:rsidR="00BB4EEF">
        <w:rPr>
          <w:rFonts w:cstheme="minorHAnsi"/>
          <w:szCs w:val="22"/>
          <w:lang w:eastAsia="en-AU"/>
        </w:rPr>
        <w:t>MER</w:t>
      </w:r>
      <w:r w:rsidR="00BB4EEF" w:rsidRPr="006768A6">
        <w:rPr>
          <w:rFonts w:cstheme="minorHAnsi"/>
          <w:szCs w:val="22"/>
          <w:lang w:eastAsia="en-AU"/>
        </w:rPr>
        <w:t xml:space="preserve"> Plan for background information, objectives and hypotheses, outputs and staff involvement for</w:t>
      </w:r>
      <w:r w:rsidR="000B65BE">
        <w:rPr>
          <w:rFonts w:cstheme="minorHAnsi"/>
          <w:szCs w:val="22"/>
          <w:lang w:eastAsia="en-AU"/>
        </w:rPr>
        <w:t xml:space="preserve"> </w:t>
      </w:r>
      <w:r w:rsidR="008C1585" w:rsidRPr="008C1585">
        <w:rPr>
          <w:rFonts w:cstheme="minorHAnsi"/>
          <w:i/>
          <w:szCs w:val="22"/>
          <w:lang w:eastAsia="en-AU"/>
        </w:rPr>
        <w:t>Flow-cued Spawning Fish Recruitment</w:t>
      </w:r>
      <w:r w:rsidR="00BB4EEF" w:rsidRPr="006768A6">
        <w:rPr>
          <w:rFonts w:cstheme="minorHAnsi"/>
          <w:szCs w:val="22"/>
          <w:lang w:eastAsia="en-AU"/>
        </w:rPr>
        <w:t>.</w:t>
      </w:r>
    </w:p>
    <w:p w14:paraId="5BD172CB" w14:textId="77777777" w:rsidR="00336C52" w:rsidRDefault="00336C52" w:rsidP="00336C52">
      <w:pPr>
        <w:pStyle w:val="Heading2"/>
      </w:pPr>
      <w:bookmarkStart w:id="2115" w:name="_Toc10095320"/>
      <w:bookmarkStart w:id="2116" w:name="_Toc10192489"/>
      <w:bookmarkStart w:id="2117" w:name="_Toc10206804"/>
      <w:bookmarkStart w:id="2118" w:name="_Toc10213390"/>
      <w:bookmarkStart w:id="2119" w:name="_Toc10732414"/>
      <w:bookmarkStart w:id="2120" w:name="_Toc10796973"/>
      <w:bookmarkStart w:id="2121" w:name="_Toc12022858"/>
      <w:bookmarkStart w:id="2122" w:name="_Toc12630688"/>
      <w:bookmarkStart w:id="2123" w:name="_Toc16154548"/>
      <w:bookmarkStart w:id="2124" w:name="_Toc22196910"/>
      <w:r w:rsidRPr="00525AE9">
        <w:t>Complementary monitoring and data</w:t>
      </w:r>
      <w:bookmarkEnd w:id="2113"/>
      <w:bookmarkEnd w:id="2114"/>
      <w:bookmarkEnd w:id="2115"/>
      <w:bookmarkEnd w:id="2116"/>
      <w:bookmarkEnd w:id="2117"/>
      <w:bookmarkEnd w:id="2118"/>
      <w:bookmarkEnd w:id="2119"/>
      <w:bookmarkEnd w:id="2120"/>
      <w:bookmarkEnd w:id="2121"/>
      <w:bookmarkEnd w:id="2122"/>
      <w:bookmarkEnd w:id="2123"/>
      <w:bookmarkEnd w:id="2124"/>
    </w:p>
    <w:p w14:paraId="51340A43" w14:textId="62AC2516" w:rsidR="001008B3" w:rsidRDefault="006B6C99" w:rsidP="001008B3">
      <w:bookmarkStart w:id="2125" w:name="_Toc396825318"/>
      <w:bookmarkStart w:id="2126" w:name="_Toc6403875"/>
      <w:r>
        <w:t>J</w:t>
      </w:r>
      <w:r w:rsidR="001008B3" w:rsidRPr="00C24C6C">
        <w:rPr>
          <w:rFonts w:ascii="Calibri" w:hAnsi="Calibri" w:cs="Calibri"/>
        </w:rPr>
        <w:t>uvenile</w:t>
      </w:r>
      <w:r>
        <w:rPr>
          <w:rFonts w:ascii="Calibri" w:hAnsi="Calibri" w:cs="Calibri"/>
        </w:rPr>
        <w:t xml:space="preserve"> and adult</w:t>
      </w:r>
      <w:r w:rsidR="001008B3" w:rsidRPr="00C24C6C">
        <w:rPr>
          <w:rFonts w:ascii="Calibri" w:hAnsi="Calibri" w:cs="Calibri"/>
        </w:rPr>
        <w:t xml:space="preserve"> golden perch </w:t>
      </w:r>
      <w:r w:rsidR="001008B3" w:rsidRPr="00EB4142">
        <w:rPr>
          <w:rFonts w:ascii="Calibri" w:hAnsi="Calibri" w:cs="Calibri"/>
        </w:rPr>
        <w:t>will be obtained</w:t>
      </w:r>
      <w:r w:rsidR="001008B3">
        <w:rPr>
          <w:rFonts w:ascii="Calibri" w:hAnsi="Calibri" w:cs="Calibri"/>
        </w:rPr>
        <w:t xml:space="preserve"> through </w:t>
      </w:r>
      <w:r w:rsidR="001008B3" w:rsidRPr="0095681C">
        <w:rPr>
          <w:rFonts w:ascii="Calibri" w:hAnsi="Calibri" w:cs="Calibri"/>
          <w:i/>
        </w:rPr>
        <w:t>Fish (Channel)</w:t>
      </w:r>
      <w:r w:rsidR="001008B3">
        <w:rPr>
          <w:rFonts w:ascii="Calibri" w:hAnsi="Calibri" w:cs="Calibri"/>
        </w:rPr>
        <w:t xml:space="preserve">, </w:t>
      </w:r>
      <w:r w:rsidR="001008B3" w:rsidRPr="0095681C">
        <w:rPr>
          <w:rFonts w:ascii="Calibri" w:hAnsi="Calibri" w:cs="Calibri"/>
          <w:i/>
        </w:rPr>
        <w:t>Murra</w:t>
      </w:r>
      <w:r w:rsidR="0095681C" w:rsidRPr="0095681C">
        <w:rPr>
          <w:rFonts w:ascii="Calibri" w:hAnsi="Calibri" w:cs="Calibri"/>
          <w:i/>
        </w:rPr>
        <w:t>y Cod R</w:t>
      </w:r>
      <w:r w:rsidR="001008B3" w:rsidRPr="0095681C">
        <w:rPr>
          <w:rFonts w:ascii="Calibri" w:hAnsi="Calibri" w:cs="Calibri"/>
          <w:i/>
        </w:rPr>
        <w:t>ecruitment</w:t>
      </w:r>
      <w:r w:rsidR="001008B3" w:rsidRPr="00EB4142">
        <w:rPr>
          <w:rFonts w:ascii="Calibri" w:hAnsi="Calibri" w:cs="Calibri"/>
        </w:rPr>
        <w:t xml:space="preserve"> and complementary electrofishing</w:t>
      </w:r>
      <w:r w:rsidR="001008B3">
        <w:rPr>
          <w:rFonts w:ascii="Calibri" w:hAnsi="Calibri" w:cs="Calibri"/>
        </w:rPr>
        <w:t xml:space="preserve"> conducted by SARDI.</w:t>
      </w:r>
    </w:p>
    <w:p w14:paraId="271E67AA" w14:textId="77777777" w:rsidR="00336C52" w:rsidRDefault="00336C52" w:rsidP="00336C52">
      <w:pPr>
        <w:pStyle w:val="Heading2"/>
      </w:pPr>
      <w:bookmarkStart w:id="2127" w:name="_Toc10095321"/>
      <w:bookmarkStart w:id="2128" w:name="_Toc10192490"/>
      <w:bookmarkStart w:id="2129" w:name="_Toc10206805"/>
      <w:bookmarkStart w:id="2130" w:name="_Toc10213391"/>
      <w:bookmarkStart w:id="2131" w:name="_Toc10732415"/>
      <w:bookmarkStart w:id="2132" w:name="_Toc10796974"/>
      <w:bookmarkStart w:id="2133" w:name="_Toc12022859"/>
      <w:bookmarkStart w:id="2134" w:name="_Toc12630689"/>
      <w:bookmarkStart w:id="2135" w:name="_Toc16154549"/>
      <w:bookmarkStart w:id="2136" w:name="_Toc22196911"/>
      <w:r w:rsidRPr="004B7CC1">
        <w:t>Monitoring locations and timing</w:t>
      </w:r>
      <w:bookmarkEnd w:id="2125"/>
      <w:bookmarkEnd w:id="2126"/>
      <w:bookmarkEnd w:id="2127"/>
      <w:bookmarkEnd w:id="2128"/>
      <w:bookmarkEnd w:id="2129"/>
      <w:bookmarkEnd w:id="2130"/>
      <w:bookmarkEnd w:id="2131"/>
      <w:bookmarkEnd w:id="2132"/>
      <w:bookmarkEnd w:id="2133"/>
      <w:bookmarkEnd w:id="2134"/>
      <w:bookmarkEnd w:id="2135"/>
      <w:bookmarkEnd w:id="2136"/>
    </w:p>
    <w:p w14:paraId="547B9E60" w14:textId="77777777" w:rsidR="00336C52" w:rsidRDefault="00336C52" w:rsidP="00336C52">
      <w:pPr>
        <w:pStyle w:val="Heading3"/>
      </w:pPr>
      <w:bookmarkStart w:id="2137" w:name="_Toc6403876"/>
      <w:bookmarkStart w:id="2138" w:name="_Toc10095322"/>
      <w:bookmarkStart w:id="2139" w:name="_Toc10192491"/>
      <w:bookmarkStart w:id="2140" w:name="_Toc10206806"/>
      <w:bookmarkStart w:id="2141" w:name="_Toc10213392"/>
      <w:bookmarkStart w:id="2142" w:name="_Toc10732416"/>
      <w:bookmarkStart w:id="2143" w:name="_Toc10796975"/>
      <w:bookmarkStart w:id="2144" w:name="_Toc12022860"/>
      <w:bookmarkStart w:id="2145" w:name="_Toc12630690"/>
      <w:bookmarkStart w:id="2146" w:name="_Toc16154550"/>
      <w:bookmarkStart w:id="2147" w:name="_Toc22196912"/>
      <w:r>
        <w:t>Locations</w:t>
      </w:r>
      <w:bookmarkEnd w:id="2137"/>
      <w:bookmarkEnd w:id="2138"/>
      <w:bookmarkEnd w:id="2139"/>
      <w:bookmarkEnd w:id="2140"/>
      <w:bookmarkEnd w:id="2141"/>
      <w:bookmarkEnd w:id="2142"/>
      <w:bookmarkEnd w:id="2143"/>
      <w:bookmarkEnd w:id="2144"/>
      <w:bookmarkEnd w:id="2145"/>
      <w:bookmarkEnd w:id="2146"/>
      <w:bookmarkEnd w:id="2147"/>
    </w:p>
    <w:p w14:paraId="613766E4" w14:textId="627A00FF" w:rsidR="00C559DF" w:rsidRDefault="00C559DF" w:rsidP="00C559DF">
      <w:pPr>
        <w:rPr>
          <w:bCs/>
        </w:rPr>
      </w:pPr>
      <w:bookmarkStart w:id="2148" w:name="_Ref396478448"/>
      <w:bookmarkStart w:id="2149" w:name="_Toc6403877"/>
      <w:r w:rsidRPr="00924FD3">
        <w:rPr>
          <w:bCs/>
        </w:rPr>
        <w:t xml:space="preserve">Juvenile golden perch will be </w:t>
      </w:r>
      <w:r>
        <w:rPr>
          <w:bCs/>
        </w:rPr>
        <w:t xml:space="preserve">collected through </w:t>
      </w:r>
      <w:r w:rsidRPr="00B5395E">
        <w:rPr>
          <w:bCs/>
          <w:i/>
        </w:rPr>
        <w:t>Fish (Channel)</w:t>
      </w:r>
      <w:r w:rsidRPr="00924FD3">
        <w:rPr>
          <w:bCs/>
        </w:rPr>
        <w:t xml:space="preserve"> sampli</w:t>
      </w:r>
      <w:r>
        <w:rPr>
          <w:bCs/>
        </w:rPr>
        <w:t xml:space="preserve">ng in the </w:t>
      </w:r>
      <w:r w:rsidRPr="00841D07">
        <w:rPr>
          <w:bCs/>
          <w:i/>
        </w:rPr>
        <w:t>Gorge</w:t>
      </w:r>
      <w:r>
        <w:rPr>
          <w:bCs/>
        </w:rPr>
        <w:t xml:space="preserve"> zone</w:t>
      </w:r>
      <w:r w:rsidRPr="00924FD3">
        <w:rPr>
          <w:bCs/>
        </w:rPr>
        <w:t xml:space="preserve"> and by </w:t>
      </w:r>
      <w:r w:rsidR="00B5395E" w:rsidRPr="00B5395E">
        <w:rPr>
          <w:bCs/>
          <w:i/>
        </w:rPr>
        <w:t>Murray Cod R</w:t>
      </w:r>
      <w:r w:rsidRPr="00B5395E">
        <w:rPr>
          <w:bCs/>
          <w:i/>
        </w:rPr>
        <w:t>ecruitment</w:t>
      </w:r>
      <w:r>
        <w:rPr>
          <w:bCs/>
        </w:rPr>
        <w:t xml:space="preserve"> sampling</w:t>
      </w:r>
      <w:r w:rsidRPr="00924FD3">
        <w:rPr>
          <w:bCs/>
        </w:rPr>
        <w:t xml:space="preserve"> at a minimum of six sites in the </w:t>
      </w:r>
      <w:r w:rsidRPr="00841D07">
        <w:rPr>
          <w:bCs/>
          <w:i/>
        </w:rPr>
        <w:t>Floodplain</w:t>
      </w:r>
      <w:r w:rsidRPr="00924FD3">
        <w:rPr>
          <w:bCs/>
        </w:rPr>
        <w:t xml:space="preserve"> zone of the </w:t>
      </w:r>
      <w:r w:rsidRPr="00C304CC">
        <w:rPr>
          <w:bCs/>
        </w:rPr>
        <w:t>Lower Murray</w:t>
      </w:r>
      <w:r>
        <w:rPr>
          <w:bCs/>
        </w:rPr>
        <w:t xml:space="preserve"> Selected Area</w:t>
      </w:r>
      <w:r w:rsidRPr="00924FD3">
        <w:rPr>
          <w:bCs/>
        </w:rPr>
        <w:t>.</w:t>
      </w:r>
    </w:p>
    <w:p w14:paraId="636BC566" w14:textId="77777777" w:rsidR="00336C52" w:rsidRDefault="00336C52" w:rsidP="00336C52">
      <w:pPr>
        <w:pStyle w:val="Heading3"/>
      </w:pPr>
      <w:bookmarkStart w:id="2150" w:name="_Toc10095323"/>
      <w:bookmarkStart w:id="2151" w:name="_Toc10192492"/>
      <w:bookmarkStart w:id="2152" w:name="_Toc10206807"/>
      <w:bookmarkStart w:id="2153" w:name="_Toc10213393"/>
      <w:bookmarkStart w:id="2154" w:name="_Toc10732417"/>
      <w:bookmarkStart w:id="2155" w:name="_Toc10796976"/>
      <w:bookmarkStart w:id="2156" w:name="_Toc12022861"/>
      <w:bookmarkStart w:id="2157" w:name="_Toc12630691"/>
      <w:bookmarkStart w:id="2158" w:name="_Toc16154551"/>
      <w:bookmarkStart w:id="2159" w:name="_Toc22196913"/>
      <w:r>
        <w:t>Timing</w:t>
      </w:r>
      <w:bookmarkEnd w:id="2148"/>
      <w:bookmarkEnd w:id="2149"/>
      <w:bookmarkEnd w:id="2150"/>
      <w:bookmarkEnd w:id="2151"/>
      <w:bookmarkEnd w:id="2152"/>
      <w:bookmarkEnd w:id="2153"/>
      <w:bookmarkEnd w:id="2154"/>
      <w:bookmarkEnd w:id="2155"/>
      <w:bookmarkEnd w:id="2156"/>
      <w:bookmarkEnd w:id="2157"/>
      <w:bookmarkEnd w:id="2158"/>
      <w:bookmarkEnd w:id="2159"/>
    </w:p>
    <w:p w14:paraId="26C93E2C" w14:textId="5592E5FB" w:rsidR="00C559DF" w:rsidRDefault="00C559DF" w:rsidP="00C559DF">
      <w:bookmarkStart w:id="2160" w:name="_Toc396825319"/>
      <w:bookmarkStart w:id="2161" w:name="_Toc6403878"/>
      <w:r w:rsidRPr="00495DEE">
        <w:rPr>
          <w:bCs/>
        </w:rPr>
        <w:t xml:space="preserve">Juvenile </w:t>
      </w:r>
      <w:r>
        <w:rPr>
          <w:bCs/>
        </w:rPr>
        <w:t xml:space="preserve">and adult </w:t>
      </w:r>
      <w:r w:rsidRPr="00495DEE">
        <w:rPr>
          <w:bCs/>
        </w:rPr>
        <w:t>golden perch</w:t>
      </w:r>
      <w:r>
        <w:rPr>
          <w:bCs/>
        </w:rPr>
        <w:t xml:space="preserve"> and silver perch</w:t>
      </w:r>
      <w:r w:rsidRPr="00495DEE">
        <w:rPr>
          <w:bCs/>
        </w:rPr>
        <w:t xml:space="preserve"> will be sampled in March/April of each year from 20</w:t>
      </w:r>
      <w:r>
        <w:rPr>
          <w:bCs/>
        </w:rPr>
        <w:t>20</w:t>
      </w:r>
      <w:r w:rsidRPr="00495DEE">
        <w:rPr>
          <w:bCs/>
        </w:rPr>
        <w:t>–20</w:t>
      </w:r>
      <w:r>
        <w:rPr>
          <w:bCs/>
        </w:rPr>
        <w:t xml:space="preserve">22. </w:t>
      </w:r>
      <w:r w:rsidR="00A64C0A">
        <w:rPr>
          <w:rFonts w:cs="Calibri"/>
          <w:szCs w:val="22"/>
        </w:rPr>
        <w:t xml:space="preserve">Refer to Section </w:t>
      </w:r>
      <w:r w:rsidR="00A64C0A" w:rsidRPr="00A64C0A">
        <w:rPr>
          <w:rFonts w:cs="Calibri"/>
        </w:rPr>
        <w:fldChar w:fldCharType="begin"/>
      </w:r>
      <w:r w:rsidR="00A64C0A" w:rsidRPr="00A64C0A">
        <w:rPr>
          <w:rFonts w:cs="Calibri"/>
        </w:rPr>
        <w:instrText xml:space="preserve"> REF _Ref10197301 \r \h </w:instrText>
      </w:r>
      <w:r w:rsidR="00A64C0A">
        <w:rPr>
          <w:rFonts w:cs="Calibri"/>
        </w:rPr>
        <w:instrText xml:space="preserve"> \* MERGEFORMAT </w:instrText>
      </w:r>
      <w:r w:rsidR="00A64C0A" w:rsidRPr="00A64C0A">
        <w:rPr>
          <w:rFonts w:cs="Calibri"/>
        </w:rPr>
      </w:r>
      <w:r w:rsidR="00A64C0A" w:rsidRPr="00A64C0A">
        <w:rPr>
          <w:rFonts w:cs="Calibri"/>
        </w:rPr>
        <w:fldChar w:fldCharType="separate"/>
      </w:r>
      <w:r w:rsidR="00DF49CD">
        <w:rPr>
          <w:rFonts w:cs="Calibri"/>
        </w:rPr>
        <w:t>7.2</w:t>
      </w:r>
      <w:r w:rsidR="00A64C0A" w:rsidRPr="00A64C0A">
        <w:rPr>
          <w:rFonts w:cs="Calibri"/>
        </w:rPr>
        <w:fldChar w:fldCharType="end"/>
      </w:r>
      <w:r w:rsidR="00A64C0A" w:rsidRPr="00A64C0A">
        <w:rPr>
          <w:rFonts w:cs="Calibri"/>
        </w:rPr>
        <w:t xml:space="preserve"> </w:t>
      </w:r>
      <w:r>
        <w:rPr>
          <w:rFonts w:cs="Calibri"/>
          <w:szCs w:val="22"/>
        </w:rPr>
        <w:t>in the MER Plan for a monthly mon</w:t>
      </w:r>
      <w:r w:rsidR="00A64C0A">
        <w:rPr>
          <w:rFonts w:cs="Calibri"/>
          <w:szCs w:val="22"/>
        </w:rPr>
        <w:t xml:space="preserve">itoring schedule for </w:t>
      </w:r>
      <w:r w:rsidR="008C1585" w:rsidRPr="008C1585">
        <w:rPr>
          <w:rFonts w:cs="Calibri"/>
          <w:i/>
          <w:szCs w:val="22"/>
        </w:rPr>
        <w:t>Flow-cued Spawning Fish Recruitment</w:t>
      </w:r>
      <w:r>
        <w:rPr>
          <w:rFonts w:cs="Calibri"/>
          <w:szCs w:val="22"/>
        </w:rPr>
        <w:t>.</w:t>
      </w:r>
    </w:p>
    <w:p w14:paraId="3D23229F" w14:textId="77777777" w:rsidR="00336C52" w:rsidRPr="004B7CC1" w:rsidRDefault="00336C52" w:rsidP="00336C52">
      <w:pPr>
        <w:pStyle w:val="Heading2"/>
      </w:pPr>
      <w:bookmarkStart w:id="2162" w:name="_Toc10095324"/>
      <w:bookmarkStart w:id="2163" w:name="_Toc10192493"/>
      <w:bookmarkStart w:id="2164" w:name="_Toc10206808"/>
      <w:bookmarkStart w:id="2165" w:name="_Toc10213394"/>
      <w:bookmarkStart w:id="2166" w:name="_Toc10732418"/>
      <w:bookmarkStart w:id="2167" w:name="_Toc10796977"/>
      <w:bookmarkStart w:id="2168" w:name="_Toc12022862"/>
      <w:bookmarkStart w:id="2169" w:name="_Toc12630692"/>
      <w:bookmarkStart w:id="2170" w:name="_Toc16154552"/>
      <w:bookmarkStart w:id="2171" w:name="_Toc22196914"/>
      <w:r w:rsidRPr="004B7CC1">
        <w:t>Monitoring protocol</w:t>
      </w:r>
      <w:bookmarkEnd w:id="2160"/>
      <w:bookmarkEnd w:id="2161"/>
      <w:bookmarkEnd w:id="2162"/>
      <w:bookmarkEnd w:id="2163"/>
      <w:bookmarkEnd w:id="2164"/>
      <w:bookmarkEnd w:id="2165"/>
      <w:bookmarkEnd w:id="2166"/>
      <w:bookmarkEnd w:id="2167"/>
      <w:bookmarkEnd w:id="2168"/>
      <w:bookmarkEnd w:id="2169"/>
      <w:bookmarkEnd w:id="2170"/>
      <w:bookmarkEnd w:id="2171"/>
    </w:p>
    <w:p w14:paraId="07F4068E" w14:textId="77777777" w:rsidR="00336C52" w:rsidRPr="00162342" w:rsidRDefault="00336C52" w:rsidP="00336C52">
      <w:pPr>
        <w:pStyle w:val="Heading3"/>
      </w:pPr>
      <w:bookmarkStart w:id="2172" w:name="_Ref396463360"/>
      <w:bookmarkStart w:id="2173" w:name="_Toc6403879"/>
      <w:bookmarkStart w:id="2174" w:name="_Toc10095325"/>
      <w:bookmarkStart w:id="2175" w:name="_Toc10192494"/>
      <w:bookmarkStart w:id="2176" w:name="_Toc10206809"/>
      <w:bookmarkStart w:id="2177" w:name="_Toc10213395"/>
      <w:bookmarkStart w:id="2178" w:name="_Toc10732419"/>
      <w:bookmarkStart w:id="2179" w:name="_Toc10796978"/>
      <w:bookmarkStart w:id="2180" w:name="_Toc12022863"/>
      <w:bookmarkStart w:id="2181" w:name="_Toc12630693"/>
      <w:bookmarkStart w:id="2182" w:name="_Toc16154553"/>
      <w:bookmarkStart w:id="2183" w:name="_Toc22196915"/>
      <w:r w:rsidRPr="00162342">
        <w:t>Collection of larval fish</w:t>
      </w:r>
      <w:bookmarkEnd w:id="2172"/>
      <w:bookmarkEnd w:id="2173"/>
      <w:bookmarkEnd w:id="2174"/>
      <w:bookmarkEnd w:id="2175"/>
      <w:bookmarkEnd w:id="2176"/>
      <w:bookmarkEnd w:id="2177"/>
      <w:bookmarkEnd w:id="2178"/>
      <w:bookmarkEnd w:id="2179"/>
      <w:bookmarkEnd w:id="2180"/>
      <w:bookmarkEnd w:id="2181"/>
      <w:bookmarkEnd w:id="2182"/>
      <w:bookmarkEnd w:id="2183"/>
    </w:p>
    <w:p w14:paraId="37AC326E" w14:textId="6AF15C37" w:rsidR="00336C52" w:rsidRDefault="00C559DF" w:rsidP="00336C52">
      <w:r>
        <w:t>Larval fish sampling will be conducted using paired bongo nets towed behind a boat.</w:t>
      </w:r>
      <w:r w:rsidRPr="004B7CC1">
        <w:t xml:space="preserve"> Samples will be fixed in ethanol and preserved for analysis in the lab. </w:t>
      </w:r>
      <w:r>
        <w:t xml:space="preserve">Refer to the net tow monitoring protocol in </w:t>
      </w:r>
      <w:r w:rsidR="00A64C0A">
        <w:t xml:space="preserve">the </w:t>
      </w:r>
      <w:r w:rsidR="00A64C0A" w:rsidRPr="00A64C0A">
        <w:rPr>
          <w:i/>
        </w:rPr>
        <w:t>Murray Cod Recruitment</w:t>
      </w:r>
      <w:r w:rsidR="00A64C0A">
        <w:t xml:space="preserve"> SOP</w:t>
      </w:r>
      <w:r>
        <w:t>.</w:t>
      </w:r>
      <w:r w:rsidR="00336C52" w:rsidRPr="004B7CC1">
        <w:t xml:space="preserve"> </w:t>
      </w:r>
    </w:p>
    <w:p w14:paraId="4386E60C" w14:textId="77777777" w:rsidR="00C559DF" w:rsidRPr="00162342" w:rsidRDefault="00C559DF" w:rsidP="00C559DF">
      <w:pPr>
        <w:pStyle w:val="Heading3"/>
      </w:pPr>
      <w:bookmarkStart w:id="2184" w:name="_Toc6403880"/>
      <w:bookmarkStart w:id="2185" w:name="_Toc10095326"/>
      <w:bookmarkStart w:id="2186" w:name="_Toc10192495"/>
      <w:bookmarkStart w:id="2187" w:name="_Toc10206810"/>
      <w:bookmarkStart w:id="2188" w:name="_Toc10213396"/>
      <w:bookmarkStart w:id="2189" w:name="_Toc10732420"/>
      <w:bookmarkStart w:id="2190" w:name="_Toc10796979"/>
      <w:bookmarkStart w:id="2191" w:name="_Toc12022864"/>
      <w:bookmarkStart w:id="2192" w:name="_Toc12630694"/>
      <w:bookmarkStart w:id="2193" w:name="_Toc16154554"/>
      <w:bookmarkStart w:id="2194" w:name="_Toc22196916"/>
      <w:bookmarkStart w:id="2195" w:name="_Toc6403881"/>
      <w:r w:rsidRPr="00162342">
        <w:t>Collection of juvenile</w:t>
      </w:r>
      <w:r>
        <w:t xml:space="preserve"> and adult</w:t>
      </w:r>
      <w:r w:rsidRPr="00162342">
        <w:t xml:space="preserve"> golden perch</w:t>
      </w:r>
      <w:bookmarkEnd w:id="2184"/>
      <w:bookmarkEnd w:id="2185"/>
      <w:bookmarkEnd w:id="2186"/>
      <w:bookmarkEnd w:id="2187"/>
      <w:bookmarkEnd w:id="2188"/>
      <w:bookmarkEnd w:id="2189"/>
      <w:bookmarkEnd w:id="2190"/>
      <w:bookmarkEnd w:id="2191"/>
      <w:bookmarkEnd w:id="2192"/>
      <w:bookmarkEnd w:id="2193"/>
      <w:bookmarkEnd w:id="2194"/>
    </w:p>
    <w:p w14:paraId="56313B11" w14:textId="77777777" w:rsidR="00C559DF" w:rsidRDefault="00C559DF" w:rsidP="00C559DF">
      <w:pPr>
        <w:spacing w:after="0"/>
        <w:rPr>
          <w:b/>
          <w:bCs/>
          <w:i/>
          <w:sz w:val="24"/>
        </w:rPr>
      </w:pPr>
      <w:r w:rsidRPr="004B7CC1">
        <w:t>Juvenile (including young-of-year)</w:t>
      </w:r>
      <w:r>
        <w:t xml:space="preserve"> and adult</w:t>
      </w:r>
      <w:r w:rsidRPr="004B7CC1">
        <w:t xml:space="preserve"> golden perch will be sampled by boat electrofishing in the li</w:t>
      </w:r>
      <w:r>
        <w:t>t</w:t>
      </w:r>
      <w:r w:rsidRPr="004B7CC1">
        <w:t xml:space="preserve">toral zones of main channel and anabranch habitats of the </w:t>
      </w:r>
      <w:r w:rsidRPr="00C304CC">
        <w:t>Lower Murray</w:t>
      </w:r>
      <w:r w:rsidRPr="004B7CC1">
        <w:t xml:space="preserve"> using a boat mounted 7.5kVA Smith-Root electrofishing unit</w:t>
      </w:r>
      <w:r>
        <w:t xml:space="preserve"> through sampling for other indicators</w:t>
      </w:r>
      <w:r w:rsidRPr="004B7CC1">
        <w:t xml:space="preserve">.  </w:t>
      </w:r>
    </w:p>
    <w:p w14:paraId="7D8B6D61" w14:textId="77777777" w:rsidR="00336C52" w:rsidRDefault="00336C52" w:rsidP="00336C52">
      <w:pPr>
        <w:pStyle w:val="Heading3"/>
      </w:pPr>
      <w:bookmarkStart w:id="2196" w:name="_Ref396823601"/>
      <w:bookmarkStart w:id="2197" w:name="_Toc6403882"/>
      <w:bookmarkStart w:id="2198" w:name="_Toc10095328"/>
      <w:bookmarkStart w:id="2199" w:name="_Toc10192497"/>
      <w:bookmarkStart w:id="2200" w:name="_Ref10201708"/>
      <w:bookmarkStart w:id="2201" w:name="_Toc10206812"/>
      <w:bookmarkStart w:id="2202" w:name="_Toc10213398"/>
      <w:bookmarkStart w:id="2203" w:name="_Toc10732422"/>
      <w:bookmarkStart w:id="2204" w:name="_Toc10796981"/>
      <w:bookmarkStart w:id="2205" w:name="_Toc12022865"/>
      <w:bookmarkStart w:id="2206" w:name="_Toc12630695"/>
      <w:bookmarkStart w:id="2207" w:name="_Toc16154555"/>
      <w:bookmarkStart w:id="2208" w:name="_Toc22196917"/>
      <w:bookmarkEnd w:id="2195"/>
      <w:r w:rsidRPr="00162342">
        <w:t>Covariates</w:t>
      </w:r>
      <w:bookmarkEnd w:id="2196"/>
      <w:bookmarkEnd w:id="2197"/>
      <w:bookmarkEnd w:id="2198"/>
      <w:bookmarkEnd w:id="2199"/>
      <w:bookmarkEnd w:id="2200"/>
      <w:bookmarkEnd w:id="2201"/>
      <w:bookmarkEnd w:id="2202"/>
      <w:bookmarkEnd w:id="2203"/>
      <w:bookmarkEnd w:id="2204"/>
      <w:bookmarkEnd w:id="2205"/>
      <w:bookmarkEnd w:id="2206"/>
      <w:bookmarkEnd w:id="2207"/>
      <w:bookmarkEnd w:id="2208"/>
    </w:p>
    <w:p w14:paraId="68F0218A" w14:textId="1ABE0B37" w:rsidR="00336C52" w:rsidRDefault="00BD42BE" w:rsidP="00336C52">
      <w:pPr>
        <w:ind w:firstLine="1"/>
        <w:rPr>
          <w:bCs/>
        </w:rPr>
      </w:pPr>
      <w:r>
        <w:rPr>
          <w:bCs/>
        </w:rPr>
        <w:t>Discharge data (ML/</w:t>
      </w:r>
      <w:r w:rsidR="00336C52" w:rsidRPr="00BC04E0">
        <w:rPr>
          <w:bCs/>
        </w:rPr>
        <w:t xml:space="preserve">d) </w:t>
      </w:r>
      <w:r w:rsidR="00CF163F" w:rsidRPr="00BC04E0">
        <w:rPr>
          <w:bCs/>
        </w:rPr>
        <w:t xml:space="preserve">and water </w:t>
      </w:r>
      <w:r w:rsidR="00BE7FB7">
        <w:rPr>
          <w:bCs/>
        </w:rPr>
        <w:t>temperature</w:t>
      </w:r>
      <w:r w:rsidR="00CF163F" w:rsidRPr="00BC04E0">
        <w:rPr>
          <w:bCs/>
        </w:rPr>
        <w:t xml:space="preserve"> </w:t>
      </w:r>
      <w:r w:rsidR="00336C52" w:rsidRPr="00BC04E0">
        <w:rPr>
          <w:bCs/>
        </w:rPr>
        <w:t>from the closest gauging station will be obtained from the DEW Surface Water Archive (www.waterconnect.sa.gov.au).</w:t>
      </w:r>
    </w:p>
    <w:p w14:paraId="5F439C59" w14:textId="77777777" w:rsidR="00336C52" w:rsidRPr="004B7CC1" w:rsidRDefault="00336C52" w:rsidP="00336C52">
      <w:pPr>
        <w:pStyle w:val="Heading2"/>
      </w:pPr>
      <w:bookmarkStart w:id="2209" w:name="_Toc396825320"/>
      <w:bookmarkStart w:id="2210" w:name="_Toc6403883"/>
      <w:bookmarkStart w:id="2211" w:name="_Toc10095329"/>
      <w:bookmarkStart w:id="2212" w:name="_Toc10192498"/>
      <w:bookmarkStart w:id="2213" w:name="_Toc10206813"/>
      <w:bookmarkStart w:id="2214" w:name="_Toc10213399"/>
      <w:bookmarkStart w:id="2215" w:name="_Toc10732423"/>
      <w:bookmarkStart w:id="2216" w:name="_Toc10796982"/>
      <w:bookmarkStart w:id="2217" w:name="_Toc12022866"/>
      <w:bookmarkStart w:id="2218" w:name="_Toc12630696"/>
      <w:bookmarkStart w:id="2219" w:name="_Toc16154556"/>
      <w:bookmarkStart w:id="2220" w:name="_Toc22196918"/>
      <w:r w:rsidRPr="004B7CC1">
        <w:lastRenderedPageBreak/>
        <w:t xml:space="preserve">Data analysis and </w:t>
      </w:r>
      <w:r>
        <w:t>evaluation</w:t>
      </w:r>
      <w:bookmarkEnd w:id="2209"/>
      <w:bookmarkEnd w:id="2210"/>
      <w:bookmarkEnd w:id="2211"/>
      <w:bookmarkEnd w:id="2212"/>
      <w:bookmarkEnd w:id="2213"/>
      <w:bookmarkEnd w:id="2214"/>
      <w:bookmarkEnd w:id="2215"/>
      <w:bookmarkEnd w:id="2216"/>
      <w:bookmarkEnd w:id="2217"/>
      <w:bookmarkEnd w:id="2218"/>
      <w:bookmarkEnd w:id="2219"/>
      <w:bookmarkEnd w:id="2220"/>
    </w:p>
    <w:p w14:paraId="3C9E1BBA" w14:textId="25BA8C5C" w:rsidR="00644C92" w:rsidRPr="003A2FD2" w:rsidRDefault="00644C92" w:rsidP="00336C52">
      <w:pPr>
        <w:ind w:left="1"/>
        <w:rPr>
          <w:bCs/>
        </w:rPr>
      </w:pPr>
      <w:r w:rsidRPr="00290B10">
        <w:rPr>
          <w:rFonts w:cstheme="minorHAnsi"/>
        </w:rPr>
        <w:t>Collect</w:t>
      </w:r>
      <w:r>
        <w:rPr>
          <w:rFonts w:cstheme="minorHAnsi"/>
        </w:rPr>
        <w:t>ion and ageing of</w:t>
      </w:r>
      <w:r w:rsidRPr="00290B10">
        <w:rPr>
          <w:rFonts w:cstheme="minorHAnsi"/>
        </w:rPr>
        <w:t xml:space="preserve"> otoliths from a representative subsample of the golden perch population </w:t>
      </w:r>
      <w:r w:rsidR="00D674E1">
        <w:rPr>
          <w:rFonts w:cstheme="minorHAnsi"/>
        </w:rPr>
        <w:t xml:space="preserve">in the </w:t>
      </w:r>
      <w:r w:rsidR="00AC0C84">
        <w:rPr>
          <w:rFonts w:cstheme="minorHAnsi"/>
        </w:rPr>
        <w:t>L</w:t>
      </w:r>
      <w:r w:rsidR="00D674E1">
        <w:rPr>
          <w:rFonts w:cstheme="minorHAnsi"/>
        </w:rPr>
        <w:t>ower Murray</w:t>
      </w:r>
      <w:r w:rsidRPr="00290B10">
        <w:rPr>
          <w:rFonts w:cstheme="minorHAnsi"/>
        </w:rPr>
        <w:t xml:space="preserve"> </w:t>
      </w:r>
      <w:r>
        <w:rPr>
          <w:rFonts w:cstheme="minorHAnsi"/>
        </w:rPr>
        <w:t xml:space="preserve">will </w:t>
      </w:r>
      <w:r w:rsidRPr="00290B10">
        <w:rPr>
          <w:rFonts w:cstheme="minorHAnsi"/>
        </w:rPr>
        <w:t>enable determination of age structures and</w:t>
      </w:r>
      <w:r>
        <w:rPr>
          <w:rFonts w:cstheme="minorHAnsi"/>
        </w:rPr>
        <w:t xml:space="preserve"> successful recruitment</w:t>
      </w:r>
      <w:r w:rsidRPr="00290B10">
        <w:rPr>
          <w:rFonts w:cstheme="minorHAnsi"/>
        </w:rPr>
        <w:t xml:space="preserve"> of strong cohorts</w:t>
      </w:r>
      <w:r w:rsidR="00D674E1">
        <w:rPr>
          <w:rFonts w:cstheme="minorHAnsi"/>
        </w:rPr>
        <w:t xml:space="preserve"> and association with hydrology</w:t>
      </w:r>
      <w:r>
        <w:rPr>
          <w:rFonts w:cstheme="minorHAnsi"/>
        </w:rPr>
        <w:t>.</w:t>
      </w:r>
    </w:p>
    <w:p w14:paraId="25827091" w14:textId="77777777" w:rsidR="00992869" w:rsidRPr="00992869" w:rsidRDefault="00992869" w:rsidP="00992869">
      <w:pPr>
        <w:pStyle w:val="Heading2"/>
      </w:pPr>
      <w:bookmarkStart w:id="2221" w:name="_Toc10095330"/>
      <w:bookmarkStart w:id="2222" w:name="_Toc10192499"/>
      <w:bookmarkStart w:id="2223" w:name="_Toc10206814"/>
      <w:bookmarkStart w:id="2224" w:name="_Toc10213400"/>
      <w:bookmarkStart w:id="2225" w:name="_Toc10732424"/>
      <w:bookmarkStart w:id="2226" w:name="_Toc10796983"/>
      <w:bookmarkStart w:id="2227" w:name="_Toc12022867"/>
      <w:bookmarkStart w:id="2228" w:name="_Toc12630697"/>
      <w:bookmarkStart w:id="2229" w:name="_Toc16154557"/>
      <w:bookmarkStart w:id="2230" w:name="_Toc22196919"/>
      <w:bookmarkStart w:id="2231" w:name="_Toc243986934"/>
      <w:bookmarkStart w:id="2232" w:name="_Toc396825324"/>
      <w:bookmarkStart w:id="2233" w:name="_Toc6403887"/>
      <w:r w:rsidRPr="00992869">
        <w:t>Data management</w:t>
      </w:r>
      <w:bookmarkEnd w:id="2221"/>
      <w:bookmarkEnd w:id="2222"/>
      <w:bookmarkEnd w:id="2223"/>
      <w:bookmarkEnd w:id="2224"/>
      <w:bookmarkEnd w:id="2225"/>
      <w:bookmarkEnd w:id="2226"/>
      <w:bookmarkEnd w:id="2227"/>
      <w:bookmarkEnd w:id="2228"/>
      <w:bookmarkEnd w:id="2229"/>
      <w:bookmarkEnd w:id="2230"/>
    </w:p>
    <w:p w14:paraId="23CF2003" w14:textId="24411D7E" w:rsidR="00756633" w:rsidRDefault="009E6C53" w:rsidP="009E6C53">
      <w:bookmarkStart w:id="2234" w:name="_Toc10095332"/>
      <w:bookmarkStart w:id="2235" w:name="_Toc10192501"/>
      <w:r w:rsidRPr="00992869">
        <w:t>See Section</w:t>
      </w:r>
      <w:r>
        <w:t xml:space="preserve"> </w:t>
      </w:r>
      <w:r>
        <w:fldChar w:fldCharType="begin"/>
      </w:r>
      <w:r>
        <w:instrText xml:space="preserve"> REF _Ref10196755 \r \h </w:instrText>
      </w:r>
      <w:r>
        <w:fldChar w:fldCharType="separate"/>
      </w:r>
      <w:r w:rsidR="00DF49CD">
        <w:t>11</w:t>
      </w:r>
      <w:r>
        <w:fldChar w:fldCharType="end"/>
      </w:r>
      <w:r>
        <w:t xml:space="preserve"> </w:t>
      </w:r>
      <w:r w:rsidRPr="002E3EEF">
        <w:rPr>
          <w:rFonts w:cstheme="minorHAnsi"/>
          <w:szCs w:val="22"/>
        </w:rPr>
        <w:t xml:space="preserve">in the </w:t>
      </w:r>
      <w:r>
        <w:rPr>
          <w:rFonts w:cstheme="minorHAnsi"/>
          <w:szCs w:val="22"/>
        </w:rPr>
        <w:t>MER</w:t>
      </w:r>
      <w:r w:rsidRPr="002E3EEF">
        <w:rPr>
          <w:rFonts w:cstheme="minorHAnsi"/>
          <w:szCs w:val="22"/>
        </w:rPr>
        <w:t xml:space="preserve"> Plan</w:t>
      </w:r>
      <w:r>
        <w:rPr>
          <w:rFonts w:cstheme="minorHAnsi"/>
          <w:szCs w:val="22"/>
        </w:rPr>
        <w:t xml:space="preserve"> for data management procedures</w:t>
      </w:r>
      <w:r w:rsidRPr="00992869">
        <w:t>.</w:t>
      </w:r>
      <w:r>
        <w:t xml:space="preserve"> </w:t>
      </w:r>
      <w:r w:rsidR="00444DB8">
        <w:t xml:space="preserve">The data </w:t>
      </w:r>
      <w:r w:rsidR="00444DB8" w:rsidRPr="000E285D">
        <w:t>templates for</w:t>
      </w:r>
      <w:r w:rsidR="00444DB8" w:rsidRPr="0070750B">
        <w:t xml:space="preserve"> </w:t>
      </w:r>
      <w:r w:rsidR="00444DB8" w:rsidRPr="009F6E46">
        <w:t xml:space="preserve">Category 3 (Selected Area) indicators </w:t>
      </w:r>
      <w:r w:rsidR="00444DB8">
        <w:t>will be</w:t>
      </w:r>
      <w:r w:rsidR="00444DB8" w:rsidRPr="009F6E46">
        <w:t xml:space="preserve"> developed</w:t>
      </w:r>
      <w:r w:rsidR="00444DB8">
        <w:t xml:space="preserve"> by the Selected Area,</w:t>
      </w:r>
      <w:r w:rsidR="00444DB8" w:rsidRPr="009F6E46">
        <w:t xml:space="preserve"> in consultation with CEWO</w:t>
      </w:r>
      <w:r w:rsidR="00444DB8">
        <w:t>,</w:t>
      </w:r>
      <w:r w:rsidR="00444DB8" w:rsidRPr="009F6E46">
        <w:t xml:space="preserve"> and </w:t>
      </w:r>
      <w:r w:rsidR="00444DB8">
        <w:t xml:space="preserve">will </w:t>
      </w:r>
      <w:r w:rsidR="00444DB8" w:rsidRPr="009F6E46">
        <w:t>conform to data standards</w:t>
      </w:r>
      <w:r w:rsidR="00444DB8">
        <w:t xml:space="preserve">. The </w:t>
      </w:r>
      <w:r w:rsidR="00AC0C84">
        <w:t>data</w:t>
      </w:r>
      <w:r w:rsidR="00444DB8">
        <w:t xml:space="preserve"> template for </w:t>
      </w:r>
      <w:r w:rsidR="008C1585" w:rsidRPr="008C1585">
        <w:rPr>
          <w:i/>
        </w:rPr>
        <w:t>Flow-cued Spawning Fish Recruitment</w:t>
      </w:r>
      <w:r w:rsidR="00444DB8">
        <w:t xml:space="preserve"> </w:t>
      </w:r>
      <w:r w:rsidR="00AC0C84">
        <w:t xml:space="preserve">will follow the standard template for individual fish data for </w:t>
      </w:r>
      <w:r w:rsidR="00AC0C84" w:rsidRPr="00FF799D">
        <w:rPr>
          <w:i/>
        </w:rPr>
        <w:t>Fish (Channel</w:t>
      </w:r>
      <w:r w:rsidR="00AC0C84" w:rsidRPr="00E60E96">
        <w:t>)</w:t>
      </w:r>
      <w:r w:rsidR="00AC0C84">
        <w:t xml:space="preserve"> (Brooks and Wealands 2018)</w:t>
      </w:r>
      <w:r w:rsidR="00444DB8" w:rsidRPr="000813A1">
        <w:t>.</w:t>
      </w:r>
    </w:p>
    <w:p w14:paraId="423FF765" w14:textId="77777777" w:rsidR="009E6C53" w:rsidRPr="00992869" w:rsidRDefault="009E6C53" w:rsidP="009E6C53">
      <w:pPr>
        <w:pStyle w:val="Heading2"/>
      </w:pPr>
      <w:bookmarkStart w:id="2236" w:name="_Toc10206815"/>
      <w:bookmarkStart w:id="2237" w:name="_Toc10213401"/>
      <w:bookmarkStart w:id="2238" w:name="_Toc10732425"/>
      <w:bookmarkStart w:id="2239" w:name="_Toc10796984"/>
      <w:bookmarkStart w:id="2240" w:name="_Toc12022868"/>
      <w:bookmarkStart w:id="2241" w:name="_Toc12630698"/>
      <w:bookmarkStart w:id="2242" w:name="_Toc16154558"/>
      <w:bookmarkStart w:id="2243" w:name="_Toc22196920"/>
      <w:r w:rsidRPr="00992869">
        <w:t>Quality Assurance/Quality Control</w:t>
      </w:r>
      <w:bookmarkEnd w:id="2236"/>
      <w:bookmarkEnd w:id="2237"/>
      <w:bookmarkEnd w:id="2238"/>
      <w:bookmarkEnd w:id="2239"/>
      <w:bookmarkEnd w:id="2240"/>
      <w:bookmarkEnd w:id="2241"/>
      <w:bookmarkEnd w:id="2242"/>
      <w:bookmarkEnd w:id="2243"/>
    </w:p>
    <w:p w14:paraId="2B02BA4E" w14:textId="57499477" w:rsidR="009E6C53" w:rsidRPr="00992869" w:rsidRDefault="009E6C53" w:rsidP="009E6C53">
      <w:r w:rsidRPr="00992869">
        <w:t xml:space="preserve">See Section </w:t>
      </w:r>
      <w:r w:rsidRPr="00992869">
        <w:fldChar w:fldCharType="begin"/>
      </w:r>
      <w:r w:rsidRPr="00992869">
        <w:instrText xml:space="preserve"> REF _Ref9333977 \r \h  \* MERGEFORMAT </w:instrText>
      </w:r>
      <w:r w:rsidRPr="00992869">
        <w:fldChar w:fldCharType="separate"/>
      </w:r>
      <w:r w:rsidR="00DF49CD">
        <w:t>10.3</w:t>
      </w:r>
      <w:r w:rsidRPr="00992869">
        <w:fldChar w:fldCharType="end"/>
      </w:r>
      <w:r>
        <w:t xml:space="preserve"> </w:t>
      </w:r>
      <w:r w:rsidRPr="002E3EEF">
        <w:rPr>
          <w:rFonts w:cstheme="minorHAnsi"/>
          <w:szCs w:val="22"/>
        </w:rPr>
        <w:t xml:space="preserve">in the </w:t>
      </w:r>
      <w:r>
        <w:rPr>
          <w:rFonts w:cstheme="minorHAnsi"/>
          <w:szCs w:val="22"/>
        </w:rPr>
        <w:t>MER</w:t>
      </w:r>
      <w:r w:rsidRPr="002E3EEF">
        <w:rPr>
          <w:rFonts w:cstheme="minorHAnsi"/>
          <w:szCs w:val="22"/>
        </w:rPr>
        <w:t xml:space="preserve"> Plan</w:t>
      </w:r>
      <w:r>
        <w:rPr>
          <w:rFonts w:cstheme="minorHAnsi"/>
          <w:szCs w:val="22"/>
        </w:rPr>
        <w:t xml:space="preserve"> for quality assurance and control measures</w:t>
      </w:r>
      <w:r w:rsidRPr="00992869">
        <w:t xml:space="preserve">. </w:t>
      </w:r>
    </w:p>
    <w:p w14:paraId="1CC9FBD2" w14:textId="77777777" w:rsidR="00992869" w:rsidRPr="00992869" w:rsidRDefault="00992869" w:rsidP="00992869">
      <w:pPr>
        <w:pStyle w:val="Heading2"/>
      </w:pPr>
      <w:bookmarkStart w:id="2244" w:name="_Toc10206816"/>
      <w:bookmarkStart w:id="2245" w:name="_Toc10213402"/>
      <w:bookmarkStart w:id="2246" w:name="_Toc10732426"/>
      <w:bookmarkStart w:id="2247" w:name="_Toc10796985"/>
      <w:bookmarkStart w:id="2248" w:name="_Toc12022869"/>
      <w:bookmarkStart w:id="2249" w:name="_Toc12630699"/>
      <w:bookmarkStart w:id="2250" w:name="_Toc16154559"/>
      <w:bookmarkStart w:id="2251" w:name="_Toc22196921"/>
      <w:r w:rsidRPr="00992869">
        <w:t>Health, safety and environment plan</w:t>
      </w:r>
      <w:bookmarkEnd w:id="2234"/>
      <w:bookmarkEnd w:id="2235"/>
      <w:bookmarkEnd w:id="2244"/>
      <w:bookmarkEnd w:id="2245"/>
      <w:bookmarkEnd w:id="2246"/>
      <w:bookmarkEnd w:id="2247"/>
      <w:bookmarkEnd w:id="2248"/>
      <w:bookmarkEnd w:id="2249"/>
      <w:bookmarkEnd w:id="2250"/>
      <w:bookmarkEnd w:id="2251"/>
    </w:p>
    <w:p w14:paraId="0BCE6D6D" w14:textId="7E9AD259" w:rsidR="00992869" w:rsidRDefault="000E285D" w:rsidP="00992869">
      <w:pPr>
        <w:rPr>
          <w:lang w:val="en-US"/>
        </w:rPr>
      </w:pPr>
      <w:r>
        <w:t>See Appendix A</w:t>
      </w:r>
      <w:r w:rsidR="00992869" w:rsidRPr="00992869">
        <w:t>.</w:t>
      </w:r>
    </w:p>
    <w:p w14:paraId="15E2B91E" w14:textId="77777777" w:rsidR="00336C52" w:rsidRPr="004B7CC1" w:rsidRDefault="00336C52" w:rsidP="00336C52">
      <w:pPr>
        <w:pStyle w:val="Heading2"/>
      </w:pPr>
      <w:bookmarkStart w:id="2252" w:name="_Toc10095333"/>
      <w:bookmarkStart w:id="2253" w:name="_Toc10192502"/>
      <w:bookmarkStart w:id="2254" w:name="_Toc10206817"/>
      <w:bookmarkStart w:id="2255" w:name="_Toc10213403"/>
      <w:bookmarkStart w:id="2256" w:name="_Toc10732427"/>
      <w:bookmarkStart w:id="2257" w:name="_Toc10796986"/>
      <w:bookmarkStart w:id="2258" w:name="_Toc12022870"/>
      <w:bookmarkStart w:id="2259" w:name="_Toc12630700"/>
      <w:bookmarkStart w:id="2260" w:name="_Toc16154560"/>
      <w:bookmarkStart w:id="2261" w:name="_Toc22196922"/>
      <w:r w:rsidRPr="004B7CC1">
        <w:t>References</w:t>
      </w:r>
      <w:bookmarkEnd w:id="2231"/>
      <w:bookmarkEnd w:id="2232"/>
      <w:bookmarkEnd w:id="2233"/>
      <w:bookmarkEnd w:id="2252"/>
      <w:bookmarkEnd w:id="2253"/>
      <w:bookmarkEnd w:id="2254"/>
      <w:bookmarkEnd w:id="2255"/>
      <w:bookmarkEnd w:id="2256"/>
      <w:bookmarkEnd w:id="2257"/>
      <w:bookmarkEnd w:id="2258"/>
      <w:bookmarkEnd w:id="2259"/>
      <w:bookmarkEnd w:id="2260"/>
      <w:bookmarkEnd w:id="2261"/>
    </w:p>
    <w:p w14:paraId="5F2A45A9" w14:textId="77777777" w:rsidR="00AC0C84" w:rsidRPr="00CB1CBE" w:rsidRDefault="00AC0C84" w:rsidP="00AC0C84">
      <w:pPr>
        <w:rPr>
          <w:color w:val="auto"/>
        </w:rPr>
      </w:pPr>
      <w:r w:rsidRPr="00CB1CBE">
        <w:rPr>
          <w:color w:val="auto"/>
        </w:rPr>
        <w:t>Brooks, S. and Wealands, S. (2018)</w:t>
      </w:r>
      <w:r>
        <w:rPr>
          <w:color w:val="auto"/>
        </w:rPr>
        <w:t>.</w:t>
      </w:r>
      <w:r w:rsidRPr="00CB1CBE">
        <w:rPr>
          <w:color w:val="auto"/>
        </w:rPr>
        <w:t xml:space="preserve"> Commonwealth Environmental Water Office Long Term Intervention Monitoring Project: Data Standard. Report prepared for the Commonwealth Environmental Water Office by La Trobe University, Publication 29.3/2013 Revised November 2018</w:t>
      </w:r>
      <w:r>
        <w:rPr>
          <w:color w:val="auto"/>
        </w:rPr>
        <w:t>.</w:t>
      </w:r>
    </w:p>
    <w:p w14:paraId="0B5163F7" w14:textId="77777777" w:rsidR="007D62DA" w:rsidRDefault="007D62DA" w:rsidP="007D62DA">
      <w:pPr>
        <w:rPr>
          <w:color w:val="auto"/>
        </w:rPr>
      </w:pPr>
      <w:r w:rsidRPr="00827879">
        <w:rPr>
          <w:color w:val="auto"/>
        </w:rPr>
        <w:t>Ye, Q., Giatas, G., Aldridge, K., Busch, B., Gibbs, M., Hipsey, M., Lorenz, Z., Maas, R., Oliver, R., Shiel, R., Woodhead, J. and Zampatti, B. (2019). Commonwealth Environmental Water Office Long-Term Intervention Monitoring Project: Lower Murr</w:t>
      </w:r>
      <w:r>
        <w:rPr>
          <w:color w:val="auto"/>
        </w:rPr>
        <w:t>ay River Selected Area 2017-18 technical r</w:t>
      </w:r>
      <w:r w:rsidRPr="00827879">
        <w:rPr>
          <w:color w:val="auto"/>
        </w:rPr>
        <w:t>eport. A report prepared for the Commonwealth Environmental Water Office. South Australian Research and Development Institute, Aquatic Sciences.</w:t>
      </w:r>
    </w:p>
    <w:p w14:paraId="1CA21FE5" w14:textId="77777777" w:rsidR="00E863E9" w:rsidRDefault="00E863E9">
      <w:pPr>
        <w:spacing w:after="200" w:line="276" w:lineRule="auto"/>
        <w:jc w:val="left"/>
      </w:pPr>
      <w:r>
        <w:br w:type="page"/>
      </w:r>
    </w:p>
    <w:p w14:paraId="439001D4" w14:textId="498BF018" w:rsidR="00E863E9" w:rsidRDefault="00BE7156" w:rsidP="00E863E9">
      <w:pPr>
        <w:pStyle w:val="Heading1"/>
      </w:pPr>
      <w:bookmarkStart w:id="2262" w:name="_Toc10095334"/>
      <w:bookmarkStart w:id="2263" w:name="_Ref10128148"/>
      <w:bookmarkStart w:id="2264" w:name="_Toc10192503"/>
      <w:bookmarkStart w:id="2265" w:name="_Toc10206818"/>
      <w:bookmarkStart w:id="2266" w:name="_Toc10213404"/>
      <w:bookmarkStart w:id="2267" w:name="_Toc10732428"/>
      <w:bookmarkStart w:id="2268" w:name="_Toc10796987"/>
      <w:bookmarkStart w:id="2269" w:name="_Toc12022871"/>
      <w:bookmarkStart w:id="2270" w:name="_Toc12630701"/>
      <w:bookmarkStart w:id="2271" w:name="_Toc16154561"/>
      <w:bookmarkStart w:id="2272" w:name="_Toc22196923"/>
      <w:r>
        <w:lastRenderedPageBreak/>
        <w:t>Murray Cod R</w:t>
      </w:r>
      <w:r w:rsidR="00E863E9">
        <w:t>ecruitment</w:t>
      </w:r>
      <w:bookmarkEnd w:id="2262"/>
      <w:bookmarkEnd w:id="2263"/>
      <w:bookmarkEnd w:id="2264"/>
      <w:bookmarkEnd w:id="2265"/>
      <w:bookmarkEnd w:id="2266"/>
      <w:bookmarkEnd w:id="2267"/>
      <w:bookmarkEnd w:id="2268"/>
      <w:bookmarkEnd w:id="2269"/>
      <w:bookmarkEnd w:id="2270"/>
      <w:bookmarkEnd w:id="2271"/>
      <w:bookmarkEnd w:id="2272"/>
    </w:p>
    <w:p w14:paraId="73168BE0" w14:textId="77777777" w:rsidR="00CF0989" w:rsidRPr="00525AE9" w:rsidRDefault="00CF0989" w:rsidP="00CF0989">
      <w:pPr>
        <w:pStyle w:val="Heading2"/>
      </w:pPr>
      <w:bookmarkStart w:id="2273" w:name="_Toc10095335"/>
      <w:bookmarkStart w:id="2274" w:name="_Toc10192504"/>
      <w:bookmarkStart w:id="2275" w:name="_Toc10206819"/>
      <w:bookmarkStart w:id="2276" w:name="_Toc10213405"/>
      <w:bookmarkStart w:id="2277" w:name="_Toc10732429"/>
      <w:bookmarkStart w:id="2278" w:name="_Toc10796988"/>
      <w:bookmarkStart w:id="2279" w:name="_Toc12022872"/>
      <w:bookmarkStart w:id="2280" w:name="_Toc12630702"/>
      <w:bookmarkStart w:id="2281" w:name="_Toc16154562"/>
      <w:bookmarkStart w:id="2282" w:name="_Toc22196924"/>
      <w:r w:rsidRPr="00525AE9">
        <w:t>Evaluation questions</w:t>
      </w:r>
      <w:bookmarkEnd w:id="2273"/>
      <w:bookmarkEnd w:id="2274"/>
      <w:bookmarkEnd w:id="2275"/>
      <w:bookmarkEnd w:id="2276"/>
      <w:bookmarkEnd w:id="2277"/>
      <w:bookmarkEnd w:id="2278"/>
      <w:bookmarkEnd w:id="2279"/>
      <w:bookmarkEnd w:id="2280"/>
      <w:bookmarkEnd w:id="2281"/>
      <w:bookmarkEnd w:id="2282"/>
    </w:p>
    <w:p w14:paraId="4301130D" w14:textId="05878B4F" w:rsidR="00CF0989" w:rsidRPr="00557D7E" w:rsidRDefault="00CF0989" w:rsidP="00CF0989">
      <w:r w:rsidRPr="00557D7E">
        <w:t xml:space="preserve">This monitoring protocol addresses the following </w:t>
      </w:r>
      <w:r>
        <w:t>Selected Area</w:t>
      </w:r>
      <w:r w:rsidRPr="00557D7E">
        <w:t xml:space="preserve"> scale evaluation questions</w:t>
      </w:r>
      <w:r w:rsidR="00166DC6">
        <w:t xml:space="preserve"> for</w:t>
      </w:r>
      <w:r w:rsidRPr="00557D7E">
        <w:t>:</w:t>
      </w:r>
    </w:p>
    <w:p w14:paraId="1B44AB2C" w14:textId="6F9A0B5D" w:rsidR="00CF0989" w:rsidRPr="00C2634B" w:rsidRDefault="001F661A" w:rsidP="00CF0989">
      <w:pPr>
        <w:rPr>
          <w:b/>
        </w:rPr>
      </w:pPr>
      <w:r>
        <w:rPr>
          <w:b/>
        </w:rPr>
        <w:t xml:space="preserve">Short-term </w:t>
      </w:r>
      <w:r w:rsidR="00166DC6">
        <w:rPr>
          <w:b/>
        </w:rPr>
        <w:t>responses</w:t>
      </w:r>
      <w:r w:rsidR="00CF0989" w:rsidRPr="00C2634B">
        <w:rPr>
          <w:b/>
        </w:rPr>
        <w:t>:</w:t>
      </w:r>
    </w:p>
    <w:p w14:paraId="6AEBA02D" w14:textId="77777777" w:rsidR="00BA28FA" w:rsidRPr="002C361A" w:rsidRDefault="00BA28FA" w:rsidP="00CB75AF">
      <w:pPr>
        <w:pStyle w:val="ListParagraph"/>
        <w:numPr>
          <w:ilvl w:val="0"/>
          <w:numId w:val="60"/>
        </w:numPr>
        <w:spacing w:line="259" w:lineRule="auto"/>
        <w:jc w:val="left"/>
        <w:rPr>
          <w:rFonts w:eastAsia="Calibri" w:cs="Arial"/>
        </w:rPr>
      </w:pPr>
      <w:r w:rsidRPr="002C361A">
        <w:rPr>
          <w:rFonts w:eastAsia="Calibri" w:cs="Arial"/>
        </w:rPr>
        <w:t xml:space="preserve">What did Commonwealth environmental water contribute to the growth and </w:t>
      </w:r>
      <w:r>
        <w:rPr>
          <w:rFonts w:eastAsia="Calibri" w:cs="Arial"/>
        </w:rPr>
        <w:t xml:space="preserve">morphometric </w:t>
      </w:r>
      <w:r w:rsidRPr="002C361A">
        <w:rPr>
          <w:rFonts w:eastAsia="Calibri" w:cs="Arial"/>
        </w:rPr>
        <w:t>condition of Murray cod?</w:t>
      </w:r>
    </w:p>
    <w:p w14:paraId="34677B78" w14:textId="77777777" w:rsidR="00CF0989" w:rsidRPr="002C361A" w:rsidRDefault="00CF0989" w:rsidP="00CB75AF">
      <w:pPr>
        <w:pStyle w:val="ListParagraph"/>
        <w:numPr>
          <w:ilvl w:val="0"/>
          <w:numId w:val="60"/>
        </w:numPr>
        <w:spacing w:line="259" w:lineRule="auto"/>
        <w:jc w:val="left"/>
        <w:rPr>
          <w:rFonts w:eastAsia="Calibri" w:cs="Arial"/>
        </w:rPr>
      </w:pPr>
      <w:r w:rsidRPr="002C361A">
        <w:rPr>
          <w:rFonts w:eastAsia="Calibri" w:cs="Arial"/>
        </w:rPr>
        <w:t>What did Commonwealth environmental water contribute to recruitment of Murray cod?</w:t>
      </w:r>
    </w:p>
    <w:p w14:paraId="591A26B4" w14:textId="00A452ED" w:rsidR="00CF0989" w:rsidRPr="00C2634B" w:rsidRDefault="00CF0989" w:rsidP="00CF0989">
      <w:pPr>
        <w:rPr>
          <w:b/>
        </w:rPr>
      </w:pPr>
      <w:r>
        <w:rPr>
          <w:b/>
        </w:rPr>
        <w:t xml:space="preserve">Long-term </w:t>
      </w:r>
      <w:r w:rsidR="00166DC6">
        <w:rPr>
          <w:b/>
        </w:rPr>
        <w:t>outcomes</w:t>
      </w:r>
      <w:r w:rsidRPr="00C2634B">
        <w:rPr>
          <w:b/>
        </w:rPr>
        <w:t>:</w:t>
      </w:r>
    </w:p>
    <w:p w14:paraId="5B4B9DEF" w14:textId="77777777" w:rsidR="00CF0989" w:rsidRPr="002C361A" w:rsidRDefault="00CF0989" w:rsidP="00CB75AF">
      <w:pPr>
        <w:pStyle w:val="ListParagraph"/>
        <w:numPr>
          <w:ilvl w:val="0"/>
          <w:numId w:val="61"/>
        </w:numPr>
        <w:spacing w:line="259" w:lineRule="auto"/>
        <w:jc w:val="left"/>
        <w:rPr>
          <w:rFonts w:eastAsia="Calibri" w:cs="Arial"/>
        </w:rPr>
      </w:pPr>
      <w:r w:rsidRPr="002C361A">
        <w:rPr>
          <w:rFonts w:eastAsia="Calibri" w:cs="Arial"/>
        </w:rPr>
        <w:t>What did Commonwealth environmental water contribute to the resilience of Murray cod populations?</w:t>
      </w:r>
    </w:p>
    <w:p w14:paraId="7EF6B742" w14:textId="1D1918C1" w:rsidR="00CF0989" w:rsidRDefault="00CF0989" w:rsidP="00CF0989">
      <w:pPr>
        <w:spacing w:before="120"/>
      </w:pPr>
      <w:r w:rsidRPr="00557D7E">
        <w:t>The process for evaluating these questions is illustrated below in</w:t>
      </w:r>
      <w:r w:rsidR="008D4608">
        <w:t xml:space="preserve"> Figure B.13</w:t>
      </w:r>
      <w:r w:rsidRPr="00557D7E">
        <w:t>.</w:t>
      </w:r>
    </w:p>
    <w:p w14:paraId="59E14C39" w14:textId="321810E2" w:rsidR="00CF0989" w:rsidRPr="00557D7E" w:rsidRDefault="006F4995" w:rsidP="00CF0989">
      <w:pPr>
        <w:spacing w:before="120"/>
      </w:pPr>
      <w:r>
        <w:rPr>
          <w:noProof/>
          <w:lang w:eastAsia="en-AU"/>
        </w:rPr>
        <mc:AlternateContent>
          <mc:Choice Requires="wps">
            <w:drawing>
              <wp:anchor distT="0" distB="0" distL="114300" distR="114300" simplePos="0" relativeHeight="251751424" behindDoc="0" locked="0" layoutInCell="1" allowOverlap="1" wp14:anchorId="604C7B20" wp14:editId="532726B3">
                <wp:simplePos x="0" y="0"/>
                <wp:positionH relativeFrom="column">
                  <wp:posOffset>-74428</wp:posOffset>
                </wp:positionH>
                <wp:positionV relativeFrom="paragraph">
                  <wp:posOffset>188462</wp:posOffset>
                </wp:positionV>
                <wp:extent cx="6251944" cy="4550735"/>
                <wp:effectExtent l="0" t="0" r="15875" b="21590"/>
                <wp:wrapNone/>
                <wp:docPr id="34" name="Rectangle 34"/>
                <wp:cNvGraphicFramePr/>
                <a:graphic xmlns:a="http://schemas.openxmlformats.org/drawingml/2006/main">
                  <a:graphicData uri="http://schemas.microsoft.com/office/word/2010/wordprocessingShape">
                    <wps:wsp>
                      <wps:cNvSpPr/>
                      <wps:spPr>
                        <a:xfrm>
                          <a:off x="0" y="0"/>
                          <a:ext cx="6251944" cy="45507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371DA3F3" id="Rectangle 34" o:spid="_x0000_s1026" style="position:absolute;margin-left:-5.85pt;margin-top:14.85pt;width:492.3pt;height:358.3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" filled="f" strokecolor="black [3213]" strokeweight="1pt"/>
            </w:pict>
          </mc:Fallback>
        </mc:AlternateContent>
      </w:r>
    </w:p>
    <w:p w14:paraId="3335FA41" w14:textId="77777777" w:rsidR="00CF0989" w:rsidRDefault="00CF0989" w:rsidP="00CF0989">
      <w:pPr>
        <w:keepNext/>
      </w:pPr>
      <w:r>
        <w:rPr>
          <w:noProof/>
          <w:lang w:eastAsia="en-AU"/>
        </w:rPr>
        <mc:AlternateContent>
          <mc:Choice Requires="wps">
            <w:drawing>
              <wp:anchor distT="0" distB="0" distL="114300" distR="114300" simplePos="0" relativeHeight="251744256" behindDoc="0" locked="0" layoutInCell="1" allowOverlap="1" wp14:anchorId="24B3FCE6" wp14:editId="27F9C2DF">
                <wp:simplePos x="0" y="0"/>
                <wp:positionH relativeFrom="column">
                  <wp:posOffset>2732629</wp:posOffset>
                </wp:positionH>
                <wp:positionV relativeFrom="paragraph">
                  <wp:posOffset>599072</wp:posOffset>
                </wp:positionV>
                <wp:extent cx="486270" cy="291554"/>
                <wp:effectExtent l="0" t="38100" r="47625" b="32385"/>
                <wp:wrapNone/>
                <wp:docPr id="11"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6270" cy="291554"/>
                        </a:xfrm>
                        <a:prstGeom prst="straightConnector1">
                          <a:avLst/>
                        </a:prstGeom>
                        <a:noFill/>
                        <a:ln w="9525">
                          <a:solidFill>
                            <a:schemeClr val="tx1">
                              <a:lumMod val="100000"/>
                              <a:lumOff val="0"/>
                            </a:schemeClr>
                          </a:solidFill>
                          <a:round/>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0D8682" id="Straight Arrow Connector 18" o:spid="_x0000_s1026" type="#_x0000_t32" style="position:absolute;margin-left:215.15pt;margin-top:47.15pt;width:38.3pt;height:22.95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" strokecolor="black [3213]">
                <v:stroke endarrow="open"/>
              </v:shape>
            </w:pict>
          </mc:Fallback>
        </mc:AlternateContent>
      </w:r>
      <w:r>
        <w:rPr>
          <w:noProof/>
          <w:lang w:eastAsia="en-AU"/>
        </w:rPr>
        <mc:AlternateContent>
          <mc:Choice Requires="wps">
            <w:drawing>
              <wp:anchor distT="0" distB="0" distL="114300" distR="114300" simplePos="0" relativeHeight="251743232" behindDoc="0" locked="0" layoutInCell="1" allowOverlap="1" wp14:anchorId="33B5AB25" wp14:editId="5B7384E1">
                <wp:simplePos x="0" y="0"/>
                <wp:positionH relativeFrom="column">
                  <wp:posOffset>3303467</wp:posOffset>
                </wp:positionH>
                <wp:positionV relativeFrom="paragraph">
                  <wp:posOffset>1080905</wp:posOffset>
                </wp:positionV>
                <wp:extent cx="951399" cy="45719"/>
                <wp:effectExtent l="0" t="38100" r="39370" b="107315"/>
                <wp:wrapNone/>
                <wp:docPr id="1467"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1399" cy="45719"/>
                        </a:xfrm>
                        <a:prstGeom prst="straightConnector1">
                          <a:avLst/>
                        </a:prstGeom>
                        <a:noFill/>
                        <a:ln w="9525">
                          <a:solidFill>
                            <a:schemeClr val="tx1">
                              <a:lumMod val="100000"/>
                              <a:lumOff val="0"/>
                            </a:schemeClr>
                          </a:solidFill>
                          <a:round/>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51186B" id="Straight Arrow Connector 18" o:spid="_x0000_s1026" type="#_x0000_t32" style="position:absolute;margin-left:260.1pt;margin-top:85.1pt;width:74.9pt;height: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" strokecolor="black [3213]">
                <v:stroke endarrow="open"/>
              </v:shape>
            </w:pict>
          </mc:Fallback>
        </mc:AlternateContent>
      </w:r>
      <w:r>
        <w:rPr>
          <w:noProof/>
          <w:lang w:eastAsia="en-AU"/>
        </w:rPr>
        <mc:AlternateContent>
          <mc:Choice Requires="wps">
            <w:drawing>
              <wp:anchor distT="0" distB="0" distL="114300" distR="114300" simplePos="0" relativeHeight="251742208" behindDoc="0" locked="0" layoutInCell="1" allowOverlap="1" wp14:anchorId="79BD8ECA" wp14:editId="781BE087">
                <wp:simplePos x="0" y="0"/>
                <wp:positionH relativeFrom="margin">
                  <wp:posOffset>1694018</wp:posOffset>
                </wp:positionH>
                <wp:positionV relativeFrom="paragraph">
                  <wp:posOffset>2861930</wp:posOffset>
                </wp:positionV>
                <wp:extent cx="1655335" cy="559310"/>
                <wp:effectExtent l="0" t="4445" r="36195" b="17145"/>
                <wp:wrapNone/>
                <wp:docPr id="1468" name="Elb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655335" cy="559310"/>
                        </a:xfrm>
                        <a:prstGeom prst="bentConnector3">
                          <a:avLst>
                            <a:gd name="adj1" fmla="val 44875"/>
                          </a:avLst>
                        </a:prstGeom>
                        <a:noFill/>
                        <a:ln w="9525">
                          <a:solidFill>
                            <a:schemeClr val="tx1">
                              <a:lumMod val="100000"/>
                              <a:lumOff val="0"/>
                            </a:schemeClr>
                          </a:solidFill>
                          <a:miter lim="800000"/>
                          <a:headEnd/>
                          <a:tailEnd type="none"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945D7E7" id="Elbow Connector 24" o:spid="_x0000_s1026" type="#_x0000_t34" style="position:absolute;margin-left:133.4pt;margin-top:225.35pt;width:130.35pt;height:44.05pt;rotation:90;flip:y;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" adj="9693" strokecolor="black [3213]">
                <w10:wrap anchorx="margin"/>
              </v:shape>
            </w:pict>
          </mc:Fallback>
        </mc:AlternateContent>
      </w:r>
      <w:r>
        <w:rPr>
          <w:noProof/>
          <w:lang w:eastAsia="en-AU"/>
        </w:rPr>
        <mc:AlternateContent>
          <mc:Choice Requires="wps">
            <w:drawing>
              <wp:anchor distT="0" distB="0" distL="114300" distR="114300" simplePos="0" relativeHeight="251741184" behindDoc="0" locked="0" layoutInCell="1" allowOverlap="1" wp14:anchorId="608192B4" wp14:editId="65E5E060">
                <wp:simplePos x="0" y="0"/>
                <wp:positionH relativeFrom="column">
                  <wp:posOffset>1156826</wp:posOffset>
                </wp:positionH>
                <wp:positionV relativeFrom="paragraph">
                  <wp:posOffset>2870569</wp:posOffset>
                </wp:positionV>
                <wp:extent cx="1489711" cy="689360"/>
                <wp:effectExtent l="317" t="0" r="34608" b="15557"/>
                <wp:wrapNone/>
                <wp:docPr id="1469" name="Elb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489711" cy="689360"/>
                        </a:xfrm>
                        <a:prstGeom prst="bentConnector3">
                          <a:avLst>
                            <a:gd name="adj1" fmla="val 50000"/>
                          </a:avLst>
                        </a:prstGeom>
                        <a:noFill/>
                        <a:ln w="9525">
                          <a:solidFill>
                            <a:schemeClr val="tx1">
                              <a:lumMod val="100000"/>
                              <a:lumOff val="0"/>
                            </a:schemeClr>
                          </a:solidFill>
                          <a:miter lim="800000"/>
                          <a:headEnd/>
                          <a:tailEnd type="none"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1E6612" id="Elbow Connector 25" o:spid="_x0000_s1026" type="#_x0000_t34" style="position:absolute;margin-left:91.1pt;margin-top:226.05pt;width:117.3pt;height:54.3pt;rotation:90;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" strokecolor="black [3213]"/>
            </w:pict>
          </mc:Fallback>
        </mc:AlternateContent>
      </w:r>
      <w:r>
        <w:rPr>
          <w:noProof/>
          <w:lang w:eastAsia="en-AU"/>
        </w:rPr>
        <mc:AlternateContent>
          <mc:Choice Requires="wps">
            <w:drawing>
              <wp:anchor distT="0" distB="0" distL="114300" distR="114300" simplePos="0" relativeHeight="251737088" behindDoc="0" locked="0" layoutInCell="1" allowOverlap="1" wp14:anchorId="3EDDACAD" wp14:editId="59362E9B">
                <wp:simplePos x="0" y="0"/>
                <wp:positionH relativeFrom="column">
                  <wp:posOffset>1114605</wp:posOffset>
                </wp:positionH>
                <wp:positionV relativeFrom="paragraph">
                  <wp:posOffset>3961783</wp:posOffset>
                </wp:positionV>
                <wp:extent cx="828088" cy="288308"/>
                <wp:effectExtent l="0" t="0" r="0" b="0"/>
                <wp:wrapNone/>
                <wp:docPr id="1470"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88" cy="288308"/>
                        </a:xfrm>
                        <a:prstGeom prst="rect">
                          <a:avLst/>
                        </a:prstGeom>
                        <a:solidFill>
                          <a:schemeClr val="tx2">
                            <a:lumMod val="40000"/>
                            <a:lumOff val="60000"/>
                          </a:schemeClr>
                        </a:solidFill>
                        <a:ln w="9525">
                          <a:solidFill>
                            <a:schemeClr val="tx1">
                              <a:lumMod val="100000"/>
                              <a:lumOff val="0"/>
                            </a:schemeClr>
                          </a:solidFill>
                          <a:miter lim="800000"/>
                          <a:headEnd/>
                          <a:tailEnd/>
                        </a:ln>
                      </wps:spPr>
                      <wps:txbx>
                        <w:txbxContent>
                          <w:p w14:paraId="4449A976" w14:textId="77777777" w:rsidR="00A8252A" w:rsidRPr="003A56DE" w:rsidRDefault="00A8252A" w:rsidP="00CF0989">
                            <w:pPr>
                              <w:pStyle w:val="NormalWeb"/>
                              <w:spacing w:before="0" w:beforeAutospacing="0" w:after="0" w:afterAutospacing="0"/>
                              <w:jc w:val="center"/>
                              <w:rPr>
                                <w:sz w:val="22"/>
                              </w:rPr>
                            </w:pPr>
                            <w:r>
                              <w:rPr>
                                <w:rFonts w:asciiTheme="minorHAnsi" w:hAnsi="Calibri" w:cstheme="minorBidi"/>
                                <w:color w:val="000000" w:themeColor="text1"/>
                                <w:kern w:val="24"/>
                                <w:sz w:val="20"/>
                              </w:rPr>
                              <w:t>Light traps</w:t>
                            </w:r>
                          </w:p>
                        </w:txbxContent>
                      </wps:txbx>
                      <wps:bodyPr rot="0" vert="horz" wrap="square" lIns="91440" tIns="45720" rIns="91440" bIns="45720" anchor="t" anchorCtr="0" upright="1">
                        <a:noAutofit/>
                      </wps:bodyPr>
                    </wps:wsp>
                  </a:graphicData>
                </a:graphic>
              </wp:anchor>
            </w:drawing>
          </mc:Choice>
          <mc:Fallback>
            <w:pict>
              <v:shape w14:anchorId="3EDDACAD" id="_x0000_s1099" type="#_x0000_t202" style="position:absolute;left:0;text-align:left;margin-left:87.75pt;margin-top:311.95pt;width:65.2pt;height:22.7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" fillcolor="#8db3e2 [1311]" strokecolor="black [3213]">
                <v:textbox>
                  <w:txbxContent>
                    <w:p w14:paraId="4449A976" w14:textId="77777777" w:rsidR="00A8252A" w:rsidRPr="003A56DE" w:rsidRDefault="00A8252A" w:rsidP="00CF0989">
                      <w:pPr>
                        <w:pStyle w:val="NormalWeb"/>
                        <w:spacing w:before="0" w:beforeAutospacing="0" w:after="0" w:afterAutospacing="0"/>
                        <w:jc w:val="center"/>
                        <w:rPr>
                          <w:sz w:val="22"/>
                        </w:rPr>
                      </w:pPr>
                      <w:r>
                        <w:rPr>
                          <w:rFonts w:asciiTheme="minorHAnsi" w:hAnsi="Calibri" w:cstheme="minorBidi"/>
                          <w:color w:val="000000" w:themeColor="text1"/>
                          <w:kern w:val="24"/>
                          <w:sz w:val="20"/>
                        </w:rPr>
                        <w:t>Light traps</w:t>
                      </w:r>
                    </w:p>
                  </w:txbxContent>
                </v:textbox>
              </v:shape>
            </w:pict>
          </mc:Fallback>
        </mc:AlternateContent>
      </w:r>
      <w:r>
        <w:rPr>
          <w:noProof/>
          <w:lang w:eastAsia="en-AU"/>
        </w:rPr>
        <mc:AlternateContent>
          <mc:Choice Requires="wps">
            <w:drawing>
              <wp:anchor distT="0" distB="0" distL="114300" distR="114300" simplePos="0" relativeHeight="251739136" behindDoc="0" locked="0" layoutInCell="1" allowOverlap="1" wp14:anchorId="0EA6CE46" wp14:editId="3043FE5D">
                <wp:simplePos x="0" y="0"/>
                <wp:positionH relativeFrom="margin">
                  <wp:posOffset>1725868</wp:posOffset>
                </wp:positionH>
                <wp:positionV relativeFrom="paragraph">
                  <wp:posOffset>1748723</wp:posOffset>
                </wp:positionV>
                <wp:extent cx="987623" cy="565816"/>
                <wp:effectExtent l="0" t="0" r="22225" b="27940"/>
                <wp:wrapNone/>
                <wp:docPr id="1471"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623" cy="565816"/>
                        </a:xfrm>
                        <a:prstGeom prst="rect">
                          <a:avLst/>
                        </a:prstGeom>
                        <a:noFill/>
                        <a:ln w="9525">
                          <a:solidFill>
                            <a:schemeClr val="tx1">
                              <a:lumMod val="100000"/>
                              <a:lumOff val="0"/>
                            </a:schemeClr>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solidFill>
                                <a:srgbClr val="FFFFFF"/>
                              </a:solidFill>
                            </a14:hiddenFill>
                          </a:ext>
                        </a:extLst>
                      </wps:spPr>
                      <wps:txbx>
                        <w:txbxContent>
                          <w:p w14:paraId="146BC608" w14:textId="77777777" w:rsidR="00A8252A" w:rsidRDefault="00A8252A" w:rsidP="00CF0989">
                            <w:pPr>
                              <w:pStyle w:val="NormalWeb"/>
                              <w:spacing w:before="0" w:beforeAutospacing="0" w:after="0" w:afterAutospacing="0"/>
                              <w:jc w:val="center"/>
                              <w:rPr>
                                <w:rFonts w:asciiTheme="minorHAnsi" w:hAnsi="Calibri" w:cstheme="minorBidi"/>
                                <w:color w:val="000000" w:themeColor="text1"/>
                                <w:kern w:val="24"/>
                                <w:sz w:val="20"/>
                              </w:rPr>
                            </w:pPr>
                            <w:r>
                              <w:rPr>
                                <w:rFonts w:asciiTheme="minorHAnsi" w:hAnsi="Calibri" w:cstheme="minorBidi"/>
                                <w:color w:val="000000" w:themeColor="text1"/>
                                <w:kern w:val="24"/>
                                <w:sz w:val="20"/>
                              </w:rPr>
                              <w:t>Larval/juvenile</w:t>
                            </w:r>
                          </w:p>
                          <w:p w14:paraId="0598E146" w14:textId="77777777" w:rsidR="00A8252A" w:rsidRPr="003A56DE" w:rsidRDefault="00A8252A" w:rsidP="00CF0989">
                            <w:pPr>
                              <w:pStyle w:val="NormalWeb"/>
                              <w:spacing w:before="0" w:beforeAutospacing="0" w:after="0" w:afterAutospacing="0"/>
                              <w:jc w:val="center"/>
                              <w:rPr>
                                <w:sz w:val="20"/>
                              </w:rPr>
                            </w:pPr>
                            <w:r>
                              <w:rPr>
                                <w:rFonts w:asciiTheme="minorHAnsi" w:hAnsi="Calibri" w:cstheme="minorBidi"/>
                                <w:color w:val="000000" w:themeColor="text1"/>
                                <w:kern w:val="24"/>
                                <w:sz w:val="20"/>
                              </w:rPr>
                              <w:t>growth and condition</w:t>
                            </w:r>
                          </w:p>
                        </w:txbxContent>
                      </wps:txbx>
                      <wps:bodyPr rot="0" vert="horz" wrap="square" lIns="91440" tIns="45720" rIns="91440" bIns="45720" anchor="t" anchorCtr="0" upright="1">
                        <a:spAutoFit/>
                      </wps:bodyPr>
                    </wps:wsp>
                  </a:graphicData>
                </a:graphic>
              </wp:anchor>
            </w:drawing>
          </mc:Choice>
          <mc:Fallback>
            <w:pict>
              <v:shape w14:anchorId="0EA6CE46" id="TextBox 20" o:spid="_x0000_s1100" type="#_x0000_t202" style="position:absolute;left:0;text-align:left;margin-left:135.9pt;margin-top:137.7pt;width:77.75pt;height:44.55pt;z-index:2517391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" filled="f" strokecolor="black [3213]">
                <v:textbox style="mso-fit-shape-to-text:t">
                  <w:txbxContent>
                    <w:p w14:paraId="146BC608" w14:textId="77777777" w:rsidR="00A8252A" w:rsidRDefault="00A8252A" w:rsidP="00CF0989">
                      <w:pPr>
                        <w:pStyle w:val="NormalWeb"/>
                        <w:spacing w:before="0" w:beforeAutospacing="0" w:after="0" w:afterAutospacing="0"/>
                        <w:jc w:val="center"/>
                        <w:rPr>
                          <w:rFonts w:asciiTheme="minorHAnsi" w:hAnsi="Calibri" w:cstheme="minorBidi"/>
                          <w:color w:val="000000" w:themeColor="text1"/>
                          <w:kern w:val="24"/>
                          <w:sz w:val="20"/>
                        </w:rPr>
                      </w:pPr>
                      <w:r>
                        <w:rPr>
                          <w:rFonts w:asciiTheme="minorHAnsi" w:hAnsi="Calibri" w:cstheme="minorBidi"/>
                          <w:color w:val="000000" w:themeColor="text1"/>
                          <w:kern w:val="24"/>
                          <w:sz w:val="20"/>
                        </w:rPr>
                        <w:t>Larval/juvenile</w:t>
                      </w:r>
                    </w:p>
                    <w:p w14:paraId="0598E146" w14:textId="77777777" w:rsidR="00A8252A" w:rsidRPr="003A56DE" w:rsidRDefault="00A8252A" w:rsidP="00CF0989">
                      <w:pPr>
                        <w:pStyle w:val="NormalWeb"/>
                        <w:spacing w:before="0" w:beforeAutospacing="0" w:after="0" w:afterAutospacing="0"/>
                        <w:jc w:val="center"/>
                        <w:rPr>
                          <w:sz w:val="20"/>
                        </w:rPr>
                      </w:pPr>
                      <w:r>
                        <w:rPr>
                          <w:rFonts w:asciiTheme="minorHAnsi" w:hAnsi="Calibri" w:cstheme="minorBidi"/>
                          <w:color w:val="000000" w:themeColor="text1"/>
                          <w:kern w:val="24"/>
                          <w:sz w:val="20"/>
                        </w:rPr>
                        <w:t>growth and condition</w:t>
                      </w:r>
                    </w:p>
                  </w:txbxContent>
                </v:textbox>
                <w10:wrap anchorx="margin"/>
              </v:shape>
            </w:pict>
          </mc:Fallback>
        </mc:AlternateContent>
      </w:r>
      <w:r>
        <w:rPr>
          <w:noProof/>
          <w:lang w:eastAsia="en-AU"/>
        </w:rPr>
        <mc:AlternateContent>
          <mc:Choice Requires="wps">
            <w:drawing>
              <wp:anchor distT="0" distB="0" distL="114300" distR="114300" simplePos="0" relativeHeight="251740160" behindDoc="0" locked="0" layoutInCell="1" allowOverlap="1" wp14:anchorId="3B8212B2" wp14:editId="08141980">
                <wp:simplePos x="0" y="0"/>
                <wp:positionH relativeFrom="column">
                  <wp:posOffset>3997726</wp:posOffset>
                </wp:positionH>
                <wp:positionV relativeFrom="paragraph">
                  <wp:posOffset>2249987</wp:posOffset>
                </wp:positionV>
                <wp:extent cx="45719" cy="1703243"/>
                <wp:effectExtent l="76200" t="38100" r="69215" b="11430"/>
                <wp:wrapNone/>
                <wp:docPr id="1472"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1703243"/>
                        </a:xfrm>
                        <a:prstGeom prst="straightConnector1">
                          <a:avLst/>
                        </a:prstGeom>
                        <a:noFill/>
                        <a:ln w="9525">
                          <a:solidFill>
                            <a:schemeClr val="tx1">
                              <a:lumMod val="100000"/>
                              <a:lumOff val="0"/>
                            </a:schemeClr>
                          </a:solidFill>
                          <a:round/>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377C73" id="Straight Arrow Connector 16" o:spid="_x0000_s1026" type="#_x0000_t32" style="position:absolute;margin-left:314.8pt;margin-top:177.15pt;width:3.6pt;height:134.1pt;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" strokecolor="black [3213]">
                <v:stroke endarrow="open"/>
              </v:shape>
            </w:pict>
          </mc:Fallback>
        </mc:AlternateContent>
      </w:r>
      <w:r>
        <w:rPr>
          <w:noProof/>
          <w:lang w:eastAsia="en-AU"/>
        </w:rPr>
        <mc:AlternateContent>
          <mc:Choice Requires="wps">
            <w:drawing>
              <wp:anchor distT="0" distB="0" distL="114300" distR="114300" simplePos="0" relativeHeight="251738112" behindDoc="0" locked="0" layoutInCell="1" allowOverlap="1" wp14:anchorId="0622E705" wp14:editId="6B0E7ACA">
                <wp:simplePos x="0" y="0"/>
                <wp:positionH relativeFrom="column">
                  <wp:posOffset>3511113</wp:posOffset>
                </wp:positionH>
                <wp:positionV relativeFrom="paragraph">
                  <wp:posOffset>1798580</wp:posOffset>
                </wp:positionV>
                <wp:extent cx="987425" cy="410210"/>
                <wp:effectExtent l="0" t="0" r="0" b="0"/>
                <wp:wrapNone/>
                <wp:docPr id="1473"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410210"/>
                        </a:xfrm>
                        <a:prstGeom prst="rect">
                          <a:avLst/>
                        </a:prstGeom>
                        <a:noFill/>
                        <a:ln w="9525">
                          <a:solidFill>
                            <a:schemeClr val="tx1">
                              <a:lumMod val="100000"/>
                              <a:lumOff val="0"/>
                            </a:schemeClr>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solidFill>
                                <a:srgbClr val="FFFFFF"/>
                              </a:solidFill>
                            </a14:hiddenFill>
                          </a:ext>
                        </a:extLst>
                      </wps:spPr>
                      <wps:txbx>
                        <w:txbxContent>
                          <w:p w14:paraId="060CCD04" w14:textId="77777777" w:rsidR="00A8252A" w:rsidRPr="003A56DE" w:rsidRDefault="00A8252A" w:rsidP="00CF0989">
                            <w:pPr>
                              <w:pStyle w:val="NormalWeb"/>
                              <w:spacing w:before="0" w:beforeAutospacing="0" w:after="0" w:afterAutospacing="0"/>
                              <w:jc w:val="center"/>
                              <w:rPr>
                                <w:sz w:val="20"/>
                              </w:rPr>
                            </w:pPr>
                            <w:r>
                              <w:rPr>
                                <w:rFonts w:asciiTheme="minorHAnsi" w:hAnsi="Calibri" w:cstheme="minorBidi"/>
                                <w:color w:val="000000" w:themeColor="text1"/>
                                <w:kern w:val="24"/>
                                <w:sz w:val="20"/>
                              </w:rPr>
                              <w:t>YOY abundance</w:t>
                            </w:r>
                          </w:p>
                        </w:txbxContent>
                      </wps:txbx>
                      <wps:bodyPr rot="0" vert="horz" wrap="square" lIns="91440" tIns="45720" rIns="91440" bIns="45720" anchor="t" anchorCtr="0" upright="1">
                        <a:spAutoFit/>
                      </wps:bodyPr>
                    </wps:wsp>
                  </a:graphicData>
                </a:graphic>
              </wp:anchor>
            </w:drawing>
          </mc:Choice>
          <mc:Fallback>
            <w:pict>
              <v:shape w14:anchorId="0622E705" id="_x0000_s1101" type="#_x0000_t202" style="position:absolute;left:0;text-align:left;margin-left:276.45pt;margin-top:141.6pt;width:77.75pt;height:32.3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" filled="f" strokecolor="black [3213]">
                <v:textbox style="mso-fit-shape-to-text:t">
                  <w:txbxContent>
                    <w:p w14:paraId="060CCD04" w14:textId="77777777" w:rsidR="00A8252A" w:rsidRPr="003A56DE" w:rsidRDefault="00A8252A" w:rsidP="00CF0989">
                      <w:pPr>
                        <w:pStyle w:val="NormalWeb"/>
                        <w:spacing w:before="0" w:beforeAutospacing="0" w:after="0" w:afterAutospacing="0"/>
                        <w:jc w:val="center"/>
                        <w:rPr>
                          <w:sz w:val="20"/>
                        </w:rPr>
                      </w:pPr>
                      <w:r>
                        <w:rPr>
                          <w:rFonts w:asciiTheme="minorHAnsi" w:hAnsi="Calibri" w:cstheme="minorBidi"/>
                          <w:color w:val="000000" w:themeColor="text1"/>
                          <w:kern w:val="24"/>
                          <w:sz w:val="20"/>
                        </w:rPr>
                        <w:t>YOY abundance</w:t>
                      </w:r>
                    </w:p>
                  </w:txbxContent>
                </v:textbox>
              </v:shape>
            </w:pict>
          </mc:Fallback>
        </mc:AlternateContent>
      </w:r>
      <w:r>
        <w:rPr>
          <w:noProof/>
          <w:lang w:eastAsia="en-AU"/>
        </w:rPr>
        <mc:AlternateContent>
          <mc:Choice Requires="wpg">
            <w:drawing>
              <wp:inline distT="0" distB="0" distL="0" distR="0" wp14:anchorId="5D8EEE73" wp14:editId="4F5EA34B">
                <wp:extent cx="6094238" cy="4380910"/>
                <wp:effectExtent l="0" t="0" r="20955" b="19685"/>
                <wp:docPr id="147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238" cy="4380910"/>
                          <a:chOff x="10436" y="10156"/>
                          <a:chExt cx="68407" cy="44798"/>
                        </a:xfrm>
                      </wpg:grpSpPr>
                      <wps:wsp>
                        <wps:cNvPr id="1475" name="Straight Connector 4"/>
                        <wps:cNvCnPr>
                          <a:cxnSpLocks noChangeShapeType="1"/>
                        </wps:cNvCnPr>
                        <wps:spPr bwMode="auto">
                          <a:xfrm>
                            <a:off x="10436" y="17728"/>
                            <a:ext cx="68407" cy="0"/>
                          </a:xfrm>
                          <a:prstGeom prst="line">
                            <a:avLst/>
                          </a:prstGeom>
                          <a:noFill/>
                          <a:ln w="19050">
                            <a:solidFill>
                              <a:schemeClr val="tx1"/>
                            </a:solidFill>
                            <a:prstDash val="sysDash"/>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s:wsp>
                        <wps:cNvPr id="1476" name="Straight Connector 5"/>
                        <wps:cNvCnPr>
                          <a:cxnSpLocks noChangeShapeType="1"/>
                        </wps:cNvCnPr>
                        <wps:spPr bwMode="auto">
                          <a:xfrm>
                            <a:off x="10436" y="25649"/>
                            <a:ext cx="68407" cy="0"/>
                          </a:xfrm>
                          <a:prstGeom prst="line">
                            <a:avLst/>
                          </a:prstGeom>
                          <a:noFill/>
                          <a:ln w="19050">
                            <a:solidFill>
                              <a:schemeClr val="tx1"/>
                            </a:solidFill>
                            <a:prstDash val="sysDash"/>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s:wsp>
                        <wps:cNvPr id="1477" name="Straight Connector 6"/>
                        <wps:cNvCnPr>
                          <a:cxnSpLocks noChangeShapeType="1"/>
                        </wps:cNvCnPr>
                        <wps:spPr bwMode="auto">
                          <a:xfrm>
                            <a:off x="10436" y="35730"/>
                            <a:ext cx="68407" cy="0"/>
                          </a:xfrm>
                          <a:prstGeom prst="line">
                            <a:avLst/>
                          </a:prstGeom>
                          <a:noFill/>
                          <a:ln w="19050">
                            <a:solidFill>
                              <a:schemeClr val="tx1"/>
                            </a:solidFill>
                            <a:prstDash val="sysDash"/>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s:wsp>
                        <wps:cNvPr id="1478" name="TextBox 10"/>
                        <wps:cNvSpPr txBox="1">
                          <a:spLocks noChangeArrowheads="1"/>
                        </wps:cNvSpPr>
                        <wps:spPr bwMode="auto">
                          <a:xfrm>
                            <a:off x="10436" y="14036"/>
                            <a:ext cx="10864" cy="3600"/>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solidFill>
                                  <a:srgbClr val="FFFFFF"/>
                                </a:solidFill>
                              </a14:hiddenFill>
                            </a:ext>
                          </a:extLst>
                        </wps:spPr>
                        <wps:txbx>
                          <w:txbxContent>
                            <w:p w14:paraId="10DDD42D" w14:textId="77777777" w:rsidR="00A8252A" w:rsidRPr="002C0A72" w:rsidRDefault="00A8252A" w:rsidP="00CF0989">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Reporting</w:t>
                              </w:r>
                            </w:p>
                          </w:txbxContent>
                        </wps:txbx>
                        <wps:bodyPr rot="0" vert="horz" wrap="square" lIns="91440" tIns="45720" rIns="91440" bIns="45720" anchor="t" anchorCtr="0" upright="1">
                          <a:noAutofit/>
                        </wps:bodyPr>
                      </wps:wsp>
                      <wps:wsp>
                        <wps:cNvPr id="1479" name="TextBox 11"/>
                        <wps:cNvSpPr txBox="1">
                          <a:spLocks noChangeArrowheads="1"/>
                        </wps:cNvSpPr>
                        <wps:spPr bwMode="auto">
                          <a:xfrm>
                            <a:off x="10436" y="21954"/>
                            <a:ext cx="11224" cy="2993"/>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solidFill>
                                  <a:srgbClr val="FFFFFF"/>
                                </a:solidFill>
                              </a14:hiddenFill>
                            </a:ext>
                          </a:extLst>
                        </wps:spPr>
                        <wps:txbx>
                          <w:txbxContent>
                            <w:p w14:paraId="052A8063" w14:textId="77777777" w:rsidR="00A8252A" w:rsidRPr="002C0A72" w:rsidRDefault="00A8252A" w:rsidP="00CF0989">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Evaluation</w:t>
                              </w:r>
                            </w:p>
                          </w:txbxContent>
                        </wps:txbx>
                        <wps:bodyPr rot="0" vert="horz" wrap="square" lIns="91440" tIns="45720" rIns="91440" bIns="45720" anchor="t" anchorCtr="0" upright="1">
                          <a:noAutofit/>
                        </wps:bodyPr>
                      </wps:wsp>
                      <wps:wsp>
                        <wps:cNvPr id="1480" name="TextBox 12"/>
                        <wps:cNvSpPr txBox="1">
                          <a:spLocks noChangeArrowheads="1"/>
                        </wps:cNvSpPr>
                        <wps:spPr bwMode="auto">
                          <a:xfrm>
                            <a:off x="10436" y="32031"/>
                            <a:ext cx="9183" cy="2883"/>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solidFill>
                                  <a:srgbClr val="FFFFFF"/>
                                </a:solidFill>
                              </a14:hiddenFill>
                            </a:ext>
                          </a:extLst>
                        </wps:spPr>
                        <wps:txbx>
                          <w:txbxContent>
                            <w:p w14:paraId="78D76B48" w14:textId="77777777" w:rsidR="00A8252A" w:rsidRPr="002C0A72" w:rsidRDefault="00A8252A" w:rsidP="00CF0989">
                              <w:pPr>
                                <w:pStyle w:val="NormalWeb"/>
                                <w:spacing w:before="0" w:beforeAutospacing="0" w:after="0" w:afterAutospacing="0"/>
                                <w:rPr>
                                  <w:sz w:val="26"/>
                                  <w:szCs w:val="26"/>
                                </w:rPr>
                              </w:pPr>
                              <w:r w:rsidRPr="00C1640F">
                                <w:rPr>
                                  <w:rFonts w:asciiTheme="minorHAnsi" w:hAnsi="Calibri" w:cstheme="minorBidi"/>
                                  <w:color w:val="000000" w:themeColor="text1"/>
                                  <w:kern w:val="24"/>
                                  <w:sz w:val="26"/>
                                  <w:szCs w:val="26"/>
                                </w:rPr>
                                <w:t>Analysis</w:t>
                              </w:r>
                            </w:p>
                          </w:txbxContent>
                        </wps:txbx>
                        <wps:bodyPr rot="0" vert="horz" wrap="square" lIns="91440" tIns="45720" rIns="91440" bIns="45720" anchor="t" anchorCtr="0" upright="1">
                          <a:noAutofit/>
                        </wps:bodyPr>
                      </wps:wsp>
                      <wps:wsp>
                        <wps:cNvPr id="1481" name="TextBox 13"/>
                        <wps:cNvSpPr txBox="1">
                          <a:spLocks noChangeArrowheads="1"/>
                        </wps:cNvSpPr>
                        <wps:spPr bwMode="auto">
                          <a:xfrm>
                            <a:off x="10436" y="45093"/>
                            <a:ext cx="15120" cy="5058"/>
                          </a:xfrm>
                          <a:prstGeom prst="rect">
                            <a:avLst/>
                          </a:prstGeom>
                          <a:noFill/>
                          <a:ln w="9525">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solidFill>
                                  <a:srgbClr val="FFFFFF"/>
                                </a:solidFill>
                              </a14:hiddenFill>
                            </a:ext>
                          </a:extLst>
                        </wps:spPr>
                        <wps:txbx>
                          <w:txbxContent>
                            <w:p w14:paraId="389B3A3D" w14:textId="77777777" w:rsidR="00A8252A" w:rsidRPr="002C0A72" w:rsidRDefault="00A8252A" w:rsidP="00CF0989">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Field measurement</w:t>
                              </w:r>
                            </w:p>
                          </w:txbxContent>
                        </wps:txbx>
                        <wps:bodyPr rot="0" vert="horz" wrap="square" lIns="91440" tIns="45720" rIns="91440" bIns="45720" anchor="t" anchorCtr="0" upright="1">
                          <a:noAutofit/>
                        </wps:bodyPr>
                      </wps:wsp>
                      <wps:wsp>
                        <wps:cNvPr id="1482" name="TextBox 14"/>
                        <wps:cNvSpPr txBox="1">
                          <a:spLocks noChangeArrowheads="1"/>
                        </wps:cNvSpPr>
                        <wps:spPr bwMode="auto">
                          <a:xfrm>
                            <a:off x="22672" y="10156"/>
                            <a:ext cx="52819" cy="6128"/>
                          </a:xfrm>
                          <a:prstGeom prst="rect">
                            <a:avLst/>
                          </a:prstGeom>
                          <a:noFill/>
                          <a:ln w="9525">
                            <a:solidFill>
                              <a:schemeClr val="tx1"/>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solidFill>
                                  <a:srgbClr val="FFFFFF"/>
                                </a:solidFill>
                              </a14:hiddenFill>
                            </a:ext>
                          </a:extLst>
                        </wps:spPr>
                        <wps:txbx>
                          <w:txbxContent>
                            <w:p w14:paraId="64355230" w14:textId="77777777" w:rsidR="00A8252A" w:rsidRPr="002C361A" w:rsidRDefault="00A8252A" w:rsidP="00BA28FA">
                              <w:pPr>
                                <w:pStyle w:val="NormalWeb"/>
                                <w:contextualSpacing/>
                                <w:rPr>
                                  <w:rFonts w:asciiTheme="minorHAnsi" w:hAnsiTheme="minorHAnsi"/>
                                  <w:sz w:val="20"/>
                                </w:rPr>
                              </w:pPr>
                              <w:r w:rsidRPr="002C361A">
                                <w:rPr>
                                  <w:rFonts w:asciiTheme="minorHAnsi" w:hAnsiTheme="minorHAnsi"/>
                                  <w:sz w:val="20"/>
                                </w:rPr>
                                <w:t xml:space="preserve">What did CEW contribute to the growth and </w:t>
                              </w:r>
                              <w:r>
                                <w:rPr>
                                  <w:rFonts w:asciiTheme="minorHAnsi" w:hAnsiTheme="minorHAnsi"/>
                                  <w:sz w:val="20"/>
                                </w:rPr>
                                <w:t xml:space="preserve">morphometric </w:t>
                              </w:r>
                              <w:r w:rsidRPr="002C361A">
                                <w:rPr>
                                  <w:rFonts w:asciiTheme="minorHAnsi" w:hAnsiTheme="minorHAnsi"/>
                                  <w:sz w:val="20"/>
                                </w:rPr>
                                <w:t>condition of Murray cod?</w:t>
                              </w:r>
                            </w:p>
                            <w:p w14:paraId="0720254C" w14:textId="77777777" w:rsidR="00A8252A" w:rsidRPr="002C361A" w:rsidRDefault="00A8252A" w:rsidP="00CF0989">
                              <w:pPr>
                                <w:pStyle w:val="NormalWeb"/>
                                <w:contextualSpacing/>
                                <w:rPr>
                                  <w:rFonts w:asciiTheme="minorHAnsi" w:hAnsiTheme="minorHAnsi"/>
                                  <w:sz w:val="20"/>
                                </w:rPr>
                              </w:pPr>
                              <w:r w:rsidRPr="002C361A">
                                <w:rPr>
                                  <w:rFonts w:asciiTheme="minorHAnsi" w:hAnsiTheme="minorHAnsi"/>
                                  <w:sz w:val="20"/>
                                </w:rPr>
                                <w:t>What did CEW contribute to recruitment of Murray cod?</w:t>
                              </w:r>
                            </w:p>
                            <w:p w14:paraId="74C2C5EB" w14:textId="77777777" w:rsidR="00A8252A" w:rsidRPr="002C361A" w:rsidRDefault="00A8252A" w:rsidP="00CF0989">
                              <w:pPr>
                                <w:pStyle w:val="NormalWeb"/>
                                <w:contextualSpacing/>
                                <w:rPr>
                                  <w:rFonts w:asciiTheme="minorHAnsi" w:hAnsiTheme="minorHAnsi"/>
                                  <w:sz w:val="20"/>
                                </w:rPr>
                              </w:pPr>
                              <w:r w:rsidRPr="002C361A">
                                <w:rPr>
                                  <w:rFonts w:asciiTheme="minorHAnsi" w:hAnsiTheme="minorHAnsi"/>
                                  <w:sz w:val="20"/>
                                </w:rPr>
                                <w:t>What did CEW contribute to the resilience of Murray cod populations?</w:t>
                              </w:r>
                            </w:p>
                          </w:txbxContent>
                        </wps:txbx>
                        <wps:bodyPr rot="0" vert="horz" wrap="square" lIns="91440" tIns="45720" rIns="91440" bIns="45720" anchor="t" anchorCtr="0" upright="1">
                          <a:noAutofit/>
                        </wps:bodyPr>
                      </wps:wsp>
                      <wps:wsp>
                        <wps:cNvPr id="1483" name="TextBox 16"/>
                        <wps:cNvSpPr txBox="1">
                          <a:spLocks noChangeArrowheads="1"/>
                        </wps:cNvSpPr>
                        <wps:spPr bwMode="auto">
                          <a:xfrm>
                            <a:off x="36204" y="50846"/>
                            <a:ext cx="9665" cy="2883"/>
                          </a:xfrm>
                          <a:prstGeom prst="rect">
                            <a:avLst/>
                          </a:prstGeom>
                          <a:solidFill>
                            <a:schemeClr val="tx2">
                              <a:lumMod val="40000"/>
                              <a:lumOff val="60000"/>
                            </a:schemeClr>
                          </a:solidFill>
                          <a:ln w="9525">
                            <a:solidFill>
                              <a:schemeClr val="tx1"/>
                            </a:solidFill>
                            <a:miter lim="800000"/>
                            <a:headEnd/>
                            <a:tailEnd/>
                          </a:ln>
                        </wps:spPr>
                        <wps:txbx>
                          <w:txbxContent>
                            <w:p w14:paraId="185973B4" w14:textId="77777777" w:rsidR="00A8252A" w:rsidRPr="003A56DE" w:rsidRDefault="00A8252A" w:rsidP="00CF0989">
                              <w:pPr>
                                <w:pStyle w:val="NormalWeb"/>
                                <w:spacing w:before="0" w:beforeAutospacing="0" w:after="0" w:afterAutospacing="0"/>
                                <w:jc w:val="center"/>
                                <w:rPr>
                                  <w:sz w:val="22"/>
                                </w:rPr>
                              </w:pPr>
                              <w:r>
                                <w:rPr>
                                  <w:rFonts w:asciiTheme="minorHAnsi" w:hAnsi="Calibri" w:cstheme="minorBidi"/>
                                  <w:color w:val="000000" w:themeColor="text1"/>
                                  <w:kern w:val="24"/>
                                  <w:sz w:val="20"/>
                                </w:rPr>
                                <w:t>Net tows</w:t>
                              </w:r>
                            </w:p>
                          </w:txbxContent>
                        </wps:txbx>
                        <wps:bodyPr rot="0" vert="horz" wrap="square" lIns="91440" tIns="45720" rIns="91440" bIns="45720" anchor="t" anchorCtr="0" upright="1">
                          <a:noAutofit/>
                        </wps:bodyPr>
                      </wps:wsp>
                      <wps:wsp>
                        <wps:cNvPr id="1484" name="Straight Arrow Connector 16"/>
                        <wps:cNvCnPr>
                          <a:cxnSpLocks noChangeShapeType="1"/>
                          <a:endCxn id="1485" idx="2"/>
                        </wps:cNvCnPr>
                        <wps:spPr bwMode="auto">
                          <a:xfrm flipH="1" flipV="1">
                            <a:off x="41330" y="23476"/>
                            <a:ext cx="11006" cy="5224"/>
                          </a:xfrm>
                          <a:prstGeom prst="straightConnector1">
                            <a:avLst/>
                          </a:prstGeom>
                          <a:noFill/>
                          <a:ln w="9525">
                            <a:solidFill>
                              <a:schemeClr val="tx1"/>
                            </a:solidFill>
                            <a:round/>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s:wsp>
                        <wps:cNvPr id="1485" name="TextBox 24"/>
                        <wps:cNvSpPr txBox="1">
                          <a:spLocks noChangeArrowheads="1"/>
                        </wps:cNvSpPr>
                        <wps:spPr bwMode="auto">
                          <a:xfrm>
                            <a:off x="34939" y="19275"/>
                            <a:ext cx="12784" cy="4201"/>
                          </a:xfrm>
                          <a:prstGeom prst="rect">
                            <a:avLst/>
                          </a:prstGeom>
                          <a:noFill/>
                          <a:ln w="9525">
                            <a:solidFill>
                              <a:schemeClr val="tx1"/>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solidFill>
                                  <a:srgbClr val="FFFFFF"/>
                                </a:solidFill>
                              </a14:hiddenFill>
                            </a:ext>
                          </a:extLst>
                        </wps:spPr>
                        <wps:txbx>
                          <w:txbxContent>
                            <w:p w14:paraId="5141DD52" w14:textId="77777777" w:rsidR="00A8252A" w:rsidRPr="003A56DE" w:rsidRDefault="00A8252A" w:rsidP="00CF0989">
                              <w:pPr>
                                <w:pStyle w:val="NormalWeb"/>
                                <w:spacing w:before="0" w:beforeAutospacing="0" w:after="0" w:afterAutospacing="0"/>
                                <w:jc w:val="center"/>
                                <w:rPr>
                                  <w:sz w:val="22"/>
                                </w:rPr>
                              </w:pPr>
                              <w:r>
                                <w:rPr>
                                  <w:rFonts w:asciiTheme="minorHAnsi" w:hAnsi="Calibri" w:cstheme="minorBidi"/>
                                  <w:color w:val="000000" w:themeColor="text1"/>
                                  <w:kern w:val="24"/>
                                  <w:sz w:val="20"/>
                                </w:rPr>
                                <w:t>Recruitment success</w:t>
                              </w:r>
                            </w:p>
                          </w:txbxContent>
                        </wps:txbx>
                        <wps:bodyPr rot="0" vert="horz" wrap="square" lIns="91440" tIns="45720" rIns="91440" bIns="45720" anchor="t" anchorCtr="0" upright="1">
                          <a:noAutofit/>
                        </wps:bodyPr>
                      </wps:wsp>
                      <wps:wsp>
                        <wps:cNvPr id="1486" name="Straight Arrow Connector 18"/>
                        <wps:cNvCnPr>
                          <a:cxnSpLocks noChangeShapeType="1"/>
                          <a:endCxn id="1485" idx="2"/>
                        </wps:cNvCnPr>
                        <wps:spPr bwMode="auto">
                          <a:xfrm flipV="1">
                            <a:off x="35413" y="23476"/>
                            <a:ext cx="5917" cy="4624"/>
                          </a:xfrm>
                          <a:prstGeom prst="straightConnector1">
                            <a:avLst/>
                          </a:prstGeom>
                          <a:noFill/>
                          <a:ln w="9525">
                            <a:solidFill>
                              <a:schemeClr val="tx1"/>
                            </a:solidFill>
                            <a:round/>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s:wsp>
                        <wps:cNvPr id="1487" name="TextBox 28"/>
                        <wps:cNvSpPr txBox="1">
                          <a:spLocks noChangeArrowheads="1"/>
                        </wps:cNvSpPr>
                        <wps:spPr bwMode="auto">
                          <a:xfrm>
                            <a:off x="51473" y="50846"/>
                            <a:ext cx="13444" cy="4108"/>
                          </a:xfrm>
                          <a:prstGeom prst="rect">
                            <a:avLst/>
                          </a:prstGeom>
                          <a:solidFill>
                            <a:schemeClr val="tx2">
                              <a:lumMod val="40000"/>
                              <a:lumOff val="60000"/>
                            </a:schemeClr>
                          </a:solidFill>
                          <a:ln w="9525">
                            <a:solidFill>
                              <a:schemeClr val="tx1"/>
                            </a:solidFill>
                            <a:miter lim="800000"/>
                            <a:headEnd/>
                            <a:tailEnd/>
                          </a:ln>
                        </wps:spPr>
                        <wps:txbx>
                          <w:txbxContent>
                            <w:p w14:paraId="7E46EEEF" w14:textId="77777777" w:rsidR="00A8252A" w:rsidRPr="003A56DE" w:rsidRDefault="00A8252A" w:rsidP="00CF0989">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Electro-fishing YOY</w:t>
                              </w:r>
                            </w:p>
                          </w:txbxContent>
                        </wps:txbx>
                        <wps:bodyPr rot="0" vert="horz" wrap="square" lIns="91440" tIns="45720" rIns="91440" bIns="45720" anchor="t" anchorCtr="0" upright="1">
                          <a:noAutofit/>
                        </wps:bodyPr>
                      </wps:wsp>
                      <wps:wsp>
                        <wps:cNvPr id="1488" name="TextBox 41"/>
                        <wps:cNvSpPr txBox="1">
                          <a:spLocks noChangeArrowheads="1"/>
                        </wps:cNvSpPr>
                        <wps:spPr bwMode="auto">
                          <a:xfrm>
                            <a:off x="58492" y="19167"/>
                            <a:ext cx="18334" cy="4201"/>
                          </a:xfrm>
                          <a:prstGeom prst="rect">
                            <a:avLst/>
                          </a:prstGeom>
                          <a:noFill/>
                          <a:ln w="9525">
                            <a:solidFill>
                              <a:schemeClr val="tx1"/>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solidFill>
                                  <a:srgbClr val="FFFFFF"/>
                                </a:solidFill>
                              </a14:hiddenFill>
                            </a:ext>
                          </a:extLst>
                        </wps:spPr>
                        <wps:txbx>
                          <w:txbxContent>
                            <w:p w14:paraId="4E1A419A" w14:textId="77777777" w:rsidR="00A8252A" w:rsidRPr="003A56DE" w:rsidRDefault="00A8252A" w:rsidP="00CF0989">
                              <w:pPr>
                                <w:pStyle w:val="NormalWeb"/>
                                <w:spacing w:before="0" w:beforeAutospacing="0" w:after="0" w:afterAutospacing="0"/>
                                <w:jc w:val="center"/>
                                <w:rPr>
                                  <w:sz w:val="20"/>
                                  <w:szCs w:val="20"/>
                                </w:rPr>
                              </w:pPr>
                              <w:r>
                                <w:rPr>
                                  <w:rFonts w:asciiTheme="minorHAnsi" w:hAnsi="Calibri" w:cstheme="minorBidi"/>
                                  <w:color w:val="000000" w:themeColor="text1"/>
                                  <w:kern w:val="24"/>
                                  <w:sz w:val="20"/>
                                  <w:szCs w:val="20"/>
                                </w:rPr>
                                <w:t>Population demography</w:t>
                              </w:r>
                            </w:p>
                          </w:txbxContent>
                        </wps:txbx>
                        <wps:bodyPr rot="0" vert="horz" wrap="square" lIns="91440" tIns="45720" rIns="91440" bIns="45720" anchor="t" anchorCtr="0" upright="1">
                          <a:noAutofit/>
                        </wps:bodyPr>
                      </wps:wsp>
                      <wps:wsp>
                        <wps:cNvPr id="1489" name="TextBox 44"/>
                        <wps:cNvSpPr txBox="1">
                          <a:spLocks noChangeArrowheads="1"/>
                        </wps:cNvSpPr>
                        <wps:spPr bwMode="auto">
                          <a:xfrm>
                            <a:off x="65669" y="28592"/>
                            <a:ext cx="12758" cy="5724"/>
                          </a:xfrm>
                          <a:prstGeom prst="rect">
                            <a:avLst/>
                          </a:prstGeom>
                          <a:noFill/>
                          <a:ln w="9525">
                            <a:solidFill>
                              <a:schemeClr val="tx1"/>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solidFill>
                                  <a:srgbClr val="FFFFFF"/>
                                </a:solidFill>
                              </a14:hiddenFill>
                            </a:ext>
                          </a:extLst>
                        </wps:spPr>
                        <wps:txbx>
                          <w:txbxContent>
                            <w:p w14:paraId="0219B184" w14:textId="77777777" w:rsidR="00A8252A" w:rsidRPr="003A56DE" w:rsidRDefault="00A8252A" w:rsidP="00CF0989">
                              <w:pPr>
                                <w:pStyle w:val="NormalWeb"/>
                                <w:spacing w:before="0" w:beforeAutospacing="0" w:after="0" w:afterAutospacing="0"/>
                                <w:jc w:val="center"/>
                                <w:rPr>
                                  <w:sz w:val="20"/>
                                </w:rPr>
                              </w:pPr>
                              <w:r>
                                <w:rPr>
                                  <w:rFonts w:asciiTheme="minorHAnsi" w:hAnsi="Calibri" w:cstheme="minorBidi"/>
                                  <w:color w:val="000000" w:themeColor="text1"/>
                                  <w:kern w:val="24"/>
                                  <w:sz w:val="20"/>
                                </w:rPr>
                                <w:t>General abundance, length/age</w:t>
                              </w:r>
                              <w:r w:rsidRPr="003A56DE">
                                <w:rPr>
                                  <w:rFonts w:asciiTheme="minorHAnsi" w:hAnsi="Calibri" w:cstheme="minorBidi"/>
                                  <w:color w:val="000000" w:themeColor="text1"/>
                                  <w:kern w:val="24"/>
                                  <w:sz w:val="20"/>
                                </w:rPr>
                                <w:t xml:space="preserve"> structures</w:t>
                              </w:r>
                            </w:p>
                          </w:txbxContent>
                        </wps:txbx>
                        <wps:bodyPr rot="0" vert="horz" wrap="square" lIns="91440" tIns="45720" rIns="91440" bIns="45720" anchor="t" anchorCtr="0" upright="1">
                          <a:noAutofit/>
                        </wps:bodyPr>
                      </wps:wsp>
                      <wps:wsp>
                        <wps:cNvPr id="1490" name="Elbow Connector 24"/>
                        <wps:cNvCnPr>
                          <a:cxnSpLocks noChangeShapeType="1"/>
                        </wps:cNvCnPr>
                        <wps:spPr bwMode="auto">
                          <a:xfrm rot="16200000" flipV="1">
                            <a:off x="34404" y="35161"/>
                            <a:ext cx="18297" cy="15850"/>
                          </a:xfrm>
                          <a:prstGeom prst="bentConnector3">
                            <a:avLst>
                              <a:gd name="adj1" fmla="val 50000"/>
                            </a:avLst>
                          </a:prstGeom>
                          <a:noFill/>
                          <a:ln w="9525">
                            <a:solidFill>
                              <a:schemeClr val="tx1"/>
                            </a:solidFill>
                            <a:miter lim="800000"/>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s:wsp>
                        <wps:cNvPr id="1491" name="Elbow Connector 25"/>
                        <wps:cNvCnPr>
                          <a:cxnSpLocks noChangeShapeType="1"/>
                          <a:endCxn id="1489" idx="2"/>
                        </wps:cNvCnPr>
                        <wps:spPr bwMode="auto">
                          <a:xfrm rot="5400000" flipH="1" flipV="1">
                            <a:off x="59778" y="39592"/>
                            <a:ext cx="17546" cy="6993"/>
                          </a:xfrm>
                          <a:prstGeom prst="bentConnector3">
                            <a:avLst>
                              <a:gd name="adj1" fmla="val 50000"/>
                            </a:avLst>
                          </a:prstGeom>
                          <a:noFill/>
                          <a:ln w="9525">
                            <a:solidFill>
                              <a:schemeClr val="tx1"/>
                            </a:solidFill>
                            <a:miter lim="800000"/>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s:wsp>
                        <wps:cNvPr id="1492" name="Elbow Connector 28"/>
                        <wps:cNvCnPr>
                          <a:cxnSpLocks noChangeShapeType="1"/>
                          <a:stCxn id="1489" idx="0"/>
                          <a:endCxn id="1488" idx="2"/>
                        </wps:cNvCnPr>
                        <wps:spPr bwMode="auto">
                          <a:xfrm rot="16200000" flipV="1">
                            <a:off x="67241" y="23786"/>
                            <a:ext cx="5224" cy="4389"/>
                          </a:xfrm>
                          <a:prstGeom prst="bentConnector3">
                            <a:avLst>
                              <a:gd name="adj1" fmla="val 50000"/>
                            </a:avLst>
                          </a:prstGeom>
                          <a:noFill/>
                          <a:ln w="9525">
                            <a:solidFill>
                              <a:schemeClr val="tx1"/>
                            </a:solidFill>
                            <a:miter lim="800000"/>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s:wsp>
                        <wps:cNvPr id="1493" name="Straight Arrow Connector 32"/>
                        <wps:cNvCnPr>
                          <a:cxnSpLocks noChangeShapeType="1"/>
                          <a:endCxn id="1482" idx="2"/>
                        </wps:cNvCnPr>
                        <wps:spPr bwMode="auto">
                          <a:xfrm flipH="1" flipV="1">
                            <a:off x="49081" y="16284"/>
                            <a:ext cx="19780" cy="2884"/>
                          </a:xfrm>
                          <a:prstGeom prst="straightConnector1">
                            <a:avLst/>
                          </a:prstGeom>
                          <a:noFill/>
                          <a:ln w="9525">
                            <a:solidFill>
                              <a:schemeClr val="tx1"/>
                            </a:solidFill>
                            <a:round/>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wpg:wgp>
                  </a:graphicData>
                </a:graphic>
              </wp:inline>
            </w:drawing>
          </mc:Choice>
          <mc:Fallback>
            <w:pict>
              <v:group w14:anchorId="5D8EEE73" id="_x0000_s1102" style="width:479.85pt;height:344.95pt;mso-position-horizontal-relative:char;mso-position-vertical-relative:line" coordorigin="10436,10156" coordsize="68407,44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">
                <v:line id="Straight Connector 4" o:spid="_x0000_s1103" style="position:absolute;visibility:visible;mso-wrap-style:square" from="10436,17728" to="78843,17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GukcUAAADdAAAADwAAAGRycy9kb3ducmV2LnhtbERPS2vCQBC+C/6HZQRvuml9VFJXKaLQ&#10;Qj0Ye9DbNDtN0mZnl+zWpP++Kwje5uN7znLdmVpcqPGVZQUP4wQEcW51xYWCj+NutADhA7LG2jIp&#10;+CMP61W/t8RU25YPdMlCIWII+xQVlCG4VEqfl2TQj60jjtyXbQyGCJtC6gbbGG5q+Zgkc2mw4thQ&#10;oqNNSflP9msUhG89aYvTxMnp57vN9sYtzts3pYaD7uUZRKAu3MU396uO86dPM7h+E0+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GukcUAAADdAAAADwAAAAAAAAAA&#10;AAAAAAChAgAAZHJzL2Rvd25yZXYueG1sUEsFBgAAAAAEAAQA+QAAAJMDAAAAAA==&#10;" strokecolor="black [3213]" strokeweight="1.5pt">
                  <v:stroke dashstyle="3 1"/>
                </v:line>
                <v:line id="Straight Connector 5" o:spid="_x0000_s1104" style="position:absolute;visibility:visible;mso-wrap-style:square" from="10436,25649" to="78843,2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Mw5sQAAADdAAAADwAAAGRycy9kb3ducmV2LnhtbERPTWvCQBC9C/0PyxS8mU2rqKSuUopC&#10;C/Vg9KC3MTtN0mZnl+xq0n/fLQje5vE+Z7HqTSOu1PrasoKnJAVBXFhdc6ngsN+M5iB8QNbYWCYF&#10;v+RhtXwYLDDTtuMdXfNQihjCPkMFVQguk9IXFRn0iXXEkfuyrcEQYVtK3WIXw00jn9N0Kg3WHBsq&#10;dPRWUfGTX4yC8K3HXXkcOzk5f9p8a9z8tP5QavjYv76ACNSHu/jmftdx/mQ2hf9v4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MzDmxAAAAN0AAAAPAAAAAAAAAAAA&#10;AAAAAKECAABkcnMvZG93bnJldi54bWxQSwUGAAAAAAQABAD5AAAAkgMAAAAA&#10;" strokecolor="black [3213]" strokeweight="1.5pt">
                  <v:stroke dashstyle="3 1"/>
                </v:line>
                <v:line id="Straight Connector 6" o:spid="_x0000_s1105" style="position:absolute;visibility:visible;mso-wrap-style:square" from="10436,35730" to="78843,3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fcQAAADdAAAADwAAAGRycy9kb3ducmV2LnhtbERPTWvCQBC9F/wPywje6sYqKqmriFSo&#10;UA9Ne9DbNDsm0ezskt2a+O+7gtDbPN7nLFadqcWVGl9ZVjAaJiCIc6srLhR8f22f5yB8QNZYWyYF&#10;N/KwWvaeFphq2/InXbNQiBjCPkUFZQguldLnJRn0Q+uII3eyjcEQYVNI3WAbw00tX5JkKg1WHBtK&#10;dLQpKb9kv0ZBOOtxWxzGTk5+Pmy2N25+fNspNeh361cQgbrwL36433WcP5nN4P5NPEE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f5V9xAAAAN0AAAAPAAAAAAAAAAAA&#10;AAAAAKECAABkcnMvZG93bnJldi54bWxQSwUGAAAAAAQABAD5AAAAkgMAAAAA&#10;" strokecolor="black [3213]" strokeweight="1.5pt">
                  <v:stroke dashstyle="3 1"/>
                </v:line>
                <v:shape id="TextBox 10" o:spid="_x0000_s1106" type="#_x0000_t202" style="position:absolute;left:10436;top:14036;width:10864;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xQ8YA&#10;AADdAAAADwAAAGRycy9kb3ducmV2LnhtbESPS0/DQAyE70j9DytX4kY3fYjQ0G2FKEg9QujjarJu&#10;EjXrjbJLm/bX4wMSN48833i8WPWuUWfqQu3ZwHiUgCIuvK25NLD9en94AhUissXGMxm4UoDVcnC3&#10;wMz6C3/SOY+lkhAOGRqoYmwzrUNRkcMw8i2x7I6+cxhFdqW2HV4k3DV6kiSP2mHNcqHCll4rKk75&#10;j5Mak8N2uv7IKU3xe7p+u+3mx31jzP2wf3kGFamP/+Y/emOFm6VS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FxQ8YAAADdAAAADwAAAAAAAAAAAAAAAACYAgAAZHJz&#10;L2Rvd25yZXYueG1sUEsFBgAAAAAEAAQA9QAAAIsDAAAAAA==&#10;" filled="f">
                  <v:textbox>
                    <w:txbxContent>
                      <w:p w14:paraId="10DDD42D" w14:textId="77777777" w:rsidR="00A8252A" w:rsidRPr="002C0A72" w:rsidRDefault="00A8252A" w:rsidP="00CF0989">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Reporting</w:t>
                        </w:r>
                      </w:p>
                    </w:txbxContent>
                  </v:textbox>
                </v:shape>
                <v:shape id="TextBox 11" o:spid="_x0000_s1107" type="#_x0000_t202" style="position:absolute;left:10436;top:21954;width:11224;height:2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U2MYA&#10;AADdAAAADwAAAGRycy9kb3ducmV2LnhtbESPQW/CMAyF75P4D5GRuI0UmNbREdA0QOK4FQZXrzFt&#10;ReNUTWg7fv0yaRI3W+99z8+LVW8q0VLjSssKJuMIBHFmdcm5gsN++/gCwnlkjZVlUvBDDlbLwcMC&#10;E207/qQ29bkIIewSVFB4XydSuqwgg25sa+KgnW1j0Ie1yaVusAvhppLTKHqWBksOFwqs6b2g7JJe&#10;TagxPR1m64+U4hi/Z+vN7Wt+PlZKjYb92ysIT72/m//pnQ7cUzyHv2/CCH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3U2MYAAADdAAAADwAAAAAAAAAAAAAAAACYAgAAZHJz&#10;L2Rvd25yZXYueG1sUEsFBgAAAAAEAAQA9QAAAIsDAAAAAA==&#10;" filled="f">
                  <v:textbox>
                    <w:txbxContent>
                      <w:p w14:paraId="052A8063" w14:textId="77777777" w:rsidR="00A8252A" w:rsidRPr="002C0A72" w:rsidRDefault="00A8252A" w:rsidP="00CF0989">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Evaluation</w:t>
                        </w:r>
                      </w:p>
                    </w:txbxContent>
                  </v:textbox>
                </v:shape>
                <v:shape id="TextBox 12" o:spid="_x0000_s1108" type="#_x0000_t202" style="position:absolute;left:10436;top:32031;width:9183;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NYsYA&#10;AADdAAAADwAAAGRycy9kb3ducmV2LnhtbESPS2/CQAyE75X6H1ZG6q1seKhAyoKq0kocS3hd3axJ&#10;oma9UXYLgV9fHypx88jzjcfzZedqdaY2VJ4NDPoJKOLc24oLA7vt5/MUVIjIFmvPZOBKAZaLx4c5&#10;ptZfeEPnLBZKQjikaKCMsUm1DnlJDkPfN8SyO/nWYRTZFtq2eJFwV+thkrxohxXLhRIbei8p/8l+&#10;ndQYHnej1VdGkwl+j1Yft/3sdKiNeep1b6+gInXxbv6n11a48VT6yzcygl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INYsYAAADdAAAADwAAAAAAAAAAAAAAAACYAgAAZHJz&#10;L2Rvd25yZXYueG1sUEsFBgAAAAAEAAQA9QAAAIsDAAAAAA==&#10;" filled="f">
                  <v:textbox>
                    <w:txbxContent>
                      <w:p w14:paraId="78D76B48" w14:textId="77777777" w:rsidR="00A8252A" w:rsidRPr="002C0A72" w:rsidRDefault="00A8252A" w:rsidP="00CF0989">
                        <w:pPr>
                          <w:pStyle w:val="NormalWeb"/>
                          <w:spacing w:before="0" w:beforeAutospacing="0" w:after="0" w:afterAutospacing="0"/>
                          <w:rPr>
                            <w:sz w:val="26"/>
                            <w:szCs w:val="26"/>
                          </w:rPr>
                        </w:pPr>
                        <w:r w:rsidRPr="00C1640F">
                          <w:rPr>
                            <w:rFonts w:asciiTheme="minorHAnsi" w:hAnsi="Calibri" w:cstheme="minorBidi"/>
                            <w:color w:val="000000" w:themeColor="text1"/>
                            <w:kern w:val="24"/>
                            <w:sz w:val="26"/>
                            <w:szCs w:val="26"/>
                          </w:rPr>
                          <w:t>Analysis</w:t>
                        </w:r>
                      </w:p>
                    </w:txbxContent>
                  </v:textbox>
                </v:shape>
                <v:shape id="TextBox 13" o:spid="_x0000_s1109" type="#_x0000_t202" style="position:absolute;left:10436;top:45093;width:15120;height:5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6o+ccA&#10;AADdAAAADwAAAGRycy9kb3ducmV2LnhtbESPzW7CMBCE70i8g7WVegMHqEpIY1BVQOJYUgrXJd78&#10;iHgdxS6kPH1dqVJvu5r5ZmfTVW8acaXO1ZYVTMYRCOLc6ppLBYeP7SgG4TyyxsYyKfgmB6vlcJBi&#10;ou2N93TNfClCCLsEFVTet4mULq/IoBvbljhohe0M+rB2pdQd3kK4aeQ0ip6lwZrDhQpbeqsov2Rf&#10;JtSYng6z9XtG8zmeZ+vN/XNRHBulHh/61xcQnnr/b/6jdzpwT/EEfr8JI8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uqPnHAAAA3QAAAA8AAAAAAAAAAAAAAAAAmAIAAGRy&#10;cy9kb3ducmV2LnhtbFBLBQYAAAAABAAEAPUAAACMAwAAAAA=&#10;" filled="f">
                  <v:textbox>
                    <w:txbxContent>
                      <w:p w14:paraId="389B3A3D" w14:textId="77777777" w:rsidR="00A8252A" w:rsidRPr="002C0A72" w:rsidRDefault="00A8252A" w:rsidP="00CF0989">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Field measurement</w:t>
                        </w:r>
                      </w:p>
                    </w:txbxContent>
                  </v:textbox>
                </v:shape>
                <v:shape id="TextBox 14" o:spid="_x0000_s1110" type="#_x0000_t202" style="position:absolute;left:22672;top:10156;width:52819;height:6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gkcQA&#10;AADdAAAADwAAAGRycy9kb3ducmV2LnhtbERPS4vCMBC+C/6HMAt703SLaKlGWSuCiB58IB6HZmzL&#10;NpPSRK3/frOw4G0+vufMFp2pxYNaV1lW8DWMQBDnVldcKDif1oMEhPPIGmvLpOBFDhbzfm+GqbZP&#10;PtDj6AsRQtilqKD0vkmldHlJBt3QNsSBu9nWoA+wLaRu8RnCTS3jKBpLgxWHhhIbykrKf453o2Bz&#10;em0Pk2w/Ntvl6rq7SHdZr3ZKfX5031MQnjr/Fv+7NzrMHyUx/H0TT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oJHEAAAA3QAAAA8AAAAAAAAAAAAAAAAAmAIAAGRycy9k&#10;b3ducmV2LnhtbFBLBQYAAAAABAAEAPUAAACJAwAAAAA=&#10;" filled="f" strokecolor="black [3213]">
                  <v:textbox>
                    <w:txbxContent>
                      <w:p w14:paraId="64355230" w14:textId="77777777" w:rsidR="00A8252A" w:rsidRPr="002C361A" w:rsidRDefault="00A8252A" w:rsidP="00BA28FA">
                        <w:pPr>
                          <w:pStyle w:val="NormalWeb"/>
                          <w:contextualSpacing/>
                          <w:rPr>
                            <w:rFonts w:asciiTheme="minorHAnsi" w:hAnsiTheme="minorHAnsi"/>
                            <w:sz w:val="20"/>
                          </w:rPr>
                        </w:pPr>
                        <w:r w:rsidRPr="002C361A">
                          <w:rPr>
                            <w:rFonts w:asciiTheme="minorHAnsi" w:hAnsiTheme="minorHAnsi"/>
                            <w:sz w:val="20"/>
                          </w:rPr>
                          <w:t xml:space="preserve">What did CEW contribute to the growth and </w:t>
                        </w:r>
                        <w:r>
                          <w:rPr>
                            <w:rFonts w:asciiTheme="minorHAnsi" w:hAnsiTheme="minorHAnsi"/>
                            <w:sz w:val="20"/>
                          </w:rPr>
                          <w:t xml:space="preserve">morphometric </w:t>
                        </w:r>
                        <w:r w:rsidRPr="002C361A">
                          <w:rPr>
                            <w:rFonts w:asciiTheme="minorHAnsi" w:hAnsiTheme="minorHAnsi"/>
                            <w:sz w:val="20"/>
                          </w:rPr>
                          <w:t>condition of Murray cod?</w:t>
                        </w:r>
                      </w:p>
                      <w:p w14:paraId="0720254C" w14:textId="77777777" w:rsidR="00A8252A" w:rsidRPr="002C361A" w:rsidRDefault="00A8252A" w:rsidP="00CF0989">
                        <w:pPr>
                          <w:pStyle w:val="NormalWeb"/>
                          <w:contextualSpacing/>
                          <w:rPr>
                            <w:rFonts w:asciiTheme="minorHAnsi" w:hAnsiTheme="minorHAnsi"/>
                            <w:sz w:val="20"/>
                          </w:rPr>
                        </w:pPr>
                        <w:r w:rsidRPr="002C361A">
                          <w:rPr>
                            <w:rFonts w:asciiTheme="minorHAnsi" w:hAnsiTheme="minorHAnsi"/>
                            <w:sz w:val="20"/>
                          </w:rPr>
                          <w:t>What did CEW contribute to recruitment of Murray cod?</w:t>
                        </w:r>
                      </w:p>
                      <w:p w14:paraId="74C2C5EB" w14:textId="77777777" w:rsidR="00A8252A" w:rsidRPr="002C361A" w:rsidRDefault="00A8252A" w:rsidP="00CF0989">
                        <w:pPr>
                          <w:pStyle w:val="NormalWeb"/>
                          <w:contextualSpacing/>
                          <w:rPr>
                            <w:rFonts w:asciiTheme="minorHAnsi" w:hAnsiTheme="minorHAnsi"/>
                            <w:sz w:val="20"/>
                          </w:rPr>
                        </w:pPr>
                        <w:r w:rsidRPr="002C361A">
                          <w:rPr>
                            <w:rFonts w:asciiTheme="minorHAnsi" w:hAnsiTheme="minorHAnsi"/>
                            <w:sz w:val="20"/>
                          </w:rPr>
                          <w:t>What did CEW contribute to the resilience of Murray cod populations?</w:t>
                        </w:r>
                      </w:p>
                    </w:txbxContent>
                  </v:textbox>
                </v:shape>
                <v:shape id="_x0000_s1111" type="#_x0000_t202" style="position:absolute;left:36204;top:50846;width:9665;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wSMMA&#10;AADdAAAADwAAAGRycy9kb3ducmV2LnhtbERPS4vCMBC+L/gfwix4WTT1gZSuUVxBEWEPWvE8NLNt&#10;2WbSTaLWf28EYW/z8T1nvuxMI67kfG1ZwWiYgCAurK65VHDKN4MUhA/IGhvLpOBOHpaL3tscM21v&#10;fKDrMZQihrDPUEEVQptJ6YuKDPqhbYkj92OdwRChK6V2eIvhppHjJJlJgzXHhgpbWldU/B4vRsHf&#10;mfaX4oP36XR0zr+/eOzyZKtU/71bfYII1IV/8cu903H+NJ3A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awSMMAAADdAAAADwAAAAAAAAAAAAAAAACYAgAAZHJzL2Rv&#10;d25yZXYueG1sUEsFBgAAAAAEAAQA9QAAAIgDAAAAAA==&#10;" fillcolor="#8db3e2 [1311]" strokecolor="black [3213]">
                  <v:textbox>
                    <w:txbxContent>
                      <w:p w14:paraId="185973B4" w14:textId="77777777" w:rsidR="00A8252A" w:rsidRPr="003A56DE" w:rsidRDefault="00A8252A" w:rsidP="00CF0989">
                        <w:pPr>
                          <w:pStyle w:val="NormalWeb"/>
                          <w:spacing w:before="0" w:beforeAutospacing="0" w:after="0" w:afterAutospacing="0"/>
                          <w:jc w:val="center"/>
                          <w:rPr>
                            <w:sz w:val="22"/>
                          </w:rPr>
                        </w:pPr>
                        <w:r>
                          <w:rPr>
                            <w:rFonts w:asciiTheme="minorHAnsi" w:hAnsi="Calibri" w:cstheme="minorBidi"/>
                            <w:color w:val="000000" w:themeColor="text1"/>
                            <w:kern w:val="24"/>
                            <w:sz w:val="20"/>
                          </w:rPr>
                          <w:t>Net tows</w:t>
                        </w:r>
                      </w:p>
                    </w:txbxContent>
                  </v:textbox>
                </v:shape>
                <v:shape id="Straight Arrow Connector 16" o:spid="_x0000_s1112" type="#_x0000_t32" style="position:absolute;left:41330;top:23476;width:11006;height:52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wPQscAAADdAAAADwAAAGRycy9kb3ducmV2LnhtbESPQWvCQBCF7wX/wzKCt7qxBJHoKjWl&#10;YC7SpqXibciOSWh2Ns1uYvz3bqHQ2wzvzfvebHajacRAnastK1jMIxDEhdU1lwo+P14fVyCcR9bY&#10;WCYFN3Kw204eNphoe+V3GnJfihDCLkEFlfdtIqUrKjLo5rYlDtrFdgZ9WLtS6g6vIdw08imKltJg&#10;zYFQYUtpRcV33psA+bm9LdPh62XIT1ruTX/OjpgpNZuOz2sQnkb/b/67PuhQP17F8PtNGEF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bA9CxwAAAN0AAAAPAAAAAAAA&#10;AAAAAAAAAKECAABkcnMvZG93bnJldi54bWxQSwUGAAAAAAQABAD5AAAAlQMAAAAA&#10;" strokecolor="black [3213]">
                  <v:stroke endarrow="open"/>
                </v:shape>
                <v:shape id="_x0000_s1113" type="#_x0000_t202" style="position:absolute;left:34939;top:19275;width:12784;height:4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445cQA&#10;AADdAAAADwAAAGRycy9kb3ducmV2LnhtbERPTWvCQBC9C/6HZYTedNPSWomuogYhiD2oRXocsmMS&#10;mp0N2W0S/31XELzN433OYtWbSrTUuNKygtdJBII4s7rkXMH3eTeegXAeWWNlmRTcyMFqORwsMNa2&#10;4yO1J5+LEMIuRgWF93UspcsKMugmtiYO3NU2Bn2ATS51g10IN5V8i6KpNFhyaCiwpm1B2e/pzyhI&#10;z7f98XP7NTX7TfJzuEh32SUHpV5G/XoOwlPvn+KHO9Vh/vvsA+7fh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OOOXEAAAA3QAAAA8AAAAAAAAAAAAAAAAAmAIAAGRycy9k&#10;b3ducmV2LnhtbFBLBQYAAAAABAAEAPUAAACJAwAAAAA=&#10;" filled="f" strokecolor="black [3213]">
                  <v:textbox>
                    <w:txbxContent>
                      <w:p w14:paraId="5141DD52" w14:textId="77777777" w:rsidR="00A8252A" w:rsidRPr="003A56DE" w:rsidRDefault="00A8252A" w:rsidP="00CF0989">
                        <w:pPr>
                          <w:pStyle w:val="NormalWeb"/>
                          <w:spacing w:before="0" w:beforeAutospacing="0" w:after="0" w:afterAutospacing="0"/>
                          <w:jc w:val="center"/>
                          <w:rPr>
                            <w:sz w:val="22"/>
                          </w:rPr>
                        </w:pPr>
                        <w:r>
                          <w:rPr>
                            <w:rFonts w:asciiTheme="minorHAnsi" w:hAnsi="Calibri" w:cstheme="minorBidi"/>
                            <w:color w:val="000000" w:themeColor="text1"/>
                            <w:kern w:val="24"/>
                            <w:sz w:val="20"/>
                          </w:rPr>
                          <w:t>Recruitment success</w:t>
                        </w:r>
                      </w:p>
                    </w:txbxContent>
                  </v:textbox>
                </v:shape>
                <v:shape id="Straight Arrow Connector 18" o:spid="_x0000_s1114" type="#_x0000_t32" style="position:absolute;left:35413;top:23476;width:5917;height:46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9ev8QAAADdAAAADwAAAGRycy9kb3ducmV2LnhtbESP0WoCMRBF34X+Q5iCb5qtqMjWrEhr&#10;oW9V2w+YbmY3sZvJkqS6/ftGEHyb4d655856M7hOnClE61nB07QAQVx7bblV8PX5NlmBiAlZY+eZ&#10;FPxRhE31MFpjqf2FD3Q+plbkEI4lKjAp9aWUsTbkME59T5y1xgeHKa+hlTrgJYe7Ts6KYikdWs4E&#10;gz29GKp/jr8uc7f2tHgNmuvd98nug8GPpkOlxo/D9hlEoiHdzbfrd53rz1dLuH6TR5D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T16/xAAAAN0AAAAPAAAAAAAAAAAA&#10;AAAAAKECAABkcnMvZG93bnJldi54bWxQSwUGAAAAAAQABAD5AAAAkgMAAAAA&#10;" strokecolor="black [3213]">
                  <v:stroke endarrow="open"/>
                </v:shape>
                <v:shape id="TextBox 28" o:spid="_x0000_s1115" type="#_x0000_t202" style="position:absolute;left:51473;top:50846;width:13444;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22S8MA&#10;AADdAAAADwAAAGRycy9kb3ducmV2LnhtbERPTWvCQBC9C/0Pywi9lLpRpIboKm2hRQQPJsXzkB2T&#10;YHY23V01/ntXELzN433OYtWbVpzJ+caygvEoAUFcWt1wpeCv+HlPQfiArLG1TAqu5GG1fBksMNP2&#10;wjs656ESMYR9hgrqELpMSl/WZNCPbEccuYN1BkOErpLa4SWGm1ZOkuRDGmw4NtTY0XdN5TE/GQX/&#10;e9qcyjfepNPxvth+8cQVya9Sr8P+cw4iUB+e4od7reP8aTqD+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22S8MAAADdAAAADwAAAAAAAAAAAAAAAACYAgAAZHJzL2Rv&#10;d25yZXYueG1sUEsFBgAAAAAEAAQA9QAAAIgDAAAAAA==&#10;" fillcolor="#8db3e2 [1311]" strokecolor="black [3213]">
                  <v:textbox>
                    <w:txbxContent>
                      <w:p w14:paraId="7E46EEEF" w14:textId="77777777" w:rsidR="00A8252A" w:rsidRPr="003A56DE" w:rsidRDefault="00A8252A" w:rsidP="00CF0989">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Electro-fishing YOY</w:t>
                        </w:r>
                      </w:p>
                    </w:txbxContent>
                  </v:textbox>
                </v:shape>
                <v:shape id="TextBox 41" o:spid="_x0000_s1116" type="#_x0000_t202" style="position:absolute;left:58492;top:19167;width:18334;height:4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e8YA&#10;AADdAAAADwAAAGRycy9kb3ducmV2LnhtbESPT4vCQAzF74LfYYjgTacri0p1lFURRPTgH8Rj6GTb&#10;sp1M6cxq/fbmsLC3hPfy3i/zZesq9aAmlJ4NfAwTUMSZtyXnBq6X7WAKKkRki5VnMvCiAMtFtzPH&#10;1Ponn+hxjrmSEA4pGihirFOtQ1aQwzD0NbFo375xGGVtcm0bfEq4q/QoScbaYcnSUGBN64Kyn/Ov&#10;M7C7vPanyfo4dvvV5n646XDbbg7G9Hvt1wxUpDb+m/+ud1bwP6eCK9/ICHrx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Xe8YAAADdAAAADwAAAAAAAAAAAAAAAACYAgAAZHJz&#10;L2Rvd25yZXYueG1sUEsFBgAAAAAEAAQA9QAAAIsDAAAAAA==&#10;" filled="f" strokecolor="black [3213]">
                  <v:textbox>
                    <w:txbxContent>
                      <w:p w14:paraId="4E1A419A" w14:textId="77777777" w:rsidR="00A8252A" w:rsidRPr="003A56DE" w:rsidRDefault="00A8252A" w:rsidP="00CF0989">
                        <w:pPr>
                          <w:pStyle w:val="NormalWeb"/>
                          <w:spacing w:before="0" w:beforeAutospacing="0" w:after="0" w:afterAutospacing="0"/>
                          <w:jc w:val="center"/>
                          <w:rPr>
                            <w:sz w:val="20"/>
                            <w:szCs w:val="20"/>
                          </w:rPr>
                        </w:pPr>
                        <w:r>
                          <w:rPr>
                            <w:rFonts w:asciiTheme="minorHAnsi" w:hAnsi="Calibri" w:cstheme="minorBidi"/>
                            <w:color w:val="000000" w:themeColor="text1"/>
                            <w:kern w:val="24"/>
                            <w:sz w:val="20"/>
                            <w:szCs w:val="20"/>
                          </w:rPr>
                          <w:t>Population demography</w:t>
                        </w:r>
                      </w:p>
                    </w:txbxContent>
                  </v:textbox>
                </v:shape>
                <v:shape id="TextBox 44" o:spid="_x0000_s1117" type="#_x0000_t202" style="position:absolute;left:65669;top:28592;width:12758;height:5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y4MUA&#10;AADdAAAADwAAAGRycy9kb3ducmV2LnhtbERPS2vCQBC+F/wPywi91U1L8RHdBE0QRPSgFulxyI5J&#10;aHY2ZLca/323IHibj+85i7Q3jbhS52rLCt5HEQjiwuqaSwVfp/XbFITzyBoby6TgTg7SZPCywFjb&#10;Gx/oevSlCCHsYlRQed/GUrqiIoNuZFviwF1sZ9AH2JVSd3gL4aaRH1E0lgZrDg0VtpRVVPwcf42C&#10;zem+PUyy/dhsV/n37izdeZ3vlHod9ss5CE+9f4of7o0O8z+nM/j/Jpwg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LgxQAAAN0AAAAPAAAAAAAAAAAAAAAAAJgCAABkcnMv&#10;ZG93bnJldi54bWxQSwUGAAAAAAQABAD1AAAAigMAAAAA&#10;" filled="f" strokecolor="black [3213]">
                  <v:textbox>
                    <w:txbxContent>
                      <w:p w14:paraId="0219B184" w14:textId="77777777" w:rsidR="00A8252A" w:rsidRPr="003A56DE" w:rsidRDefault="00A8252A" w:rsidP="00CF0989">
                        <w:pPr>
                          <w:pStyle w:val="NormalWeb"/>
                          <w:spacing w:before="0" w:beforeAutospacing="0" w:after="0" w:afterAutospacing="0"/>
                          <w:jc w:val="center"/>
                          <w:rPr>
                            <w:sz w:val="20"/>
                          </w:rPr>
                        </w:pPr>
                        <w:r>
                          <w:rPr>
                            <w:rFonts w:asciiTheme="minorHAnsi" w:hAnsi="Calibri" w:cstheme="minorBidi"/>
                            <w:color w:val="000000" w:themeColor="text1"/>
                            <w:kern w:val="24"/>
                            <w:sz w:val="20"/>
                          </w:rPr>
                          <w:t>General abundance, length/age</w:t>
                        </w:r>
                        <w:r w:rsidRPr="003A56DE">
                          <w:rPr>
                            <w:rFonts w:asciiTheme="minorHAnsi" w:hAnsi="Calibri" w:cstheme="minorBidi"/>
                            <w:color w:val="000000" w:themeColor="text1"/>
                            <w:kern w:val="24"/>
                            <w:sz w:val="20"/>
                          </w:rPr>
                          <w:t xml:space="preserve"> structures</w:t>
                        </w:r>
                      </w:p>
                    </w:txbxContent>
                  </v:textbox>
                </v:shape>
                <v:shape id="Elbow Connector 24" o:spid="_x0000_s1118" type="#_x0000_t34" style="position:absolute;left:34404;top:35161;width:18297;height:1585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emycYAAADdAAAADwAAAGRycy9kb3ducmV2LnhtbESP3WrCQBCF7wt9h2UK3ohuqm3Q6CpF&#10;EOyVNvoAQ3byg9nZkF017dN3Lgq9m+GcOeeb9XZwrbpTHxrPBl6nCSjiwtuGKwOX836yABUissXW&#10;Mxn4pgDbzfPTGjPrH/xF9zxWSkI4ZGigjrHLtA5FTQ7D1HfEopW+dxhl7Stte3xIuGv1LElS7bBh&#10;aaixo11NxTW/OQPncfLJ8/L9eORxzotdmS5/Tqkxo5fhYwUq0hD/zX/XByv4b0vhl29kBL3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XpsnGAAAA3QAAAA8AAAAAAAAA&#10;AAAAAAAAoQIAAGRycy9kb3ducmV2LnhtbFBLBQYAAAAABAAEAPkAAACUAwAAAAA=&#10;" strokecolor="black [3213]">
                  <v:stroke endarrow="open"/>
                </v:shape>
                <v:shape id="Elbow Connector 25" o:spid="_x0000_s1119" type="#_x0000_t34" style="position:absolute;left:59778;top:39592;width:17546;height:699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N6y8MAAADdAAAADwAAAGRycy9kb3ducmV2LnhtbERPTWuDQBC9B/oflin0FldLkdRmE2qh&#10;VMipiXge3YlK3FnrbhL777uBQm7zeJ+z3s5mEBeaXG9ZQRLFIIgbq3tuFZSHz+UKhPPIGgfLpOCX&#10;HGw3D4s1Ztpe+Zsue9+KEMIuQwWd92MmpWs6MugiOxIH7mgngz7AqZV6wmsIN4N8juNUGuw5NHQ4&#10;0kdHzWl/Ngry8Zz/1DWbr6oq82RXubSInVJPj/P7GwhPs7+L/92FDvNfXhO4fRNO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jesvDAAAA3QAAAA8AAAAAAAAAAAAA&#10;AAAAoQIAAGRycy9kb3ducmV2LnhtbFBLBQYAAAAABAAEAPkAAACRAwAAAAA=&#10;" strokecolor="black [3213]">
                  <v:stroke endarrow="open"/>
                </v:shape>
                <v:shape id="Elbow Connector 28" o:spid="_x0000_s1120" type="#_x0000_t34" style="position:absolute;left:67241;top:23786;width:5224;height:4389;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mdJcQAAADdAAAADwAAAGRycy9kb3ducmV2LnhtbERP22rCQBB9F/oPyxT6InVTtSGmrqEE&#10;CvZJm/QDhuzkQrOzIbvV1K93C4JvczjX2WaT6cWJRtdZVvCyiEAQV1Z33Cj4Lj+eExDOI2vsLZOC&#10;P3KQ7R5mW0y1PfMXnQrfiBDCLkUFrfdDKqWrWjLoFnYgDlxtR4M+wLGResRzCDe9XEZRLA12HBpa&#10;HChvqfopfo2Cch598qp+PRx4XnCS1/HmcoyVenqc3t9AeJr8XXxz73WYv94s4f+bcIL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CZ0lxAAAAN0AAAAPAAAAAAAAAAAA&#10;AAAAAKECAABkcnMvZG93bnJldi54bWxQSwUGAAAAAAQABAD5AAAAkgMAAAAA&#10;" strokecolor="black [3213]">
                  <v:stroke endarrow="open"/>
                </v:shape>
                <v:shape id="Straight Arrow Connector 32" o:spid="_x0000_s1121" type="#_x0000_t32" style="position:absolute;left:49081;top:16284;width:19780;height:28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wB68cAAADdAAAADwAAAGRycy9kb3ducmV2LnhtbESPQWvCQBCF70L/wzIFb3XTKlKjq9iU&#10;Qr0UTUXxNmSnSTA7m2bXJP57t1DwNsN78743i1VvKtFS40rLCp5HEQjizOqScwX774+nVxDOI2us&#10;LJOCKzlYLR8GC4y17XhHbepzEULYxaig8L6OpXRZQQbdyNbEQfuxjUEf1iaXusEuhJtKvkTRVBos&#10;ORAKrCkpKDunFxMgv9ftNGkP72161PLNXE6bL9woNXzs13MQnnp/N/9ff+pQfzIbw983YQS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XAHrxwAAAN0AAAAPAAAAAAAA&#10;AAAAAAAAAKECAABkcnMvZG93bnJldi54bWxQSwUGAAAAAAQABAD5AAAAlQMAAAAA&#10;" strokecolor="black [3213]">
                  <v:stroke endarrow="open"/>
                </v:shape>
                <w10:anchorlock/>
              </v:group>
            </w:pict>
          </mc:Fallback>
        </mc:AlternateContent>
      </w:r>
    </w:p>
    <w:p w14:paraId="38CE5765" w14:textId="77777777" w:rsidR="00CF0989" w:rsidRDefault="00CF0989" w:rsidP="00CF0989">
      <w:pPr>
        <w:pStyle w:val="Caption"/>
      </w:pPr>
    </w:p>
    <w:p w14:paraId="5EFB97FA" w14:textId="29A52356" w:rsidR="00FF799D" w:rsidRDefault="00CF0989" w:rsidP="00CF0989">
      <w:pPr>
        <w:pStyle w:val="Caption"/>
      </w:pPr>
      <w:r>
        <w:t>Figure B.</w:t>
      </w:r>
      <w:r>
        <w:rPr>
          <w:noProof/>
        </w:rPr>
        <w:fldChar w:fldCharType="begin"/>
      </w:r>
      <w:r>
        <w:rPr>
          <w:noProof/>
        </w:rPr>
        <w:instrText xml:space="preserve"> SEQ Figure_B. \* ARABIC </w:instrText>
      </w:r>
      <w:r>
        <w:rPr>
          <w:noProof/>
        </w:rPr>
        <w:fldChar w:fldCharType="separate"/>
      </w:r>
      <w:r w:rsidR="00DF49CD">
        <w:rPr>
          <w:noProof/>
        </w:rPr>
        <w:t>13</w:t>
      </w:r>
      <w:r>
        <w:rPr>
          <w:noProof/>
        </w:rPr>
        <w:fldChar w:fldCharType="end"/>
      </w:r>
      <w:r>
        <w:t xml:space="preserve">. Schematic of key elements of the LTIM Standard Protocol: </w:t>
      </w:r>
      <w:r w:rsidRPr="00BE7156">
        <w:rPr>
          <w:i/>
        </w:rPr>
        <w:t>Murray</w:t>
      </w:r>
      <w:r w:rsidR="00BE7156" w:rsidRPr="00BE7156">
        <w:rPr>
          <w:i/>
        </w:rPr>
        <w:t xml:space="preserve"> C</w:t>
      </w:r>
      <w:r w:rsidRPr="00BE7156">
        <w:rPr>
          <w:i/>
        </w:rPr>
        <w:t xml:space="preserve">od </w:t>
      </w:r>
      <w:r w:rsidR="00BE7156" w:rsidRPr="00BE7156">
        <w:rPr>
          <w:i/>
        </w:rPr>
        <w:t>R</w:t>
      </w:r>
      <w:r w:rsidRPr="00BE7156">
        <w:rPr>
          <w:i/>
        </w:rPr>
        <w:t>ecruitment</w:t>
      </w:r>
      <w:r>
        <w:t>.</w:t>
      </w:r>
    </w:p>
    <w:p w14:paraId="18147424" w14:textId="77777777" w:rsidR="00FF799D" w:rsidRDefault="00FF799D">
      <w:pPr>
        <w:spacing w:after="200" w:line="276" w:lineRule="auto"/>
        <w:jc w:val="left"/>
        <w:rPr>
          <w:b/>
          <w:bCs/>
          <w:color w:val="auto"/>
          <w:sz w:val="20"/>
          <w:szCs w:val="18"/>
        </w:rPr>
      </w:pPr>
      <w:r>
        <w:br w:type="page"/>
      </w:r>
    </w:p>
    <w:p w14:paraId="75024D4D" w14:textId="77777777" w:rsidR="00CF0989" w:rsidRPr="00525AE9" w:rsidRDefault="00CF0989" w:rsidP="00CF0989">
      <w:pPr>
        <w:pStyle w:val="Heading2"/>
      </w:pPr>
      <w:bookmarkStart w:id="2283" w:name="_Toc10095336"/>
      <w:bookmarkStart w:id="2284" w:name="_Toc10192505"/>
      <w:bookmarkStart w:id="2285" w:name="_Toc10206820"/>
      <w:bookmarkStart w:id="2286" w:name="_Toc10213406"/>
      <w:bookmarkStart w:id="2287" w:name="_Toc10732430"/>
      <w:bookmarkStart w:id="2288" w:name="_Toc10796989"/>
      <w:bookmarkStart w:id="2289" w:name="_Toc12022873"/>
      <w:bookmarkStart w:id="2290" w:name="_Toc12630703"/>
      <w:bookmarkStart w:id="2291" w:name="_Toc16154563"/>
      <w:bookmarkStart w:id="2292" w:name="_Toc22196925"/>
      <w:r w:rsidRPr="00525AE9">
        <w:lastRenderedPageBreak/>
        <w:t>Relevant ecosystem types</w:t>
      </w:r>
      <w:bookmarkEnd w:id="2283"/>
      <w:bookmarkEnd w:id="2284"/>
      <w:bookmarkEnd w:id="2285"/>
      <w:bookmarkEnd w:id="2286"/>
      <w:bookmarkEnd w:id="2287"/>
      <w:bookmarkEnd w:id="2288"/>
      <w:bookmarkEnd w:id="2289"/>
      <w:bookmarkEnd w:id="2290"/>
      <w:bookmarkEnd w:id="2291"/>
      <w:bookmarkEnd w:id="2292"/>
    </w:p>
    <w:p w14:paraId="745C69FF" w14:textId="77777777" w:rsidR="00CF0989" w:rsidRPr="00525AE9" w:rsidRDefault="00CF0989" w:rsidP="00CF0989">
      <w:r w:rsidRPr="00C1640F">
        <w:t>River</w:t>
      </w:r>
      <w:r>
        <w:t>s</w:t>
      </w:r>
    </w:p>
    <w:p w14:paraId="185B528D" w14:textId="77777777" w:rsidR="00CF0989" w:rsidRPr="00525AE9" w:rsidRDefault="00CF0989" w:rsidP="00CF0989">
      <w:pPr>
        <w:pStyle w:val="Heading2"/>
        <w:contextualSpacing/>
      </w:pPr>
      <w:bookmarkStart w:id="2293" w:name="_Toc10095337"/>
      <w:bookmarkStart w:id="2294" w:name="_Toc10192506"/>
      <w:bookmarkStart w:id="2295" w:name="_Toc10206821"/>
      <w:bookmarkStart w:id="2296" w:name="_Toc10213407"/>
      <w:bookmarkStart w:id="2297" w:name="_Toc10732431"/>
      <w:bookmarkStart w:id="2298" w:name="_Toc10796990"/>
      <w:bookmarkStart w:id="2299" w:name="_Toc12022874"/>
      <w:bookmarkStart w:id="2300" w:name="_Toc12630704"/>
      <w:bookmarkStart w:id="2301" w:name="_Toc16154564"/>
      <w:bookmarkStart w:id="2302" w:name="_Toc22196926"/>
      <w:r w:rsidRPr="00525AE9">
        <w:t>Relevant flow types</w:t>
      </w:r>
      <w:bookmarkEnd w:id="2293"/>
      <w:bookmarkEnd w:id="2294"/>
      <w:bookmarkEnd w:id="2295"/>
      <w:bookmarkEnd w:id="2296"/>
      <w:bookmarkEnd w:id="2297"/>
      <w:bookmarkEnd w:id="2298"/>
      <w:bookmarkEnd w:id="2299"/>
      <w:bookmarkEnd w:id="2300"/>
      <w:bookmarkEnd w:id="2301"/>
      <w:bookmarkEnd w:id="2302"/>
    </w:p>
    <w:p w14:paraId="027AA8E5" w14:textId="77777777" w:rsidR="00CF0989" w:rsidRPr="00525AE9" w:rsidRDefault="00CF0989" w:rsidP="00CF0989">
      <w:r w:rsidRPr="00000C14">
        <w:t xml:space="preserve">These methods describe monitoring to be conducted annually during the period </w:t>
      </w:r>
      <w:r>
        <w:t>November to May</w:t>
      </w:r>
      <w:r w:rsidRPr="00000C14">
        <w:t>, independent of specific watering events. The methods are therefore relevant to all flow types (baseflow, freshes, bankfull and overbank).</w:t>
      </w:r>
    </w:p>
    <w:p w14:paraId="36ADF91D" w14:textId="77777777" w:rsidR="00CF0989" w:rsidRDefault="00CF0989" w:rsidP="00CF0989">
      <w:pPr>
        <w:pStyle w:val="Heading2"/>
      </w:pPr>
      <w:bookmarkStart w:id="2303" w:name="_Toc10095338"/>
      <w:bookmarkStart w:id="2304" w:name="_Toc10192507"/>
      <w:bookmarkStart w:id="2305" w:name="_Toc10206822"/>
      <w:bookmarkStart w:id="2306" w:name="_Toc10213408"/>
      <w:bookmarkStart w:id="2307" w:name="_Toc10732432"/>
      <w:bookmarkStart w:id="2308" w:name="_Toc10796991"/>
      <w:bookmarkStart w:id="2309" w:name="_Toc12022875"/>
      <w:bookmarkStart w:id="2310" w:name="_Toc12630705"/>
      <w:bookmarkStart w:id="2311" w:name="_Toc16154565"/>
      <w:bookmarkStart w:id="2312" w:name="_Toc22196927"/>
      <w:r w:rsidRPr="00525AE9">
        <w:t>Overview and context</w:t>
      </w:r>
      <w:bookmarkEnd w:id="2303"/>
      <w:bookmarkEnd w:id="2304"/>
      <w:bookmarkEnd w:id="2305"/>
      <w:bookmarkEnd w:id="2306"/>
      <w:bookmarkEnd w:id="2307"/>
      <w:bookmarkEnd w:id="2308"/>
      <w:bookmarkEnd w:id="2309"/>
      <w:bookmarkEnd w:id="2310"/>
      <w:bookmarkEnd w:id="2311"/>
      <w:bookmarkEnd w:id="2312"/>
    </w:p>
    <w:p w14:paraId="4B3A8F8D" w14:textId="7BBB6C0E" w:rsidR="00CF0989" w:rsidRDefault="00CF0989" w:rsidP="00CF0989">
      <w:pPr>
        <w:rPr>
          <w:rFonts w:ascii="Calibri" w:hAnsi="Calibri" w:cs="Calibri"/>
          <w:bCs/>
        </w:rPr>
      </w:pPr>
      <w:r>
        <w:rPr>
          <w:rFonts w:ascii="Calibri" w:hAnsi="Calibri" w:cs="Calibri"/>
          <w:bCs/>
        </w:rPr>
        <w:t xml:space="preserve">This protocol describes the monitoring required for the evaluation of the response of Murray cod recruitment to flow, including Commonwealth environmental water. The protocol has been developed by the Selected Area. </w:t>
      </w:r>
      <w:r w:rsidR="00A64C0A">
        <w:rPr>
          <w:rFonts w:ascii="Calibri" w:hAnsi="Calibri" w:cs="Calibri"/>
          <w:bCs/>
        </w:rPr>
        <w:t xml:space="preserve">Refer to Section </w:t>
      </w:r>
      <w:r w:rsidR="00A64C0A">
        <w:rPr>
          <w:rFonts w:ascii="Calibri" w:hAnsi="Calibri" w:cs="Calibri"/>
          <w:bCs/>
        </w:rPr>
        <w:fldChar w:fldCharType="begin"/>
      </w:r>
      <w:r w:rsidR="00A64C0A">
        <w:rPr>
          <w:rFonts w:ascii="Calibri" w:hAnsi="Calibri" w:cs="Calibri"/>
          <w:bCs/>
        </w:rPr>
        <w:instrText xml:space="preserve"> REF _Ref10128814 \r \h </w:instrText>
      </w:r>
      <w:r w:rsidR="00A64C0A">
        <w:rPr>
          <w:rFonts w:ascii="Calibri" w:hAnsi="Calibri" w:cs="Calibri"/>
          <w:bCs/>
        </w:rPr>
      </w:r>
      <w:r w:rsidR="00A64C0A">
        <w:rPr>
          <w:rFonts w:ascii="Calibri" w:hAnsi="Calibri" w:cs="Calibri"/>
          <w:bCs/>
        </w:rPr>
        <w:fldChar w:fldCharType="separate"/>
      </w:r>
      <w:r w:rsidR="00DF49CD">
        <w:rPr>
          <w:rFonts w:ascii="Calibri" w:hAnsi="Calibri" w:cs="Calibri"/>
          <w:bCs/>
        </w:rPr>
        <w:t>5.2.6</w:t>
      </w:r>
      <w:r w:rsidR="00A64C0A">
        <w:rPr>
          <w:rFonts w:ascii="Calibri" w:hAnsi="Calibri" w:cs="Calibri"/>
          <w:bCs/>
        </w:rPr>
        <w:fldChar w:fldCharType="end"/>
      </w:r>
      <w:r w:rsidRPr="00000C14">
        <w:rPr>
          <w:rFonts w:ascii="Calibri" w:hAnsi="Calibri" w:cs="Calibri"/>
          <w:bCs/>
        </w:rPr>
        <w:t xml:space="preserve"> in the MER Plan for background information, objectives, outputs and staf</w:t>
      </w:r>
      <w:r w:rsidR="00A64C0A">
        <w:rPr>
          <w:rFonts w:ascii="Calibri" w:hAnsi="Calibri" w:cs="Calibri"/>
          <w:bCs/>
        </w:rPr>
        <w:t xml:space="preserve">f involvement for </w:t>
      </w:r>
      <w:r w:rsidR="00A64C0A" w:rsidRPr="00A64C0A">
        <w:rPr>
          <w:rFonts w:ascii="Calibri" w:hAnsi="Calibri" w:cs="Calibri"/>
          <w:bCs/>
          <w:i/>
        </w:rPr>
        <w:t>Murray Cod R</w:t>
      </w:r>
      <w:r w:rsidRPr="00A64C0A">
        <w:rPr>
          <w:rFonts w:ascii="Calibri" w:hAnsi="Calibri" w:cs="Calibri"/>
          <w:bCs/>
          <w:i/>
        </w:rPr>
        <w:t>ecruitment</w:t>
      </w:r>
      <w:r w:rsidRPr="00000C14">
        <w:rPr>
          <w:rFonts w:ascii="Calibri" w:hAnsi="Calibri" w:cs="Calibri"/>
          <w:bCs/>
        </w:rPr>
        <w:t>.</w:t>
      </w:r>
    </w:p>
    <w:p w14:paraId="20A1DFAD" w14:textId="77777777" w:rsidR="00CF0989" w:rsidRDefault="00CF0989" w:rsidP="00CF0989">
      <w:pPr>
        <w:rPr>
          <w:rFonts w:ascii="Calibri" w:hAnsi="Calibri" w:cs="Calibri"/>
          <w:bCs/>
        </w:rPr>
      </w:pPr>
      <w:r>
        <w:rPr>
          <w:rFonts w:ascii="Calibri" w:hAnsi="Calibri" w:cs="Calibri"/>
          <w:bCs/>
        </w:rPr>
        <w:t xml:space="preserve">Field sampling: </w:t>
      </w:r>
    </w:p>
    <w:p w14:paraId="7D0EC650" w14:textId="77777777" w:rsidR="00CF0989" w:rsidRDefault="00CF0989" w:rsidP="00CB75AF">
      <w:pPr>
        <w:pStyle w:val="ListParagraph"/>
        <w:numPr>
          <w:ilvl w:val="0"/>
          <w:numId w:val="61"/>
        </w:numPr>
        <w:spacing w:line="259" w:lineRule="auto"/>
        <w:jc w:val="left"/>
        <w:rPr>
          <w:rFonts w:ascii="Calibri" w:hAnsi="Calibri" w:cs="Calibri"/>
          <w:bCs/>
        </w:rPr>
      </w:pPr>
      <w:r>
        <w:rPr>
          <w:rFonts w:ascii="Calibri" w:hAnsi="Calibri" w:cs="Calibri"/>
          <w:bCs/>
        </w:rPr>
        <w:t xml:space="preserve">Net tows (larvae) </w:t>
      </w:r>
    </w:p>
    <w:p w14:paraId="3ADADC6E" w14:textId="77777777" w:rsidR="00CF0989" w:rsidRDefault="00CF0989" w:rsidP="00CB75AF">
      <w:pPr>
        <w:pStyle w:val="ListParagraph"/>
        <w:numPr>
          <w:ilvl w:val="0"/>
          <w:numId w:val="61"/>
        </w:numPr>
        <w:spacing w:line="259" w:lineRule="auto"/>
        <w:jc w:val="left"/>
        <w:rPr>
          <w:rFonts w:ascii="Calibri" w:hAnsi="Calibri" w:cs="Calibri"/>
          <w:bCs/>
        </w:rPr>
      </w:pPr>
      <w:r>
        <w:rPr>
          <w:rFonts w:ascii="Calibri" w:hAnsi="Calibri" w:cs="Calibri"/>
          <w:bCs/>
        </w:rPr>
        <w:t>Light traps (larvae and early juveniles)</w:t>
      </w:r>
    </w:p>
    <w:p w14:paraId="79473B0E" w14:textId="77777777" w:rsidR="00CF0989" w:rsidRDefault="00CF0989" w:rsidP="00CB75AF">
      <w:pPr>
        <w:pStyle w:val="ListParagraph"/>
        <w:numPr>
          <w:ilvl w:val="0"/>
          <w:numId w:val="61"/>
        </w:numPr>
        <w:spacing w:line="259" w:lineRule="auto"/>
        <w:jc w:val="left"/>
        <w:rPr>
          <w:rFonts w:ascii="Calibri" w:hAnsi="Calibri" w:cs="Calibri"/>
          <w:bCs/>
        </w:rPr>
      </w:pPr>
      <w:r>
        <w:rPr>
          <w:rFonts w:ascii="Calibri" w:hAnsi="Calibri" w:cs="Calibri"/>
          <w:bCs/>
        </w:rPr>
        <w:t>Electrofishing (juveniles and adults)</w:t>
      </w:r>
    </w:p>
    <w:p w14:paraId="3CB172C9" w14:textId="77777777" w:rsidR="00CF0989" w:rsidRDefault="00CF0989" w:rsidP="00CF0989">
      <w:pPr>
        <w:rPr>
          <w:rFonts w:ascii="Calibri" w:hAnsi="Calibri" w:cs="Calibri"/>
          <w:bCs/>
        </w:rPr>
      </w:pPr>
      <w:r>
        <w:rPr>
          <w:rFonts w:ascii="Calibri" w:hAnsi="Calibri" w:cs="Calibri"/>
          <w:bCs/>
        </w:rPr>
        <w:t>Laboratory analyses:</w:t>
      </w:r>
    </w:p>
    <w:p w14:paraId="7E8D55AB" w14:textId="77777777" w:rsidR="00CF0989" w:rsidRDefault="00CF0989" w:rsidP="00CB75AF">
      <w:pPr>
        <w:pStyle w:val="ListParagraph"/>
        <w:numPr>
          <w:ilvl w:val="0"/>
          <w:numId w:val="62"/>
        </w:numPr>
        <w:spacing w:line="259" w:lineRule="auto"/>
        <w:jc w:val="left"/>
        <w:rPr>
          <w:rFonts w:ascii="Calibri" w:hAnsi="Calibri" w:cs="Calibri"/>
          <w:bCs/>
        </w:rPr>
      </w:pPr>
      <w:r>
        <w:rPr>
          <w:rFonts w:ascii="Calibri" w:hAnsi="Calibri" w:cs="Calibri"/>
          <w:bCs/>
        </w:rPr>
        <w:t>Age (otolith increment examination)</w:t>
      </w:r>
    </w:p>
    <w:p w14:paraId="0F1C7A5C" w14:textId="77777777" w:rsidR="00CF0989" w:rsidRDefault="00CF0989" w:rsidP="00CB75AF">
      <w:pPr>
        <w:pStyle w:val="ListParagraph"/>
        <w:numPr>
          <w:ilvl w:val="0"/>
          <w:numId w:val="62"/>
        </w:numPr>
        <w:spacing w:line="259" w:lineRule="auto"/>
        <w:jc w:val="left"/>
        <w:rPr>
          <w:rFonts w:ascii="Calibri" w:hAnsi="Calibri" w:cs="Calibri"/>
          <w:bCs/>
        </w:rPr>
      </w:pPr>
      <w:r>
        <w:rPr>
          <w:rFonts w:ascii="Calibri" w:hAnsi="Calibri" w:cs="Calibri"/>
          <w:bCs/>
        </w:rPr>
        <w:t>Growth rates (daily and seasonal, otolith examination)</w:t>
      </w:r>
    </w:p>
    <w:p w14:paraId="528ECB00" w14:textId="77777777" w:rsidR="00CF0989" w:rsidRPr="0073307E" w:rsidRDefault="00CF0989" w:rsidP="00CB75AF">
      <w:pPr>
        <w:pStyle w:val="ListParagraph"/>
        <w:numPr>
          <w:ilvl w:val="0"/>
          <w:numId w:val="62"/>
        </w:numPr>
        <w:spacing w:line="259" w:lineRule="auto"/>
        <w:jc w:val="left"/>
        <w:rPr>
          <w:rFonts w:ascii="Calibri" w:hAnsi="Calibri" w:cs="Calibri"/>
          <w:bCs/>
        </w:rPr>
      </w:pPr>
      <w:r>
        <w:rPr>
          <w:rFonts w:ascii="Calibri" w:hAnsi="Calibri" w:cs="Calibri"/>
          <w:bCs/>
        </w:rPr>
        <w:t>Morphometric condition (length-weight relationships and associated metrics)</w:t>
      </w:r>
    </w:p>
    <w:p w14:paraId="4B0EA5F3" w14:textId="77777777" w:rsidR="00CF0989" w:rsidRPr="00BC04E0" w:rsidRDefault="00CF0989" w:rsidP="00CF0989">
      <w:pPr>
        <w:pStyle w:val="ListBullet"/>
        <w:numPr>
          <w:ilvl w:val="0"/>
          <w:numId w:val="0"/>
        </w:numPr>
        <w:spacing w:before="40" w:after="40"/>
        <w:ind w:left="357" w:hanging="357"/>
        <w:contextualSpacing w:val="0"/>
        <w:rPr>
          <w:rFonts w:cstheme="minorHAnsi"/>
        </w:rPr>
      </w:pPr>
      <w:r w:rsidRPr="00D00000">
        <w:rPr>
          <w:rFonts w:cstheme="minorHAnsi"/>
        </w:rPr>
        <w:t>Covariates</w:t>
      </w:r>
      <w:r>
        <w:rPr>
          <w:rFonts w:cstheme="minorHAnsi"/>
        </w:rPr>
        <w:t xml:space="preserve"> may</w:t>
      </w:r>
      <w:r w:rsidRPr="00D00000">
        <w:rPr>
          <w:rFonts w:cstheme="minorHAnsi"/>
        </w:rPr>
        <w:t xml:space="preserve"> include:</w:t>
      </w:r>
    </w:p>
    <w:p w14:paraId="0C014B26" w14:textId="77777777" w:rsidR="00CF0989" w:rsidRPr="00BC04E0" w:rsidRDefault="00CF0989" w:rsidP="00C77254">
      <w:pPr>
        <w:pStyle w:val="ListBullet"/>
        <w:numPr>
          <w:ilvl w:val="0"/>
          <w:numId w:val="28"/>
        </w:numPr>
        <w:spacing w:before="40" w:after="40"/>
        <w:ind w:left="765" w:hanging="357"/>
        <w:contextualSpacing w:val="0"/>
        <w:rPr>
          <w:rFonts w:cstheme="minorHAnsi"/>
          <w:b/>
        </w:rPr>
      </w:pPr>
      <w:r>
        <w:rPr>
          <w:rFonts w:cstheme="minorHAnsi"/>
        </w:rPr>
        <w:t xml:space="preserve">Water velocity </w:t>
      </w:r>
    </w:p>
    <w:p w14:paraId="28ACAB8D" w14:textId="77777777" w:rsidR="00CF0989" w:rsidRPr="00BC04E0" w:rsidRDefault="00CF0989" w:rsidP="00C77254">
      <w:pPr>
        <w:pStyle w:val="ListBullet"/>
        <w:numPr>
          <w:ilvl w:val="0"/>
          <w:numId w:val="28"/>
        </w:numPr>
        <w:spacing w:before="40" w:after="40"/>
        <w:ind w:left="765" w:hanging="357"/>
        <w:contextualSpacing w:val="0"/>
        <w:rPr>
          <w:rFonts w:cstheme="minorHAnsi"/>
          <w:b/>
        </w:rPr>
      </w:pPr>
      <w:r w:rsidRPr="00BC04E0">
        <w:rPr>
          <w:rFonts w:cstheme="minorHAnsi"/>
        </w:rPr>
        <w:t>Discharge</w:t>
      </w:r>
      <w:r>
        <w:rPr>
          <w:rFonts w:cstheme="minorHAnsi"/>
        </w:rPr>
        <w:t>/flow</w:t>
      </w:r>
    </w:p>
    <w:p w14:paraId="033E034A" w14:textId="77777777" w:rsidR="00CF0989" w:rsidRPr="00BC04E0" w:rsidRDefault="00CF0989" w:rsidP="00C77254">
      <w:pPr>
        <w:pStyle w:val="ListBullet"/>
        <w:numPr>
          <w:ilvl w:val="0"/>
          <w:numId w:val="28"/>
        </w:numPr>
        <w:spacing w:before="40" w:after="40"/>
        <w:ind w:left="765" w:hanging="357"/>
        <w:contextualSpacing w:val="0"/>
        <w:rPr>
          <w:rFonts w:cstheme="minorHAnsi"/>
          <w:b/>
        </w:rPr>
      </w:pPr>
      <w:r>
        <w:rPr>
          <w:rFonts w:cstheme="minorHAnsi"/>
        </w:rPr>
        <w:t>Water t</w:t>
      </w:r>
      <w:r w:rsidRPr="00BC04E0">
        <w:rPr>
          <w:rFonts w:cstheme="minorHAnsi"/>
        </w:rPr>
        <w:t>emperature</w:t>
      </w:r>
    </w:p>
    <w:p w14:paraId="7D10D0CC" w14:textId="77777777" w:rsidR="00CF0989" w:rsidRPr="00BC04E0" w:rsidRDefault="00CF0989" w:rsidP="00C77254">
      <w:pPr>
        <w:pStyle w:val="ListBullet"/>
        <w:numPr>
          <w:ilvl w:val="0"/>
          <w:numId w:val="28"/>
        </w:numPr>
        <w:spacing w:before="40" w:after="40"/>
        <w:ind w:left="765" w:hanging="357"/>
        <w:contextualSpacing w:val="0"/>
        <w:rPr>
          <w:rFonts w:cstheme="minorHAnsi"/>
          <w:b/>
        </w:rPr>
      </w:pPr>
      <w:r w:rsidRPr="00BC04E0">
        <w:rPr>
          <w:rFonts w:cstheme="minorHAnsi"/>
        </w:rPr>
        <w:t>Turbidity</w:t>
      </w:r>
    </w:p>
    <w:p w14:paraId="092714AE" w14:textId="77777777" w:rsidR="00CF0989" w:rsidRPr="001F2289" w:rsidRDefault="00CF0989" w:rsidP="00C77254">
      <w:pPr>
        <w:pStyle w:val="ListBullet"/>
        <w:numPr>
          <w:ilvl w:val="0"/>
          <w:numId w:val="28"/>
        </w:numPr>
        <w:spacing w:before="40" w:after="40"/>
        <w:ind w:left="765" w:hanging="357"/>
        <w:contextualSpacing w:val="0"/>
        <w:rPr>
          <w:rFonts w:cstheme="minorHAnsi"/>
          <w:b/>
        </w:rPr>
      </w:pPr>
      <w:r w:rsidRPr="00BC04E0">
        <w:rPr>
          <w:rFonts w:cstheme="minorHAnsi"/>
        </w:rPr>
        <w:t>Relative water level.</w:t>
      </w:r>
    </w:p>
    <w:p w14:paraId="3B511746" w14:textId="77777777" w:rsidR="00CF0989" w:rsidRDefault="00CF0989" w:rsidP="00CF0989">
      <w:pPr>
        <w:pStyle w:val="Heading2"/>
      </w:pPr>
      <w:bookmarkStart w:id="2313" w:name="_Toc10095339"/>
      <w:bookmarkStart w:id="2314" w:name="_Toc10192508"/>
      <w:bookmarkStart w:id="2315" w:name="_Toc10206823"/>
      <w:bookmarkStart w:id="2316" w:name="_Toc10213409"/>
      <w:bookmarkStart w:id="2317" w:name="_Toc10732433"/>
      <w:bookmarkStart w:id="2318" w:name="_Toc10796992"/>
      <w:bookmarkStart w:id="2319" w:name="_Toc12022876"/>
      <w:bookmarkStart w:id="2320" w:name="_Toc12630706"/>
      <w:bookmarkStart w:id="2321" w:name="_Toc16154566"/>
      <w:bookmarkStart w:id="2322" w:name="_Toc22196928"/>
      <w:r w:rsidRPr="00525AE9">
        <w:t>Complementary monitoring and data</w:t>
      </w:r>
      <w:bookmarkEnd w:id="2313"/>
      <w:bookmarkEnd w:id="2314"/>
      <w:bookmarkEnd w:id="2315"/>
      <w:bookmarkEnd w:id="2316"/>
      <w:bookmarkEnd w:id="2317"/>
      <w:bookmarkEnd w:id="2318"/>
      <w:bookmarkEnd w:id="2319"/>
      <w:bookmarkEnd w:id="2320"/>
      <w:bookmarkEnd w:id="2321"/>
      <w:bookmarkEnd w:id="2322"/>
    </w:p>
    <w:p w14:paraId="30F6BDE2" w14:textId="7344541B" w:rsidR="00CF0989" w:rsidRDefault="00CF0989" w:rsidP="00CF0989">
      <w:r>
        <w:t>This indicator will use complementary samples and da</w:t>
      </w:r>
      <w:r w:rsidR="008D4608">
        <w:t xml:space="preserve">ta collected through the </w:t>
      </w:r>
      <w:r w:rsidR="008D4608" w:rsidRPr="008D4608">
        <w:rPr>
          <w:i/>
        </w:rPr>
        <w:t>Fish (C</w:t>
      </w:r>
      <w:r w:rsidRPr="008D4608">
        <w:rPr>
          <w:i/>
        </w:rPr>
        <w:t>hannel)</w:t>
      </w:r>
      <w:r>
        <w:t xml:space="preserve"> electrofishing</w:t>
      </w:r>
      <w:r w:rsidRPr="00517D6C">
        <w:rPr>
          <w:rFonts w:ascii="Calibri" w:hAnsi="Calibri" w:cs="Calibri"/>
        </w:rPr>
        <w:t xml:space="preserve"> </w:t>
      </w:r>
      <w:r w:rsidRPr="00EB4142">
        <w:rPr>
          <w:rFonts w:ascii="Calibri" w:hAnsi="Calibri" w:cs="Calibri"/>
        </w:rPr>
        <w:t xml:space="preserve">and </w:t>
      </w:r>
      <w:r>
        <w:rPr>
          <w:rFonts w:ascii="Calibri" w:hAnsi="Calibri" w:cs="Calibri"/>
        </w:rPr>
        <w:t xml:space="preserve">other </w:t>
      </w:r>
      <w:r w:rsidRPr="00EB4142">
        <w:rPr>
          <w:rFonts w:ascii="Calibri" w:hAnsi="Calibri" w:cs="Calibri"/>
        </w:rPr>
        <w:t>complementary electrofishing</w:t>
      </w:r>
      <w:r>
        <w:rPr>
          <w:rFonts w:ascii="Calibri" w:hAnsi="Calibri" w:cs="Calibri"/>
        </w:rPr>
        <w:t xml:space="preserve"> conducted by SARDI</w:t>
      </w:r>
      <w:r>
        <w:t xml:space="preserve">. </w:t>
      </w:r>
      <w:r>
        <w:rPr>
          <w:bCs/>
        </w:rPr>
        <w:t xml:space="preserve">Murray cod larvae might also be collected during spring sampling trips for stream metabolism and microinvertebrates, or golden perch contingency sampling (flows &gt;20,000 ML/d). </w:t>
      </w:r>
      <w:r>
        <w:t>Analyses will include data from previous work in the Lower Murray, including LTIM.</w:t>
      </w:r>
    </w:p>
    <w:p w14:paraId="04DF5EB2" w14:textId="77777777" w:rsidR="00CF0989" w:rsidRDefault="00CF0989" w:rsidP="00CF0989">
      <w:pPr>
        <w:pStyle w:val="Heading2"/>
      </w:pPr>
      <w:bookmarkStart w:id="2323" w:name="_Toc10095340"/>
      <w:bookmarkStart w:id="2324" w:name="_Toc10192509"/>
      <w:bookmarkStart w:id="2325" w:name="_Toc10206824"/>
      <w:bookmarkStart w:id="2326" w:name="_Toc10213410"/>
      <w:bookmarkStart w:id="2327" w:name="_Toc10732434"/>
      <w:bookmarkStart w:id="2328" w:name="_Toc10796993"/>
      <w:bookmarkStart w:id="2329" w:name="_Toc12022877"/>
      <w:bookmarkStart w:id="2330" w:name="_Toc12630707"/>
      <w:bookmarkStart w:id="2331" w:name="_Toc16154567"/>
      <w:bookmarkStart w:id="2332" w:name="_Toc22196929"/>
      <w:r w:rsidRPr="004B7CC1">
        <w:t>Monitoring locations and timing</w:t>
      </w:r>
      <w:bookmarkEnd w:id="2323"/>
      <w:bookmarkEnd w:id="2324"/>
      <w:bookmarkEnd w:id="2325"/>
      <w:bookmarkEnd w:id="2326"/>
      <w:bookmarkEnd w:id="2327"/>
      <w:bookmarkEnd w:id="2328"/>
      <w:bookmarkEnd w:id="2329"/>
      <w:bookmarkEnd w:id="2330"/>
      <w:bookmarkEnd w:id="2331"/>
      <w:bookmarkEnd w:id="2332"/>
    </w:p>
    <w:p w14:paraId="0840931B" w14:textId="77777777" w:rsidR="00CF0989" w:rsidRDefault="00CF0989" w:rsidP="00CF0989">
      <w:pPr>
        <w:pStyle w:val="Heading3"/>
      </w:pPr>
      <w:bookmarkStart w:id="2333" w:name="_Toc10095341"/>
      <w:bookmarkStart w:id="2334" w:name="_Toc10192510"/>
      <w:bookmarkStart w:id="2335" w:name="_Toc10206825"/>
      <w:bookmarkStart w:id="2336" w:name="_Toc10213411"/>
      <w:bookmarkStart w:id="2337" w:name="_Toc10732435"/>
      <w:bookmarkStart w:id="2338" w:name="_Toc10796994"/>
      <w:bookmarkStart w:id="2339" w:name="_Toc12022878"/>
      <w:bookmarkStart w:id="2340" w:name="_Toc12630708"/>
      <w:bookmarkStart w:id="2341" w:name="_Toc16154568"/>
      <w:bookmarkStart w:id="2342" w:name="_Toc22196930"/>
      <w:r>
        <w:t>Locations</w:t>
      </w:r>
      <w:bookmarkEnd w:id="2333"/>
      <w:bookmarkEnd w:id="2334"/>
      <w:bookmarkEnd w:id="2335"/>
      <w:bookmarkEnd w:id="2336"/>
      <w:bookmarkEnd w:id="2337"/>
      <w:bookmarkEnd w:id="2338"/>
      <w:bookmarkEnd w:id="2339"/>
      <w:bookmarkEnd w:id="2340"/>
      <w:bookmarkEnd w:id="2341"/>
      <w:bookmarkEnd w:id="2342"/>
    </w:p>
    <w:p w14:paraId="30582E61" w14:textId="77777777" w:rsidR="00CF0989" w:rsidRDefault="00CF0989" w:rsidP="00CF0989">
      <w:pPr>
        <w:rPr>
          <w:bCs/>
        </w:rPr>
      </w:pPr>
      <w:r w:rsidRPr="00924FD3">
        <w:rPr>
          <w:bCs/>
        </w:rPr>
        <w:t xml:space="preserve">Sampling for </w:t>
      </w:r>
      <w:r>
        <w:rPr>
          <w:bCs/>
        </w:rPr>
        <w:t>larval</w:t>
      </w:r>
      <w:r w:rsidRPr="00924FD3">
        <w:rPr>
          <w:bCs/>
        </w:rPr>
        <w:t xml:space="preserve"> </w:t>
      </w:r>
      <w:r>
        <w:rPr>
          <w:bCs/>
        </w:rPr>
        <w:t>and juvenile life stages of Murray cod</w:t>
      </w:r>
      <w:r w:rsidRPr="00924FD3">
        <w:rPr>
          <w:bCs/>
        </w:rPr>
        <w:t xml:space="preserve"> will be conducted at </w:t>
      </w:r>
      <w:r>
        <w:rPr>
          <w:bCs/>
        </w:rPr>
        <w:t>two</w:t>
      </w:r>
      <w:r w:rsidRPr="00924FD3">
        <w:rPr>
          <w:bCs/>
        </w:rPr>
        <w:t xml:space="preserve"> </w:t>
      </w:r>
      <w:r>
        <w:rPr>
          <w:bCs/>
        </w:rPr>
        <w:t>locations</w:t>
      </w:r>
      <w:r w:rsidRPr="00A53BAA">
        <w:rPr>
          <w:bCs/>
        </w:rPr>
        <w:t xml:space="preserve"> in the main channel of the </w:t>
      </w:r>
      <w:r w:rsidRPr="00C304CC">
        <w:rPr>
          <w:bCs/>
        </w:rPr>
        <w:t>Lower Murray</w:t>
      </w:r>
      <w:r>
        <w:rPr>
          <w:bCs/>
        </w:rPr>
        <w:t>: in the tailwaters (&lt;15 km downstream) of Lock 4 (</w:t>
      </w:r>
      <w:r w:rsidRPr="00841D07">
        <w:rPr>
          <w:bCs/>
          <w:i/>
        </w:rPr>
        <w:t>Floodplain</w:t>
      </w:r>
      <w:r>
        <w:rPr>
          <w:bCs/>
        </w:rPr>
        <w:t xml:space="preserve"> zone) and another Lock (to be determined)</w:t>
      </w:r>
      <w:r w:rsidRPr="00A53BAA">
        <w:rPr>
          <w:bCs/>
        </w:rPr>
        <w:t>.</w:t>
      </w:r>
      <w:r>
        <w:rPr>
          <w:bCs/>
        </w:rPr>
        <w:t xml:space="preserve"> </w:t>
      </w:r>
    </w:p>
    <w:p w14:paraId="41F80239" w14:textId="77777777" w:rsidR="00CF0989" w:rsidRDefault="00CF0989" w:rsidP="00CF0989">
      <w:pPr>
        <w:rPr>
          <w:bCs/>
        </w:rPr>
      </w:pPr>
      <w:r>
        <w:rPr>
          <w:bCs/>
        </w:rPr>
        <w:lastRenderedPageBreak/>
        <w:t>Young-of-year and adult</w:t>
      </w:r>
      <w:r w:rsidRPr="00924FD3">
        <w:rPr>
          <w:bCs/>
        </w:rPr>
        <w:t xml:space="preserve"> </w:t>
      </w:r>
      <w:r>
        <w:rPr>
          <w:bCs/>
        </w:rPr>
        <w:t>Murray cod</w:t>
      </w:r>
      <w:r w:rsidRPr="00924FD3">
        <w:rPr>
          <w:bCs/>
        </w:rPr>
        <w:t xml:space="preserve"> </w:t>
      </w:r>
      <w:r>
        <w:rPr>
          <w:bCs/>
        </w:rPr>
        <w:t xml:space="preserve">electrofishing </w:t>
      </w:r>
      <w:r w:rsidRPr="00924FD3">
        <w:rPr>
          <w:bCs/>
        </w:rPr>
        <w:t xml:space="preserve">will </w:t>
      </w:r>
      <w:r>
        <w:rPr>
          <w:bCs/>
        </w:rPr>
        <w:t xml:space="preserve">occur in the </w:t>
      </w:r>
      <w:r w:rsidRPr="008D4608">
        <w:rPr>
          <w:bCs/>
        </w:rPr>
        <w:t>Gorge and Floodplain zones</w:t>
      </w:r>
      <w:r>
        <w:rPr>
          <w:bCs/>
        </w:rPr>
        <w:t xml:space="preserve">, throughout the Lower Murray Selected Area. Abundance and length data, and YOY samples will also </w:t>
      </w:r>
      <w:r w:rsidRPr="00924FD3">
        <w:rPr>
          <w:bCs/>
        </w:rPr>
        <w:t xml:space="preserve">be </w:t>
      </w:r>
      <w:r>
        <w:rPr>
          <w:bCs/>
        </w:rPr>
        <w:t xml:space="preserve">collected through </w:t>
      </w:r>
      <w:r w:rsidRPr="008D4608">
        <w:rPr>
          <w:bCs/>
          <w:i/>
        </w:rPr>
        <w:t>Fish (Channel)</w:t>
      </w:r>
      <w:r w:rsidRPr="00924FD3">
        <w:rPr>
          <w:bCs/>
        </w:rPr>
        <w:t xml:space="preserve"> sampli</w:t>
      </w:r>
      <w:r>
        <w:rPr>
          <w:bCs/>
        </w:rPr>
        <w:t xml:space="preserve">ng in the </w:t>
      </w:r>
      <w:r w:rsidRPr="008D4608">
        <w:rPr>
          <w:bCs/>
        </w:rPr>
        <w:t>Gorge zone.</w:t>
      </w:r>
    </w:p>
    <w:p w14:paraId="627A2D61" w14:textId="77777777" w:rsidR="00CF0989" w:rsidRDefault="00CF0989" w:rsidP="00CF0989">
      <w:pPr>
        <w:pStyle w:val="Heading3"/>
      </w:pPr>
      <w:bookmarkStart w:id="2343" w:name="_Toc10095342"/>
      <w:bookmarkStart w:id="2344" w:name="_Toc10192511"/>
      <w:bookmarkStart w:id="2345" w:name="_Toc10206826"/>
      <w:bookmarkStart w:id="2346" w:name="_Toc10213412"/>
      <w:bookmarkStart w:id="2347" w:name="_Toc10732436"/>
      <w:bookmarkStart w:id="2348" w:name="_Toc10796995"/>
      <w:bookmarkStart w:id="2349" w:name="_Toc12022879"/>
      <w:bookmarkStart w:id="2350" w:name="_Toc12630709"/>
      <w:bookmarkStart w:id="2351" w:name="_Toc16154569"/>
      <w:bookmarkStart w:id="2352" w:name="_Toc22196931"/>
      <w:r>
        <w:t>Timing</w:t>
      </w:r>
      <w:bookmarkEnd w:id="2343"/>
      <w:bookmarkEnd w:id="2344"/>
      <w:bookmarkEnd w:id="2345"/>
      <w:bookmarkEnd w:id="2346"/>
      <w:bookmarkEnd w:id="2347"/>
      <w:bookmarkEnd w:id="2348"/>
      <w:bookmarkEnd w:id="2349"/>
      <w:bookmarkEnd w:id="2350"/>
      <w:bookmarkEnd w:id="2351"/>
      <w:bookmarkEnd w:id="2352"/>
    </w:p>
    <w:p w14:paraId="042BD8EE" w14:textId="77777777" w:rsidR="00CF0989" w:rsidRDefault="00CF0989" w:rsidP="00CF0989">
      <w:pPr>
        <w:rPr>
          <w:bCs/>
        </w:rPr>
      </w:pPr>
      <w:r>
        <w:rPr>
          <w:bCs/>
        </w:rPr>
        <w:t>Murray cod will be sampled on four occasions as follows:</w:t>
      </w:r>
    </w:p>
    <w:p w14:paraId="212DCB26" w14:textId="29A468D0" w:rsidR="00CF0989" w:rsidRDefault="00CF0989" w:rsidP="00CB75AF">
      <w:pPr>
        <w:pStyle w:val="ListParagraph"/>
        <w:numPr>
          <w:ilvl w:val="0"/>
          <w:numId w:val="63"/>
        </w:numPr>
        <w:spacing w:line="259" w:lineRule="auto"/>
        <w:jc w:val="left"/>
        <w:rPr>
          <w:bCs/>
        </w:rPr>
      </w:pPr>
      <w:r>
        <w:rPr>
          <w:bCs/>
        </w:rPr>
        <w:t xml:space="preserve">November – Larval sampling:  This will involve an </w:t>
      </w:r>
      <w:r w:rsidRPr="00A21773">
        <w:rPr>
          <w:bCs/>
        </w:rPr>
        <w:t xml:space="preserve">intensive week </w:t>
      </w:r>
      <w:r>
        <w:rPr>
          <w:bCs/>
        </w:rPr>
        <w:t>of</w:t>
      </w:r>
      <w:r w:rsidRPr="00A21773">
        <w:rPr>
          <w:bCs/>
        </w:rPr>
        <w:t xml:space="preserve"> collecting larvae </w:t>
      </w:r>
      <w:r>
        <w:rPr>
          <w:bCs/>
        </w:rPr>
        <w:t xml:space="preserve">(light traps and net tows) during the peak period of larval presence </w:t>
      </w:r>
      <w:r w:rsidRPr="00A21773">
        <w:rPr>
          <w:bCs/>
        </w:rPr>
        <w:t xml:space="preserve">in the </w:t>
      </w:r>
      <w:r w:rsidR="008D5F43">
        <w:rPr>
          <w:bCs/>
        </w:rPr>
        <w:t>Lower Murray</w:t>
      </w:r>
      <w:r w:rsidRPr="00A21773">
        <w:rPr>
          <w:bCs/>
        </w:rPr>
        <w:t xml:space="preserve"> (</w:t>
      </w:r>
      <w:r w:rsidRPr="00C00DFB">
        <w:rPr>
          <w:bCs/>
        </w:rPr>
        <w:t>SARDI unpublished data</w:t>
      </w:r>
      <w:r w:rsidRPr="00A21773">
        <w:rPr>
          <w:bCs/>
        </w:rPr>
        <w:t>). Further larvae may also be collected during spring sampling trips for stream metabolism and microinvertebrates, or golden perch contingency sampling (flows &gt;20,000 ML/d).</w:t>
      </w:r>
    </w:p>
    <w:p w14:paraId="74D73C7B" w14:textId="77777777" w:rsidR="00CF0989" w:rsidRDefault="00CF0989" w:rsidP="00CB75AF">
      <w:pPr>
        <w:pStyle w:val="ListParagraph"/>
        <w:numPr>
          <w:ilvl w:val="0"/>
          <w:numId w:val="63"/>
        </w:numPr>
        <w:spacing w:line="259" w:lineRule="auto"/>
        <w:jc w:val="left"/>
        <w:rPr>
          <w:bCs/>
        </w:rPr>
      </w:pPr>
      <w:r>
        <w:rPr>
          <w:bCs/>
        </w:rPr>
        <w:t>December/January – Juvenile sampling trip 1: This will involve sampling of early stage juveniles using multiple techniques (e.g. light traps, electrofishing, etc.)</w:t>
      </w:r>
    </w:p>
    <w:p w14:paraId="0038260F" w14:textId="77777777" w:rsidR="00CF0989" w:rsidRDefault="00CF0989" w:rsidP="00CB75AF">
      <w:pPr>
        <w:pStyle w:val="ListParagraph"/>
        <w:numPr>
          <w:ilvl w:val="0"/>
          <w:numId w:val="63"/>
        </w:numPr>
        <w:spacing w:line="259" w:lineRule="auto"/>
        <w:jc w:val="left"/>
        <w:rPr>
          <w:bCs/>
        </w:rPr>
      </w:pPr>
      <w:r>
        <w:rPr>
          <w:bCs/>
        </w:rPr>
        <w:t>February/March – Juvenile sampling trip 2: This will involve sampling of early stage juveniles using multiple techniques (e.g. light traps, electrofishing, etc.)</w:t>
      </w:r>
    </w:p>
    <w:p w14:paraId="0518CC2B" w14:textId="77777777" w:rsidR="00CF0989" w:rsidRPr="00A21773" w:rsidRDefault="00CF0989" w:rsidP="00CB75AF">
      <w:pPr>
        <w:pStyle w:val="ListParagraph"/>
        <w:numPr>
          <w:ilvl w:val="0"/>
          <w:numId w:val="63"/>
        </w:numPr>
        <w:spacing w:line="259" w:lineRule="auto"/>
        <w:jc w:val="left"/>
        <w:rPr>
          <w:bCs/>
        </w:rPr>
      </w:pPr>
      <w:r>
        <w:rPr>
          <w:bCs/>
        </w:rPr>
        <w:t>April/May – Population and YOY sampling: This will involve monitoring of all life stages of Murray cod using boat electrofishing to assess size/age distributions, and also service to provide data on YOY abundance and collect samples for analysis.</w:t>
      </w:r>
    </w:p>
    <w:p w14:paraId="235D4260" w14:textId="4339CB91" w:rsidR="00CF0989" w:rsidRDefault="00CF0989" w:rsidP="00CF0989">
      <w:r>
        <w:rPr>
          <w:rFonts w:cs="Calibri"/>
        </w:rPr>
        <w:t xml:space="preserve">Refer </w:t>
      </w:r>
      <w:r w:rsidRPr="00A64C0A">
        <w:rPr>
          <w:rFonts w:cs="Calibri"/>
        </w:rPr>
        <w:t xml:space="preserve">to </w:t>
      </w:r>
      <w:r w:rsidR="00A64C0A" w:rsidRPr="00A64C0A">
        <w:rPr>
          <w:rFonts w:cs="Calibri"/>
        </w:rPr>
        <w:t xml:space="preserve">Section </w:t>
      </w:r>
      <w:r w:rsidR="00A64C0A" w:rsidRPr="00A64C0A">
        <w:rPr>
          <w:rFonts w:cs="Calibri"/>
        </w:rPr>
        <w:fldChar w:fldCharType="begin"/>
      </w:r>
      <w:r w:rsidR="00A64C0A" w:rsidRPr="00A64C0A">
        <w:rPr>
          <w:rFonts w:cs="Calibri"/>
        </w:rPr>
        <w:instrText xml:space="preserve"> REF _Ref10197301 \r \h </w:instrText>
      </w:r>
      <w:r w:rsidR="00A64C0A">
        <w:rPr>
          <w:rFonts w:cs="Calibri"/>
        </w:rPr>
        <w:instrText xml:space="preserve"> \* MERGEFORMAT </w:instrText>
      </w:r>
      <w:r w:rsidR="00A64C0A" w:rsidRPr="00A64C0A">
        <w:rPr>
          <w:rFonts w:cs="Calibri"/>
        </w:rPr>
      </w:r>
      <w:r w:rsidR="00A64C0A" w:rsidRPr="00A64C0A">
        <w:rPr>
          <w:rFonts w:cs="Calibri"/>
        </w:rPr>
        <w:fldChar w:fldCharType="separate"/>
      </w:r>
      <w:r w:rsidR="00DF49CD">
        <w:rPr>
          <w:rFonts w:cs="Calibri"/>
        </w:rPr>
        <w:t>7.2</w:t>
      </w:r>
      <w:r w:rsidR="00A64C0A" w:rsidRPr="00A64C0A">
        <w:rPr>
          <w:rFonts w:cs="Calibri"/>
        </w:rPr>
        <w:fldChar w:fldCharType="end"/>
      </w:r>
      <w:r w:rsidRPr="00A64C0A">
        <w:rPr>
          <w:rFonts w:cs="Calibri"/>
        </w:rPr>
        <w:t xml:space="preserve"> in the</w:t>
      </w:r>
      <w:r>
        <w:rPr>
          <w:rFonts w:cs="Calibri"/>
        </w:rPr>
        <w:t xml:space="preserve"> MER Plan for a monthly monitoring schedule for </w:t>
      </w:r>
      <w:r w:rsidR="008D4608" w:rsidRPr="008D4608">
        <w:rPr>
          <w:rFonts w:cs="Calibri"/>
          <w:i/>
        </w:rPr>
        <w:t>Murray Cod</w:t>
      </w:r>
      <w:r w:rsidR="008D4608">
        <w:rPr>
          <w:rFonts w:cs="Calibri"/>
        </w:rPr>
        <w:t xml:space="preserve"> </w:t>
      </w:r>
      <w:r w:rsidR="008D4608" w:rsidRPr="008D4608">
        <w:rPr>
          <w:rFonts w:cs="Calibri"/>
          <w:i/>
        </w:rPr>
        <w:t>Recruitment</w:t>
      </w:r>
      <w:r>
        <w:rPr>
          <w:rFonts w:cs="Calibri"/>
        </w:rPr>
        <w:t>.</w:t>
      </w:r>
    </w:p>
    <w:p w14:paraId="4BC819ED" w14:textId="77777777" w:rsidR="00CF0989" w:rsidRPr="004B7CC1" w:rsidRDefault="00CF0989" w:rsidP="00CF0989">
      <w:pPr>
        <w:pStyle w:val="Heading2"/>
      </w:pPr>
      <w:bookmarkStart w:id="2353" w:name="_Toc10095343"/>
      <w:bookmarkStart w:id="2354" w:name="_Toc10192512"/>
      <w:bookmarkStart w:id="2355" w:name="_Toc10206827"/>
      <w:bookmarkStart w:id="2356" w:name="_Toc10213413"/>
      <w:bookmarkStart w:id="2357" w:name="_Toc10732437"/>
      <w:bookmarkStart w:id="2358" w:name="_Toc10796996"/>
      <w:bookmarkStart w:id="2359" w:name="_Toc12022880"/>
      <w:bookmarkStart w:id="2360" w:name="_Toc12630710"/>
      <w:bookmarkStart w:id="2361" w:name="_Toc16154570"/>
      <w:bookmarkStart w:id="2362" w:name="_Toc22196932"/>
      <w:r w:rsidRPr="004B7CC1">
        <w:t>Monitoring protocol</w:t>
      </w:r>
      <w:bookmarkEnd w:id="2353"/>
      <w:bookmarkEnd w:id="2354"/>
      <w:bookmarkEnd w:id="2355"/>
      <w:bookmarkEnd w:id="2356"/>
      <w:bookmarkEnd w:id="2357"/>
      <w:bookmarkEnd w:id="2358"/>
      <w:bookmarkEnd w:id="2359"/>
      <w:bookmarkEnd w:id="2360"/>
      <w:bookmarkEnd w:id="2361"/>
      <w:bookmarkEnd w:id="2362"/>
    </w:p>
    <w:p w14:paraId="569783D5" w14:textId="77777777" w:rsidR="00CF0989" w:rsidRPr="00162342" w:rsidRDefault="00CF0989" w:rsidP="00CF0989">
      <w:pPr>
        <w:pStyle w:val="Heading3"/>
      </w:pPr>
      <w:bookmarkStart w:id="2363" w:name="_Toc10095344"/>
      <w:bookmarkStart w:id="2364" w:name="_Toc10192513"/>
      <w:bookmarkStart w:id="2365" w:name="_Toc10206828"/>
      <w:bookmarkStart w:id="2366" w:name="_Toc10213414"/>
      <w:bookmarkStart w:id="2367" w:name="_Toc10732438"/>
      <w:bookmarkStart w:id="2368" w:name="_Toc10796997"/>
      <w:bookmarkStart w:id="2369" w:name="_Toc12022881"/>
      <w:bookmarkStart w:id="2370" w:name="_Toc12630711"/>
      <w:bookmarkStart w:id="2371" w:name="_Toc16154571"/>
      <w:bookmarkStart w:id="2372" w:name="_Toc22196933"/>
      <w:r>
        <w:t>L</w:t>
      </w:r>
      <w:r w:rsidRPr="00162342">
        <w:t>arval fish</w:t>
      </w:r>
      <w:r>
        <w:t xml:space="preserve"> net tows</w:t>
      </w:r>
      <w:bookmarkEnd w:id="2363"/>
      <w:bookmarkEnd w:id="2364"/>
      <w:bookmarkEnd w:id="2365"/>
      <w:bookmarkEnd w:id="2366"/>
      <w:bookmarkEnd w:id="2367"/>
      <w:bookmarkEnd w:id="2368"/>
      <w:bookmarkEnd w:id="2369"/>
      <w:bookmarkEnd w:id="2370"/>
      <w:bookmarkEnd w:id="2371"/>
      <w:bookmarkEnd w:id="2372"/>
    </w:p>
    <w:p w14:paraId="0DA965BD" w14:textId="77777777" w:rsidR="00CF0989" w:rsidRDefault="00CF0989" w:rsidP="00CF0989">
      <w:r>
        <w:t>Larval fish sampling will be conducted using paired bongo nets towed behind a boat.</w:t>
      </w:r>
      <w:r w:rsidRPr="004B7CC1">
        <w:t xml:space="preserve"> Samples will be fixed in ethanol and preserved for analysis in the lab. Volume of water through the net will be estimated with a flow-meter attached to the front of the net. Larval fish sorting</w:t>
      </w:r>
      <w:r>
        <w:t xml:space="preserve"> and enumeration</w:t>
      </w:r>
      <w:r w:rsidRPr="004B7CC1">
        <w:t xml:space="preserve"> will be conducted in the laboratory. </w:t>
      </w:r>
    </w:p>
    <w:p w14:paraId="36B0B198" w14:textId="77777777" w:rsidR="00CF0989" w:rsidRPr="00A66F53" w:rsidRDefault="00CF0989" w:rsidP="00CF0989">
      <w:pPr>
        <w:pStyle w:val="Heading4"/>
        <w:rPr>
          <w:szCs w:val="24"/>
        </w:rPr>
      </w:pPr>
      <w:r w:rsidRPr="00A66F53">
        <w:t>Equipment</w:t>
      </w:r>
    </w:p>
    <w:p w14:paraId="3399D4F5" w14:textId="77777777" w:rsidR="00CF0989" w:rsidRPr="00F84D75" w:rsidRDefault="00CF0989" w:rsidP="00C77254">
      <w:pPr>
        <w:pStyle w:val="ListParagraph"/>
        <w:numPr>
          <w:ilvl w:val="0"/>
          <w:numId w:val="43"/>
        </w:numPr>
        <w:ind w:left="765" w:hanging="357"/>
        <w:rPr>
          <w:b/>
          <w:bCs/>
          <w:i/>
          <w:sz w:val="24"/>
        </w:rPr>
      </w:pPr>
      <w:r>
        <w:rPr>
          <w:bCs/>
        </w:rPr>
        <w:t>Paired bongo net (</w:t>
      </w:r>
      <w:r w:rsidRPr="00EA4B25">
        <w:rPr>
          <w:bCs/>
        </w:rPr>
        <w:t>500 µm mesh; square-framed 0.5 x 0.5 m and 3 m long</w:t>
      </w:r>
      <w:r>
        <w:rPr>
          <w:bCs/>
        </w:rPr>
        <w:t>)</w:t>
      </w:r>
    </w:p>
    <w:p w14:paraId="2F8B9272" w14:textId="77777777" w:rsidR="00CF0989" w:rsidRPr="003E79F1" w:rsidRDefault="00CF0989" w:rsidP="00C77254">
      <w:pPr>
        <w:pStyle w:val="ListParagraph"/>
        <w:numPr>
          <w:ilvl w:val="0"/>
          <w:numId w:val="43"/>
        </w:numPr>
        <w:ind w:left="765" w:hanging="357"/>
        <w:rPr>
          <w:b/>
          <w:bCs/>
          <w:i/>
          <w:sz w:val="24"/>
        </w:rPr>
      </w:pPr>
      <w:r>
        <w:rPr>
          <w:bCs/>
        </w:rPr>
        <w:t>Ethanol</w:t>
      </w:r>
    </w:p>
    <w:p w14:paraId="187DF848" w14:textId="77777777" w:rsidR="00CF0989" w:rsidRPr="001F6FDA" w:rsidRDefault="00CF0989" w:rsidP="00C77254">
      <w:pPr>
        <w:pStyle w:val="ListParagraph"/>
        <w:numPr>
          <w:ilvl w:val="0"/>
          <w:numId w:val="43"/>
        </w:numPr>
        <w:ind w:left="765" w:hanging="357"/>
        <w:rPr>
          <w:b/>
          <w:bCs/>
          <w:i/>
          <w:sz w:val="24"/>
        </w:rPr>
      </w:pPr>
      <w:r>
        <w:rPr>
          <w:bCs/>
        </w:rPr>
        <w:t>32</w:t>
      </w:r>
      <w:r>
        <w:rPr>
          <w:rFonts w:cstheme="minorHAnsi"/>
          <w:bCs/>
        </w:rPr>
        <w:t>µ</w:t>
      </w:r>
      <w:r>
        <w:rPr>
          <w:bCs/>
        </w:rPr>
        <w:t>m mesh sieve</w:t>
      </w:r>
    </w:p>
    <w:p w14:paraId="33AAA5F8" w14:textId="77777777" w:rsidR="00CF0989" w:rsidRPr="001F6FDA" w:rsidRDefault="00CF0989" w:rsidP="00C77254">
      <w:pPr>
        <w:pStyle w:val="ListParagraph"/>
        <w:numPr>
          <w:ilvl w:val="0"/>
          <w:numId w:val="43"/>
        </w:numPr>
        <w:ind w:left="765" w:hanging="357"/>
        <w:rPr>
          <w:b/>
          <w:bCs/>
          <w:i/>
          <w:sz w:val="24"/>
        </w:rPr>
      </w:pPr>
      <w:r>
        <w:rPr>
          <w:bCs/>
        </w:rPr>
        <w:t>Sample containers</w:t>
      </w:r>
    </w:p>
    <w:p w14:paraId="34ADDD55" w14:textId="77777777" w:rsidR="00CF0989" w:rsidRPr="001F6FDA" w:rsidRDefault="00CF0989" w:rsidP="00C77254">
      <w:pPr>
        <w:pStyle w:val="ListParagraph"/>
        <w:numPr>
          <w:ilvl w:val="0"/>
          <w:numId w:val="43"/>
        </w:numPr>
        <w:ind w:left="765" w:hanging="357"/>
        <w:rPr>
          <w:b/>
          <w:bCs/>
          <w:i/>
          <w:sz w:val="24"/>
        </w:rPr>
      </w:pPr>
      <w:r>
        <w:rPr>
          <w:bCs/>
        </w:rPr>
        <w:t>Squeeze bottle (for sample rinsing)</w:t>
      </w:r>
    </w:p>
    <w:p w14:paraId="0D10CF3D" w14:textId="77777777" w:rsidR="00CF0989" w:rsidRPr="001F6FDA" w:rsidRDefault="00CF0989" w:rsidP="00C77254">
      <w:pPr>
        <w:pStyle w:val="ListParagraph"/>
        <w:numPr>
          <w:ilvl w:val="0"/>
          <w:numId w:val="43"/>
        </w:numPr>
        <w:ind w:left="765" w:hanging="357"/>
        <w:rPr>
          <w:b/>
          <w:bCs/>
          <w:i/>
          <w:sz w:val="24"/>
        </w:rPr>
      </w:pPr>
      <w:r>
        <w:rPr>
          <w:bCs/>
        </w:rPr>
        <w:t>Flow meter</w:t>
      </w:r>
    </w:p>
    <w:p w14:paraId="58EB03F7" w14:textId="77777777" w:rsidR="00CF0989" w:rsidRPr="001F6FDA" w:rsidRDefault="00CF0989" w:rsidP="00C77254">
      <w:pPr>
        <w:pStyle w:val="ListParagraph"/>
        <w:numPr>
          <w:ilvl w:val="0"/>
          <w:numId w:val="43"/>
        </w:numPr>
        <w:ind w:left="765" w:hanging="357"/>
        <w:rPr>
          <w:b/>
          <w:bCs/>
          <w:i/>
          <w:sz w:val="24"/>
        </w:rPr>
      </w:pPr>
      <w:r>
        <w:rPr>
          <w:bCs/>
        </w:rPr>
        <w:t>Water quality multimeter</w:t>
      </w:r>
    </w:p>
    <w:p w14:paraId="4B040C65" w14:textId="77777777" w:rsidR="00CF0989" w:rsidRPr="001F6FDA" w:rsidRDefault="00CF0989" w:rsidP="00C77254">
      <w:pPr>
        <w:pStyle w:val="ListParagraph"/>
        <w:numPr>
          <w:ilvl w:val="0"/>
          <w:numId w:val="43"/>
        </w:numPr>
        <w:ind w:left="765" w:hanging="357"/>
        <w:rPr>
          <w:b/>
          <w:bCs/>
          <w:i/>
          <w:sz w:val="24"/>
        </w:rPr>
      </w:pPr>
      <w:r>
        <w:rPr>
          <w:bCs/>
        </w:rPr>
        <w:t>Field sheets.</w:t>
      </w:r>
    </w:p>
    <w:p w14:paraId="755C6D95" w14:textId="77777777" w:rsidR="00CF0989" w:rsidRPr="00A66F53" w:rsidRDefault="00CF0989" w:rsidP="00CF0989">
      <w:pPr>
        <w:pStyle w:val="Heading4"/>
      </w:pPr>
      <w:r w:rsidRPr="00A66F53">
        <w:t>Protocol</w:t>
      </w:r>
    </w:p>
    <w:p w14:paraId="75E4E6BC" w14:textId="77777777" w:rsidR="00CF0989" w:rsidRDefault="00CF0989" w:rsidP="00CB75AF">
      <w:pPr>
        <w:pStyle w:val="ListParagraph"/>
        <w:numPr>
          <w:ilvl w:val="0"/>
          <w:numId w:val="59"/>
        </w:numPr>
        <w:ind w:left="584" w:hanging="357"/>
        <w:rPr>
          <w:bCs/>
        </w:rPr>
      </w:pPr>
      <w:r>
        <w:rPr>
          <w:bCs/>
        </w:rPr>
        <w:t>B</w:t>
      </w:r>
      <w:r w:rsidRPr="001459C3">
        <w:rPr>
          <w:bCs/>
        </w:rPr>
        <w:t>ongo net</w:t>
      </w:r>
      <w:r>
        <w:rPr>
          <w:bCs/>
        </w:rPr>
        <w:t xml:space="preserve"> to be towed</w:t>
      </w:r>
      <w:r w:rsidRPr="001459C3">
        <w:rPr>
          <w:bCs/>
        </w:rPr>
        <w:t xml:space="preserve"> behind boat for 15 minute tows. </w:t>
      </w:r>
    </w:p>
    <w:p w14:paraId="6974B301" w14:textId="77777777" w:rsidR="00CF0989" w:rsidRPr="00644C92" w:rsidRDefault="00CF0989" w:rsidP="00CB75AF">
      <w:pPr>
        <w:pStyle w:val="ListParagraph"/>
        <w:numPr>
          <w:ilvl w:val="0"/>
          <w:numId w:val="59"/>
        </w:numPr>
        <w:ind w:left="584" w:hanging="357"/>
        <w:rPr>
          <w:bCs/>
        </w:rPr>
      </w:pPr>
      <w:r w:rsidRPr="001459C3">
        <w:rPr>
          <w:bCs/>
        </w:rPr>
        <w:t>Nets are towed in zig-zag using a 20 m rope, in the river main channel in areas with a depth greater than 1 m. The volume of water filtered through each net is determined using a flow meter (General Oceanics), fitted in the centre of the mouth openings.</w:t>
      </w:r>
    </w:p>
    <w:p w14:paraId="3D041F2E" w14:textId="77777777" w:rsidR="00CF0989" w:rsidRPr="001459C3" w:rsidRDefault="00CF0989" w:rsidP="00CB75AF">
      <w:pPr>
        <w:pStyle w:val="ListParagraph"/>
        <w:numPr>
          <w:ilvl w:val="0"/>
          <w:numId w:val="59"/>
        </w:numPr>
        <w:ind w:left="584" w:hanging="357"/>
        <w:rPr>
          <w:bCs/>
        </w:rPr>
      </w:pPr>
      <w:r w:rsidRPr="001459C3">
        <w:rPr>
          <w:bCs/>
        </w:rPr>
        <w:t>Plankton tows are conducted using a pair of square-framed, 0.5 x 0.5 m, 3 m long bongo nets of 500 μm mesh. Nets are equipped with a 60 cm pneumatic float in the centre of the frame, so the frame sat five cm below the water surface.</w:t>
      </w:r>
    </w:p>
    <w:p w14:paraId="622CFE2D" w14:textId="77777777" w:rsidR="00CF0989" w:rsidRPr="002D72F7" w:rsidRDefault="00CF0989" w:rsidP="00CB75AF">
      <w:pPr>
        <w:pStyle w:val="ListParagraph"/>
        <w:numPr>
          <w:ilvl w:val="0"/>
          <w:numId w:val="59"/>
        </w:numPr>
        <w:ind w:left="584" w:hanging="357"/>
        <w:rPr>
          <w:b/>
          <w:bCs/>
          <w:i/>
          <w:sz w:val="24"/>
        </w:rPr>
      </w:pPr>
      <w:r w:rsidRPr="002D72F7">
        <w:rPr>
          <w:bCs/>
        </w:rPr>
        <w:lastRenderedPageBreak/>
        <w:t xml:space="preserve">Once </w:t>
      </w:r>
      <w:r>
        <w:rPr>
          <w:bCs/>
        </w:rPr>
        <w:t xml:space="preserve">the </w:t>
      </w:r>
      <w:r w:rsidRPr="002D72F7">
        <w:rPr>
          <w:bCs/>
        </w:rPr>
        <w:t xml:space="preserve">tow is completed, samples from each net are rinsed into containers and preserved in 95% ethanol. </w:t>
      </w:r>
    </w:p>
    <w:p w14:paraId="731FF5B6" w14:textId="77777777" w:rsidR="00CF0989" w:rsidRPr="002D72F7" w:rsidRDefault="00CF0989" w:rsidP="00CB75AF">
      <w:pPr>
        <w:pStyle w:val="ListParagraph"/>
        <w:numPr>
          <w:ilvl w:val="0"/>
          <w:numId w:val="59"/>
        </w:numPr>
        <w:ind w:left="584" w:hanging="357"/>
        <w:rPr>
          <w:b/>
          <w:bCs/>
          <w:i/>
          <w:sz w:val="24"/>
        </w:rPr>
      </w:pPr>
      <w:r>
        <w:rPr>
          <w:bCs/>
        </w:rPr>
        <w:t>W</w:t>
      </w:r>
      <w:r w:rsidRPr="002D72F7">
        <w:rPr>
          <w:bCs/>
        </w:rPr>
        <w:t xml:space="preserve">ater quality parameters (dissolved oxygen, electrical conductivity, water temperature and turbidity) </w:t>
      </w:r>
      <w:r>
        <w:rPr>
          <w:bCs/>
        </w:rPr>
        <w:t xml:space="preserve">are recorded </w:t>
      </w:r>
      <w:r w:rsidRPr="002D72F7">
        <w:rPr>
          <w:bCs/>
        </w:rPr>
        <w:t>at each site.</w:t>
      </w:r>
    </w:p>
    <w:p w14:paraId="2C224081" w14:textId="77777777" w:rsidR="00CF0989" w:rsidRPr="002D72F7" w:rsidRDefault="00CF0989" w:rsidP="00CB75AF">
      <w:pPr>
        <w:pStyle w:val="ListParagraph"/>
        <w:numPr>
          <w:ilvl w:val="0"/>
          <w:numId w:val="59"/>
        </w:numPr>
        <w:ind w:left="584" w:hanging="357"/>
        <w:rPr>
          <w:b/>
          <w:bCs/>
          <w:i/>
          <w:sz w:val="24"/>
        </w:rPr>
      </w:pPr>
      <w:r>
        <w:rPr>
          <w:bCs/>
        </w:rPr>
        <w:t>Samples are transported to a laboratory for sorting under magnification lamps.</w:t>
      </w:r>
    </w:p>
    <w:p w14:paraId="3911523B" w14:textId="77777777" w:rsidR="00CF0989" w:rsidRDefault="00CF0989" w:rsidP="00CF0989">
      <w:pPr>
        <w:pStyle w:val="Heading3"/>
      </w:pPr>
      <w:bookmarkStart w:id="2373" w:name="_Toc10095345"/>
      <w:bookmarkStart w:id="2374" w:name="_Toc10192514"/>
      <w:bookmarkStart w:id="2375" w:name="_Toc10206829"/>
      <w:bookmarkStart w:id="2376" w:name="_Toc10213415"/>
      <w:bookmarkStart w:id="2377" w:name="_Toc10732439"/>
      <w:bookmarkStart w:id="2378" w:name="_Toc10796998"/>
      <w:bookmarkStart w:id="2379" w:name="_Toc12022882"/>
      <w:bookmarkStart w:id="2380" w:name="_Toc12630712"/>
      <w:bookmarkStart w:id="2381" w:name="_Toc16154572"/>
      <w:bookmarkStart w:id="2382" w:name="_Toc22196934"/>
      <w:r>
        <w:t>Light traps</w:t>
      </w:r>
      <w:bookmarkEnd w:id="2373"/>
      <w:bookmarkEnd w:id="2374"/>
      <w:bookmarkEnd w:id="2375"/>
      <w:bookmarkEnd w:id="2376"/>
      <w:bookmarkEnd w:id="2377"/>
      <w:bookmarkEnd w:id="2378"/>
      <w:bookmarkEnd w:id="2379"/>
      <w:bookmarkEnd w:id="2380"/>
      <w:bookmarkEnd w:id="2381"/>
      <w:bookmarkEnd w:id="2382"/>
    </w:p>
    <w:p w14:paraId="688C7234" w14:textId="77777777" w:rsidR="00CF0989" w:rsidRPr="0012437A" w:rsidRDefault="00CF0989" w:rsidP="00CF0989">
      <w:pPr>
        <w:rPr>
          <w:b/>
          <w:bCs/>
          <w:i/>
          <w:sz w:val="24"/>
        </w:rPr>
      </w:pPr>
      <w:r>
        <w:t>Larvae and YOY will be targeted using ligh</w:t>
      </w:r>
      <w:r w:rsidRPr="007C09A9">
        <w:t xml:space="preserve">t traps. The design of these traps are similar to those described in Hale </w:t>
      </w:r>
      <w:r w:rsidRPr="007C09A9">
        <w:rPr>
          <w:i/>
        </w:rPr>
        <w:t>et al.</w:t>
      </w:r>
      <w:r w:rsidRPr="007C09A9">
        <w:t xml:space="preserve"> (2014), although</w:t>
      </w:r>
      <w:r>
        <w:t xml:space="preserve"> modifications to the design are expected for the capture of larger juveniles in summer. </w:t>
      </w:r>
      <w:r w:rsidRPr="0012437A">
        <w:rPr>
          <w:bCs/>
        </w:rPr>
        <w:t xml:space="preserve">Light traps will be set in the afternoon along the bank of the river, in </w:t>
      </w:r>
      <w:r>
        <w:rPr>
          <w:bCs/>
        </w:rPr>
        <w:t>habitats deemed favourable for Murray cod larvae</w:t>
      </w:r>
      <w:r w:rsidRPr="0012437A">
        <w:rPr>
          <w:bCs/>
        </w:rPr>
        <w:t xml:space="preserve"> </w:t>
      </w:r>
      <w:r>
        <w:rPr>
          <w:bCs/>
        </w:rPr>
        <w:t>(i.e. slackwaters within broader areas of flowing habitat)</w:t>
      </w:r>
      <w:r w:rsidRPr="0012437A">
        <w:rPr>
          <w:bCs/>
        </w:rPr>
        <w:t>, and retrieved the following morning. Set and retrieval times will be recorded to calculate catch-per-unit-effort (CPUE). Each trap will be ‘baited’ with a yellow 12 h light stick</w:t>
      </w:r>
      <w:r>
        <w:rPr>
          <w:bCs/>
        </w:rPr>
        <w:t>s</w:t>
      </w:r>
      <w:r w:rsidRPr="0012437A">
        <w:rPr>
          <w:bCs/>
        </w:rPr>
        <w:t xml:space="preserve"> (yellow in colour). </w:t>
      </w:r>
      <w:r w:rsidRPr="004B7CC1">
        <w:t xml:space="preserve">Samples will be fixed in </w:t>
      </w:r>
      <w:r>
        <w:t xml:space="preserve">95% </w:t>
      </w:r>
      <w:r w:rsidRPr="004B7CC1">
        <w:t>ethanol and preserved for analysis in the lab.</w:t>
      </w:r>
      <w:r>
        <w:t xml:space="preserve"> </w:t>
      </w:r>
      <w:r w:rsidRPr="004B7CC1">
        <w:t>Larval fish sorting</w:t>
      </w:r>
      <w:r>
        <w:t xml:space="preserve"> and enumeration</w:t>
      </w:r>
      <w:r w:rsidRPr="004B7CC1">
        <w:t xml:space="preserve"> will be conducted in the laboratory</w:t>
      </w:r>
      <w:r>
        <w:t>.</w:t>
      </w:r>
    </w:p>
    <w:p w14:paraId="6F062DBF" w14:textId="77777777" w:rsidR="00CF0989" w:rsidRPr="00162342" w:rsidRDefault="00CF0989" w:rsidP="00CF0989">
      <w:pPr>
        <w:pStyle w:val="Heading3"/>
      </w:pPr>
      <w:bookmarkStart w:id="2383" w:name="_Toc10095346"/>
      <w:bookmarkStart w:id="2384" w:name="_Toc10192515"/>
      <w:bookmarkStart w:id="2385" w:name="_Toc10206830"/>
      <w:bookmarkStart w:id="2386" w:name="_Toc10213416"/>
      <w:bookmarkStart w:id="2387" w:name="_Toc10732440"/>
      <w:bookmarkStart w:id="2388" w:name="_Toc10796999"/>
      <w:bookmarkStart w:id="2389" w:name="_Toc12022883"/>
      <w:bookmarkStart w:id="2390" w:name="_Toc12630713"/>
      <w:bookmarkStart w:id="2391" w:name="_Toc16154573"/>
      <w:bookmarkStart w:id="2392" w:name="_Toc22196935"/>
      <w:r>
        <w:t>Electrofishing</w:t>
      </w:r>
      <w:bookmarkEnd w:id="2383"/>
      <w:bookmarkEnd w:id="2384"/>
      <w:bookmarkEnd w:id="2385"/>
      <w:bookmarkEnd w:id="2386"/>
      <w:bookmarkEnd w:id="2387"/>
      <w:bookmarkEnd w:id="2388"/>
      <w:bookmarkEnd w:id="2389"/>
      <w:bookmarkEnd w:id="2390"/>
      <w:bookmarkEnd w:id="2391"/>
      <w:bookmarkEnd w:id="2392"/>
    </w:p>
    <w:p w14:paraId="5B15F810" w14:textId="77777777" w:rsidR="00CF0989" w:rsidRPr="003F2813" w:rsidRDefault="00CF0989" w:rsidP="00CF0989">
      <w:pPr>
        <w:spacing w:after="0"/>
      </w:pPr>
      <w:r w:rsidRPr="004B7CC1">
        <w:t xml:space="preserve">Juvenile (including </w:t>
      </w:r>
      <w:r>
        <w:t>YOY</w:t>
      </w:r>
      <w:r w:rsidRPr="004B7CC1">
        <w:t>)</w:t>
      </w:r>
      <w:r>
        <w:t xml:space="preserve"> and adult</w:t>
      </w:r>
      <w:r w:rsidRPr="004B7CC1">
        <w:t xml:space="preserve"> </w:t>
      </w:r>
      <w:r>
        <w:t>Murray cod</w:t>
      </w:r>
      <w:r w:rsidRPr="004B7CC1">
        <w:t xml:space="preserve"> will be sampled by boat electrofishing in the li</w:t>
      </w:r>
      <w:r>
        <w:t>t</w:t>
      </w:r>
      <w:r w:rsidRPr="004B7CC1">
        <w:t xml:space="preserve">toral zones of main channel habitats of the </w:t>
      </w:r>
      <w:r w:rsidRPr="00C304CC">
        <w:t>Lower Murray</w:t>
      </w:r>
      <w:r w:rsidRPr="004B7CC1">
        <w:t xml:space="preserve"> using a boat mounted 7.5kVA Smith-Root electrofishing unit</w:t>
      </w:r>
      <w:r>
        <w:t xml:space="preserve">. During December/January and February/March sampling, electrofishing may be complemented with light traps. Catch and length information, and YOY samples for analysis, will also be obtained through sampling for </w:t>
      </w:r>
      <w:r w:rsidRPr="008D4608">
        <w:rPr>
          <w:i/>
        </w:rPr>
        <w:t xml:space="preserve">Fish </w:t>
      </w:r>
      <w:r w:rsidRPr="008D4608">
        <w:rPr>
          <w:bCs/>
          <w:i/>
        </w:rPr>
        <w:t>(Channel)</w:t>
      </w:r>
      <w:r>
        <w:rPr>
          <w:bCs/>
        </w:rPr>
        <w:t xml:space="preserve"> </w:t>
      </w:r>
      <w:r>
        <w:t>and other complementary electrofishing</w:t>
      </w:r>
      <w:r w:rsidRPr="004B7CC1">
        <w:t xml:space="preserve">.  </w:t>
      </w:r>
    </w:p>
    <w:p w14:paraId="74DA6B6E" w14:textId="77777777" w:rsidR="00CF0989" w:rsidRDefault="00CF0989" w:rsidP="00CF0989">
      <w:pPr>
        <w:pStyle w:val="Heading3"/>
      </w:pPr>
      <w:bookmarkStart w:id="2393" w:name="_Toc10095347"/>
      <w:bookmarkStart w:id="2394" w:name="_Toc10192516"/>
      <w:bookmarkStart w:id="2395" w:name="_Toc10206831"/>
      <w:bookmarkStart w:id="2396" w:name="_Toc10213417"/>
      <w:bookmarkStart w:id="2397" w:name="_Toc10732441"/>
      <w:bookmarkStart w:id="2398" w:name="_Toc10797000"/>
      <w:bookmarkStart w:id="2399" w:name="_Toc12022884"/>
      <w:bookmarkStart w:id="2400" w:name="_Toc12630714"/>
      <w:bookmarkStart w:id="2401" w:name="_Toc16154574"/>
      <w:bookmarkStart w:id="2402" w:name="_Toc22196936"/>
      <w:r>
        <w:t>Age, growth and body condition</w:t>
      </w:r>
      <w:bookmarkEnd w:id="2393"/>
      <w:bookmarkEnd w:id="2394"/>
      <w:bookmarkEnd w:id="2395"/>
      <w:bookmarkEnd w:id="2396"/>
      <w:bookmarkEnd w:id="2397"/>
      <w:bookmarkEnd w:id="2398"/>
      <w:bookmarkEnd w:id="2399"/>
      <w:bookmarkEnd w:id="2400"/>
      <w:bookmarkEnd w:id="2401"/>
      <w:bookmarkEnd w:id="2402"/>
    </w:p>
    <w:p w14:paraId="7A585132" w14:textId="77777777" w:rsidR="00CF0989" w:rsidRDefault="00CF0989" w:rsidP="00CF0989">
      <w:pPr>
        <w:ind w:left="1"/>
        <w:rPr>
          <w:bCs/>
        </w:rPr>
      </w:pPr>
      <w:r>
        <w:rPr>
          <w:bCs/>
        </w:rPr>
        <w:t xml:space="preserve">Otoliths will be removed from larval and juvenile Murray cod collected from all sampling trips and sites. Otolith microstructure analysis will be used to estimate otolith diameter, and daily ages of larvae and early stage juveniles (i.e. collected during juvenile sampling trips 1 and 2), and potentially YOY (sampled in April/May). Otolith preparation and daily age estimation will follow methods used for larval and juvenile golden perch in LTIM (see Ye </w:t>
      </w:r>
      <w:r w:rsidRPr="00C00DFB">
        <w:rPr>
          <w:bCs/>
          <w:i/>
        </w:rPr>
        <w:t>et al.</w:t>
      </w:r>
      <w:r>
        <w:rPr>
          <w:bCs/>
        </w:rPr>
        <w:t xml:space="preserve"> 2019). Estimated age, together with known length and weight, will provide a measure of seasonal growth, whilst otolith increments widths will also be analysed (</w:t>
      </w:r>
      <w:r>
        <w:rPr>
          <w:bCs/>
          <w:i/>
        </w:rPr>
        <w:t xml:space="preserve">sensu </w:t>
      </w:r>
      <w:r>
        <w:rPr>
          <w:bCs/>
        </w:rPr>
        <w:t xml:space="preserve">Tonkin </w:t>
      </w:r>
      <w:r w:rsidRPr="00C00DFB">
        <w:rPr>
          <w:bCs/>
          <w:i/>
        </w:rPr>
        <w:t>et al.</w:t>
      </w:r>
      <w:r>
        <w:rPr>
          <w:bCs/>
        </w:rPr>
        <w:t xml:space="preserve"> 2008)</w:t>
      </w:r>
      <w:r w:rsidRPr="004B7CC1">
        <w:rPr>
          <w:bCs/>
        </w:rPr>
        <w:t xml:space="preserve"> </w:t>
      </w:r>
      <w:r>
        <w:rPr>
          <w:bCs/>
        </w:rPr>
        <w:t xml:space="preserve">to allow interpretations of daily growth rates. </w:t>
      </w:r>
    </w:p>
    <w:p w14:paraId="292FDD48" w14:textId="77777777" w:rsidR="00CF0989" w:rsidRDefault="00CF0989" w:rsidP="00CF0989">
      <w:pPr>
        <w:ind w:left="1"/>
        <w:rPr>
          <w:rFonts w:ascii="Calibri" w:hAnsi="Calibri" w:cs="Calibri"/>
        </w:rPr>
      </w:pPr>
      <w:r>
        <w:rPr>
          <w:rFonts w:ascii="Calibri" w:hAnsi="Calibri" w:cs="Calibri"/>
        </w:rPr>
        <w:t xml:space="preserve">Morphometric condition will be assessed in several ways. Length, weight and estimated age data will be used to determine: 1) length–weight relationships; 2) condition factors; and 3) length–age relationships for juvenile Murray cod sampled in each year and at each site. This data will be compared with reference models for these relationships for Murray cod from the Lower Murray to allow association of annual flow regimes with patterns of growth and condition. </w:t>
      </w:r>
    </w:p>
    <w:p w14:paraId="2C48DF36" w14:textId="77777777" w:rsidR="00CF0989" w:rsidRDefault="00CF0989" w:rsidP="00CF0989">
      <w:pPr>
        <w:pStyle w:val="Heading3"/>
      </w:pPr>
      <w:bookmarkStart w:id="2403" w:name="_Toc10095348"/>
      <w:bookmarkStart w:id="2404" w:name="_Toc10192517"/>
      <w:bookmarkStart w:id="2405" w:name="_Toc10206832"/>
      <w:bookmarkStart w:id="2406" w:name="_Toc10213418"/>
      <w:bookmarkStart w:id="2407" w:name="_Toc10732442"/>
      <w:bookmarkStart w:id="2408" w:name="_Toc10797001"/>
      <w:bookmarkStart w:id="2409" w:name="_Toc12022885"/>
      <w:bookmarkStart w:id="2410" w:name="_Toc12630715"/>
      <w:bookmarkStart w:id="2411" w:name="_Toc16154575"/>
      <w:bookmarkStart w:id="2412" w:name="_Toc22196937"/>
      <w:r w:rsidRPr="00162342">
        <w:t>Covariates</w:t>
      </w:r>
      <w:bookmarkEnd w:id="2403"/>
      <w:bookmarkEnd w:id="2404"/>
      <w:bookmarkEnd w:id="2405"/>
      <w:bookmarkEnd w:id="2406"/>
      <w:bookmarkEnd w:id="2407"/>
      <w:bookmarkEnd w:id="2408"/>
      <w:bookmarkEnd w:id="2409"/>
      <w:bookmarkEnd w:id="2410"/>
      <w:bookmarkEnd w:id="2411"/>
      <w:bookmarkEnd w:id="2412"/>
    </w:p>
    <w:p w14:paraId="02A7DC1C" w14:textId="1520DF5E" w:rsidR="00CF0989" w:rsidRDefault="00CF0989" w:rsidP="00CF0989">
      <w:pPr>
        <w:ind w:firstLine="1"/>
        <w:rPr>
          <w:bCs/>
        </w:rPr>
      </w:pPr>
      <w:r>
        <w:rPr>
          <w:bCs/>
        </w:rPr>
        <w:t>Stream metabolism and w</w:t>
      </w:r>
      <w:r w:rsidRPr="00BC04E0">
        <w:rPr>
          <w:bCs/>
        </w:rPr>
        <w:t>ater quality parameters</w:t>
      </w:r>
      <w:r>
        <w:rPr>
          <w:bCs/>
        </w:rPr>
        <w:t xml:space="preserve"> (e.g. dissolved oxygen, water temperature and turbidity)</w:t>
      </w:r>
      <w:r w:rsidRPr="00BC04E0">
        <w:rPr>
          <w:bCs/>
        </w:rPr>
        <w:t xml:space="preserve"> will be measured </w:t>
      </w:r>
      <w:r>
        <w:rPr>
          <w:bCs/>
        </w:rPr>
        <w:t xml:space="preserve">below </w:t>
      </w:r>
      <w:r w:rsidR="008D4608">
        <w:rPr>
          <w:bCs/>
        </w:rPr>
        <w:t xml:space="preserve">Lock 4 during sampling for the </w:t>
      </w:r>
      <w:r w:rsidR="008D4608" w:rsidRPr="008D4608">
        <w:rPr>
          <w:bCs/>
          <w:i/>
        </w:rPr>
        <w:t>Stream M</w:t>
      </w:r>
      <w:r w:rsidRPr="008D4608">
        <w:rPr>
          <w:bCs/>
          <w:i/>
        </w:rPr>
        <w:t>etabolism</w:t>
      </w:r>
      <w:r w:rsidR="008D4608" w:rsidRPr="008D4608">
        <w:rPr>
          <w:bCs/>
          <w:i/>
        </w:rPr>
        <w:t xml:space="preserve"> and Water Quality</w:t>
      </w:r>
      <w:r w:rsidRPr="008D4608">
        <w:rPr>
          <w:bCs/>
          <w:i/>
        </w:rPr>
        <w:t xml:space="preserve"> </w:t>
      </w:r>
      <w:r>
        <w:rPr>
          <w:bCs/>
        </w:rPr>
        <w:t>indicator (</w:t>
      </w:r>
      <w:r w:rsidR="008D4608">
        <w:rPr>
          <w:bCs/>
        </w:rPr>
        <w:t>see SOP</w:t>
      </w:r>
      <w:r>
        <w:rPr>
          <w:bCs/>
        </w:rPr>
        <w:t>)</w:t>
      </w:r>
      <w:r w:rsidRPr="00BC04E0">
        <w:rPr>
          <w:bCs/>
        </w:rPr>
        <w:t>. D</w:t>
      </w:r>
      <w:r>
        <w:rPr>
          <w:bCs/>
        </w:rPr>
        <w:t>ischarge data (ML/</w:t>
      </w:r>
      <w:r w:rsidR="001F661A">
        <w:rPr>
          <w:bCs/>
        </w:rPr>
        <w:t>d</w:t>
      </w:r>
      <w:r w:rsidRPr="00BC04E0">
        <w:rPr>
          <w:bCs/>
        </w:rPr>
        <w:t>) and relative water level (m AHD, relative to the Australian Height Datum) from the closest gauging station will be obtained from the DEW Surface Water Archive (</w:t>
      </w:r>
      <w:hyperlink r:id="rId49" w:history="1">
        <w:r w:rsidRPr="00580739">
          <w:rPr>
            <w:rStyle w:val="Hyperlink"/>
            <w:bCs/>
          </w:rPr>
          <w:t>www.waterconnect.sa.gov.au</w:t>
        </w:r>
      </w:hyperlink>
      <w:r w:rsidRPr="00BC04E0">
        <w:rPr>
          <w:bCs/>
        </w:rPr>
        <w:t>).</w:t>
      </w:r>
      <w:r>
        <w:rPr>
          <w:bCs/>
        </w:rPr>
        <w:t xml:space="preserve"> Hydraulic data will be provided through the Hydraulic regime indicator. </w:t>
      </w:r>
    </w:p>
    <w:p w14:paraId="7CB3C834" w14:textId="77777777" w:rsidR="00CF0989" w:rsidRPr="004B7CC1" w:rsidRDefault="00CF0989" w:rsidP="00CF0989">
      <w:pPr>
        <w:pStyle w:val="Heading2"/>
      </w:pPr>
      <w:bookmarkStart w:id="2413" w:name="_Toc10095349"/>
      <w:bookmarkStart w:id="2414" w:name="_Toc10192518"/>
      <w:bookmarkStart w:id="2415" w:name="_Toc10206833"/>
      <w:bookmarkStart w:id="2416" w:name="_Toc10213419"/>
      <w:bookmarkStart w:id="2417" w:name="_Toc10732443"/>
      <w:bookmarkStart w:id="2418" w:name="_Toc10797002"/>
      <w:bookmarkStart w:id="2419" w:name="_Toc12022886"/>
      <w:bookmarkStart w:id="2420" w:name="_Toc12630716"/>
      <w:bookmarkStart w:id="2421" w:name="_Toc16154576"/>
      <w:bookmarkStart w:id="2422" w:name="_Toc22196938"/>
      <w:r w:rsidRPr="004B7CC1">
        <w:lastRenderedPageBreak/>
        <w:t xml:space="preserve">Data analysis and </w:t>
      </w:r>
      <w:r>
        <w:t>evaluation</w:t>
      </w:r>
      <w:bookmarkEnd w:id="2413"/>
      <w:bookmarkEnd w:id="2414"/>
      <w:bookmarkEnd w:id="2415"/>
      <w:bookmarkEnd w:id="2416"/>
      <w:bookmarkEnd w:id="2417"/>
      <w:bookmarkEnd w:id="2418"/>
      <w:bookmarkEnd w:id="2419"/>
      <w:bookmarkEnd w:id="2420"/>
      <w:bookmarkEnd w:id="2421"/>
      <w:bookmarkEnd w:id="2422"/>
    </w:p>
    <w:p w14:paraId="18146F47" w14:textId="77777777" w:rsidR="00CF0989" w:rsidRDefault="00CF0989" w:rsidP="00CF0989">
      <w:pPr>
        <w:pStyle w:val="ListBullet"/>
        <w:numPr>
          <w:ilvl w:val="0"/>
          <w:numId w:val="0"/>
        </w:numPr>
        <w:contextualSpacing w:val="0"/>
      </w:pPr>
      <w:r>
        <w:t>Spatio-temporal variability in the abundance of YOY (recruitment) collected in April/May will be investigated using parametric (ANOVA) or non-parametric (e.g. permutational analysis of variance), depending on the nature of the data (i.e. assumptions of parametric statistics are meet or not).</w:t>
      </w:r>
    </w:p>
    <w:p w14:paraId="62FDAF10" w14:textId="77777777" w:rsidR="00CF0989" w:rsidRDefault="00CF0989" w:rsidP="00CF0989">
      <w:pPr>
        <w:ind w:left="1"/>
        <w:rPr>
          <w:bCs/>
        </w:rPr>
      </w:pPr>
      <w:r>
        <w:rPr>
          <w:bCs/>
        </w:rPr>
        <w:t>Data on length-weight and length-age (i.e. seasonal growth) relationships for Murray cod collected in each year, and in past years, will be modelled using linear and non-linear functions to assess the model of best fit for fish from the Lower Murray. Subsequently, the accepted models will be applied for each year, and residuals from these models used as an index of condition or deviation from average seasonal growth, for each individual. Means will then be compared among years and sites.  In addition, the relative condition factor (</w:t>
      </w:r>
      <w:r>
        <w:rPr>
          <w:bCs/>
          <w:i/>
        </w:rPr>
        <w:t>K</w:t>
      </w:r>
      <w:r w:rsidRPr="00830B3B">
        <w:rPr>
          <w:bCs/>
          <w:i/>
          <w:vertAlign w:val="subscript"/>
        </w:rPr>
        <w:t>rel</w:t>
      </w:r>
      <w:r>
        <w:rPr>
          <w:bCs/>
        </w:rPr>
        <w:t>) (Froese 2006) will be calculated from length-weight relationships and compared among years and sites as a further means of assessing differences in morphometric condition (</w:t>
      </w:r>
      <w:r>
        <w:rPr>
          <w:bCs/>
          <w:i/>
        </w:rPr>
        <w:t xml:space="preserve">sensu </w:t>
      </w:r>
      <w:r>
        <w:rPr>
          <w:bCs/>
        </w:rPr>
        <w:t xml:space="preserve">Tonkin </w:t>
      </w:r>
      <w:r>
        <w:rPr>
          <w:bCs/>
          <w:i/>
        </w:rPr>
        <w:t xml:space="preserve">et al. </w:t>
      </w:r>
      <w:r>
        <w:rPr>
          <w:bCs/>
        </w:rPr>
        <w:t xml:space="preserve">2012).  </w:t>
      </w:r>
    </w:p>
    <w:p w14:paraId="3931E276" w14:textId="77777777" w:rsidR="00CF0989" w:rsidRDefault="00CF0989" w:rsidP="00CF0989">
      <w:pPr>
        <w:ind w:left="1"/>
      </w:pPr>
      <w:r>
        <w:t>Measurements of otolith daily increment widths will be used to investigate differences in daily growth of juvenile Murray cod among years and sites. Mixed-effects modelling will be used to predict otolith derived measures of fish analysed. Models may include various fixed (year, site) and random effects, including water quality (e.g. temperature), and metrics to describe aspects of hydrology and hydraulics. In this way the approach will associate growth with hydrology experienced over the study period.</w:t>
      </w:r>
    </w:p>
    <w:p w14:paraId="49C9A70D" w14:textId="77777777" w:rsidR="00CF0989" w:rsidRDefault="00CF0989" w:rsidP="00CF0989">
      <w:pPr>
        <w:rPr>
          <w:rFonts w:cstheme="minorHAnsi"/>
        </w:rPr>
      </w:pPr>
      <w:r>
        <w:rPr>
          <w:rFonts w:cstheme="minorHAnsi"/>
        </w:rPr>
        <w:t>All</w:t>
      </w:r>
      <w:r w:rsidRPr="00290B10">
        <w:rPr>
          <w:rFonts w:cstheme="minorHAnsi"/>
        </w:rPr>
        <w:t xml:space="preserve"> data</w:t>
      </w:r>
      <w:r>
        <w:rPr>
          <w:rFonts w:cstheme="minorHAnsi"/>
        </w:rPr>
        <w:t xml:space="preserve"> will be integrated</w:t>
      </w:r>
      <w:r w:rsidRPr="00290B10">
        <w:rPr>
          <w:rFonts w:cstheme="minorHAnsi"/>
        </w:rPr>
        <w:t xml:space="preserve"> to develop a</w:t>
      </w:r>
      <w:r>
        <w:rPr>
          <w:rFonts w:cstheme="minorHAnsi"/>
        </w:rPr>
        <w:t>n</w:t>
      </w:r>
      <w:r w:rsidRPr="00290B10">
        <w:rPr>
          <w:rFonts w:cstheme="minorHAnsi"/>
        </w:rPr>
        <w:t xml:space="preserve"> understanding of </w:t>
      </w:r>
      <w:r>
        <w:rPr>
          <w:rFonts w:cstheme="minorHAnsi"/>
        </w:rPr>
        <w:t>Murray cod</w:t>
      </w:r>
      <w:r w:rsidRPr="00290B10">
        <w:rPr>
          <w:rFonts w:cstheme="minorHAnsi"/>
        </w:rPr>
        <w:t xml:space="preserve"> </w:t>
      </w:r>
      <w:r>
        <w:rPr>
          <w:rFonts w:cstheme="minorHAnsi"/>
        </w:rPr>
        <w:t>recruitment dynamics</w:t>
      </w:r>
      <w:r w:rsidRPr="00290B10">
        <w:rPr>
          <w:rFonts w:cstheme="minorHAnsi"/>
        </w:rPr>
        <w:t xml:space="preserve"> and response to flow</w:t>
      </w:r>
      <w:r>
        <w:rPr>
          <w:rFonts w:cstheme="minorHAnsi"/>
        </w:rPr>
        <w:t xml:space="preserve"> regimes and water delivery, including Commonwealth environmental water.</w:t>
      </w:r>
      <w:r w:rsidRPr="00290B10">
        <w:rPr>
          <w:rFonts w:cstheme="minorHAnsi"/>
        </w:rPr>
        <w:t xml:space="preserve"> </w:t>
      </w:r>
    </w:p>
    <w:p w14:paraId="2F881826" w14:textId="77777777" w:rsidR="00CF0989" w:rsidRPr="00992869" w:rsidRDefault="00CF0989" w:rsidP="00CF0989">
      <w:pPr>
        <w:pStyle w:val="Heading2"/>
      </w:pPr>
      <w:bookmarkStart w:id="2423" w:name="_Toc10095350"/>
      <w:bookmarkStart w:id="2424" w:name="_Toc10192519"/>
      <w:bookmarkStart w:id="2425" w:name="_Toc10206834"/>
      <w:bookmarkStart w:id="2426" w:name="_Toc10213420"/>
      <w:bookmarkStart w:id="2427" w:name="_Toc10732444"/>
      <w:bookmarkStart w:id="2428" w:name="_Toc10797003"/>
      <w:bookmarkStart w:id="2429" w:name="_Toc12022887"/>
      <w:bookmarkStart w:id="2430" w:name="_Toc12630717"/>
      <w:bookmarkStart w:id="2431" w:name="_Toc16154577"/>
      <w:bookmarkStart w:id="2432" w:name="_Toc22196939"/>
      <w:r w:rsidRPr="00992869">
        <w:t>Data management</w:t>
      </w:r>
      <w:bookmarkEnd w:id="2423"/>
      <w:bookmarkEnd w:id="2424"/>
      <w:bookmarkEnd w:id="2425"/>
      <w:bookmarkEnd w:id="2426"/>
      <w:bookmarkEnd w:id="2427"/>
      <w:bookmarkEnd w:id="2428"/>
      <w:bookmarkEnd w:id="2429"/>
      <w:bookmarkEnd w:id="2430"/>
      <w:bookmarkEnd w:id="2431"/>
      <w:bookmarkEnd w:id="2432"/>
    </w:p>
    <w:p w14:paraId="22B2094C" w14:textId="024950B9" w:rsidR="009E6C53" w:rsidRDefault="009E6C53" w:rsidP="009E6C53">
      <w:bookmarkStart w:id="2433" w:name="_Toc10095352"/>
      <w:bookmarkStart w:id="2434" w:name="_Toc10192521"/>
      <w:r w:rsidRPr="00992869">
        <w:t>See Section</w:t>
      </w:r>
      <w:r>
        <w:t xml:space="preserve"> </w:t>
      </w:r>
      <w:r>
        <w:fldChar w:fldCharType="begin"/>
      </w:r>
      <w:r>
        <w:instrText xml:space="preserve"> REF _Ref10196755 \r \h </w:instrText>
      </w:r>
      <w:r>
        <w:fldChar w:fldCharType="separate"/>
      </w:r>
      <w:r w:rsidR="00DF49CD">
        <w:t>11</w:t>
      </w:r>
      <w:r>
        <w:fldChar w:fldCharType="end"/>
      </w:r>
      <w:r>
        <w:t xml:space="preserve"> </w:t>
      </w:r>
      <w:r w:rsidRPr="002E3EEF">
        <w:rPr>
          <w:rFonts w:cstheme="minorHAnsi"/>
          <w:szCs w:val="22"/>
        </w:rPr>
        <w:t xml:space="preserve">in the </w:t>
      </w:r>
      <w:r>
        <w:rPr>
          <w:rFonts w:cstheme="minorHAnsi"/>
          <w:szCs w:val="22"/>
        </w:rPr>
        <w:t>MER</w:t>
      </w:r>
      <w:r w:rsidRPr="002E3EEF">
        <w:rPr>
          <w:rFonts w:cstheme="minorHAnsi"/>
          <w:szCs w:val="22"/>
        </w:rPr>
        <w:t xml:space="preserve"> Plan</w:t>
      </w:r>
      <w:r>
        <w:rPr>
          <w:rFonts w:cstheme="minorHAnsi"/>
          <w:szCs w:val="22"/>
        </w:rPr>
        <w:t xml:space="preserve"> for data management procedures</w:t>
      </w:r>
      <w:r w:rsidRPr="00992869">
        <w:t>.</w:t>
      </w:r>
      <w:r>
        <w:t xml:space="preserve"> </w:t>
      </w:r>
      <w:r w:rsidR="00444DB8">
        <w:t xml:space="preserve">The data </w:t>
      </w:r>
      <w:r w:rsidR="00444DB8" w:rsidRPr="000E285D">
        <w:t>templates for</w:t>
      </w:r>
      <w:r w:rsidR="00444DB8" w:rsidRPr="0070750B">
        <w:t xml:space="preserve"> </w:t>
      </w:r>
      <w:r w:rsidR="00444DB8" w:rsidRPr="009F6E46">
        <w:t xml:space="preserve">Category 3 (Selected Area) indicators </w:t>
      </w:r>
      <w:r w:rsidR="00444DB8">
        <w:t>will be</w:t>
      </w:r>
      <w:r w:rsidR="00444DB8" w:rsidRPr="009F6E46">
        <w:t xml:space="preserve"> developed</w:t>
      </w:r>
      <w:r w:rsidR="00444DB8">
        <w:t xml:space="preserve"> by the Selected Area,</w:t>
      </w:r>
      <w:r w:rsidR="00444DB8" w:rsidRPr="009F6E46">
        <w:t xml:space="preserve"> in consultation with CEWO</w:t>
      </w:r>
      <w:r w:rsidR="00444DB8">
        <w:t>,</w:t>
      </w:r>
      <w:r w:rsidR="00444DB8" w:rsidRPr="009F6E46">
        <w:t xml:space="preserve"> and </w:t>
      </w:r>
      <w:r w:rsidR="00444DB8">
        <w:t xml:space="preserve">will </w:t>
      </w:r>
      <w:r w:rsidR="00444DB8" w:rsidRPr="009F6E46">
        <w:t>conform to data standards</w:t>
      </w:r>
      <w:r w:rsidR="00444DB8">
        <w:t xml:space="preserve">. The proposed template for </w:t>
      </w:r>
      <w:r w:rsidR="00444DB8">
        <w:rPr>
          <w:i/>
        </w:rPr>
        <w:t>Murray Cod Recruitment</w:t>
      </w:r>
      <w:r w:rsidR="00444DB8">
        <w:t xml:space="preserve"> is provided below</w:t>
      </w:r>
      <w:r w:rsidR="00444DB8" w:rsidRPr="009F6E46">
        <w:t>.</w:t>
      </w:r>
    </w:p>
    <w:p w14:paraId="077BBFC8" w14:textId="3863F443" w:rsidR="008B5B26" w:rsidRDefault="0085406D" w:rsidP="009E6C53">
      <w:pPr>
        <w:rPr>
          <w:b/>
        </w:rPr>
      </w:pPr>
      <w:r>
        <w:rPr>
          <w:b/>
        </w:rPr>
        <w:t>Catch</w:t>
      </w:r>
    </w:p>
    <w:tbl>
      <w:tblPr>
        <w:tblStyle w:val="TableGrid"/>
        <w:tblW w:w="9212" w:type="dxa"/>
        <w:tblLayout w:type="fixed"/>
        <w:tblLook w:val="04A0" w:firstRow="1" w:lastRow="0" w:firstColumn="1" w:lastColumn="0" w:noHBand="0" w:noVBand="1"/>
      </w:tblPr>
      <w:tblGrid>
        <w:gridCol w:w="1951"/>
        <w:gridCol w:w="3119"/>
        <w:gridCol w:w="1275"/>
        <w:gridCol w:w="709"/>
        <w:gridCol w:w="851"/>
        <w:gridCol w:w="1307"/>
      </w:tblGrid>
      <w:tr w:rsidR="0085406D" w:rsidRPr="00F16678" w14:paraId="13CBD66E" w14:textId="77777777" w:rsidTr="008D355F">
        <w:trPr>
          <w:cantSplit/>
          <w:tblHeader/>
        </w:trPr>
        <w:tc>
          <w:tcPr>
            <w:tcW w:w="1951" w:type="dxa"/>
            <w:shd w:val="clear" w:color="auto" w:fill="BFBFBF" w:themeFill="background1" w:themeFillShade="BF"/>
            <w:vAlign w:val="center"/>
            <w:hideMark/>
          </w:tcPr>
          <w:p w14:paraId="165B88F2" w14:textId="30058C74" w:rsidR="0085406D" w:rsidRPr="00F16678" w:rsidRDefault="0085406D" w:rsidP="0085406D">
            <w:pPr>
              <w:pStyle w:val="TableHeading"/>
              <w:rPr>
                <w:rFonts w:cstheme="minorHAnsi"/>
                <w:sz w:val="22"/>
              </w:rPr>
            </w:pPr>
            <w:r w:rsidRPr="008B5B26">
              <w:rPr>
                <w:rFonts w:cstheme="minorHAnsi"/>
                <w:sz w:val="22"/>
              </w:rPr>
              <w:t>Variable</w:t>
            </w:r>
          </w:p>
        </w:tc>
        <w:tc>
          <w:tcPr>
            <w:tcW w:w="3119" w:type="dxa"/>
            <w:shd w:val="clear" w:color="auto" w:fill="BFBFBF" w:themeFill="background1" w:themeFillShade="BF"/>
            <w:vAlign w:val="center"/>
            <w:hideMark/>
          </w:tcPr>
          <w:p w14:paraId="50A179D7" w14:textId="3378A06A" w:rsidR="0085406D" w:rsidRPr="00F16678" w:rsidRDefault="0085406D" w:rsidP="0085406D">
            <w:pPr>
              <w:pStyle w:val="TableHeading"/>
              <w:rPr>
                <w:rFonts w:cstheme="minorHAnsi"/>
                <w:sz w:val="22"/>
              </w:rPr>
            </w:pPr>
            <w:r w:rsidRPr="008B5B26">
              <w:rPr>
                <w:rFonts w:cstheme="minorHAnsi"/>
                <w:sz w:val="22"/>
              </w:rPr>
              <w:t>Description</w:t>
            </w:r>
          </w:p>
        </w:tc>
        <w:tc>
          <w:tcPr>
            <w:tcW w:w="1275" w:type="dxa"/>
            <w:shd w:val="clear" w:color="auto" w:fill="BFBFBF" w:themeFill="background1" w:themeFillShade="BF"/>
            <w:vAlign w:val="center"/>
            <w:hideMark/>
          </w:tcPr>
          <w:p w14:paraId="5DCC0359" w14:textId="111FAA4F" w:rsidR="0085406D" w:rsidRPr="00F16678" w:rsidRDefault="0085406D" w:rsidP="0085406D">
            <w:pPr>
              <w:pStyle w:val="TableHeading"/>
              <w:rPr>
                <w:rFonts w:cstheme="minorHAnsi"/>
                <w:sz w:val="22"/>
              </w:rPr>
            </w:pPr>
            <w:r w:rsidRPr="008B5B26">
              <w:rPr>
                <w:rFonts w:cstheme="minorHAnsi"/>
                <w:sz w:val="22"/>
              </w:rPr>
              <w:t>Type</w:t>
            </w:r>
          </w:p>
        </w:tc>
        <w:tc>
          <w:tcPr>
            <w:tcW w:w="709" w:type="dxa"/>
            <w:shd w:val="clear" w:color="auto" w:fill="BFBFBF" w:themeFill="background1" w:themeFillShade="BF"/>
            <w:vAlign w:val="center"/>
            <w:hideMark/>
          </w:tcPr>
          <w:p w14:paraId="76A949CA" w14:textId="3F73908C" w:rsidR="0085406D" w:rsidRPr="00F16678" w:rsidRDefault="0085406D" w:rsidP="0085406D">
            <w:pPr>
              <w:pStyle w:val="TableHeading"/>
              <w:rPr>
                <w:rFonts w:cstheme="minorHAnsi"/>
                <w:sz w:val="22"/>
              </w:rPr>
            </w:pPr>
            <w:r w:rsidRPr="008B5B26">
              <w:rPr>
                <w:rFonts w:cstheme="minorHAnsi"/>
                <w:sz w:val="22"/>
              </w:rPr>
              <w:t>Req</w:t>
            </w:r>
          </w:p>
        </w:tc>
        <w:tc>
          <w:tcPr>
            <w:tcW w:w="851" w:type="dxa"/>
            <w:shd w:val="clear" w:color="auto" w:fill="BFBFBF" w:themeFill="background1" w:themeFillShade="BF"/>
            <w:vAlign w:val="center"/>
            <w:hideMark/>
          </w:tcPr>
          <w:p w14:paraId="5780D021" w14:textId="0D82E963" w:rsidR="0085406D" w:rsidRPr="00F16678" w:rsidRDefault="0085406D" w:rsidP="0085406D">
            <w:pPr>
              <w:pStyle w:val="TableHeading"/>
              <w:rPr>
                <w:rFonts w:cstheme="minorHAnsi"/>
                <w:sz w:val="22"/>
              </w:rPr>
            </w:pPr>
            <w:r w:rsidRPr="008B5B26">
              <w:rPr>
                <w:rFonts w:cstheme="minorHAnsi"/>
                <w:sz w:val="22"/>
              </w:rPr>
              <w:t>Range</w:t>
            </w:r>
          </w:p>
        </w:tc>
        <w:tc>
          <w:tcPr>
            <w:tcW w:w="1307" w:type="dxa"/>
            <w:shd w:val="clear" w:color="auto" w:fill="BFBFBF" w:themeFill="background1" w:themeFillShade="BF"/>
          </w:tcPr>
          <w:p w14:paraId="03BD64AC" w14:textId="225F60F1" w:rsidR="0085406D" w:rsidRPr="00F16678" w:rsidRDefault="0085406D" w:rsidP="0085406D">
            <w:pPr>
              <w:pStyle w:val="TableHeading"/>
              <w:rPr>
                <w:rFonts w:cstheme="minorHAnsi"/>
                <w:sz w:val="22"/>
              </w:rPr>
            </w:pPr>
            <w:r w:rsidRPr="008B5B26">
              <w:rPr>
                <w:rFonts w:cstheme="minorHAnsi"/>
                <w:sz w:val="22"/>
              </w:rPr>
              <w:t>Example</w:t>
            </w:r>
          </w:p>
        </w:tc>
      </w:tr>
      <w:tr w:rsidR="0085406D" w:rsidRPr="00F16678" w14:paraId="646EAF7C" w14:textId="77777777" w:rsidTr="008D355F">
        <w:trPr>
          <w:cantSplit/>
        </w:trPr>
        <w:tc>
          <w:tcPr>
            <w:tcW w:w="1951" w:type="dxa"/>
            <w:noWrap/>
            <w:hideMark/>
          </w:tcPr>
          <w:p w14:paraId="0DEDF96E" w14:textId="444F8BA9" w:rsidR="0085406D" w:rsidRPr="00F16678" w:rsidRDefault="0085406D" w:rsidP="0085406D">
            <w:pPr>
              <w:rPr>
                <w:rFonts w:cstheme="minorHAnsi"/>
                <w:szCs w:val="22"/>
              </w:rPr>
            </w:pPr>
            <w:r w:rsidRPr="008B5B26">
              <w:rPr>
                <w:rFonts w:cstheme="minorHAnsi"/>
                <w:szCs w:val="22"/>
              </w:rPr>
              <w:t>SamplePointName</w:t>
            </w:r>
          </w:p>
        </w:tc>
        <w:tc>
          <w:tcPr>
            <w:tcW w:w="3119" w:type="dxa"/>
            <w:hideMark/>
          </w:tcPr>
          <w:p w14:paraId="7D869EAA" w14:textId="326D9A37" w:rsidR="0085406D" w:rsidRPr="00F16678" w:rsidRDefault="0085406D" w:rsidP="0085406D">
            <w:pPr>
              <w:pStyle w:val="TableText"/>
              <w:rPr>
                <w:rFonts w:cstheme="minorHAnsi"/>
                <w:iCs/>
                <w:sz w:val="22"/>
              </w:rPr>
            </w:pPr>
            <w:r w:rsidRPr="008B5B26">
              <w:rPr>
                <w:rFonts w:cstheme="minorHAnsi"/>
                <w:color w:val="auto"/>
                <w:sz w:val="22"/>
              </w:rPr>
              <w:t xml:space="preserve">A single reach of the Lower Murray River in either the </w:t>
            </w:r>
            <w:r w:rsidRPr="008B5B26">
              <w:rPr>
                <w:rFonts w:cstheme="minorHAnsi"/>
                <w:i/>
                <w:color w:val="auto"/>
                <w:sz w:val="22"/>
              </w:rPr>
              <w:t>Gorge</w:t>
            </w:r>
            <w:r w:rsidRPr="008B5B26">
              <w:rPr>
                <w:rFonts w:cstheme="minorHAnsi"/>
                <w:color w:val="auto"/>
                <w:sz w:val="22"/>
              </w:rPr>
              <w:t xml:space="preserve"> or </w:t>
            </w:r>
            <w:r w:rsidRPr="008B5B26">
              <w:rPr>
                <w:rFonts w:cstheme="minorHAnsi"/>
                <w:i/>
                <w:color w:val="auto"/>
                <w:sz w:val="22"/>
              </w:rPr>
              <w:t>Floodplain</w:t>
            </w:r>
            <w:r w:rsidRPr="008B5B26">
              <w:rPr>
                <w:rFonts w:cstheme="minorHAnsi"/>
                <w:color w:val="auto"/>
                <w:sz w:val="22"/>
              </w:rPr>
              <w:t xml:space="preserve"> zone represented by either a name or polygon within which observations are made</w:t>
            </w:r>
          </w:p>
        </w:tc>
        <w:tc>
          <w:tcPr>
            <w:tcW w:w="1275" w:type="dxa"/>
            <w:noWrap/>
            <w:hideMark/>
          </w:tcPr>
          <w:p w14:paraId="3081D852" w14:textId="7798C1A7" w:rsidR="0085406D" w:rsidRPr="00F16678" w:rsidRDefault="0085406D" w:rsidP="0085406D">
            <w:pPr>
              <w:rPr>
                <w:rFonts w:cstheme="minorHAnsi"/>
                <w:szCs w:val="22"/>
              </w:rPr>
            </w:pPr>
            <w:r w:rsidRPr="008B5B26">
              <w:rPr>
                <w:rFonts w:cstheme="minorHAnsi"/>
                <w:szCs w:val="22"/>
              </w:rPr>
              <w:t>string</w:t>
            </w:r>
          </w:p>
        </w:tc>
        <w:tc>
          <w:tcPr>
            <w:tcW w:w="709" w:type="dxa"/>
            <w:noWrap/>
            <w:hideMark/>
          </w:tcPr>
          <w:p w14:paraId="00547F4F" w14:textId="49DEAD4B" w:rsidR="0085406D" w:rsidRPr="00F16678" w:rsidRDefault="0085406D" w:rsidP="0085406D">
            <w:pPr>
              <w:rPr>
                <w:rFonts w:cstheme="minorHAnsi"/>
                <w:szCs w:val="22"/>
              </w:rPr>
            </w:pPr>
            <w:r w:rsidRPr="008B5B26">
              <w:rPr>
                <w:rFonts w:cstheme="minorHAnsi"/>
                <w:szCs w:val="22"/>
              </w:rPr>
              <w:t>Y</w:t>
            </w:r>
          </w:p>
        </w:tc>
        <w:tc>
          <w:tcPr>
            <w:tcW w:w="851" w:type="dxa"/>
            <w:noWrap/>
            <w:hideMark/>
          </w:tcPr>
          <w:p w14:paraId="44A4B20C" w14:textId="77777777" w:rsidR="0085406D" w:rsidRPr="00F16678" w:rsidRDefault="0085406D" w:rsidP="0085406D">
            <w:pPr>
              <w:pStyle w:val="TableText"/>
              <w:rPr>
                <w:rFonts w:cstheme="minorHAnsi"/>
                <w:sz w:val="22"/>
              </w:rPr>
            </w:pPr>
          </w:p>
        </w:tc>
        <w:tc>
          <w:tcPr>
            <w:tcW w:w="1307" w:type="dxa"/>
          </w:tcPr>
          <w:p w14:paraId="7D4F409D" w14:textId="7DA13AFB" w:rsidR="0085406D" w:rsidRPr="00F16678" w:rsidRDefault="0085406D" w:rsidP="0085406D">
            <w:pPr>
              <w:pStyle w:val="TableText"/>
              <w:rPr>
                <w:rFonts w:cstheme="minorHAnsi"/>
                <w:sz w:val="22"/>
              </w:rPr>
            </w:pPr>
            <w:r w:rsidRPr="008B5B26">
              <w:rPr>
                <w:rFonts w:cstheme="minorHAnsi"/>
                <w:sz w:val="22"/>
              </w:rPr>
              <w:t>LK6DS_616km</w:t>
            </w:r>
          </w:p>
        </w:tc>
      </w:tr>
      <w:tr w:rsidR="0085406D" w:rsidRPr="00F16678" w14:paraId="2DC2B819" w14:textId="77777777" w:rsidTr="008D355F">
        <w:trPr>
          <w:cantSplit/>
        </w:trPr>
        <w:tc>
          <w:tcPr>
            <w:tcW w:w="1951" w:type="dxa"/>
            <w:hideMark/>
          </w:tcPr>
          <w:p w14:paraId="054F09FB" w14:textId="7185B716" w:rsidR="0085406D" w:rsidRPr="00F16678" w:rsidRDefault="0085406D" w:rsidP="0085406D">
            <w:pPr>
              <w:rPr>
                <w:rFonts w:cstheme="minorHAnsi"/>
                <w:szCs w:val="22"/>
              </w:rPr>
            </w:pPr>
            <w:r w:rsidRPr="008B5B26">
              <w:rPr>
                <w:rFonts w:cstheme="minorHAnsi"/>
                <w:szCs w:val="22"/>
              </w:rPr>
              <w:t>SampleDateStart</w:t>
            </w:r>
          </w:p>
        </w:tc>
        <w:tc>
          <w:tcPr>
            <w:tcW w:w="3119" w:type="dxa"/>
            <w:hideMark/>
          </w:tcPr>
          <w:p w14:paraId="443EA52B" w14:textId="3F4E3041" w:rsidR="0085406D" w:rsidRPr="00F16678" w:rsidRDefault="0085406D" w:rsidP="0085406D">
            <w:pPr>
              <w:rPr>
                <w:rFonts w:cstheme="minorHAnsi"/>
                <w:szCs w:val="22"/>
              </w:rPr>
            </w:pPr>
            <w:r w:rsidRPr="008B5B26">
              <w:rPr>
                <w:rFonts w:cstheme="minorHAnsi"/>
                <w:szCs w:val="22"/>
              </w:rPr>
              <w:t>Start date (inclusive) that these measures were observed</w:t>
            </w:r>
          </w:p>
        </w:tc>
        <w:tc>
          <w:tcPr>
            <w:tcW w:w="1275" w:type="dxa"/>
            <w:hideMark/>
          </w:tcPr>
          <w:p w14:paraId="32534B4C" w14:textId="07520431" w:rsidR="0085406D" w:rsidRPr="00F16678" w:rsidRDefault="0085406D" w:rsidP="0085406D">
            <w:pPr>
              <w:rPr>
                <w:rFonts w:cstheme="minorHAnsi"/>
                <w:szCs w:val="22"/>
              </w:rPr>
            </w:pPr>
            <w:r w:rsidRPr="008B5B26">
              <w:rPr>
                <w:rFonts w:cstheme="minorHAnsi"/>
                <w:szCs w:val="22"/>
              </w:rPr>
              <w:t>dateTime</w:t>
            </w:r>
          </w:p>
        </w:tc>
        <w:tc>
          <w:tcPr>
            <w:tcW w:w="709" w:type="dxa"/>
            <w:hideMark/>
          </w:tcPr>
          <w:p w14:paraId="407C72EF" w14:textId="338B7644" w:rsidR="0085406D" w:rsidRPr="00F16678" w:rsidRDefault="0085406D" w:rsidP="0085406D">
            <w:pPr>
              <w:rPr>
                <w:rFonts w:cstheme="minorHAnsi"/>
                <w:szCs w:val="22"/>
              </w:rPr>
            </w:pPr>
            <w:r w:rsidRPr="008B5B26">
              <w:rPr>
                <w:rFonts w:cstheme="minorHAnsi"/>
                <w:szCs w:val="22"/>
              </w:rPr>
              <w:t>Y</w:t>
            </w:r>
          </w:p>
        </w:tc>
        <w:tc>
          <w:tcPr>
            <w:tcW w:w="851" w:type="dxa"/>
            <w:hideMark/>
          </w:tcPr>
          <w:p w14:paraId="015209E1" w14:textId="77777777" w:rsidR="0085406D" w:rsidRPr="00F16678" w:rsidRDefault="0085406D" w:rsidP="0085406D">
            <w:pPr>
              <w:pStyle w:val="TableText"/>
              <w:rPr>
                <w:rFonts w:cstheme="minorHAnsi"/>
                <w:sz w:val="22"/>
              </w:rPr>
            </w:pPr>
          </w:p>
        </w:tc>
        <w:tc>
          <w:tcPr>
            <w:tcW w:w="1307" w:type="dxa"/>
          </w:tcPr>
          <w:p w14:paraId="4351A20D" w14:textId="578B634E" w:rsidR="0085406D" w:rsidRPr="00F16678" w:rsidRDefault="0085406D" w:rsidP="0085406D">
            <w:pPr>
              <w:rPr>
                <w:rFonts w:cstheme="minorHAnsi"/>
                <w:szCs w:val="22"/>
              </w:rPr>
            </w:pPr>
            <w:r w:rsidRPr="008B5B26">
              <w:rPr>
                <w:rFonts w:cstheme="minorHAnsi"/>
                <w:szCs w:val="22"/>
              </w:rPr>
              <w:t>03/05/2020  17:55</w:t>
            </w:r>
          </w:p>
        </w:tc>
      </w:tr>
      <w:tr w:rsidR="0085406D" w:rsidRPr="00F16678" w14:paraId="300C0EBA" w14:textId="77777777" w:rsidTr="008D355F">
        <w:trPr>
          <w:cantSplit/>
        </w:trPr>
        <w:tc>
          <w:tcPr>
            <w:tcW w:w="1951" w:type="dxa"/>
            <w:hideMark/>
          </w:tcPr>
          <w:p w14:paraId="221D6130" w14:textId="18CDAF5A" w:rsidR="0085406D" w:rsidRPr="00F16678" w:rsidRDefault="0085406D" w:rsidP="0085406D">
            <w:pPr>
              <w:rPr>
                <w:rFonts w:cstheme="minorHAnsi"/>
                <w:szCs w:val="22"/>
              </w:rPr>
            </w:pPr>
            <w:r w:rsidRPr="008B5B26">
              <w:rPr>
                <w:rFonts w:cstheme="minorHAnsi"/>
                <w:szCs w:val="22"/>
              </w:rPr>
              <w:t>SampleDateFinish</w:t>
            </w:r>
          </w:p>
        </w:tc>
        <w:tc>
          <w:tcPr>
            <w:tcW w:w="3119" w:type="dxa"/>
            <w:hideMark/>
          </w:tcPr>
          <w:p w14:paraId="5C263A90" w14:textId="3AF545D4" w:rsidR="0085406D" w:rsidRPr="00F16678" w:rsidRDefault="0085406D" w:rsidP="0085406D">
            <w:pPr>
              <w:rPr>
                <w:rFonts w:cstheme="minorHAnsi"/>
                <w:szCs w:val="22"/>
              </w:rPr>
            </w:pPr>
            <w:r w:rsidRPr="008B5B26">
              <w:rPr>
                <w:rFonts w:cstheme="minorHAnsi"/>
                <w:szCs w:val="22"/>
              </w:rPr>
              <w:t>End date (exclusive) that these measures were observed</w:t>
            </w:r>
          </w:p>
        </w:tc>
        <w:tc>
          <w:tcPr>
            <w:tcW w:w="1275" w:type="dxa"/>
            <w:hideMark/>
          </w:tcPr>
          <w:p w14:paraId="41A19522" w14:textId="74FEE359" w:rsidR="0085406D" w:rsidRPr="00F16678" w:rsidRDefault="0085406D" w:rsidP="0085406D">
            <w:pPr>
              <w:rPr>
                <w:rFonts w:cstheme="minorHAnsi"/>
                <w:szCs w:val="22"/>
              </w:rPr>
            </w:pPr>
            <w:r w:rsidRPr="008B5B26">
              <w:rPr>
                <w:rFonts w:cstheme="minorHAnsi"/>
                <w:szCs w:val="22"/>
              </w:rPr>
              <w:t>dateTime</w:t>
            </w:r>
          </w:p>
        </w:tc>
        <w:tc>
          <w:tcPr>
            <w:tcW w:w="709" w:type="dxa"/>
            <w:hideMark/>
          </w:tcPr>
          <w:p w14:paraId="6EE305A0" w14:textId="3F2E808F" w:rsidR="0085406D" w:rsidRPr="00F16678" w:rsidRDefault="0085406D" w:rsidP="0085406D">
            <w:pPr>
              <w:rPr>
                <w:rFonts w:cstheme="minorHAnsi"/>
                <w:szCs w:val="22"/>
              </w:rPr>
            </w:pPr>
            <w:r w:rsidRPr="008B5B26">
              <w:rPr>
                <w:rFonts w:cstheme="minorHAnsi"/>
                <w:szCs w:val="22"/>
              </w:rPr>
              <w:t>Y</w:t>
            </w:r>
          </w:p>
        </w:tc>
        <w:tc>
          <w:tcPr>
            <w:tcW w:w="851" w:type="dxa"/>
            <w:hideMark/>
          </w:tcPr>
          <w:p w14:paraId="165BC7E2" w14:textId="77777777" w:rsidR="0085406D" w:rsidRPr="00F16678" w:rsidRDefault="0085406D" w:rsidP="0085406D">
            <w:pPr>
              <w:pStyle w:val="TableText"/>
              <w:rPr>
                <w:rFonts w:cstheme="minorHAnsi"/>
                <w:sz w:val="22"/>
              </w:rPr>
            </w:pPr>
          </w:p>
        </w:tc>
        <w:tc>
          <w:tcPr>
            <w:tcW w:w="1307" w:type="dxa"/>
          </w:tcPr>
          <w:p w14:paraId="5A0FED36" w14:textId="79CD08D9" w:rsidR="0085406D" w:rsidRPr="00F16678" w:rsidRDefault="0085406D" w:rsidP="0085406D">
            <w:pPr>
              <w:rPr>
                <w:rFonts w:cstheme="minorHAnsi"/>
                <w:szCs w:val="22"/>
              </w:rPr>
            </w:pPr>
            <w:r w:rsidRPr="008B5B26">
              <w:rPr>
                <w:rFonts w:cstheme="minorHAnsi"/>
                <w:szCs w:val="22"/>
              </w:rPr>
              <w:t>03/05/2020  18:10</w:t>
            </w:r>
          </w:p>
        </w:tc>
      </w:tr>
      <w:tr w:rsidR="0085406D" w:rsidRPr="00F16678" w14:paraId="3024A49F" w14:textId="77777777" w:rsidTr="008D355F">
        <w:trPr>
          <w:cantSplit/>
        </w:trPr>
        <w:tc>
          <w:tcPr>
            <w:tcW w:w="1951" w:type="dxa"/>
            <w:hideMark/>
          </w:tcPr>
          <w:p w14:paraId="599DD4CE" w14:textId="41A8BFDF" w:rsidR="0085406D" w:rsidRPr="00F16678" w:rsidRDefault="0085406D" w:rsidP="008D355F">
            <w:pPr>
              <w:rPr>
                <w:rFonts w:cstheme="minorHAnsi"/>
                <w:szCs w:val="22"/>
              </w:rPr>
            </w:pPr>
            <w:r>
              <w:rPr>
                <w:rFonts w:cstheme="minorHAnsi"/>
                <w:szCs w:val="22"/>
              </w:rPr>
              <w:t>S</w:t>
            </w:r>
            <w:r w:rsidRPr="00F16678">
              <w:rPr>
                <w:rFonts w:cstheme="minorHAnsi"/>
                <w:szCs w:val="22"/>
              </w:rPr>
              <w:t>peciesName</w:t>
            </w:r>
          </w:p>
        </w:tc>
        <w:tc>
          <w:tcPr>
            <w:tcW w:w="3119" w:type="dxa"/>
            <w:hideMark/>
          </w:tcPr>
          <w:p w14:paraId="16F9B782" w14:textId="77777777" w:rsidR="0085406D" w:rsidRPr="00F16678" w:rsidRDefault="0085406D" w:rsidP="008D355F">
            <w:pPr>
              <w:rPr>
                <w:rFonts w:cstheme="minorHAnsi"/>
                <w:szCs w:val="22"/>
              </w:rPr>
            </w:pPr>
            <w:r w:rsidRPr="00F16678">
              <w:rPr>
                <w:rFonts w:cstheme="minorHAnsi"/>
                <w:szCs w:val="22"/>
              </w:rPr>
              <w:t>Latin name for species of fish</w:t>
            </w:r>
          </w:p>
        </w:tc>
        <w:tc>
          <w:tcPr>
            <w:tcW w:w="1275" w:type="dxa"/>
            <w:hideMark/>
          </w:tcPr>
          <w:p w14:paraId="0501B372" w14:textId="77777777" w:rsidR="0085406D" w:rsidRPr="00F16678" w:rsidRDefault="0085406D" w:rsidP="008D355F">
            <w:pPr>
              <w:rPr>
                <w:rFonts w:cstheme="minorHAnsi"/>
                <w:szCs w:val="22"/>
              </w:rPr>
            </w:pPr>
            <w:r w:rsidRPr="00F16678">
              <w:rPr>
                <w:rFonts w:cstheme="minorHAnsi"/>
                <w:szCs w:val="22"/>
              </w:rPr>
              <w:t>String</w:t>
            </w:r>
          </w:p>
        </w:tc>
        <w:tc>
          <w:tcPr>
            <w:tcW w:w="709" w:type="dxa"/>
            <w:hideMark/>
          </w:tcPr>
          <w:p w14:paraId="2D4DDF40" w14:textId="77777777" w:rsidR="0085406D" w:rsidRPr="00F16678" w:rsidRDefault="0085406D" w:rsidP="008D355F">
            <w:pPr>
              <w:rPr>
                <w:rFonts w:cstheme="minorHAnsi"/>
                <w:szCs w:val="22"/>
              </w:rPr>
            </w:pPr>
            <w:r w:rsidRPr="00F16678">
              <w:rPr>
                <w:rFonts w:cstheme="minorHAnsi"/>
                <w:szCs w:val="22"/>
              </w:rPr>
              <w:t>Y</w:t>
            </w:r>
          </w:p>
        </w:tc>
        <w:tc>
          <w:tcPr>
            <w:tcW w:w="851" w:type="dxa"/>
            <w:shd w:val="clear" w:color="auto" w:fill="auto"/>
            <w:hideMark/>
          </w:tcPr>
          <w:p w14:paraId="1F7A74FE" w14:textId="77777777" w:rsidR="0085406D" w:rsidRPr="00F16678" w:rsidRDefault="0085406D" w:rsidP="008D355F">
            <w:pPr>
              <w:pStyle w:val="TableText"/>
              <w:rPr>
                <w:rFonts w:cstheme="minorHAnsi"/>
                <w:sz w:val="22"/>
              </w:rPr>
            </w:pPr>
          </w:p>
        </w:tc>
        <w:tc>
          <w:tcPr>
            <w:tcW w:w="1307" w:type="dxa"/>
          </w:tcPr>
          <w:p w14:paraId="37E6E67A" w14:textId="77777777" w:rsidR="0085406D" w:rsidRPr="00F16678" w:rsidRDefault="0085406D" w:rsidP="008D355F">
            <w:pPr>
              <w:pStyle w:val="TableText"/>
              <w:rPr>
                <w:rFonts w:cstheme="minorHAnsi"/>
                <w:i/>
                <w:sz w:val="22"/>
              </w:rPr>
            </w:pPr>
            <w:r w:rsidRPr="00F16678">
              <w:rPr>
                <w:rFonts w:cstheme="minorHAnsi"/>
                <w:i/>
                <w:sz w:val="22"/>
              </w:rPr>
              <w:t>Macquaria ambigua</w:t>
            </w:r>
          </w:p>
        </w:tc>
      </w:tr>
      <w:tr w:rsidR="0085406D" w:rsidRPr="00F16678" w14:paraId="47449B54" w14:textId="77777777" w:rsidTr="008D355F">
        <w:trPr>
          <w:cantSplit/>
        </w:trPr>
        <w:tc>
          <w:tcPr>
            <w:tcW w:w="1951" w:type="dxa"/>
          </w:tcPr>
          <w:p w14:paraId="7DCD5254" w14:textId="2D22496B" w:rsidR="0085406D" w:rsidRPr="00F16678" w:rsidRDefault="0085406D" w:rsidP="0085406D">
            <w:pPr>
              <w:rPr>
                <w:rFonts w:cstheme="minorHAnsi"/>
                <w:szCs w:val="22"/>
              </w:rPr>
            </w:pPr>
            <w:r w:rsidRPr="008B5B26">
              <w:rPr>
                <w:rFonts w:cstheme="minorHAnsi"/>
                <w:szCs w:val="22"/>
              </w:rPr>
              <w:t>Type</w:t>
            </w:r>
          </w:p>
        </w:tc>
        <w:tc>
          <w:tcPr>
            <w:tcW w:w="3119" w:type="dxa"/>
          </w:tcPr>
          <w:p w14:paraId="48DC4DB0" w14:textId="17674818" w:rsidR="0085406D" w:rsidRPr="00F16678" w:rsidRDefault="0085406D" w:rsidP="0085406D">
            <w:pPr>
              <w:rPr>
                <w:rFonts w:cstheme="minorHAnsi"/>
                <w:szCs w:val="22"/>
              </w:rPr>
            </w:pPr>
            <w:r w:rsidRPr="008B5B26">
              <w:rPr>
                <w:rFonts w:cstheme="minorHAnsi"/>
                <w:szCs w:val="22"/>
              </w:rPr>
              <w:t>Gear type used to sample the fish</w:t>
            </w:r>
          </w:p>
        </w:tc>
        <w:tc>
          <w:tcPr>
            <w:tcW w:w="1275" w:type="dxa"/>
          </w:tcPr>
          <w:p w14:paraId="469D33D3" w14:textId="7045795D" w:rsidR="0085406D" w:rsidRPr="00F16678" w:rsidRDefault="0085406D" w:rsidP="0085406D">
            <w:pPr>
              <w:rPr>
                <w:rFonts w:cstheme="minorHAnsi"/>
                <w:szCs w:val="22"/>
              </w:rPr>
            </w:pPr>
            <w:r w:rsidRPr="008B5B26">
              <w:rPr>
                <w:rFonts w:cstheme="minorHAnsi"/>
                <w:szCs w:val="22"/>
              </w:rPr>
              <w:t>string</w:t>
            </w:r>
          </w:p>
        </w:tc>
        <w:tc>
          <w:tcPr>
            <w:tcW w:w="709" w:type="dxa"/>
          </w:tcPr>
          <w:p w14:paraId="17DA0C28" w14:textId="344DCAEA" w:rsidR="0085406D" w:rsidRPr="00F16678" w:rsidRDefault="0085406D" w:rsidP="0085406D">
            <w:pPr>
              <w:rPr>
                <w:rFonts w:cstheme="minorHAnsi"/>
                <w:szCs w:val="22"/>
              </w:rPr>
            </w:pPr>
            <w:r w:rsidRPr="008B5B26">
              <w:rPr>
                <w:rFonts w:cstheme="minorHAnsi"/>
                <w:szCs w:val="22"/>
              </w:rPr>
              <w:t>Y</w:t>
            </w:r>
          </w:p>
        </w:tc>
        <w:tc>
          <w:tcPr>
            <w:tcW w:w="851" w:type="dxa"/>
            <w:shd w:val="clear" w:color="auto" w:fill="auto"/>
          </w:tcPr>
          <w:p w14:paraId="23112097" w14:textId="77777777" w:rsidR="0085406D" w:rsidRPr="00F16678" w:rsidRDefault="0085406D" w:rsidP="0085406D">
            <w:pPr>
              <w:pStyle w:val="TableText"/>
              <w:rPr>
                <w:rFonts w:cstheme="minorHAnsi"/>
                <w:sz w:val="22"/>
              </w:rPr>
            </w:pPr>
          </w:p>
        </w:tc>
        <w:tc>
          <w:tcPr>
            <w:tcW w:w="1307" w:type="dxa"/>
          </w:tcPr>
          <w:p w14:paraId="631C1453" w14:textId="7839F7F6" w:rsidR="0085406D" w:rsidRPr="00F16678" w:rsidRDefault="0085406D" w:rsidP="0085406D">
            <w:pPr>
              <w:pStyle w:val="TableText"/>
              <w:rPr>
                <w:rFonts w:cstheme="minorHAnsi"/>
                <w:i/>
                <w:sz w:val="22"/>
              </w:rPr>
            </w:pPr>
            <w:r>
              <w:rPr>
                <w:rFonts w:cstheme="minorHAnsi"/>
                <w:sz w:val="22"/>
              </w:rPr>
              <w:t>Electrofishing</w:t>
            </w:r>
          </w:p>
        </w:tc>
      </w:tr>
      <w:tr w:rsidR="00954629" w:rsidRPr="00F16678" w14:paraId="194E305B" w14:textId="77777777" w:rsidTr="008D355F">
        <w:trPr>
          <w:cantSplit/>
        </w:trPr>
        <w:tc>
          <w:tcPr>
            <w:tcW w:w="1951" w:type="dxa"/>
          </w:tcPr>
          <w:p w14:paraId="173C2C39" w14:textId="67A1C170" w:rsidR="00954629" w:rsidRPr="008B5B26" w:rsidRDefault="00954629" w:rsidP="00954629">
            <w:pPr>
              <w:rPr>
                <w:rFonts w:cstheme="minorHAnsi"/>
                <w:szCs w:val="22"/>
              </w:rPr>
            </w:pPr>
            <w:r>
              <w:rPr>
                <w:rFonts w:cstheme="minorHAnsi"/>
                <w:szCs w:val="22"/>
              </w:rPr>
              <w:lastRenderedPageBreak/>
              <w:t>Effort</w:t>
            </w:r>
          </w:p>
        </w:tc>
        <w:tc>
          <w:tcPr>
            <w:tcW w:w="3119" w:type="dxa"/>
          </w:tcPr>
          <w:p w14:paraId="7A794F76" w14:textId="4386D03C" w:rsidR="00954629" w:rsidRPr="008B5B26" w:rsidRDefault="00954629" w:rsidP="00954629">
            <w:pPr>
              <w:rPr>
                <w:rFonts w:cstheme="minorHAnsi"/>
                <w:szCs w:val="22"/>
              </w:rPr>
            </w:pPr>
            <w:r>
              <w:rPr>
                <w:rFonts w:cstheme="minorHAnsi"/>
                <w:szCs w:val="22"/>
              </w:rPr>
              <w:t>Number of net sets or electrofishing effort (seconds on time)</w:t>
            </w:r>
          </w:p>
        </w:tc>
        <w:tc>
          <w:tcPr>
            <w:tcW w:w="1275" w:type="dxa"/>
          </w:tcPr>
          <w:p w14:paraId="1AEA4A05" w14:textId="7A8369E4" w:rsidR="00954629" w:rsidRPr="008B5B26" w:rsidRDefault="00954629" w:rsidP="00954629">
            <w:pPr>
              <w:rPr>
                <w:rFonts w:cstheme="minorHAnsi"/>
                <w:szCs w:val="22"/>
              </w:rPr>
            </w:pPr>
            <w:r w:rsidRPr="00F16678">
              <w:rPr>
                <w:rFonts w:cstheme="minorHAnsi"/>
                <w:szCs w:val="22"/>
              </w:rPr>
              <w:t>Number (</w:t>
            </w:r>
            <w:r>
              <w:rPr>
                <w:rFonts w:cstheme="minorHAnsi"/>
                <w:szCs w:val="22"/>
              </w:rPr>
              <w:t>0</w:t>
            </w:r>
            <w:r w:rsidRPr="00F16678">
              <w:rPr>
                <w:rFonts w:cstheme="minorHAnsi"/>
                <w:szCs w:val="22"/>
              </w:rPr>
              <w:t xml:space="preserve"> decimals)</w:t>
            </w:r>
          </w:p>
        </w:tc>
        <w:tc>
          <w:tcPr>
            <w:tcW w:w="709" w:type="dxa"/>
          </w:tcPr>
          <w:p w14:paraId="292667E0" w14:textId="1E824698" w:rsidR="00954629" w:rsidRPr="008B5B26" w:rsidRDefault="00954629" w:rsidP="00954629">
            <w:pPr>
              <w:rPr>
                <w:rFonts w:cstheme="minorHAnsi"/>
                <w:szCs w:val="22"/>
              </w:rPr>
            </w:pPr>
            <w:r w:rsidRPr="00F16678">
              <w:rPr>
                <w:rFonts w:cstheme="minorHAnsi"/>
                <w:szCs w:val="22"/>
              </w:rPr>
              <w:t>Y</w:t>
            </w:r>
          </w:p>
        </w:tc>
        <w:tc>
          <w:tcPr>
            <w:tcW w:w="851" w:type="dxa"/>
            <w:shd w:val="clear" w:color="auto" w:fill="auto"/>
          </w:tcPr>
          <w:p w14:paraId="416BCFD8" w14:textId="06DAE4F4" w:rsidR="00954629" w:rsidRPr="00F16678" w:rsidRDefault="00954629" w:rsidP="00954629">
            <w:pPr>
              <w:pStyle w:val="TableText"/>
              <w:rPr>
                <w:rFonts w:cstheme="minorHAnsi"/>
                <w:sz w:val="22"/>
              </w:rPr>
            </w:pPr>
            <w:r w:rsidRPr="00F16678">
              <w:rPr>
                <w:rFonts w:cstheme="minorHAnsi"/>
                <w:sz w:val="22"/>
              </w:rPr>
              <w:t>[0,+]</w:t>
            </w:r>
          </w:p>
        </w:tc>
        <w:tc>
          <w:tcPr>
            <w:tcW w:w="1307" w:type="dxa"/>
          </w:tcPr>
          <w:p w14:paraId="601178A5" w14:textId="2081D592" w:rsidR="00954629" w:rsidRDefault="00954629" w:rsidP="00954629">
            <w:pPr>
              <w:pStyle w:val="TableText"/>
              <w:rPr>
                <w:rFonts w:cstheme="minorHAnsi"/>
                <w:sz w:val="22"/>
              </w:rPr>
            </w:pPr>
            <w:r>
              <w:rPr>
                <w:rFonts w:cstheme="minorHAnsi"/>
                <w:sz w:val="22"/>
              </w:rPr>
              <w:t>4400 s</w:t>
            </w:r>
          </w:p>
        </w:tc>
      </w:tr>
      <w:tr w:rsidR="0085406D" w:rsidRPr="00F16678" w14:paraId="1D6141B0" w14:textId="77777777" w:rsidTr="008D355F">
        <w:trPr>
          <w:cantSplit/>
        </w:trPr>
        <w:tc>
          <w:tcPr>
            <w:tcW w:w="1951" w:type="dxa"/>
            <w:noWrap/>
            <w:hideMark/>
          </w:tcPr>
          <w:p w14:paraId="08CC3A7C" w14:textId="01F6765F" w:rsidR="0085406D" w:rsidRPr="00F16678" w:rsidRDefault="0085406D" w:rsidP="008D355F">
            <w:pPr>
              <w:rPr>
                <w:rFonts w:cstheme="minorHAnsi"/>
                <w:szCs w:val="22"/>
              </w:rPr>
            </w:pPr>
            <w:r w:rsidRPr="00F16678">
              <w:rPr>
                <w:rFonts w:cstheme="minorHAnsi"/>
                <w:szCs w:val="22"/>
              </w:rPr>
              <w:t>Catch</w:t>
            </w:r>
          </w:p>
        </w:tc>
        <w:tc>
          <w:tcPr>
            <w:tcW w:w="3119" w:type="dxa"/>
            <w:hideMark/>
          </w:tcPr>
          <w:p w14:paraId="1DEC6EE8" w14:textId="4E0C5CE1" w:rsidR="0085406D" w:rsidRPr="00F16678" w:rsidRDefault="0085406D" w:rsidP="008D355F">
            <w:pPr>
              <w:rPr>
                <w:rFonts w:cstheme="minorHAnsi"/>
                <w:szCs w:val="22"/>
              </w:rPr>
            </w:pPr>
            <w:r>
              <w:rPr>
                <w:rFonts w:cstheme="minorHAnsi"/>
                <w:szCs w:val="22"/>
              </w:rPr>
              <w:t>Number of individuals</w:t>
            </w:r>
          </w:p>
        </w:tc>
        <w:tc>
          <w:tcPr>
            <w:tcW w:w="1275" w:type="dxa"/>
            <w:hideMark/>
          </w:tcPr>
          <w:p w14:paraId="1267752E" w14:textId="499566A0" w:rsidR="0085406D" w:rsidRPr="00F16678" w:rsidRDefault="0085406D" w:rsidP="00954629">
            <w:pPr>
              <w:rPr>
                <w:rFonts w:cstheme="minorHAnsi"/>
                <w:szCs w:val="22"/>
              </w:rPr>
            </w:pPr>
            <w:r w:rsidRPr="00F16678">
              <w:rPr>
                <w:rFonts w:cstheme="minorHAnsi"/>
                <w:szCs w:val="22"/>
              </w:rPr>
              <w:t>Number (</w:t>
            </w:r>
            <w:r w:rsidR="00954629">
              <w:rPr>
                <w:rFonts w:cstheme="minorHAnsi"/>
                <w:szCs w:val="22"/>
              </w:rPr>
              <w:t>0</w:t>
            </w:r>
            <w:r w:rsidRPr="00F16678">
              <w:rPr>
                <w:rFonts w:cstheme="minorHAnsi"/>
                <w:szCs w:val="22"/>
              </w:rPr>
              <w:t xml:space="preserve"> decimals)</w:t>
            </w:r>
          </w:p>
        </w:tc>
        <w:tc>
          <w:tcPr>
            <w:tcW w:w="709" w:type="dxa"/>
            <w:noWrap/>
            <w:hideMark/>
          </w:tcPr>
          <w:p w14:paraId="26071059" w14:textId="77777777" w:rsidR="0085406D" w:rsidRPr="00F16678" w:rsidRDefault="0085406D" w:rsidP="008D355F">
            <w:pPr>
              <w:rPr>
                <w:rFonts w:cstheme="minorHAnsi"/>
                <w:szCs w:val="22"/>
              </w:rPr>
            </w:pPr>
            <w:r w:rsidRPr="00F16678">
              <w:rPr>
                <w:rFonts w:cstheme="minorHAnsi"/>
                <w:szCs w:val="22"/>
              </w:rPr>
              <w:t>Y</w:t>
            </w:r>
          </w:p>
        </w:tc>
        <w:tc>
          <w:tcPr>
            <w:tcW w:w="851" w:type="dxa"/>
            <w:noWrap/>
            <w:hideMark/>
          </w:tcPr>
          <w:p w14:paraId="780AE75E" w14:textId="77777777" w:rsidR="0085406D" w:rsidRPr="00F16678" w:rsidRDefault="0085406D" w:rsidP="008D355F">
            <w:pPr>
              <w:pStyle w:val="TableText"/>
              <w:rPr>
                <w:rFonts w:cstheme="minorHAnsi"/>
                <w:sz w:val="22"/>
              </w:rPr>
            </w:pPr>
            <w:r w:rsidRPr="00F16678">
              <w:rPr>
                <w:rFonts w:cstheme="minorHAnsi"/>
                <w:sz w:val="22"/>
              </w:rPr>
              <w:t>[0,+]</w:t>
            </w:r>
          </w:p>
        </w:tc>
        <w:tc>
          <w:tcPr>
            <w:tcW w:w="1307" w:type="dxa"/>
          </w:tcPr>
          <w:p w14:paraId="555AF476" w14:textId="6E4EB803" w:rsidR="0085406D" w:rsidRPr="00F16678" w:rsidRDefault="00954629" w:rsidP="008D355F">
            <w:pPr>
              <w:pStyle w:val="TableText"/>
              <w:rPr>
                <w:rFonts w:cstheme="minorHAnsi"/>
                <w:sz w:val="22"/>
                <w:vertAlign w:val="superscript"/>
              </w:rPr>
            </w:pPr>
            <w:r>
              <w:rPr>
                <w:rFonts w:cstheme="minorHAnsi"/>
                <w:sz w:val="22"/>
              </w:rPr>
              <w:t>15</w:t>
            </w:r>
          </w:p>
        </w:tc>
      </w:tr>
    </w:tbl>
    <w:p w14:paraId="5CF64526" w14:textId="77777777" w:rsidR="00954629" w:rsidRDefault="00954629" w:rsidP="0085406D">
      <w:pPr>
        <w:rPr>
          <w:b/>
        </w:rPr>
      </w:pPr>
    </w:p>
    <w:p w14:paraId="450373CC" w14:textId="77777777" w:rsidR="00106144" w:rsidRDefault="00106144">
      <w:pPr>
        <w:spacing w:after="200" w:line="276" w:lineRule="auto"/>
        <w:jc w:val="left"/>
        <w:rPr>
          <w:b/>
        </w:rPr>
      </w:pPr>
      <w:r>
        <w:rPr>
          <w:b/>
        </w:rPr>
        <w:br w:type="page"/>
      </w:r>
    </w:p>
    <w:p w14:paraId="56A9545E" w14:textId="60374FF6" w:rsidR="0085406D" w:rsidRDefault="0085406D" w:rsidP="0085406D">
      <w:pPr>
        <w:rPr>
          <w:b/>
        </w:rPr>
      </w:pPr>
      <w:r w:rsidRPr="0085406D">
        <w:rPr>
          <w:b/>
        </w:rPr>
        <w:lastRenderedPageBreak/>
        <w:t>Individual fish</w:t>
      </w:r>
    </w:p>
    <w:tbl>
      <w:tblPr>
        <w:tblStyle w:val="TableGrid"/>
        <w:tblW w:w="9428" w:type="dxa"/>
        <w:tblInd w:w="-5" w:type="dxa"/>
        <w:tblLayout w:type="fixed"/>
        <w:tblLook w:val="04A0" w:firstRow="1" w:lastRow="0" w:firstColumn="1" w:lastColumn="0" w:noHBand="0" w:noVBand="1"/>
      </w:tblPr>
      <w:tblGrid>
        <w:gridCol w:w="1985"/>
        <w:gridCol w:w="2835"/>
        <w:gridCol w:w="1242"/>
        <w:gridCol w:w="742"/>
        <w:gridCol w:w="817"/>
        <w:gridCol w:w="1807"/>
      </w:tblGrid>
      <w:tr w:rsidR="00444DB8" w:rsidRPr="008B5B26" w14:paraId="186083F7" w14:textId="77777777" w:rsidTr="004412C0">
        <w:trPr>
          <w:cantSplit/>
          <w:tblHeader/>
        </w:trPr>
        <w:tc>
          <w:tcPr>
            <w:tcW w:w="1985" w:type="dxa"/>
            <w:tcBorders>
              <w:top w:val="single" w:sz="4" w:space="0" w:color="auto"/>
            </w:tcBorders>
            <w:shd w:val="clear" w:color="auto" w:fill="BFBFBF" w:themeFill="background1" w:themeFillShade="BF"/>
            <w:vAlign w:val="center"/>
            <w:hideMark/>
          </w:tcPr>
          <w:p w14:paraId="4181013E" w14:textId="77777777" w:rsidR="00444DB8" w:rsidRPr="008B5B26" w:rsidRDefault="00444DB8" w:rsidP="00BA28FA">
            <w:pPr>
              <w:pStyle w:val="TableHeading"/>
              <w:rPr>
                <w:rFonts w:cstheme="minorHAnsi"/>
                <w:sz w:val="22"/>
              </w:rPr>
            </w:pPr>
            <w:r w:rsidRPr="008B5B26">
              <w:rPr>
                <w:rFonts w:cstheme="minorHAnsi"/>
                <w:sz w:val="22"/>
              </w:rPr>
              <w:t>Variable</w:t>
            </w:r>
          </w:p>
        </w:tc>
        <w:tc>
          <w:tcPr>
            <w:tcW w:w="2835" w:type="dxa"/>
            <w:tcBorders>
              <w:top w:val="single" w:sz="4" w:space="0" w:color="auto"/>
            </w:tcBorders>
            <w:shd w:val="clear" w:color="auto" w:fill="BFBFBF" w:themeFill="background1" w:themeFillShade="BF"/>
            <w:vAlign w:val="center"/>
            <w:hideMark/>
          </w:tcPr>
          <w:p w14:paraId="0D1983D7" w14:textId="77777777" w:rsidR="00444DB8" w:rsidRPr="008B5B26" w:rsidRDefault="00444DB8" w:rsidP="00BA28FA">
            <w:pPr>
              <w:pStyle w:val="TableHeading"/>
              <w:rPr>
                <w:rFonts w:cstheme="minorHAnsi"/>
                <w:sz w:val="22"/>
              </w:rPr>
            </w:pPr>
            <w:r w:rsidRPr="008B5B26">
              <w:rPr>
                <w:rFonts w:cstheme="minorHAnsi"/>
                <w:sz w:val="22"/>
              </w:rPr>
              <w:t>Description</w:t>
            </w:r>
          </w:p>
        </w:tc>
        <w:tc>
          <w:tcPr>
            <w:tcW w:w="1242" w:type="dxa"/>
            <w:tcBorders>
              <w:top w:val="single" w:sz="4" w:space="0" w:color="auto"/>
            </w:tcBorders>
            <w:shd w:val="clear" w:color="auto" w:fill="BFBFBF" w:themeFill="background1" w:themeFillShade="BF"/>
            <w:vAlign w:val="center"/>
            <w:hideMark/>
          </w:tcPr>
          <w:p w14:paraId="26E37A31" w14:textId="77777777" w:rsidR="00444DB8" w:rsidRPr="008B5B26" w:rsidRDefault="00444DB8" w:rsidP="00BA28FA">
            <w:pPr>
              <w:pStyle w:val="TableHeading"/>
              <w:rPr>
                <w:rFonts w:cstheme="minorHAnsi"/>
                <w:sz w:val="22"/>
              </w:rPr>
            </w:pPr>
            <w:r w:rsidRPr="008B5B26">
              <w:rPr>
                <w:rFonts w:cstheme="minorHAnsi"/>
                <w:sz w:val="22"/>
              </w:rPr>
              <w:t>Type</w:t>
            </w:r>
          </w:p>
        </w:tc>
        <w:tc>
          <w:tcPr>
            <w:tcW w:w="742" w:type="dxa"/>
            <w:tcBorders>
              <w:top w:val="single" w:sz="4" w:space="0" w:color="auto"/>
            </w:tcBorders>
            <w:shd w:val="clear" w:color="auto" w:fill="BFBFBF" w:themeFill="background1" w:themeFillShade="BF"/>
            <w:vAlign w:val="center"/>
            <w:hideMark/>
          </w:tcPr>
          <w:p w14:paraId="7FD36E48" w14:textId="77777777" w:rsidR="00444DB8" w:rsidRPr="008B5B26" w:rsidRDefault="00444DB8" w:rsidP="00BA28FA">
            <w:pPr>
              <w:pStyle w:val="TableHeading"/>
              <w:rPr>
                <w:rFonts w:cstheme="minorHAnsi"/>
                <w:sz w:val="22"/>
              </w:rPr>
            </w:pPr>
            <w:r w:rsidRPr="008B5B26">
              <w:rPr>
                <w:rFonts w:cstheme="minorHAnsi"/>
                <w:sz w:val="22"/>
              </w:rPr>
              <w:t>Req</w:t>
            </w:r>
          </w:p>
        </w:tc>
        <w:tc>
          <w:tcPr>
            <w:tcW w:w="817" w:type="dxa"/>
            <w:tcBorders>
              <w:top w:val="single" w:sz="4" w:space="0" w:color="auto"/>
            </w:tcBorders>
            <w:shd w:val="clear" w:color="auto" w:fill="BFBFBF" w:themeFill="background1" w:themeFillShade="BF"/>
            <w:vAlign w:val="center"/>
            <w:hideMark/>
          </w:tcPr>
          <w:p w14:paraId="6D3AC11B" w14:textId="77777777" w:rsidR="00444DB8" w:rsidRPr="008B5B26" w:rsidRDefault="00444DB8" w:rsidP="00BA28FA">
            <w:pPr>
              <w:pStyle w:val="TableHeading"/>
              <w:rPr>
                <w:rFonts w:cstheme="minorHAnsi"/>
                <w:sz w:val="22"/>
              </w:rPr>
            </w:pPr>
            <w:r w:rsidRPr="008B5B26">
              <w:rPr>
                <w:rFonts w:cstheme="minorHAnsi"/>
                <w:sz w:val="22"/>
              </w:rPr>
              <w:t>Range</w:t>
            </w:r>
          </w:p>
        </w:tc>
        <w:tc>
          <w:tcPr>
            <w:tcW w:w="1807" w:type="dxa"/>
            <w:tcBorders>
              <w:top w:val="single" w:sz="4" w:space="0" w:color="auto"/>
            </w:tcBorders>
            <w:shd w:val="clear" w:color="auto" w:fill="BFBFBF" w:themeFill="background1" w:themeFillShade="BF"/>
          </w:tcPr>
          <w:p w14:paraId="020F19E1" w14:textId="77777777" w:rsidR="00444DB8" w:rsidRPr="008B5B26" w:rsidRDefault="00444DB8" w:rsidP="00BA28FA">
            <w:pPr>
              <w:pStyle w:val="TableHeading"/>
              <w:rPr>
                <w:rFonts w:cstheme="minorHAnsi"/>
                <w:sz w:val="22"/>
              </w:rPr>
            </w:pPr>
            <w:r w:rsidRPr="008B5B26">
              <w:rPr>
                <w:rFonts w:cstheme="minorHAnsi"/>
                <w:sz w:val="22"/>
              </w:rPr>
              <w:t>Example</w:t>
            </w:r>
          </w:p>
        </w:tc>
      </w:tr>
      <w:tr w:rsidR="00444DB8" w:rsidRPr="008B5B26" w14:paraId="0AE9FD8F" w14:textId="77777777" w:rsidTr="004412C0">
        <w:trPr>
          <w:cantSplit/>
        </w:trPr>
        <w:tc>
          <w:tcPr>
            <w:tcW w:w="1985" w:type="dxa"/>
            <w:shd w:val="clear" w:color="auto" w:fill="auto"/>
            <w:noWrap/>
            <w:hideMark/>
          </w:tcPr>
          <w:p w14:paraId="49B34930" w14:textId="77777777" w:rsidR="00444DB8" w:rsidRPr="008B5B26" w:rsidRDefault="00444DB8" w:rsidP="00BA28FA">
            <w:pPr>
              <w:rPr>
                <w:rFonts w:cstheme="minorHAnsi"/>
                <w:szCs w:val="22"/>
              </w:rPr>
            </w:pPr>
            <w:r w:rsidRPr="008B5B26">
              <w:rPr>
                <w:rFonts w:cstheme="minorHAnsi"/>
                <w:szCs w:val="22"/>
              </w:rPr>
              <w:t>SamplePointName</w:t>
            </w:r>
          </w:p>
        </w:tc>
        <w:tc>
          <w:tcPr>
            <w:tcW w:w="2835" w:type="dxa"/>
            <w:shd w:val="clear" w:color="auto" w:fill="auto"/>
            <w:hideMark/>
          </w:tcPr>
          <w:p w14:paraId="7E0B9897" w14:textId="77777777" w:rsidR="00444DB8" w:rsidRPr="008B5B26" w:rsidRDefault="00444DB8" w:rsidP="00BA28FA">
            <w:pPr>
              <w:pStyle w:val="TableText"/>
              <w:rPr>
                <w:rFonts w:cstheme="minorHAnsi"/>
                <w:sz w:val="22"/>
              </w:rPr>
            </w:pPr>
            <w:r w:rsidRPr="008B5B26">
              <w:rPr>
                <w:rFonts w:cstheme="minorHAnsi"/>
                <w:color w:val="auto"/>
                <w:sz w:val="22"/>
              </w:rPr>
              <w:t xml:space="preserve">A single reach of the Lower Murray River in either the </w:t>
            </w:r>
            <w:r w:rsidRPr="008B5B26">
              <w:rPr>
                <w:rFonts w:cstheme="minorHAnsi"/>
                <w:i/>
                <w:color w:val="auto"/>
                <w:sz w:val="22"/>
              </w:rPr>
              <w:t>Gorge</w:t>
            </w:r>
            <w:r w:rsidRPr="008B5B26">
              <w:rPr>
                <w:rFonts w:cstheme="minorHAnsi"/>
                <w:color w:val="auto"/>
                <w:sz w:val="22"/>
              </w:rPr>
              <w:t xml:space="preserve"> or </w:t>
            </w:r>
            <w:r w:rsidRPr="008B5B26">
              <w:rPr>
                <w:rFonts w:cstheme="minorHAnsi"/>
                <w:i/>
                <w:color w:val="auto"/>
                <w:sz w:val="22"/>
              </w:rPr>
              <w:t>Floodplain</w:t>
            </w:r>
            <w:r w:rsidRPr="008B5B26">
              <w:rPr>
                <w:rFonts w:cstheme="minorHAnsi"/>
                <w:color w:val="auto"/>
                <w:sz w:val="22"/>
              </w:rPr>
              <w:t xml:space="preserve"> zone represented by either a name or polygon within which observations are made</w:t>
            </w:r>
          </w:p>
        </w:tc>
        <w:tc>
          <w:tcPr>
            <w:tcW w:w="1242" w:type="dxa"/>
            <w:shd w:val="clear" w:color="auto" w:fill="auto"/>
            <w:noWrap/>
            <w:hideMark/>
          </w:tcPr>
          <w:p w14:paraId="1DE9D71D" w14:textId="69BF81B2" w:rsidR="00444DB8" w:rsidRPr="008B5B26" w:rsidRDefault="008B5B26" w:rsidP="00BA28FA">
            <w:pPr>
              <w:rPr>
                <w:rFonts w:cstheme="minorHAnsi"/>
                <w:szCs w:val="22"/>
              </w:rPr>
            </w:pPr>
            <w:r w:rsidRPr="008B5B26">
              <w:rPr>
                <w:rFonts w:cstheme="minorHAnsi"/>
                <w:szCs w:val="22"/>
              </w:rPr>
              <w:t>s</w:t>
            </w:r>
            <w:r w:rsidR="00444DB8" w:rsidRPr="008B5B26">
              <w:rPr>
                <w:rFonts w:cstheme="minorHAnsi"/>
                <w:szCs w:val="22"/>
              </w:rPr>
              <w:t>tring</w:t>
            </w:r>
          </w:p>
        </w:tc>
        <w:tc>
          <w:tcPr>
            <w:tcW w:w="742" w:type="dxa"/>
            <w:shd w:val="clear" w:color="auto" w:fill="auto"/>
            <w:noWrap/>
            <w:hideMark/>
          </w:tcPr>
          <w:p w14:paraId="2EEE298F" w14:textId="77777777" w:rsidR="00444DB8" w:rsidRPr="008B5B26" w:rsidRDefault="00444DB8" w:rsidP="00BA28FA">
            <w:pPr>
              <w:rPr>
                <w:rFonts w:cstheme="minorHAnsi"/>
                <w:szCs w:val="22"/>
              </w:rPr>
            </w:pPr>
            <w:r w:rsidRPr="008B5B26">
              <w:rPr>
                <w:rFonts w:cstheme="minorHAnsi"/>
                <w:szCs w:val="22"/>
              </w:rPr>
              <w:t>Y</w:t>
            </w:r>
          </w:p>
        </w:tc>
        <w:tc>
          <w:tcPr>
            <w:tcW w:w="817" w:type="dxa"/>
            <w:shd w:val="clear" w:color="auto" w:fill="auto"/>
            <w:noWrap/>
            <w:hideMark/>
          </w:tcPr>
          <w:p w14:paraId="01BD2B5E" w14:textId="77777777" w:rsidR="00444DB8" w:rsidRPr="008B5B26" w:rsidRDefault="00444DB8" w:rsidP="00BA28FA">
            <w:pPr>
              <w:pStyle w:val="TableText"/>
              <w:rPr>
                <w:rFonts w:cstheme="minorHAnsi"/>
                <w:sz w:val="22"/>
              </w:rPr>
            </w:pPr>
          </w:p>
        </w:tc>
        <w:tc>
          <w:tcPr>
            <w:tcW w:w="1807" w:type="dxa"/>
            <w:shd w:val="clear" w:color="auto" w:fill="auto"/>
          </w:tcPr>
          <w:p w14:paraId="51357583" w14:textId="77777777" w:rsidR="00444DB8" w:rsidRPr="008B5B26" w:rsidRDefault="00444DB8" w:rsidP="00BA28FA">
            <w:pPr>
              <w:pStyle w:val="TableText"/>
              <w:rPr>
                <w:rFonts w:cstheme="minorHAnsi"/>
                <w:sz w:val="22"/>
              </w:rPr>
            </w:pPr>
            <w:r w:rsidRPr="008B5B26">
              <w:rPr>
                <w:rFonts w:cstheme="minorHAnsi"/>
                <w:sz w:val="22"/>
              </w:rPr>
              <w:t>LK6DS_616km</w:t>
            </w:r>
          </w:p>
        </w:tc>
      </w:tr>
      <w:tr w:rsidR="00444DB8" w:rsidRPr="008B5B26" w14:paraId="20BF634D" w14:textId="77777777" w:rsidTr="004412C0">
        <w:trPr>
          <w:cantSplit/>
        </w:trPr>
        <w:tc>
          <w:tcPr>
            <w:tcW w:w="1985" w:type="dxa"/>
            <w:shd w:val="clear" w:color="auto" w:fill="auto"/>
            <w:hideMark/>
          </w:tcPr>
          <w:p w14:paraId="5CE7F9FC" w14:textId="77777777" w:rsidR="00444DB8" w:rsidRPr="008B5B26" w:rsidRDefault="00444DB8" w:rsidP="00BA28FA">
            <w:pPr>
              <w:rPr>
                <w:rFonts w:cstheme="minorHAnsi"/>
                <w:szCs w:val="22"/>
              </w:rPr>
            </w:pPr>
            <w:r w:rsidRPr="008B5B26">
              <w:rPr>
                <w:rFonts w:cstheme="minorHAnsi"/>
                <w:szCs w:val="22"/>
              </w:rPr>
              <w:t>SampleDateStart</w:t>
            </w:r>
          </w:p>
        </w:tc>
        <w:tc>
          <w:tcPr>
            <w:tcW w:w="2835" w:type="dxa"/>
            <w:shd w:val="clear" w:color="auto" w:fill="auto"/>
            <w:hideMark/>
          </w:tcPr>
          <w:p w14:paraId="4A6E2B69" w14:textId="77777777" w:rsidR="00444DB8" w:rsidRPr="008B5B26" w:rsidRDefault="00444DB8" w:rsidP="00BA28FA">
            <w:pPr>
              <w:rPr>
                <w:rFonts w:cstheme="minorHAnsi"/>
                <w:szCs w:val="22"/>
              </w:rPr>
            </w:pPr>
            <w:r w:rsidRPr="008B5B26">
              <w:rPr>
                <w:rFonts w:cstheme="minorHAnsi"/>
                <w:szCs w:val="22"/>
              </w:rPr>
              <w:t>Start date (inclusive) that these measures were observed</w:t>
            </w:r>
          </w:p>
        </w:tc>
        <w:tc>
          <w:tcPr>
            <w:tcW w:w="1242" w:type="dxa"/>
            <w:shd w:val="clear" w:color="auto" w:fill="auto"/>
            <w:hideMark/>
          </w:tcPr>
          <w:p w14:paraId="7F844670" w14:textId="77777777" w:rsidR="00444DB8" w:rsidRPr="008B5B26" w:rsidRDefault="00444DB8" w:rsidP="00BA28FA">
            <w:pPr>
              <w:rPr>
                <w:rFonts w:cstheme="minorHAnsi"/>
                <w:szCs w:val="22"/>
              </w:rPr>
            </w:pPr>
            <w:r w:rsidRPr="008B5B26">
              <w:rPr>
                <w:rFonts w:cstheme="minorHAnsi"/>
                <w:szCs w:val="22"/>
              </w:rPr>
              <w:t>dateTime</w:t>
            </w:r>
          </w:p>
        </w:tc>
        <w:tc>
          <w:tcPr>
            <w:tcW w:w="742" w:type="dxa"/>
            <w:shd w:val="clear" w:color="auto" w:fill="auto"/>
            <w:hideMark/>
          </w:tcPr>
          <w:p w14:paraId="108F3B17" w14:textId="77777777" w:rsidR="00444DB8" w:rsidRPr="008B5B26" w:rsidRDefault="00444DB8" w:rsidP="00BA28FA">
            <w:pPr>
              <w:rPr>
                <w:rFonts w:cstheme="minorHAnsi"/>
                <w:szCs w:val="22"/>
              </w:rPr>
            </w:pPr>
            <w:r w:rsidRPr="008B5B26">
              <w:rPr>
                <w:rFonts w:cstheme="minorHAnsi"/>
                <w:szCs w:val="22"/>
              </w:rPr>
              <w:t>Y</w:t>
            </w:r>
          </w:p>
        </w:tc>
        <w:tc>
          <w:tcPr>
            <w:tcW w:w="817" w:type="dxa"/>
            <w:shd w:val="clear" w:color="auto" w:fill="auto"/>
            <w:hideMark/>
          </w:tcPr>
          <w:p w14:paraId="61DA9355" w14:textId="77777777" w:rsidR="00444DB8" w:rsidRPr="008B5B26" w:rsidRDefault="00444DB8" w:rsidP="00BA28FA">
            <w:pPr>
              <w:pStyle w:val="TableText"/>
              <w:rPr>
                <w:rFonts w:cstheme="minorHAnsi"/>
                <w:sz w:val="22"/>
              </w:rPr>
            </w:pPr>
          </w:p>
        </w:tc>
        <w:tc>
          <w:tcPr>
            <w:tcW w:w="1807" w:type="dxa"/>
            <w:shd w:val="clear" w:color="auto" w:fill="auto"/>
          </w:tcPr>
          <w:p w14:paraId="195303A4" w14:textId="72A90FC3" w:rsidR="00444DB8" w:rsidRPr="008B5B26" w:rsidRDefault="00444DB8" w:rsidP="00BA28FA">
            <w:pPr>
              <w:rPr>
                <w:rFonts w:cstheme="minorHAnsi"/>
                <w:szCs w:val="22"/>
              </w:rPr>
            </w:pPr>
            <w:r w:rsidRPr="008B5B26">
              <w:rPr>
                <w:rFonts w:cstheme="minorHAnsi"/>
                <w:szCs w:val="22"/>
              </w:rPr>
              <w:t>0</w:t>
            </w:r>
            <w:r w:rsidR="00B10F7C" w:rsidRPr="008B5B26">
              <w:rPr>
                <w:rFonts w:cstheme="minorHAnsi"/>
                <w:szCs w:val="22"/>
              </w:rPr>
              <w:t>3/05/2020</w:t>
            </w:r>
            <w:r w:rsidRPr="008B5B26">
              <w:rPr>
                <w:rFonts w:cstheme="minorHAnsi"/>
                <w:szCs w:val="22"/>
              </w:rPr>
              <w:t xml:space="preserve">  17:55</w:t>
            </w:r>
          </w:p>
        </w:tc>
      </w:tr>
      <w:tr w:rsidR="00444DB8" w:rsidRPr="008B5B26" w14:paraId="698B1FA6" w14:textId="77777777" w:rsidTr="004412C0">
        <w:trPr>
          <w:cantSplit/>
        </w:trPr>
        <w:tc>
          <w:tcPr>
            <w:tcW w:w="1985" w:type="dxa"/>
            <w:shd w:val="clear" w:color="auto" w:fill="auto"/>
            <w:hideMark/>
          </w:tcPr>
          <w:p w14:paraId="695147B4" w14:textId="77777777" w:rsidR="00444DB8" w:rsidRPr="008B5B26" w:rsidRDefault="00444DB8" w:rsidP="00BA28FA">
            <w:pPr>
              <w:rPr>
                <w:rFonts w:cstheme="minorHAnsi"/>
                <w:szCs w:val="22"/>
              </w:rPr>
            </w:pPr>
            <w:r w:rsidRPr="008B5B26">
              <w:rPr>
                <w:rFonts w:cstheme="minorHAnsi"/>
                <w:szCs w:val="22"/>
              </w:rPr>
              <w:t>SampleDateFinish</w:t>
            </w:r>
          </w:p>
        </w:tc>
        <w:tc>
          <w:tcPr>
            <w:tcW w:w="2835" w:type="dxa"/>
            <w:shd w:val="clear" w:color="auto" w:fill="auto"/>
            <w:hideMark/>
          </w:tcPr>
          <w:p w14:paraId="6E38B036" w14:textId="77777777" w:rsidR="00444DB8" w:rsidRPr="008B5B26" w:rsidRDefault="00444DB8" w:rsidP="00BA28FA">
            <w:pPr>
              <w:rPr>
                <w:rFonts w:cstheme="minorHAnsi"/>
                <w:szCs w:val="22"/>
              </w:rPr>
            </w:pPr>
            <w:r w:rsidRPr="008B5B26">
              <w:rPr>
                <w:rFonts w:cstheme="minorHAnsi"/>
                <w:szCs w:val="22"/>
              </w:rPr>
              <w:t>End date (exclusive) that these measures were observed</w:t>
            </w:r>
          </w:p>
        </w:tc>
        <w:tc>
          <w:tcPr>
            <w:tcW w:w="1242" w:type="dxa"/>
            <w:shd w:val="clear" w:color="auto" w:fill="auto"/>
            <w:hideMark/>
          </w:tcPr>
          <w:p w14:paraId="0FCCF012" w14:textId="77777777" w:rsidR="00444DB8" w:rsidRPr="008B5B26" w:rsidRDefault="00444DB8" w:rsidP="00BA28FA">
            <w:pPr>
              <w:rPr>
                <w:rFonts w:cstheme="minorHAnsi"/>
                <w:szCs w:val="22"/>
              </w:rPr>
            </w:pPr>
            <w:r w:rsidRPr="008B5B26">
              <w:rPr>
                <w:rFonts w:cstheme="minorHAnsi"/>
                <w:szCs w:val="22"/>
              </w:rPr>
              <w:t>dateTime</w:t>
            </w:r>
          </w:p>
        </w:tc>
        <w:tc>
          <w:tcPr>
            <w:tcW w:w="742" w:type="dxa"/>
            <w:shd w:val="clear" w:color="auto" w:fill="auto"/>
            <w:hideMark/>
          </w:tcPr>
          <w:p w14:paraId="44229E1B" w14:textId="77777777" w:rsidR="00444DB8" w:rsidRPr="008B5B26" w:rsidRDefault="00444DB8" w:rsidP="00BA28FA">
            <w:pPr>
              <w:rPr>
                <w:rFonts w:cstheme="minorHAnsi"/>
                <w:szCs w:val="22"/>
              </w:rPr>
            </w:pPr>
            <w:r w:rsidRPr="008B5B26">
              <w:rPr>
                <w:rFonts w:cstheme="minorHAnsi"/>
                <w:szCs w:val="22"/>
              </w:rPr>
              <w:t>Y</w:t>
            </w:r>
          </w:p>
        </w:tc>
        <w:tc>
          <w:tcPr>
            <w:tcW w:w="817" w:type="dxa"/>
            <w:shd w:val="clear" w:color="auto" w:fill="auto"/>
            <w:hideMark/>
          </w:tcPr>
          <w:p w14:paraId="7F185B27" w14:textId="77777777" w:rsidR="00444DB8" w:rsidRPr="008B5B26" w:rsidRDefault="00444DB8" w:rsidP="00BA28FA">
            <w:pPr>
              <w:pStyle w:val="TableText"/>
              <w:rPr>
                <w:rFonts w:cstheme="minorHAnsi"/>
                <w:sz w:val="22"/>
              </w:rPr>
            </w:pPr>
          </w:p>
        </w:tc>
        <w:tc>
          <w:tcPr>
            <w:tcW w:w="1807" w:type="dxa"/>
            <w:shd w:val="clear" w:color="auto" w:fill="auto"/>
          </w:tcPr>
          <w:p w14:paraId="646DF634" w14:textId="7985F16A" w:rsidR="00444DB8" w:rsidRPr="008B5B26" w:rsidRDefault="00444DB8" w:rsidP="00BA28FA">
            <w:pPr>
              <w:rPr>
                <w:rFonts w:cstheme="minorHAnsi"/>
                <w:szCs w:val="22"/>
              </w:rPr>
            </w:pPr>
            <w:r w:rsidRPr="008B5B26">
              <w:rPr>
                <w:rFonts w:cstheme="minorHAnsi"/>
                <w:szCs w:val="22"/>
              </w:rPr>
              <w:t>0</w:t>
            </w:r>
            <w:r w:rsidR="00B10F7C" w:rsidRPr="008B5B26">
              <w:rPr>
                <w:rFonts w:cstheme="minorHAnsi"/>
                <w:szCs w:val="22"/>
              </w:rPr>
              <w:t>3/05/2020</w:t>
            </w:r>
            <w:r w:rsidRPr="008B5B26">
              <w:rPr>
                <w:rFonts w:cstheme="minorHAnsi"/>
                <w:szCs w:val="22"/>
              </w:rPr>
              <w:t xml:space="preserve">  18:10</w:t>
            </w:r>
          </w:p>
        </w:tc>
      </w:tr>
      <w:tr w:rsidR="008B5B26" w:rsidRPr="008B5B26" w14:paraId="1893C63F" w14:textId="77777777" w:rsidTr="004412C0">
        <w:trPr>
          <w:cantSplit/>
        </w:trPr>
        <w:tc>
          <w:tcPr>
            <w:tcW w:w="1985" w:type="dxa"/>
            <w:shd w:val="clear" w:color="auto" w:fill="auto"/>
          </w:tcPr>
          <w:p w14:paraId="4DF31DA2" w14:textId="78291C2D" w:rsidR="008B5B26" w:rsidRPr="008B5B26" w:rsidRDefault="008B5B26" w:rsidP="008B5B26">
            <w:pPr>
              <w:rPr>
                <w:rFonts w:cstheme="minorHAnsi"/>
                <w:szCs w:val="22"/>
              </w:rPr>
            </w:pPr>
            <w:r w:rsidRPr="008B5B26">
              <w:rPr>
                <w:rFonts w:cstheme="minorHAnsi"/>
                <w:szCs w:val="22"/>
              </w:rPr>
              <w:t>Type</w:t>
            </w:r>
          </w:p>
        </w:tc>
        <w:tc>
          <w:tcPr>
            <w:tcW w:w="2835" w:type="dxa"/>
            <w:shd w:val="clear" w:color="auto" w:fill="auto"/>
          </w:tcPr>
          <w:p w14:paraId="02C4AB58" w14:textId="5C2ADA84" w:rsidR="008B5B26" w:rsidRPr="008B5B26" w:rsidRDefault="008B5B26" w:rsidP="008B5B26">
            <w:pPr>
              <w:rPr>
                <w:rFonts w:cstheme="minorHAnsi"/>
                <w:szCs w:val="22"/>
              </w:rPr>
            </w:pPr>
            <w:r w:rsidRPr="008B5B26">
              <w:rPr>
                <w:rFonts w:cstheme="minorHAnsi"/>
                <w:szCs w:val="22"/>
              </w:rPr>
              <w:t>Gear type used to sample the fish</w:t>
            </w:r>
          </w:p>
        </w:tc>
        <w:tc>
          <w:tcPr>
            <w:tcW w:w="1242" w:type="dxa"/>
            <w:shd w:val="clear" w:color="auto" w:fill="auto"/>
          </w:tcPr>
          <w:p w14:paraId="4DEDFA20" w14:textId="09AEA262" w:rsidR="008B5B26" w:rsidRPr="008B5B26" w:rsidRDefault="008B5B26" w:rsidP="008B5B26">
            <w:pPr>
              <w:rPr>
                <w:rFonts w:cstheme="minorHAnsi"/>
                <w:szCs w:val="22"/>
              </w:rPr>
            </w:pPr>
            <w:r w:rsidRPr="008B5B26">
              <w:rPr>
                <w:rFonts w:cstheme="minorHAnsi"/>
                <w:szCs w:val="22"/>
              </w:rPr>
              <w:t>string</w:t>
            </w:r>
          </w:p>
        </w:tc>
        <w:tc>
          <w:tcPr>
            <w:tcW w:w="742" w:type="dxa"/>
            <w:shd w:val="clear" w:color="auto" w:fill="auto"/>
          </w:tcPr>
          <w:p w14:paraId="3DA18F72" w14:textId="602B79EC" w:rsidR="008B5B26" w:rsidRPr="008B5B26" w:rsidRDefault="008B5B26" w:rsidP="008B5B26">
            <w:pPr>
              <w:rPr>
                <w:rFonts w:cstheme="minorHAnsi"/>
                <w:szCs w:val="22"/>
              </w:rPr>
            </w:pPr>
            <w:r w:rsidRPr="008B5B26">
              <w:rPr>
                <w:rFonts w:cstheme="minorHAnsi"/>
                <w:szCs w:val="22"/>
              </w:rPr>
              <w:t>Y</w:t>
            </w:r>
          </w:p>
        </w:tc>
        <w:tc>
          <w:tcPr>
            <w:tcW w:w="817" w:type="dxa"/>
            <w:shd w:val="clear" w:color="auto" w:fill="auto"/>
          </w:tcPr>
          <w:p w14:paraId="7A08CF85" w14:textId="77777777" w:rsidR="008B5B26" w:rsidRPr="008B5B26" w:rsidRDefault="008B5B26" w:rsidP="008B5B26">
            <w:pPr>
              <w:pStyle w:val="TableText"/>
              <w:rPr>
                <w:rFonts w:cstheme="minorHAnsi"/>
                <w:sz w:val="22"/>
              </w:rPr>
            </w:pPr>
          </w:p>
        </w:tc>
        <w:tc>
          <w:tcPr>
            <w:tcW w:w="1807" w:type="dxa"/>
            <w:shd w:val="clear" w:color="auto" w:fill="auto"/>
          </w:tcPr>
          <w:p w14:paraId="3F0E099E" w14:textId="05C78224" w:rsidR="008B5B26" w:rsidRPr="008B5B26" w:rsidRDefault="008B5B26" w:rsidP="008B5B26">
            <w:pPr>
              <w:rPr>
                <w:rFonts w:cstheme="minorHAnsi"/>
                <w:szCs w:val="22"/>
              </w:rPr>
            </w:pPr>
            <w:r w:rsidRPr="008B5B26">
              <w:rPr>
                <w:rFonts w:cstheme="minorHAnsi"/>
                <w:szCs w:val="22"/>
              </w:rPr>
              <w:t>Light trap</w:t>
            </w:r>
          </w:p>
        </w:tc>
      </w:tr>
      <w:tr w:rsidR="00444DB8" w:rsidRPr="008B5B26" w14:paraId="549B21D3" w14:textId="77777777" w:rsidTr="004412C0">
        <w:trPr>
          <w:cantSplit/>
        </w:trPr>
        <w:tc>
          <w:tcPr>
            <w:tcW w:w="1985" w:type="dxa"/>
            <w:shd w:val="clear" w:color="auto" w:fill="auto"/>
          </w:tcPr>
          <w:p w14:paraId="194A1FB0" w14:textId="77777777" w:rsidR="00444DB8" w:rsidRPr="008B5B26" w:rsidRDefault="00444DB8" w:rsidP="00BA28FA">
            <w:pPr>
              <w:rPr>
                <w:rFonts w:cstheme="minorHAnsi"/>
                <w:szCs w:val="22"/>
              </w:rPr>
            </w:pPr>
            <w:r w:rsidRPr="008B5B26">
              <w:rPr>
                <w:rFonts w:cstheme="minorHAnsi"/>
                <w:szCs w:val="22"/>
              </w:rPr>
              <w:t>SpeciesName</w:t>
            </w:r>
          </w:p>
        </w:tc>
        <w:tc>
          <w:tcPr>
            <w:tcW w:w="2835" w:type="dxa"/>
            <w:shd w:val="clear" w:color="auto" w:fill="auto"/>
          </w:tcPr>
          <w:p w14:paraId="4BAE6A7E" w14:textId="77777777" w:rsidR="00444DB8" w:rsidRPr="008B5B26" w:rsidRDefault="00444DB8" w:rsidP="00BA28FA">
            <w:pPr>
              <w:rPr>
                <w:rFonts w:cstheme="minorHAnsi"/>
                <w:szCs w:val="22"/>
              </w:rPr>
            </w:pPr>
            <w:r w:rsidRPr="008B5B26">
              <w:rPr>
                <w:rFonts w:cstheme="minorHAnsi"/>
                <w:szCs w:val="22"/>
              </w:rPr>
              <w:t>Latin name for species of fish</w:t>
            </w:r>
          </w:p>
        </w:tc>
        <w:tc>
          <w:tcPr>
            <w:tcW w:w="1242" w:type="dxa"/>
            <w:shd w:val="clear" w:color="auto" w:fill="auto"/>
          </w:tcPr>
          <w:p w14:paraId="7D384F84" w14:textId="5EE0860E" w:rsidR="00444DB8" w:rsidRPr="008B5B26" w:rsidRDefault="00FE625F" w:rsidP="00BA28FA">
            <w:pPr>
              <w:rPr>
                <w:rFonts w:cstheme="minorHAnsi"/>
                <w:szCs w:val="22"/>
              </w:rPr>
            </w:pPr>
            <w:r w:rsidRPr="008B5B26">
              <w:rPr>
                <w:rFonts w:cstheme="minorHAnsi"/>
                <w:szCs w:val="22"/>
              </w:rPr>
              <w:t>s</w:t>
            </w:r>
            <w:r w:rsidR="00444DB8" w:rsidRPr="008B5B26">
              <w:rPr>
                <w:rFonts w:cstheme="minorHAnsi"/>
                <w:szCs w:val="22"/>
              </w:rPr>
              <w:t>tring</w:t>
            </w:r>
          </w:p>
        </w:tc>
        <w:tc>
          <w:tcPr>
            <w:tcW w:w="742" w:type="dxa"/>
            <w:shd w:val="clear" w:color="auto" w:fill="auto"/>
          </w:tcPr>
          <w:p w14:paraId="744F82CC" w14:textId="77777777" w:rsidR="00444DB8" w:rsidRPr="008B5B26" w:rsidRDefault="00444DB8" w:rsidP="00BA28FA">
            <w:pPr>
              <w:rPr>
                <w:rFonts w:cstheme="minorHAnsi"/>
                <w:szCs w:val="22"/>
              </w:rPr>
            </w:pPr>
            <w:r w:rsidRPr="008B5B26">
              <w:rPr>
                <w:rFonts w:cstheme="minorHAnsi"/>
                <w:szCs w:val="22"/>
              </w:rPr>
              <w:t>Y</w:t>
            </w:r>
          </w:p>
        </w:tc>
        <w:tc>
          <w:tcPr>
            <w:tcW w:w="817" w:type="dxa"/>
            <w:shd w:val="clear" w:color="auto" w:fill="auto"/>
          </w:tcPr>
          <w:p w14:paraId="2959B217" w14:textId="77777777" w:rsidR="00444DB8" w:rsidRPr="008B5B26" w:rsidRDefault="00444DB8" w:rsidP="00BA28FA">
            <w:pPr>
              <w:pStyle w:val="TableText"/>
              <w:rPr>
                <w:rFonts w:cstheme="minorHAnsi"/>
                <w:sz w:val="22"/>
              </w:rPr>
            </w:pPr>
          </w:p>
        </w:tc>
        <w:tc>
          <w:tcPr>
            <w:tcW w:w="1807" w:type="dxa"/>
            <w:shd w:val="clear" w:color="auto" w:fill="auto"/>
          </w:tcPr>
          <w:p w14:paraId="7111D812" w14:textId="77777777" w:rsidR="00444DB8" w:rsidRPr="008B5B26" w:rsidRDefault="00444DB8" w:rsidP="00BA28FA">
            <w:pPr>
              <w:pStyle w:val="TableText"/>
              <w:rPr>
                <w:rFonts w:cstheme="minorHAnsi"/>
                <w:sz w:val="22"/>
              </w:rPr>
            </w:pPr>
            <w:r w:rsidRPr="008B5B26">
              <w:rPr>
                <w:rFonts w:cstheme="minorHAnsi"/>
                <w:i/>
                <w:sz w:val="22"/>
              </w:rPr>
              <w:t>Macquaria ambigua</w:t>
            </w:r>
          </w:p>
        </w:tc>
      </w:tr>
      <w:tr w:rsidR="00444DB8" w:rsidRPr="008B5B26" w14:paraId="1591EF25" w14:textId="77777777" w:rsidTr="004412C0">
        <w:trPr>
          <w:cantSplit/>
        </w:trPr>
        <w:tc>
          <w:tcPr>
            <w:tcW w:w="1985" w:type="dxa"/>
            <w:shd w:val="clear" w:color="auto" w:fill="auto"/>
          </w:tcPr>
          <w:p w14:paraId="5E6D7C15" w14:textId="77777777" w:rsidR="00444DB8" w:rsidRPr="008B5B26" w:rsidRDefault="00444DB8" w:rsidP="00BA28FA">
            <w:pPr>
              <w:rPr>
                <w:rFonts w:cstheme="minorHAnsi"/>
                <w:szCs w:val="22"/>
              </w:rPr>
            </w:pPr>
            <w:r w:rsidRPr="008B5B26">
              <w:rPr>
                <w:rFonts w:cs="Calibri"/>
                <w:szCs w:val="22"/>
                <w:lang w:val="en-US"/>
              </w:rPr>
              <w:t>FishNumber</w:t>
            </w:r>
          </w:p>
        </w:tc>
        <w:tc>
          <w:tcPr>
            <w:tcW w:w="2835" w:type="dxa"/>
            <w:shd w:val="clear" w:color="auto" w:fill="auto"/>
          </w:tcPr>
          <w:p w14:paraId="293E2911" w14:textId="77777777" w:rsidR="00444DB8" w:rsidRPr="008B5B26" w:rsidRDefault="00444DB8" w:rsidP="00BA28FA">
            <w:pPr>
              <w:rPr>
                <w:rFonts w:cstheme="minorHAnsi"/>
                <w:szCs w:val="22"/>
              </w:rPr>
            </w:pPr>
            <w:r w:rsidRPr="008B5B26">
              <w:rPr>
                <w:rFonts w:cs="Calibri"/>
                <w:szCs w:val="22"/>
                <w:lang w:val="en-US"/>
              </w:rPr>
              <w:t xml:space="preserve">Arbitrary name/number that identifies the net, trap or electrofishing unit within the assessment unit </w:t>
            </w:r>
          </w:p>
        </w:tc>
        <w:tc>
          <w:tcPr>
            <w:tcW w:w="1242" w:type="dxa"/>
            <w:shd w:val="clear" w:color="auto" w:fill="auto"/>
          </w:tcPr>
          <w:p w14:paraId="50BA392E" w14:textId="77777777" w:rsidR="00444DB8" w:rsidRPr="008B5B26" w:rsidRDefault="00444DB8" w:rsidP="00BA28FA">
            <w:pPr>
              <w:rPr>
                <w:rFonts w:cstheme="minorHAnsi"/>
                <w:szCs w:val="22"/>
              </w:rPr>
            </w:pPr>
            <w:r w:rsidRPr="008B5B26">
              <w:rPr>
                <w:rFonts w:cs="Calibri"/>
                <w:szCs w:val="22"/>
              </w:rPr>
              <w:t>string</w:t>
            </w:r>
          </w:p>
        </w:tc>
        <w:tc>
          <w:tcPr>
            <w:tcW w:w="742" w:type="dxa"/>
            <w:shd w:val="clear" w:color="auto" w:fill="auto"/>
          </w:tcPr>
          <w:p w14:paraId="133088E8" w14:textId="77777777" w:rsidR="00444DB8" w:rsidRPr="008B5B26" w:rsidRDefault="00444DB8" w:rsidP="00BA28FA">
            <w:pPr>
              <w:rPr>
                <w:rFonts w:cstheme="minorHAnsi"/>
                <w:szCs w:val="22"/>
              </w:rPr>
            </w:pPr>
            <w:r w:rsidRPr="008B5B26">
              <w:rPr>
                <w:rFonts w:cs="Calibri"/>
                <w:szCs w:val="22"/>
              </w:rPr>
              <w:t>Y</w:t>
            </w:r>
          </w:p>
        </w:tc>
        <w:tc>
          <w:tcPr>
            <w:tcW w:w="817" w:type="dxa"/>
            <w:shd w:val="clear" w:color="auto" w:fill="auto"/>
          </w:tcPr>
          <w:p w14:paraId="4800F509" w14:textId="77777777" w:rsidR="00444DB8" w:rsidRPr="008B5B26" w:rsidRDefault="00444DB8" w:rsidP="00BA28FA">
            <w:pPr>
              <w:pStyle w:val="TableText"/>
              <w:rPr>
                <w:rFonts w:cstheme="minorHAnsi"/>
                <w:sz w:val="22"/>
              </w:rPr>
            </w:pPr>
          </w:p>
        </w:tc>
        <w:tc>
          <w:tcPr>
            <w:tcW w:w="1807" w:type="dxa"/>
            <w:shd w:val="clear" w:color="auto" w:fill="auto"/>
          </w:tcPr>
          <w:p w14:paraId="67C5426B" w14:textId="77777777" w:rsidR="00444DB8" w:rsidRPr="008B5B26" w:rsidRDefault="00444DB8" w:rsidP="00BA28FA">
            <w:pPr>
              <w:pStyle w:val="TableText"/>
              <w:rPr>
                <w:rFonts w:cstheme="minorHAnsi"/>
                <w:i/>
                <w:sz w:val="22"/>
              </w:rPr>
            </w:pPr>
            <w:r w:rsidRPr="008B5B26">
              <w:rPr>
                <w:rFonts w:cs="Calibri"/>
                <w:sz w:val="22"/>
                <w:lang w:val="en-US"/>
              </w:rPr>
              <w:t>3</w:t>
            </w:r>
          </w:p>
        </w:tc>
      </w:tr>
      <w:tr w:rsidR="00444DB8" w:rsidRPr="008B5B26" w14:paraId="44139D6B" w14:textId="77777777" w:rsidTr="004412C0">
        <w:trPr>
          <w:cantSplit/>
        </w:trPr>
        <w:tc>
          <w:tcPr>
            <w:tcW w:w="1985" w:type="dxa"/>
            <w:shd w:val="clear" w:color="auto" w:fill="auto"/>
          </w:tcPr>
          <w:p w14:paraId="1A9023FA" w14:textId="77777777" w:rsidR="00444DB8" w:rsidRPr="008B5B26" w:rsidRDefault="00444DB8" w:rsidP="00BA28FA">
            <w:pPr>
              <w:rPr>
                <w:rFonts w:cstheme="minorHAnsi"/>
                <w:szCs w:val="22"/>
              </w:rPr>
            </w:pPr>
            <w:r w:rsidRPr="008B5B26">
              <w:rPr>
                <w:rFonts w:cs="Calibri"/>
                <w:szCs w:val="22"/>
              </w:rPr>
              <w:t>TotalLength</w:t>
            </w:r>
          </w:p>
        </w:tc>
        <w:tc>
          <w:tcPr>
            <w:tcW w:w="2835" w:type="dxa"/>
            <w:shd w:val="clear" w:color="auto" w:fill="auto"/>
          </w:tcPr>
          <w:p w14:paraId="26C0F6E1" w14:textId="77777777" w:rsidR="00444DB8" w:rsidRPr="008B5B26" w:rsidRDefault="00444DB8" w:rsidP="00BA28FA">
            <w:pPr>
              <w:rPr>
                <w:rFonts w:cstheme="minorHAnsi"/>
                <w:szCs w:val="22"/>
              </w:rPr>
            </w:pPr>
            <w:r w:rsidRPr="008B5B26">
              <w:rPr>
                <w:rFonts w:cs="Calibri"/>
                <w:szCs w:val="22"/>
              </w:rPr>
              <w:t>Fork length (in mm), where necessary</w:t>
            </w:r>
          </w:p>
        </w:tc>
        <w:tc>
          <w:tcPr>
            <w:tcW w:w="1242" w:type="dxa"/>
            <w:shd w:val="clear" w:color="auto" w:fill="auto"/>
          </w:tcPr>
          <w:p w14:paraId="53CBCD09" w14:textId="5F3C94D1" w:rsidR="00444DB8" w:rsidRPr="008B5B26" w:rsidRDefault="008B5B26" w:rsidP="00BA28FA">
            <w:pPr>
              <w:rPr>
                <w:rFonts w:cstheme="minorHAnsi"/>
                <w:szCs w:val="22"/>
              </w:rPr>
            </w:pPr>
            <w:r w:rsidRPr="008B5B26">
              <w:rPr>
                <w:rFonts w:cs="Calibri"/>
                <w:szCs w:val="22"/>
                <w:lang w:val="en-US"/>
              </w:rPr>
              <w:t>number (0</w:t>
            </w:r>
            <w:r w:rsidR="00444DB8" w:rsidRPr="008B5B26">
              <w:rPr>
                <w:rFonts w:cs="Calibri"/>
                <w:szCs w:val="22"/>
                <w:lang w:val="en-US"/>
              </w:rPr>
              <w:t xml:space="preserve"> decimal )</w:t>
            </w:r>
          </w:p>
        </w:tc>
        <w:tc>
          <w:tcPr>
            <w:tcW w:w="742" w:type="dxa"/>
            <w:shd w:val="clear" w:color="auto" w:fill="auto"/>
          </w:tcPr>
          <w:p w14:paraId="4C85AE0E" w14:textId="77777777" w:rsidR="00444DB8" w:rsidRPr="008B5B26" w:rsidRDefault="00444DB8" w:rsidP="00BA28FA">
            <w:pPr>
              <w:rPr>
                <w:rFonts w:cstheme="minorHAnsi"/>
                <w:szCs w:val="22"/>
              </w:rPr>
            </w:pPr>
            <w:r w:rsidRPr="008B5B26">
              <w:rPr>
                <w:rFonts w:cs="Calibri"/>
                <w:szCs w:val="22"/>
              </w:rPr>
              <w:t>Y</w:t>
            </w:r>
          </w:p>
        </w:tc>
        <w:tc>
          <w:tcPr>
            <w:tcW w:w="817" w:type="dxa"/>
            <w:shd w:val="clear" w:color="auto" w:fill="auto"/>
          </w:tcPr>
          <w:p w14:paraId="3F733C7B" w14:textId="77777777" w:rsidR="00444DB8" w:rsidRPr="008B5B26" w:rsidRDefault="00444DB8" w:rsidP="00BA28FA">
            <w:pPr>
              <w:pStyle w:val="TableText"/>
              <w:rPr>
                <w:rFonts w:cstheme="minorHAnsi"/>
                <w:sz w:val="22"/>
              </w:rPr>
            </w:pPr>
            <w:r w:rsidRPr="008B5B26">
              <w:rPr>
                <w:rFonts w:cs="Calibri"/>
                <w:sz w:val="22"/>
                <w:lang w:val="en-US"/>
              </w:rPr>
              <w:t xml:space="preserve">[0,+] </w:t>
            </w:r>
          </w:p>
        </w:tc>
        <w:tc>
          <w:tcPr>
            <w:tcW w:w="1807" w:type="dxa"/>
            <w:shd w:val="clear" w:color="auto" w:fill="auto"/>
          </w:tcPr>
          <w:p w14:paraId="42E41C04" w14:textId="1A0B5B59" w:rsidR="00444DB8" w:rsidRPr="008B5B26" w:rsidRDefault="008B5B26" w:rsidP="00BA28FA">
            <w:pPr>
              <w:pStyle w:val="TableText"/>
              <w:rPr>
                <w:rFonts w:cstheme="minorHAnsi"/>
                <w:i/>
                <w:sz w:val="22"/>
              </w:rPr>
            </w:pPr>
            <w:r w:rsidRPr="008B5B26">
              <w:rPr>
                <w:rFonts w:cs="Calibri"/>
                <w:sz w:val="22"/>
              </w:rPr>
              <w:t>54 mm</w:t>
            </w:r>
          </w:p>
        </w:tc>
      </w:tr>
      <w:tr w:rsidR="00444DB8" w:rsidRPr="008B5B26" w14:paraId="2E395443" w14:textId="77777777" w:rsidTr="004412C0">
        <w:trPr>
          <w:cantSplit/>
        </w:trPr>
        <w:tc>
          <w:tcPr>
            <w:tcW w:w="1985" w:type="dxa"/>
            <w:shd w:val="clear" w:color="auto" w:fill="auto"/>
          </w:tcPr>
          <w:p w14:paraId="3F8AF527" w14:textId="4E3D83C5" w:rsidR="00444DB8" w:rsidRPr="008B5B26" w:rsidRDefault="008B5B26" w:rsidP="00BA28FA">
            <w:pPr>
              <w:rPr>
                <w:rFonts w:cstheme="minorHAnsi"/>
                <w:szCs w:val="22"/>
              </w:rPr>
            </w:pPr>
            <w:r w:rsidRPr="008B5B26">
              <w:rPr>
                <w:rFonts w:cstheme="minorHAnsi"/>
                <w:szCs w:val="22"/>
              </w:rPr>
              <w:t>Weight</w:t>
            </w:r>
          </w:p>
        </w:tc>
        <w:tc>
          <w:tcPr>
            <w:tcW w:w="2835" w:type="dxa"/>
            <w:shd w:val="clear" w:color="auto" w:fill="auto"/>
          </w:tcPr>
          <w:p w14:paraId="50EBA67E" w14:textId="07353094" w:rsidR="00444DB8" w:rsidRPr="008B5B26" w:rsidRDefault="008B5B26" w:rsidP="008B5B26">
            <w:pPr>
              <w:rPr>
                <w:rFonts w:cstheme="minorHAnsi"/>
                <w:szCs w:val="22"/>
              </w:rPr>
            </w:pPr>
            <w:r w:rsidRPr="008B5B26">
              <w:rPr>
                <w:rFonts w:cstheme="minorHAnsi"/>
                <w:szCs w:val="22"/>
              </w:rPr>
              <w:t>Weight (in grams) of individual</w:t>
            </w:r>
          </w:p>
        </w:tc>
        <w:tc>
          <w:tcPr>
            <w:tcW w:w="1242" w:type="dxa"/>
            <w:shd w:val="clear" w:color="auto" w:fill="auto"/>
          </w:tcPr>
          <w:p w14:paraId="7B5F1AFE" w14:textId="76062F20" w:rsidR="00444DB8" w:rsidRPr="008B5B26" w:rsidRDefault="008B5B26" w:rsidP="008B5B26">
            <w:pPr>
              <w:rPr>
                <w:rFonts w:cstheme="minorHAnsi"/>
                <w:szCs w:val="22"/>
              </w:rPr>
            </w:pPr>
            <w:r w:rsidRPr="008B5B26">
              <w:rPr>
                <w:rFonts w:cs="Calibri"/>
                <w:szCs w:val="22"/>
                <w:lang w:val="en-US"/>
              </w:rPr>
              <w:t>number (2 decimal )</w:t>
            </w:r>
          </w:p>
        </w:tc>
        <w:tc>
          <w:tcPr>
            <w:tcW w:w="742" w:type="dxa"/>
            <w:shd w:val="clear" w:color="auto" w:fill="auto"/>
          </w:tcPr>
          <w:p w14:paraId="0A9B7FB5" w14:textId="77777777" w:rsidR="00444DB8" w:rsidRPr="008B5B26" w:rsidRDefault="00444DB8" w:rsidP="00BA28FA">
            <w:pPr>
              <w:rPr>
                <w:rFonts w:cstheme="minorHAnsi"/>
                <w:szCs w:val="22"/>
              </w:rPr>
            </w:pPr>
            <w:r w:rsidRPr="008B5B26">
              <w:rPr>
                <w:rFonts w:cs="Calibri"/>
                <w:szCs w:val="22"/>
              </w:rPr>
              <w:t>Y</w:t>
            </w:r>
          </w:p>
        </w:tc>
        <w:tc>
          <w:tcPr>
            <w:tcW w:w="817" w:type="dxa"/>
            <w:shd w:val="clear" w:color="auto" w:fill="auto"/>
          </w:tcPr>
          <w:p w14:paraId="0A7EF8EE" w14:textId="77777777" w:rsidR="00444DB8" w:rsidRPr="008B5B26" w:rsidRDefault="00444DB8" w:rsidP="00BA28FA">
            <w:pPr>
              <w:pStyle w:val="TableText"/>
              <w:rPr>
                <w:rFonts w:cstheme="minorHAnsi"/>
                <w:sz w:val="22"/>
              </w:rPr>
            </w:pPr>
          </w:p>
        </w:tc>
        <w:tc>
          <w:tcPr>
            <w:tcW w:w="1807" w:type="dxa"/>
            <w:shd w:val="clear" w:color="auto" w:fill="auto"/>
          </w:tcPr>
          <w:p w14:paraId="44208273" w14:textId="7E185B84" w:rsidR="00444DB8" w:rsidRPr="008B5B26" w:rsidRDefault="008B5B26" w:rsidP="00BA28FA">
            <w:pPr>
              <w:pStyle w:val="TableText"/>
              <w:rPr>
                <w:rFonts w:cstheme="minorHAnsi"/>
                <w:sz w:val="22"/>
              </w:rPr>
            </w:pPr>
            <w:r>
              <w:rPr>
                <w:rFonts w:cstheme="minorHAnsi"/>
                <w:sz w:val="22"/>
              </w:rPr>
              <w:t>6.82 g</w:t>
            </w:r>
          </w:p>
        </w:tc>
      </w:tr>
    </w:tbl>
    <w:p w14:paraId="231B5C9D" w14:textId="77777777" w:rsidR="009E6C53" w:rsidRPr="00992869" w:rsidRDefault="009E6C53" w:rsidP="009E6C53">
      <w:pPr>
        <w:pStyle w:val="Heading2"/>
      </w:pPr>
      <w:bookmarkStart w:id="2435" w:name="_Toc10206835"/>
      <w:bookmarkStart w:id="2436" w:name="_Toc10213421"/>
      <w:bookmarkStart w:id="2437" w:name="_Toc10732445"/>
      <w:bookmarkStart w:id="2438" w:name="_Toc10797004"/>
      <w:bookmarkStart w:id="2439" w:name="_Toc12022888"/>
      <w:bookmarkStart w:id="2440" w:name="_Toc12630718"/>
      <w:bookmarkStart w:id="2441" w:name="_Toc16154578"/>
      <w:bookmarkStart w:id="2442" w:name="_Toc22196940"/>
      <w:r w:rsidRPr="00992869">
        <w:t>Quality Assurance/Quality Control</w:t>
      </w:r>
      <w:bookmarkEnd w:id="2435"/>
      <w:bookmarkEnd w:id="2436"/>
      <w:bookmarkEnd w:id="2437"/>
      <w:bookmarkEnd w:id="2438"/>
      <w:bookmarkEnd w:id="2439"/>
      <w:bookmarkEnd w:id="2440"/>
      <w:bookmarkEnd w:id="2441"/>
      <w:bookmarkEnd w:id="2442"/>
    </w:p>
    <w:p w14:paraId="6BBCA8C2" w14:textId="13338620" w:rsidR="009E6C53" w:rsidRPr="00992869" w:rsidRDefault="009E6C53" w:rsidP="009E6C53">
      <w:r w:rsidRPr="00992869">
        <w:t xml:space="preserve">See Section </w:t>
      </w:r>
      <w:r w:rsidRPr="00992869">
        <w:fldChar w:fldCharType="begin"/>
      </w:r>
      <w:r w:rsidRPr="00992869">
        <w:instrText xml:space="preserve"> REF _Ref9333977 \r \h  \* MERGEFORMAT </w:instrText>
      </w:r>
      <w:r w:rsidRPr="00992869">
        <w:fldChar w:fldCharType="separate"/>
      </w:r>
      <w:r w:rsidR="00DF49CD">
        <w:t>10.3</w:t>
      </w:r>
      <w:r w:rsidRPr="00992869">
        <w:fldChar w:fldCharType="end"/>
      </w:r>
      <w:r>
        <w:t xml:space="preserve"> </w:t>
      </w:r>
      <w:r w:rsidRPr="002E3EEF">
        <w:rPr>
          <w:rFonts w:cstheme="minorHAnsi"/>
          <w:szCs w:val="22"/>
        </w:rPr>
        <w:t xml:space="preserve">in the </w:t>
      </w:r>
      <w:r>
        <w:rPr>
          <w:rFonts w:cstheme="minorHAnsi"/>
          <w:szCs w:val="22"/>
        </w:rPr>
        <w:t>MER</w:t>
      </w:r>
      <w:r w:rsidRPr="002E3EEF">
        <w:rPr>
          <w:rFonts w:cstheme="minorHAnsi"/>
          <w:szCs w:val="22"/>
        </w:rPr>
        <w:t xml:space="preserve"> Plan</w:t>
      </w:r>
      <w:r>
        <w:rPr>
          <w:rFonts w:cstheme="minorHAnsi"/>
          <w:szCs w:val="22"/>
        </w:rPr>
        <w:t xml:space="preserve"> for quality assurance and control measures</w:t>
      </w:r>
      <w:r w:rsidRPr="00992869">
        <w:t xml:space="preserve">. </w:t>
      </w:r>
    </w:p>
    <w:p w14:paraId="16BC7C3D" w14:textId="77777777" w:rsidR="00CF0989" w:rsidRPr="00992869" w:rsidRDefault="00CF0989" w:rsidP="00CF0989">
      <w:pPr>
        <w:pStyle w:val="Heading2"/>
      </w:pPr>
      <w:bookmarkStart w:id="2443" w:name="_Toc10206836"/>
      <w:bookmarkStart w:id="2444" w:name="_Toc10213422"/>
      <w:bookmarkStart w:id="2445" w:name="_Toc10732446"/>
      <w:bookmarkStart w:id="2446" w:name="_Toc10797005"/>
      <w:bookmarkStart w:id="2447" w:name="_Toc12022889"/>
      <w:bookmarkStart w:id="2448" w:name="_Toc12630719"/>
      <w:bookmarkStart w:id="2449" w:name="_Toc16154579"/>
      <w:bookmarkStart w:id="2450" w:name="_Toc22196941"/>
      <w:r w:rsidRPr="00992869">
        <w:t>Health, safety and environment plan</w:t>
      </w:r>
      <w:bookmarkEnd w:id="2433"/>
      <w:bookmarkEnd w:id="2434"/>
      <w:bookmarkEnd w:id="2443"/>
      <w:bookmarkEnd w:id="2444"/>
      <w:bookmarkEnd w:id="2445"/>
      <w:bookmarkEnd w:id="2446"/>
      <w:bookmarkEnd w:id="2447"/>
      <w:bookmarkEnd w:id="2448"/>
      <w:bookmarkEnd w:id="2449"/>
      <w:bookmarkEnd w:id="2450"/>
    </w:p>
    <w:p w14:paraId="57F6FE9C" w14:textId="3E90FF35" w:rsidR="00CF0989" w:rsidRDefault="000E285D" w:rsidP="00CF0989">
      <w:pPr>
        <w:rPr>
          <w:lang w:val="en-US"/>
        </w:rPr>
      </w:pPr>
      <w:r>
        <w:t>See Appendix A</w:t>
      </w:r>
      <w:r w:rsidR="00CF0989" w:rsidRPr="00992869">
        <w:t>.</w:t>
      </w:r>
    </w:p>
    <w:p w14:paraId="0C43EBA6" w14:textId="77777777" w:rsidR="00CF0989" w:rsidRPr="00010916" w:rsidRDefault="00CF0989" w:rsidP="00CF0989">
      <w:pPr>
        <w:pStyle w:val="Heading2"/>
      </w:pPr>
      <w:bookmarkStart w:id="2451" w:name="_Toc10095353"/>
      <w:bookmarkStart w:id="2452" w:name="_Toc10192522"/>
      <w:bookmarkStart w:id="2453" w:name="_Toc10206837"/>
      <w:bookmarkStart w:id="2454" w:name="_Toc10213423"/>
      <w:bookmarkStart w:id="2455" w:name="_Toc10732447"/>
      <w:bookmarkStart w:id="2456" w:name="_Toc10797006"/>
      <w:bookmarkStart w:id="2457" w:name="_Toc12022890"/>
      <w:bookmarkStart w:id="2458" w:name="_Toc12630720"/>
      <w:bookmarkStart w:id="2459" w:name="_Toc16154580"/>
      <w:bookmarkStart w:id="2460" w:name="_Toc22196942"/>
      <w:r w:rsidRPr="00010916">
        <w:t>References</w:t>
      </w:r>
      <w:bookmarkEnd w:id="2451"/>
      <w:bookmarkEnd w:id="2452"/>
      <w:bookmarkEnd w:id="2453"/>
      <w:bookmarkEnd w:id="2454"/>
      <w:bookmarkEnd w:id="2455"/>
      <w:bookmarkEnd w:id="2456"/>
      <w:bookmarkEnd w:id="2457"/>
      <w:bookmarkEnd w:id="2458"/>
      <w:bookmarkEnd w:id="2459"/>
      <w:bookmarkEnd w:id="2460"/>
    </w:p>
    <w:p w14:paraId="1C234CBF" w14:textId="77777777" w:rsidR="00FD321B" w:rsidRDefault="00FD321B" w:rsidP="00FD321B">
      <w:pPr>
        <w:rPr>
          <w:color w:val="auto"/>
        </w:rPr>
      </w:pPr>
      <w:r w:rsidRPr="00EF0A90">
        <w:rPr>
          <w:color w:val="auto"/>
        </w:rPr>
        <w:t xml:space="preserve">Froese, R. (2006). Cube law, condition factor and weight-length relationships: history, meta-analysis and recommendations. </w:t>
      </w:r>
      <w:r w:rsidRPr="00EF0A90">
        <w:rPr>
          <w:i/>
          <w:color w:val="auto"/>
        </w:rPr>
        <w:t>Journal of Applied Ichthyology</w:t>
      </w:r>
      <w:r>
        <w:rPr>
          <w:color w:val="auto"/>
        </w:rPr>
        <w:t xml:space="preserve"> </w:t>
      </w:r>
      <w:r w:rsidRPr="00EF0A90">
        <w:rPr>
          <w:b/>
          <w:color w:val="auto"/>
        </w:rPr>
        <w:t>22</w:t>
      </w:r>
      <w:r>
        <w:rPr>
          <w:color w:val="auto"/>
        </w:rPr>
        <w:t>,</w:t>
      </w:r>
      <w:r w:rsidRPr="00EF0A90">
        <w:rPr>
          <w:color w:val="auto"/>
        </w:rPr>
        <w:t xml:space="preserve"> 241</w:t>
      </w:r>
      <w:r>
        <w:rPr>
          <w:color w:val="auto"/>
        </w:rPr>
        <w:t>–</w:t>
      </w:r>
      <w:r w:rsidRPr="00EF0A90">
        <w:rPr>
          <w:color w:val="auto"/>
        </w:rPr>
        <w:t>253</w:t>
      </w:r>
      <w:r>
        <w:rPr>
          <w:color w:val="auto"/>
        </w:rPr>
        <w:t>.</w:t>
      </w:r>
    </w:p>
    <w:p w14:paraId="319FAC32" w14:textId="77777777" w:rsidR="007D62DA" w:rsidRPr="00CB1CBE" w:rsidRDefault="007D62DA" w:rsidP="007D62DA">
      <w:pPr>
        <w:rPr>
          <w:color w:val="auto"/>
        </w:rPr>
      </w:pPr>
      <w:r w:rsidRPr="00F77EB2">
        <w:rPr>
          <w:color w:val="auto"/>
        </w:rPr>
        <w:t>Hale, J., Stoffels, R., Butcher, R., Shackleton</w:t>
      </w:r>
      <w:r w:rsidRPr="00CB1CBE">
        <w:rPr>
          <w:color w:val="auto"/>
        </w:rPr>
        <w:t>, M., Brooks, S. and Gawne, B. (2014). Commonwealth Environmental Water Office Long Term Intervention Monitoring Project – Standard Methods. Final Report prepared for the Commonwealth Environmental Water Office by The Murray</w:t>
      </w:r>
      <w:r w:rsidRPr="00CB1CBE">
        <w:rPr>
          <w:rFonts w:eastAsiaTheme="majorEastAsia"/>
          <w:color w:val="auto"/>
        </w:rPr>
        <w:t>–</w:t>
      </w:r>
      <w:r w:rsidRPr="00CB1CBE">
        <w:rPr>
          <w:color w:val="auto"/>
        </w:rPr>
        <w:t>Darling Freshwater Research Centre. Murray</w:t>
      </w:r>
      <w:r w:rsidRPr="00CB1CBE">
        <w:rPr>
          <w:rFonts w:eastAsiaTheme="majorEastAsia"/>
          <w:color w:val="auto"/>
        </w:rPr>
        <w:t>–</w:t>
      </w:r>
      <w:r w:rsidRPr="00CB1CBE">
        <w:rPr>
          <w:color w:val="auto"/>
        </w:rPr>
        <w:t>Darling Freshwater Research Centre, MDFRC Publication 29.2/2014.</w:t>
      </w:r>
    </w:p>
    <w:p w14:paraId="13A585E6" w14:textId="5AEA84E1" w:rsidR="00EF0A90" w:rsidRDefault="00EF0A90" w:rsidP="00EF0A90">
      <w:r>
        <w:lastRenderedPageBreak/>
        <w:t xml:space="preserve">Tonkin, Z.D., Ramsey, D.S.L. and King, A.J. (2008). Larval and juvenile Australian smelt </w:t>
      </w:r>
      <w:r w:rsidRPr="00EF0A90">
        <w:rPr>
          <w:i/>
        </w:rPr>
        <w:t xml:space="preserve">Retropinna semoni </w:t>
      </w:r>
      <w:r>
        <w:t xml:space="preserve">somatic and otolith growth parameters - implications for growth interpretation in wild fish. </w:t>
      </w:r>
      <w:r w:rsidRPr="00EF0A90">
        <w:rPr>
          <w:i/>
        </w:rPr>
        <w:t>Ecology of Freshwater Fish</w:t>
      </w:r>
      <w:r>
        <w:t xml:space="preserve"> </w:t>
      </w:r>
      <w:r w:rsidRPr="00EF0A90">
        <w:rPr>
          <w:b/>
        </w:rPr>
        <w:t>17</w:t>
      </w:r>
      <w:r>
        <w:t>, 489–494.</w:t>
      </w:r>
    </w:p>
    <w:p w14:paraId="4665FB71" w14:textId="2894F748" w:rsidR="00010916" w:rsidRPr="008D4608" w:rsidRDefault="00EF0A90" w:rsidP="00EF0A90">
      <w:pPr>
        <w:rPr>
          <w:highlight w:val="yellow"/>
        </w:rPr>
      </w:pPr>
      <w:r>
        <w:t xml:space="preserve">Tonkin, Z. D., King, A.J., Robertson, A.I. and Ramsey, D.S.L. (2011). Early fish growth varies in response to components of the flow regime in a temperate floodplain river. </w:t>
      </w:r>
      <w:r w:rsidRPr="00EF0A90">
        <w:rPr>
          <w:i/>
        </w:rPr>
        <w:t>Freshwater Biology</w:t>
      </w:r>
      <w:r>
        <w:t xml:space="preserve"> </w:t>
      </w:r>
      <w:r w:rsidRPr="00EF0A90">
        <w:rPr>
          <w:b/>
        </w:rPr>
        <w:t>56</w:t>
      </w:r>
      <w:r>
        <w:t>, 1769–1782.</w:t>
      </w:r>
    </w:p>
    <w:p w14:paraId="22D25C6D" w14:textId="77777777" w:rsidR="007D62DA" w:rsidRDefault="007D62DA" w:rsidP="007D62DA">
      <w:pPr>
        <w:rPr>
          <w:color w:val="auto"/>
        </w:rPr>
      </w:pPr>
      <w:bookmarkStart w:id="2461" w:name="_Toc368662469"/>
      <w:r w:rsidRPr="00827879">
        <w:rPr>
          <w:color w:val="auto"/>
        </w:rPr>
        <w:t>Ye, Q., Giatas, G., Aldridge, K., Busch, B., Gibbs, M., Hipsey, M., Lorenz, Z., Maas, R., Oliver, R., Shiel, R., Woodhead, J. and Zampatti, B. (2019). Commonwealth Environmental Water Office Long-Term Intervention Monitoring Project: Lower Murr</w:t>
      </w:r>
      <w:r>
        <w:rPr>
          <w:color w:val="auto"/>
        </w:rPr>
        <w:t>ay River Selected Area 2017-18 technical r</w:t>
      </w:r>
      <w:r w:rsidRPr="00827879">
        <w:rPr>
          <w:color w:val="auto"/>
        </w:rPr>
        <w:t>eport. A report prepared for the Commonwealth Environmental Water Office. South Australian Research and Development Institute, Aquatic Sciences.</w:t>
      </w:r>
    </w:p>
    <w:p w14:paraId="1A96A5BF" w14:textId="0D91E5A3" w:rsidR="009E403C" w:rsidRPr="009E403C" w:rsidRDefault="009E403C" w:rsidP="009E403C">
      <w:pPr>
        <w:rPr>
          <w:szCs w:val="22"/>
        </w:rPr>
      </w:pPr>
    </w:p>
    <w:p w14:paraId="533B812B" w14:textId="77777777" w:rsidR="00336C52" w:rsidRPr="009F1B02" w:rsidRDefault="00336C52" w:rsidP="00336C52"/>
    <w:p w14:paraId="2CD74190" w14:textId="77777777" w:rsidR="00336C52" w:rsidRDefault="00336C52" w:rsidP="00336C52">
      <w:pPr>
        <w:rPr>
          <w:rFonts w:eastAsiaTheme="majorEastAsia" w:cstheme="majorBidi"/>
          <w:color w:val="auto"/>
          <w:sz w:val="32"/>
          <w:szCs w:val="28"/>
        </w:rPr>
      </w:pPr>
      <w:r>
        <w:br w:type="page"/>
      </w:r>
    </w:p>
    <w:bookmarkEnd w:id="2461"/>
    <w:p w14:paraId="7B501655" w14:textId="77777777" w:rsidR="006C6142" w:rsidRDefault="006C6142" w:rsidP="008C33A0">
      <w:pPr>
        <w:rPr>
          <w:rFonts w:eastAsiaTheme="majorEastAsia" w:cstheme="majorBidi"/>
          <w:color w:val="auto"/>
          <w:sz w:val="26"/>
          <w:szCs w:val="26"/>
          <w:highlight w:val="yellow"/>
        </w:rPr>
        <w:sectPr w:rsidR="006C6142" w:rsidSect="003F6444">
          <w:pgSz w:w="11900" w:h="16840" w:code="9"/>
          <w:pgMar w:top="1440" w:right="1440" w:bottom="1440" w:left="1440" w:header="709" w:footer="709" w:gutter="0"/>
          <w:cols w:space="708"/>
          <w:docGrid w:linePitch="360"/>
        </w:sectPr>
      </w:pPr>
    </w:p>
    <w:p w14:paraId="62725C06" w14:textId="7893A135" w:rsidR="00D513C3" w:rsidRDefault="00D513C3" w:rsidP="00D513C3">
      <w:pPr>
        <w:pStyle w:val="H2notnumberedinTOC"/>
      </w:pPr>
      <w:bookmarkStart w:id="2462" w:name="_Toc22196943"/>
      <w:r>
        <w:lastRenderedPageBreak/>
        <w:t xml:space="preserve">Appendix </w:t>
      </w:r>
      <w:r w:rsidR="0026279E">
        <w:t>C</w:t>
      </w:r>
      <w:r w:rsidRPr="00096CF7">
        <w:t xml:space="preserve"> </w:t>
      </w:r>
      <w:r w:rsidRPr="00D75E3B">
        <w:t>– Progress report template</w:t>
      </w:r>
      <w:bookmarkEnd w:id="246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8"/>
        <w:gridCol w:w="3001"/>
        <w:gridCol w:w="3001"/>
      </w:tblGrid>
      <w:tr w:rsidR="00D75E3B" w:rsidRPr="000566E8" w14:paraId="5ED3A81D" w14:textId="77777777" w:rsidTr="004F7823">
        <w:tc>
          <w:tcPr>
            <w:tcW w:w="9242" w:type="dxa"/>
            <w:gridSpan w:val="3"/>
          </w:tcPr>
          <w:p w14:paraId="32220983" w14:textId="787D625F" w:rsidR="00D75E3B" w:rsidRPr="000566E8" w:rsidRDefault="00D75E3B" w:rsidP="004F7823">
            <w:pPr>
              <w:spacing w:after="240"/>
              <w:jc w:val="center"/>
              <w:rPr>
                <w:b/>
                <w:sz w:val="32"/>
              </w:rPr>
            </w:pPr>
          </w:p>
        </w:tc>
      </w:tr>
      <w:tr w:rsidR="00D75E3B" w:rsidRPr="000566E8" w14:paraId="0EF89FB0" w14:textId="77777777" w:rsidTr="004F7823">
        <w:tc>
          <w:tcPr>
            <w:tcW w:w="9242" w:type="dxa"/>
            <w:gridSpan w:val="3"/>
          </w:tcPr>
          <w:p w14:paraId="78E54799" w14:textId="77777777" w:rsidR="00D75E3B" w:rsidRPr="000566E8" w:rsidRDefault="00D75E3B" w:rsidP="004F7823">
            <w:pPr>
              <w:spacing w:after="120"/>
              <w:jc w:val="center"/>
              <w:rPr>
                <w:b/>
                <w:sz w:val="28"/>
              </w:rPr>
            </w:pPr>
            <w:r w:rsidRPr="000566E8">
              <w:rPr>
                <w:b/>
                <w:sz w:val="28"/>
              </w:rPr>
              <w:t>Name of Project</w:t>
            </w:r>
          </w:p>
        </w:tc>
      </w:tr>
      <w:tr w:rsidR="00D75E3B" w14:paraId="14E7F4ED" w14:textId="77777777" w:rsidTr="004F7823">
        <w:tc>
          <w:tcPr>
            <w:tcW w:w="3080" w:type="dxa"/>
          </w:tcPr>
          <w:p w14:paraId="7312D403" w14:textId="77777777" w:rsidR="00D75E3B" w:rsidRDefault="00D75E3B" w:rsidP="004F7823">
            <w:pPr>
              <w:spacing w:after="120"/>
            </w:pPr>
            <w:r>
              <w:t>Project Leader:</w:t>
            </w:r>
          </w:p>
        </w:tc>
        <w:tc>
          <w:tcPr>
            <w:tcW w:w="3081" w:type="dxa"/>
          </w:tcPr>
          <w:p w14:paraId="345C7652" w14:textId="4853C124" w:rsidR="00D75E3B" w:rsidRPr="000566E8" w:rsidRDefault="00D75E3B" w:rsidP="004F7823">
            <w:pPr>
              <w:spacing w:after="120"/>
              <w:rPr>
                <w:i/>
              </w:rPr>
            </w:pPr>
          </w:p>
        </w:tc>
        <w:tc>
          <w:tcPr>
            <w:tcW w:w="3081" w:type="dxa"/>
          </w:tcPr>
          <w:p w14:paraId="5A33EBBF" w14:textId="7D33D3DD" w:rsidR="00D75E3B" w:rsidRDefault="00D75E3B" w:rsidP="004F7823">
            <w:pPr>
              <w:spacing w:after="120"/>
            </w:pPr>
          </w:p>
        </w:tc>
      </w:tr>
      <w:tr w:rsidR="00D75E3B" w:rsidRPr="000566E8" w14:paraId="3E9BC265" w14:textId="77777777" w:rsidTr="004F7823">
        <w:tc>
          <w:tcPr>
            <w:tcW w:w="3080" w:type="dxa"/>
          </w:tcPr>
          <w:p w14:paraId="21ABE936" w14:textId="77777777" w:rsidR="00D75E3B" w:rsidRDefault="00D75E3B" w:rsidP="004F7823">
            <w:pPr>
              <w:spacing w:after="240"/>
            </w:pPr>
            <w:r>
              <w:t>Report period:</w:t>
            </w:r>
          </w:p>
        </w:tc>
        <w:tc>
          <w:tcPr>
            <w:tcW w:w="6162" w:type="dxa"/>
            <w:gridSpan w:val="2"/>
          </w:tcPr>
          <w:p w14:paraId="5B1E9089" w14:textId="502565A8" w:rsidR="00D75E3B" w:rsidRPr="000566E8" w:rsidRDefault="00D75E3B" w:rsidP="004F7823">
            <w:pPr>
              <w:spacing w:after="240"/>
              <w:rPr>
                <w:i/>
              </w:rPr>
            </w:pPr>
          </w:p>
        </w:tc>
      </w:tr>
    </w:tbl>
    <w:p w14:paraId="0876FCC6" w14:textId="77777777" w:rsidR="00D75E3B" w:rsidRDefault="00D75E3B" w:rsidP="00B7231C"/>
    <w:p w14:paraId="2304607F" w14:textId="77777777" w:rsidR="00D75E3B" w:rsidRPr="003A5657" w:rsidRDefault="00D75E3B" w:rsidP="00D75E3B">
      <w:pPr>
        <w:spacing w:after="120"/>
        <w:rPr>
          <w:b/>
          <w:sz w:val="28"/>
        </w:rPr>
      </w:pPr>
      <w:r w:rsidRPr="003A5657">
        <w:rPr>
          <w:b/>
          <w:sz w:val="28"/>
        </w:rPr>
        <w:t>Project Health Summary</w:t>
      </w:r>
    </w:p>
    <w:tbl>
      <w:tblPr>
        <w:tblStyle w:val="TableGrid"/>
        <w:tblW w:w="0" w:type="auto"/>
        <w:tblLook w:val="04A0" w:firstRow="1" w:lastRow="0" w:firstColumn="1" w:lastColumn="0" w:noHBand="0" w:noVBand="1"/>
      </w:tblPr>
      <w:tblGrid>
        <w:gridCol w:w="1776"/>
        <w:gridCol w:w="745"/>
        <w:gridCol w:w="6489"/>
      </w:tblGrid>
      <w:tr w:rsidR="00D75E3B" w:rsidRPr="00A47CA6" w14:paraId="164F4E01" w14:textId="77777777" w:rsidTr="00D75E3B">
        <w:tc>
          <w:tcPr>
            <w:tcW w:w="1776" w:type="dxa"/>
            <w:shd w:val="clear" w:color="auto" w:fill="D9D9D9" w:themeFill="background1" w:themeFillShade="D9"/>
          </w:tcPr>
          <w:p w14:paraId="3003B24A" w14:textId="77777777" w:rsidR="00D75E3B" w:rsidRPr="00A47CA6" w:rsidRDefault="00D75E3B" w:rsidP="004F7823">
            <w:pPr>
              <w:rPr>
                <w:b/>
                <w:sz w:val="20"/>
              </w:rPr>
            </w:pPr>
            <w:r w:rsidRPr="00A47CA6">
              <w:rPr>
                <w:b/>
                <w:sz w:val="20"/>
              </w:rPr>
              <w:t>Indicator</w:t>
            </w:r>
          </w:p>
        </w:tc>
        <w:tc>
          <w:tcPr>
            <w:tcW w:w="745" w:type="dxa"/>
            <w:shd w:val="clear" w:color="auto" w:fill="D9D9D9" w:themeFill="background1" w:themeFillShade="D9"/>
          </w:tcPr>
          <w:p w14:paraId="18DB9A20" w14:textId="77777777" w:rsidR="00D75E3B" w:rsidRPr="00A47CA6" w:rsidRDefault="00D75E3B" w:rsidP="004F7823">
            <w:pPr>
              <w:rPr>
                <w:rFonts w:cs="Arial"/>
                <w:b/>
                <w:sz w:val="20"/>
              </w:rPr>
            </w:pPr>
            <w:r w:rsidRPr="00A47CA6">
              <w:rPr>
                <w:rFonts w:cs="Arial"/>
                <w:b/>
                <w:sz w:val="20"/>
              </w:rPr>
              <w:t>Traffic light</w:t>
            </w:r>
          </w:p>
        </w:tc>
        <w:tc>
          <w:tcPr>
            <w:tcW w:w="6489" w:type="dxa"/>
            <w:shd w:val="clear" w:color="auto" w:fill="D9D9D9" w:themeFill="background1" w:themeFillShade="D9"/>
          </w:tcPr>
          <w:p w14:paraId="3BB47DEA" w14:textId="77777777" w:rsidR="00D75E3B" w:rsidRPr="00A47CA6" w:rsidRDefault="00D75E3B" w:rsidP="004F7823">
            <w:pPr>
              <w:rPr>
                <w:rFonts w:cs="Arial"/>
                <w:b/>
                <w:iCs/>
                <w:sz w:val="20"/>
              </w:rPr>
            </w:pPr>
            <w:r w:rsidRPr="00A47CA6">
              <w:rPr>
                <w:rFonts w:cs="Arial"/>
                <w:b/>
                <w:iCs/>
                <w:sz w:val="20"/>
              </w:rPr>
              <w:t>Comment</w:t>
            </w:r>
          </w:p>
        </w:tc>
      </w:tr>
      <w:tr w:rsidR="00D75E3B" w:rsidRPr="00C477D5" w14:paraId="7C7552F2" w14:textId="77777777" w:rsidTr="00D75E3B">
        <w:tc>
          <w:tcPr>
            <w:tcW w:w="1776" w:type="dxa"/>
          </w:tcPr>
          <w:p w14:paraId="7B704797" w14:textId="77777777" w:rsidR="00D75E3B" w:rsidRPr="003A5657" w:rsidRDefault="00D75E3B" w:rsidP="004F7823">
            <w:pPr>
              <w:rPr>
                <w:sz w:val="20"/>
              </w:rPr>
            </w:pPr>
            <w:r w:rsidRPr="003A5657">
              <w:rPr>
                <w:sz w:val="20"/>
              </w:rPr>
              <w:t>Overall Rating</w:t>
            </w:r>
          </w:p>
        </w:tc>
        <w:tc>
          <w:tcPr>
            <w:tcW w:w="745" w:type="dxa"/>
          </w:tcPr>
          <w:p w14:paraId="1D7753C9" w14:textId="77777777" w:rsidR="00D75E3B" w:rsidRPr="002B1ABC" w:rsidRDefault="00D75E3B" w:rsidP="004F7823">
            <w:pPr>
              <w:rPr>
                <w:sz w:val="20"/>
              </w:rPr>
            </w:pPr>
            <w:r w:rsidRPr="002B1ABC">
              <w:rPr>
                <w:rFonts w:cs="Arial"/>
                <w:sz w:val="20"/>
              </w:rPr>
              <w:t xml:space="preserve">  </w:t>
            </w:r>
          </w:p>
        </w:tc>
        <w:tc>
          <w:tcPr>
            <w:tcW w:w="6489" w:type="dxa"/>
          </w:tcPr>
          <w:p w14:paraId="05D5F71A" w14:textId="77777777" w:rsidR="00D75E3B" w:rsidRPr="00720482" w:rsidRDefault="00D75E3B" w:rsidP="004F7823">
            <w:pPr>
              <w:rPr>
                <w:rFonts w:cs="Arial"/>
                <w:i/>
                <w:sz w:val="20"/>
              </w:rPr>
            </w:pPr>
            <w:r w:rsidRPr="00D334C5">
              <w:rPr>
                <w:rFonts w:cs="Arial"/>
                <w:i/>
                <w:iCs/>
                <w:sz w:val="20"/>
              </w:rPr>
              <w:t xml:space="preserve">Traffic light question: </w:t>
            </w:r>
            <w:r w:rsidRPr="00D334C5">
              <w:rPr>
                <w:rFonts w:cs="Arial"/>
                <w:i/>
                <w:sz w:val="20"/>
              </w:rPr>
              <w:t>Is this Project going to achieve its objective as committed?</w:t>
            </w:r>
          </w:p>
        </w:tc>
      </w:tr>
      <w:tr w:rsidR="00D75E3B" w:rsidRPr="00C477D5" w14:paraId="1C7D4077" w14:textId="77777777" w:rsidTr="00D75E3B">
        <w:tc>
          <w:tcPr>
            <w:tcW w:w="1776" w:type="dxa"/>
          </w:tcPr>
          <w:p w14:paraId="3BFBF817" w14:textId="77777777" w:rsidR="00D75E3B" w:rsidRPr="003A5657" w:rsidRDefault="00D75E3B" w:rsidP="004F7823">
            <w:pPr>
              <w:rPr>
                <w:sz w:val="20"/>
              </w:rPr>
            </w:pPr>
            <w:r w:rsidRPr="003A5657">
              <w:rPr>
                <w:sz w:val="20"/>
              </w:rPr>
              <w:t>Time (schedule)</w:t>
            </w:r>
          </w:p>
        </w:tc>
        <w:tc>
          <w:tcPr>
            <w:tcW w:w="745" w:type="dxa"/>
          </w:tcPr>
          <w:p w14:paraId="4C694CAB" w14:textId="77777777" w:rsidR="00D75E3B" w:rsidRPr="0037201E" w:rsidRDefault="00D75E3B" w:rsidP="004F7823">
            <w:pPr>
              <w:rPr>
                <w:color w:val="000000" w:themeColor="text1"/>
                <w:sz w:val="20"/>
              </w:rPr>
            </w:pPr>
            <w:r w:rsidRPr="0037201E">
              <w:rPr>
                <w:rFonts w:cs="Arial"/>
                <w:sz w:val="20"/>
              </w:rPr>
              <w:t xml:space="preserve"> </w:t>
            </w:r>
            <w:r w:rsidRPr="0037201E">
              <w:rPr>
                <w:rFonts w:cs="Arial"/>
                <w:color w:val="000000" w:themeColor="text1"/>
                <w:sz w:val="20"/>
              </w:rPr>
              <w:t xml:space="preserve"> </w:t>
            </w:r>
          </w:p>
        </w:tc>
        <w:tc>
          <w:tcPr>
            <w:tcW w:w="6489" w:type="dxa"/>
          </w:tcPr>
          <w:p w14:paraId="7EAF0C71" w14:textId="77777777" w:rsidR="00D75E3B" w:rsidRPr="006C7089" w:rsidRDefault="00D75E3B" w:rsidP="004F7823">
            <w:pPr>
              <w:pStyle w:val="DefaultText"/>
              <w:spacing w:before="60" w:after="60"/>
              <w:rPr>
                <w:rFonts w:asciiTheme="minorHAnsi" w:hAnsiTheme="minorHAnsi" w:cs="Arial"/>
                <w:i/>
                <w:color w:val="000000" w:themeColor="text1"/>
                <w:sz w:val="20"/>
              </w:rPr>
            </w:pPr>
            <w:r w:rsidRPr="00720482">
              <w:rPr>
                <w:rFonts w:asciiTheme="minorHAnsi" w:hAnsiTheme="minorHAnsi" w:cs="Arial"/>
                <w:i/>
                <w:color w:val="000000" w:themeColor="text1"/>
                <w:sz w:val="20"/>
              </w:rPr>
              <w:t>Traffic light question: Is this project (and its elements) forecast date of completion tracking to the baseline schedule?</w:t>
            </w:r>
          </w:p>
        </w:tc>
      </w:tr>
      <w:tr w:rsidR="00D75E3B" w:rsidRPr="00C477D5" w14:paraId="355910D5" w14:textId="77777777" w:rsidTr="00D75E3B">
        <w:tc>
          <w:tcPr>
            <w:tcW w:w="1776" w:type="dxa"/>
          </w:tcPr>
          <w:p w14:paraId="0C1EE0FD" w14:textId="77777777" w:rsidR="00D75E3B" w:rsidRPr="003A5657" w:rsidRDefault="00D75E3B" w:rsidP="004F7823">
            <w:pPr>
              <w:rPr>
                <w:sz w:val="20"/>
              </w:rPr>
            </w:pPr>
            <w:r w:rsidRPr="003A5657">
              <w:rPr>
                <w:sz w:val="20"/>
              </w:rPr>
              <w:t>Scope (change)</w:t>
            </w:r>
          </w:p>
        </w:tc>
        <w:tc>
          <w:tcPr>
            <w:tcW w:w="745" w:type="dxa"/>
          </w:tcPr>
          <w:p w14:paraId="17A9EF87" w14:textId="77777777" w:rsidR="00D75E3B" w:rsidRPr="0037201E" w:rsidRDefault="00D75E3B" w:rsidP="004F7823">
            <w:pPr>
              <w:rPr>
                <w:sz w:val="20"/>
              </w:rPr>
            </w:pPr>
            <w:r w:rsidRPr="0037201E">
              <w:rPr>
                <w:rFonts w:cs="Arial"/>
                <w:sz w:val="20"/>
              </w:rPr>
              <w:t xml:space="preserve">  </w:t>
            </w:r>
          </w:p>
        </w:tc>
        <w:tc>
          <w:tcPr>
            <w:tcW w:w="6489" w:type="dxa"/>
            <w:shd w:val="clear" w:color="auto" w:fill="auto"/>
          </w:tcPr>
          <w:p w14:paraId="6D56C88F" w14:textId="77777777" w:rsidR="00D75E3B" w:rsidRPr="006C7089" w:rsidRDefault="00D75E3B" w:rsidP="004F7823">
            <w:pPr>
              <w:pStyle w:val="DefaultText"/>
              <w:spacing w:before="60" w:after="60"/>
              <w:rPr>
                <w:rFonts w:asciiTheme="minorHAnsi" w:hAnsiTheme="minorHAnsi" w:cs="Arial"/>
                <w:sz w:val="20"/>
              </w:rPr>
            </w:pPr>
            <w:r w:rsidRPr="006C7089">
              <w:rPr>
                <w:rFonts w:asciiTheme="minorHAnsi" w:hAnsiTheme="minorHAnsi" w:cs="Arial"/>
                <w:i/>
                <w:sz w:val="20"/>
              </w:rPr>
              <w:t>Traffic light question: Is this Project delivering outcomes directly associated with the agreed project scope?</w:t>
            </w:r>
          </w:p>
        </w:tc>
      </w:tr>
      <w:tr w:rsidR="00D75E3B" w:rsidRPr="002159D1" w14:paraId="2FBD5A57" w14:textId="77777777" w:rsidTr="00D75E3B">
        <w:tc>
          <w:tcPr>
            <w:tcW w:w="1776" w:type="dxa"/>
          </w:tcPr>
          <w:p w14:paraId="34E79106" w14:textId="77777777" w:rsidR="00D75E3B" w:rsidRPr="002159D1" w:rsidRDefault="00D75E3B" w:rsidP="004F7823">
            <w:pPr>
              <w:rPr>
                <w:sz w:val="20"/>
              </w:rPr>
            </w:pPr>
            <w:r w:rsidRPr="002159D1">
              <w:rPr>
                <w:sz w:val="20"/>
              </w:rPr>
              <w:t>Engagement</w:t>
            </w:r>
          </w:p>
        </w:tc>
        <w:tc>
          <w:tcPr>
            <w:tcW w:w="745" w:type="dxa"/>
          </w:tcPr>
          <w:p w14:paraId="32B35E42" w14:textId="77777777" w:rsidR="00D75E3B" w:rsidRPr="002159D1" w:rsidRDefault="00D75E3B" w:rsidP="004F7823">
            <w:pPr>
              <w:rPr>
                <w:rFonts w:cstheme="minorHAnsi"/>
                <w:sz w:val="20"/>
              </w:rPr>
            </w:pPr>
            <w:r w:rsidRPr="002159D1">
              <w:rPr>
                <w:rFonts w:cstheme="minorHAnsi"/>
                <w:sz w:val="20"/>
              </w:rPr>
              <w:t xml:space="preserve"> </w:t>
            </w:r>
          </w:p>
        </w:tc>
        <w:tc>
          <w:tcPr>
            <w:tcW w:w="6489" w:type="dxa"/>
          </w:tcPr>
          <w:p w14:paraId="2633E3F8" w14:textId="77777777" w:rsidR="00D75E3B" w:rsidRPr="006C7089" w:rsidRDefault="00D75E3B" w:rsidP="004F7823">
            <w:pPr>
              <w:rPr>
                <w:rFonts w:cstheme="minorHAnsi"/>
                <w:i/>
                <w:sz w:val="20"/>
              </w:rPr>
            </w:pPr>
            <w:r w:rsidRPr="006C7089">
              <w:rPr>
                <w:rFonts w:cstheme="minorHAnsi"/>
                <w:i/>
                <w:sz w:val="20"/>
              </w:rPr>
              <w:t>Traffic light question: What is the current status of the relationship with project and other stakeholders</w:t>
            </w:r>
          </w:p>
        </w:tc>
      </w:tr>
      <w:tr w:rsidR="00D75E3B" w:rsidRPr="002159D1" w14:paraId="508DDF4E" w14:textId="77777777" w:rsidTr="00D75E3B">
        <w:tc>
          <w:tcPr>
            <w:tcW w:w="1776" w:type="dxa"/>
          </w:tcPr>
          <w:p w14:paraId="0E3F8CC2" w14:textId="77777777" w:rsidR="00D75E3B" w:rsidRPr="002159D1" w:rsidRDefault="00D75E3B" w:rsidP="004F7823">
            <w:pPr>
              <w:rPr>
                <w:sz w:val="20"/>
              </w:rPr>
            </w:pPr>
            <w:r w:rsidRPr="002159D1">
              <w:rPr>
                <w:sz w:val="20"/>
              </w:rPr>
              <w:t>Safety</w:t>
            </w:r>
          </w:p>
        </w:tc>
        <w:tc>
          <w:tcPr>
            <w:tcW w:w="745" w:type="dxa"/>
          </w:tcPr>
          <w:p w14:paraId="37079717" w14:textId="77777777" w:rsidR="00D75E3B" w:rsidRPr="002159D1" w:rsidRDefault="00D75E3B" w:rsidP="004F7823">
            <w:pPr>
              <w:rPr>
                <w:sz w:val="20"/>
              </w:rPr>
            </w:pPr>
            <w:r w:rsidRPr="002159D1">
              <w:rPr>
                <w:rFonts w:cs="Arial"/>
                <w:sz w:val="20"/>
              </w:rPr>
              <w:t xml:space="preserve">  </w:t>
            </w:r>
          </w:p>
        </w:tc>
        <w:tc>
          <w:tcPr>
            <w:tcW w:w="6489" w:type="dxa"/>
            <w:shd w:val="clear" w:color="auto" w:fill="auto"/>
          </w:tcPr>
          <w:p w14:paraId="393C1211" w14:textId="77777777" w:rsidR="00D75E3B" w:rsidRPr="006C7089" w:rsidRDefault="00D75E3B" w:rsidP="004F7823">
            <w:pPr>
              <w:rPr>
                <w:sz w:val="20"/>
              </w:rPr>
            </w:pPr>
            <w:r w:rsidRPr="006C7089">
              <w:rPr>
                <w:i/>
                <w:sz w:val="20"/>
              </w:rPr>
              <w:t>Traffic light question: Has there been a safety incident, or have any inadequacies been identified in the safety planning (note, details on any incidents or inadequacies must be communicated to the CEWO as soon as practical)</w:t>
            </w:r>
          </w:p>
        </w:tc>
      </w:tr>
      <w:tr w:rsidR="00D75E3B" w:rsidRPr="002159D1" w14:paraId="1F39844D" w14:textId="77777777" w:rsidTr="00D75E3B">
        <w:tc>
          <w:tcPr>
            <w:tcW w:w="1776" w:type="dxa"/>
          </w:tcPr>
          <w:p w14:paraId="6DBC97F6" w14:textId="77777777" w:rsidR="00D75E3B" w:rsidRPr="002159D1" w:rsidRDefault="00D75E3B" w:rsidP="004F7823">
            <w:pPr>
              <w:rPr>
                <w:sz w:val="20"/>
              </w:rPr>
            </w:pPr>
            <w:r w:rsidRPr="002159D1">
              <w:rPr>
                <w:sz w:val="20"/>
              </w:rPr>
              <w:t>Risks</w:t>
            </w:r>
          </w:p>
        </w:tc>
        <w:tc>
          <w:tcPr>
            <w:tcW w:w="745" w:type="dxa"/>
          </w:tcPr>
          <w:p w14:paraId="771EB665" w14:textId="77777777" w:rsidR="00D75E3B" w:rsidRPr="002159D1" w:rsidRDefault="00D75E3B" w:rsidP="004F7823">
            <w:pPr>
              <w:rPr>
                <w:rFonts w:cs="Arial"/>
                <w:noProof/>
                <w:sz w:val="20"/>
              </w:rPr>
            </w:pPr>
          </w:p>
        </w:tc>
        <w:tc>
          <w:tcPr>
            <w:tcW w:w="6489" w:type="dxa"/>
            <w:shd w:val="clear" w:color="auto" w:fill="auto"/>
          </w:tcPr>
          <w:p w14:paraId="70482E9C" w14:textId="77777777" w:rsidR="00D75E3B" w:rsidRPr="00F141E5" w:rsidRDefault="00D75E3B" w:rsidP="004F7823">
            <w:pPr>
              <w:pStyle w:val="DefaultText"/>
              <w:spacing w:before="60" w:after="60"/>
              <w:rPr>
                <w:rFonts w:cstheme="minorHAnsi"/>
                <w:color w:val="000000" w:themeColor="text1"/>
                <w:sz w:val="20"/>
              </w:rPr>
            </w:pPr>
            <w:r w:rsidRPr="00F141E5">
              <w:rPr>
                <w:rFonts w:asciiTheme="minorHAnsi" w:hAnsiTheme="minorHAnsi" w:cs="Arial"/>
                <w:i/>
                <w:sz w:val="20"/>
              </w:rPr>
              <w:t>Traffic light question: Are there any risks that may impact our ability to achieve committed outcomes?</w:t>
            </w:r>
          </w:p>
          <w:p w14:paraId="1C31027F" w14:textId="77777777" w:rsidR="00D75E3B" w:rsidRPr="00F141E5" w:rsidRDefault="00D75E3B" w:rsidP="004F7823">
            <w:pPr>
              <w:spacing w:after="0"/>
            </w:pPr>
            <w:r w:rsidRPr="00F141E5">
              <w:rPr>
                <w:rFonts w:cstheme="minorHAnsi"/>
                <w:color w:val="000000" w:themeColor="text1"/>
                <w:sz w:val="20"/>
              </w:rPr>
              <w:t xml:space="preserve"> </w:t>
            </w:r>
          </w:p>
        </w:tc>
      </w:tr>
      <w:tr w:rsidR="00D75E3B" w:rsidRPr="002159D1" w14:paraId="09D74312" w14:textId="77777777" w:rsidTr="00D75E3B">
        <w:tc>
          <w:tcPr>
            <w:tcW w:w="1776" w:type="dxa"/>
            <w:tcBorders>
              <w:bottom w:val="single" w:sz="4" w:space="0" w:color="auto"/>
            </w:tcBorders>
          </w:tcPr>
          <w:p w14:paraId="7C95405B" w14:textId="77777777" w:rsidR="00D75E3B" w:rsidRPr="002159D1" w:rsidRDefault="00D75E3B" w:rsidP="004F7823">
            <w:pPr>
              <w:rPr>
                <w:sz w:val="20"/>
              </w:rPr>
            </w:pPr>
            <w:r w:rsidRPr="002159D1">
              <w:rPr>
                <w:sz w:val="20"/>
              </w:rPr>
              <w:t>Issues</w:t>
            </w:r>
          </w:p>
        </w:tc>
        <w:tc>
          <w:tcPr>
            <w:tcW w:w="745" w:type="dxa"/>
            <w:tcBorders>
              <w:bottom w:val="single" w:sz="4" w:space="0" w:color="auto"/>
            </w:tcBorders>
          </w:tcPr>
          <w:p w14:paraId="04D2E0B8" w14:textId="77777777" w:rsidR="00D75E3B" w:rsidRPr="002159D1" w:rsidRDefault="00D75E3B" w:rsidP="004F7823">
            <w:pPr>
              <w:rPr>
                <w:color w:val="000000" w:themeColor="text1"/>
                <w:sz w:val="20"/>
              </w:rPr>
            </w:pPr>
            <w:r w:rsidRPr="002159D1">
              <w:rPr>
                <w:rFonts w:cs="Arial"/>
                <w:color w:val="000000" w:themeColor="text1"/>
                <w:sz w:val="20"/>
              </w:rPr>
              <w:t xml:space="preserve"> </w:t>
            </w:r>
          </w:p>
        </w:tc>
        <w:tc>
          <w:tcPr>
            <w:tcW w:w="6489" w:type="dxa"/>
            <w:tcBorders>
              <w:bottom w:val="single" w:sz="4" w:space="0" w:color="auto"/>
            </w:tcBorders>
          </w:tcPr>
          <w:p w14:paraId="2903977C" w14:textId="77777777" w:rsidR="00D75E3B" w:rsidRPr="00F141E5" w:rsidRDefault="00D75E3B" w:rsidP="004F7823">
            <w:pPr>
              <w:rPr>
                <w:rFonts w:cs="Arial"/>
                <w:color w:val="000000" w:themeColor="text1"/>
                <w:sz w:val="20"/>
                <w:lang w:val="en-US"/>
              </w:rPr>
            </w:pPr>
            <w:r w:rsidRPr="00F141E5">
              <w:rPr>
                <w:rFonts w:cs="Arial"/>
                <w:i/>
                <w:color w:val="000000" w:themeColor="text1"/>
                <w:sz w:val="20"/>
              </w:rPr>
              <w:t>Traffic light question: Are there any issues that may impact our ability to achieve committed outcomes?</w:t>
            </w:r>
            <w:r w:rsidRPr="00F141E5">
              <w:rPr>
                <w:rFonts w:cs="Arial"/>
                <w:color w:val="000000" w:themeColor="text1"/>
                <w:sz w:val="20"/>
                <w:lang w:val="en-US"/>
              </w:rPr>
              <w:t xml:space="preserve"> </w:t>
            </w:r>
          </w:p>
        </w:tc>
      </w:tr>
      <w:tr w:rsidR="00D75E3B" w:rsidRPr="00455C7E" w14:paraId="1470615C" w14:textId="77777777" w:rsidTr="00D75E3B">
        <w:tc>
          <w:tcPr>
            <w:tcW w:w="9010" w:type="dxa"/>
            <w:gridSpan w:val="3"/>
            <w:tcBorders>
              <w:top w:val="single" w:sz="4" w:space="0" w:color="auto"/>
              <w:left w:val="nil"/>
              <w:bottom w:val="nil"/>
              <w:right w:val="nil"/>
            </w:tcBorders>
          </w:tcPr>
          <w:p w14:paraId="2234C6E8" w14:textId="77777777" w:rsidR="00D75E3B" w:rsidRDefault="00D75E3B" w:rsidP="004F7823">
            <w:pPr>
              <w:rPr>
                <w:rFonts w:cs="Arial"/>
                <w:sz w:val="20"/>
              </w:rPr>
            </w:pPr>
          </w:p>
          <w:p w14:paraId="5DBF830D" w14:textId="77777777" w:rsidR="00D75E3B" w:rsidRPr="006C7089" w:rsidRDefault="00D75E3B" w:rsidP="004F7823">
            <w:pPr>
              <w:rPr>
                <w:rFonts w:cs="Arial"/>
                <w:b/>
                <w:sz w:val="20"/>
              </w:rPr>
            </w:pPr>
            <w:r w:rsidRPr="006C7089">
              <w:rPr>
                <w:rFonts w:cs="Arial"/>
                <w:b/>
                <w:sz w:val="20"/>
              </w:rPr>
              <w:t>Traffic light legend:</w:t>
            </w:r>
          </w:p>
          <w:p w14:paraId="17138296" w14:textId="77777777" w:rsidR="00D75E3B" w:rsidRPr="002159D1" w:rsidRDefault="00D75E3B" w:rsidP="004F7823">
            <w:pPr>
              <w:rPr>
                <w:rFonts w:cs="Arial"/>
                <w:sz w:val="20"/>
              </w:rPr>
            </w:pPr>
            <w:r w:rsidRPr="002159D1">
              <w:rPr>
                <w:rFonts w:cs="Arial"/>
                <w:noProof/>
                <w:sz w:val="20"/>
                <w:lang w:eastAsia="en-AU"/>
              </w:rPr>
              <mc:AlternateContent>
                <mc:Choice Requires="wps">
                  <w:drawing>
                    <wp:inline distT="0" distB="0" distL="0" distR="0" wp14:anchorId="3653D207" wp14:editId="48AD1495">
                      <wp:extent cx="144145" cy="144145"/>
                      <wp:effectExtent l="9525" t="6985" r="8255" b="10795"/>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flowChartConnector">
                                <a:avLst/>
                              </a:prstGeom>
                              <a:solidFill>
                                <a:srgbClr val="339966"/>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type w14:anchorId="00A59FC8" id="_x0000_t120" coordsize="21600,21600" o:spt="120" path="m10800,qx,10800,10800,21600,21600,10800,10800,xe">
                      <v:path gradientshapeok="t" o:connecttype="custom" o:connectlocs="10800,0;3163,3163;0,10800;3163,18437;10800,21600;18437,18437;21600,10800;18437,3163" textboxrect="3163,3163,18437,18437"/>
                    </v:shapetype>
                    <v:shape id="AutoShape 4" o:spid="_x0000_s1026" type="#_x0000_t120"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" fillcolor="#396">
                      <w10:anchorlock/>
                    </v:shape>
                  </w:pict>
                </mc:Fallback>
              </mc:AlternateContent>
            </w:r>
            <w:r w:rsidRPr="002159D1">
              <w:rPr>
                <w:rFonts w:cs="Arial"/>
                <w:sz w:val="20"/>
              </w:rPr>
              <w:t xml:space="preserve">  Tasks are completed or on track and there are no issues</w:t>
            </w:r>
          </w:p>
          <w:p w14:paraId="62856771" w14:textId="77777777" w:rsidR="00D75E3B" w:rsidRPr="002159D1" w:rsidRDefault="00D75E3B" w:rsidP="004F7823">
            <w:pPr>
              <w:rPr>
                <w:rFonts w:cs="Arial"/>
                <w:sz w:val="20"/>
              </w:rPr>
            </w:pPr>
            <w:r w:rsidRPr="002159D1">
              <w:rPr>
                <w:rFonts w:cs="Arial"/>
                <w:noProof/>
                <w:sz w:val="20"/>
                <w:lang w:eastAsia="en-AU"/>
              </w:rPr>
              <mc:AlternateContent>
                <mc:Choice Requires="wps">
                  <w:drawing>
                    <wp:inline distT="0" distB="0" distL="0" distR="0" wp14:anchorId="32FB8141" wp14:editId="759A6E61">
                      <wp:extent cx="144145" cy="144145"/>
                      <wp:effectExtent l="9525" t="12700" r="8255" b="5080"/>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flowChartConnector">
                                <a:avLst/>
                              </a:prstGeom>
                              <a:solidFill>
                                <a:srgbClr val="FF99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319CDDB3" id="AutoShape 3" o:spid="_x0000_s1026" type="#_x0000_t120"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" fillcolor="#f90">
                      <w10:anchorlock/>
                    </v:shape>
                  </w:pict>
                </mc:Fallback>
              </mc:AlternateContent>
            </w:r>
            <w:r w:rsidRPr="002159D1">
              <w:rPr>
                <w:rFonts w:cs="Arial"/>
                <w:sz w:val="20"/>
              </w:rPr>
              <w:t xml:space="preserve">  Tasks are delayed or under pressure, but not influencing the outputs of the project</w:t>
            </w:r>
          </w:p>
          <w:p w14:paraId="32DE47AC" w14:textId="77777777" w:rsidR="00D75E3B" w:rsidRPr="00455C7E" w:rsidRDefault="00D75E3B" w:rsidP="004F7823">
            <w:pPr>
              <w:rPr>
                <w:sz w:val="20"/>
              </w:rPr>
            </w:pPr>
            <w:r w:rsidRPr="002159D1">
              <w:rPr>
                <w:rFonts w:cs="Arial"/>
                <w:noProof/>
                <w:sz w:val="20"/>
                <w:lang w:eastAsia="en-AU"/>
              </w:rPr>
              <mc:AlternateContent>
                <mc:Choice Requires="wps">
                  <w:drawing>
                    <wp:inline distT="0" distB="0" distL="0" distR="0" wp14:anchorId="4089824A" wp14:editId="76581EE1">
                      <wp:extent cx="144145" cy="144145"/>
                      <wp:effectExtent l="9525" t="8255" r="8255" b="9525"/>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flowChartConnector">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73E97387" id="AutoShape 2" o:spid="_x0000_s1026" type="#_x0000_t120"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" fillcolor="red">
                      <w10:anchorlock/>
                    </v:shape>
                  </w:pict>
                </mc:Fallback>
              </mc:AlternateContent>
            </w:r>
            <w:r w:rsidRPr="002159D1">
              <w:rPr>
                <w:rFonts w:cs="Arial"/>
                <w:sz w:val="20"/>
              </w:rPr>
              <w:t xml:space="preserve">  Tasks are delayed and are influencing the projects ability to meet its commitments</w:t>
            </w:r>
          </w:p>
        </w:tc>
      </w:tr>
    </w:tbl>
    <w:p w14:paraId="5A1DE674" w14:textId="77777777" w:rsidR="00D75E3B" w:rsidRDefault="00D75E3B" w:rsidP="00D75E3B">
      <w:pPr>
        <w:rPr>
          <w:b/>
          <w:sz w:val="28"/>
        </w:rPr>
      </w:pPr>
    </w:p>
    <w:p w14:paraId="05880F39" w14:textId="77777777" w:rsidR="00D75E3B" w:rsidRPr="00455C7E" w:rsidRDefault="00D75E3B" w:rsidP="00D75E3B">
      <w:pPr>
        <w:rPr>
          <w:b/>
          <w:sz w:val="28"/>
        </w:rPr>
      </w:pPr>
      <w:r w:rsidRPr="00455C7E">
        <w:rPr>
          <w:b/>
          <w:sz w:val="28"/>
        </w:rPr>
        <w:t>Summary of Progress towards Milestones</w:t>
      </w:r>
    </w:p>
    <w:tbl>
      <w:tblPr>
        <w:tblStyle w:val="TableGrid"/>
        <w:tblW w:w="0" w:type="auto"/>
        <w:tblLook w:val="04A0" w:firstRow="1" w:lastRow="0" w:firstColumn="1" w:lastColumn="0" w:noHBand="0" w:noVBand="1"/>
      </w:tblPr>
      <w:tblGrid>
        <w:gridCol w:w="3820"/>
        <w:gridCol w:w="1387"/>
        <w:gridCol w:w="1021"/>
        <w:gridCol w:w="2782"/>
      </w:tblGrid>
      <w:tr w:rsidR="00D75E3B" w:rsidRPr="00455C7E" w14:paraId="1994F780" w14:textId="77777777" w:rsidTr="004F7823">
        <w:tc>
          <w:tcPr>
            <w:tcW w:w="3823" w:type="dxa"/>
            <w:shd w:val="clear" w:color="auto" w:fill="D9D9D9" w:themeFill="background1" w:themeFillShade="D9"/>
          </w:tcPr>
          <w:p w14:paraId="4FBCB215" w14:textId="77777777" w:rsidR="00D75E3B" w:rsidRPr="00455C7E" w:rsidRDefault="00D75E3B" w:rsidP="004F7823">
            <w:pPr>
              <w:rPr>
                <w:b/>
                <w:sz w:val="20"/>
              </w:rPr>
            </w:pPr>
            <w:r w:rsidRPr="00455C7E">
              <w:rPr>
                <w:b/>
                <w:sz w:val="20"/>
              </w:rPr>
              <w:t>Milestone</w:t>
            </w:r>
          </w:p>
        </w:tc>
        <w:tc>
          <w:tcPr>
            <w:tcW w:w="1388" w:type="dxa"/>
            <w:shd w:val="clear" w:color="auto" w:fill="D9D9D9" w:themeFill="background1" w:themeFillShade="D9"/>
          </w:tcPr>
          <w:p w14:paraId="1508A832" w14:textId="77777777" w:rsidR="00D75E3B" w:rsidRPr="00455C7E" w:rsidRDefault="00D75E3B" w:rsidP="004F7823">
            <w:pPr>
              <w:rPr>
                <w:b/>
                <w:sz w:val="20"/>
              </w:rPr>
            </w:pPr>
            <w:r w:rsidRPr="00455C7E">
              <w:rPr>
                <w:b/>
                <w:sz w:val="20"/>
              </w:rPr>
              <w:t>Due Date</w:t>
            </w:r>
          </w:p>
        </w:tc>
        <w:tc>
          <w:tcPr>
            <w:tcW w:w="1021" w:type="dxa"/>
            <w:shd w:val="clear" w:color="auto" w:fill="D9D9D9" w:themeFill="background1" w:themeFillShade="D9"/>
          </w:tcPr>
          <w:p w14:paraId="08295478" w14:textId="77777777" w:rsidR="00D75E3B" w:rsidRPr="00455C7E" w:rsidRDefault="00D75E3B" w:rsidP="004F7823">
            <w:pPr>
              <w:rPr>
                <w:b/>
                <w:sz w:val="20"/>
              </w:rPr>
            </w:pPr>
            <w:r w:rsidRPr="00455C7E">
              <w:rPr>
                <w:b/>
                <w:sz w:val="20"/>
              </w:rPr>
              <w:t>% Complete</w:t>
            </w:r>
          </w:p>
        </w:tc>
        <w:tc>
          <w:tcPr>
            <w:tcW w:w="2784" w:type="dxa"/>
            <w:shd w:val="clear" w:color="auto" w:fill="D9D9D9" w:themeFill="background1" w:themeFillShade="D9"/>
          </w:tcPr>
          <w:p w14:paraId="349A2BF4" w14:textId="77777777" w:rsidR="00D75E3B" w:rsidRPr="00455C7E" w:rsidRDefault="00D75E3B" w:rsidP="004F7823">
            <w:pPr>
              <w:rPr>
                <w:b/>
                <w:sz w:val="20"/>
              </w:rPr>
            </w:pPr>
            <w:r w:rsidRPr="00455C7E">
              <w:rPr>
                <w:b/>
                <w:sz w:val="20"/>
              </w:rPr>
              <w:t>Comment</w:t>
            </w:r>
          </w:p>
        </w:tc>
      </w:tr>
      <w:tr w:rsidR="00D75E3B" w:rsidRPr="00177DA5" w14:paraId="4F79729D" w14:textId="77777777" w:rsidTr="004F7823">
        <w:tc>
          <w:tcPr>
            <w:tcW w:w="3823" w:type="dxa"/>
            <w:vAlign w:val="center"/>
          </w:tcPr>
          <w:p w14:paraId="02E7A466" w14:textId="7A177A52" w:rsidR="00D75E3B" w:rsidRPr="005D72E6" w:rsidRDefault="00D75E3B" w:rsidP="004F7823">
            <w:pPr>
              <w:rPr>
                <w:rFonts w:eastAsia="Calibri" w:cstheme="minorHAnsi"/>
                <w:sz w:val="20"/>
              </w:rPr>
            </w:pPr>
          </w:p>
        </w:tc>
        <w:tc>
          <w:tcPr>
            <w:tcW w:w="1388" w:type="dxa"/>
          </w:tcPr>
          <w:p w14:paraId="0B9A87B1" w14:textId="3F42A096" w:rsidR="00D75E3B" w:rsidRPr="00177DA5" w:rsidRDefault="00D75E3B" w:rsidP="004F7823">
            <w:pPr>
              <w:rPr>
                <w:sz w:val="20"/>
              </w:rPr>
            </w:pPr>
          </w:p>
        </w:tc>
        <w:tc>
          <w:tcPr>
            <w:tcW w:w="1021" w:type="dxa"/>
          </w:tcPr>
          <w:p w14:paraId="42545257" w14:textId="7DA50876" w:rsidR="00D75E3B" w:rsidRPr="00177DA5" w:rsidRDefault="00D75E3B" w:rsidP="004F7823">
            <w:pPr>
              <w:rPr>
                <w:sz w:val="20"/>
              </w:rPr>
            </w:pPr>
          </w:p>
        </w:tc>
        <w:tc>
          <w:tcPr>
            <w:tcW w:w="2784" w:type="dxa"/>
          </w:tcPr>
          <w:p w14:paraId="37E7B78D" w14:textId="012EDB70" w:rsidR="00D75E3B" w:rsidRPr="00177DA5" w:rsidRDefault="00D75E3B" w:rsidP="004F7823">
            <w:pPr>
              <w:rPr>
                <w:sz w:val="20"/>
              </w:rPr>
            </w:pPr>
          </w:p>
        </w:tc>
      </w:tr>
    </w:tbl>
    <w:p w14:paraId="2F6200CF" w14:textId="77777777" w:rsidR="00D75E3B" w:rsidRPr="0053379F" w:rsidRDefault="00D75E3B" w:rsidP="0053379F">
      <w:pPr>
        <w:rPr>
          <w:b/>
          <w:sz w:val="28"/>
          <w:szCs w:val="28"/>
        </w:rPr>
      </w:pPr>
      <w:r w:rsidRPr="0053379F">
        <w:rPr>
          <w:b/>
          <w:sz w:val="28"/>
          <w:szCs w:val="28"/>
        </w:rPr>
        <w:lastRenderedPageBreak/>
        <w:t>Critical Risks, Opportunities &amp; Issues</w:t>
      </w:r>
    </w:p>
    <w:tbl>
      <w:tblPr>
        <w:tblStyle w:val="TableGrid"/>
        <w:tblW w:w="0" w:type="auto"/>
        <w:tblLook w:val="04A0" w:firstRow="1" w:lastRow="0" w:firstColumn="1" w:lastColumn="0" w:noHBand="0" w:noVBand="1"/>
      </w:tblPr>
      <w:tblGrid>
        <w:gridCol w:w="3820"/>
        <w:gridCol w:w="5190"/>
      </w:tblGrid>
      <w:tr w:rsidR="00D75E3B" w:rsidRPr="00177DA5" w14:paraId="0502FFCA" w14:textId="77777777" w:rsidTr="004F7823">
        <w:tc>
          <w:tcPr>
            <w:tcW w:w="3823" w:type="dxa"/>
            <w:shd w:val="clear" w:color="auto" w:fill="D9D9D9" w:themeFill="background1" w:themeFillShade="D9"/>
          </w:tcPr>
          <w:p w14:paraId="5DC5D825" w14:textId="77777777" w:rsidR="00D75E3B" w:rsidRPr="00177DA5" w:rsidRDefault="00D75E3B" w:rsidP="004F7823">
            <w:pPr>
              <w:rPr>
                <w:b/>
                <w:sz w:val="20"/>
              </w:rPr>
            </w:pPr>
            <w:r w:rsidRPr="00177DA5">
              <w:rPr>
                <w:b/>
                <w:sz w:val="20"/>
              </w:rPr>
              <w:t>Risk / issue</w:t>
            </w:r>
          </w:p>
        </w:tc>
        <w:tc>
          <w:tcPr>
            <w:tcW w:w="5193" w:type="dxa"/>
            <w:shd w:val="clear" w:color="auto" w:fill="D9D9D9" w:themeFill="background1" w:themeFillShade="D9"/>
          </w:tcPr>
          <w:p w14:paraId="0A01E035" w14:textId="77777777" w:rsidR="00D75E3B" w:rsidRPr="00177DA5" w:rsidRDefault="00D75E3B" w:rsidP="004F7823">
            <w:pPr>
              <w:rPr>
                <w:b/>
                <w:sz w:val="20"/>
              </w:rPr>
            </w:pPr>
            <w:r w:rsidRPr="00177DA5">
              <w:rPr>
                <w:b/>
                <w:sz w:val="20"/>
              </w:rPr>
              <w:t>Action</w:t>
            </w:r>
          </w:p>
        </w:tc>
      </w:tr>
      <w:tr w:rsidR="00D75E3B" w:rsidRPr="003A5657" w14:paraId="361AE203" w14:textId="77777777" w:rsidTr="004F7823">
        <w:tc>
          <w:tcPr>
            <w:tcW w:w="3823" w:type="dxa"/>
            <w:shd w:val="clear" w:color="auto" w:fill="auto"/>
          </w:tcPr>
          <w:p w14:paraId="400F05EA" w14:textId="77777777" w:rsidR="00D75E3B" w:rsidRPr="002536B0" w:rsidRDefault="00D75E3B" w:rsidP="00D75E3B">
            <w:pPr>
              <w:rPr>
                <w:sz w:val="20"/>
              </w:rPr>
            </w:pPr>
          </w:p>
        </w:tc>
        <w:tc>
          <w:tcPr>
            <w:tcW w:w="5193" w:type="dxa"/>
            <w:shd w:val="clear" w:color="auto" w:fill="auto"/>
          </w:tcPr>
          <w:p w14:paraId="1B62BDDF" w14:textId="77777777" w:rsidR="00D75E3B" w:rsidRPr="002536B0" w:rsidRDefault="00D75E3B" w:rsidP="004F7823">
            <w:pPr>
              <w:rPr>
                <w:sz w:val="20"/>
              </w:rPr>
            </w:pPr>
          </w:p>
        </w:tc>
      </w:tr>
    </w:tbl>
    <w:p w14:paraId="405D6A4D" w14:textId="77777777" w:rsidR="00D75E3B" w:rsidRPr="000D3F27" w:rsidRDefault="00D75E3B" w:rsidP="0053379F"/>
    <w:p w14:paraId="481EC99B" w14:textId="77777777" w:rsidR="00D75E3B" w:rsidRDefault="00D75E3B" w:rsidP="0053379F"/>
    <w:p w14:paraId="5AC3E450" w14:textId="77777777" w:rsidR="00D75E3B" w:rsidRPr="0053379F" w:rsidRDefault="00D75E3B" w:rsidP="0053379F">
      <w:pPr>
        <w:rPr>
          <w:b/>
          <w:sz w:val="28"/>
          <w:szCs w:val="28"/>
        </w:rPr>
      </w:pPr>
      <w:r w:rsidRPr="0053379F">
        <w:rPr>
          <w:b/>
          <w:sz w:val="28"/>
          <w:szCs w:val="28"/>
        </w:rPr>
        <w:t>Outstanding Information</w:t>
      </w:r>
    </w:p>
    <w:tbl>
      <w:tblPr>
        <w:tblStyle w:val="TableGrid"/>
        <w:tblW w:w="0" w:type="auto"/>
        <w:tblLook w:val="04A0" w:firstRow="1" w:lastRow="0" w:firstColumn="1" w:lastColumn="0" w:noHBand="0" w:noVBand="1"/>
      </w:tblPr>
      <w:tblGrid>
        <w:gridCol w:w="2432"/>
        <w:gridCol w:w="2127"/>
        <w:gridCol w:w="2235"/>
        <w:gridCol w:w="2216"/>
      </w:tblGrid>
      <w:tr w:rsidR="00D75E3B" w:rsidRPr="006168A5" w14:paraId="1CDF3C71" w14:textId="77777777" w:rsidTr="004F7823">
        <w:tc>
          <w:tcPr>
            <w:tcW w:w="5211" w:type="dxa"/>
            <w:shd w:val="clear" w:color="auto" w:fill="D9D9D9" w:themeFill="background1" w:themeFillShade="D9"/>
          </w:tcPr>
          <w:p w14:paraId="281AB0D3" w14:textId="77777777" w:rsidR="00D75E3B" w:rsidRPr="006168A5" w:rsidRDefault="00D75E3B" w:rsidP="004F7823">
            <w:pPr>
              <w:rPr>
                <w:b/>
                <w:sz w:val="20"/>
              </w:rPr>
            </w:pPr>
            <w:r>
              <w:rPr>
                <w:b/>
                <w:sz w:val="20"/>
              </w:rPr>
              <w:t>Information required</w:t>
            </w:r>
          </w:p>
        </w:tc>
        <w:tc>
          <w:tcPr>
            <w:tcW w:w="1560" w:type="dxa"/>
            <w:shd w:val="clear" w:color="auto" w:fill="D9D9D9" w:themeFill="background1" w:themeFillShade="D9"/>
          </w:tcPr>
          <w:p w14:paraId="22FE4760" w14:textId="77777777" w:rsidR="00D75E3B" w:rsidRPr="006168A5" w:rsidRDefault="00D75E3B" w:rsidP="004F7823">
            <w:pPr>
              <w:rPr>
                <w:b/>
                <w:sz w:val="20"/>
              </w:rPr>
            </w:pPr>
            <w:r>
              <w:rPr>
                <w:b/>
                <w:sz w:val="20"/>
              </w:rPr>
              <w:t>From Whom</w:t>
            </w:r>
          </w:p>
        </w:tc>
        <w:tc>
          <w:tcPr>
            <w:tcW w:w="1417" w:type="dxa"/>
            <w:shd w:val="clear" w:color="auto" w:fill="D9D9D9" w:themeFill="background1" w:themeFillShade="D9"/>
          </w:tcPr>
          <w:p w14:paraId="1004F49C" w14:textId="77777777" w:rsidR="00D75E3B" w:rsidRDefault="00D75E3B" w:rsidP="004F7823">
            <w:pPr>
              <w:rPr>
                <w:b/>
                <w:sz w:val="20"/>
              </w:rPr>
            </w:pPr>
            <w:r>
              <w:rPr>
                <w:b/>
                <w:sz w:val="20"/>
              </w:rPr>
              <w:t>Date required</w:t>
            </w:r>
          </w:p>
        </w:tc>
        <w:tc>
          <w:tcPr>
            <w:tcW w:w="1054" w:type="dxa"/>
            <w:shd w:val="clear" w:color="auto" w:fill="D9D9D9" w:themeFill="background1" w:themeFillShade="D9"/>
          </w:tcPr>
          <w:p w14:paraId="2928CA22" w14:textId="77777777" w:rsidR="00D75E3B" w:rsidRDefault="00D75E3B" w:rsidP="004F7823">
            <w:pPr>
              <w:rPr>
                <w:b/>
                <w:sz w:val="20"/>
              </w:rPr>
            </w:pPr>
            <w:r>
              <w:rPr>
                <w:b/>
                <w:sz w:val="20"/>
              </w:rPr>
              <w:t>Urgency</w:t>
            </w:r>
          </w:p>
        </w:tc>
      </w:tr>
      <w:tr w:rsidR="00D75E3B" w:rsidRPr="003A5657" w14:paraId="1D9E092E" w14:textId="77777777" w:rsidTr="004F7823">
        <w:trPr>
          <w:trHeight w:val="113"/>
        </w:trPr>
        <w:tc>
          <w:tcPr>
            <w:tcW w:w="5211" w:type="dxa"/>
          </w:tcPr>
          <w:p w14:paraId="3B1E7678" w14:textId="71BCA834" w:rsidR="00D75E3B" w:rsidRPr="003A5657" w:rsidRDefault="00D75E3B" w:rsidP="004F7823">
            <w:pPr>
              <w:rPr>
                <w:sz w:val="20"/>
              </w:rPr>
            </w:pPr>
          </w:p>
        </w:tc>
        <w:tc>
          <w:tcPr>
            <w:tcW w:w="5211" w:type="dxa"/>
          </w:tcPr>
          <w:p w14:paraId="1AB3B502" w14:textId="77777777" w:rsidR="00D75E3B" w:rsidRPr="003A5657" w:rsidRDefault="00D75E3B" w:rsidP="004F7823">
            <w:pPr>
              <w:rPr>
                <w:sz w:val="20"/>
              </w:rPr>
            </w:pPr>
          </w:p>
        </w:tc>
        <w:tc>
          <w:tcPr>
            <w:tcW w:w="5211" w:type="dxa"/>
          </w:tcPr>
          <w:p w14:paraId="7B33D847" w14:textId="77777777" w:rsidR="00D75E3B" w:rsidRPr="003A5657" w:rsidRDefault="00D75E3B" w:rsidP="004F7823">
            <w:pPr>
              <w:rPr>
                <w:sz w:val="20"/>
              </w:rPr>
            </w:pPr>
          </w:p>
        </w:tc>
        <w:tc>
          <w:tcPr>
            <w:tcW w:w="5211" w:type="dxa"/>
            <w:shd w:val="clear" w:color="auto" w:fill="FF0000"/>
          </w:tcPr>
          <w:p w14:paraId="0EFD11BC" w14:textId="77777777" w:rsidR="00D75E3B" w:rsidRPr="003A5657" w:rsidRDefault="00D75E3B" w:rsidP="004F7823">
            <w:pPr>
              <w:rPr>
                <w:sz w:val="20"/>
              </w:rPr>
            </w:pPr>
            <w:r>
              <w:rPr>
                <w:sz w:val="20"/>
              </w:rPr>
              <w:t>High</w:t>
            </w:r>
          </w:p>
        </w:tc>
      </w:tr>
      <w:tr w:rsidR="00D75E3B" w:rsidRPr="003A5657" w14:paraId="3B76A4CD" w14:textId="77777777" w:rsidTr="004F7823">
        <w:trPr>
          <w:trHeight w:val="113"/>
        </w:trPr>
        <w:tc>
          <w:tcPr>
            <w:tcW w:w="5211" w:type="dxa"/>
          </w:tcPr>
          <w:p w14:paraId="52D2DFCF" w14:textId="77777777" w:rsidR="00D75E3B" w:rsidRPr="006C269A" w:rsidRDefault="00D75E3B" w:rsidP="004F7823">
            <w:pPr>
              <w:rPr>
                <w:sz w:val="20"/>
                <w:highlight w:val="yellow"/>
              </w:rPr>
            </w:pPr>
          </w:p>
        </w:tc>
        <w:tc>
          <w:tcPr>
            <w:tcW w:w="5211" w:type="dxa"/>
          </w:tcPr>
          <w:p w14:paraId="7EE0E794" w14:textId="77777777" w:rsidR="00D75E3B" w:rsidRPr="006C269A" w:rsidRDefault="00D75E3B" w:rsidP="004F7823">
            <w:pPr>
              <w:rPr>
                <w:sz w:val="20"/>
                <w:highlight w:val="yellow"/>
              </w:rPr>
            </w:pPr>
          </w:p>
        </w:tc>
        <w:tc>
          <w:tcPr>
            <w:tcW w:w="5211" w:type="dxa"/>
          </w:tcPr>
          <w:p w14:paraId="152121BD" w14:textId="77777777" w:rsidR="00D75E3B" w:rsidRPr="006C269A" w:rsidRDefault="00D75E3B" w:rsidP="004F7823">
            <w:pPr>
              <w:rPr>
                <w:sz w:val="20"/>
                <w:highlight w:val="yellow"/>
              </w:rPr>
            </w:pPr>
          </w:p>
        </w:tc>
        <w:tc>
          <w:tcPr>
            <w:tcW w:w="5211" w:type="dxa"/>
            <w:shd w:val="clear" w:color="auto" w:fill="FFFF00"/>
          </w:tcPr>
          <w:p w14:paraId="331804A3" w14:textId="77777777" w:rsidR="00D75E3B" w:rsidRPr="00455C7E" w:rsidRDefault="00D75E3B" w:rsidP="004F7823">
            <w:pPr>
              <w:rPr>
                <w:sz w:val="20"/>
              </w:rPr>
            </w:pPr>
            <w:r>
              <w:rPr>
                <w:sz w:val="20"/>
              </w:rPr>
              <w:t>Medium</w:t>
            </w:r>
          </w:p>
        </w:tc>
      </w:tr>
      <w:tr w:rsidR="00D75E3B" w:rsidRPr="003A5657" w14:paraId="4E85C9C1" w14:textId="77777777" w:rsidTr="004F7823">
        <w:trPr>
          <w:trHeight w:val="113"/>
        </w:trPr>
        <w:tc>
          <w:tcPr>
            <w:tcW w:w="5211" w:type="dxa"/>
          </w:tcPr>
          <w:p w14:paraId="519D202B" w14:textId="77777777" w:rsidR="00D75E3B" w:rsidRPr="003A5657" w:rsidRDefault="00D75E3B" w:rsidP="004F7823">
            <w:pPr>
              <w:rPr>
                <w:sz w:val="20"/>
              </w:rPr>
            </w:pPr>
          </w:p>
        </w:tc>
        <w:tc>
          <w:tcPr>
            <w:tcW w:w="5211" w:type="dxa"/>
          </w:tcPr>
          <w:p w14:paraId="13E7E758" w14:textId="77777777" w:rsidR="00D75E3B" w:rsidRPr="003A5657" w:rsidRDefault="00D75E3B" w:rsidP="004F7823">
            <w:pPr>
              <w:rPr>
                <w:sz w:val="20"/>
              </w:rPr>
            </w:pPr>
          </w:p>
        </w:tc>
        <w:tc>
          <w:tcPr>
            <w:tcW w:w="5211" w:type="dxa"/>
          </w:tcPr>
          <w:p w14:paraId="42A2C6A7" w14:textId="77777777" w:rsidR="00D75E3B" w:rsidRPr="003A5657" w:rsidRDefault="00D75E3B" w:rsidP="004F7823">
            <w:pPr>
              <w:rPr>
                <w:sz w:val="20"/>
              </w:rPr>
            </w:pPr>
          </w:p>
        </w:tc>
        <w:tc>
          <w:tcPr>
            <w:tcW w:w="5211" w:type="dxa"/>
            <w:shd w:val="clear" w:color="auto" w:fill="92D050"/>
          </w:tcPr>
          <w:p w14:paraId="79ABCA88" w14:textId="77777777" w:rsidR="00D75E3B" w:rsidRPr="003A5657" w:rsidRDefault="00D75E3B" w:rsidP="004F7823">
            <w:pPr>
              <w:rPr>
                <w:sz w:val="20"/>
              </w:rPr>
            </w:pPr>
            <w:r>
              <w:rPr>
                <w:sz w:val="20"/>
              </w:rPr>
              <w:t>Low</w:t>
            </w:r>
          </w:p>
        </w:tc>
      </w:tr>
    </w:tbl>
    <w:p w14:paraId="7CA18D8F" w14:textId="77777777" w:rsidR="00D513C3" w:rsidRDefault="00D513C3">
      <w:pPr>
        <w:spacing w:after="200" w:line="276" w:lineRule="auto"/>
        <w:jc w:val="left"/>
        <w:rPr>
          <w:rFonts w:eastAsiaTheme="majorEastAsia" w:cstheme="majorBidi"/>
          <w:b/>
          <w:bCs/>
          <w:color w:val="auto"/>
          <w:sz w:val="32"/>
          <w:szCs w:val="26"/>
        </w:rPr>
      </w:pPr>
      <w:r>
        <w:br w:type="page"/>
      </w:r>
    </w:p>
    <w:p w14:paraId="30085C3F" w14:textId="77777777" w:rsidR="00D75E3B" w:rsidRDefault="00D75E3B" w:rsidP="006C6142">
      <w:pPr>
        <w:pStyle w:val="H2notnumberedinTOC"/>
        <w:sectPr w:rsidR="00D75E3B" w:rsidSect="00D75E3B">
          <w:pgSz w:w="11900" w:h="16840" w:code="9"/>
          <w:pgMar w:top="1440" w:right="1440" w:bottom="1440" w:left="1440" w:header="709" w:footer="709" w:gutter="0"/>
          <w:cols w:space="708"/>
          <w:docGrid w:linePitch="360"/>
        </w:sectPr>
      </w:pPr>
    </w:p>
    <w:p w14:paraId="0EC76B60" w14:textId="531BB4B8" w:rsidR="008C33A0" w:rsidRPr="006C6142" w:rsidRDefault="006C6142" w:rsidP="006C6142">
      <w:pPr>
        <w:pStyle w:val="H2notnumberedinTOC"/>
      </w:pPr>
      <w:bookmarkStart w:id="2463" w:name="_Toc22196944"/>
      <w:r w:rsidRPr="00096CF7">
        <w:lastRenderedPageBreak/>
        <w:t xml:space="preserve">Appendix </w:t>
      </w:r>
      <w:r w:rsidR="0026279E">
        <w:t>D</w:t>
      </w:r>
      <w:r w:rsidRPr="00096CF7">
        <w:t xml:space="preserve"> – Objectives, evaluation questions, hypotheses and outcomes for each component</w:t>
      </w:r>
      <w:r w:rsidR="00F240A2">
        <w:t xml:space="preserve"> (indicator)</w:t>
      </w:r>
      <w:r w:rsidRPr="00096CF7">
        <w:t xml:space="preserve"> of the </w:t>
      </w:r>
      <w:r w:rsidR="0060726B">
        <w:t>MER</w:t>
      </w:r>
      <w:r w:rsidR="00113E55">
        <w:t xml:space="preserve"> P</w:t>
      </w:r>
      <w:r w:rsidRPr="00096CF7">
        <w:t>roject.</w:t>
      </w:r>
      <w:bookmarkEnd w:id="2463"/>
    </w:p>
    <w:p w14:paraId="47E69CB1" w14:textId="79E6C2E5" w:rsidR="006C6142" w:rsidRPr="00D6636D" w:rsidRDefault="00F14ADB" w:rsidP="006C6142">
      <w:pPr>
        <w:rPr>
          <w:b/>
        </w:rPr>
      </w:pPr>
      <w:r w:rsidRPr="00D6636D">
        <w:rPr>
          <w:b/>
        </w:rPr>
        <w:t xml:space="preserve">CEWO Basin- (Category 1) and Selected Area-scale (Category 3) evaluation questions relating to Basin Plan environmental and water quality objectives for water-dependant ecosystems (adapted from Gawne </w:t>
      </w:r>
      <w:r w:rsidRPr="00D6636D">
        <w:rPr>
          <w:b/>
          <w:i/>
        </w:rPr>
        <w:t>et al.</w:t>
      </w:r>
      <w:r w:rsidRPr="00D6636D">
        <w:rPr>
          <w:b/>
        </w:rPr>
        <w:t xml:space="preserve"> 2014).</w:t>
      </w:r>
    </w:p>
    <w:tbl>
      <w:tblPr>
        <w:tblStyle w:val="TableGrid"/>
        <w:tblW w:w="0" w:type="auto"/>
        <w:tblLayout w:type="fixed"/>
        <w:tblLook w:val="04A0" w:firstRow="1" w:lastRow="0" w:firstColumn="1" w:lastColumn="0" w:noHBand="0" w:noVBand="1"/>
      </w:tblPr>
      <w:tblGrid>
        <w:gridCol w:w="1067"/>
        <w:gridCol w:w="771"/>
        <w:gridCol w:w="1134"/>
        <w:gridCol w:w="1559"/>
        <w:gridCol w:w="1134"/>
        <w:gridCol w:w="2835"/>
        <w:gridCol w:w="3969"/>
        <w:gridCol w:w="1479"/>
      </w:tblGrid>
      <w:tr w:rsidR="007C6948" w:rsidRPr="00525EF3" w14:paraId="17667335" w14:textId="77777777" w:rsidTr="000150F2">
        <w:trPr>
          <w:tblHeader/>
        </w:trPr>
        <w:tc>
          <w:tcPr>
            <w:tcW w:w="1067" w:type="dxa"/>
            <w:tcBorders>
              <w:bottom w:val="single" w:sz="4" w:space="0" w:color="auto"/>
            </w:tcBorders>
            <w:shd w:val="clear" w:color="auto" w:fill="BFBFBF" w:themeFill="background1" w:themeFillShade="BF"/>
          </w:tcPr>
          <w:p w14:paraId="5996D3BC" w14:textId="77777777" w:rsidR="007C6948" w:rsidRPr="00525EF3" w:rsidRDefault="007C6948" w:rsidP="000150F2">
            <w:pPr>
              <w:rPr>
                <w:b/>
                <w:sz w:val="16"/>
                <w:szCs w:val="16"/>
              </w:rPr>
            </w:pPr>
            <w:r w:rsidRPr="00525EF3">
              <w:rPr>
                <w:b/>
                <w:sz w:val="16"/>
                <w:szCs w:val="16"/>
              </w:rPr>
              <w:t>Basin Plan level 1 objectives</w:t>
            </w:r>
          </w:p>
        </w:tc>
        <w:tc>
          <w:tcPr>
            <w:tcW w:w="1905" w:type="dxa"/>
            <w:gridSpan w:val="2"/>
            <w:shd w:val="clear" w:color="auto" w:fill="BFBFBF" w:themeFill="background1" w:themeFillShade="BF"/>
          </w:tcPr>
          <w:p w14:paraId="0A45B7EE" w14:textId="77777777" w:rsidR="007C6948" w:rsidRPr="00525EF3" w:rsidRDefault="007C6948" w:rsidP="000150F2">
            <w:pPr>
              <w:rPr>
                <w:b/>
                <w:sz w:val="16"/>
                <w:szCs w:val="16"/>
              </w:rPr>
            </w:pPr>
            <w:r w:rsidRPr="00525EF3">
              <w:rPr>
                <w:b/>
                <w:sz w:val="16"/>
                <w:szCs w:val="16"/>
              </w:rPr>
              <w:t>Basin outcomes</w:t>
            </w:r>
          </w:p>
          <w:p w14:paraId="2FADD6C4" w14:textId="77777777" w:rsidR="007C6948" w:rsidRPr="00525EF3" w:rsidRDefault="007C6948" w:rsidP="000150F2">
            <w:pPr>
              <w:rPr>
                <w:b/>
                <w:sz w:val="16"/>
                <w:szCs w:val="16"/>
              </w:rPr>
            </w:pPr>
          </w:p>
        </w:tc>
        <w:tc>
          <w:tcPr>
            <w:tcW w:w="1559" w:type="dxa"/>
            <w:shd w:val="clear" w:color="auto" w:fill="BFBFBF" w:themeFill="background1" w:themeFillShade="BF"/>
          </w:tcPr>
          <w:p w14:paraId="3B14E49C" w14:textId="77777777" w:rsidR="007C6948" w:rsidRPr="00525EF3" w:rsidRDefault="007C6948" w:rsidP="000150F2">
            <w:pPr>
              <w:rPr>
                <w:b/>
                <w:sz w:val="16"/>
                <w:szCs w:val="16"/>
              </w:rPr>
            </w:pPr>
            <w:r>
              <w:rPr>
                <w:b/>
                <w:sz w:val="16"/>
                <w:szCs w:val="16"/>
              </w:rPr>
              <w:t>Short-term</w:t>
            </w:r>
            <w:r w:rsidRPr="00525EF3">
              <w:rPr>
                <w:b/>
                <w:sz w:val="16"/>
                <w:szCs w:val="16"/>
              </w:rPr>
              <w:t xml:space="preserve"> expected outcomes</w:t>
            </w:r>
          </w:p>
        </w:tc>
        <w:tc>
          <w:tcPr>
            <w:tcW w:w="1134" w:type="dxa"/>
            <w:shd w:val="clear" w:color="auto" w:fill="BFBFBF" w:themeFill="background1" w:themeFillShade="BF"/>
          </w:tcPr>
          <w:p w14:paraId="2B93127C" w14:textId="77777777" w:rsidR="007C6948" w:rsidRPr="00525EF3" w:rsidRDefault="007C6948" w:rsidP="000150F2">
            <w:pPr>
              <w:rPr>
                <w:b/>
                <w:sz w:val="16"/>
                <w:szCs w:val="16"/>
              </w:rPr>
            </w:pPr>
            <w:r>
              <w:rPr>
                <w:b/>
                <w:sz w:val="16"/>
                <w:szCs w:val="16"/>
              </w:rPr>
              <w:t>Long-term</w:t>
            </w:r>
            <w:r w:rsidRPr="00525EF3">
              <w:rPr>
                <w:b/>
                <w:sz w:val="16"/>
                <w:szCs w:val="16"/>
              </w:rPr>
              <w:t xml:space="preserve"> expected outcomes</w:t>
            </w:r>
          </w:p>
        </w:tc>
        <w:tc>
          <w:tcPr>
            <w:tcW w:w="2835" w:type="dxa"/>
            <w:tcBorders>
              <w:bottom w:val="single" w:sz="4" w:space="0" w:color="auto"/>
            </w:tcBorders>
            <w:shd w:val="clear" w:color="auto" w:fill="BFBFBF" w:themeFill="background1" w:themeFillShade="BF"/>
          </w:tcPr>
          <w:p w14:paraId="4438E268" w14:textId="77777777" w:rsidR="007C6948" w:rsidRPr="00525EF3" w:rsidRDefault="007C6948" w:rsidP="000150F2">
            <w:pPr>
              <w:rPr>
                <w:b/>
                <w:sz w:val="16"/>
                <w:szCs w:val="16"/>
              </w:rPr>
            </w:pPr>
            <w:r w:rsidRPr="00525EF3">
              <w:rPr>
                <w:b/>
                <w:sz w:val="16"/>
                <w:szCs w:val="16"/>
              </w:rPr>
              <w:t>Basin-scale evaluation questions</w:t>
            </w:r>
          </w:p>
        </w:tc>
        <w:tc>
          <w:tcPr>
            <w:tcW w:w="3969" w:type="dxa"/>
            <w:tcBorders>
              <w:bottom w:val="single" w:sz="4" w:space="0" w:color="auto"/>
            </w:tcBorders>
            <w:shd w:val="clear" w:color="auto" w:fill="BFBFBF" w:themeFill="background1" w:themeFillShade="BF"/>
          </w:tcPr>
          <w:p w14:paraId="555294EF" w14:textId="77777777" w:rsidR="007C6948" w:rsidRPr="00525EF3" w:rsidRDefault="007C6948" w:rsidP="000150F2">
            <w:pPr>
              <w:rPr>
                <w:b/>
                <w:sz w:val="16"/>
                <w:szCs w:val="16"/>
              </w:rPr>
            </w:pPr>
            <w:r>
              <w:rPr>
                <w:b/>
                <w:sz w:val="16"/>
                <w:szCs w:val="16"/>
              </w:rPr>
              <w:t xml:space="preserve">Selected Area </w:t>
            </w:r>
            <w:r w:rsidRPr="00525EF3">
              <w:rPr>
                <w:b/>
                <w:sz w:val="16"/>
                <w:szCs w:val="16"/>
              </w:rPr>
              <w:t>evaluation questions</w:t>
            </w:r>
          </w:p>
        </w:tc>
        <w:tc>
          <w:tcPr>
            <w:tcW w:w="1479" w:type="dxa"/>
            <w:tcBorders>
              <w:bottom w:val="single" w:sz="4" w:space="0" w:color="auto"/>
            </w:tcBorders>
            <w:shd w:val="clear" w:color="auto" w:fill="BFBFBF" w:themeFill="background1" w:themeFillShade="BF"/>
          </w:tcPr>
          <w:p w14:paraId="5C2876E7" w14:textId="77777777" w:rsidR="007C6948" w:rsidRPr="00525EF3" w:rsidRDefault="007C6948" w:rsidP="000150F2">
            <w:pPr>
              <w:rPr>
                <w:b/>
                <w:sz w:val="16"/>
                <w:szCs w:val="16"/>
              </w:rPr>
            </w:pPr>
            <w:r>
              <w:rPr>
                <w:b/>
                <w:sz w:val="16"/>
                <w:szCs w:val="16"/>
              </w:rPr>
              <w:t>MER</w:t>
            </w:r>
            <w:r w:rsidRPr="00525EF3">
              <w:rPr>
                <w:b/>
                <w:sz w:val="16"/>
                <w:szCs w:val="16"/>
              </w:rPr>
              <w:t xml:space="preserve"> indicator</w:t>
            </w:r>
          </w:p>
        </w:tc>
      </w:tr>
      <w:tr w:rsidR="007C6948" w:rsidRPr="00525EF3" w14:paraId="61D30384" w14:textId="77777777" w:rsidTr="000150F2">
        <w:tc>
          <w:tcPr>
            <w:tcW w:w="1067" w:type="dxa"/>
            <w:vMerge w:val="restart"/>
            <w:tcBorders>
              <w:top w:val="single" w:sz="4" w:space="0" w:color="auto"/>
              <w:left w:val="single" w:sz="4" w:space="0" w:color="auto"/>
              <w:right w:val="single" w:sz="4" w:space="0" w:color="auto"/>
            </w:tcBorders>
            <w:vAlign w:val="center"/>
          </w:tcPr>
          <w:p w14:paraId="505E7253" w14:textId="77777777" w:rsidR="007C6948" w:rsidRPr="00525EF3" w:rsidRDefault="007C6948" w:rsidP="000150F2">
            <w:pPr>
              <w:jc w:val="left"/>
              <w:rPr>
                <w:sz w:val="16"/>
                <w:szCs w:val="16"/>
              </w:rPr>
            </w:pPr>
            <w:r w:rsidRPr="00525EF3">
              <w:rPr>
                <w:sz w:val="16"/>
                <w:szCs w:val="16"/>
              </w:rPr>
              <w:t>Biodiversity</w:t>
            </w:r>
          </w:p>
        </w:tc>
        <w:tc>
          <w:tcPr>
            <w:tcW w:w="771" w:type="dxa"/>
            <w:vMerge w:val="restart"/>
            <w:tcBorders>
              <w:top w:val="single" w:sz="4" w:space="0" w:color="auto"/>
              <w:left w:val="single" w:sz="4" w:space="0" w:color="auto"/>
              <w:right w:val="single" w:sz="4" w:space="0" w:color="auto"/>
            </w:tcBorders>
            <w:vAlign w:val="center"/>
          </w:tcPr>
          <w:p w14:paraId="5254AB39" w14:textId="77777777" w:rsidR="007C6948" w:rsidRPr="00525EF3" w:rsidRDefault="007C6948" w:rsidP="000150F2">
            <w:pPr>
              <w:jc w:val="left"/>
              <w:rPr>
                <w:sz w:val="16"/>
                <w:szCs w:val="16"/>
              </w:rPr>
            </w:pPr>
            <w:r w:rsidRPr="00525EF3">
              <w:rPr>
                <w:sz w:val="16"/>
                <w:szCs w:val="16"/>
              </w:rPr>
              <w:t>Species diversity</w:t>
            </w:r>
          </w:p>
        </w:tc>
        <w:tc>
          <w:tcPr>
            <w:tcW w:w="1134" w:type="dxa"/>
            <w:vMerge w:val="restart"/>
            <w:tcBorders>
              <w:top w:val="single" w:sz="4" w:space="0" w:color="auto"/>
              <w:left w:val="single" w:sz="4" w:space="0" w:color="auto"/>
              <w:right w:val="single" w:sz="4" w:space="0" w:color="auto"/>
            </w:tcBorders>
            <w:vAlign w:val="center"/>
          </w:tcPr>
          <w:p w14:paraId="15399814" w14:textId="77777777" w:rsidR="007C6948" w:rsidRPr="00525EF3" w:rsidRDefault="007C6948" w:rsidP="000150F2">
            <w:pPr>
              <w:jc w:val="left"/>
              <w:rPr>
                <w:sz w:val="16"/>
                <w:szCs w:val="16"/>
              </w:rPr>
            </w:pPr>
            <w:r w:rsidRPr="00525EF3">
              <w:rPr>
                <w:sz w:val="16"/>
                <w:szCs w:val="16"/>
              </w:rPr>
              <w:t>Fish</w:t>
            </w:r>
          </w:p>
        </w:tc>
        <w:tc>
          <w:tcPr>
            <w:tcW w:w="1559" w:type="dxa"/>
            <w:vMerge w:val="restart"/>
            <w:tcBorders>
              <w:left w:val="single" w:sz="4" w:space="0" w:color="auto"/>
            </w:tcBorders>
            <w:vAlign w:val="center"/>
          </w:tcPr>
          <w:p w14:paraId="5D8C0018" w14:textId="77777777" w:rsidR="007C6948" w:rsidRPr="00525EF3" w:rsidRDefault="007C6948" w:rsidP="000150F2">
            <w:pPr>
              <w:pStyle w:val="ListParagraph"/>
              <w:numPr>
                <w:ilvl w:val="0"/>
                <w:numId w:val="51"/>
              </w:numPr>
              <w:spacing w:after="0"/>
              <w:ind w:left="113" w:hanging="113"/>
              <w:jc w:val="left"/>
              <w:rPr>
                <w:sz w:val="16"/>
                <w:szCs w:val="16"/>
              </w:rPr>
            </w:pPr>
            <w:r w:rsidRPr="00525EF3">
              <w:rPr>
                <w:sz w:val="16"/>
                <w:szCs w:val="16"/>
              </w:rPr>
              <w:t>Condition</w:t>
            </w:r>
          </w:p>
          <w:p w14:paraId="5EEC87D6" w14:textId="77777777" w:rsidR="007C6948" w:rsidRPr="00525EF3" w:rsidRDefault="007C6948" w:rsidP="000150F2">
            <w:pPr>
              <w:pStyle w:val="ListParagraph"/>
              <w:numPr>
                <w:ilvl w:val="0"/>
                <w:numId w:val="51"/>
              </w:numPr>
              <w:spacing w:after="0"/>
              <w:ind w:left="113" w:hanging="113"/>
              <w:jc w:val="left"/>
              <w:rPr>
                <w:sz w:val="16"/>
                <w:szCs w:val="16"/>
              </w:rPr>
            </w:pPr>
            <w:r w:rsidRPr="00525EF3">
              <w:rPr>
                <w:sz w:val="16"/>
                <w:szCs w:val="16"/>
              </w:rPr>
              <w:t>Larval abundance</w:t>
            </w:r>
          </w:p>
          <w:p w14:paraId="332404E5" w14:textId="77777777" w:rsidR="007C6948" w:rsidRPr="00525EF3" w:rsidRDefault="007C6948" w:rsidP="000150F2">
            <w:pPr>
              <w:pStyle w:val="ListParagraph"/>
              <w:numPr>
                <w:ilvl w:val="0"/>
                <w:numId w:val="51"/>
              </w:numPr>
              <w:spacing w:after="0"/>
              <w:ind w:left="113" w:hanging="113"/>
              <w:jc w:val="left"/>
              <w:rPr>
                <w:sz w:val="16"/>
                <w:szCs w:val="16"/>
              </w:rPr>
            </w:pPr>
            <w:r w:rsidRPr="00525EF3">
              <w:rPr>
                <w:sz w:val="16"/>
                <w:szCs w:val="16"/>
              </w:rPr>
              <w:t>Reproduction</w:t>
            </w:r>
          </w:p>
        </w:tc>
        <w:tc>
          <w:tcPr>
            <w:tcW w:w="1134" w:type="dxa"/>
            <w:vMerge w:val="restart"/>
            <w:tcBorders>
              <w:right w:val="single" w:sz="4" w:space="0" w:color="auto"/>
            </w:tcBorders>
            <w:vAlign w:val="center"/>
          </w:tcPr>
          <w:p w14:paraId="07DC8B1A" w14:textId="77777777" w:rsidR="007C6948" w:rsidRPr="00525EF3" w:rsidRDefault="007C6948" w:rsidP="000150F2">
            <w:pPr>
              <w:pStyle w:val="ListParagraph"/>
              <w:numPr>
                <w:ilvl w:val="0"/>
                <w:numId w:val="51"/>
              </w:numPr>
              <w:spacing w:after="0"/>
              <w:ind w:left="113" w:hanging="113"/>
              <w:jc w:val="left"/>
              <w:rPr>
                <w:sz w:val="16"/>
                <w:szCs w:val="16"/>
              </w:rPr>
            </w:pPr>
            <w:r w:rsidRPr="00525EF3">
              <w:rPr>
                <w:sz w:val="16"/>
                <w:szCs w:val="16"/>
              </w:rPr>
              <w:t>Fish diversity</w:t>
            </w:r>
          </w:p>
          <w:p w14:paraId="32D129FB" w14:textId="77777777" w:rsidR="007C6948" w:rsidRPr="00525EF3" w:rsidRDefault="007C6948" w:rsidP="000150F2">
            <w:pPr>
              <w:pStyle w:val="ListParagraph"/>
              <w:numPr>
                <w:ilvl w:val="0"/>
                <w:numId w:val="51"/>
              </w:numPr>
              <w:spacing w:after="0"/>
              <w:ind w:left="113" w:hanging="113"/>
              <w:jc w:val="left"/>
              <w:rPr>
                <w:sz w:val="16"/>
                <w:szCs w:val="16"/>
              </w:rPr>
            </w:pPr>
            <w:r w:rsidRPr="00525EF3">
              <w:rPr>
                <w:sz w:val="16"/>
                <w:szCs w:val="16"/>
              </w:rPr>
              <w:t>Larval and juvenile recruitment</w:t>
            </w:r>
          </w:p>
        </w:tc>
        <w:tc>
          <w:tcPr>
            <w:tcW w:w="2835" w:type="dxa"/>
            <w:tcBorders>
              <w:top w:val="single" w:sz="4" w:space="0" w:color="auto"/>
              <w:left w:val="single" w:sz="4" w:space="0" w:color="auto"/>
              <w:bottom w:val="nil"/>
              <w:right w:val="single" w:sz="4" w:space="0" w:color="auto"/>
            </w:tcBorders>
            <w:vAlign w:val="center"/>
          </w:tcPr>
          <w:p w14:paraId="1D444B3E" w14:textId="77777777" w:rsidR="007C6948" w:rsidRDefault="007C6948" w:rsidP="000150F2">
            <w:pPr>
              <w:jc w:val="left"/>
              <w:rPr>
                <w:sz w:val="16"/>
                <w:szCs w:val="16"/>
              </w:rPr>
            </w:pPr>
            <w:r>
              <w:rPr>
                <w:sz w:val="16"/>
                <w:szCs w:val="16"/>
              </w:rPr>
              <w:t>What did CEW contribute to native fish reproduction?</w:t>
            </w:r>
          </w:p>
          <w:p w14:paraId="600740D2" w14:textId="77777777" w:rsidR="007C6948" w:rsidRDefault="007C6948" w:rsidP="000150F2">
            <w:pPr>
              <w:jc w:val="left"/>
              <w:rPr>
                <w:sz w:val="16"/>
                <w:szCs w:val="16"/>
              </w:rPr>
            </w:pPr>
            <w:r>
              <w:rPr>
                <w:sz w:val="16"/>
                <w:szCs w:val="16"/>
              </w:rPr>
              <w:t xml:space="preserve">What </w:t>
            </w:r>
            <w:r w:rsidRPr="005B278F">
              <w:rPr>
                <w:sz w:val="16"/>
                <w:szCs w:val="16"/>
              </w:rPr>
              <w:t>did C</w:t>
            </w:r>
            <w:r>
              <w:rPr>
                <w:sz w:val="16"/>
                <w:szCs w:val="16"/>
              </w:rPr>
              <w:t xml:space="preserve">EW contribute to </w:t>
            </w:r>
            <w:r w:rsidRPr="005B278F">
              <w:rPr>
                <w:sz w:val="16"/>
                <w:szCs w:val="16"/>
              </w:rPr>
              <w:t xml:space="preserve">native fish survival? </w:t>
            </w:r>
          </w:p>
          <w:p w14:paraId="114E9414" w14:textId="77777777" w:rsidR="007C6948" w:rsidRPr="00525EF3" w:rsidRDefault="007C6948" w:rsidP="000150F2">
            <w:pPr>
              <w:jc w:val="left"/>
              <w:rPr>
                <w:sz w:val="16"/>
                <w:szCs w:val="16"/>
              </w:rPr>
            </w:pPr>
            <w:r w:rsidRPr="005B278F">
              <w:rPr>
                <w:sz w:val="16"/>
                <w:szCs w:val="16"/>
              </w:rPr>
              <w:t>What did C</w:t>
            </w:r>
            <w:r>
              <w:rPr>
                <w:sz w:val="16"/>
                <w:szCs w:val="16"/>
              </w:rPr>
              <w:t xml:space="preserve">EW </w:t>
            </w:r>
            <w:r w:rsidRPr="005B278F">
              <w:rPr>
                <w:sz w:val="16"/>
                <w:szCs w:val="16"/>
              </w:rPr>
              <w:t>contribute to sustaining native fish populations?</w:t>
            </w:r>
          </w:p>
        </w:tc>
        <w:tc>
          <w:tcPr>
            <w:tcW w:w="3969" w:type="dxa"/>
            <w:tcBorders>
              <w:top w:val="single" w:sz="4" w:space="0" w:color="auto"/>
              <w:left w:val="single" w:sz="4" w:space="0" w:color="auto"/>
              <w:bottom w:val="nil"/>
              <w:right w:val="single" w:sz="4" w:space="0" w:color="auto"/>
            </w:tcBorders>
            <w:vAlign w:val="center"/>
          </w:tcPr>
          <w:p w14:paraId="0E938A4D" w14:textId="77777777" w:rsidR="007C6948" w:rsidRPr="00525EF3" w:rsidRDefault="007C6948" w:rsidP="000150F2">
            <w:pPr>
              <w:jc w:val="left"/>
              <w:rPr>
                <w:sz w:val="16"/>
                <w:szCs w:val="16"/>
              </w:rPr>
            </w:pPr>
          </w:p>
        </w:tc>
        <w:tc>
          <w:tcPr>
            <w:tcW w:w="1479" w:type="dxa"/>
            <w:tcBorders>
              <w:top w:val="single" w:sz="4" w:space="0" w:color="auto"/>
              <w:left w:val="single" w:sz="4" w:space="0" w:color="auto"/>
              <w:bottom w:val="nil"/>
              <w:right w:val="single" w:sz="4" w:space="0" w:color="auto"/>
            </w:tcBorders>
            <w:vAlign w:val="center"/>
          </w:tcPr>
          <w:p w14:paraId="4D2D66F1" w14:textId="77777777" w:rsidR="007C6948" w:rsidRPr="00525EF3" w:rsidRDefault="007C6948" w:rsidP="000150F2">
            <w:pPr>
              <w:jc w:val="left"/>
              <w:rPr>
                <w:sz w:val="16"/>
                <w:szCs w:val="16"/>
              </w:rPr>
            </w:pPr>
            <w:r w:rsidRPr="00525EF3">
              <w:rPr>
                <w:sz w:val="16"/>
                <w:szCs w:val="16"/>
              </w:rPr>
              <w:t>Category 1 Fish (Channel)</w:t>
            </w:r>
          </w:p>
        </w:tc>
      </w:tr>
      <w:tr w:rsidR="007C6948" w:rsidRPr="00525EF3" w14:paraId="4A7CAED2" w14:textId="77777777" w:rsidTr="000150F2">
        <w:tc>
          <w:tcPr>
            <w:tcW w:w="1067" w:type="dxa"/>
            <w:vMerge/>
            <w:tcBorders>
              <w:left w:val="single" w:sz="4" w:space="0" w:color="auto"/>
              <w:right w:val="single" w:sz="4" w:space="0" w:color="auto"/>
            </w:tcBorders>
            <w:vAlign w:val="center"/>
          </w:tcPr>
          <w:p w14:paraId="773AC23B" w14:textId="77777777" w:rsidR="007C6948" w:rsidRPr="00525EF3" w:rsidRDefault="007C6948" w:rsidP="000150F2">
            <w:pPr>
              <w:jc w:val="left"/>
              <w:rPr>
                <w:sz w:val="16"/>
                <w:szCs w:val="16"/>
              </w:rPr>
            </w:pPr>
          </w:p>
        </w:tc>
        <w:tc>
          <w:tcPr>
            <w:tcW w:w="771" w:type="dxa"/>
            <w:vMerge/>
            <w:tcBorders>
              <w:left w:val="single" w:sz="4" w:space="0" w:color="auto"/>
              <w:right w:val="single" w:sz="4" w:space="0" w:color="auto"/>
            </w:tcBorders>
            <w:vAlign w:val="center"/>
          </w:tcPr>
          <w:p w14:paraId="243A4520" w14:textId="77777777" w:rsidR="007C6948" w:rsidRPr="00525EF3" w:rsidRDefault="007C6948" w:rsidP="000150F2">
            <w:pPr>
              <w:jc w:val="left"/>
              <w:rPr>
                <w:sz w:val="16"/>
                <w:szCs w:val="16"/>
              </w:rPr>
            </w:pPr>
          </w:p>
        </w:tc>
        <w:tc>
          <w:tcPr>
            <w:tcW w:w="1134" w:type="dxa"/>
            <w:vMerge/>
            <w:tcBorders>
              <w:left w:val="single" w:sz="4" w:space="0" w:color="auto"/>
              <w:right w:val="single" w:sz="4" w:space="0" w:color="auto"/>
            </w:tcBorders>
            <w:vAlign w:val="center"/>
          </w:tcPr>
          <w:p w14:paraId="6A7AA17B" w14:textId="77777777" w:rsidR="007C6948" w:rsidRPr="00525EF3" w:rsidRDefault="007C6948" w:rsidP="000150F2">
            <w:pPr>
              <w:jc w:val="left"/>
              <w:rPr>
                <w:sz w:val="16"/>
                <w:szCs w:val="16"/>
              </w:rPr>
            </w:pPr>
          </w:p>
        </w:tc>
        <w:tc>
          <w:tcPr>
            <w:tcW w:w="1559" w:type="dxa"/>
            <w:vMerge/>
            <w:tcBorders>
              <w:left w:val="single" w:sz="4" w:space="0" w:color="auto"/>
            </w:tcBorders>
            <w:vAlign w:val="center"/>
          </w:tcPr>
          <w:p w14:paraId="7D91E91C" w14:textId="77777777" w:rsidR="007C6948" w:rsidRPr="00525EF3" w:rsidRDefault="007C6948" w:rsidP="000150F2">
            <w:pPr>
              <w:pStyle w:val="ListParagraph"/>
              <w:numPr>
                <w:ilvl w:val="0"/>
                <w:numId w:val="51"/>
              </w:numPr>
              <w:spacing w:after="0"/>
              <w:ind w:left="113" w:hanging="113"/>
              <w:jc w:val="left"/>
              <w:rPr>
                <w:sz w:val="16"/>
                <w:szCs w:val="16"/>
              </w:rPr>
            </w:pPr>
          </w:p>
        </w:tc>
        <w:tc>
          <w:tcPr>
            <w:tcW w:w="1134" w:type="dxa"/>
            <w:vMerge/>
            <w:tcBorders>
              <w:right w:val="single" w:sz="4" w:space="0" w:color="auto"/>
            </w:tcBorders>
            <w:vAlign w:val="center"/>
          </w:tcPr>
          <w:p w14:paraId="61A8D9EC" w14:textId="77777777" w:rsidR="007C6948" w:rsidRPr="00525EF3" w:rsidRDefault="007C6948" w:rsidP="000150F2">
            <w:pPr>
              <w:pStyle w:val="ListParagraph"/>
              <w:numPr>
                <w:ilvl w:val="0"/>
                <w:numId w:val="51"/>
              </w:numPr>
              <w:spacing w:after="0"/>
              <w:ind w:left="113" w:hanging="113"/>
              <w:jc w:val="left"/>
              <w:rPr>
                <w:sz w:val="16"/>
                <w:szCs w:val="16"/>
              </w:rPr>
            </w:pPr>
          </w:p>
        </w:tc>
        <w:tc>
          <w:tcPr>
            <w:tcW w:w="2835" w:type="dxa"/>
            <w:tcBorders>
              <w:top w:val="nil"/>
              <w:left w:val="single" w:sz="4" w:space="0" w:color="auto"/>
              <w:bottom w:val="nil"/>
              <w:right w:val="single" w:sz="4" w:space="0" w:color="auto"/>
            </w:tcBorders>
            <w:vAlign w:val="center"/>
          </w:tcPr>
          <w:p w14:paraId="25BD0B3A" w14:textId="77777777" w:rsidR="007C6948" w:rsidRPr="00525EF3" w:rsidRDefault="007C6948" w:rsidP="000150F2">
            <w:pPr>
              <w:jc w:val="left"/>
              <w:rPr>
                <w:sz w:val="16"/>
                <w:szCs w:val="16"/>
              </w:rPr>
            </w:pPr>
          </w:p>
        </w:tc>
        <w:tc>
          <w:tcPr>
            <w:tcW w:w="3969" w:type="dxa"/>
            <w:tcBorders>
              <w:top w:val="nil"/>
              <w:left w:val="single" w:sz="4" w:space="0" w:color="auto"/>
              <w:bottom w:val="nil"/>
              <w:right w:val="single" w:sz="4" w:space="0" w:color="auto"/>
            </w:tcBorders>
            <w:vAlign w:val="center"/>
          </w:tcPr>
          <w:p w14:paraId="62D7749F" w14:textId="4A4FB04B" w:rsidR="00012BA2" w:rsidRDefault="00012BA2" w:rsidP="000150F2">
            <w:pPr>
              <w:jc w:val="left"/>
              <w:rPr>
                <w:sz w:val="16"/>
                <w:szCs w:val="16"/>
              </w:rPr>
            </w:pPr>
            <w:r w:rsidRPr="00012BA2">
              <w:rPr>
                <w:sz w:val="16"/>
                <w:szCs w:val="16"/>
              </w:rPr>
              <w:t xml:space="preserve">Did the flow regime </w:t>
            </w:r>
            <w:r>
              <w:rPr>
                <w:sz w:val="16"/>
                <w:szCs w:val="16"/>
              </w:rPr>
              <w:t xml:space="preserve">(including environmental water) </w:t>
            </w:r>
            <w:r w:rsidRPr="00012BA2">
              <w:rPr>
                <w:sz w:val="16"/>
                <w:szCs w:val="16"/>
              </w:rPr>
              <w:t>contribute to recruitment of golden perch and silver perch?</w:t>
            </w:r>
          </w:p>
          <w:p w14:paraId="60647767" w14:textId="704E7706" w:rsidR="007C6948" w:rsidRPr="00525EF3" w:rsidRDefault="007C6948" w:rsidP="000150F2">
            <w:pPr>
              <w:jc w:val="left"/>
              <w:rPr>
                <w:sz w:val="16"/>
                <w:szCs w:val="16"/>
              </w:rPr>
            </w:pPr>
          </w:p>
        </w:tc>
        <w:tc>
          <w:tcPr>
            <w:tcW w:w="1479" w:type="dxa"/>
            <w:tcBorders>
              <w:top w:val="nil"/>
              <w:left w:val="single" w:sz="4" w:space="0" w:color="auto"/>
              <w:bottom w:val="nil"/>
              <w:right w:val="single" w:sz="4" w:space="0" w:color="auto"/>
            </w:tcBorders>
            <w:vAlign w:val="center"/>
          </w:tcPr>
          <w:p w14:paraId="09458143" w14:textId="77777777" w:rsidR="007C6948" w:rsidRPr="00525EF3" w:rsidRDefault="007C6948" w:rsidP="000150F2">
            <w:pPr>
              <w:jc w:val="left"/>
              <w:rPr>
                <w:sz w:val="16"/>
                <w:szCs w:val="16"/>
              </w:rPr>
            </w:pPr>
            <w:r w:rsidRPr="00525EF3">
              <w:rPr>
                <w:sz w:val="16"/>
                <w:szCs w:val="16"/>
              </w:rPr>
              <w:t>Category 3 F</w:t>
            </w:r>
            <w:r>
              <w:rPr>
                <w:sz w:val="16"/>
                <w:szCs w:val="16"/>
              </w:rPr>
              <w:t>low-cued Spawning Fish Recruitment</w:t>
            </w:r>
          </w:p>
        </w:tc>
      </w:tr>
      <w:tr w:rsidR="007C6948" w:rsidRPr="00525EF3" w14:paraId="77258815" w14:textId="77777777" w:rsidTr="000150F2">
        <w:tc>
          <w:tcPr>
            <w:tcW w:w="1067" w:type="dxa"/>
            <w:vMerge/>
            <w:tcBorders>
              <w:left w:val="single" w:sz="4" w:space="0" w:color="auto"/>
              <w:right w:val="single" w:sz="4" w:space="0" w:color="auto"/>
            </w:tcBorders>
            <w:vAlign w:val="center"/>
          </w:tcPr>
          <w:p w14:paraId="2C4B9312" w14:textId="77777777" w:rsidR="007C6948" w:rsidRPr="00525EF3" w:rsidRDefault="007C6948" w:rsidP="000150F2">
            <w:pPr>
              <w:jc w:val="left"/>
              <w:rPr>
                <w:sz w:val="16"/>
                <w:szCs w:val="16"/>
              </w:rPr>
            </w:pPr>
          </w:p>
        </w:tc>
        <w:tc>
          <w:tcPr>
            <w:tcW w:w="771" w:type="dxa"/>
            <w:vMerge/>
            <w:tcBorders>
              <w:left w:val="single" w:sz="4" w:space="0" w:color="auto"/>
              <w:right w:val="single" w:sz="4" w:space="0" w:color="auto"/>
            </w:tcBorders>
            <w:vAlign w:val="center"/>
          </w:tcPr>
          <w:p w14:paraId="6A55D8C7" w14:textId="77777777" w:rsidR="007C6948" w:rsidRPr="00525EF3" w:rsidRDefault="007C6948" w:rsidP="000150F2">
            <w:pPr>
              <w:jc w:val="left"/>
              <w:rPr>
                <w:sz w:val="16"/>
                <w:szCs w:val="16"/>
              </w:rPr>
            </w:pPr>
          </w:p>
        </w:tc>
        <w:tc>
          <w:tcPr>
            <w:tcW w:w="1134" w:type="dxa"/>
            <w:vMerge/>
            <w:tcBorders>
              <w:left w:val="single" w:sz="4" w:space="0" w:color="auto"/>
              <w:bottom w:val="single" w:sz="4" w:space="0" w:color="auto"/>
              <w:right w:val="single" w:sz="4" w:space="0" w:color="auto"/>
            </w:tcBorders>
            <w:vAlign w:val="center"/>
          </w:tcPr>
          <w:p w14:paraId="7A6A2FD1" w14:textId="77777777" w:rsidR="007C6948" w:rsidRPr="00525EF3" w:rsidRDefault="007C6948" w:rsidP="000150F2">
            <w:pPr>
              <w:jc w:val="left"/>
              <w:rPr>
                <w:sz w:val="16"/>
                <w:szCs w:val="16"/>
              </w:rPr>
            </w:pPr>
          </w:p>
        </w:tc>
        <w:tc>
          <w:tcPr>
            <w:tcW w:w="1559" w:type="dxa"/>
            <w:vMerge/>
            <w:tcBorders>
              <w:left w:val="single" w:sz="4" w:space="0" w:color="auto"/>
            </w:tcBorders>
            <w:vAlign w:val="center"/>
          </w:tcPr>
          <w:p w14:paraId="56B969D9" w14:textId="77777777" w:rsidR="007C6948" w:rsidRPr="00525EF3" w:rsidRDefault="007C6948" w:rsidP="000150F2">
            <w:pPr>
              <w:pStyle w:val="ListParagraph"/>
              <w:numPr>
                <w:ilvl w:val="0"/>
                <w:numId w:val="51"/>
              </w:numPr>
              <w:spacing w:after="0"/>
              <w:ind w:left="113" w:hanging="113"/>
              <w:jc w:val="left"/>
              <w:rPr>
                <w:sz w:val="16"/>
                <w:szCs w:val="16"/>
              </w:rPr>
            </w:pPr>
          </w:p>
        </w:tc>
        <w:tc>
          <w:tcPr>
            <w:tcW w:w="1134" w:type="dxa"/>
            <w:vMerge/>
            <w:tcBorders>
              <w:right w:val="single" w:sz="4" w:space="0" w:color="auto"/>
            </w:tcBorders>
            <w:vAlign w:val="center"/>
          </w:tcPr>
          <w:p w14:paraId="221E8CAA" w14:textId="77777777" w:rsidR="007C6948" w:rsidRPr="00525EF3" w:rsidRDefault="007C6948" w:rsidP="000150F2">
            <w:pPr>
              <w:pStyle w:val="ListParagraph"/>
              <w:numPr>
                <w:ilvl w:val="0"/>
                <w:numId w:val="51"/>
              </w:numPr>
              <w:spacing w:after="0"/>
              <w:ind w:left="113" w:hanging="113"/>
              <w:jc w:val="left"/>
              <w:rPr>
                <w:sz w:val="16"/>
                <w:szCs w:val="16"/>
              </w:rPr>
            </w:pPr>
          </w:p>
        </w:tc>
        <w:tc>
          <w:tcPr>
            <w:tcW w:w="2835" w:type="dxa"/>
            <w:tcBorders>
              <w:top w:val="nil"/>
              <w:left w:val="single" w:sz="4" w:space="0" w:color="auto"/>
              <w:bottom w:val="single" w:sz="4" w:space="0" w:color="auto"/>
              <w:right w:val="single" w:sz="4" w:space="0" w:color="auto"/>
            </w:tcBorders>
            <w:vAlign w:val="center"/>
          </w:tcPr>
          <w:p w14:paraId="09071FA4" w14:textId="77777777" w:rsidR="007C6948" w:rsidRPr="00525EF3" w:rsidRDefault="007C6948" w:rsidP="000150F2">
            <w:pPr>
              <w:jc w:val="left"/>
              <w:rPr>
                <w:sz w:val="16"/>
                <w:szCs w:val="16"/>
              </w:rPr>
            </w:pPr>
          </w:p>
        </w:tc>
        <w:tc>
          <w:tcPr>
            <w:tcW w:w="3969" w:type="dxa"/>
            <w:tcBorders>
              <w:top w:val="nil"/>
              <w:left w:val="single" w:sz="4" w:space="0" w:color="auto"/>
              <w:bottom w:val="single" w:sz="4" w:space="0" w:color="auto"/>
              <w:right w:val="single" w:sz="4" w:space="0" w:color="auto"/>
            </w:tcBorders>
            <w:vAlign w:val="center"/>
          </w:tcPr>
          <w:p w14:paraId="71558DCC" w14:textId="77777777" w:rsidR="007C6948" w:rsidRDefault="007C6948" w:rsidP="000150F2">
            <w:pPr>
              <w:jc w:val="left"/>
              <w:rPr>
                <w:sz w:val="16"/>
                <w:szCs w:val="16"/>
              </w:rPr>
            </w:pPr>
            <w:r w:rsidRPr="00E91BF0">
              <w:rPr>
                <w:sz w:val="16"/>
                <w:szCs w:val="16"/>
              </w:rPr>
              <w:t xml:space="preserve">What did </w:t>
            </w:r>
            <w:r>
              <w:rPr>
                <w:sz w:val="16"/>
                <w:szCs w:val="16"/>
              </w:rPr>
              <w:t>CEW</w:t>
            </w:r>
            <w:r w:rsidRPr="00E91BF0">
              <w:rPr>
                <w:sz w:val="16"/>
                <w:szCs w:val="16"/>
              </w:rPr>
              <w:t xml:space="preserve"> contribute to the growth and morphometric condition of Murray cod?</w:t>
            </w:r>
          </w:p>
          <w:p w14:paraId="7A2DC64A" w14:textId="77777777" w:rsidR="007C6948" w:rsidRPr="00824115" w:rsidRDefault="007C6948" w:rsidP="000150F2">
            <w:pPr>
              <w:jc w:val="left"/>
              <w:rPr>
                <w:sz w:val="16"/>
                <w:szCs w:val="16"/>
              </w:rPr>
            </w:pPr>
            <w:r>
              <w:rPr>
                <w:sz w:val="16"/>
                <w:szCs w:val="16"/>
              </w:rPr>
              <w:t>What did CEW contribute to the recruitment of Murray cod?</w:t>
            </w:r>
          </w:p>
        </w:tc>
        <w:tc>
          <w:tcPr>
            <w:tcW w:w="1479" w:type="dxa"/>
            <w:tcBorders>
              <w:top w:val="nil"/>
              <w:left w:val="single" w:sz="4" w:space="0" w:color="auto"/>
              <w:bottom w:val="single" w:sz="4" w:space="0" w:color="auto"/>
              <w:right w:val="single" w:sz="4" w:space="0" w:color="auto"/>
            </w:tcBorders>
            <w:vAlign w:val="center"/>
          </w:tcPr>
          <w:p w14:paraId="491CF666" w14:textId="77777777" w:rsidR="007C6948" w:rsidRPr="00525EF3" w:rsidRDefault="007C6948" w:rsidP="000150F2">
            <w:pPr>
              <w:jc w:val="left"/>
              <w:rPr>
                <w:sz w:val="16"/>
                <w:szCs w:val="16"/>
              </w:rPr>
            </w:pPr>
            <w:r>
              <w:rPr>
                <w:sz w:val="16"/>
                <w:szCs w:val="16"/>
              </w:rPr>
              <w:t>Category 3 Murray Cod Recruitment</w:t>
            </w:r>
          </w:p>
        </w:tc>
      </w:tr>
      <w:tr w:rsidR="007C6948" w:rsidRPr="00525EF3" w14:paraId="3C203099" w14:textId="77777777" w:rsidTr="000150F2">
        <w:tc>
          <w:tcPr>
            <w:tcW w:w="1067" w:type="dxa"/>
            <w:vMerge/>
            <w:tcBorders>
              <w:left w:val="single" w:sz="4" w:space="0" w:color="auto"/>
              <w:right w:val="single" w:sz="4" w:space="0" w:color="auto"/>
            </w:tcBorders>
            <w:vAlign w:val="center"/>
          </w:tcPr>
          <w:p w14:paraId="75E29672" w14:textId="77777777" w:rsidR="007C6948" w:rsidRPr="00525EF3" w:rsidRDefault="007C6948" w:rsidP="000150F2">
            <w:pPr>
              <w:jc w:val="left"/>
              <w:rPr>
                <w:sz w:val="16"/>
                <w:szCs w:val="16"/>
              </w:rPr>
            </w:pPr>
          </w:p>
        </w:tc>
        <w:tc>
          <w:tcPr>
            <w:tcW w:w="771" w:type="dxa"/>
            <w:vMerge/>
            <w:tcBorders>
              <w:left w:val="single" w:sz="4" w:space="0" w:color="auto"/>
              <w:right w:val="single" w:sz="4" w:space="0" w:color="auto"/>
            </w:tcBorders>
            <w:vAlign w:val="center"/>
          </w:tcPr>
          <w:p w14:paraId="10B28755" w14:textId="77777777" w:rsidR="007C6948" w:rsidRPr="00525EF3" w:rsidRDefault="007C6948" w:rsidP="000150F2">
            <w:pPr>
              <w:jc w:val="left"/>
              <w:rPr>
                <w:sz w:val="16"/>
                <w:szCs w:val="16"/>
              </w:rPr>
            </w:pPr>
          </w:p>
        </w:tc>
        <w:tc>
          <w:tcPr>
            <w:tcW w:w="1134" w:type="dxa"/>
            <w:tcBorders>
              <w:top w:val="single" w:sz="4" w:space="0" w:color="auto"/>
              <w:left w:val="single" w:sz="4" w:space="0" w:color="auto"/>
            </w:tcBorders>
            <w:shd w:val="clear" w:color="auto" w:fill="auto"/>
            <w:vAlign w:val="center"/>
          </w:tcPr>
          <w:p w14:paraId="2BFE7B5B" w14:textId="77777777" w:rsidR="007C6948" w:rsidRPr="00525EF3" w:rsidRDefault="007C6948" w:rsidP="000150F2">
            <w:pPr>
              <w:jc w:val="left"/>
              <w:rPr>
                <w:sz w:val="16"/>
                <w:szCs w:val="16"/>
              </w:rPr>
            </w:pPr>
            <w:r w:rsidRPr="00525EF3">
              <w:rPr>
                <w:sz w:val="16"/>
                <w:szCs w:val="16"/>
              </w:rPr>
              <w:t>Micro-invertebrates</w:t>
            </w:r>
          </w:p>
        </w:tc>
        <w:tc>
          <w:tcPr>
            <w:tcW w:w="1559" w:type="dxa"/>
            <w:shd w:val="clear" w:color="auto" w:fill="auto"/>
            <w:vAlign w:val="center"/>
          </w:tcPr>
          <w:p w14:paraId="5CCF23BB" w14:textId="77777777" w:rsidR="007C6948" w:rsidRPr="00525EF3" w:rsidRDefault="007C6948" w:rsidP="000150F2">
            <w:pPr>
              <w:pStyle w:val="ListParagraph"/>
              <w:numPr>
                <w:ilvl w:val="0"/>
                <w:numId w:val="51"/>
              </w:numPr>
              <w:spacing w:after="0"/>
              <w:ind w:left="113" w:hanging="113"/>
              <w:jc w:val="left"/>
              <w:rPr>
                <w:sz w:val="16"/>
                <w:szCs w:val="16"/>
              </w:rPr>
            </w:pPr>
            <w:r w:rsidRPr="00525EF3">
              <w:rPr>
                <w:sz w:val="16"/>
                <w:szCs w:val="16"/>
              </w:rPr>
              <w:t>Micro-invertebrate diversity</w:t>
            </w:r>
          </w:p>
          <w:p w14:paraId="119A9654" w14:textId="77777777" w:rsidR="007C6948" w:rsidRPr="00525EF3" w:rsidRDefault="007C6948" w:rsidP="000150F2">
            <w:pPr>
              <w:pStyle w:val="ListParagraph"/>
              <w:numPr>
                <w:ilvl w:val="0"/>
                <w:numId w:val="0"/>
              </w:numPr>
              <w:ind w:left="113"/>
              <w:jc w:val="left"/>
              <w:rPr>
                <w:sz w:val="16"/>
                <w:szCs w:val="16"/>
              </w:rPr>
            </w:pPr>
          </w:p>
        </w:tc>
        <w:tc>
          <w:tcPr>
            <w:tcW w:w="1134" w:type="dxa"/>
            <w:shd w:val="clear" w:color="auto" w:fill="auto"/>
            <w:vAlign w:val="center"/>
          </w:tcPr>
          <w:p w14:paraId="7285BC60" w14:textId="77777777" w:rsidR="007C6948" w:rsidRPr="009F3249" w:rsidRDefault="007C6948" w:rsidP="000150F2">
            <w:pPr>
              <w:pStyle w:val="ListParagraph"/>
              <w:numPr>
                <w:ilvl w:val="0"/>
                <w:numId w:val="0"/>
              </w:numPr>
              <w:ind w:left="113"/>
              <w:jc w:val="left"/>
              <w:rPr>
                <w:sz w:val="16"/>
                <w:szCs w:val="16"/>
              </w:rPr>
            </w:pPr>
          </w:p>
        </w:tc>
        <w:tc>
          <w:tcPr>
            <w:tcW w:w="2835" w:type="dxa"/>
            <w:tcBorders>
              <w:top w:val="single" w:sz="4" w:space="0" w:color="auto"/>
            </w:tcBorders>
            <w:shd w:val="clear" w:color="auto" w:fill="auto"/>
            <w:vAlign w:val="center"/>
          </w:tcPr>
          <w:p w14:paraId="0F98A0FE" w14:textId="77777777" w:rsidR="007C6948" w:rsidRPr="00525EF3" w:rsidRDefault="007C6948" w:rsidP="000150F2">
            <w:pPr>
              <w:jc w:val="left"/>
              <w:rPr>
                <w:sz w:val="16"/>
                <w:szCs w:val="16"/>
              </w:rPr>
            </w:pPr>
          </w:p>
        </w:tc>
        <w:tc>
          <w:tcPr>
            <w:tcW w:w="3969" w:type="dxa"/>
            <w:tcBorders>
              <w:top w:val="single" w:sz="4" w:space="0" w:color="auto"/>
              <w:bottom w:val="single" w:sz="4" w:space="0" w:color="auto"/>
            </w:tcBorders>
            <w:shd w:val="clear" w:color="auto" w:fill="auto"/>
            <w:vAlign w:val="center"/>
          </w:tcPr>
          <w:p w14:paraId="6D64FC53" w14:textId="77777777" w:rsidR="007C6948" w:rsidRDefault="007C6948" w:rsidP="000150F2">
            <w:pPr>
              <w:jc w:val="left"/>
              <w:rPr>
                <w:sz w:val="16"/>
                <w:szCs w:val="16"/>
              </w:rPr>
            </w:pPr>
            <w:r w:rsidRPr="009F3249">
              <w:rPr>
                <w:sz w:val="16"/>
                <w:szCs w:val="16"/>
              </w:rPr>
              <w:t>What did CEW contribute to microinvertebrate diversity?</w:t>
            </w:r>
          </w:p>
          <w:p w14:paraId="5630E400" w14:textId="77777777" w:rsidR="007C6948" w:rsidRPr="009F3249" w:rsidRDefault="007C6948" w:rsidP="000150F2">
            <w:pPr>
              <w:jc w:val="left"/>
              <w:rPr>
                <w:sz w:val="16"/>
                <w:szCs w:val="16"/>
              </w:rPr>
            </w:pPr>
            <w:r w:rsidRPr="009F3249">
              <w:rPr>
                <w:sz w:val="16"/>
                <w:szCs w:val="16"/>
              </w:rPr>
              <w:t>What did CEW contribute to microinvertebrate abundance (density)?</w:t>
            </w:r>
          </w:p>
        </w:tc>
        <w:tc>
          <w:tcPr>
            <w:tcW w:w="1479" w:type="dxa"/>
            <w:tcBorders>
              <w:top w:val="single" w:sz="4" w:space="0" w:color="auto"/>
              <w:bottom w:val="single" w:sz="4" w:space="0" w:color="auto"/>
            </w:tcBorders>
            <w:shd w:val="clear" w:color="auto" w:fill="auto"/>
            <w:vAlign w:val="center"/>
          </w:tcPr>
          <w:p w14:paraId="2CA7CAEA" w14:textId="6443D874" w:rsidR="007C6948" w:rsidRPr="00525EF3" w:rsidRDefault="007C6948" w:rsidP="000150F2">
            <w:pPr>
              <w:jc w:val="left"/>
              <w:rPr>
                <w:sz w:val="16"/>
                <w:szCs w:val="16"/>
              </w:rPr>
            </w:pPr>
            <w:r w:rsidRPr="00525EF3">
              <w:rPr>
                <w:sz w:val="16"/>
                <w:szCs w:val="16"/>
              </w:rPr>
              <w:t>Category 3 Micro-invertebrate</w:t>
            </w:r>
            <w:r w:rsidR="00B95CF4">
              <w:rPr>
                <w:sz w:val="16"/>
                <w:szCs w:val="16"/>
              </w:rPr>
              <w:t xml:space="preserve"> Assemblage</w:t>
            </w:r>
          </w:p>
        </w:tc>
      </w:tr>
      <w:tr w:rsidR="007C6948" w:rsidRPr="00525EF3" w14:paraId="33A3791B" w14:textId="77777777" w:rsidTr="000150F2">
        <w:tc>
          <w:tcPr>
            <w:tcW w:w="1067" w:type="dxa"/>
            <w:vMerge/>
            <w:tcBorders>
              <w:left w:val="single" w:sz="4" w:space="0" w:color="auto"/>
              <w:bottom w:val="single" w:sz="4" w:space="0" w:color="auto"/>
              <w:right w:val="single" w:sz="4" w:space="0" w:color="auto"/>
            </w:tcBorders>
            <w:vAlign w:val="center"/>
          </w:tcPr>
          <w:p w14:paraId="39F54343" w14:textId="77777777" w:rsidR="007C6948" w:rsidRPr="00525EF3" w:rsidRDefault="007C6948" w:rsidP="000150F2">
            <w:pPr>
              <w:jc w:val="left"/>
              <w:rPr>
                <w:sz w:val="16"/>
                <w:szCs w:val="16"/>
              </w:rPr>
            </w:pPr>
          </w:p>
        </w:tc>
        <w:tc>
          <w:tcPr>
            <w:tcW w:w="771" w:type="dxa"/>
            <w:vMerge/>
            <w:tcBorders>
              <w:left w:val="single" w:sz="4" w:space="0" w:color="auto"/>
              <w:bottom w:val="nil"/>
              <w:right w:val="single" w:sz="4" w:space="0" w:color="auto"/>
            </w:tcBorders>
            <w:vAlign w:val="center"/>
          </w:tcPr>
          <w:p w14:paraId="1122277A" w14:textId="77777777" w:rsidR="007C6948" w:rsidRPr="00525EF3" w:rsidRDefault="007C6948" w:rsidP="000150F2">
            <w:pPr>
              <w:jc w:val="left"/>
              <w:rPr>
                <w:sz w:val="16"/>
                <w:szCs w:val="16"/>
              </w:rPr>
            </w:pPr>
          </w:p>
        </w:tc>
        <w:tc>
          <w:tcPr>
            <w:tcW w:w="1134" w:type="dxa"/>
            <w:tcBorders>
              <w:top w:val="single" w:sz="4" w:space="0" w:color="auto"/>
              <w:left w:val="single" w:sz="4" w:space="0" w:color="auto"/>
            </w:tcBorders>
            <w:shd w:val="clear" w:color="auto" w:fill="auto"/>
            <w:vAlign w:val="center"/>
          </w:tcPr>
          <w:p w14:paraId="66512765" w14:textId="77777777" w:rsidR="007C6948" w:rsidRPr="00525EF3" w:rsidRDefault="007C6948" w:rsidP="000150F2">
            <w:pPr>
              <w:jc w:val="left"/>
              <w:rPr>
                <w:sz w:val="16"/>
                <w:szCs w:val="16"/>
              </w:rPr>
            </w:pPr>
            <w:r>
              <w:rPr>
                <w:sz w:val="16"/>
                <w:szCs w:val="16"/>
              </w:rPr>
              <w:t>Vegetation</w:t>
            </w:r>
          </w:p>
        </w:tc>
        <w:tc>
          <w:tcPr>
            <w:tcW w:w="1559" w:type="dxa"/>
            <w:shd w:val="clear" w:color="auto" w:fill="auto"/>
            <w:vAlign w:val="center"/>
          </w:tcPr>
          <w:p w14:paraId="526130BF" w14:textId="77777777" w:rsidR="007C6948" w:rsidRPr="00EA347A" w:rsidRDefault="007C6948" w:rsidP="000150F2">
            <w:pPr>
              <w:pStyle w:val="ListParagraph"/>
              <w:numPr>
                <w:ilvl w:val="0"/>
                <w:numId w:val="51"/>
              </w:numPr>
              <w:spacing w:after="0"/>
              <w:ind w:left="172" w:hanging="142"/>
              <w:jc w:val="left"/>
              <w:rPr>
                <w:sz w:val="16"/>
                <w:szCs w:val="16"/>
              </w:rPr>
            </w:pPr>
            <w:r w:rsidRPr="00EA347A">
              <w:rPr>
                <w:sz w:val="16"/>
                <w:szCs w:val="16"/>
              </w:rPr>
              <w:t>Vegetation diversity</w:t>
            </w:r>
          </w:p>
          <w:p w14:paraId="7597EE2B" w14:textId="77777777" w:rsidR="007C6948" w:rsidRPr="00EA347A" w:rsidRDefault="007C6948" w:rsidP="000150F2">
            <w:pPr>
              <w:pStyle w:val="ListParagraph"/>
              <w:numPr>
                <w:ilvl w:val="0"/>
                <w:numId w:val="51"/>
              </w:numPr>
              <w:spacing w:after="0"/>
              <w:ind w:left="172" w:hanging="142"/>
              <w:jc w:val="left"/>
              <w:rPr>
                <w:sz w:val="16"/>
                <w:szCs w:val="16"/>
              </w:rPr>
            </w:pPr>
            <w:r w:rsidRPr="00EA347A">
              <w:rPr>
                <w:sz w:val="16"/>
                <w:szCs w:val="16"/>
              </w:rPr>
              <w:t>Vegetation productivity</w:t>
            </w:r>
          </w:p>
        </w:tc>
        <w:tc>
          <w:tcPr>
            <w:tcW w:w="1134" w:type="dxa"/>
            <w:shd w:val="clear" w:color="auto" w:fill="auto"/>
            <w:vAlign w:val="center"/>
          </w:tcPr>
          <w:p w14:paraId="6098DF34" w14:textId="77777777" w:rsidR="007C6948" w:rsidRPr="00525EF3" w:rsidRDefault="007C6948" w:rsidP="000150F2">
            <w:pPr>
              <w:pStyle w:val="ListParagraph"/>
              <w:numPr>
                <w:ilvl w:val="0"/>
                <w:numId w:val="51"/>
              </w:numPr>
              <w:spacing w:after="0"/>
              <w:ind w:left="113" w:hanging="113"/>
              <w:jc w:val="left"/>
              <w:rPr>
                <w:sz w:val="16"/>
                <w:szCs w:val="16"/>
              </w:rPr>
            </w:pPr>
            <w:r>
              <w:rPr>
                <w:sz w:val="16"/>
                <w:szCs w:val="16"/>
              </w:rPr>
              <w:t>Plant community resilience</w:t>
            </w:r>
          </w:p>
        </w:tc>
        <w:tc>
          <w:tcPr>
            <w:tcW w:w="2835" w:type="dxa"/>
            <w:tcBorders>
              <w:top w:val="single" w:sz="4" w:space="0" w:color="auto"/>
            </w:tcBorders>
            <w:shd w:val="clear" w:color="auto" w:fill="auto"/>
            <w:vAlign w:val="center"/>
          </w:tcPr>
          <w:p w14:paraId="63B7CA32" w14:textId="77777777" w:rsidR="007C6948" w:rsidRPr="00525EF3" w:rsidRDefault="007C6948" w:rsidP="000150F2">
            <w:pPr>
              <w:jc w:val="left"/>
              <w:rPr>
                <w:sz w:val="16"/>
                <w:szCs w:val="16"/>
              </w:rPr>
            </w:pPr>
            <w:r w:rsidRPr="00015939">
              <w:rPr>
                <w:sz w:val="16"/>
                <w:szCs w:val="16"/>
              </w:rPr>
              <w:t xml:space="preserve">What did </w:t>
            </w:r>
            <w:r>
              <w:rPr>
                <w:sz w:val="16"/>
                <w:szCs w:val="16"/>
              </w:rPr>
              <w:t xml:space="preserve">CEW contribute to </w:t>
            </w:r>
            <w:r w:rsidRPr="00015939">
              <w:rPr>
                <w:sz w:val="16"/>
                <w:szCs w:val="16"/>
              </w:rPr>
              <w:t xml:space="preserve">understorey vegetation diversity </w:t>
            </w:r>
            <w:r>
              <w:rPr>
                <w:sz w:val="16"/>
                <w:szCs w:val="16"/>
              </w:rPr>
              <w:t>across sites with vegetation indicators</w:t>
            </w:r>
            <w:r w:rsidRPr="00015939">
              <w:rPr>
                <w:sz w:val="16"/>
                <w:szCs w:val="16"/>
              </w:rPr>
              <w:t>?</w:t>
            </w:r>
          </w:p>
        </w:tc>
        <w:tc>
          <w:tcPr>
            <w:tcW w:w="3969" w:type="dxa"/>
            <w:tcBorders>
              <w:top w:val="single" w:sz="4" w:space="0" w:color="auto"/>
              <w:bottom w:val="single" w:sz="4" w:space="0" w:color="auto"/>
            </w:tcBorders>
            <w:shd w:val="clear" w:color="auto" w:fill="auto"/>
            <w:vAlign w:val="center"/>
          </w:tcPr>
          <w:p w14:paraId="1CD4C71E" w14:textId="77777777" w:rsidR="007C6948" w:rsidRPr="00015939" w:rsidRDefault="007C6948" w:rsidP="000150F2">
            <w:pPr>
              <w:jc w:val="left"/>
              <w:rPr>
                <w:sz w:val="16"/>
                <w:szCs w:val="16"/>
              </w:rPr>
            </w:pPr>
            <w:r w:rsidRPr="00015939">
              <w:rPr>
                <w:sz w:val="16"/>
                <w:szCs w:val="16"/>
              </w:rPr>
              <w:t>What did CEW contribute to littoral understorey vegetation diversity and productivity?</w:t>
            </w:r>
          </w:p>
          <w:p w14:paraId="29E79368" w14:textId="77777777" w:rsidR="007C6948" w:rsidRPr="00525EF3" w:rsidRDefault="007C6948" w:rsidP="000150F2">
            <w:pPr>
              <w:jc w:val="left"/>
              <w:rPr>
                <w:sz w:val="16"/>
                <w:szCs w:val="16"/>
              </w:rPr>
            </w:pPr>
            <w:r w:rsidRPr="00015939">
              <w:rPr>
                <w:sz w:val="16"/>
                <w:szCs w:val="16"/>
              </w:rPr>
              <w:t xml:space="preserve">What did CEW contribute to above-ground </w:t>
            </w:r>
            <w:r>
              <w:rPr>
                <w:sz w:val="16"/>
                <w:szCs w:val="16"/>
              </w:rPr>
              <w:t>biomass produced</w:t>
            </w:r>
            <w:r w:rsidRPr="00015939">
              <w:rPr>
                <w:sz w:val="16"/>
                <w:szCs w:val="16"/>
              </w:rPr>
              <w:t xml:space="preserve"> by understorey littoral vegetation?</w:t>
            </w:r>
          </w:p>
        </w:tc>
        <w:tc>
          <w:tcPr>
            <w:tcW w:w="1479" w:type="dxa"/>
            <w:tcBorders>
              <w:top w:val="single" w:sz="4" w:space="0" w:color="auto"/>
              <w:bottom w:val="single" w:sz="4" w:space="0" w:color="auto"/>
            </w:tcBorders>
            <w:shd w:val="clear" w:color="auto" w:fill="auto"/>
            <w:vAlign w:val="center"/>
          </w:tcPr>
          <w:p w14:paraId="340EB787" w14:textId="569CC6DB" w:rsidR="007C6948" w:rsidRPr="00525EF3" w:rsidRDefault="007C6948" w:rsidP="000150F2">
            <w:pPr>
              <w:jc w:val="left"/>
              <w:rPr>
                <w:sz w:val="16"/>
                <w:szCs w:val="16"/>
              </w:rPr>
            </w:pPr>
            <w:r>
              <w:rPr>
                <w:sz w:val="16"/>
                <w:szCs w:val="16"/>
              </w:rPr>
              <w:t>Category 3 Littoral Vegetation</w:t>
            </w:r>
            <w:r w:rsidR="00B95CF4">
              <w:rPr>
                <w:sz w:val="16"/>
                <w:szCs w:val="16"/>
              </w:rPr>
              <w:t xml:space="preserve"> Diversity and Productivity</w:t>
            </w:r>
          </w:p>
        </w:tc>
      </w:tr>
      <w:tr w:rsidR="007C6948" w:rsidRPr="00525EF3" w14:paraId="7B9406FC" w14:textId="77777777" w:rsidTr="000150F2">
        <w:tc>
          <w:tcPr>
            <w:tcW w:w="1067" w:type="dxa"/>
            <w:vMerge w:val="restart"/>
            <w:tcBorders>
              <w:top w:val="single" w:sz="4" w:space="0" w:color="auto"/>
              <w:left w:val="single" w:sz="4" w:space="0" w:color="auto"/>
              <w:right w:val="single" w:sz="4" w:space="0" w:color="auto"/>
            </w:tcBorders>
            <w:vAlign w:val="center"/>
          </w:tcPr>
          <w:p w14:paraId="2169CA17" w14:textId="77777777" w:rsidR="007C6948" w:rsidRPr="00525EF3" w:rsidRDefault="007C6948" w:rsidP="000150F2">
            <w:pPr>
              <w:jc w:val="left"/>
              <w:rPr>
                <w:sz w:val="16"/>
                <w:szCs w:val="16"/>
              </w:rPr>
            </w:pPr>
            <w:r w:rsidRPr="00525EF3">
              <w:rPr>
                <w:sz w:val="16"/>
                <w:szCs w:val="16"/>
              </w:rPr>
              <w:t>Ecosystem function</w:t>
            </w:r>
          </w:p>
        </w:tc>
        <w:tc>
          <w:tcPr>
            <w:tcW w:w="1905" w:type="dxa"/>
            <w:gridSpan w:val="2"/>
            <w:tcBorders>
              <w:left w:val="single" w:sz="4" w:space="0" w:color="auto"/>
            </w:tcBorders>
            <w:vAlign w:val="center"/>
          </w:tcPr>
          <w:p w14:paraId="727AA08E" w14:textId="77777777" w:rsidR="007C6948" w:rsidRPr="00525EF3" w:rsidRDefault="007C6948" w:rsidP="000150F2">
            <w:pPr>
              <w:jc w:val="left"/>
              <w:rPr>
                <w:sz w:val="16"/>
                <w:szCs w:val="16"/>
              </w:rPr>
            </w:pPr>
            <w:r>
              <w:rPr>
                <w:sz w:val="16"/>
                <w:szCs w:val="16"/>
              </w:rPr>
              <w:t xml:space="preserve">Hydrological </w:t>
            </w:r>
            <w:r w:rsidRPr="00525EF3">
              <w:rPr>
                <w:sz w:val="16"/>
                <w:szCs w:val="16"/>
              </w:rPr>
              <w:t>Connectivity</w:t>
            </w:r>
          </w:p>
        </w:tc>
        <w:tc>
          <w:tcPr>
            <w:tcW w:w="1559" w:type="dxa"/>
            <w:vAlign w:val="center"/>
          </w:tcPr>
          <w:p w14:paraId="656E5D5F" w14:textId="77777777" w:rsidR="007C6948" w:rsidRDefault="007C6948" w:rsidP="000150F2">
            <w:pPr>
              <w:pStyle w:val="ListParagraph"/>
              <w:numPr>
                <w:ilvl w:val="0"/>
                <w:numId w:val="52"/>
              </w:numPr>
              <w:spacing w:after="0"/>
              <w:ind w:left="113" w:hanging="113"/>
              <w:jc w:val="left"/>
              <w:rPr>
                <w:sz w:val="16"/>
                <w:szCs w:val="16"/>
              </w:rPr>
            </w:pPr>
            <w:r w:rsidRPr="00525EF3">
              <w:rPr>
                <w:sz w:val="16"/>
                <w:szCs w:val="16"/>
              </w:rPr>
              <w:t xml:space="preserve">Hydrological connectivity </w:t>
            </w:r>
            <w:r w:rsidRPr="00525EF3">
              <w:rPr>
                <w:sz w:val="16"/>
                <w:szCs w:val="16"/>
              </w:rPr>
              <w:lastRenderedPageBreak/>
              <w:t>including end of system flows</w:t>
            </w:r>
          </w:p>
          <w:p w14:paraId="5600F408" w14:textId="77777777" w:rsidR="007C6948" w:rsidRPr="00525EF3" w:rsidRDefault="007C6948" w:rsidP="000150F2">
            <w:pPr>
              <w:pStyle w:val="ListParagraph"/>
              <w:numPr>
                <w:ilvl w:val="0"/>
                <w:numId w:val="52"/>
              </w:numPr>
              <w:spacing w:after="0"/>
              <w:ind w:left="113" w:hanging="113"/>
              <w:jc w:val="left"/>
              <w:rPr>
                <w:sz w:val="16"/>
                <w:szCs w:val="16"/>
              </w:rPr>
            </w:pPr>
            <w:r>
              <w:rPr>
                <w:sz w:val="16"/>
                <w:szCs w:val="16"/>
              </w:rPr>
              <w:t>Hydraulic diversity</w:t>
            </w:r>
          </w:p>
          <w:p w14:paraId="7D9EADAB" w14:textId="77777777" w:rsidR="007C6948" w:rsidRPr="00525EF3" w:rsidRDefault="007C6948" w:rsidP="000150F2">
            <w:pPr>
              <w:pStyle w:val="ListParagraph"/>
              <w:numPr>
                <w:ilvl w:val="0"/>
                <w:numId w:val="52"/>
              </w:numPr>
              <w:spacing w:after="0"/>
              <w:ind w:left="113" w:hanging="113"/>
              <w:jc w:val="left"/>
              <w:rPr>
                <w:sz w:val="16"/>
                <w:szCs w:val="16"/>
              </w:rPr>
            </w:pPr>
            <w:r w:rsidRPr="00525EF3">
              <w:rPr>
                <w:sz w:val="16"/>
                <w:szCs w:val="16"/>
              </w:rPr>
              <w:t>Sediment transport</w:t>
            </w:r>
          </w:p>
        </w:tc>
        <w:tc>
          <w:tcPr>
            <w:tcW w:w="1134" w:type="dxa"/>
            <w:vAlign w:val="center"/>
          </w:tcPr>
          <w:p w14:paraId="4B79865C" w14:textId="77777777" w:rsidR="007C6948" w:rsidRPr="00525EF3" w:rsidRDefault="007C6948" w:rsidP="000150F2">
            <w:pPr>
              <w:jc w:val="left"/>
              <w:rPr>
                <w:sz w:val="16"/>
                <w:szCs w:val="16"/>
              </w:rPr>
            </w:pPr>
          </w:p>
        </w:tc>
        <w:tc>
          <w:tcPr>
            <w:tcW w:w="2835" w:type="dxa"/>
            <w:tcBorders>
              <w:right w:val="single" w:sz="4" w:space="0" w:color="auto"/>
            </w:tcBorders>
            <w:vAlign w:val="center"/>
          </w:tcPr>
          <w:p w14:paraId="10246066" w14:textId="77777777" w:rsidR="007C6948" w:rsidRPr="00525EF3" w:rsidRDefault="007C6948" w:rsidP="000150F2">
            <w:pPr>
              <w:jc w:val="left"/>
              <w:rPr>
                <w:sz w:val="16"/>
                <w:szCs w:val="16"/>
              </w:rPr>
            </w:pPr>
          </w:p>
        </w:tc>
        <w:tc>
          <w:tcPr>
            <w:tcW w:w="3969" w:type="dxa"/>
            <w:tcBorders>
              <w:top w:val="single" w:sz="4" w:space="0" w:color="auto"/>
              <w:left w:val="single" w:sz="4" w:space="0" w:color="auto"/>
              <w:bottom w:val="single" w:sz="4" w:space="0" w:color="auto"/>
              <w:right w:val="single" w:sz="4" w:space="0" w:color="auto"/>
            </w:tcBorders>
            <w:vAlign w:val="center"/>
          </w:tcPr>
          <w:p w14:paraId="5E92EEE3" w14:textId="77777777" w:rsidR="007C6948" w:rsidRPr="00525EF3" w:rsidRDefault="007C6948" w:rsidP="000150F2">
            <w:pPr>
              <w:jc w:val="left"/>
              <w:rPr>
                <w:sz w:val="16"/>
                <w:szCs w:val="16"/>
              </w:rPr>
            </w:pPr>
            <w:r w:rsidRPr="00525EF3">
              <w:rPr>
                <w:sz w:val="16"/>
                <w:szCs w:val="16"/>
              </w:rPr>
              <w:t>What did CEW contribute to hydraulic diversity within weir pools?</w:t>
            </w:r>
          </w:p>
          <w:p w14:paraId="45E35F65" w14:textId="06293E23" w:rsidR="007C6948" w:rsidRDefault="007C6948" w:rsidP="000150F2">
            <w:pPr>
              <w:jc w:val="left"/>
              <w:rPr>
                <w:sz w:val="16"/>
                <w:szCs w:val="16"/>
              </w:rPr>
            </w:pPr>
            <w:r w:rsidRPr="00525EF3">
              <w:rPr>
                <w:sz w:val="16"/>
                <w:szCs w:val="16"/>
              </w:rPr>
              <w:lastRenderedPageBreak/>
              <w:t xml:space="preserve">What did CEW contribute to </w:t>
            </w:r>
            <w:r w:rsidR="00F12F4B">
              <w:rPr>
                <w:sz w:val="16"/>
                <w:szCs w:val="16"/>
              </w:rPr>
              <w:t xml:space="preserve">in-channel </w:t>
            </w:r>
            <w:r w:rsidRPr="00525EF3">
              <w:rPr>
                <w:sz w:val="16"/>
                <w:szCs w:val="16"/>
              </w:rPr>
              <w:t xml:space="preserve">variability in water levels? </w:t>
            </w:r>
          </w:p>
          <w:p w14:paraId="3ECF72DE" w14:textId="77777777" w:rsidR="007C6948" w:rsidRDefault="007C6948" w:rsidP="000150F2">
            <w:pPr>
              <w:jc w:val="left"/>
              <w:rPr>
                <w:sz w:val="16"/>
                <w:szCs w:val="16"/>
              </w:rPr>
            </w:pPr>
            <w:r w:rsidRPr="00525EF3">
              <w:rPr>
                <w:sz w:val="16"/>
                <w:szCs w:val="16"/>
              </w:rPr>
              <w:t>What did CEW contribute to hydrological connectivity?</w:t>
            </w:r>
          </w:p>
          <w:p w14:paraId="37768BEF" w14:textId="77777777" w:rsidR="007C6948" w:rsidRPr="00525EF3" w:rsidRDefault="007C6948" w:rsidP="000150F2">
            <w:pPr>
              <w:jc w:val="left"/>
              <w:rPr>
                <w:sz w:val="16"/>
                <w:szCs w:val="16"/>
              </w:rPr>
            </w:pPr>
            <w:r>
              <w:rPr>
                <w:sz w:val="16"/>
                <w:szCs w:val="16"/>
              </w:rPr>
              <w:t xml:space="preserve"> What</w:t>
            </w:r>
            <w:r w:rsidRPr="007815B1">
              <w:rPr>
                <w:sz w:val="16"/>
                <w:szCs w:val="16"/>
              </w:rPr>
              <w:t xml:space="preserve"> did CEW contribute to meeting EWRs in the Channel of the Lower Murray?</w:t>
            </w:r>
          </w:p>
        </w:tc>
        <w:tc>
          <w:tcPr>
            <w:tcW w:w="1479" w:type="dxa"/>
            <w:tcBorders>
              <w:top w:val="single" w:sz="4" w:space="0" w:color="auto"/>
              <w:left w:val="single" w:sz="4" w:space="0" w:color="auto"/>
              <w:bottom w:val="single" w:sz="4" w:space="0" w:color="auto"/>
              <w:right w:val="single" w:sz="4" w:space="0" w:color="auto"/>
            </w:tcBorders>
            <w:vAlign w:val="center"/>
          </w:tcPr>
          <w:p w14:paraId="59E32F22" w14:textId="77777777" w:rsidR="007C6948" w:rsidRPr="00525EF3" w:rsidRDefault="007C6948" w:rsidP="000150F2">
            <w:pPr>
              <w:jc w:val="left"/>
              <w:rPr>
                <w:sz w:val="16"/>
                <w:szCs w:val="16"/>
              </w:rPr>
            </w:pPr>
            <w:r w:rsidRPr="00525EF3">
              <w:rPr>
                <w:sz w:val="16"/>
                <w:szCs w:val="16"/>
              </w:rPr>
              <w:lastRenderedPageBreak/>
              <w:t>Category 3 Hydr</w:t>
            </w:r>
            <w:r>
              <w:rPr>
                <w:sz w:val="16"/>
                <w:szCs w:val="16"/>
              </w:rPr>
              <w:t>aulic</w:t>
            </w:r>
            <w:r w:rsidRPr="00525EF3">
              <w:rPr>
                <w:sz w:val="16"/>
                <w:szCs w:val="16"/>
              </w:rPr>
              <w:t xml:space="preserve"> Regime</w:t>
            </w:r>
          </w:p>
        </w:tc>
      </w:tr>
      <w:tr w:rsidR="007C6948" w:rsidRPr="00525EF3" w14:paraId="5D243B03" w14:textId="77777777" w:rsidTr="000150F2">
        <w:tc>
          <w:tcPr>
            <w:tcW w:w="1067" w:type="dxa"/>
            <w:vMerge/>
            <w:tcBorders>
              <w:left w:val="single" w:sz="4" w:space="0" w:color="auto"/>
              <w:right w:val="single" w:sz="4" w:space="0" w:color="auto"/>
            </w:tcBorders>
            <w:vAlign w:val="center"/>
          </w:tcPr>
          <w:p w14:paraId="78DCF75E" w14:textId="77777777" w:rsidR="007C6948" w:rsidRPr="00525EF3" w:rsidRDefault="007C6948" w:rsidP="000150F2">
            <w:pPr>
              <w:jc w:val="left"/>
              <w:rPr>
                <w:sz w:val="16"/>
                <w:szCs w:val="16"/>
              </w:rPr>
            </w:pPr>
          </w:p>
        </w:tc>
        <w:tc>
          <w:tcPr>
            <w:tcW w:w="1905" w:type="dxa"/>
            <w:gridSpan w:val="2"/>
            <w:tcBorders>
              <w:top w:val="single" w:sz="4" w:space="0" w:color="auto"/>
              <w:left w:val="single" w:sz="4" w:space="0" w:color="auto"/>
              <w:right w:val="single" w:sz="4" w:space="0" w:color="auto"/>
            </w:tcBorders>
            <w:vAlign w:val="center"/>
          </w:tcPr>
          <w:p w14:paraId="500ABADF" w14:textId="77777777" w:rsidR="007C6948" w:rsidRPr="00525EF3" w:rsidRDefault="007C6948" w:rsidP="000150F2">
            <w:pPr>
              <w:jc w:val="left"/>
              <w:rPr>
                <w:sz w:val="16"/>
                <w:szCs w:val="16"/>
              </w:rPr>
            </w:pPr>
            <w:r>
              <w:rPr>
                <w:sz w:val="16"/>
                <w:szCs w:val="16"/>
              </w:rPr>
              <w:t>Functional connectivity</w:t>
            </w:r>
          </w:p>
        </w:tc>
        <w:tc>
          <w:tcPr>
            <w:tcW w:w="1559" w:type="dxa"/>
            <w:tcBorders>
              <w:top w:val="single" w:sz="4" w:space="0" w:color="auto"/>
              <w:left w:val="single" w:sz="4" w:space="0" w:color="auto"/>
              <w:right w:val="single" w:sz="4" w:space="0" w:color="auto"/>
            </w:tcBorders>
            <w:vAlign w:val="center"/>
          </w:tcPr>
          <w:p w14:paraId="46AFE23D" w14:textId="77777777" w:rsidR="007C6948" w:rsidRPr="00525EF3" w:rsidRDefault="007C6948" w:rsidP="000150F2">
            <w:pPr>
              <w:pStyle w:val="ListParagraph"/>
              <w:numPr>
                <w:ilvl w:val="0"/>
                <w:numId w:val="52"/>
              </w:numPr>
              <w:spacing w:after="0"/>
              <w:ind w:left="113" w:hanging="113"/>
              <w:jc w:val="left"/>
              <w:rPr>
                <w:sz w:val="16"/>
                <w:szCs w:val="16"/>
              </w:rPr>
            </w:pPr>
            <w:r w:rsidRPr="00525EF3">
              <w:rPr>
                <w:sz w:val="16"/>
                <w:szCs w:val="16"/>
              </w:rPr>
              <w:t>Biotic dispersal and movement</w:t>
            </w:r>
          </w:p>
          <w:p w14:paraId="64872735" w14:textId="77777777" w:rsidR="007C6948" w:rsidRPr="00525EF3" w:rsidRDefault="007C6948" w:rsidP="000150F2">
            <w:pPr>
              <w:pStyle w:val="ListParagraph"/>
              <w:numPr>
                <w:ilvl w:val="0"/>
                <w:numId w:val="0"/>
              </w:numPr>
              <w:ind w:left="113"/>
              <w:jc w:val="left"/>
              <w:rPr>
                <w:sz w:val="16"/>
                <w:szCs w:val="16"/>
              </w:rPr>
            </w:pPr>
          </w:p>
        </w:tc>
        <w:tc>
          <w:tcPr>
            <w:tcW w:w="1134" w:type="dxa"/>
            <w:tcBorders>
              <w:top w:val="single" w:sz="4" w:space="0" w:color="auto"/>
              <w:left w:val="single" w:sz="4" w:space="0" w:color="auto"/>
              <w:right w:val="single" w:sz="4" w:space="0" w:color="auto"/>
            </w:tcBorders>
            <w:vAlign w:val="center"/>
          </w:tcPr>
          <w:p w14:paraId="2FF80F6C" w14:textId="77777777" w:rsidR="007C6948" w:rsidRPr="00525EF3" w:rsidRDefault="007C6948" w:rsidP="000150F2">
            <w:pPr>
              <w:jc w:val="left"/>
              <w:rPr>
                <w:sz w:val="16"/>
                <w:szCs w:val="16"/>
              </w:rPr>
            </w:pPr>
          </w:p>
        </w:tc>
        <w:tc>
          <w:tcPr>
            <w:tcW w:w="2835" w:type="dxa"/>
            <w:tcBorders>
              <w:top w:val="single" w:sz="4" w:space="0" w:color="auto"/>
              <w:left w:val="single" w:sz="4" w:space="0" w:color="auto"/>
              <w:bottom w:val="single" w:sz="4" w:space="0" w:color="auto"/>
              <w:right w:val="single" w:sz="4" w:space="0" w:color="auto"/>
            </w:tcBorders>
            <w:vAlign w:val="center"/>
          </w:tcPr>
          <w:p w14:paraId="5A745CAD" w14:textId="77777777" w:rsidR="007C6948" w:rsidRPr="00525EF3" w:rsidRDefault="007C6948" w:rsidP="000150F2">
            <w:pPr>
              <w:jc w:val="left"/>
              <w:rPr>
                <w:sz w:val="16"/>
                <w:szCs w:val="16"/>
              </w:rPr>
            </w:pPr>
          </w:p>
        </w:tc>
        <w:tc>
          <w:tcPr>
            <w:tcW w:w="3969" w:type="dxa"/>
            <w:tcBorders>
              <w:top w:val="single" w:sz="4" w:space="0" w:color="auto"/>
              <w:left w:val="single" w:sz="4" w:space="0" w:color="auto"/>
              <w:bottom w:val="single" w:sz="4" w:space="0" w:color="auto"/>
              <w:right w:val="single" w:sz="4" w:space="0" w:color="auto"/>
            </w:tcBorders>
            <w:vAlign w:val="center"/>
          </w:tcPr>
          <w:p w14:paraId="3D144CC3" w14:textId="0C0D2B54" w:rsidR="007C6948" w:rsidRPr="00525EF3" w:rsidRDefault="007C6948" w:rsidP="000150F2">
            <w:pPr>
              <w:jc w:val="left"/>
              <w:rPr>
                <w:sz w:val="16"/>
                <w:szCs w:val="16"/>
              </w:rPr>
            </w:pPr>
            <w:r w:rsidRPr="009F3249">
              <w:rPr>
                <w:sz w:val="16"/>
                <w:szCs w:val="16"/>
              </w:rPr>
              <w:t xml:space="preserve">What did </w:t>
            </w:r>
            <w:r>
              <w:rPr>
                <w:sz w:val="16"/>
                <w:szCs w:val="16"/>
              </w:rPr>
              <w:t>CEW</w:t>
            </w:r>
            <w:r w:rsidRPr="009F3249">
              <w:rPr>
                <w:sz w:val="16"/>
                <w:szCs w:val="16"/>
              </w:rPr>
              <w:t xml:space="preserve"> contribute via longitudinal (upstrea</w:t>
            </w:r>
            <w:r w:rsidR="00F230D3">
              <w:rPr>
                <w:sz w:val="16"/>
                <w:szCs w:val="16"/>
              </w:rPr>
              <w:t>m) and lateral   connectivity and thus associated</w:t>
            </w:r>
            <w:r w:rsidRPr="009F3249">
              <w:rPr>
                <w:sz w:val="16"/>
                <w:szCs w:val="16"/>
              </w:rPr>
              <w:t xml:space="preserve"> microinvertebrate communities </w:t>
            </w:r>
            <w:r>
              <w:rPr>
                <w:sz w:val="16"/>
                <w:szCs w:val="16"/>
              </w:rPr>
              <w:t>in</w:t>
            </w:r>
            <w:r w:rsidRPr="009F3249">
              <w:rPr>
                <w:sz w:val="16"/>
                <w:szCs w:val="16"/>
              </w:rPr>
              <w:t xml:space="preserve"> the Lower Murray?</w:t>
            </w:r>
          </w:p>
        </w:tc>
        <w:tc>
          <w:tcPr>
            <w:tcW w:w="1479" w:type="dxa"/>
            <w:tcBorders>
              <w:top w:val="single" w:sz="4" w:space="0" w:color="auto"/>
              <w:left w:val="single" w:sz="4" w:space="0" w:color="auto"/>
              <w:bottom w:val="single" w:sz="4" w:space="0" w:color="auto"/>
              <w:right w:val="single" w:sz="4" w:space="0" w:color="auto"/>
            </w:tcBorders>
            <w:vAlign w:val="center"/>
          </w:tcPr>
          <w:p w14:paraId="4ED1AE9A" w14:textId="19D3B9E7" w:rsidR="007C6948" w:rsidRPr="00525EF3" w:rsidRDefault="007C6948" w:rsidP="000150F2">
            <w:pPr>
              <w:jc w:val="left"/>
              <w:rPr>
                <w:sz w:val="16"/>
                <w:szCs w:val="16"/>
              </w:rPr>
            </w:pPr>
            <w:r w:rsidRPr="00525EF3">
              <w:rPr>
                <w:sz w:val="16"/>
                <w:szCs w:val="16"/>
              </w:rPr>
              <w:t>Category 3 Micro-invertebrate</w:t>
            </w:r>
            <w:r w:rsidR="00B95CF4">
              <w:rPr>
                <w:sz w:val="16"/>
                <w:szCs w:val="16"/>
              </w:rPr>
              <w:t xml:space="preserve"> Assemblage</w:t>
            </w:r>
          </w:p>
        </w:tc>
      </w:tr>
      <w:tr w:rsidR="007C6948" w:rsidRPr="00525EF3" w14:paraId="21805EF7" w14:textId="77777777" w:rsidTr="000150F2">
        <w:tc>
          <w:tcPr>
            <w:tcW w:w="1067" w:type="dxa"/>
            <w:vMerge/>
            <w:tcBorders>
              <w:left w:val="single" w:sz="4" w:space="0" w:color="auto"/>
              <w:right w:val="single" w:sz="4" w:space="0" w:color="auto"/>
            </w:tcBorders>
            <w:vAlign w:val="center"/>
          </w:tcPr>
          <w:p w14:paraId="51F8BF99" w14:textId="77777777" w:rsidR="007C6948" w:rsidRPr="00525EF3" w:rsidRDefault="007C6948" w:rsidP="000150F2">
            <w:pPr>
              <w:jc w:val="left"/>
              <w:rPr>
                <w:sz w:val="16"/>
                <w:szCs w:val="16"/>
              </w:rPr>
            </w:pPr>
          </w:p>
        </w:tc>
        <w:tc>
          <w:tcPr>
            <w:tcW w:w="1905" w:type="dxa"/>
            <w:gridSpan w:val="2"/>
            <w:vMerge w:val="restart"/>
            <w:tcBorders>
              <w:top w:val="single" w:sz="4" w:space="0" w:color="auto"/>
              <w:left w:val="single" w:sz="4" w:space="0" w:color="auto"/>
              <w:right w:val="single" w:sz="4" w:space="0" w:color="auto"/>
            </w:tcBorders>
            <w:vAlign w:val="center"/>
          </w:tcPr>
          <w:p w14:paraId="4EDB44CC" w14:textId="77777777" w:rsidR="007C6948" w:rsidRPr="00525EF3" w:rsidRDefault="007C6948" w:rsidP="000150F2">
            <w:pPr>
              <w:jc w:val="left"/>
              <w:rPr>
                <w:sz w:val="16"/>
                <w:szCs w:val="16"/>
              </w:rPr>
            </w:pPr>
            <w:r w:rsidRPr="00525EF3">
              <w:rPr>
                <w:sz w:val="16"/>
                <w:szCs w:val="16"/>
              </w:rPr>
              <w:t>Process</w:t>
            </w:r>
          </w:p>
        </w:tc>
        <w:tc>
          <w:tcPr>
            <w:tcW w:w="1559" w:type="dxa"/>
            <w:vMerge w:val="restart"/>
            <w:tcBorders>
              <w:top w:val="single" w:sz="4" w:space="0" w:color="auto"/>
              <w:left w:val="single" w:sz="4" w:space="0" w:color="auto"/>
              <w:right w:val="single" w:sz="4" w:space="0" w:color="auto"/>
            </w:tcBorders>
            <w:vAlign w:val="center"/>
          </w:tcPr>
          <w:p w14:paraId="4CEB1562" w14:textId="77777777" w:rsidR="007C6948" w:rsidRPr="00525EF3" w:rsidRDefault="007C6948" w:rsidP="000150F2">
            <w:pPr>
              <w:pStyle w:val="ListParagraph"/>
              <w:numPr>
                <w:ilvl w:val="0"/>
                <w:numId w:val="53"/>
              </w:numPr>
              <w:spacing w:after="0"/>
              <w:ind w:left="113" w:hanging="113"/>
              <w:jc w:val="left"/>
              <w:rPr>
                <w:sz w:val="16"/>
                <w:szCs w:val="16"/>
              </w:rPr>
            </w:pPr>
            <w:r w:rsidRPr="00525EF3">
              <w:rPr>
                <w:sz w:val="16"/>
                <w:szCs w:val="16"/>
              </w:rPr>
              <w:t>Primary productivity (of aquatic ecosystems)</w:t>
            </w:r>
          </w:p>
          <w:p w14:paraId="71A0312E" w14:textId="77777777" w:rsidR="007C6948" w:rsidRPr="00525EF3" w:rsidRDefault="007C6948" w:rsidP="000150F2">
            <w:pPr>
              <w:pStyle w:val="ListParagraph"/>
              <w:numPr>
                <w:ilvl w:val="0"/>
                <w:numId w:val="53"/>
              </w:numPr>
              <w:spacing w:after="0"/>
              <w:ind w:left="113" w:hanging="113"/>
              <w:jc w:val="left"/>
              <w:rPr>
                <w:sz w:val="16"/>
                <w:szCs w:val="16"/>
              </w:rPr>
            </w:pPr>
            <w:r w:rsidRPr="00525EF3">
              <w:rPr>
                <w:sz w:val="16"/>
                <w:szCs w:val="16"/>
              </w:rPr>
              <w:t>Decomposition</w:t>
            </w:r>
          </w:p>
          <w:p w14:paraId="298BB716" w14:textId="77777777" w:rsidR="007C6948" w:rsidRPr="00525EF3" w:rsidRDefault="007C6948" w:rsidP="000150F2">
            <w:pPr>
              <w:pStyle w:val="ListParagraph"/>
              <w:numPr>
                <w:ilvl w:val="0"/>
                <w:numId w:val="53"/>
              </w:numPr>
              <w:spacing w:after="0"/>
              <w:ind w:left="113" w:hanging="113"/>
              <w:jc w:val="left"/>
              <w:rPr>
                <w:sz w:val="16"/>
                <w:szCs w:val="16"/>
              </w:rPr>
            </w:pPr>
            <w:r w:rsidRPr="00525EF3">
              <w:rPr>
                <w:sz w:val="16"/>
                <w:szCs w:val="16"/>
              </w:rPr>
              <w:t>Nutrient and carbon cycling</w:t>
            </w:r>
          </w:p>
        </w:tc>
        <w:tc>
          <w:tcPr>
            <w:tcW w:w="1134" w:type="dxa"/>
            <w:vMerge w:val="restart"/>
            <w:tcBorders>
              <w:top w:val="single" w:sz="4" w:space="0" w:color="auto"/>
              <w:left w:val="single" w:sz="4" w:space="0" w:color="auto"/>
              <w:right w:val="single" w:sz="4" w:space="0" w:color="auto"/>
            </w:tcBorders>
            <w:vAlign w:val="center"/>
          </w:tcPr>
          <w:p w14:paraId="6FFB86C1" w14:textId="77777777" w:rsidR="007C6948" w:rsidRPr="00525EF3" w:rsidRDefault="007C6948" w:rsidP="000150F2">
            <w:pPr>
              <w:jc w:val="left"/>
              <w:rPr>
                <w:sz w:val="16"/>
                <w:szCs w:val="16"/>
              </w:rPr>
            </w:pPr>
          </w:p>
        </w:tc>
        <w:tc>
          <w:tcPr>
            <w:tcW w:w="2835" w:type="dxa"/>
            <w:tcBorders>
              <w:top w:val="single" w:sz="4" w:space="0" w:color="auto"/>
              <w:left w:val="single" w:sz="4" w:space="0" w:color="auto"/>
              <w:bottom w:val="nil"/>
              <w:right w:val="single" w:sz="4" w:space="0" w:color="auto"/>
            </w:tcBorders>
            <w:vAlign w:val="center"/>
          </w:tcPr>
          <w:p w14:paraId="1F6D8A0F" w14:textId="77777777" w:rsidR="007C6948" w:rsidRPr="00525EF3" w:rsidRDefault="007C6948" w:rsidP="000150F2">
            <w:pPr>
              <w:jc w:val="left"/>
              <w:rPr>
                <w:sz w:val="16"/>
                <w:szCs w:val="16"/>
              </w:rPr>
            </w:pPr>
            <w:r w:rsidRPr="00525EF3">
              <w:rPr>
                <w:sz w:val="16"/>
                <w:szCs w:val="16"/>
              </w:rPr>
              <w:t>What did CEW contribute to patterns and rates of primary productivity</w:t>
            </w:r>
            <w:r>
              <w:rPr>
                <w:sz w:val="16"/>
                <w:szCs w:val="16"/>
              </w:rPr>
              <w:t xml:space="preserve"> and decomposition</w:t>
            </w:r>
            <w:r w:rsidRPr="00525EF3">
              <w:rPr>
                <w:sz w:val="16"/>
                <w:szCs w:val="16"/>
              </w:rPr>
              <w:t>?</w:t>
            </w:r>
          </w:p>
        </w:tc>
        <w:tc>
          <w:tcPr>
            <w:tcW w:w="3969" w:type="dxa"/>
            <w:tcBorders>
              <w:top w:val="single" w:sz="4" w:space="0" w:color="auto"/>
              <w:left w:val="single" w:sz="4" w:space="0" w:color="auto"/>
              <w:bottom w:val="nil"/>
              <w:right w:val="single" w:sz="4" w:space="0" w:color="auto"/>
            </w:tcBorders>
            <w:vAlign w:val="center"/>
          </w:tcPr>
          <w:p w14:paraId="48562350" w14:textId="77777777" w:rsidR="007C6948" w:rsidRPr="00525EF3" w:rsidRDefault="007C6948" w:rsidP="000150F2">
            <w:pPr>
              <w:jc w:val="left"/>
              <w:rPr>
                <w:sz w:val="16"/>
                <w:szCs w:val="16"/>
              </w:rPr>
            </w:pPr>
            <w:r w:rsidRPr="00525EF3">
              <w:rPr>
                <w:sz w:val="16"/>
                <w:szCs w:val="16"/>
              </w:rPr>
              <w:t>What did CEW contribute to patterns and rates of primary productivity</w:t>
            </w:r>
            <w:r>
              <w:rPr>
                <w:sz w:val="16"/>
                <w:szCs w:val="16"/>
              </w:rPr>
              <w:t xml:space="preserve"> and decomposition</w:t>
            </w:r>
            <w:r w:rsidRPr="00525EF3">
              <w:rPr>
                <w:sz w:val="16"/>
                <w:szCs w:val="16"/>
              </w:rPr>
              <w:t>?</w:t>
            </w:r>
          </w:p>
        </w:tc>
        <w:tc>
          <w:tcPr>
            <w:tcW w:w="1479" w:type="dxa"/>
            <w:tcBorders>
              <w:top w:val="single" w:sz="4" w:space="0" w:color="auto"/>
              <w:left w:val="single" w:sz="4" w:space="0" w:color="auto"/>
              <w:bottom w:val="nil"/>
              <w:right w:val="single" w:sz="4" w:space="0" w:color="auto"/>
            </w:tcBorders>
            <w:vAlign w:val="center"/>
          </w:tcPr>
          <w:p w14:paraId="2B9580F1" w14:textId="4DD899EB" w:rsidR="007C6948" w:rsidRPr="00525EF3" w:rsidRDefault="007C6948" w:rsidP="000150F2">
            <w:pPr>
              <w:jc w:val="left"/>
              <w:rPr>
                <w:sz w:val="16"/>
                <w:szCs w:val="16"/>
              </w:rPr>
            </w:pPr>
            <w:r w:rsidRPr="00525EF3">
              <w:rPr>
                <w:sz w:val="16"/>
                <w:szCs w:val="16"/>
              </w:rPr>
              <w:t>Category 1 Stream Metabolism</w:t>
            </w:r>
            <w:r w:rsidR="00B95CF4">
              <w:rPr>
                <w:sz w:val="16"/>
                <w:szCs w:val="16"/>
              </w:rPr>
              <w:t xml:space="preserve"> and Water Quality</w:t>
            </w:r>
          </w:p>
        </w:tc>
      </w:tr>
      <w:tr w:rsidR="007C6948" w:rsidRPr="00525EF3" w14:paraId="7C099838" w14:textId="77777777" w:rsidTr="000150F2">
        <w:tc>
          <w:tcPr>
            <w:tcW w:w="1067" w:type="dxa"/>
            <w:vMerge/>
            <w:tcBorders>
              <w:left w:val="single" w:sz="4" w:space="0" w:color="auto"/>
              <w:right w:val="single" w:sz="4" w:space="0" w:color="auto"/>
            </w:tcBorders>
            <w:vAlign w:val="center"/>
          </w:tcPr>
          <w:p w14:paraId="54C7F329" w14:textId="77777777" w:rsidR="007C6948" w:rsidRPr="00525EF3" w:rsidRDefault="007C6948" w:rsidP="000150F2">
            <w:pPr>
              <w:jc w:val="left"/>
              <w:rPr>
                <w:sz w:val="16"/>
                <w:szCs w:val="16"/>
              </w:rPr>
            </w:pPr>
          </w:p>
        </w:tc>
        <w:tc>
          <w:tcPr>
            <w:tcW w:w="1905" w:type="dxa"/>
            <w:gridSpan w:val="2"/>
            <w:vMerge/>
            <w:tcBorders>
              <w:top w:val="single" w:sz="4" w:space="0" w:color="auto"/>
              <w:left w:val="single" w:sz="4" w:space="0" w:color="auto"/>
              <w:right w:val="single" w:sz="4" w:space="0" w:color="auto"/>
            </w:tcBorders>
            <w:vAlign w:val="center"/>
          </w:tcPr>
          <w:p w14:paraId="15C84609" w14:textId="77777777" w:rsidR="007C6948" w:rsidRPr="00525EF3" w:rsidRDefault="007C6948" w:rsidP="000150F2">
            <w:pPr>
              <w:jc w:val="left"/>
              <w:rPr>
                <w:sz w:val="16"/>
                <w:szCs w:val="16"/>
              </w:rPr>
            </w:pPr>
          </w:p>
        </w:tc>
        <w:tc>
          <w:tcPr>
            <w:tcW w:w="1559" w:type="dxa"/>
            <w:vMerge/>
            <w:tcBorders>
              <w:top w:val="single" w:sz="4" w:space="0" w:color="auto"/>
              <w:left w:val="single" w:sz="4" w:space="0" w:color="auto"/>
              <w:right w:val="single" w:sz="4" w:space="0" w:color="auto"/>
            </w:tcBorders>
            <w:vAlign w:val="center"/>
          </w:tcPr>
          <w:p w14:paraId="3F338E74" w14:textId="77777777" w:rsidR="007C6948" w:rsidRPr="00525EF3" w:rsidRDefault="007C6948" w:rsidP="000150F2">
            <w:pPr>
              <w:pStyle w:val="ListParagraph"/>
              <w:numPr>
                <w:ilvl w:val="0"/>
                <w:numId w:val="53"/>
              </w:numPr>
              <w:spacing w:after="0"/>
              <w:ind w:left="113" w:hanging="113"/>
              <w:jc w:val="left"/>
              <w:rPr>
                <w:sz w:val="16"/>
                <w:szCs w:val="16"/>
              </w:rPr>
            </w:pPr>
          </w:p>
        </w:tc>
        <w:tc>
          <w:tcPr>
            <w:tcW w:w="1134" w:type="dxa"/>
            <w:vMerge/>
            <w:tcBorders>
              <w:top w:val="single" w:sz="4" w:space="0" w:color="auto"/>
              <w:left w:val="single" w:sz="4" w:space="0" w:color="auto"/>
              <w:right w:val="single" w:sz="4" w:space="0" w:color="auto"/>
            </w:tcBorders>
            <w:vAlign w:val="center"/>
          </w:tcPr>
          <w:p w14:paraId="37ECC10C" w14:textId="77777777" w:rsidR="007C6948" w:rsidRPr="00525EF3" w:rsidRDefault="007C6948" w:rsidP="000150F2">
            <w:pPr>
              <w:jc w:val="left"/>
              <w:rPr>
                <w:sz w:val="16"/>
                <w:szCs w:val="16"/>
              </w:rPr>
            </w:pPr>
          </w:p>
        </w:tc>
        <w:tc>
          <w:tcPr>
            <w:tcW w:w="2835" w:type="dxa"/>
            <w:tcBorders>
              <w:top w:val="nil"/>
              <w:left w:val="single" w:sz="4" w:space="0" w:color="auto"/>
              <w:bottom w:val="nil"/>
              <w:right w:val="single" w:sz="4" w:space="0" w:color="auto"/>
            </w:tcBorders>
            <w:vAlign w:val="center"/>
          </w:tcPr>
          <w:p w14:paraId="10B6B916" w14:textId="77777777" w:rsidR="007C6948" w:rsidRPr="00525EF3" w:rsidRDefault="007C6948" w:rsidP="000150F2">
            <w:pPr>
              <w:jc w:val="left"/>
              <w:rPr>
                <w:sz w:val="16"/>
                <w:szCs w:val="16"/>
              </w:rPr>
            </w:pPr>
          </w:p>
        </w:tc>
        <w:tc>
          <w:tcPr>
            <w:tcW w:w="3969" w:type="dxa"/>
            <w:tcBorders>
              <w:top w:val="nil"/>
              <w:left w:val="single" w:sz="4" w:space="0" w:color="auto"/>
              <w:bottom w:val="nil"/>
              <w:right w:val="single" w:sz="4" w:space="0" w:color="auto"/>
            </w:tcBorders>
            <w:vAlign w:val="center"/>
          </w:tcPr>
          <w:p w14:paraId="4CE73EA8" w14:textId="77777777" w:rsidR="007C6948" w:rsidRPr="00525EF3" w:rsidRDefault="007C6948" w:rsidP="000150F2">
            <w:pPr>
              <w:jc w:val="left"/>
              <w:rPr>
                <w:sz w:val="16"/>
                <w:szCs w:val="16"/>
              </w:rPr>
            </w:pPr>
            <w:r w:rsidRPr="00525EF3">
              <w:rPr>
                <w:sz w:val="16"/>
                <w:szCs w:val="16"/>
              </w:rPr>
              <w:t>What did CEW contribute to concentrations and transport of phytoplankton?</w:t>
            </w:r>
          </w:p>
        </w:tc>
        <w:tc>
          <w:tcPr>
            <w:tcW w:w="1479" w:type="dxa"/>
            <w:tcBorders>
              <w:top w:val="nil"/>
              <w:left w:val="single" w:sz="4" w:space="0" w:color="auto"/>
              <w:bottom w:val="nil"/>
              <w:right w:val="single" w:sz="4" w:space="0" w:color="auto"/>
            </w:tcBorders>
            <w:vAlign w:val="center"/>
          </w:tcPr>
          <w:p w14:paraId="5E5B9FAD" w14:textId="6A8F8BA3" w:rsidR="007C6948" w:rsidRPr="00525EF3" w:rsidRDefault="007C6948" w:rsidP="000150F2">
            <w:pPr>
              <w:jc w:val="left"/>
              <w:rPr>
                <w:sz w:val="16"/>
                <w:szCs w:val="16"/>
              </w:rPr>
            </w:pPr>
            <w:r w:rsidRPr="00525EF3">
              <w:rPr>
                <w:sz w:val="16"/>
                <w:szCs w:val="16"/>
              </w:rPr>
              <w:t>Category 3 Matter Transport</w:t>
            </w:r>
            <w:r>
              <w:rPr>
                <w:sz w:val="16"/>
                <w:szCs w:val="16"/>
              </w:rPr>
              <w:t xml:space="preserve"> and Coorong </w:t>
            </w:r>
            <w:r w:rsidR="00B95CF4">
              <w:rPr>
                <w:sz w:val="16"/>
                <w:szCs w:val="16"/>
              </w:rPr>
              <w:t>H</w:t>
            </w:r>
            <w:r>
              <w:rPr>
                <w:sz w:val="16"/>
                <w:szCs w:val="16"/>
              </w:rPr>
              <w:t>abitat</w:t>
            </w:r>
          </w:p>
        </w:tc>
      </w:tr>
      <w:tr w:rsidR="007C6948" w:rsidRPr="00525EF3" w14:paraId="315AFFE8" w14:textId="77777777" w:rsidTr="000150F2">
        <w:tc>
          <w:tcPr>
            <w:tcW w:w="1067" w:type="dxa"/>
            <w:vMerge/>
            <w:tcBorders>
              <w:left w:val="single" w:sz="4" w:space="0" w:color="auto"/>
              <w:bottom w:val="single" w:sz="4" w:space="0" w:color="auto"/>
              <w:right w:val="single" w:sz="4" w:space="0" w:color="auto"/>
            </w:tcBorders>
            <w:vAlign w:val="center"/>
          </w:tcPr>
          <w:p w14:paraId="17219D86" w14:textId="77777777" w:rsidR="007C6948" w:rsidRPr="00525EF3" w:rsidRDefault="007C6948" w:rsidP="000150F2">
            <w:pPr>
              <w:jc w:val="left"/>
              <w:rPr>
                <w:sz w:val="16"/>
                <w:szCs w:val="16"/>
              </w:rPr>
            </w:pPr>
          </w:p>
        </w:tc>
        <w:tc>
          <w:tcPr>
            <w:tcW w:w="1905" w:type="dxa"/>
            <w:gridSpan w:val="2"/>
            <w:vMerge/>
            <w:tcBorders>
              <w:left w:val="single" w:sz="4" w:space="0" w:color="auto"/>
              <w:bottom w:val="single" w:sz="4" w:space="0" w:color="auto"/>
              <w:right w:val="single" w:sz="4" w:space="0" w:color="auto"/>
            </w:tcBorders>
            <w:vAlign w:val="center"/>
          </w:tcPr>
          <w:p w14:paraId="7FA4D6D9" w14:textId="77777777" w:rsidR="007C6948" w:rsidRPr="00525EF3" w:rsidRDefault="007C6948" w:rsidP="000150F2">
            <w:pPr>
              <w:jc w:val="left"/>
              <w:rPr>
                <w:sz w:val="16"/>
                <w:szCs w:val="16"/>
              </w:rPr>
            </w:pPr>
          </w:p>
        </w:tc>
        <w:tc>
          <w:tcPr>
            <w:tcW w:w="1559" w:type="dxa"/>
            <w:vMerge/>
            <w:tcBorders>
              <w:left w:val="single" w:sz="4" w:space="0" w:color="auto"/>
              <w:bottom w:val="single" w:sz="4" w:space="0" w:color="auto"/>
              <w:right w:val="single" w:sz="4" w:space="0" w:color="auto"/>
            </w:tcBorders>
            <w:vAlign w:val="center"/>
          </w:tcPr>
          <w:p w14:paraId="71D3335F" w14:textId="77777777" w:rsidR="007C6948" w:rsidRPr="00525EF3" w:rsidRDefault="007C6948" w:rsidP="000150F2">
            <w:pPr>
              <w:pStyle w:val="ListParagraph"/>
              <w:spacing w:after="0"/>
              <w:ind w:left="113"/>
              <w:jc w:val="left"/>
              <w:rPr>
                <w:sz w:val="16"/>
                <w:szCs w:val="16"/>
              </w:rPr>
            </w:pPr>
          </w:p>
        </w:tc>
        <w:tc>
          <w:tcPr>
            <w:tcW w:w="1134" w:type="dxa"/>
            <w:vMerge/>
            <w:tcBorders>
              <w:left w:val="single" w:sz="4" w:space="0" w:color="auto"/>
              <w:bottom w:val="single" w:sz="4" w:space="0" w:color="auto"/>
              <w:right w:val="single" w:sz="4" w:space="0" w:color="auto"/>
            </w:tcBorders>
            <w:vAlign w:val="center"/>
          </w:tcPr>
          <w:p w14:paraId="4E66BD1F" w14:textId="77777777" w:rsidR="007C6948" w:rsidRPr="00525EF3" w:rsidRDefault="007C6948" w:rsidP="000150F2">
            <w:pPr>
              <w:jc w:val="left"/>
              <w:rPr>
                <w:sz w:val="16"/>
                <w:szCs w:val="16"/>
              </w:rPr>
            </w:pPr>
          </w:p>
        </w:tc>
        <w:tc>
          <w:tcPr>
            <w:tcW w:w="2835" w:type="dxa"/>
            <w:tcBorders>
              <w:top w:val="nil"/>
              <w:left w:val="single" w:sz="4" w:space="0" w:color="auto"/>
              <w:bottom w:val="single" w:sz="4" w:space="0" w:color="auto"/>
              <w:right w:val="single" w:sz="4" w:space="0" w:color="auto"/>
            </w:tcBorders>
            <w:vAlign w:val="center"/>
          </w:tcPr>
          <w:p w14:paraId="5672209B" w14:textId="77777777" w:rsidR="007C6948" w:rsidRPr="00525EF3" w:rsidRDefault="007C6948" w:rsidP="000150F2">
            <w:pPr>
              <w:jc w:val="left"/>
              <w:rPr>
                <w:sz w:val="16"/>
                <w:szCs w:val="16"/>
              </w:rPr>
            </w:pPr>
          </w:p>
        </w:tc>
        <w:tc>
          <w:tcPr>
            <w:tcW w:w="3969" w:type="dxa"/>
            <w:tcBorders>
              <w:top w:val="nil"/>
              <w:left w:val="single" w:sz="4" w:space="0" w:color="auto"/>
              <w:bottom w:val="single" w:sz="4" w:space="0" w:color="auto"/>
              <w:right w:val="single" w:sz="4" w:space="0" w:color="auto"/>
            </w:tcBorders>
            <w:vAlign w:val="center"/>
          </w:tcPr>
          <w:p w14:paraId="7359CC0C" w14:textId="77777777" w:rsidR="007C6948" w:rsidRPr="00525EF3" w:rsidRDefault="007C6948" w:rsidP="000150F2">
            <w:pPr>
              <w:jc w:val="left"/>
              <w:rPr>
                <w:sz w:val="16"/>
                <w:szCs w:val="16"/>
              </w:rPr>
            </w:pPr>
            <w:r w:rsidRPr="003B1D11">
              <w:rPr>
                <w:sz w:val="16"/>
                <w:szCs w:val="16"/>
              </w:rPr>
              <w:t>What did CEW contribute to the quality of food resources (microinvertebrates) for higher trophic organisms?</w:t>
            </w:r>
          </w:p>
        </w:tc>
        <w:tc>
          <w:tcPr>
            <w:tcW w:w="1479" w:type="dxa"/>
            <w:tcBorders>
              <w:top w:val="nil"/>
              <w:left w:val="single" w:sz="4" w:space="0" w:color="auto"/>
              <w:bottom w:val="single" w:sz="4" w:space="0" w:color="auto"/>
              <w:right w:val="single" w:sz="4" w:space="0" w:color="auto"/>
            </w:tcBorders>
            <w:vAlign w:val="center"/>
          </w:tcPr>
          <w:p w14:paraId="56F5DE38" w14:textId="1FECD950" w:rsidR="007C6948" w:rsidRPr="00525EF3" w:rsidRDefault="007C6948" w:rsidP="000150F2">
            <w:pPr>
              <w:jc w:val="left"/>
              <w:rPr>
                <w:sz w:val="16"/>
                <w:szCs w:val="16"/>
              </w:rPr>
            </w:pPr>
            <w:r>
              <w:rPr>
                <w:sz w:val="16"/>
                <w:szCs w:val="16"/>
              </w:rPr>
              <w:t>Category 3 Microinvertebrate</w:t>
            </w:r>
            <w:r w:rsidR="00B95CF4">
              <w:rPr>
                <w:sz w:val="16"/>
                <w:szCs w:val="16"/>
              </w:rPr>
              <w:t xml:space="preserve"> Assemblage</w:t>
            </w:r>
          </w:p>
        </w:tc>
      </w:tr>
      <w:tr w:rsidR="007C6948" w:rsidRPr="00525EF3" w14:paraId="53D539E7" w14:textId="77777777" w:rsidTr="000150F2">
        <w:tc>
          <w:tcPr>
            <w:tcW w:w="1067" w:type="dxa"/>
            <w:vMerge w:val="restart"/>
            <w:tcBorders>
              <w:top w:val="nil"/>
              <w:left w:val="single" w:sz="4" w:space="0" w:color="auto"/>
              <w:right w:val="single" w:sz="4" w:space="0" w:color="auto"/>
            </w:tcBorders>
            <w:vAlign w:val="center"/>
          </w:tcPr>
          <w:p w14:paraId="0B1840E6" w14:textId="77777777" w:rsidR="007C6948" w:rsidRPr="00525EF3" w:rsidRDefault="007C6948" w:rsidP="000150F2">
            <w:pPr>
              <w:jc w:val="left"/>
              <w:rPr>
                <w:sz w:val="16"/>
                <w:szCs w:val="16"/>
              </w:rPr>
            </w:pPr>
            <w:r w:rsidRPr="00525EF3">
              <w:rPr>
                <w:sz w:val="16"/>
                <w:szCs w:val="16"/>
              </w:rPr>
              <w:t>Resilience</w:t>
            </w:r>
          </w:p>
        </w:tc>
        <w:tc>
          <w:tcPr>
            <w:tcW w:w="1905" w:type="dxa"/>
            <w:gridSpan w:val="2"/>
            <w:vMerge w:val="restart"/>
            <w:tcBorders>
              <w:top w:val="nil"/>
              <w:left w:val="single" w:sz="4" w:space="0" w:color="auto"/>
              <w:right w:val="single" w:sz="4" w:space="0" w:color="auto"/>
            </w:tcBorders>
            <w:vAlign w:val="center"/>
          </w:tcPr>
          <w:p w14:paraId="3C7E7452" w14:textId="77777777" w:rsidR="007C6948" w:rsidRPr="00525EF3" w:rsidRDefault="007C6948" w:rsidP="000150F2">
            <w:pPr>
              <w:jc w:val="left"/>
              <w:rPr>
                <w:sz w:val="16"/>
                <w:szCs w:val="16"/>
              </w:rPr>
            </w:pPr>
            <w:r w:rsidRPr="00525EF3">
              <w:rPr>
                <w:sz w:val="16"/>
                <w:szCs w:val="16"/>
              </w:rPr>
              <w:t>Ecosystem resilience</w:t>
            </w:r>
          </w:p>
        </w:tc>
        <w:tc>
          <w:tcPr>
            <w:tcW w:w="1559" w:type="dxa"/>
            <w:vMerge w:val="restart"/>
            <w:tcBorders>
              <w:top w:val="nil"/>
              <w:left w:val="single" w:sz="4" w:space="0" w:color="auto"/>
            </w:tcBorders>
            <w:vAlign w:val="center"/>
          </w:tcPr>
          <w:p w14:paraId="5A41538A" w14:textId="77777777" w:rsidR="007C6948" w:rsidRPr="00525EF3" w:rsidRDefault="007C6948" w:rsidP="000150F2">
            <w:pPr>
              <w:pStyle w:val="ListParagraph"/>
              <w:numPr>
                <w:ilvl w:val="0"/>
                <w:numId w:val="53"/>
              </w:numPr>
              <w:spacing w:after="0"/>
              <w:ind w:left="113" w:hanging="113"/>
              <w:jc w:val="left"/>
              <w:rPr>
                <w:sz w:val="16"/>
                <w:szCs w:val="16"/>
              </w:rPr>
            </w:pPr>
            <w:r w:rsidRPr="00525EF3">
              <w:rPr>
                <w:sz w:val="16"/>
                <w:szCs w:val="16"/>
              </w:rPr>
              <w:t>Individual survival and condition (individual refuges)</w:t>
            </w:r>
          </w:p>
          <w:p w14:paraId="172EC89A" w14:textId="77777777" w:rsidR="007C6948" w:rsidRPr="00525EF3" w:rsidRDefault="007C6948" w:rsidP="000150F2">
            <w:pPr>
              <w:pStyle w:val="ListParagraph"/>
              <w:numPr>
                <w:ilvl w:val="0"/>
                <w:numId w:val="53"/>
              </w:numPr>
              <w:spacing w:after="0"/>
              <w:ind w:left="113" w:hanging="113"/>
              <w:jc w:val="left"/>
              <w:rPr>
                <w:sz w:val="16"/>
                <w:szCs w:val="16"/>
              </w:rPr>
            </w:pPr>
            <w:r w:rsidRPr="00525EF3">
              <w:rPr>
                <w:sz w:val="16"/>
                <w:szCs w:val="16"/>
              </w:rPr>
              <w:t>Individual condition (ecosystem resistance)</w:t>
            </w:r>
          </w:p>
        </w:tc>
        <w:tc>
          <w:tcPr>
            <w:tcW w:w="1134" w:type="dxa"/>
            <w:vMerge w:val="restart"/>
            <w:tcBorders>
              <w:top w:val="nil"/>
              <w:right w:val="single" w:sz="4" w:space="0" w:color="auto"/>
            </w:tcBorders>
            <w:vAlign w:val="center"/>
          </w:tcPr>
          <w:p w14:paraId="78D26BE5" w14:textId="77777777" w:rsidR="007C6948" w:rsidRPr="00525EF3" w:rsidRDefault="007C6948" w:rsidP="000150F2">
            <w:pPr>
              <w:pStyle w:val="ListParagraph"/>
              <w:numPr>
                <w:ilvl w:val="0"/>
                <w:numId w:val="53"/>
              </w:numPr>
              <w:spacing w:after="0"/>
              <w:ind w:left="113" w:hanging="113"/>
              <w:jc w:val="left"/>
              <w:rPr>
                <w:sz w:val="16"/>
                <w:szCs w:val="16"/>
              </w:rPr>
            </w:pPr>
            <w:r w:rsidRPr="00525EF3">
              <w:rPr>
                <w:sz w:val="16"/>
                <w:szCs w:val="16"/>
              </w:rPr>
              <w:t xml:space="preserve">Population condition (individual refuges) </w:t>
            </w:r>
          </w:p>
          <w:p w14:paraId="3B8239FC" w14:textId="77777777" w:rsidR="007C6948" w:rsidRPr="00525EF3" w:rsidRDefault="007C6948" w:rsidP="000150F2">
            <w:pPr>
              <w:pStyle w:val="ListParagraph"/>
              <w:numPr>
                <w:ilvl w:val="0"/>
                <w:numId w:val="53"/>
              </w:numPr>
              <w:spacing w:after="0"/>
              <w:ind w:left="113" w:hanging="113"/>
              <w:jc w:val="left"/>
              <w:rPr>
                <w:sz w:val="16"/>
                <w:szCs w:val="16"/>
              </w:rPr>
            </w:pPr>
            <w:r w:rsidRPr="00525EF3">
              <w:rPr>
                <w:sz w:val="16"/>
                <w:szCs w:val="16"/>
              </w:rPr>
              <w:t>Population condition (landscape refuges)</w:t>
            </w:r>
          </w:p>
          <w:p w14:paraId="0DF753E3" w14:textId="77777777" w:rsidR="007C6948" w:rsidRPr="00525EF3" w:rsidRDefault="007C6948" w:rsidP="000150F2">
            <w:pPr>
              <w:pStyle w:val="ListParagraph"/>
              <w:numPr>
                <w:ilvl w:val="0"/>
                <w:numId w:val="53"/>
              </w:numPr>
              <w:spacing w:after="0"/>
              <w:ind w:left="113" w:hanging="113"/>
              <w:jc w:val="left"/>
              <w:rPr>
                <w:sz w:val="16"/>
                <w:szCs w:val="16"/>
              </w:rPr>
            </w:pPr>
            <w:r w:rsidRPr="00525EF3">
              <w:rPr>
                <w:sz w:val="16"/>
                <w:szCs w:val="16"/>
              </w:rPr>
              <w:t>Population condition (ecosystem recovery)</w:t>
            </w:r>
          </w:p>
        </w:tc>
        <w:tc>
          <w:tcPr>
            <w:tcW w:w="2835" w:type="dxa"/>
            <w:tcBorders>
              <w:top w:val="single" w:sz="4" w:space="0" w:color="auto"/>
              <w:left w:val="single" w:sz="4" w:space="0" w:color="auto"/>
              <w:bottom w:val="nil"/>
              <w:right w:val="single" w:sz="4" w:space="0" w:color="auto"/>
            </w:tcBorders>
            <w:vAlign w:val="center"/>
          </w:tcPr>
          <w:p w14:paraId="6459EF0C" w14:textId="77777777" w:rsidR="007C6948" w:rsidRPr="00525EF3" w:rsidRDefault="007C6948" w:rsidP="000150F2">
            <w:pPr>
              <w:jc w:val="left"/>
              <w:rPr>
                <w:sz w:val="16"/>
                <w:szCs w:val="16"/>
              </w:rPr>
            </w:pPr>
            <w:r w:rsidRPr="00525EF3">
              <w:rPr>
                <w:sz w:val="16"/>
                <w:szCs w:val="16"/>
              </w:rPr>
              <w:t>What did CEW contribute to native fish community resilience?</w:t>
            </w:r>
          </w:p>
        </w:tc>
        <w:tc>
          <w:tcPr>
            <w:tcW w:w="3969" w:type="dxa"/>
            <w:tcBorders>
              <w:top w:val="single" w:sz="4" w:space="0" w:color="auto"/>
              <w:left w:val="single" w:sz="4" w:space="0" w:color="auto"/>
              <w:bottom w:val="nil"/>
              <w:right w:val="single" w:sz="4" w:space="0" w:color="auto"/>
            </w:tcBorders>
            <w:vAlign w:val="center"/>
          </w:tcPr>
          <w:p w14:paraId="6934996A" w14:textId="77777777" w:rsidR="007C6948" w:rsidRPr="00525EF3" w:rsidRDefault="007C6948" w:rsidP="000150F2">
            <w:pPr>
              <w:jc w:val="left"/>
              <w:rPr>
                <w:sz w:val="16"/>
                <w:szCs w:val="16"/>
              </w:rPr>
            </w:pPr>
          </w:p>
        </w:tc>
        <w:tc>
          <w:tcPr>
            <w:tcW w:w="1479" w:type="dxa"/>
            <w:tcBorders>
              <w:top w:val="single" w:sz="4" w:space="0" w:color="auto"/>
              <w:left w:val="single" w:sz="4" w:space="0" w:color="auto"/>
              <w:bottom w:val="nil"/>
              <w:right w:val="single" w:sz="4" w:space="0" w:color="auto"/>
            </w:tcBorders>
            <w:vAlign w:val="center"/>
          </w:tcPr>
          <w:p w14:paraId="21EE7397" w14:textId="77777777" w:rsidR="007C6948" w:rsidRPr="00525EF3" w:rsidRDefault="007C6948" w:rsidP="000150F2">
            <w:pPr>
              <w:jc w:val="left"/>
              <w:rPr>
                <w:sz w:val="16"/>
                <w:szCs w:val="16"/>
              </w:rPr>
            </w:pPr>
            <w:r w:rsidRPr="00525EF3">
              <w:rPr>
                <w:sz w:val="16"/>
                <w:szCs w:val="16"/>
              </w:rPr>
              <w:t>Category 1 Fish (Channel)</w:t>
            </w:r>
          </w:p>
        </w:tc>
      </w:tr>
      <w:tr w:rsidR="007C6948" w:rsidRPr="00525EF3" w14:paraId="7248BE2D" w14:textId="77777777" w:rsidTr="000150F2">
        <w:tc>
          <w:tcPr>
            <w:tcW w:w="1067" w:type="dxa"/>
            <w:vMerge/>
            <w:tcBorders>
              <w:left w:val="single" w:sz="4" w:space="0" w:color="auto"/>
              <w:right w:val="single" w:sz="4" w:space="0" w:color="auto"/>
            </w:tcBorders>
            <w:vAlign w:val="center"/>
          </w:tcPr>
          <w:p w14:paraId="361B28C9" w14:textId="77777777" w:rsidR="007C6948" w:rsidRPr="00525EF3" w:rsidRDefault="007C6948" w:rsidP="000150F2">
            <w:pPr>
              <w:jc w:val="left"/>
              <w:rPr>
                <w:sz w:val="16"/>
                <w:szCs w:val="16"/>
              </w:rPr>
            </w:pPr>
          </w:p>
        </w:tc>
        <w:tc>
          <w:tcPr>
            <w:tcW w:w="1905" w:type="dxa"/>
            <w:gridSpan w:val="2"/>
            <w:vMerge/>
            <w:tcBorders>
              <w:left w:val="single" w:sz="4" w:space="0" w:color="auto"/>
              <w:right w:val="single" w:sz="4" w:space="0" w:color="auto"/>
            </w:tcBorders>
            <w:vAlign w:val="center"/>
          </w:tcPr>
          <w:p w14:paraId="4AF88701" w14:textId="77777777" w:rsidR="007C6948" w:rsidRPr="00525EF3" w:rsidRDefault="007C6948" w:rsidP="000150F2">
            <w:pPr>
              <w:jc w:val="left"/>
              <w:rPr>
                <w:sz w:val="16"/>
                <w:szCs w:val="16"/>
              </w:rPr>
            </w:pPr>
          </w:p>
        </w:tc>
        <w:tc>
          <w:tcPr>
            <w:tcW w:w="1559" w:type="dxa"/>
            <w:vMerge/>
            <w:tcBorders>
              <w:left w:val="single" w:sz="4" w:space="0" w:color="auto"/>
            </w:tcBorders>
            <w:vAlign w:val="center"/>
          </w:tcPr>
          <w:p w14:paraId="3B5FFEFD" w14:textId="77777777" w:rsidR="007C6948" w:rsidRPr="00525EF3" w:rsidRDefault="007C6948" w:rsidP="000150F2">
            <w:pPr>
              <w:pStyle w:val="ListParagraph"/>
              <w:numPr>
                <w:ilvl w:val="0"/>
                <w:numId w:val="53"/>
              </w:numPr>
              <w:spacing w:after="0"/>
              <w:ind w:left="113" w:hanging="113"/>
              <w:jc w:val="left"/>
              <w:rPr>
                <w:sz w:val="16"/>
                <w:szCs w:val="16"/>
              </w:rPr>
            </w:pPr>
          </w:p>
        </w:tc>
        <w:tc>
          <w:tcPr>
            <w:tcW w:w="1134" w:type="dxa"/>
            <w:vMerge/>
            <w:tcBorders>
              <w:right w:val="single" w:sz="4" w:space="0" w:color="auto"/>
            </w:tcBorders>
            <w:vAlign w:val="center"/>
          </w:tcPr>
          <w:p w14:paraId="6CC610A4" w14:textId="77777777" w:rsidR="007C6948" w:rsidRPr="00525EF3" w:rsidRDefault="007C6948" w:rsidP="000150F2">
            <w:pPr>
              <w:pStyle w:val="ListParagraph"/>
              <w:numPr>
                <w:ilvl w:val="0"/>
                <w:numId w:val="53"/>
              </w:numPr>
              <w:spacing w:after="0"/>
              <w:ind w:left="113" w:hanging="113"/>
              <w:jc w:val="left"/>
              <w:rPr>
                <w:sz w:val="16"/>
                <w:szCs w:val="16"/>
              </w:rPr>
            </w:pPr>
          </w:p>
        </w:tc>
        <w:tc>
          <w:tcPr>
            <w:tcW w:w="2835" w:type="dxa"/>
            <w:tcBorders>
              <w:top w:val="nil"/>
              <w:left w:val="single" w:sz="4" w:space="0" w:color="auto"/>
              <w:bottom w:val="nil"/>
              <w:right w:val="single" w:sz="4" w:space="0" w:color="auto"/>
            </w:tcBorders>
            <w:vAlign w:val="center"/>
          </w:tcPr>
          <w:p w14:paraId="05795087" w14:textId="77777777" w:rsidR="007C6948" w:rsidRPr="00525EF3" w:rsidRDefault="007C6948" w:rsidP="000150F2">
            <w:pPr>
              <w:jc w:val="left"/>
              <w:rPr>
                <w:sz w:val="16"/>
                <w:szCs w:val="16"/>
              </w:rPr>
            </w:pPr>
          </w:p>
        </w:tc>
        <w:tc>
          <w:tcPr>
            <w:tcW w:w="3969" w:type="dxa"/>
            <w:tcBorders>
              <w:top w:val="nil"/>
              <w:left w:val="single" w:sz="4" w:space="0" w:color="auto"/>
              <w:bottom w:val="nil"/>
              <w:right w:val="single" w:sz="4" w:space="0" w:color="auto"/>
            </w:tcBorders>
            <w:vAlign w:val="center"/>
          </w:tcPr>
          <w:p w14:paraId="1A1302B8" w14:textId="5C599785" w:rsidR="007C6948" w:rsidRPr="00525EF3" w:rsidRDefault="007C6948" w:rsidP="00B95CF4">
            <w:pPr>
              <w:jc w:val="left"/>
              <w:rPr>
                <w:sz w:val="16"/>
                <w:szCs w:val="16"/>
              </w:rPr>
            </w:pPr>
            <w:r w:rsidRPr="00824115">
              <w:rPr>
                <w:sz w:val="16"/>
                <w:szCs w:val="16"/>
              </w:rPr>
              <w:t xml:space="preserve">Did the flow regime (including environmental water) contribute to </w:t>
            </w:r>
            <w:r w:rsidR="00B95CF4">
              <w:rPr>
                <w:sz w:val="16"/>
                <w:szCs w:val="16"/>
              </w:rPr>
              <w:t xml:space="preserve">the resilience of </w:t>
            </w:r>
            <w:r w:rsidRPr="00824115">
              <w:rPr>
                <w:sz w:val="16"/>
                <w:szCs w:val="16"/>
              </w:rPr>
              <w:t>golden perch and silver perch</w:t>
            </w:r>
            <w:r w:rsidR="00B95CF4">
              <w:rPr>
                <w:sz w:val="16"/>
                <w:szCs w:val="16"/>
              </w:rPr>
              <w:t xml:space="preserve"> populations</w:t>
            </w:r>
            <w:r w:rsidRPr="00824115">
              <w:rPr>
                <w:sz w:val="16"/>
                <w:szCs w:val="16"/>
              </w:rPr>
              <w:t>?</w:t>
            </w:r>
          </w:p>
        </w:tc>
        <w:tc>
          <w:tcPr>
            <w:tcW w:w="1479" w:type="dxa"/>
            <w:tcBorders>
              <w:top w:val="nil"/>
              <w:left w:val="single" w:sz="4" w:space="0" w:color="auto"/>
              <w:bottom w:val="nil"/>
              <w:right w:val="single" w:sz="4" w:space="0" w:color="auto"/>
            </w:tcBorders>
            <w:vAlign w:val="center"/>
          </w:tcPr>
          <w:p w14:paraId="665BFEBE" w14:textId="77777777" w:rsidR="007C6948" w:rsidRPr="00525EF3" w:rsidRDefault="007C6948" w:rsidP="000150F2">
            <w:pPr>
              <w:jc w:val="left"/>
              <w:rPr>
                <w:sz w:val="16"/>
                <w:szCs w:val="16"/>
              </w:rPr>
            </w:pPr>
            <w:r w:rsidRPr="00525EF3">
              <w:rPr>
                <w:sz w:val="16"/>
                <w:szCs w:val="16"/>
              </w:rPr>
              <w:t xml:space="preserve">Category 3 </w:t>
            </w:r>
            <w:r>
              <w:rPr>
                <w:sz w:val="16"/>
                <w:szCs w:val="16"/>
              </w:rPr>
              <w:t>Flow-cued Spawning Fish Recruitment</w:t>
            </w:r>
          </w:p>
        </w:tc>
      </w:tr>
      <w:tr w:rsidR="007C6948" w:rsidRPr="00525EF3" w14:paraId="239FA9A4" w14:textId="77777777" w:rsidTr="000150F2">
        <w:trPr>
          <w:trHeight w:val="1896"/>
        </w:trPr>
        <w:tc>
          <w:tcPr>
            <w:tcW w:w="1067" w:type="dxa"/>
            <w:vMerge/>
            <w:tcBorders>
              <w:left w:val="single" w:sz="4" w:space="0" w:color="auto"/>
              <w:right w:val="single" w:sz="4" w:space="0" w:color="auto"/>
            </w:tcBorders>
            <w:vAlign w:val="center"/>
          </w:tcPr>
          <w:p w14:paraId="6BB4A78D" w14:textId="77777777" w:rsidR="007C6948" w:rsidRPr="00525EF3" w:rsidRDefault="007C6948" w:rsidP="000150F2">
            <w:pPr>
              <w:jc w:val="left"/>
              <w:rPr>
                <w:sz w:val="16"/>
                <w:szCs w:val="16"/>
              </w:rPr>
            </w:pPr>
          </w:p>
        </w:tc>
        <w:tc>
          <w:tcPr>
            <w:tcW w:w="1905" w:type="dxa"/>
            <w:gridSpan w:val="2"/>
            <w:vMerge/>
            <w:tcBorders>
              <w:left w:val="single" w:sz="4" w:space="0" w:color="auto"/>
              <w:right w:val="single" w:sz="4" w:space="0" w:color="auto"/>
            </w:tcBorders>
            <w:vAlign w:val="center"/>
          </w:tcPr>
          <w:p w14:paraId="0C8CB8F2" w14:textId="77777777" w:rsidR="007C6948" w:rsidRPr="00525EF3" w:rsidRDefault="007C6948" w:rsidP="000150F2">
            <w:pPr>
              <w:jc w:val="left"/>
              <w:rPr>
                <w:sz w:val="16"/>
                <w:szCs w:val="16"/>
              </w:rPr>
            </w:pPr>
          </w:p>
        </w:tc>
        <w:tc>
          <w:tcPr>
            <w:tcW w:w="1559" w:type="dxa"/>
            <w:vMerge/>
            <w:tcBorders>
              <w:left w:val="single" w:sz="4" w:space="0" w:color="auto"/>
            </w:tcBorders>
            <w:vAlign w:val="center"/>
          </w:tcPr>
          <w:p w14:paraId="0D9FE4F9" w14:textId="77777777" w:rsidR="007C6948" w:rsidRPr="00525EF3" w:rsidRDefault="007C6948" w:rsidP="000150F2">
            <w:pPr>
              <w:pStyle w:val="ListParagraph"/>
              <w:numPr>
                <w:ilvl w:val="0"/>
                <w:numId w:val="53"/>
              </w:numPr>
              <w:spacing w:after="0"/>
              <w:ind w:left="113" w:hanging="113"/>
              <w:jc w:val="left"/>
              <w:rPr>
                <w:sz w:val="16"/>
                <w:szCs w:val="16"/>
              </w:rPr>
            </w:pPr>
          </w:p>
        </w:tc>
        <w:tc>
          <w:tcPr>
            <w:tcW w:w="1134" w:type="dxa"/>
            <w:vMerge/>
            <w:tcBorders>
              <w:right w:val="single" w:sz="4" w:space="0" w:color="auto"/>
            </w:tcBorders>
            <w:vAlign w:val="center"/>
          </w:tcPr>
          <w:p w14:paraId="4A1FDBC1" w14:textId="77777777" w:rsidR="007C6948" w:rsidRPr="00525EF3" w:rsidRDefault="007C6948" w:rsidP="000150F2">
            <w:pPr>
              <w:pStyle w:val="ListParagraph"/>
              <w:numPr>
                <w:ilvl w:val="0"/>
                <w:numId w:val="53"/>
              </w:numPr>
              <w:spacing w:after="0"/>
              <w:ind w:left="113" w:hanging="113"/>
              <w:jc w:val="left"/>
              <w:rPr>
                <w:sz w:val="16"/>
                <w:szCs w:val="16"/>
              </w:rPr>
            </w:pPr>
          </w:p>
        </w:tc>
        <w:tc>
          <w:tcPr>
            <w:tcW w:w="2835" w:type="dxa"/>
            <w:tcBorders>
              <w:top w:val="nil"/>
              <w:left w:val="single" w:sz="4" w:space="0" w:color="auto"/>
              <w:bottom w:val="single" w:sz="4" w:space="0" w:color="auto"/>
              <w:right w:val="single" w:sz="4" w:space="0" w:color="auto"/>
            </w:tcBorders>
            <w:vAlign w:val="center"/>
          </w:tcPr>
          <w:p w14:paraId="433E56E7" w14:textId="77777777" w:rsidR="007C6948" w:rsidRPr="00525EF3" w:rsidRDefault="007C6948" w:rsidP="000150F2">
            <w:pPr>
              <w:jc w:val="left"/>
              <w:rPr>
                <w:sz w:val="16"/>
                <w:szCs w:val="16"/>
              </w:rPr>
            </w:pPr>
          </w:p>
        </w:tc>
        <w:tc>
          <w:tcPr>
            <w:tcW w:w="3969" w:type="dxa"/>
            <w:tcBorders>
              <w:top w:val="nil"/>
              <w:left w:val="single" w:sz="4" w:space="0" w:color="auto"/>
              <w:bottom w:val="single" w:sz="4" w:space="0" w:color="auto"/>
              <w:right w:val="single" w:sz="4" w:space="0" w:color="auto"/>
            </w:tcBorders>
            <w:vAlign w:val="center"/>
          </w:tcPr>
          <w:p w14:paraId="4998A2F3" w14:textId="77777777" w:rsidR="007C6948" w:rsidRPr="00525EF3" w:rsidRDefault="007C6948" w:rsidP="000150F2">
            <w:pPr>
              <w:jc w:val="left"/>
              <w:rPr>
                <w:sz w:val="16"/>
                <w:szCs w:val="16"/>
              </w:rPr>
            </w:pPr>
            <w:r>
              <w:rPr>
                <w:sz w:val="16"/>
                <w:szCs w:val="16"/>
              </w:rPr>
              <w:t>What did CEW contribute to the resilience of Murray cod populations?</w:t>
            </w:r>
          </w:p>
        </w:tc>
        <w:tc>
          <w:tcPr>
            <w:tcW w:w="1479" w:type="dxa"/>
            <w:tcBorders>
              <w:top w:val="nil"/>
              <w:left w:val="single" w:sz="4" w:space="0" w:color="auto"/>
              <w:bottom w:val="single" w:sz="4" w:space="0" w:color="auto"/>
              <w:right w:val="single" w:sz="4" w:space="0" w:color="auto"/>
            </w:tcBorders>
            <w:shd w:val="clear" w:color="auto" w:fill="auto"/>
            <w:vAlign w:val="center"/>
          </w:tcPr>
          <w:p w14:paraId="7FB0259B" w14:textId="77777777" w:rsidR="007C6948" w:rsidRPr="00525EF3" w:rsidRDefault="007C6948" w:rsidP="000150F2">
            <w:pPr>
              <w:jc w:val="left"/>
              <w:rPr>
                <w:sz w:val="16"/>
                <w:szCs w:val="16"/>
              </w:rPr>
            </w:pPr>
            <w:r>
              <w:rPr>
                <w:sz w:val="16"/>
                <w:szCs w:val="16"/>
              </w:rPr>
              <w:t>Category 3: Murray Cod Recruitment</w:t>
            </w:r>
          </w:p>
        </w:tc>
      </w:tr>
      <w:tr w:rsidR="007C6948" w:rsidRPr="00525EF3" w14:paraId="76CD244D" w14:textId="77777777" w:rsidTr="000150F2">
        <w:tc>
          <w:tcPr>
            <w:tcW w:w="1067" w:type="dxa"/>
            <w:vMerge w:val="restart"/>
            <w:tcBorders>
              <w:top w:val="single" w:sz="4" w:space="0" w:color="auto"/>
              <w:left w:val="single" w:sz="4" w:space="0" w:color="auto"/>
              <w:right w:val="single" w:sz="4" w:space="0" w:color="auto"/>
            </w:tcBorders>
            <w:vAlign w:val="center"/>
          </w:tcPr>
          <w:p w14:paraId="3F3BB5A5" w14:textId="77777777" w:rsidR="007C6948" w:rsidRPr="00525EF3" w:rsidRDefault="007C6948" w:rsidP="000150F2">
            <w:pPr>
              <w:jc w:val="left"/>
              <w:rPr>
                <w:sz w:val="16"/>
                <w:szCs w:val="16"/>
              </w:rPr>
            </w:pPr>
            <w:r w:rsidRPr="00525EF3">
              <w:rPr>
                <w:sz w:val="16"/>
                <w:szCs w:val="16"/>
              </w:rPr>
              <w:lastRenderedPageBreak/>
              <w:t>Water quality</w:t>
            </w:r>
          </w:p>
        </w:tc>
        <w:tc>
          <w:tcPr>
            <w:tcW w:w="1905" w:type="dxa"/>
            <w:gridSpan w:val="2"/>
            <w:vMerge w:val="restart"/>
            <w:tcBorders>
              <w:top w:val="single" w:sz="4" w:space="0" w:color="auto"/>
              <w:left w:val="single" w:sz="4" w:space="0" w:color="auto"/>
              <w:right w:val="single" w:sz="4" w:space="0" w:color="auto"/>
            </w:tcBorders>
            <w:vAlign w:val="center"/>
          </w:tcPr>
          <w:p w14:paraId="70B45634" w14:textId="77777777" w:rsidR="007C6948" w:rsidRPr="00525EF3" w:rsidRDefault="007C6948" w:rsidP="000150F2">
            <w:pPr>
              <w:jc w:val="left"/>
              <w:rPr>
                <w:sz w:val="16"/>
                <w:szCs w:val="16"/>
              </w:rPr>
            </w:pPr>
            <w:r w:rsidRPr="00525EF3">
              <w:rPr>
                <w:sz w:val="16"/>
                <w:szCs w:val="16"/>
              </w:rPr>
              <w:t>Chemical</w:t>
            </w:r>
          </w:p>
        </w:tc>
        <w:tc>
          <w:tcPr>
            <w:tcW w:w="1559" w:type="dxa"/>
            <w:vMerge w:val="restart"/>
            <w:tcBorders>
              <w:top w:val="single" w:sz="4" w:space="0" w:color="auto"/>
              <w:left w:val="single" w:sz="4" w:space="0" w:color="auto"/>
              <w:right w:val="single" w:sz="4" w:space="0" w:color="auto"/>
            </w:tcBorders>
            <w:vAlign w:val="center"/>
          </w:tcPr>
          <w:p w14:paraId="515BEBDF" w14:textId="77777777" w:rsidR="007C6948" w:rsidRPr="00525EF3" w:rsidRDefault="007C6948" w:rsidP="000150F2">
            <w:pPr>
              <w:pStyle w:val="ListParagraph"/>
              <w:numPr>
                <w:ilvl w:val="0"/>
                <w:numId w:val="53"/>
              </w:numPr>
              <w:spacing w:after="0"/>
              <w:ind w:left="113" w:hanging="113"/>
              <w:jc w:val="left"/>
              <w:rPr>
                <w:sz w:val="16"/>
                <w:szCs w:val="16"/>
              </w:rPr>
            </w:pPr>
            <w:r w:rsidRPr="00525EF3">
              <w:rPr>
                <w:sz w:val="16"/>
                <w:szCs w:val="16"/>
              </w:rPr>
              <w:t>Salinity</w:t>
            </w:r>
          </w:p>
          <w:p w14:paraId="4E74A1E7" w14:textId="77777777" w:rsidR="007C6948" w:rsidRPr="00525EF3" w:rsidRDefault="007C6948" w:rsidP="000150F2">
            <w:pPr>
              <w:pStyle w:val="ListParagraph"/>
              <w:numPr>
                <w:ilvl w:val="0"/>
                <w:numId w:val="53"/>
              </w:numPr>
              <w:spacing w:after="0"/>
              <w:ind w:left="113" w:hanging="113"/>
              <w:jc w:val="left"/>
              <w:rPr>
                <w:sz w:val="16"/>
                <w:szCs w:val="16"/>
              </w:rPr>
            </w:pPr>
            <w:r w:rsidRPr="00525EF3">
              <w:rPr>
                <w:sz w:val="16"/>
                <w:szCs w:val="16"/>
              </w:rPr>
              <w:t>Dissolved oxygen</w:t>
            </w:r>
          </w:p>
          <w:p w14:paraId="6B73F73A" w14:textId="77777777" w:rsidR="007C6948" w:rsidRPr="00525EF3" w:rsidRDefault="007C6948" w:rsidP="000150F2">
            <w:pPr>
              <w:pStyle w:val="ListParagraph"/>
              <w:numPr>
                <w:ilvl w:val="0"/>
                <w:numId w:val="53"/>
              </w:numPr>
              <w:spacing w:after="0"/>
              <w:ind w:left="113" w:hanging="113"/>
              <w:jc w:val="left"/>
              <w:rPr>
                <w:sz w:val="16"/>
                <w:szCs w:val="16"/>
              </w:rPr>
            </w:pPr>
            <w:r w:rsidRPr="00525EF3">
              <w:rPr>
                <w:sz w:val="16"/>
                <w:szCs w:val="16"/>
              </w:rPr>
              <w:t>pH</w:t>
            </w:r>
          </w:p>
          <w:p w14:paraId="5AE063E1" w14:textId="77777777" w:rsidR="007C6948" w:rsidRPr="00525EF3" w:rsidRDefault="007C6948" w:rsidP="000150F2">
            <w:pPr>
              <w:pStyle w:val="ListParagraph"/>
              <w:numPr>
                <w:ilvl w:val="0"/>
                <w:numId w:val="53"/>
              </w:numPr>
              <w:spacing w:after="0"/>
              <w:ind w:left="113" w:hanging="113"/>
              <w:jc w:val="left"/>
              <w:rPr>
                <w:sz w:val="16"/>
                <w:szCs w:val="16"/>
              </w:rPr>
            </w:pPr>
            <w:r w:rsidRPr="00525EF3">
              <w:rPr>
                <w:sz w:val="16"/>
                <w:szCs w:val="16"/>
              </w:rPr>
              <w:t>Dissolved organic carbon</w:t>
            </w:r>
          </w:p>
        </w:tc>
        <w:tc>
          <w:tcPr>
            <w:tcW w:w="1134" w:type="dxa"/>
            <w:vMerge w:val="restart"/>
            <w:tcBorders>
              <w:top w:val="single" w:sz="4" w:space="0" w:color="auto"/>
              <w:left w:val="single" w:sz="4" w:space="0" w:color="auto"/>
              <w:right w:val="single" w:sz="4" w:space="0" w:color="auto"/>
            </w:tcBorders>
            <w:vAlign w:val="center"/>
          </w:tcPr>
          <w:p w14:paraId="6D6499A9" w14:textId="77777777" w:rsidR="007C6948" w:rsidRPr="00525EF3" w:rsidRDefault="007C6948" w:rsidP="000150F2">
            <w:pPr>
              <w:pStyle w:val="ListParagraph"/>
              <w:spacing w:after="0"/>
              <w:ind w:left="113"/>
              <w:jc w:val="left"/>
              <w:rPr>
                <w:sz w:val="16"/>
                <w:szCs w:val="16"/>
              </w:rPr>
            </w:pPr>
          </w:p>
        </w:tc>
        <w:tc>
          <w:tcPr>
            <w:tcW w:w="2835" w:type="dxa"/>
            <w:tcBorders>
              <w:top w:val="single" w:sz="4" w:space="0" w:color="auto"/>
              <w:left w:val="single" w:sz="4" w:space="0" w:color="auto"/>
              <w:bottom w:val="nil"/>
              <w:right w:val="single" w:sz="4" w:space="0" w:color="auto"/>
            </w:tcBorders>
            <w:vAlign w:val="center"/>
          </w:tcPr>
          <w:p w14:paraId="4767C9F3" w14:textId="77777777" w:rsidR="007C6948" w:rsidRDefault="007C6948" w:rsidP="000150F2">
            <w:pPr>
              <w:jc w:val="left"/>
              <w:rPr>
                <w:sz w:val="16"/>
                <w:szCs w:val="16"/>
              </w:rPr>
            </w:pPr>
            <w:r w:rsidRPr="00525EF3">
              <w:rPr>
                <w:sz w:val="16"/>
                <w:szCs w:val="16"/>
              </w:rPr>
              <w:t>What did CEW contribute to dissolved oxygen levels?</w:t>
            </w:r>
            <w:r>
              <w:rPr>
                <w:sz w:val="16"/>
                <w:szCs w:val="16"/>
              </w:rPr>
              <w:t xml:space="preserve"> </w:t>
            </w:r>
          </w:p>
          <w:p w14:paraId="73BB5C4C" w14:textId="77777777" w:rsidR="007C6948" w:rsidRPr="00525EF3" w:rsidRDefault="007C6948" w:rsidP="000150F2">
            <w:pPr>
              <w:jc w:val="left"/>
              <w:rPr>
                <w:sz w:val="16"/>
                <w:szCs w:val="16"/>
              </w:rPr>
            </w:pPr>
            <w:r w:rsidRPr="009E7ACE">
              <w:rPr>
                <w:sz w:val="16"/>
                <w:szCs w:val="16"/>
              </w:rPr>
              <w:t xml:space="preserve">What did </w:t>
            </w:r>
            <w:r>
              <w:rPr>
                <w:sz w:val="16"/>
                <w:szCs w:val="16"/>
              </w:rPr>
              <w:t>CEW</w:t>
            </w:r>
            <w:r w:rsidRPr="009E7ACE">
              <w:rPr>
                <w:sz w:val="16"/>
                <w:szCs w:val="16"/>
              </w:rPr>
              <w:t xml:space="preserve"> contribute to water quality?</w:t>
            </w:r>
          </w:p>
        </w:tc>
        <w:tc>
          <w:tcPr>
            <w:tcW w:w="3969" w:type="dxa"/>
            <w:tcBorders>
              <w:top w:val="single" w:sz="4" w:space="0" w:color="auto"/>
              <w:left w:val="single" w:sz="4" w:space="0" w:color="auto"/>
              <w:bottom w:val="nil"/>
              <w:right w:val="single" w:sz="4" w:space="0" w:color="auto"/>
            </w:tcBorders>
            <w:vAlign w:val="center"/>
          </w:tcPr>
          <w:p w14:paraId="75D0B476" w14:textId="77777777" w:rsidR="007C6948" w:rsidRDefault="007C6948" w:rsidP="000150F2">
            <w:pPr>
              <w:jc w:val="left"/>
              <w:rPr>
                <w:sz w:val="16"/>
                <w:szCs w:val="16"/>
              </w:rPr>
            </w:pPr>
            <w:r w:rsidRPr="00525EF3">
              <w:rPr>
                <w:sz w:val="16"/>
                <w:szCs w:val="16"/>
              </w:rPr>
              <w:t>What did CEW contribute to dissolved oxygen levels?</w:t>
            </w:r>
          </w:p>
          <w:p w14:paraId="62A7FF96" w14:textId="77777777" w:rsidR="007C6948" w:rsidRPr="00525EF3" w:rsidRDefault="007C6948" w:rsidP="000150F2">
            <w:pPr>
              <w:jc w:val="left"/>
              <w:rPr>
                <w:sz w:val="16"/>
                <w:szCs w:val="16"/>
              </w:rPr>
            </w:pPr>
            <w:r w:rsidRPr="009E7ACE">
              <w:rPr>
                <w:sz w:val="16"/>
                <w:szCs w:val="16"/>
              </w:rPr>
              <w:t xml:space="preserve">What did </w:t>
            </w:r>
            <w:r>
              <w:rPr>
                <w:sz w:val="16"/>
                <w:szCs w:val="16"/>
              </w:rPr>
              <w:t>CEW</w:t>
            </w:r>
            <w:r w:rsidRPr="009E7ACE">
              <w:rPr>
                <w:sz w:val="16"/>
                <w:szCs w:val="16"/>
              </w:rPr>
              <w:t xml:space="preserve"> contribute to water quality?</w:t>
            </w:r>
          </w:p>
        </w:tc>
        <w:tc>
          <w:tcPr>
            <w:tcW w:w="1479" w:type="dxa"/>
            <w:tcBorders>
              <w:top w:val="single" w:sz="4" w:space="0" w:color="auto"/>
              <w:left w:val="single" w:sz="4" w:space="0" w:color="auto"/>
              <w:bottom w:val="nil"/>
              <w:right w:val="single" w:sz="4" w:space="0" w:color="auto"/>
            </w:tcBorders>
            <w:vAlign w:val="center"/>
          </w:tcPr>
          <w:p w14:paraId="62050CE9" w14:textId="343D5196" w:rsidR="007C6948" w:rsidRPr="00525EF3" w:rsidRDefault="007C6948" w:rsidP="000150F2">
            <w:pPr>
              <w:jc w:val="left"/>
              <w:rPr>
                <w:sz w:val="16"/>
                <w:szCs w:val="16"/>
              </w:rPr>
            </w:pPr>
            <w:r w:rsidRPr="00525EF3">
              <w:rPr>
                <w:sz w:val="16"/>
                <w:szCs w:val="16"/>
              </w:rPr>
              <w:t>Category 1 Stream Metabolism</w:t>
            </w:r>
            <w:r w:rsidR="00B95CF4">
              <w:rPr>
                <w:sz w:val="16"/>
                <w:szCs w:val="16"/>
              </w:rPr>
              <w:t xml:space="preserve"> and Water Quality</w:t>
            </w:r>
          </w:p>
        </w:tc>
      </w:tr>
      <w:tr w:rsidR="007C6948" w:rsidRPr="00525EF3" w14:paraId="3B5A904C" w14:textId="77777777" w:rsidTr="000150F2">
        <w:tc>
          <w:tcPr>
            <w:tcW w:w="1067" w:type="dxa"/>
            <w:vMerge/>
            <w:tcBorders>
              <w:left w:val="single" w:sz="4" w:space="0" w:color="auto"/>
              <w:bottom w:val="single" w:sz="4" w:space="0" w:color="auto"/>
              <w:right w:val="single" w:sz="4" w:space="0" w:color="auto"/>
            </w:tcBorders>
            <w:vAlign w:val="center"/>
          </w:tcPr>
          <w:p w14:paraId="36F6A020" w14:textId="77777777" w:rsidR="007C6948" w:rsidRPr="00525EF3" w:rsidRDefault="007C6948" w:rsidP="000150F2">
            <w:pPr>
              <w:jc w:val="left"/>
              <w:rPr>
                <w:sz w:val="16"/>
                <w:szCs w:val="16"/>
              </w:rPr>
            </w:pPr>
          </w:p>
        </w:tc>
        <w:tc>
          <w:tcPr>
            <w:tcW w:w="1905" w:type="dxa"/>
            <w:gridSpan w:val="2"/>
            <w:vMerge/>
            <w:tcBorders>
              <w:left w:val="single" w:sz="4" w:space="0" w:color="auto"/>
              <w:bottom w:val="single" w:sz="4" w:space="0" w:color="auto"/>
              <w:right w:val="single" w:sz="4" w:space="0" w:color="auto"/>
            </w:tcBorders>
            <w:vAlign w:val="center"/>
          </w:tcPr>
          <w:p w14:paraId="2E69B2BC" w14:textId="77777777" w:rsidR="007C6948" w:rsidRPr="00525EF3" w:rsidRDefault="007C6948" w:rsidP="000150F2">
            <w:pPr>
              <w:jc w:val="left"/>
              <w:rPr>
                <w:sz w:val="16"/>
                <w:szCs w:val="16"/>
              </w:rPr>
            </w:pPr>
          </w:p>
        </w:tc>
        <w:tc>
          <w:tcPr>
            <w:tcW w:w="1559" w:type="dxa"/>
            <w:vMerge/>
            <w:tcBorders>
              <w:left w:val="single" w:sz="4" w:space="0" w:color="auto"/>
              <w:bottom w:val="single" w:sz="4" w:space="0" w:color="auto"/>
              <w:right w:val="single" w:sz="4" w:space="0" w:color="auto"/>
            </w:tcBorders>
            <w:vAlign w:val="center"/>
          </w:tcPr>
          <w:p w14:paraId="27FA983C" w14:textId="77777777" w:rsidR="007C6948" w:rsidRPr="00525EF3" w:rsidRDefault="007C6948" w:rsidP="000150F2">
            <w:pPr>
              <w:pStyle w:val="ListParagraph"/>
              <w:spacing w:after="0"/>
              <w:ind w:left="113"/>
              <w:jc w:val="left"/>
              <w:rPr>
                <w:sz w:val="16"/>
                <w:szCs w:val="16"/>
              </w:rPr>
            </w:pPr>
          </w:p>
        </w:tc>
        <w:tc>
          <w:tcPr>
            <w:tcW w:w="1134" w:type="dxa"/>
            <w:vMerge/>
            <w:tcBorders>
              <w:left w:val="single" w:sz="4" w:space="0" w:color="auto"/>
              <w:bottom w:val="single" w:sz="4" w:space="0" w:color="auto"/>
              <w:right w:val="single" w:sz="4" w:space="0" w:color="auto"/>
            </w:tcBorders>
            <w:vAlign w:val="center"/>
          </w:tcPr>
          <w:p w14:paraId="53AF09A4" w14:textId="77777777" w:rsidR="007C6948" w:rsidRPr="00525EF3" w:rsidRDefault="007C6948" w:rsidP="000150F2">
            <w:pPr>
              <w:pStyle w:val="ListParagraph"/>
              <w:spacing w:after="0"/>
              <w:ind w:left="113"/>
              <w:jc w:val="left"/>
              <w:rPr>
                <w:sz w:val="16"/>
                <w:szCs w:val="16"/>
              </w:rPr>
            </w:pPr>
          </w:p>
        </w:tc>
        <w:tc>
          <w:tcPr>
            <w:tcW w:w="2835" w:type="dxa"/>
            <w:tcBorders>
              <w:top w:val="nil"/>
              <w:left w:val="single" w:sz="4" w:space="0" w:color="auto"/>
              <w:bottom w:val="single" w:sz="4" w:space="0" w:color="auto"/>
              <w:right w:val="single" w:sz="4" w:space="0" w:color="auto"/>
            </w:tcBorders>
            <w:vAlign w:val="center"/>
          </w:tcPr>
          <w:p w14:paraId="7D11BC3B" w14:textId="77777777" w:rsidR="007C6948" w:rsidRPr="00525EF3" w:rsidRDefault="007C6948" w:rsidP="000150F2">
            <w:pPr>
              <w:jc w:val="left"/>
              <w:rPr>
                <w:sz w:val="16"/>
                <w:szCs w:val="16"/>
              </w:rPr>
            </w:pPr>
          </w:p>
        </w:tc>
        <w:tc>
          <w:tcPr>
            <w:tcW w:w="3969" w:type="dxa"/>
            <w:tcBorders>
              <w:top w:val="nil"/>
              <w:left w:val="single" w:sz="4" w:space="0" w:color="auto"/>
              <w:bottom w:val="single" w:sz="4" w:space="0" w:color="auto"/>
              <w:right w:val="single" w:sz="4" w:space="0" w:color="auto"/>
            </w:tcBorders>
            <w:vAlign w:val="center"/>
          </w:tcPr>
          <w:p w14:paraId="2C6F139A" w14:textId="77777777" w:rsidR="007C6948" w:rsidRDefault="007C6948" w:rsidP="000150F2">
            <w:pPr>
              <w:jc w:val="left"/>
              <w:rPr>
                <w:sz w:val="16"/>
                <w:szCs w:val="16"/>
              </w:rPr>
            </w:pPr>
            <w:r w:rsidRPr="00525EF3">
              <w:rPr>
                <w:sz w:val="16"/>
                <w:szCs w:val="16"/>
              </w:rPr>
              <w:t>What did CEW contribute to salinity levels and transport?</w:t>
            </w:r>
          </w:p>
          <w:p w14:paraId="3C4FD1A3" w14:textId="77777777" w:rsidR="007C6948" w:rsidRDefault="007C6948" w:rsidP="000150F2">
            <w:pPr>
              <w:jc w:val="left"/>
              <w:rPr>
                <w:sz w:val="16"/>
                <w:szCs w:val="16"/>
              </w:rPr>
            </w:pPr>
            <w:r w:rsidRPr="00525EF3">
              <w:rPr>
                <w:sz w:val="16"/>
                <w:szCs w:val="16"/>
              </w:rPr>
              <w:t>What did CEW contribute to nutrient concentrations and transport?</w:t>
            </w:r>
          </w:p>
          <w:p w14:paraId="5D2A3A1F" w14:textId="77777777" w:rsidR="007C6948" w:rsidRPr="004508E5" w:rsidRDefault="007C6948" w:rsidP="000150F2">
            <w:pPr>
              <w:jc w:val="left"/>
              <w:rPr>
                <w:sz w:val="16"/>
                <w:szCs w:val="16"/>
              </w:rPr>
            </w:pPr>
            <w:r w:rsidRPr="004508E5">
              <w:rPr>
                <w:sz w:val="16"/>
                <w:szCs w:val="16"/>
              </w:rPr>
              <w:t xml:space="preserve">What did CEW contribute to improving </w:t>
            </w:r>
            <w:r w:rsidRPr="004508E5">
              <w:rPr>
                <w:i/>
                <w:sz w:val="16"/>
                <w:szCs w:val="16"/>
              </w:rPr>
              <w:t>Ruppia tuberosa</w:t>
            </w:r>
            <w:r w:rsidRPr="004508E5">
              <w:rPr>
                <w:sz w:val="16"/>
                <w:szCs w:val="16"/>
              </w:rPr>
              <w:t xml:space="preserve"> habitat in the Coorong?</w:t>
            </w:r>
          </w:p>
          <w:p w14:paraId="3804A448" w14:textId="77777777" w:rsidR="007C6948" w:rsidRPr="00525EF3" w:rsidRDefault="007C6948" w:rsidP="000150F2">
            <w:pPr>
              <w:jc w:val="left"/>
              <w:rPr>
                <w:sz w:val="16"/>
                <w:szCs w:val="16"/>
              </w:rPr>
            </w:pPr>
            <w:r w:rsidRPr="004508E5">
              <w:rPr>
                <w:sz w:val="16"/>
                <w:szCs w:val="16"/>
              </w:rPr>
              <w:t>What did CEW contribute to improving fish habitat in the Coorong?</w:t>
            </w:r>
          </w:p>
        </w:tc>
        <w:tc>
          <w:tcPr>
            <w:tcW w:w="1479" w:type="dxa"/>
            <w:tcBorders>
              <w:top w:val="nil"/>
              <w:left w:val="single" w:sz="4" w:space="0" w:color="auto"/>
              <w:bottom w:val="single" w:sz="4" w:space="0" w:color="auto"/>
              <w:right w:val="single" w:sz="4" w:space="0" w:color="auto"/>
            </w:tcBorders>
            <w:vAlign w:val="center"/>
          </w:tcPr>
          <w:p w14:paraId="251F4303" w14:textId="7416B1C3" w:rsidR="007C6948" w:rsidRPr="00525EF3" w:rsidRDefault="007C6948" w:rsidP="000150F2">
            <w:pPr>
              <w:jc w:val="left"/>
              <w:rPr>
                <w:sz w:val="16"/>
                <w:szCs w:val="16"/>
              </w:rPr>
            </w:pPr>
            <w:r w:rsidRPr="00525EF3">
              <w:rPr>
                <w:sz w:val="16"/>
                <w:szCs w:val="16"/>
              </w:rPr>
              <w:t>Category 3 Matter Transport</w:t>
            </w:r>
            <w:r>
              <w:rPr>
                <w:sz w:val="16"/>
                <w:szCs w:val="16"/>
              </w:rPr>
              <w:t xml:space="preserve"> and Coorong </w:t>
            </w:r>
            <w:r w:rsidR="00B95CF4">
              <w:rPr>
                <w:sz w:val="16"/>
                <w:szCs w:val="16"/>
              </w:rPr>
              <w:t>H</w:t>
            </w:r>
            <w:r>
              <w:rPr>
                <w:sz w:val="16"/>
                <w:szCs w:val="16"/>
              </w:rPr>
              <w:t>abitat</w:t>
            </w:r>
          </w:p>
        </w:tc>
      </w:tr>
    </w:tbl>
    <w:p w14:paraId="3CBFF2C9" w14:textId="77777777" w:rsidR="00F14ADB" w:rsidRDefault="00F14ADB" w:rsidP="006C6142"/>
    <w:p w14:paraId="514F1FB7" w14:textId="77777777" w:rsidR="00F14ADB" w:rsidRDefault="00F14ADB">
      <w:pPr>
        <w:spacing w:after="200" w:line="276" w:lineRule="auto"/>
        <w:jc w:val="left"/>
      </w:pPr>
      <w:r>
        <w:br w:type="page"/>
      </w:r>
    </w:p>
    <w:p w14:paraId="50D405FA" w14:textId="4B1B4B19" w:rsidR="0035554E" w:rsidRPr="00856E84" w:rsidRDefault="006C6142" w:rsidP="00516B88">
      <w:pPr>
        <w:rPr>
          <w:b/>
        </w:rPr>
      </w:pPr>
      <w:r w:rsidRPr="00D6636D">
        <w:rPr>
          <w:b/>
        </w:rPr>
        <w:lastRenderedPageBreak/>
        <w:t>DEW evaluation questions</w:t>
      </w:r>
      <w:r w:rsidR="00856E84">
        <w:rPr>
          <w:b/>
        </w:rPr>
        <w:t xml:space="preserve"> </w:t>
      </w:r>
      <w:r w:rsidRPr="00D6636D">
        <w:rPr>
          <w:b/>
        </w:rPr>
        <w:t xml:space="preserve">relating to ecological targets for the SA River Murray Channel Priority Environmental Asset (adapted from </w:t>
      </w:r>
      <w:r w:rsidR="00602D06" w:rsidRPr="00D6636D">
        <w:rPr>
          <w:b/>
        </w:rPr>
        <w:t xml:space="preserve">DEW’s Long </w:t>
      </w:r>
      <w:r w:rsidR="000138A8" w:rsidRPr="00D6636D">
        <w:rPr>
          <w:b/>
        </w:rPr>
        <w:t>Term Watering Plan, DEWNR 2015</w:t>
      </w:r>
      <w:r w:rsidRPr="00D6636D">
        <w:rPr>
          <w:b/>
        </w:rPr>
        <w:t>)</w:t>
      </w:r>
      <w:r w:rsidR="00671CAD">
        <w:rPr>
          <w:b/>
        </w:rPr>
        <w:t xml:space="preserve"> and Matter 8 expected outcomes</w:t>
      </w:r>
      <w:r w:rsidRPr="00D6636D">
        <w:rPr>
          <w:b/>
        </w:rPr>
        <w:t>.</w:t>
      </w:r>
      <w:r w:rsidR="00671CAD">
        <w:rPr>
          <w:b/>
        </w:rPr>
        <w:t xml:space="preserve"> Evaluation questions will be reviewed </w:t>
      </w:r>
      <w:r w:rsidR="00112561">
        <w:rPr>
          <w:b/>
        </w:rPr>
        <w:t xml:space="preserve">when </w:t>
      </w:r>
      <w:r w:rsidR="00671CAD">
        <w:rPr>
          <w:b/>
        </w:rPr>
        <w:t xml:space="preserve">expected outcomes for Matter 8 reporting are </w:t>
      </w:r>
      <w:r w:rsidR="00112561">
        <w:rPr>
          <w:b/>
        </w:rPr>
        <w:t xml:space="preserve">further </w:t>
      </w:r>
      <w:r w:rsidR="00671CAD">
        <w:rPr>
          <w:b/>
        </w:rPr>
        <w:t>developed for LTWP targets.</w:t>
      </w:r>
    </w:p>
    <w:tbl>
      <w:tblPr>
        <w:tblStyle w:val="TableGrid"/>
        <w:tblW w:w="5000" w:type="pct"/>
        <w:tblLook w:val="04A0" w:firstRow="1" w:lastRow="0" w:firstColumn="1" w:lastColumn="0" w:noHBand="0" w:noVBand="1"/>
      </w:tblPr>
      <w:tblGrid>
        <w:gridCol w:w="988"/>
        <w:gridCol w:w="1984"/>
        <w:gridCol w:w="2553"/>
        <w:gridCol w:w="1841"/>
        <w:gridCol w:w="1827"/>
        <w:gridCol w:w="3217"/>
        <w:gridCol w:w="1540"/>
      </w:tblGrid>
      <w:tr w:rsidR="00EB5197" w:rsidRPr="00525EF3" w14:paraId="1C6BD7A0" w14:textId="77777777" w:rsidTr="002A5892">
        <w:trPr>
          <w:tblHeader/>
        </w:trPr>
        <w:tc>
          <w:tcPr>
            <w:tcW w:w="354" w:type="pct"/>
            <w:shd w:val="clear" w:color="auto" w:fill="BFBFBF" w:themeFill="background1" w:themeFillShade="BF"/>
          </w:tcPr>
          <w:p w14:paraId="3813EDA2" w14:textId="77777777" w:rsidR="00EB5197" w:rsidRPr="00525EF3" w:rsidRDefault="00EB5197" w:rsidP="002A5892">
            <w:pPr>
              <w:spacing w:after="80"/>
              <w:rPr>
                <w:rFonts w:cstheme="minorHAnsi"/>
                <w:b/>
                <w:sz w:val="16"/>
                <w:szCs w:val="16"/>
              </w:rPr>
            </w:pPr>
            <w:r w:rsidRPr="00525EF3">
              <w:rPr>
                <w:rFonts w:cstheme="minorHAnsi"/>
                <w:b/>
                <w:sz w:val="16"/>
                <w:szCs w:val="16"/>
              </w:rPr>
              <w:t>Type</w:t>
            </w:r>
          </w:p>
        </w:tc>
        <w:tc>
          <w:tcPr>
            <w:tcW w:w="711" w:type="pct"/>
            <w:shd w:val="clear" w:color="auto" w:fill="BFBFBF" w:themeFill="background1" w:themeFillShade="BF"/>
          </w:tcPr>
          <w:p w14:paraId="6F9028C1" w14:textId="77777777" w:rsidR="00EB5197" w:rsidRPr="00525EF3" w:rsidRDefault="00EB5197" w:rsidP="002A5892">
            <w:pPr>
              <w:spacing w:after="80"/>
              <w:rPr>
                <w:rFonts w:cstheme="minorHAnsi"/>
                <w:b/>
                <w:sz w:val="16"/>
                <w:szCs w:val="16"/>
              </w:rPr>
            </w:pPr>
            <w:r w:rsidRPr="00525EF3">
              <w:rPr>
                <w:rFonts w:cstheme="minorHAnsi"/>
                <w:b/>
                <w:sz w:val="16"/>
                <w:szCs w:val="16"/>
              </w:rPr>
              <w:t>Ecological objective</w:t>
            </w:r>
          </w:p>
        </w:tc>
        <w:tc>
          <w:tcPr>
            <w:tcW w:w="915" w:type="pct"/>
            <w:shd w:val="clear" w:color="auto" w:fill="BFBFBF" w:themeFill="background1" w:themeFillShade="BF"/>
          </w:tcPr>
          <w:p w14:paraId="08786A34" w14:textId="77777777" w:rsidR="00EB5197" w:rsidRPr="00525EF3" w:rsidRDefault="00EB5197" w:rsidP="002A5892">
            <w:pPr>
              <w:spacing w:after="80"/>
              <w:rPr>
                <w:rFonts w:cstheme="minorHAnsi"/>
                <w:b/>
                <w:sz w:val="16"/>
                <w:szCs w:val="16"/>
              </w:rPr>
            </w:pPr>
            <w:r w:rsidRPr="00525EF3">
              <w:rPr>
                <w:rFonts w:cstheme="minorHAnsi"/>
                <w:b/>
                <w:sz w:val="16"/>
                <w:szCs w:val="16"/>
              </w:rPr>
              <w:t>Ecological targets</w:t>
            </w:r>
          </w:p>
        </w:tc>
        <w:tc>
          <w:tcPr>
            <w:tcW w:w="660" w:type="pct"/>
            <w:shd w:val="clear" w:color="auto" w:fill="BFBFBF" w:themeFill="background1" w:themeFillShade="BF"/>
          </w:tcPr>
          <w:p w14:paraId="0E8F0A8F" w14:textId="77777777" w:rsidR="00EB5197" w:rsidRPr="00525EF3" w:rsidRDefault="00EB5197" w:rsidP="002A5892">
            <w:pPr>
              <w:spacing w:after="80"/>
              <w:rPr>
                <w:rFonts w:cstheme="minorHAnsi"/>
                <w:b/>
                <w:sz w:val="16"/>
                <w:szCs w:val="16"/>
              </w:rPr>
            </w:pPr>
            <w:r>
              <w:rPr>
                <w:rFonts w:cstheme="minorHAnsi"/>
                <w:b/>
                <w:sz w:val="16"/>
                <w:szCs w:val="16"/>
              </w:rPr>
              <w:t>Short-term expected outcome (2019)</w:t>
            </w:r>
          </w:p>
        </w:tc>
        <w:tc>
          <w:tcPr>
            <w:tcW w:w="655" w:type="pct"/>
            <w:shd w:val="clear" w:color="auto" w:fill="BFBFBF" w:themeFill="background1" w:themeFillShade="BF"/>
          </w:tcPr>
          <w:p w14:paraId="2094D63C" w14:textId="77777777" w:rsidR="00EB5197" w:rsidRPr="00525EF3" w:rsidRDefault="00EB5197" w:rsidP="002A5892">
            <w:pPr>
              <w:spacing w:after="80"/>
              <w:rPr>
                <w:rFonts w:cstheme="minorHAnsi"/>
                <w:b/>
                <w:sz w:val="16"/>
                <w:szCs w:val="16"/>
              </w:rPr>
            </w:pPr>
            <w:r>
              <w:rPr>
                <w:rFonts w:cstheme="minorHAnsi"/>
                <w:b/>
                <w:sz w:val="16"/>
                <w:szCs w:val="16"/>
              </w:rPr>
              <w:t>Intermediate expected outcome (2029)</w:t>
            </w:r>
          </w:p>
        </w:tc>
        <w:tc>
          <w:tcPr>
            <w:tcW w:w="1153" w:type="pct"/>
            <w:shd w:val="clear" w:color="auto" w:fill="BFBFBF" w:themeFill="background1" w:themeFillShade="BF"/>
          </w:tcPr>
          <w:p w14:paraId="08EB7DD0" w14:textId="77777777" w:rsidR="00EB5197" w:rsidRPr="00525EF3" w:rsidRDefault="00EB5197" w:rsidP="002A5892">
            <w:pPr>
              <w:spacing w:after="80"/>
              <w:rPr>
                <w:rFonts w:cstheme="minorHAnsi"/>
                <w:b/>
                <w:sz w:val="16"/>
                <w:szCs w:val="16"/>
              </w:rPr>
            </w:pPr>
            <w:r>
              <w:rPr>
                <w:rFonts w:cstheme="minorHAnsi"/>
                <w:b/>
                <w:sz w:val="16"/>
                <w:szCs w:val="16"/>
              </w:rPr>
              <w:t>E</w:t>
            </w:r>
            <w:r w:rsidRPr="00525EF3">
              <w:rPr>
                <w:rFonts w:cstheme="minorHAnsi"/>
                <w:b/>
                <w:sz w:val="16"/>
                <w:szCs w:val="16"/>
              </w:rPr>
              <w:t>valuation question</w:t>
            </w:r>
            <w:r>
              <w:rPr>
                <w:rFonts w:cstheme="minorHAnsi"/>
                <w:b/>
                <w:sz w:val="16"/>
                <w:szCs w:val="16"/>
              </w:rPr>
              <w:t>s</w:t>
            </w:r>
          </w:p>
        </w:tc>
        <w:tc>
          <w:tcPr>
            <w:tcW w:w="552" w:type="pct"/>
            <w:shd w:val="clear" w:color="auto" w:fill="BFBFBF" w:themeFill="background1" w:themeFillShade="BF"/>
          </w:tcPr>
          <w:p w14:paraId="4D464903" w14:textId="77777777" w:rsidR="00EB5197" w:rsidRPr="00525EF3" w:rsidRDefault="00EB5197" w:rsidP="002A5892">
            <w:pPr>
              <w:spacing w:after="80"/>
              <w:rPr>
                <w:rFonts w:cstheme="minorHAnsi"/>
                <w:b/>
                <w:sz w:val="16"/>
                <w:szCs w:val="16"/>
              </w:rPr>
            </w:pPr>
            <w:r>
              <w:rPr>
                <w:rFonts w:cstheme="minorHAnsi"/>
                <w:b/>
                <w:sz w:val="16"/>
                <w:szCs w:val="16"/>
              </w:rPr>
              <w:t>MER</w:t>
            </w:r>
            <w:r w:rsidRPr="00525EF3">
              <w:rPr>
                <w:rFonts w:cstheme="minorHAnsi"/>
                <w:b/>
                <w:sz w:val="16"/>
                <w:szCs w:val="16"/>
              </w:rPr>
              <w:t xml:space="preserve"> indicator</w:t>
            </w:r>
          </w:p>
        </w:tc>
      </w:tr>
      <w:tr w:rsidR="00EB5197" w:rsidRPr="00525EF3" w14:paraId="29789A2D" w14:textId="77777777" w:rsidTr="002A5892">
        <w:trPr>
          <w:trHeight w:val="1510"/>
        </w:trPr>
        <w:tc>
          <w:tcPr>
            <w:tcW w:w="354" w:type="pct"/>
            <w:vMerge w:val="restart"/>
          </w:tcPr>
          <w:p w14:paraId="703BDF4D" w14:textId="77777777" w:rsidR="00EB5197" w:rsidRPr="00525EF3" w:rsidRDefault="00EB5197" w:rsidP="002A5892">
            <w:pPr>
              <w:spacing w:after="80"/>
              <w:rPr>
                <w:rFonts w:cstheme="minorHAnsi"/>
                <w:sz w:val="16"/>
                <w:szCs w:val="16"/>
              </w:rPr>
            </w:pPr>
            <w:r w:rsidRPr="00525EF3">
              <w:rPr>
                <w:rFonts w:cstheme="minorHAnsi"/>
                <w:sz w:val="16"/>
                <w:szCs w:val="16"/>
              </w:rPr>
              <w:t>Ecosystem processes</w:t>
            </w:r>
          </w:p>
        </w:tc>
        <w:tc>
          <w:tcPr>
            <w:tcW w:w="711" w:type="pct"/>
          </w:tcPr>
          <w:p w14:paraId="43F2866E" w14:textId="77777777" w:rsidR="00EB5197" w:rsidRPr="00525EF3" w:rsidRDefault="00EB5197" w:rsidP="002A5892">
            <w:pPr>
              <w:autoSpaceDE w:val="0"/>
              <w:autoSpaceDN w:val="0"/>
              <w:adjustRightInd w:val="0"/>
              <w:spacing w:after="80"/>
              <w:rPr>
                <w:rFonts w:cstheme="minorHAnsi"/>
                <w:sz w:val="16"/>
                <w:szCs w:val="16"/>
              </w:rPr>
            </w:pPr>
            <w:r w:rsidRPr="00525EF3">
              <w:rPr>
                <w:rFonts w:cstheme="minorHAnsi"/>
                <w:sz w:val="16"/>
                <w:szCs w:val="16"/>
              </w:rPr>
              <w:t>Provide for the mobilisation of carbon and nutrients from the floodplain to the river to reduce the reliance of in-stream foodwebs on autochthonous productivity.</w:t>
            </w:r>
          </w:p>
        </w:tc>
        <w:tc>
          <w:tcPr>
            <w:tcW w:w="915" w:type="pct"/>
          </w:tcPr>
          <w:p w14:paraId="4A1C14BC" w14:textId="77777777" w:rsidR="00EB5197" w:rsidRPr="00525EF3" w:rsidRDefault="00EB5197" w:rsidP="002A5892">
            <w:pPr>
              <w:autoSpaceDE w:val="0"/>
              <w:autoSpaceDN w:val="0"/>
              <w:adjustRightInd w:val="0"/>
              <w:spacing w:after="80"/>
              <w:rPr>
                <w:rFonts w:cstheme="minorHAnsi"/>
                <w:sz w:val="16"/>
                <w:szCs w:val="16"/>
              </w:rPr>
            </w:pPr>
            <w:r w:rsidRPr="00D44F00">
              <w:rPr>
                <w:rFonts w:cstheme="minorHAnsi"/>
                <w:sz w:val="16"/>
                <w:szCs w:val="16"/>
              </w:rPr>
              <w:t>Open-water productivity shows a temporary shift from near zero or autotrophic dominance (positive Net Daily Metabolism) towards heterotrophy (negative Net Daily Metabolism) when QSA &gt;30,000 ML.day</w:t>
            </w:r>
            <w:r w:rsidRPr="00D44F00">
              <w:rPr>
                <w:rFonts w:cstheme="minorHAnsi"/>
                <w:sz w:val="16"/>
                <w:szCs w:val="16"/>
                <w:vertAlign w:val="superscript"/>
              </w:rPr>
              <w:noBreakHyphen/>
              <w:t>1</w:t>
            </w:r>
            <w:r w:rsidRPr="00D44F00">
              <w:rPr>
                <w:rFonts w:cstheme="minorHAnsi"/>
                <w:sz w:val="16"/>
                <w:szCs w:val="16"/>
              </w:rPr>
              <w:t>.</w:t>
            </w:r>
          </w:p>
        </w:tc>
        <w:tc>
          <w:tcPr>
            <w:tcW w:w="660" w:type="pct"/>
          </w:tcPr>
          <w:p w14:paraId="325443EB" w14:textId="77777777" w:rsidR="00EB5197" w:rsidRPr="004F042F" w:rsidRDefault="00EB5197" w:rsidP="002A5892">
            <w:pPr>
              <w:spacing w:after="80"/>
              <w:rPr>
                <w:rFonts w:cstheme="minorHAnsi"/>
                <w:sz w:val="16"/>
                <w:szCs w:val="16"/>
              </w:rPr>
            </w:pPr>
            <w:r w:rsidRPr="004F042F">
              <w:rPr>
                <w:rFonts w:cstheme="minorHAnsi"/>
                <w:sz w:val="16"/>
                <w:szCs w:val="16"/>
              </w:rPr>
              <w:t>Outcome being developed – can be updated once complete</w:t>
            </w:r>
          </w:p>
        </w:tc>
        <w:tc>
          <w:tcPr>
            <w:tcW w:w="655" w:type="pct"/>
          </w:tcPr>
          <w:p w14:paraId="65BE5D1E" w14:textId="77777777" w:rsidR="00EB5197" w:rsidRPr="004F042F" w:rsidRDefault="00EB5197" w:rsidP="002A5892">
            <w:pPr>
              <w:spacing w:after="80"/>
              <w:rPr>
                <w:rFonts w:cstheme="minorHAnsi"/>
                <w:sz w:val="16"/>
                <w:szCs w:val="16"/>
              </w:rPr>
            </w:pPr>
            <w:r w:rsidRPr="004F042F">
              <w:rPr>
                <w:rFonts w:cstheme="minorHAnsi"/>
                <w:sz w:val="16"/>
                <w:szCs w:val="16"/>
              </w:rPr>
              <w:t>Outcome being developed – can be updated once complete</w:t>
            </w:r>
          </w:p>
        </w:tc>
        <w:tc>
          <w:tcPr>
            <w:tcW w:w="1153" w:type="pct"/>
          </w:tcPr>
          <w:p w14:paraId="5307446E" w14:textId="77777777" w:rsidR="00EB5197" w:rsidRPr="0061214F" w:rsidRDefault="00EB5197" w:rsidP="002A5892">
            <w:pPr>
              <w:spacing w:after="80"/>
              <w:rPr>
                <w:rFonts w:cstheme="minorHAnsi"/>
                <w:sz w:val="16"/>
                <w:szCs w:val="16"/>
              </w:rPr>
            </w:pPr>
            <w:r>
              <w:rPr>
                <w:rFonts w:cstheme="minorHAnsi"/>
                <w:sz w:val="16"/>
                <w:szCs w:val="16"/>
              </w:rPr>
              <w:t xml:space="preserve">Year 1 only: </w:t>
            </w:r>
            <w:r w:rsidRPr="0061214F">
              <w:rPr>
                <w:rFonts w:cstheme="minorHAnsi"/>
                <w:sz w:val="16"/>
                <w:szCs w:val="16"/>
              </w:rPr>
              <w:t xml:space="preserve">To what extent did CEW contribute to achieving the short-term expected outcome for </w:t>
            </w:r>
            <w:r>
              <w:rPr>
                <w:rFonts w:cstheme="minorHAnsi"/>
                <w:sz w:val="16"/>
                <w:szCs w:val="16"/>
              </w:rPr>
              <w:t>open-water productivity</w:t>
            </w:r>
            <w:r w:rsidRPr="0061214F">
              <w:rPr>
                <w:rFonts w:cstheme="minorHAnsi"/>
                <w:sz w:val="16"/>
                <w:szCs w:val="16"/>
              </w:rPr>
              <w:t xml:space="preserve"> in the </w:t>
            </w:r>
            <w:r>
              <w:rPr>
                <w:rFonts w:cstheme="minorHAnsi"/>
                <w:sz w:val="16"/>
                <w:szCs w:val="16"/>
              </w:rPr>
              <w:t>Lower Murray?</w:t>
            </w:r>
          </w:p>
          <w:p w14:paraId="58D90574" w14:textId="77777777" w:rsidR="00EB5197" w:rsidRPr="00525EF3" w:rsidRDefault="00EB5197" w:rsidP="002A5892">
            <w:pPr>
              <w:spacing w:after="80"/>
              <w:rPr>
                <w:rFonts w:cstheme="minorHAnsi"/>
                <w:sz w:val="16"/>
                <w:szCs w:val="16"/>
              </w:rPr>
            </w:pPr>
            <w:r w:rsidRPr="0061214F">
              <w:rPr>
                <w:rFonts w:cstheme="minorHAnsi"/>
                <w:sz w:val="16"/>
                <w:szCs w:val="16"/>
              </w:rPr>
              <w:t xml:space="preserve">All </w:t>
            </w:r>
            <w:r>
              <w:rPr>
                <w:rFonts w:cstheme="minorHAnsi"/>
                <w:sz w:val="16"/>
                <w:szCs w:val="16"/>
              </w:rPr>
              <w:t>years</w:t>
            </w:r>
            <w:r w:rsidRPr="0061214F">
              <w:rPr>
                <w:rFonts w:cstheme="minorHAnsi"/>
                <w:sz w:val="16"/>
                <w:szCs w:val="16"/>
              </w:rPr>
              <w:t>:</w:t>
            </w:r>
            <w:r>
              <w:rPr>
                <w:rFonts w:cstheme="minorHAnsi"/>
                <w:sz w:val="16"/>
                <w:szCs w:val="16"/>
              </w:rPr>
              <w:t xml:space="preserve"> </w:t>
            </w:r>
            <w:r w:rsidRPr="0061214F">
              <w:rPr>
                <w:rFonts w:cstheme="minorHAnsi"/>
                <w:sz w:val="16"/>
                <w:szCs w:val="16"/>
              </w:rPr>
              <w:t xml:space="preserve">To what extent did CEW contribute to progress toward the intermediate expected outcome for </w:t>
            </w:r>
            <w:r>
              <w:rPr>
                <w:rFonts w:cstheme="minorHAnsi"/>
                <w:sz w:val="16"/>
                <w:szCs w:val="16"/>
              </w:rPr>
              <w:t>open-water productivity</w:t>
            </w:r>
            <w:r w:rsidRPr="0061214F">
              <w:rPr>
                <w:rFonts w:cstheme="minorHAnsi"/>
                <w:sz w:val="16"/>
                <w:szCs w:val="16"/>
              </w:rPr>
              <w:t xml:space="preserve"> in the </w:t>
            </w:r>
            <w:r>
              <w:rPr>
                <w:rFonts w:cstheme="minorHAnsi"/>
                <w:sz w:val="16"/>
                <w:szCs w:val="16"/>
              </w:rPr>
              <w:t>Lower Murray</w:t>
            </w:r>
            <w:r w:rsidRPr="0061214F">
              <w:rPr>
                <w:rFonts w:cstheme="minorHAnsi"/>
                <w:sz w:val="16"/>
                <w:szCs w:val="16"/>
              </w:rPr>
              <w:t>?</w:t>
            </w:r>
          </w:p>
        </w:tc>
        <w:tc>
          <w:tcPr>
            <w:tcW w:w="552" w:type="pct"/>
          </w:tcPr>
          <w:p w14:paraId="18B316A6" w14:textId="77777777" w:rsidR="00EB5197" w:rsidRPr="00525EF3" w:rsidRDefault="00EB5197" w:rsidP="002A5892">
            <w:pPr>
              <w:spacing w:after="80"/>
              <w:rPr>
                <w:rFonts w:cstheme="minorHAnsi"/>
                <w:sz w:val="16"/>
                <w:szCs w:val="16"/>
              </w:rPr>
            </w:pPr>
            <w:r w:rsidRPr="00525EF3">
              <w:rPr>
                <w:rFonts w:cstheme="minorHAnsi"/>
                <w:sz w:val="16"/>
                <w:szCs w:val="16"/>
              </w:rPr>
              <w:t>Category 1 Stream Metabolism</w:t>
            </w:r>
            <w:r>
              <w:rPr>
                <w:rFonts w:cstheme="minorHAnsi"/>
                <w:sz w:val="16"/>
                <w:szCs w:val="16"/>
              </w:rPr>
              <w:t xml:space="preserve"> and Water Quality</w:t>
            </w:r>
            <w:r w:rsidRPr="00525EF3">
              <w:rPr>
                <w:rFonts w:cstheme="minorHAnsi"/>
                <w:sz w:val="16"/>
                <w:szCs w:val="16"/>
              </w:rPr>
              <w:t xml:space="preserve"> </w:t>
            </w:r>
          </w:p>
        </w:tc>
      </w:tr>
      <w:tr w:rsidR="00EB5197" w:rsidRPr="00525EF3" w14:paraId="4D0BBC90" w14:textId="77777777" w:rsidTr="002A5892">
        <w:trPr>
          <w:trHeight w:val="621"/>
        </w:trPr>
        <w:tc>
          <w:tcPr>
            <w:tcW w:w="354" w:type="pct"/>
            <w:vMerge/>
          </w:tcPr>
          <w:p w14:paraId="12BF68D9" w14:textId="77777777" w:rsidR="00EB5197" w:rsidRPr="00525EF3" w:rsidRDefault="00EB5197" w:rsidP="002A5892">
            <w:pPr>
              <w:spacing w:after="80"/>
              <w:rPr>
                <w:rFonts w:cstheme="minorHAnsi"/>
                <w:sz w:val="16"/>
                <w:szCs w:val="16"/>
              </w:rPr>
            </w:pPr>
          </w:p>
        </w:tc>
        <w:tc>
          <w:tcPr>
            <w:tcW w:w="711" w:type="pct"/>
            <w:vMerge w:val="restart"/>
          </w:tcPr>
          <w:p w14:paraId="5425FEA9" w14:textId="77777777" w:rsidR="00EB5197" w:rsidRPr="00525EF3" w:rsidRDefault="00EB5197" w:rsidP="002A5892">
            <w:pPr>
              <w:autoSpaceDE w:val="0"/>
              <w:autoSpaceDN w:val="0"/>
              <w:adjustRightInd w:val="0"/>
              <w:spacing w:after="80"/>
              <w:rPr>
                <w:rFonts w:cstheme="minorHAnsi"/>
                <w:sz w:val="16"/>
                <w:szCs w:val="16"/>
              </w:rPr>
            </w:pPr>
            <w:r w:rsidRPr="00525EF3">
              <w:rPr>
                <w:rFonts w:cstheme="minorHAnsi"/>
                <w:sz w:val="16"/>
                <w:szCs w:val="16"/>
              </w:rPr>
              <w:t>Provide diverse hydraulic conditions over the range of velocity classes in the lower third of weir pools so that habitat and processes for dispersal of organic and inorganic material between reaches are maintained.</w:t>
            </w:r>
          </w:p>
        </w:tc>
        <w:tc>
          <w:tcPr>
            <w:tcW w:w="915" w:type="pct"/>
            <w:vMerge w:val="restart"/>
          </w:tcPr>
          <w:p w14:paraId="50A76B37" w14:textId="77777777" w:rsidR="00EB5197" w:rsidRPr="00525EF3" w:rsidRDefault="00EB5197" w:rsidP="002A5892">
            <w:pPr>
              <w:autoSpaceDE w:val="0"/>
              <w:autoSpaceDN w:val="0"/>
              <w:adjustRightInd w:val="0"/>
              <w:spacing w:after="80"/>
              <w:rPr>
                <w:rFonts w:cstheme="minorHAnsi"/>
                <w:sz w:val="16"/>
                <w:szCs w:val="16"/>
              </w:rPr>
            </w:pPr>
            <w:r w:rsidRPr="00D44F00">
              <w:rPr>
                <w:rFonts w:cstheme="minorHAnsi"/>
                <w:sz w:val="16"/>
                <w:szCs w:val="16"/>
              </w:rPr>
              <w:t>Habitat across the range of velocity classes is present in the lower third of weir pools for at least 60 consecutive days in Sep–Mar, at a maximum interval of 2 years.</w:t>
            </w:r>
          </w:p>
        </w:tc>
        <w:tc>
          <w:tcPr>
            <w:tcW w:w="660" w:type="pct"/>
          </w:tcPr>
          <w:p w14:paraId="41C9044F" w14:textId="77777777" w:rsidR="00EB5197" w:rsidRPr="00525EF3" w:rsidRDefault="00EB5197" w:rsidP="002A5892">
            <w:pPr>
              <w:spacing w:after="80"/>
              <w:rPr>
                <w:rFonts w:cstheme="minorHAnsi"/>
                <w:sz w:val="16"/>
                <w:szCs w:val="16"/>
              </w:rPr>
            </w:pPr>
          </w:p>
        </w:tc>
        <w:tc>
          <w:tcPr>
            <w:tcW w:w="655" w:type="pct"/>
          </w:tcPr>
          <w:p w14:paraId="57B710AE" w14:textId="77777777" w:rsidR="00EB5197" w:rsidRPr="00525EF3" w:rsidRDefault="00EB5197" w:rsidP="002A5892">
            <w:pPr>
              <w:spacing w:after="80"/>
              <w:rPr>
                <w:rFonts w:cstheme="minorHAnsi"/>
                <w:sz w:val="16"/>
                <w:szCs w:val="16"/>
              </w:rPr>
            </w:pPr>
          </w:p>
        </w:tc>
        <w:tc>
          <w:tcPr>
            <w:tcW w:w="1153" w:type="pct"/>
          </w:tcPr>
          <w:p w14:paraId="2507D614" w14:textId="77777777" w:rsidR="00EB5197" w:rsidRPr="00525EF3" w:rsidRDefault="00EB5197" w:rsidP="002A5892">
            <w:pPr>
              <w:spacing w:after="80"/>
              <w:rPr>
                <w:rFonts w:cstheme="minorHAnsi"/>
                <w:sz w:val="16"/>
                <w:szCs w:val="16"/>
              </w:rPr>
            </w:pPr>
            <w:r>
              <w:rPr>
                <w:rFonts w:cstheme="minorHAnsi"/>
                <w:sz w:val="16"/>
                <w:szCs w:val="16"/>
              </w:rPr>
              <w:t>To what extent did</w:t>
            </w:r>
            <w:r w:rsidRPr="00525EF3">
              <w:rPr>
                <w:rFonts w:cstheme="minorHAnsi"/>
                <w:sz w:val="16"/>
                <w:szCs w:val="16"/>
              </w:rPr>
              <w:t xml:space="preserve"> CEW contribute to meeting the EWRs (all metrics) for the</w:t>
            </w:r>
            <w:r>
              <w:rPr>
                <w:rFonts w:cstheme="minorHAnsi"/>
                <w:sz w:val="16"/>
                <w:szCs w:val="16"/>
              </w:rPr>
              <w:t xml:space="preserve"> Lower Murray</w:t>
            </w:r>
            <w:r w:rsidRPr="00525EF3">
              <w:rPr>
                <w:rFonts w:cstheme="minorHAnsi"/>
                <w:sz w:val="16"/>
                <w:szCs w:val="16"/>
              </w:rPr>
              <w:t xml:space="preserve"> Channel?</w:t>
            </w:r>
          </w:p>
        </w:tc>
        <w:tc>
          <w:tcPr>
            <w:tcW w:w="552" w:type="pct"/>
          </w:tcPr>
          <w:p w14:paraId="38AC8233" w14:textId="77777777" w:rsidR="00EB5197" w:rsidRPr="00525EF3" w:rsidRDefault="00EB5197" w:rsidP="002A5892">
            <w:pPr>
              <w:spacing w:after="80"/>
              <w:rPr>
                <w:rFonts w:cstheme="minorHAnsi"/>
                <w:sz w:val="16"/>
                <w:szCs w:val="16"/>
              </w:rPr>
            </w:pPr>
            <w:r w:rsidRPr="00525EF3">
              <w:rPr>
                <w:rFonts w:cstheme="minorHAnsi"/>
                <w:sz w:val="16"/>
                <w:szCs w:val="16"/>
              </w:rPr>
              <w:t>Category 1 Hydrology</w:t>
            </w:r>
            <w:r>
              <w:rPr>
                <w:rFonts w:cstheme="minorHAnsi"/>
                <w:sz w:val="16"/>
                <w:szCs w:val="16"/>
              </w:rPr>
              <w:t xml:space="preserve"> (Channel)</w:t>
            </w:r>
          </w:p>
        </w:tc>
      </w:tr>
      <w:tr w:rsidR="00EB5197" w:rsidRPr="00525EF3" w14:paraId="3AEDE546" w14:textId="77777777" w:rsidTr="002A5892">
        <w:trPr>
          <w:trHeight w:val="1925"/>
        </w:trPr>
        <w:tc>
          <w:tcPr>
            <w:tcW w:w="354" w:type="pct"/>
            <w:vMerge/>
          </w:tcPr>
          <w:p w14:paraId="564DB894" w14:textId="77777777" w:rsidR="00EB5197" w:rsidRPr="00525EF3" w:rsidRDefault="00EB5197" w:rsidP="002A5892">
            <w:pPr>
              <w:spacing w:after="80"/>
              <w:rPr>
                <w:rFonts w:cstheme="minorHAnsi"/>
                <w:sz w:val="16"/>
                <w:szCs w:val="16"/>
              </w:rPr>
            </w:pPr>
          </w:p>
        </w:tc>
        <w:tc>
          <w:tcPr>
            <w:tcW w:w="711" w:type="pct"/>
            <w:vMerge/>
          </w:tcPr>
          <w:p w14:paraId="7EAEDE8D" w14:textId="77777777" w:rsidR="00EB5197" w:rsidRPr="00525EF3" w:rsidRDefault="00EB5197" w:rsidP="002A5892">
            <w:pPr>
              <w:autoSpaceDE w:val="0"/>
              <w:autoSpaceDN w:val="0"/>
              <w:adjustRightInd w:val="0"/>
              <w:spacing w:after="80"/>
              <w:rPr>
                <w:rFonts w:cstheme="minorHAnsi"/>
                <w:sz w:val="16"/>
                <w:szCs w:val="16"/>
              </w:rPr>
            </w:pPr>
          </w:p>
        </w:tc>
        <w:tc>
          <w:tcPr>
            <w:tcW w:w="915" w:type="pct"/>
            <w:vMerge/>
          </w:tcPr>
          <w:p w14:paraId="159CD0CB" w14:textId="77777777" w:rsidR="00EB5197" w:rsidRPr="00525EF3" w:rsidRDefault="00EB5197" w:rsidP="002A5892">
            <w:pPr>
              <w:autoSpaceDE w:val="0"/>
              <w:autoSpaceDN w:val="0"/>
              <w:adjustRightInd w:val="0"/>
              <w:spacing w:after="80"/>
              <w:rPr>
                <w:rFonts w:cstheme="minorHAnsi"/>
                <w:sz w:val="16"/>
                <w:szCs w:val="16"/>
              </w:rPr>
            </w:pPr>
          </w:p>
        </w:tc>
        <w:tc>
          <w:tcPr>
            <w:tcW w:w="660" w:type="pct"/>
          </w:tcPr>
          <w:p w14:paraId="3C02C21B" w14:textId="77777777" w:rsidR="00EB5197" w:rsidRPr="00525EF3" w:rsidRDefault="00EB5197" w:rsidP="002A5892">
            <w:pPr>
              <w:spacing w:after="80"/>
              <w:rPr>
                <w:rFonts w:cstheme="minorHAnsi"/>
                <w:sz w:val="16"/>
                <w:szCs w:val="16"/>
              </w:rPr>
            </w:pPr>
            <w:r w:rsidRPr="0061214F">
              <w:rPr>
                <w:rFonts w:cstheme="minorHAnsi"/>
                <w:sz w:val="16"/>
                <w:szCs w:val="16"/>
              </w:rPr>
              <w:t>Between 2013 and 2019, the majority of lower third weir pools will have median cross-sectional velocities of &gt; 0.3 m/s for at least 60 consecutive days between September-March in 2 of the 7 years.</w:t>
            </w:r>
          </w:p>
        </w:tc>
        <w:tc>
          <w:tcPr>
            <w:tcW w:w="655" w:type="pct"/>
          </w:tcPr>
          <w:p w14:paraId="50DD4ECA" w14:textId="77777777" w:rsidR="00EB5197" w:rsidRPr="00525EF3" w:rsidRDefault="00EB5197" w:rsidP="002A5892">
            <w:pPr>
              <w:spacing w:after="80"/>
              <w:rPr>
                <w:rFonts w:cstheme="minorHAnsi"/>
                <w:sz w:val="16"/>
                <w:szCs w:val="16"/>
              </w:rPr>
            </w:pPr>
            <w:r w:rsidRPr="0061214F">
              <w:rPr>
                <w:rFonts w:cstheme="minorHAnsi"/>
                <w:sz w:val="16"/>
                <w:szCs w:val="16"/>
              </w:rPr>
              <w:t>Between 2013 and 2029, the majority of lower third weir pools will have median cross-sectional velocities of &gt; 0.3 m/s for at least 60 consecutive days between September-March in 5 of the 17 years.</w:t>
            </w:r>
          </w:p>
        </w:tc>
        <w:tc>
          <w:tcPr>
            <w:tcW w:w="1153" w:type="pct"/>
          </w:tcPr>
          <w:p w14:paraId="55247213" w14:textId="77777777" w:rsidR="00EB5197" w:rsidRPr="0061214F" w:rsidRDefault="00EB5197" w:rsidP="002A5892">
            <w:pPr>
              <w:spacing w:after="80"/>
              <w:rPr>
                <w:rFonts w:cstheme="minorHAnsi"/>
                <w:sz w:val="16"/>
                <w:szCs w:val="16"/>
              </w:rPr>
            </w:pPr>
            <w:r>
              <w:rPr>
                <w:rFonts w:cstheme="minorHAnsi"/>
                <w:sz w:val="16"/>
                <w:szCs w:val="16"/>
              </w:rPr>
              <w:t xml:space="preserve">Year 1 only: </w:t>
            </w:r>
            <w:r w:rsidRPr="0061214F">
              <w:rPr>
                <w:rFonts w:cstheme="minorHAnsi"/>
                <w:sz w:val="16"/>
                <w:szCs w:val="16"/>
              </w:rPr>
              <w:t xml:space="preserve">To what extent did CEW contribute to achieving the short-term expected outcome for </w:t>
            </w:r>
            <w:r>
              <w:rPr>
                <w:rFonts w:cstheme="minorHAnsi"/>
                <w:sz w:val="16"/>
                <w:szCs w:val="16"/>
              </w:rPr>
              <w:t>velocity</w:t>
            </w:r>
            <w:r w:rsidRPr="0061214F">
              <w:rPr>
                <w:rFonts w:cstheme="minorHAnsi"/>
                <w:sz w:val="16"/>
                <w:szCs w:val="16"/>
              </w:rPr>
              <w:t xml:space="preserve"> in the </w:t>
            </w:r>
            <w:r>
              <w:rPr>
                <w:rFonts w:cstheme="minorHAnsi"/>
                <w:sz w:val="16"/>
                <w:szCs w:val="16"/>
              </w:rPr>
              <w:t>Lower Murray?</w:t>
            </w:r>
          </w:p>
          <w:p w14:paraId="723922CF" w14:textId="77777777" w:rsidR="00EB5197" w:rsidRPr="00525EF3" w:rsidRDefault="00EB5197" w:rsidP="002A5892">
            <w:pPr>
              <w:spacing w:after="80"/>
              <w:rPr>
                <w:rFonts w:cstheme="minorHAnsi"/>
                <w:sz w:val="16"/>
                <w:szCs w:val="16"/>
              </w:rPr>
            </w:pPr>
            <w:r w:rsidRPr="0061214F">
              <w:rPr>
                <w:rFonts w:cstheme="minorHAnsi"/>
                <w:sz w:val="16"/>
                <w:szCs w:val="16"/>
              </w:rPr>
              <w:t xml:space="preserve">All </w:t>
            </w:r>
            <w:r>
              <w:rPr>
                <w:rFonts w:cstheme="minorHAnsi"/>
                <w:sz w:val="16"/>
                <w:szCs w:val="16"/>
              </w:rPr>
              <w:t>years</w:t>
            </w:r>
            <w:r w:rsidRPr="0061214F">
              <w:rPr>
                <w:rFonts w:cstheme="minorHAnsi"/>
                <w:sz w:val="16"/>
                <w:szCs w:val="16"/>
              </w:rPr>
              <w:t>:</w:t>
            </w:r>
            <w:r>
              <w:rPr>
                <w:rFonts w:cstheme="minorHAnsi"/>
                <w:sz w:val="16"/>
                <w:szCs w:val="16"/>
              </w:rPr>
              <w:t xml:space="preserve"> </w:t>
            </w:r>
            <w:r w:rsidRPr="0061214F">
              <w:rPr>
                <w:rFonts w:cstheme="minorHAnsi"/>
                <w:sz w:val="16"/>
                <w:szCs w:val="16"/>
              </w:rPr>
              <w:t xml:space="preserve">To what extent did CEW contribute to progress toward the intermediate expected outcome for </w:t>
            </w:r>
            <w:r>
              <w:rPr>
                <w:rFonts w:cstheme="minorHAnsi"/>
                <w:sz w:val="16"/>
                <w:szCs w:val="16"/>
              </w:rPr>
              <w:t>velocity</w:t>
            </w:r>
            <w:r w:rsidRPr="0061214F">
              <w:rPr>
                <w:rFonts w:cstheme="minorHAnsi"/>
                <w:sz w:val="16"/>
                <w:szCs w:val="16"/>
              </w:rPr>
              <w:t xml:space="preserve"> in the </w:t>
            </w:r>
            <w:r>
              <w:rPr>
                <w:rFonts w:cstheme="minorHAnsi"/>
                <w:sz w:val="16"/>
                <w:szCs w:val="16"/>
              </w:rPr>
              <w:t>Lower Murray</w:t>
            </w:r>
            <w:r w:rsidRPr="0061214F">
              <w:rPr>
                <w:rFonts w:cstheme="minorHAnsi"/>
                <w:sz w:val="16"/>
                <w:szCs w:val="16"/>
              </w:rPr>
              <w:t>?</w:t>
            </w:r>
          </w:p>
        </w:tc>
        <w:tc>
          <w:tcPr>
            <w:tcW w:w="552" w:type="pct"/>
          </w:tcPr>
          <w:p w14:paraId="14F94C39" w14:textId="77777777" w:rsidR="00EB5197" w:rsidRPr="00525EF3" w:rsidRDefault="00EB5197" w:rsidP="002A5892">
            <w:pPr>
              <w:spacing w:after="80"/>
              <w:rPr>
                <w:rFonts w:cstheme="minorHAnsi"/>
                <w:sz w:val="16"/>
                <w:szCs w:val="16"/>
              </w:rPr>
            </w:pPr>
            <w:r w:rsidRPr="00525EF3">
              <w:rPr>
                <w:rFonts w:cstheme="minorHAnsi"/>
                <w:sz w:val="16"/>
                <w:szCs w:val="16"/>
              </w:rPr>
              <w:t>Category 3 Hydr</w:t>
            </w:r>
            <w:r>
              <w:rPr>
                <w:rFonts w:cstheme="minorHAnsi"/>
                <w:sz w:val="16"/>
                <w:szCs w:val="16"/>
              </w:rPr>
              <w:t>aulic</w:t>
            </w:r>
            <w:r w:rsidRPr="00525EF3">
              <w:rPr>
                <w:rFonts w:cstheme="minorHAnsi"/>
                <w:sz w:val="16"/>
                <w:szCs w:val="16"/>
              </w:rPr>
              <w:t xml:space="preserve"> Regime</w:t>
            </w:r>
          </w:p>
        </w:tc>
      </w:tr>
      <w:tr w:rsidR="00EB5197" w:rsidRPr="00525EF3" w14:paraId="6324FBFC" w14:textId="77777777" w:rsidTr="002A5892">
        <w:trPr>
          <w:trHeight w:val="866"/>
        </w:trPr>
        <w:tc>
          <w:tcPr>
            <w:tcW w:w="354" w:type="pct"/>
            <w:vMerge/>
          </w:tcPr>
          <w:p w14:paraId="53817B9B" w14:textId="77777777" w:rsidR="00EB5197" w:rsidRPr="00525EF3" w:rsidRDefault="00EB5197" w:rsidP="002A5892">
            <w:pPr>
              <w:spacing w:after="80"/>
              <w:rPr>
                <w:rFonts w:cstheme="minorHAnsi"/>
                <w:sz w:val="16"/>
                <w:szCs w:val="16"/>
              </w:rPr>
            </w:pPr>
          </w:p>
        </w:tc>
        <w:tc>
          <w:tcPr>
            <w:tcW w:w="711" w:type="pct"/>
          </w:tcPr>
          <w:p w14:paraId="296FC699" w14:textId="77777777" w:rsidR="00EB5197" w:rsidRPr="00525EF3" w:rsidRDefault="00EB5197" w:rsidP="002A5892">
            <w:pPr>
              <w:autoSpaceDE w:val="0"/>
              <w:autoSpaceDN w:val="0"/>
              <w:adjustRightInd w:val="0"/>
              <w:spacing w:after="80"/>
              <w:rPr>
                <w:rFonts w:cstheme="minorHAnsi"/>
                <w:sz w:val="16"/>
                <w:szCs w:val="16"/>
              </w:rPr>
            </w:pPr>
            <w:r w:rsidRPr="00525EF3">
              <w:rPr>
                <w:rFonts w:cstheme="minorHAnsi"/>
                <w:sz w:val="16"/>
                <w:szCs w:val="16"/>
              </w:rPr>
              <w:t>Maintain habitats and provide for dispersal of organic and inorganic material and organisms between river and wetlands.</w:t>
            </w:r>
          </w:p>
        </w:tc>
        <w:tc>
          <w:tcPr>
            <w:tcW w:w="915" w:type="pct"/>
          </w:tcPr>
          <w:p w14:paraId="40229487" w14:textId="77777777" w:rsidR="00EB5197" w:rsidRPr="00525EF3" w:rsidRDefault="00EB5197" w:rsidP="002A5892">
            <w:pPr>
              <w:autoSpaceDE w:val="0"/>
              <w:autoSpaceDN w:val="0"/>
              <w:adjustRightInd w:val="0"/>
              <w:spacing w:after="80"/>
              <w:rPr>
                <w:rFonts w:cstheme="minorHAnsi"/>
                <w:sz w:val="16"/>
                <w:szCs w:val="16"/>
              </w:rPr>
            </w:pPr>
            <w:r w:rsidRPr="00525EF3">
              <w:rPr>
                <w:rFonts w:cstheme="minorHAnsi"/>
                <w:sz w:val="16"/>
                <w:szCs w:val="16"/>
              </w:rPr>
              <w:t>Inundation periods in temporary wetlands have unrestricted lateral connectivity between the river and wetlands in &gt;90% of inundation events.</w:t>
            </w:r>
          </w:p>
        </w:tc>
        <w:tc>
          <w:tcPr>
            <w:tcW w:w="660" w:type="pct"/>
          </w:tcPr>
          <w:p w14:paraId="09A8DAAF" w14:textId="77777777" w:rsidR="00EB5197" w:rsidRPr="00525EF3" w:rsidRDefault="00EB5197" w:rsidP="002A5892">
            <w:pPr>
              <w:spacing w:after="80"/>
              <w:rPr>
                <w:rFonts w:cstheme="minorHAnsi"/>
                <w:sz w:val="16"/>
                <w:szCs w:val="16"/>
              </w:rPr>
            </w:pPr>
          </w:p>
        </w:tc>
        <w:tc>
          <w:tcPr>
            <w:tcW w:w="655" w:type="pct"/>
          </w:tcPr>
          <w:p w14:paraId="2DDA24AC" w14:textId="77777777" w:rsidR="00EB5197" w:rsidRPr="00525EF3" w:rsidRDefault="00EB5197" w:rsidP="002A5892">
            <w:pPr>
              <w:spacing w:after="80"/>
              <w:rPr>
                <w:rFonts w:cstheme="minorHAnsi"/>
                <w:sz w:val="16"/>
                <w:szCs w:val="16"/>
              </w:rPr>
            </w:pPr>
          </w:p>
        </w:tc>
        <w:tc>
          <w:tcPr>
            <w:tcW w:w="1153" w:type="pct"/>
          </w:tcPr>
          <w:p w14:paraId="24BD9DB2" w14:textId="77777777" w:rsidR="00EB5197" w:rsidRPr="00525EF3" w:rsidRDefault="00EB5197" w:rsidP="002A5892">
            <w:pPr>
              <w:spacing w:after="80"/>
              <w:rPr>
                <w:rFonts w:cstheme="minorHAnsi"/>
                <w:sz w:val="16"/>
                <w:szCs w:val="16"/>
              </w:rPr>
            </w:pPr>
            <w:r>
              <w:rPr>
                <w:rFonts w:cstheme="minorHAnsi"/>
                <w:sz w:val="16"/>
                <w:szCs w:val="16"/>
              </w:rPr>
              <w:t>To what extent did</w:t>
            </w:r>
            <w:r w:rsidRPr="00525EF3">
              <w:rPr>
                <w:rFonts w:cstheme="minorHAnsi"/>
                <w:sz w:val="16"/>
                <w:szCs w:val="16"/>
              </w:rPr>
              <w:t xml:space="preserve"> CEW contribute to increased dispersal of organisms between river and wetlands</w:t>
            </w:r>
            <w:r>
              <w:rPr>
                <w:rFonts w:cstheme="minorHAnsi"/>
                <w:sz w:val="16"/>
                <w:szCs w:val="16"/>
              </w:rPr>
              <w:t xml:space="preserve"> in the Lower Murray</w:t>
            </w:r>
            <w:r w:rsidRPr="00525EF3">
              <w:rPr>
                <w:rFonts w:cstheme="minorHAnsi"/>
                <w:sz w:val="16"/>
                <w:szCs w:val="16"/>
              </w:rPr>
              <w:t>?</w:t>
            </w:r>
          </w:p>
        </w:tc>
        <w:tc>
          <w:tcPr>
            <w:tcW w:w="552" w:type="pct"/>
          </w:tcPr>
          <w:p w14:paraId="19578CE2" w14:textId="77777777" w:rsidR="00EB5197" w:rsidRPr="00525EF3" w:rsidRDefault="00EB5197" w:rsidP="002A5892">
            <w:pPr>
              <w:spacing w:after="80"/>
              <w:rPr>
                <w:rFonts w:cstheme="minorHAnsi"/>
                <w:sz w:val="16"/>
                <w:szCs w:val="16"/>
              </w:rPr>
            </w:pPr>
          </w:p>
          <w:p w14:paraId="4EC47E10" w14:textId="77777777" w:rsidR="00EB5197" w:rsidRPr="00525EF3" w:rsidRDefault="00EB5197" w:rsidP="002A5892">
            <w:pPr>
              <w:spacing w:after="80"/>
              <w:rPr>
                <w:rFonts w:cstheme="minorHAnsi"/>
                <w:sz w:val="16"/>
                <w:szCs w:val="16"/>
              </w:rPr>
            </w:pPr>
            <w:r w:rsidRPr="00525EF3">
              <w:rPr>
                <w:rFonts w:cstheme="minorHAnsi"/>
                <w:sz w:val="16"/>
                <w:szCs w:val="16"/>
              </w:rPr>
              <w:t>Category 3 Micro</w:t>
            </w:r>
            <w:r>
              <w:rPr>
                <w:rFonts w:cstheme="minorHAnsi"/>
                <w:sz w:val="16"/>
                <w:szCs w:val="16"/>
              </w:rPr>
              <w:t>-invertebrate Assemblage</w:t>
            </w:r>
          </w:p>
        </w:tc>
      </w:tr>
      <w:tr w:rsidR="00EB5197" w:rsidRPr="00525EF3" w14:paraId="74F845E6" w14:textId="77777777" w:rsidTr="002A5892">
        <w:tc>
          <w:tcPr>
            <w:tcW w:w="354" w:type="pct"/>
            <w:vMerge w:val="restart"/>
          </w:tcPr>
          <w:p w14:paraId="1CE3DA06" w14:textId="77777777" w:rsidR="00EB5197" w:rsidRPr="00525EF3" w:rsidRDefault="00EB5197" w:rsidP="002A5892">
            <w:pPr>
              <w:spacing w:after="80"/>
              <w:rPr>
                <w:rFonts w:cstheme="minorHAnsi"/>
                <w:sz w:val="16"/>
                <w:szCs w:val="16"/>
              </w:rPr>
            </w:pPr>
            <w:r w:rsidRPr="00525EF3">
              <w:rPr>
                <w:rFonts w:cstheme="minorHAnsi"/>
                <w:sz w:val="16"/>
                <w:szCs w:val="16"/>
              </w:rPr>
              <w:t>Water Quality</w:t>
            </w:r>
          </w:p>
        </w:tc>
        <w:tc>
          <w:tcPr>
            <w:tcW w:w="711" w:type="pct"/>
            <w:vMerge w:val="restart"/>
          </w:tcPr>
          <w:p w14:paraId="6C2FEC19" w14:textId="77777777" w:rsidR="00EB5197" w:rsidRPr="00525EF3" w:rsidRDefault="00EB5197" w:rsidP="002A5892">
            <w:pPr>
              <w:autoSpaceDE w:val="0"/>
              <w:autoSpaceDN w:val="0"/>
              <w:adjustRightInd w:val="0"/>
              <w:spacing w:after="80"/>
              <w:rPr>
                <w:rFonts w:cstheme="minorHAnsi"/>
                <w:sz w:val="16"/>
                <w:szCs w:val="16"/>
              </w:rPr>
            </w:pPr>
            <w:r w:rsidRPr="00525EF3">
              <w:rPr>
                <w:rFonts w:cstheme="minorHAnsi"/>
                <w:sz w:val="16"/>
                <w:szCs w:val="16"/>
              </w:rPr>
              <w:t>Maintain water quality to support aquatic biota and normal biogeochemical processes.</w:t>
            </w:r>
          </w:p>
        </w:tc>
        <w:tc>
          <w:tcPr>
            <w:tcW w:w="915" w:type="pct"/>
            <w:tcBorders>
              <w:right w:val="single" w:sz="4" w:space="0" w:color="auto"/>
            </w:tcBorders>
          </w:tcPr>
          <w:p w14:paraId="058165B5" w14:textId="77777777" w:rsidR="00EB5197" w:rsidRPr="00525EF3" w:rsidRDefault="00EB5197" w:rsidP="002A5892">
            <w:pPr>
              <w:autoSpaceDE w:val="0"/>
              <w:autoSpaceDN w:val="0"/>
              <w:adjustRightInd w:val="0"/>
              <w:spacing w:after="80"/>
              <w:rPr>
                <w:rFonts w:cstheme="minorHAnsi"/>
                <w:sz w:val="16"/>
                <w:szCs w:val="16"/>
              </w:rPr>
            </w:pPr>
            <w:r w:rsidRPr="00525EF3">
              <w:rPr>
                <w:rFonts w:cstheme="minorHAnsi"/>
                <w:sz w:val="16"/>
                <w:szCs w:val="16"/>
              </w:rPr>
              <w:t>Biovolume &lt;4 mm</w:t>
            </w:r>
            <w:r w:rsidRPr="00525EF3">
              <w:rPr>
                <w:rFonts w:cstheme="minorHAnsi"/>
                <w:sz w:val="16"/>
                <w:szCs w:val="16"/>
                <w:vertAlign w:val="superscript"/>
              </w:rPr>
              <w:t>3</w:t>
            </w:r>
            <w:r w:rsidRPr="00525EF3">
              <w:rPr>
                <w:rFonts w:cstheme="minorHAnsi"/>
                <w:sz w:val="16"/>
                <w:szCs w:val="16"/>
              </w:rPr>
              <w:t xml:space="preserve"> L</w:t>
            </w:r>
            <w:r w:rsidRPr="00525EF3">
              <w:rPr>
                <w:rFonts w:cstheme="minorHAnsi"/>
                <w:sz w:val="16"/>
                <w:szCs w:val="16"/>
                <w:vertAlign w:val="superscript"/>
              </w:rPr>
              <w:t>-1</w:t>
            </w:r>
            <w:r w:rsidRPr="00525EF3">
              <w:rPr>
                <w:rFonts w:cstheme="minorHAnsi"/>
                <w:sz w:val="16"/>
                <w:szCs w:val="16"/>
              </w:rPr>
              <w:t xml:space="preserve"> for all Cyanobacteria, where a known toxin producer is dominant.</w:t>
            </w:r>
          </w:p>
        </w:tc>
        <w:tc>
          <w:tcPr>
            <w:tcW w:w="660" w:type="pct"/>
            <w:tcBorders>
              <w:right w:val="single" w:sz="4" w:space="0" w:color="auto"/>
            </w:tcBorders>
          </w:tcPr>
          <w:p w14:paraId="50279683" w14:textId="77777777" w:rsidR="00EB5197" w:rsidRPr="00525EF3" w:rsidRDefault="00EB5197" w:rsidP="002A5892">
            <w:pPr>
              <w:spacing w:after="80"/>
              <w:rPr>
                <w:rFonts w:cstheme="minorHAnsi"/>
                <w:sz w:val="16"/>
                <w:szCs w:val="16"/>
              </w:rPr>
            </w:pPr>
          </w:p>
        </w:tc>
        <w:tc>
          <w:tcPr>
            <w:tcW w:w="655" w:type="pct"/>
            <w:tcBorders>
              <w:right w:val="single" w:sz="4" w:space="0" w:color="auto"/>
            </w:tcBorders>
          </w:tcPr>
          <w:p w14:paraId="19C5FD8D" w14:textId="77777777" w:rsidR="00EB5197" w:rsidRPr="00525EF3" w:rsidRDefault="00EB5197" w:rsidP="002A5892">
            <w:pPr>
              <w:spacing w:after="80"/>
              <w:rPr>
                <w:rFonts w:cstheme="minorHAnsi"/>
                <w:sz w:val="16"/>
                <w:szCs w:val="16"/>
              </w:rPr>
            </w:pPr>
          </w:p>
        </w:tc>
        <w:tc>
          <w:tcPr>
            <w:tcW w:w="1153" w:type="pct"/>
            <w:vMerge w:val="restart"/>
            <w:tcBorders>
              <w:top w:val="single" w:sz="4" w:space="0" w:color="auto"/>
              <w:left w:val="single" w:sz="4" w:space="0" w:color="auto"/>
              <w:bottom w:val="single" w:sz="4" w:space="0" w:color="auto"/>
              <w:right w:val="single" w:sz="4" w:space="0" w:color="auto"/>
            </w:tcBorders>
          </w:tcPr>
          <w:p w14:paraId="5B9CDB85" w14:textId="77777777" w:rsidR="00EB5197" w:rsidRPr="00525EF3" w:rsidRDefault="00EB5197" w:rsidP="002A5892">
            <w:pPr>
              <w:spacing w:after="80"/>
              <w:rPr>
                <w:rFonts w:cstheme="minorHAnsi"/>
                <w:sz w:val="16"/>
                <w:szCs w:val="16"/>
              </w:rPr>
            </w:pPr>
            <w:r>
              <w:rPr>
                <w:rFonts w:cstheme="minorHAnsi"/>
                <w:sz w:val="16"/>
                <w:szCs w:val="16"/>
              </w:rPr>
              <w:t>To what extent did CEW contribute to managing the concentrations of cyanobacteria.</w:t>
            </w:r>
          </w:p>
        </w:tc>
        <w:tc>
          <w:tcPr>
            <w:tcW w:w="552" w:type="pct"/>
            <w:vMerge w:val="restart"/>
            <w:tcBorders>
              <w:top w:val="single" w:sz="4" w:space="0" w:color="auto"/>
              <w:left w:val="single" w:sz="4" w:space="0" w:color="auto"/>
              <w:bottom w:val="single" w:sz="4" w:space="0" w:color="auto"/>
              <w:right w:val="single" w:sz="4" w:space="0" w:color="auto"/>
            </w:tcBorders>
          </w:tcPr>
          <w:p w14:paraId="2B9E5A3B" w14:textId="77777777" w:rsidR="00EB5197" w:rsidRPr="00525EF3" w:rsidRDefault="00EB5197" w:rsidP="002A5892">
            <w:pPr>
              <w:spacing w:after="80"/>
              <w:rPr>
                <w:rFonts w:cstheme="minorHAnsi"/>
                <w:sz w:val="16"/>
                <w:szCs w:val="16"/>
              </w:rPr>
            </w:pPr>
            <w:r w:rsidRPr="00525EF3">
              <w:rPr>
                <w:rFonts w:cstheme="minorHAnsi"/>
                <w:sz w:val="16"/>
                <w:szCs w:val="16"/>
              </w:rPr>
              <w:t>Category 1 Stream Metabolism</w:t>
            </w:r>
            <w:r>
              <w:rPr>
                <w:rFonts w:cstheme="minorHAnsi"/>
                <w:sz w:val="16"/>
                <w:szCs w:val="16"/>
              </w:rPr>
              <w:t xml:space="preserve"> and Water Quality</w:t>
            </w:r>
          </w:p>
        </w:tc>
      </w:tr>
      <w:tr w:rsidR="00EB5197" w:rsidRPr="00525EF3" w14:paraId="7FAA25E9" w14:textId="77777777" w:rsidTr="002A5892">
        <w:tc>
          <w:tcPr>
            <w:tcW w:w="354" w:type="pct"/>
            <w:vMerge/>
          </w:tcPr>
          <w:p w14:paraId="739E78CB" w14:textId="77777777" w:rsidR="00EB5197" w:rsidRPr="00525EF3" w:rsidRDefault="00EB5197" w:rsidP="002A5892">
            <w:pPr>
              <w:spacing w:after="80"/>
              <w:rPr>
                <w:rFonts w:cstheme="minorHAnsi"/>
                <w:sz w:val="16"/>
                <w:szCs w:val="16"/>
              </w:rPr>
            </w:pPr>
          </w:p>
        </w:tc>
        <w:tc>
          <w:tcPr>
            <w:tcW w:w="711" w:type="pct"/>
            <w:vMerge/>
          </w:tcPr>
          <w:p w14:paraId="218D07D9" w14:textId="77777777" w:rsidR="00EB5197" w:rsidRPr="00525EF3" w:rsidRDefault="00EB5197" w:rsidP="002A5892">
            <w:pPr>
              <w:spacing w:after="80"/>
              <w:rPr>
                <w:rFonts w:cstheme="minorHAnsi"/>
                <w:sz w:val="16"/>
                <w:szCs w:val="16"/>
              </w:rPr>
            </w:pPr>
          </w:p>
        </w:tc>
        <w:tc>
          <w:tcPr>
            <w:tcW w:w="915" w:type="pct"/>
            <w:tcBorders>
              <w:right w:val="single" w:sz="4" w:space="0" w:color="auto"/>
            </w:tcBorders>
          </w:tcPr>
          <w:p w14:paraId="3A72CC4D" w14:textId="77777777" w:rsidR="00EB5197" w:rsidRPr="00525EF3" w:rsidRDefault="00EB5197" w:rsidP="002A5892">
            <w:pPr>
              <w:spacing w:after="80"/>
              <w:rPr>
                <w:rFonts w:cstheme="minorHAnsi"/>
                <w:sz w:val="16"/>
                <w:szCs w:val="16"/>
              </w:rPr>
            </w:pPr>
            <w:r w:rsidRPr="00525EF3">
              <w:rPr>
                <w:rFonts w:cstheme="minorHAnsi"/>
                <w:sz w:val="16"/>
                <w:szCs w:val="16"/>
              </w:rPr>
              <w:t>Biovolume &lt;10 mm</w:t>
            </w:r>
            <w:r w:rsidRPr="00525EF3">
              <w:rPr>
                <w:rFonts w:cstheme="minorHAnsi"/>
                <w:sz w:val="16"/>
                <w:szCs w:val="16"/>
                <w:vertAlign w:val="superscript"/>
              </w:rPr>
              <w:t>3</w:t>
            </w:r>
            <w:r w:rsidRPr="00525EF3">
              <w:rPr>
                <w:rFonts w:cstheme="minorHAnsi"/>
                <w:sz w:val="16"/>
                <w:szCs w:val="16"/>
              </w:rPr>
              <w:t xml:space="preserve"> L</w:t>
            </w:r>
            <w:r w:rsidRPr="00525EF3">
              <w:rPr>
                <w:rFonts w:cstheme="minorHAnsi"/>
                <w:sz w:val="16"/>
                <w:szCs w:val="16"/>
                <w:vertAlign w:val="superscript"/>
              </w:rPr>
              <w:t>-1</w:t>
            </w:r>
            <w:r w:rsidRPr="00525EF3">
              <w:rPr>
                <w:rFonts w:cstheme="minorHAnsi"/>
                <w:sz w:val="16"/>
                <w:szCs w:val="16"/>
              </w:rPr>
              <w:t xml:space="preserve"> for all Cyanobacteria, where toxins are not present.</w:t>
            </w:r>
          </w:p>
        </w:tc>
        <w:tc>
          <w:tcPr>
            <w:tcW w:w="660" w:type="pct"/>
            <w:tcBorders>
              <w:right w:val="single" w:sz="4" w:space="0" w:color="auto"/>
            </w:tcBorders>
          </w:tcPr>
          <w:p w14:paraId="61146FDA" w14:textId="77777777" w:rsidR="00EB5197" w:rsidRPr="00525EF3" w:rsidRDefault="00EB5197" w:rsidP="002A5892">
            <w:pPr>
              <w:spacing w:after="80"/>
              <w:rPr>
                <w:rFonts w:cstheme="minorHAnsi"/>
                <w:sz w:val="16"/>
                <w:szCs w:val="16"/>
              </w:rPr>
            </w:pPr>
          </w:p>
        </w:tc>
        <w:tc>
          <w:tcPr>
            <w:tcW w:w="655" w:type="pct"/>
            <w:tcBorders>
              <w:right w:val="single" w:sz="4" w:space="0" w:color="auto"/>
            </w:tcBorders>
          </w:tcPr>
          <w:p w14:paraId="6813DBC7" w14:textId="77777777" w:rsidR="00EB5197" w:rsidRPr="00525EF3" w:rsidRDefault="00EB5197" w:rsidP="002A5892">
            <w:pPr>
              <w:spacing w:after="80"/>
              <w:rPr>
                <w:rFonts w:cstheme="minorHAnsi"/>
                <w:sz w:val="16"/>
                <w:szCs w:val="16"/>
              </w:rPr>
            </w:pPr>
          </w:p>
        </w:tc>
        <w:tc>
          <w:tcPr>
            <w:tcW w:w="1153" w:type="pct"/>
            <w:vMerge/>
            <w:tcBorders>
              <w:top w:val="single" w:sz="4" w:space="0" w:color="auto"/>
              <w:left w:val="single" w:sz="4" w:space="0" w:color="auto"/>
              <w:bottom w:val="single" w:sz="4" w:space="0" w:color="auto"/>
              <w:right w:val="single" w:sz="4" w:space="0" w:color="auto"/>
            </w:tcBorders>
          </w:tcPr>
          <w:p w14:paraId="5CE35C79" w14:textId="77777777" w:rsidR="00EB5197" w:rsidRPr="00525EF3" w:rsidRDefault="00EB5197" w:rsidP="002A5892">
            <w:pPr>
              <w:spacing w:after="80"/>
              <w:rPr>
                <w:rFonts w:cstheme="minorHAnsi"/>
                <w:sz w:val="16"/>
                <w:szCs w:val="16"/>
              </w:rPr>
            </w:pPr>
          </w:p>
        </w:tc>
        <w:tc>
          <w:tcPr>
            <w:tcW w:w="552" w:type="pct"/>
            <w:vMerge/>
            <w:tcBorders>
              <w:top w:val="single" w:sz="4" w:space="0" w:color="auto"/>
              <w:left w:val="single" w:sz="4" w:space="0" w:color="auto"/>
              <w:bottom w:val="single" w:sz="4" w:space="0" w:color="auto"/>
              <w:right w:val="single" w:sz="4" w:space="0" w:color="auto"/>
            </w:tcBorders>
          </w:tcPr>
          <w:p w14:paraId="195F7F7A" w14:textId="77777777" w:rsidR="00EB5197" w:rsidRPr="00525EF3" w:rsidRDefault="00EB5197" w:rsidP="002A5892">
            <w:pPr>
              <w:spacing w:after="80"/>
              <w:rPr>
                <w:rFonts w:cstheme="minorHAnsi"/>
                <w:sz w:val="16"/>
                <w:szCs w:val="16"/>
              </w:rPr>
            </w:pPr>
          </w:p>
        </w:tc>
      </w:tr>
      <w:tr w:rsidR="00EB5197" w:rsidRPr="00525EF3" w14:paraId="307E49AC" w14:textId="77777777" w:rsidTr="002A5892">
        <w:trPr>
          <w:trHeight w:val="687"/>
        </w:trPr>
        <w:tc>
          <w:tcPr>
            <w:tcW w:w="354" w:type="pct"/>
            <w:vMerge/>
          </w:tcPr>
          <w:p w14:paraId="3D7D5D7F" w14:textId="77777777" w:rsidR="00EB5197" w:rsidRPr="00525EF3" w:rsidRDefault="00EB5197" w:rsidP="002A5892">
            <w:pPr>
              <w:spacing w:after="80"/>
              <w:rPr>
                <w:rFonts w:cstheme="minorHAnsi"/>
                <w:sz w:val="16"/>
                <w:szCs w:val="16"/>
              </w:rPr>
            </w:pPr>
          </w:p>
        </w:tc>
        <w:tc>
          <w:tcPr>
            <w:tcW w:w="711" w:type="pct"/>
            <w:vMerge/>
          </w:tcPr>
          <w:p w14:paraId="0D78A2BD" w14:textId="77777777" w:rsidR="00EB5197" w:rsidRPr="00525EF3" w:rsidRDefault="00EB5197" w:rsidP="002A5892">
            <w:pPr>
              <w:spacing w:after="80"/>
              <w:rPr>
                <w:rFonts w:cstheme="minorHAnsi"/>
                <w:sz w:val="16"/>
                <w:szCs w:val="16"/>
              </w:rPr>
            </w:pPr>
          </w:p>
        </w:tc>
        <w:tc>
          <w:tcPr>
            <w:tcW w:w="915" w:type="pct"/>
            <w:tcBorders>
              <w:right w:val="single" w:sz="4" w:space="0" w:color="auto"/>
            </w:tcBorders>
          </w:tcPr>
          <w:p w14:paraId="6807D8B7" w14:textId="77777777" w:rsidR="00EB5197" w:rsidRPr="00525EF3" w:rsidRDefault="00EB5197" w:rsidP="002A5892">
            <w:pPr>
              <w:autoSpaceDE w:val="0"/>
              <w:autoSpaceDN w:val="0"/>
              <w:adjustRightInd w:val="0"/>
              <w:spacing w:after="80"/>
              <w:rPr>
                <w:rFonts w:cstheme="minorHAnsi"/>
                <w:sz w:val="16"/>
                <w:szCs w:val="16"/>
              </w:rPr>
            </w:pPr>
            <w:r w:rsidRPr="00525EF3">
              <w:rPr>
                <w:rFonts w:cstheme="minorHAnsi"/>
                <w:sz w:val="16"/>
                <w:szCs w:val="16"/>
              </w:rPr>
              <w:t>Basin Plan Target: Maintain dissolved oxygen above 50% saturation throughout water column at all times.</w:t>
            </w:r>
          </w:p>
        </w:tc>
        <w:tc>
          <w:tcPr>
            <w:tcW w:w="660" w:type="pct"/>
            <w:tcBorders>
              <w:right w:val="single" w:sz="4" w:space="0" w:color="auto"/>
            </w:tcBorders>
          </w:tcPr>
          <w:p w14:paraId="1011DD31" w14:textId="77777777" w:rsidR="00EB5197" w:rsidRPr="00525EF3" w:rsidRDefault="00EB5197" w:rsidP="002A5892">
            <w:pPr>
              <w:spacing w:after="80"/>
              <w:rPr>
                <w:rFonts w:cstheme="minorHAnsi"/>
                <w:sz w:val="16"/>
                <w:szCs w:val="16"/>
              </w:rPr>
            </w:pPr>
          </w:p>
        </w:tc>
        <w:tc>
          <w:tcPr>
            <w:tcW w:w="655" w:type="pct"/>
            <w:tcBorders>
              <w:right w:val="single" w:sz="4" w:space="0" w:color="auto"/>
            </w:tcBorders>
          </w:tcPr>
          <w:p w14:paraId="185F6C2E" w14:textId="77777777" w:rsidR="00EB5197" w:rsidRPr="00525EF3" w:rsidRDefault="00EB5197" w:rsidP="002A5892">
            <w:pPr>
              <w:spacing w:after="80"/>
              <w:rPr>
                <w:rFonts w:cstheme="minorHAnsi"/>
                <w:sz w:val="16"/>
                <w:szCs w:val="16"/>
              </w:rPr>
            </w:pPr>
          </w:p>
        </w:tc>
        <w:tc>
          <w:tcPr>
            <w:tcW w:w="1153" w:type="pct"/>
            <w:tcBorders>
              <w:top w:val="single" w:sz="4" w:space="0" w:color="auto"/>
              <w:left w:val="single" w:sz="4" w:space="0" w:color="auto"/>
              <w:right w:val="single" w:sz="4" w:space="0" w:color="auto"/>
            </w:tcBorders>
          </w:tcPr>
          <w:p w14:paraId="1FC5F036" w14:textId="77777777" w:rsidR="00EB5197" w:rsidRPr="00525EF3" w:rsidRDefault="00EB5197" w:rsidP="002A5892">
            <w:pPr>
              <w:spacing w:after="80"/>
              <w:rPr>
                <w:rFonts w:cstheme="minorHAnsi"/>
                <w:sz w:val="16"/>
                <w:szCs w:val="16"/>
              </w:rPr>
            </w:pPr>
            <w:r>
              <w:rPr>
                <w:rFonts w:cstheme="minorHAnsi"/>
                <w:sz w:val="16"/>
                <w:szCs w:val="16"/>
              </w:rPr>
              <w:t>To what extent did</w:t>
            </w:r>
            <w:r w:rsidRPr="00525EF3">
              <w:rPr>
                <w:rFonts w:cstheme="minorHAnsi"/>
                <w:sz w:val="16"/>
                <w:szCs w:val="16"/>
              </w:rPr>
              <w:t xml:space="preserve"> CEW contribute to maintaining dissolved oxygen levels above 50% saturation throughout the water column at all times</w:t>
            </w:r>
            <w:r>
              <w:rPr>
                <w:rFonts w:cstheme="minorHAnsi"/>
                <w:sz w:val="16"/>
                <w:szCs w:val="16"/>
              </w:rPr>
              <w:t xml:space="preserve"> in the Lower Murray</w:t>
            </w:r>
            <w:r w:rsidRPr="00525EF3">
              <w:rPr>
                <w:rFonts w:cstheme="minorHAnsi"/>
                <w:sz w:val="16"/>
                <w:szCs w:val="16"/>
              </w:rPr>
              <w:t>?</w:t>
            </w:r>
          </w:p>
        </w:tc>
        <w:tc>
          <w:tcPr>
            <w:tcW w:w="552" w:type="pct"/>
            <w:tcBorders>
              <w:top w:val="single" w:sz="4" w:space="0" w:color="auto"/>
              <w:left w:val="single" w:sz="4" w:space="0" w:color="auto"/>
              <w:right w:val="single" w:sz="4" w:space="0" w:color="auto"/>
            </w:tcBorders>
          </w:tcPr>
          <w:p w14:paraId="079D16BF" w14:textId="77777777" w:rsidR="00EB5197" w:rsidRPr="00525EF3" w:rsidRDefault="00EB5197" w:rsidP="002A5892">
            <w:pPr>
              <w:spacing w:after="80"/>
              <w:rPr>
                <w:rFonts w:cstheme="minorHAnsi"/>
                <w:sz w:val="16"/>
                <w:szCs w:val="16"/>
              </w:rPr>
            </w:pPr>
            <w:r w:rsidRPr="00525EF3">
              <w:rPr>
                <w:rFonts w:cstheme="minorHAnsi"/>
                <w:sz w:val="16"/>
                <w:szCs w:val="16"/>
              </w:rPr>
              <w:t>Category 1 Stream Metabolism</w:t>
            </w:r>
            <w:r>
              <w:rPr>
                <w:rFonts w:cstheme="minorHAnsi"/>
                <w:sz w:val="16"/>
                <w:szCs w:val="16"/>
              </w:rPr>
              <w:t xml:space="preserve"> and Water Quality</w:t>
            </w:r>
          </w:p>
        </w:tc>
      </w:tr>
      <w:tr w:rsidR="00EB5197" w:rsidRPr="00525EF3" w14:paraId="14DC1CC1" w14:textId="77777777" w:rsidTr="002A5892">
        <w:trPr>
          <w:trHeight w:val="1252"/>
        </w:trPr>
        <w:tc>
          <w:tcPr>
            <w:tcW w:w="354" w:type="pct"/>
            <w:vMerge w:val="restart"/>
            <w:tcBorders>
              <w:top w:val="single" w:sz="4" w:space="0" w:color="auto"/>
            </w:tcBorders>
          </w:tcPr>
          <w:p w14:paraId="77DD0C5F" w14:textId="77777777" w:rsidR="00EB5197" w:rsidRPr="00525EF3" w:rsidRDefault="00EB5197" w:rsidP="002A5892">
            <w:pPr>
              <w:spacing w:after="80"/>
              <w:rPr>
                <w:rFonts w:cstheme="minorHAnsi"/>
                <w:sz w:val="16"/>
                <w:szCs w:val="16"/>
              </w:rPr>
            </w:pPr>
            <w:r w:rsidRPr="00525EF3">
              <w:rPr>
                <w:rFonts w:cstheme="minorHAnsi"/>
                <w:sz w:val="16"/>
                <w:szCs w:val="16"/>
              </w:rPr>
              <w:t>Fish</w:t>
            </w:r>
            <w:r w:rsidRPr="00D44F00">
              <w:rPr>
                <w:rStyle w:val="FootnoteReference"/>
                <w:rFonts w:eastAsiaTheme="majorEastAsia" w:cstheme="minorHAnsi"/>
                <w:sz w:val="16"/>
                <w:szCs w:val="16"/>
              </w:rPr>
              <w:footnoteReference w:id="1"/>
            </w:r>
          </w:p>
        </w:tc>
        <w:tc>
          <w:tcPr>
            <w:tcW w:w="711" w:type="pct"/>
            <w:vMerge w:val="restart"/>
            <w:shd w:val="clear" w:color="auto" w:fill="auto"/>
          </w:tcPr>
          <w:p w14:paraId="76307DE3" w14:textId="77777777" w:rsidR="00EB5197" w:rsidRPr="00525EF3" w:rsidRDefault="00EB5197" w:rsidP="002A5892">
            <w:pPr>
              <w:autoSpaceDE w:val="0"/>
              <w:autoSpaceDN w:val="0"/>
              <w:adjustRightInd w:val="0"/>
              <w:spacing w:after="80"/>
              <w:rPr>
                <w:rFonts w:cstheme="minorHAnsi"/>
                <w:sz w:val="16"/>
                <w:szCs w:val="16"/>
              </w:rPr>
            </w:pPr>
            <w:r w:rsidRPr="00525EF3">
              <w:rPr>
                <w:rFonts w:cstheme="minorHAnsi"/>
                <w:sz w:val="16"/>
                <w:szCs w:val="16"/>
              </w:rPr>
              <w:t>Restore resilient populations of Murray cod (a long-lived apex predator).</w:t>
            </w:r>
          </w:p>
        </w:tc>
        <w:tc>
          <w:tcPr>
            <w:tcW w:w="915" w:type="pct"/>
            <w:shd w:val="clear" w:color="auto" w:fill="auto"/>
          </w:tcPr>
          <w:p w14:paraId="3D5A6487" w14:textId="653EABD0" w:rsidR="00EB5197" w:rsidRPr="00525EF3" w:rsidRDefault="00EB5197" w:rsidP="002A5892">
            <w:pPr>
              <w:autoSpaceDE w:val="0"/>
              <w:autoSpaceDN w:val="0"/>
              <w:adjustRightInd w:val="0"/>
              <w:spacing w:after="80"/>
              <w:rPr>
                <w:rFonts w:cstheme="minorHAnsi"/>
                <w:sz w:val="16"/>
                <w:szCs w:val="16"/>
              </w:rPr>
            </w:pPr>
            <w:r w:rsidRPr="00D44F00">
              <w:rPr>
                <w:rFonts w:cstheme="minorHAnsi"/>
                <w:sz w:val="16"/>
                <w:szCs w:val="16"/>
              </w:rPr>
              <w:t>Population age structure</w:t>
            </w:r>
            <w:r>
              <w:rPr>
                <w:rFonts w:cstheme="minorHAnsi"/>
                <w:sz w:val="16"/>
                <w:szCs w:val="16"/>
              </w:rPr>
              <w:t xml:space="preserve"> </w:t>
            </w:r>
            <w:r w:rsidRPr="00D44F00">
              <w:rPr>
                <w:rFonts w:cstheme="minorHAnsi"/>
                <w:sz w:val="16"/>
                <w:szCs w:val="16"/>
              </w:rPr>
              <w:t>of Murray cod includes recent recruits</w:t>
            </w:r>
            <w:r w:rsidRPr="00D44F00">
              <w:rPr>
                <w:rStyle w:val="FootnoteReference"/>
                <w:rFonts w:eastAsiaTheme="majorEastAsia" w:cstheme="minorHAnsi"/>
                <w:sz w:val="16"/>
                <w:szCs w:val="16"/>
              </w:rPr>
              <w:footnoteReference w:id="2"/>
            </w:r>
            <w:r w:rsidRPr="005B4278">
              <w:rPr>
                <w:rFonts w:cstheme="minorHAnsi"/>
                <w:sz w:val="16"/>
                <w:szCs w:val="16"/>
              </w:rPr>
              <w:t>, sub</w:t>
            </w:r>
            <w:r w:rsidR="00EC7608">
              <w:rPr>
                <w:rFonts w:cstheme="minorHAnsi"/>
                <w:sz w:val="16"/>
                <w:szCs w:val="16"/>
              </w:rPr>
              <w:t>-</w:t>
            </w:r>
            <w:r w:rsidRPr="005B4278">
              <w:rPr>
                <w:rFonts w:cstheme="minorHAnsi"/>
                <w:sz w:val="16"/>
                <w:szCs w:val="16"/>
              </w:rPr>
              <w:t>adults and adults in 9 years in 10.</w:t>
            </w:r>
          </w:p>
        </w:tc>
        <w:tc>
          <w:tcPr>
            <w:tcW w:w="660" w:type="pct"/>
          </w:tcPr>
          <w:p w14:paraId="4FCF5AA5" w14:textId="77777777" w:rsidR="00EB5197" w:rsidRPr="00525EF3" w:rsidRDefault="00EB5197" w:rsidP="002A5892">
            <w:pPr>
              <w:spacing w:after="80"/>
              <w:rPr>
                <w:rFonts w:cstheme="minorHAnsi"/>
                <w:sz w:val="16"/>
                <w:szCs w:val="16"/>
                <w:lang w:val="en-US"/>
              </w:rPr>
            </w:pPr>
            <w:r w:rsidRPr="0061214F">
              <w:rPr>
                <w:rFonts w:cstheme="minorHAnsi"/>
                <w:sz w:val="16"/>
                <w:szCs w:val="16"/>
                <w:lang w:val="en-US"/>
              </w:rPr>
              <w:t>Between 2013 and 2019, the population age structure of Murray cod will include recent recruits, sub-adults and adults 5 of the 7 years.</w:t>
            </w:r>
          </w:p>
        </w:tc>
        <w:tc>
          <w:tcPr>
            <w:tcW w:w="655" w:type="pct"/>
          </w:tcPr>
          <w:p w14:paraId="60D55058" w14:textId="77777777" w:rsidR="00EB5197" w:rsidRPr="00525EF3" w:rsidRDefault="00EB5197" w:rsidP="002A5892">
            <w:pPr>
              <w:spacing w:after="80"/>
              <w:rPr>
                <w:rFonts w:cstheme="minorHAnsi"/>
                <w:sz w:val="16"/>
                <w:szCs w:val="16"/>
                <w:lang w:val="en-US"/>
              </w:rPr>
            </w:pPr>
            <w:r w:rsidRPr="0061214F">
              <w:rPr>
                <w:rFonts w:cstheme="minorHAnsi"/>
                <w:sz w:val="16"/>
                <w:szCs w:val="16"/>
                <w:lang w:val="en-US"/>
              </w:rPr>
              <w:t>Between 2013 and 2029, the population age structure of Murray cod will include recent recruits, sub-adults and adults 10 of the 17 years.</w:t>
            </w:r>
          </w:p>
        </w:tc>
        <w:tc>
          <w:tcPr>
            <w:tcW w:w="1153" w:type="pct"/>
            <w:shd w:val="clear" w:color="auto" w:fill="auto"/>
          </w:tcPr>
          <w:p w14:paraId="72782917" w14:textId="77777777" w:rsidR="00EB5197" w:rsidRDefault="00EB5197" w:rsidP="002A5892">
            <w:pPr>
              <w:spacing w:after="80"/>
              <w:rPr>
                <w:rFonts w:cstheme="minorHAnsi"/>
                <w:sz w:val="16"/>
                <w:szCs w:val="16"/>
                <w:lang w:val="en-US"/>
              </w:rPr>
            </w:pPr>
            <w:r>
              <w:rPr>
                <w:rFonts w:cstheme="minorHAnsi"/>
                <w:sz w:val="16"/>
                <w:szCs w:val="16"/>
              </w:rPr>
              <w:t xml:space="preserve">Year 1 only: </w:t>
            </w:r>
            <w:r>
              <w:rPr>
                <w:rFonts w:cstheme="minorHAnsi"/>
                <w:sz w:val="16"/>
                <w:szCs w:val="16"/>
                <w:lang w:val="en-US"/>
              </w:rPr>
              <w:t>Was the short-term expected outcome achieved in the Lower Murray?</w:t>
            </w:r>
          </w:p>
          <w:p w14:paraId="06CD517E" w14:textId="77777777" w:rsidR="00EB5197" w:rsidRPr="00525EF3" w:rsidRDefault="00EB5197" w:rsidP="002A5892">
            <w:pPr>
              <w:spacing w:after="80"/>
              <w:rPr>
                <w:rFonts w:cstheme="minorHAnsi"/>
                <w:sz w:val="16"/>
                <w:szCs w:val="16"/>
              </w:rPr>
            </w:pPr>
            <w:r>
              <w:rPr>
                <w:rFonts w:cstheme="minorHAnsi"/>
                <w:sz w:val="16"/>
                <w:szCs w:val="16"/>
                <w:lang w:val="en-US"/>
              </w:rPr>
              <w:t xml:space="preserve">All years: </w:t>
            </w:r>
            <w:r>
              <w:rPr>
                <w:rFonts w:cstheme="minorHAnsi"/>
                <w:sz w:val="16"/>
                <w:szCs w:val="16"/>
              </w:rPr>
              <w:t xml:space="preserve">Is the intermediate expected outcome on track to being achieved </w:t>
            </w:r>
            <w:r w:rsidRPr="00525EF3">
              <w:rPr>
                <w:rFonts w:cstheme="minorHAnsi"/>
                <w:sz w:val="16"/>
                <w:szCs w:val="16"/>
              </w:rPr>
              <w:t xml:space="preserve">in the </w:t>
            </w:r>
            <w:r>
              <w:rPr>
                <w:rFonts w:cstheme="minorHAnsi"/>
                <w:sz w:val="16"/>
                <w:szCs w:val="16"/>
              </w:rPr>
              <w:t>Lower Murray</w:t>
            </w:r>
            <w:r w:rsidRPr="00525EF3">
              <w:rPr>
                <w:rFonts w:cstheme="minorHAnsi"/>
                <w:sz w:val="16"/>
                <w:szCs w:val="16"/>
              </w:rPr>
              <w:t>?</w:t>
            </w:r>
          </w:p>
        </w:tc>
        <w:tc>
          <w:tcPr>
            <w:tcW w:w="552" w:type="pct"/>
            <w:shd w:val="clear" w:color="auto" w:fill="auto"/>
          </w:tcPr>
          <w:p w14:paraId="0DBC0540" w14:textId="77777777" w:rsidR="00EB5197" w:rsidRDefault="00EB5197" w:rsidP="002A5892">
            <w:pPr>
              <w:spacing w:after="80"/>
              <w:rPr>
                <w:rFonts w:cstheme="minorHAnsi"/>
                <w:sz w:val="16"/>
                <w:szCs w:val="16"/>
              </w:rPr>
            </w:pPr>
            <w:r w:rsidRPr="00525EF3">
              <w:rPr>
                <w:rFonts w:cstheme="minorHAnsi"/>
                <w:sz w:val="16"/>
                <w:szCs w:val="16"/>
              </w:rPr>
              <w:t>Category 1 Fish (Channel)</w:t>
            </w:r>
          </w:p>
          <w:p w14:paraId="01221DC1" w14:textId="77777777" w:rsidR="00EB5197" w:rsidRPr="00525EF3" w:rsidRDefault="00EB5197" w:rsidP="002A5892">
            <w:pPr>
              <w:spacing w:after="80"/>
              <w:rPr>
                <w:rFonts w:cstheme="minorHAnsi"/>
                <w:sz w:val="16"/>
                <w:szCs w:val="16"/>
              </w:rPr>
            </w:pPr>
            <w:r>
              <w:rPr>
                <w:rFonts w:cstheme="minorHAnsi"/>
                <w:sz w:val="16"/>
                <w:szCs w:val="16"/>
              </w:rPr>
              <w:t>Category 3 Murray Cod Recruitment</w:t>
            </w:r>
          </w:p>
        </w:tc>
      </w:tr>
      <w:tr w:rsidR="00EB5197" w:rsidRPr="00525EF3" w14:paraId="5309B0E1" w14:textId="77777777" w:rsidTr="002A5892">
        <w:tc>
          <w:tcPr>
            <w:tcW w:w="354" w:type="pct"/>
            <w:vMerge/>
          </w:tcPr>
          <w:p w14:paraId="5B47CEF6" w14:textId="77777777" w:rsidR="00EB5197" w:rsidRPr="00525EF3" w:rsidRDefault="00EB5197" w:rsidP="002A5892">
            <w:pPr>
              <w:spacing w:after="80"/>
              <w:rPr>
                <w:rFonts w:cstheme="minorHAnsi"/>
                <w:sz w:val="16"/>
                <w:szCs w:val="16"/>
              </w:rPr>
            </w:pPr>
          </w:p>
        </w:tc>
        <w:tc>
          <w:tcPr>
            <w:tcW w:w="711" w:type="pct"/>
            <w:vMerge/>
          </w:tcPr>
          <w:p w14:paraId="6CDB9735" w14:textId="77777777" w:rsidR="00EB5197" w:rsidRPr="00525EF3" w:rsidRDefault="00EB5197" w:rsidP="002A5892">
            <w:pPr>
              <w:spacing w:after="80"/>
              <w:rPr>
                <w:rFonts w:cstheme="minorHAnsi"/>
                <w:sz w:val="16"/>
                <w:szCs w:val="16"/>
              </w:rPr>
            </w:pPr>
          </w:p>
        </w:tc>
        <w:tc>
          <w:tcPr>
            <w:tcW w:w="915" w:type="pct"/>
          </w:tcPr>
          <w:p w14:paraId="3F44BAB3" w14:textId="77777777" w:rsidR="00EB5197" w:rsidRPr="00525EF3" w:rsidRDefault="00EB5197" w:rsidP="002A5892">
            <w:pPr>
              <w:autoSpaceDE w:val="0"/>
              <w:autoSpaceDN w:val="0"/>
              <w:adjustRightInd w:val="0"/>
              <w:spacing w:after="80"/>
              <w:rPr>
                <w:rFonts w:cstheme="minorHAnsi"/>
                <w:sz w:val="16"/>
                <w:szCs w:val="16"/>
              </w:rPr>
            </w:pPr>
            <w:r w:rsidRPr="00525EF3">
              <w:rPr>
                <w:rFonts w:cstheme="minorHAnsi"/>
                <w:sz w:val="16"/>
                <w:szCs w:val="16"/>
              </w:rPr>
              <w:t>Population age structure of Murray cod indicates a large recruitment</w:t>
            </w:r>
            <w:r w:rsidRPr="00525EF3">
              <w:rPr>
                <w:rStyle w:val="FootnoteReference"/>
                <w:rFonts w:eastAsiaTheme="majorEastAsia" w:cstheme="minorHAnsi"/>
                <w:sz w:val="16"/>
                <w:szCs w:val="16"/>
              </w:rPr>
              <w:footnoteReference w:id="3"/>
            </w:r>
            <w:r w:rsidRPr="00525EF3">
              <w:rPr>
                <w:rFonts w:cstheme="minorHAnsi"/>
                <w:sz w:val="16"/>
                <w:szCs w:val="16"/>
              </w:rPr>
              <w:t xml:space="preserve"> event 1 year in 5, demonstrated by a cohort representing &gt;50% of the population.</w:t>
            </w:r>
          </w:p>
        </w:tc>
        <w:tc>
          <w:tcPr>
            <w:tcW w:w="660" w:type="pct"/>
          </w:tcPr>
          <w:p w14:paraId="4ABB34FA" w14:textId="77777777" w:rsidR="00EB5197" w:rsidRPr="00525EF3" w:rsidRDefault="00EB5197" w:rsidP="002A5892">
            <w:pPr>
              <w:spacing w:after="80"/>
              <w:rPr>
                <w:rFonts w:cstheme="minorHAnsi"/>
                <w:sz w:val="16"/>
                <w:szCs w:val="16"/>
                <w:lang w:val="en-US"/>
              </w:rPr>
            </w:pPr>
          </w:p>
        </w:tc>
        <w:tc>
          <w:tcPr>
            <w:tcW w:w="655" w:type="pct"/>
          </w:tcPr>
          <w:p w14:paraId="0AEC2D65" w14:textId="77777777" w:rsidR="00EB5197" w:rsidRPr="00525EF3" w:rsidRDefault="00EB5197" w:rsidP="002A5892">
            <w:pPr>
              <w:spacing w:after="80"/>
              <w:rPr>
                <w:rFonts w:cstheme="minorHAnsi"/>
                <w:sz w:val="16"/>
                <w:szCs w:val="16"/>
                <w:lang w:val="en-US"/>
              </w:rPr>
            </w:pPr>
          </w:p>
        </w:tc>
        <w:tc>
          <w:tcPr>
            <w:tcW w:w="1153" w:type="pct"/>
          </w:tcPr>
          <w:p w14:paraId="2196359D" w14:textId="77777777" w:rsidR="00EB5197" w:rsidRPr="00525EF3" w:rsidRDefault="00EB5197" w:rsidP="002A5892">
            <w:pPr>
              <w:spacing w:after="80"/>
              <w:rPr>
                <w:rFonts w:cstheme="minorHAnsi"/>
                <w:sz w:val="16"/>
                <w:szCs w:val="16"/>
              </w:rPr>
            </w:pPr>
            <w:r w:rsidRPr="00525EF3">
              <w:rPr>
                <w:rFonts w:cstheme="minorHAnsi"/>
                <w:sz w:val="16"/>
                <w:szCs w:val="16"/>
              </w:rPr>
              <w:t>Did the length-frequency distribution for Murray cod indicate at least 1 large recruitment event in the last 5 years, demonstrated by a YOY cohort representing &gt;50% of the population from the</w:t>
            </w:r>
            <w:r w:rsidRPr="00A8532B">
              <w:rPr>
                <w:rFonts w:cstheme="minorHAnsi"/>
                <w:sz w:val="16"/>
                <w:szCs w:val="16"/>
              </w:rPr>
              <w:t xml:space="preserve"> Lower Murray</w:t>
            </w:r>
            <w:r w:rsidRPr="00525EF3">
              <w:rPr>
                <w:rFonts w:cstheme="minorHAnsi"/>
                <w:sz w:val="16"/>
                <w:szCs w:val="16"/>
              </w:rPr>
              <w:t>?</w:t>
            </w:r>
          </w:p>
        </w:tc>
        <w:tc>
          <w:tcPr>
            <w:tcW w:w="552" w:type="pct"/>
          </w:tcPr>
          <w:p w14:paraId="1A938B2C" w14:textId="77777777" w:rsidR="00EB5197" w:rsidRDefault="00EB5197" w:rsidP="002A5892">
            <w:pPr>
              <w:spacing w:after="80"/>
              <w:rPr>
                <w:rFonts w:cstheme="minorHAnsi"/>
                <w:sz w:val="16"/>
                <w:szCs w:val="16"/>
              </w:rPr>
            </w:pPr>
            <w:r w:rsidRPr="00525EF3">
              <w:rPr>
                <w:rFonts w:cstheme="minorHAnsi"/>
                <w:sz w:val="16"/>
                <w:szCs w:val="16"/>
              </w:rPr>
              <w:t>Category 1 Fish (Channel)</w:t>
            </w:r>
          </w:p>
          <w:p w14:paraId="294EE73C" w14:textId="77777777" w:rsidR="00EB5197" w:rsidRPr="00525EF3" w:rsidRDefault="00EB5197" w:rsidP="002A5892">
            <w:pPr>
              <w:spacing w:after="80"/>
              <w:rPr>
                <w:rFonts w:cstheme="minorHAnsi"/>
                <w:sz w:val="16"/>
                <w:szCs w:val="16"/>
              </w:rPr>
            </w:pPr>
            <w:r>
              <w:rPr>
                <w:rFonts w:cstheme="minorHAnsi"/>
                <w:sz w:val="16"/>
                <w:szCs w:val="16"/>
              </w:rPr>
              <w:t>Category 3 Murray Cod Recruitment</w:t>
            </w:r>
          </w:p>
        </w:tc>
      </w:tr>
      <w:tr w:rsidR="00EB5197" w:rsidRPr="00525EF3" w14:paraId="7537D997" w14:textId="77777777" w:rsidTr="002A5892">
        <w:tc>
          <w:tcPr>
            <w:tcW w:w="354" w:type="pct"/>
            <w:vMerge/>
          </w:tcPr>
          <w:p w14:paraId="35D3778A" w14:textId="77777777" w:rsidR="00EB5197" w:rsidRPr="00525EF3" w:rsidRDefault="00EB5197" w:rsidP="002A5892">
            <w:pPr>
              <w:spacing w:after="80"/>
              <w:rPr>
                <w:rFonts w:cstheme="minorHAnsi"/>
                <w:sz w:val="16"/>
                <w:szCs w:val="16"/>
              </w:rPr>
            </w:pPr>
          </w:p>
        </w:tc>
        <w:tc>
          <w:tcPr>
            <w:tcW w:w="711" w:type="pct"/>
            <w:vMerge/>
          </w:tcPr>
          <w:p w14:paraId="0C9DADC5" w14:textId="77777777" w:rsidR="00EB5197" w:rsidRPr="00525EF3" w:rsidRDefault="00EB5197" w:rsidP="002A5892">
            <w:pPr>
              <w:spacing w:after="80"/>
              <w:rPr>
                <w:rFonts w:cstheme="minorHAnsi"/>
                <w:sz w:val="16"/>
                <w:szCs w:val="16"/>
              </w:rPr>
            </w:pPr>
          </w:p>
        </w:tc>
        <w:tc>
          <w:tcPr>
            <w:tcW w:w="915" w:type="pct"/>
          </w:tcPr>
          <w:p w14:paraId="182020BB" w14:textId="77777777" w:rsidR="00EB5197" w:rsidRPr="00525EF3" w:rsidRDefault="00EB5197" w:rsidP="002A5892">
            <w:pPr>
              <w:autoSpaceDE w:val="0"/>
              <w:autoSpaceDN w:val="0"/>
              <w:adjustRightInd w:val="0"/>
              <w:spacing w:after="80"/>
              <w:rPr>
                <w:rFonts w:cstheme="minorHAnsi"/>
                <w:sz w:val="16"/>
                <w:szCs w:val="16"/>
              </w:rPr>
            </w:pPr>
            <w:r w:rsidRPr="00525EF3">
              <w:rPr>
                <w:rFonts w:cstheme="minorHAnsi"/>
                <w:sz w:val="16"/>
                <w:szCs w:val="16"/>
              </w:rPr>
              <w:t>Abundance (CPUE</w:t>
            </w:r>
            <w:r w:rsidRPr="00525EF3">
              <w:rPr>
                <w:rStyle w:val="FootnoteReference"/>
                <w:rFonts w:eastAsiaTheme="majorEastAsia" w:cstheme="minorHAnsi"/>
                <w:sz w:val="16"/>
                <w:szCs w:val="16"/>
              </w:rPr>
              <w:footnoteReference w:id="4"/>
            </w:r>
            <w:r w:rsidRPr="00525EF3">
              <w:rPr>
                <w:rFonts w:cstheme="minorHAnsi"/>
                <w:sz w:val="16"/>
                <w:szCs w:val="16"/>
              </w:rPr>
              <w:t>) of Murray cod increases by ≥50% over a 10-year period.</w:t>
            </w:r>
          </w:p>
        </w:tc>
        <w:tc>
          <w:tcPr>
            <w:tcW w:w="660" w:type="pct"/>
          </w:tcPr>
          <w:p w14:paraId="23946852" w14:textId="77777777" w:rsidR="00EB5197" w:rsidRPr="00525EF3" w:rsidRDefault="00EB5197" w:rsidP="002A5892">
            <w:pPr>
              <w:spacing w:after="80"/>
              <w:rPr>
                <w:rFonts w:cstheme="minorHAnsi"/>
                <w:sz w:val="16"/>
                <w:szCs w:val="16"/>
              </w:rPr>
            </w:pPr>
          </w:p>
        </w:tc>
        <w:tc>
          <w:tcPr>
            <w:tcW w:w="655" w:type="pct"/>
          </w:tcPr>
          <w:p w14:paraId="0F72E915" w14:textId="77777777" w:rsidR="00EB5197" w:rsidRPr="00525EF3" w:rsidRDefault="00EB5197" w:rsidP="002A5892">
            <w:pPr>
              <w:spacing w:after="80"/>
              <w:rPr>
                <w:rFonts w:cstheme="minorHAnsi"/>
                <w:sz w:val="16"/>
                <w:szCs w:val="16"/>
              </w:rPr>
            </w:pPr>
          </w:p>
        </w:tc>
        <w:tc>
          <w:tcPr>
            <w:tcW w:w="1153" w:type="pct"/>
          </w:tcPr>
          <w:p w14:paraId="4664958F" w14:textId="167EB547" w:rsidR="00EB5197" w:rsidRPr="00525EF3" w:rsidRDefault="00EB5197" w:rsidP="002A5892">
            <w:pPr>
              <w:spacing w:after="80"/>
              <w:rPr>
                <w:rFonts w:cstheme="minorHAnsi"/>
                <w:sz w:val="16"/>
                <w:szCs w:val="16"/>
              </w:rPr>
            </w:pPr>
            <w:r w:rsidRPr="00525EF3">
              <w:rPr>
                <w:rFonts w:cstheme="minorHAnsi"/>
                <w:sz w:val="16"/>
                <w:szCs w:val="16"/>
              </w:rPr>
              <w:t xml:space="preserve">Did the abundance of Murray cod in the </w:t>
            </w:r>
            <w:r w:rsidRPr="00A8532B">
              <w:rPr>
                <w:rFonts w:cstheme="minorHAnsi"/>
                <w:sz w:val="16"/>
                <w:szCs w:val="16"/>
              </w:rPr>
              <w:t>Lower Murray</w:t>
            </w:r>
            <w:r w:rsidRPr="00525EF3">
              <w:rPr>
                <w:rFonts w:cstheme="minorHAnsi"/>
                <w:sz w:val="16"/>
                <w:szCs w:val="16"/>
              </w:rPr>
              <w:t xml:space="preserve"> increase by ≥20% over </w:t>
            </w:r>
            <w:r>
              <w:rPr>
                <w:rFonts w:cstheme="minorHAnsi"/>
                <w:sz w:val="16"/>
                <w:szCs w:val="16"/>
              </w:rPr>
              <w:t>the last 5-year period?</w:t>
            </w:r>
            <w:r w:rsidR="00DB6179" w:rsidRPr="00DB6179">
              <w:rPr>
                <w:rFonts w:cstheme="minorHAnsi"/>
                <w:sz w:val="16"/>
                <w:szCs w:val="16"/>
                <w:vertAlign w:val="superscript"/>
              </w:rPr>
              <w:fldChar w:fldCharType="begin"/>
            </w:r>
            <w:r w:rsidR="00DB6179" w:rsidRPr="00DB6179">
              <w:rPr>
                <w:rFonts w:cstheme="minorHAnsi"/>
                <w:sz w:val="16"/>
                <w:szCs w:val="16"/>
                <w:vertAlign w:val="superscript"/>
              </w:rPr>
              <w:instrText xml:space="preserve"> NOTEREF _Ref12612677 \h </w:instrText>
            </w:r>
            <w:r w:rsidR="00DB6179">
              <w:rPr>
                <w:rFonts w:cstheme="minorHAnsi"/>
                <w:sz w:val="16"/>
                <w:szCs w:val="16"/>
                <w:vertAlign w:val="superscript"/>
              </w:rPr>
              <w:instrText xml:space="preserve"> \* MERGEFORMAT </w:instrText>
            </w:r>
            <w:r w:rsidR="00DB6179" w:rsidRPr="00DB6179">
              <w:rPr>
                <w:rFonts w:cstheme="minorHAnsi"/>
                <w:sz w:val="16"/>
                <w:szCs w:val="16"/>
                <w:vertAlign w:val="superscript"/>
              </w:rPr>
            </w:r>
            <w:r w:rsidR="00DB6179" w:rsidRPr="00DB6179">
              <w:rPr>
                <w:rFonts w:cstheme="minorHAnsi"/>
                <w:sz w:val="16"/>
                <w:szCs w:val="16"/>
                <w:vertAlign w:val="superscript"/>
              </w:rPr>
              <w:fldChar w:fldCharType="separate"/>
            </w:r>
            <w:r w:rsidR="00DF49CD">
              <w:rPr>
                <w:rFonts w:cstheme="minorHAnsi"/>
                <w:sz w:val="16"/>
                <w:szCs w:val="16"/>
                <w:vertAlign w:val="superscript"/>
              </w:rPr>
              <w:t>6</w:t>
            </w:r>
            <w:r w:rsidR="00DB6179" w:rsidRPr="00DB6179">
              <w:rPr>
                <w:rFonts w:cstheme="minorHAnsi"/>
                <w:sz w:val="16"/>
                <w:szCs w:val="16"/>
                <w:vertAlign w:val="superscript"/>
              </w:rPr>
              <w:fldChar w:fldCharType="end"/>
            </w:r>
          </w:p>
        </w:tc>
        <w:tc>
          <w:tcPr>
            <w:tcW w:w="552" w:type="pct"/>
          </w:tcPr>
          <w:p w14:paraId="1BCA5B01" w14:textId="77777777" w:rsidR="00EB5197" w:rsidRDefault="00EB5197" w:rsidP="002A5892">
            <w:pPr>
              <w:spacing w:after="80"/>
              <w:rPr>
                <w:rFonts w:cstheme="minorHAnsi"/>
                <w:sz w:val="16"/>
                <w:szCs w:val="16"/>
              </w:rPr>
            </w:pPr>
            <w:r w:rsidRPr="00525EF3">
              <w:rPr>
                <w:rFonts w:cstheme="minorHAnsi"/>
                <w:sz w:val="16"/>
                <w:szCs w:val="16"/>
              </w:rPr>
              <w:t>Category 1 Fish (Channel)</w:t>
            </w:r>
          </w:p>
          <w:p w14:paraId="3D11F6DA" w14:textId="77777777" w:rsidR="00EB5197" w:rsidRPr="00525EF3" w:rsidRDefault="00EB5197" w:rsidP="002A5892">
            <w:pPr>
              <w:spacing w:after="80"/>
              <w:rPr>
                <w:rFonts w:cstheme="minorHAnsi"/>
                <w:sz w:val="16"/>
                <w:szCs w:val="16"/>
              </w:rPr>
            </w:pPr>
            <w:r>
              <w:rPr>
                <w:rFonts w:cstheme="minorHAnsi"/>
                <w:sz w:val="16"/>
                <w:szCs w:val="16"/>
              </w:rPr>
              <w:t>Category 3 Murray Cod Recruitment</w:t>
            </w:r>
          </w:p>
        </w:tc>
      </w:tr>
      <w:tr w:rsidR="00EB5197" w:rsidRPr="00525EF3" w14:paraId="3FA4E73B" w14:textId="77777777" w:rsidTr="002A5892">
        <w:tc>
          <w:tcPr>
            <w:tcW w:w="354" w:type="pct"/>
            <w:vMerge/>
          </w:tcPr>
          <w:p w14:paraId="7AA3723C" w14:textId="77777777" w:rsidR="00EB5197" w:rsidRPr="00525EF3" w:rsidRDefault="00EB5197" w:rsidP="002A5892">
            <w:pPr>
              <w:spacing w:after="80"/>
              <w:rPr>
                <w:rFonts w:cstheme="minorHAnsi"/>
                <w:sz w:val="16"/>
                <w:szCs w:val="16"/>
              </w:rPr>
            </w:pPr>
          </w:p>
        </w:tc>
        <w:tc>
          <w:tcPr>
            <w:tcW w:w="711" w:type="pct"/>
            <w:vMerge w:val="restart"/>
          </w:tcPr>
          <w:p w14:paraId="6B6255B7" w14:textId="77777777" w:rsidR="00EB5197" w:rsidRPr="00525EF3" w:rsidRDefault="00EB5197" w:rsidP="002A5892">
            <w:pPr>
              <w:autoSpaceDE w:val="0"/>
              <w:autoSpaceDN w:val="0"/>
              <w:adjustRightInd w:val="0"/>
              <w:spacing w:after="80"/>
              <w:rPr>
                <w:rFonts w:cstheme="minorHAnsi"/>
                <w:sz w:val="16"/>
                <w:szCs w:val="16"/>
              </w:rPr>
            </w:pPr>
            <w:r w:rsidRPr="00525EF3">
              <w:rPr>
                <w:rFonts w:cstheme="minorHAnsi"/>
                <w:sz w:val="16"/>
                <w:szCs w:val="16"/>
              </w:rPr>
              <w:t>Restore resilient populations of golden perch and silver perch (flow-dependent specialists).</w:t>
            </w:r>
          </w:p>
        </w:tc>
        <w:tc>
          <w:tcPr>
            <w:tcW w:w="915" w:type="pct"/>
          </w:tcPr>
          <w:p w14:paraId="367F394E" w14:textId="77777777" w:rsidR="00EB5197" w:rsidRPr="00525EF3" w:rsidRDefault="00EB5197" w:rsidP="002A5892">
            <w:pPr>
              <w:autoSpaceDE w:val="0"/>
              <w:autoSpaceDN w:val="0"/>
              <w:adjustRightInd w:val="0"/>
              <w:spacing w:after="80"/>
              <w:rPr>
                <w:rFonts w:cstheme="minorHAnsi"/>
                <w:sz w:val="16"/>
                <w:szCs w:val="16"/>
              </w:rPr>
            </w:pPr>
            <w:r w:rsidRPr="00525EF3">
              <w:rPr>
                <w:rFonts w:cstheme="minorHAnsi"/>
                <w:sz w:val="16"/>
                <w:szCs w:val="16"/>
              </w:rPr>
              <w:t>Population age structure of golden perch and silver perch includes YOY with sub-adults and adults in 8 years in 10.</w:t>
            </w:r>
          </w:p>
        </w:tc>
        <w:tc>
          <w:tcPr>
            <w:tcW w:w="660" w:type="pct"/>
          </w:tcPr>
          <w:p w14:paraId="49C6277F" w14:textId="77777777" w:rsidR="00EB5197" w:rsidRPr="00525EF3" w:rsidRDefault="00EB5197" w:rsidP="002A5892">
            <w:pPr>
              <w:spacing w:after="80"/>
              <w:rPr>
                <w:rFonts w:cstheme="minorHAnsi"/>
                <w:sz w:val="16"/>
                <w:szCs w:val="16"/>
                <w:lang w:val="en-US"/>
              </w:rPr>
            </w:pPr>
            <w:r w:rsidRPr="00B57CF1">
              <w:rPr>
                <w:rFonts w:cstheme="minorHAnsi"/>
                <w:sz w:val="16"/>
                <w:szCs w:val="16"/>
                <w:lang w:val="en-US"/>
              </w:rPr>
              <w:t>Between 2013 and 2019, the population age structure of golden perch will include adults and sub-adults</w:t>
            </w:r>
            <w:r>
              <w:rPr>
                <w:rStyle w:val="FootnoteReference"/>
                <w:rFonts w:eastAsiaTheme="majorEastAsia" w:cstheme="minorHAnsi"/>
                <w:sz w:val="16"/>
                <w:szCs w:val="16"/>
                <w:lang w:val="en-US"/>
              </w:rPr>
              <w:footnoteReference w:id="5"/>
            </w:r>
            <w:r w:rsidRPr="00B57CF1">
              <w:rPr>
                <w:rFonts w:cstheme="minorHAnsi"/>
                <w:sz w:val="16"/>
                <w:szCs w:val="16"/>
                <w:lang w:val="en-US"/>
              </w:rPr>
              <w:t xml:space="preserve"> </w:t>
            </w:r>
            <w:r>
              <w:rPr>
                <w:rFonts w:cstheme="minorHAnsi"/>
                <w:sz w:val="16"/>
                <w:szCs w:val="16"/>
                <w:lang w:val="en-US"/>
              </w:rPr>
              <w:t>5</w:t>
            </w:r>
            <w:r w:rsidRPr="00B57CF1">
              <w:rPr>
                <w:rFonts w:cstheme="minorHAnsi"/>
                <w:sz w:val="16"/>
                <w:szCs w:val="16"/>
                <w:lang w:val="en-US"/>
              </w:rPr>
              <w:t xml:space="preserve"> of the 7 years.</w:t>
            </w:r>
          </w:p>
        </w:tc>
        <w:tc>
          <w:tcPr>
            <w:tcW w:w="655" w:type="pct"/>
          </w:tcPr>
          <w:p w14:paraId="51E61BE3" w14:textId="77777777" w:rsidR="00EB5197" w:rsidRPr="00525EF3" w:rsidRDefault="00EB5197" w:rsidP="002A5892">
            <w:pPr>
              <w:spacing w:after="80"/>
              <w:rPr>
                <w:rFonts w:cstheme="minorHAnsi"/>
                <w:sz w:val="16"/>
                <w:szCs w:val="16"/>
                <w:lang w:val="en-US"/>
              </w:rPr>
            </w:pPr>
            <w:r w:rsidRPr="00B57CF1">
              <w:rPr>
                <w:rFonts w:cstheme="minorHAnsi"/>
                <w:sz w:val="16"/>
                <w:szCs w:val="16"/>
                <w:lang w:val="en-US"/>
              </w:rPr>
              <w:t>Between 2013 and 2029, the population age structure of golden perch will include adults and sub-adults 11 of the 17 years.</w:t>
            </w:r>
          </w:p>
        </w:tc>
        <w:tc>
          <w:tcPr>
            <w:tcW w:w="1153" w:type="pct"/>
          </w:tcPr>
          <w:p w14:paraId="03C8AAC3" w14:textId="77777777" w:rsidR="00EB5197" w:rsidRDefault="00EB5197" w:rsidP="002A5892">
            <w:pPr>
              <w:spacing w:after="80"/>
              <w:rPr>
                <w:rFonts w:cstheme="minorHAnsi"/>
                <w:sz w:val="16"/>
                <w:szCs w:val="16"/>
                <w:lang w:val="en-US"/>
              </w:rPr>
            </w:pPr>
            <w:r>
              <w:rPr>
                <w:rFonts w:cstheme="minorHAnsi"/>
                <w:sz w:val="16"/>
                <w:szCs w:val="16"/>
                <w:lang w:val="en-US"/>
              </w:rPr>
              <w:t>Year 1 only: Was the short-term expected outcome achieved in the Lower Murray?</w:t>
            </w:r>
          </w:p>
          <w:p w14:paraId="444B9F68" w14:textId="77777777" w:rsidR="00EB5197" w:rsidRPr="004152E1" w:rsidRDefault="00EB5197" w:rsidP="002A5892">
            <w:pPr>
              <w:spacing w:after="80"/>
              <w:rPr>
                <w:rFonts w:cstheme="minorHAnsi"/>
                <w:sz w:val="16"/>
                <w:szCs w:val="16"/>
                <w:vertAlign w:val="superscript"/>
              </w:rPr>
            </w:pPr>
            <w:r>
              <w:rPr>
                <w:rFonts w:cstheme="minorHAnsi"/>
                <w:sz w:val="16"/>
                <w:szCs w:val="16"/>
                <w:lang w:val="en-US"/>
              </w:rPr>
              <w:t xml:space="preserve">All years: </w:t>
            </w:r>
            <w:r>
              <w:rPr>
                <w:rFonts w:cstheme="minorHAnsi"/>
                <w:sz w:val="16"/>
                <w:szCs w:val="16"/>
              </w:rPr>
              <w:t>Is</w:t>
            </w:r>
            <w:r w:rsidRPr="00525EF3">
              <w:rPr>
                <w:rFonts w:cstheme="minorHAnsi"/>
                <w:sz w:val="16"/>
                <w:szCs w:val="16"/>
              </w:rPr>
              <w:t xml:space="preserve"> </w:t>
            </w:r>
            <w:r>
              <w:rPr>
                <w:rFonts w:cstheme="minorHAnsi"/>
                <w:sz w:val="16"/>
                <w:szCs w:val="16"/>
              </w:rPr>
              <w:t xml:space="preserve">the intermediate expected outcome on track to being achieved </w:t>
            </w:r>
            <w:r w:rsidRPr="00525EF3">
              <w:rPr>
                <w:rFonts w:cstheme="minorHAnsi"/>
                <w:sz w:val="16"/>
                <w:szCs w:val="16"/>
              </w:rPr>
              <w:t xml:space="preserve">in the </w:t>
            </w:r>
            <w:r>
              <w:rPr>
                <w:rFonts w:cstheme="minorHAnsi"/>
                <w:sz w:val="16"/>
                <w:szCs w:val="16"/>
              </w:rPr>
              <w:t>Lower Murray</w:t>
            </w:r>
            <w:r w:rsidRPr="00525EF3">
              <w:rPr>
                <w:rFonts w:cstheme="minorHAnsi"/>
                <w:sz w:val="16"/>
                <w:szCs w:val="16"/>
              </w:rPr>
              <w:t>?</w:t>
            </w:r>
          </w:p>
        </w:tc>
        <w:tc>
          <w:tcPr>
            <w:tcW w:w="552" w:type="pct"/>
          </w:tcPr>
          <w:p w14:paraId="242F24D6" w14:textId="77777777" w:rsidR="00EB5197" w:rsidRPr="00525EF3" w:rsidRDefault="00EB5197" w:rsidP="002A5892">
            <w:pPr>
              <w:spacing w:after="80"/>
              <w:rPr>
                <w:rFonts w:cstheme="minorHAnsi"/>
                <w:sz w:val="16"/>
                <w:szCs w:val="16"/>
              </w:rPr>
            </w:pPr>
            <w:r w:rsidRPr="00525EF3">
              <w:rPr>
                <w:rFonts w:cstheme="minorHAnsi"/>
                <w:sz w:val="16"/>
                <w:szCs w:val="16"/>
              </w:rPr>
              <w:t xml:space="preserve">Category 3 </w:t>
            </w:r>
            <w:r>
              <w:rPr>
                <w:rFonts w:cstheme="minorHAnsi"/>
                <w:sz w:val="16"/>
                <w:szCs w:val="16"/>
              </w:rPr>
              <w:t>Flow-cued Spawning Fish Recruitment</w:t>
            </w:r>
          </w:p>
        </w:tc>
      </w:tr>
      <w:tr w:rsidR="00EB5197" w:rsidRPr="00525EF3" w14:paraId="18CDB0A9" w14:textId="77777777" w:rsidTr="002A5892">
        <w:tc>
          <w:tcPr>
            <w:tcW w:w="354" w:type="pct"/>
            <w:vMerge/>
          </w:tcPr>
          <w:p w14:paraId="344792D5" w14:textId="77777777" w:rsidR="00EB5197" w:rsidRPr="00525EF3" w:rsidRDefault="00EB5197" w:rsidP="002A5892">
            <w:pPr>
              <w:spacing w:after="80"/>
              <w:rPr>
                <w:rFonts w:cstheme="minorHAnsi"/>
                <w:sz w:val="16"/>
                <w:szCs w:val="16"/>
              </w:rPr>
            </w:pPr>
          </w:p>
        </w:tc>
        <w:tc>
          <w:tcPr>
            <w:tcW w:w="711" w:type="pct"/>
            <w:vMerge/>
          </w:tcPr>
          <w:p w14:paraId="38D8CB66" w14:textId="77777777" w:rsidR="00EB5197" w:rsidRPr="00525EF3" w:rsidRDefault="00EB5197" w:rsidP="002A5892">
            <w:pPr>
              <w:spacing w:after="80"/>
              <w:rPr>
                <w:rFonts w:cstheme="minorHAnsi"/>
                <w:sz w:val="16"/>
                <w:szCs w:val="16"/>
              </w:rPr>
            </w:pPr>
          </w:p>
        </w:tc>
        <w:tc>
          <w:tcPr>
            <w:tcW w:w="915" w:type="pct"/>
          </w:tcPr>
          <w:p w14:paraId="6FFFCF9C" w14:textId="77777777" w:rsidR="00EB5197" w:rsidRPr="00525EF3" w:rsidRDefault="00EB5197" w:rsidP="002A5892">
            <w:pPr>
              <w:autoSpaceDE w:val="0"/>
              <w:autoSpaceDN w:val="0"/>
              <w:adjustRightInd w:val="0"/>
              <w:spacing w:after="80"/>
              <w:rPr>
                <w:rFonts w:cstheme="minorHAnsi"/>
                <w:sz w:val="16"/>
                <w:szCs w:val="16"/>
              </w:rPr>
            </w:pPr>
            <w:r w:rsidRPr="00FA2859">
              <w:rPr>
                <w:rFonts w:cstheme="minorHAnsi"/>
                <w:sz w:val="16"/>
                <w:szCs w:val="16"/>
              </w:rPr>
              <w:t>Population age structure of golden perch and silver perch indicates a large recruitment event 2 years in 5, demonstrated by separate cohorts representing &gt;30% of the population.</w:t>
            </w:r>
          </w:p>
        </w:tc>
        <w:tc>
          <w:tcPr>
            <w:tcW w:w="660" w:type="pct"/>
          </w:tcPr>
          <w:p w14:paraId="43CC7F6B" w14:textId="77777777" w:rsidR="00EB5197" w:rsidRPr="00525EF3" w:rsidRDefault="00EB5197" w:rsidP="002A5892">
            <w:pPr>
              <w:spacing w:after="80"/>
              <w:rPr>
                <w:rFonts w:cstheme="minorHAnsi"/>
                <w:sz w:val="16"/>
                <w:szCs w:val="16"/>
                <w:lang w:val="en-US"/>
              </w:rPr>
            </w:pPr>
            <w:r w:rsidRPr="002A2DD5">
              <w:rPr>
                <w:rFonts w:cstheme="minorHAnsi"/>
                <w:sz w:val="16"/>
                <w:szCs w:val="16"/>
                <w:lang w:val="en-US"/>
              </w:rPr>
              <w:t>Between 2013 and 2019, large recruitment events of golden perch have occurred in 3 of the 7 years.</w:t>
            </w:r>
          </w:p>
        </w:tc>
        <w:tc>
          <w:tcPr>
            <w:tcW w:w="655" w:type="pct"/>
          </w:tcPr>
          <w:p w14:paraId="17410D81" w14:textId="77777777" w:rsidR="00EB5197" w:rsidRPr="00525EF3" w:rsidRDefault="00EB5197" w:rsidP="002A5892">
            <w:pPr>
              <w:spacing w:after="80"/>
              <w:rPr>
                <w:rFonts w:cstheme="minorHAnsi"/>
                <w:sz w:val="16"/>
                <w:szCs w:val="16"/>
                <w:lang w:val="en-US"/>
              </w:rPr>
            </w:pPr>
            <w:r w:rsidRPr="00B57CF1">
              <w:rPr>
                <w:rFonts w:cstheme="minorHAnsi"/>
                <w:sz w:val="16"/>
                <w:szCs w:val="16"/>
                <w:lang w:val="en-US"/>
              </w:rPr>
              <w:t>Between 2013 and 2029, large recruitment events of golden perch have occurred in 8 of the 17 years.</w:t>
            </w:r>
          </w:p>
        </w:tc>
        <w:tc>
          <w:tcPr>
            <w:tcW w:w="1153" w:type="pct"/>
          </w:tcPr>
          <w:p w14:paraId="35AFDB57" w14:textId="77777777" w:rsidR="00EB5197" w:rsidRDefault="00EB5197" w:rsidP="002A5892">
            <w:pPr>
              <w:spacing w:after="80"/>
              <w:rPr>
                <w:rFonts w:cstheme="minorHAnsi"/>
                <w:sz w:val="16"/>
                <w:szCs w:val="16"/>
                <w:lang w:val="en-US"/>
              </w:rPr>
            </w:pPr>
            <w:r>
              <w:rPr>
                <w:rFonts w:cstheme="minorHAnsi"/>
                <w:sz w:val="16"/>
                <w:szCs w:val="16"/>
                <w:lang w:val="en-US"/>
              </w:rPr>
              <w:t>Year 1 only: Was the short-term expected outcome achieved in the LM Selected Area?</w:t>
            </w:r>
          </w:p>
          <w:p w14:paraId="367E6B67" w14:textId="77777777" w:rsidR="00EB5197" w:rsidRPr="00525EF3" w:rsidRDefault="00EB5197" w:rsidP="002A5892">
            <w:pPr>
              <w:spacing w:after="80"/>
              <w:rPr>
                <w:rFonts w:cstheme="minorHAnsi"/>
                <w:sz w:val="16"/>
                <w:szCs w:val="16"/>
              </w:rPr>
            </w:pPr>
            <w:r>
              <w:rPr>
                <w:rFonts w:cstheme="minorHAnsi"/>
                <w:sz w:val="16"/>
                <w:szCs w:val="16"/>
                <w:lang w:val="en-US"/>
              </w:rPr>
              <w:t xml:space="preserve">All years: </w:t>
            </w:r>
            <w:r>
              <w:rPr>
                <w:rFonts w:cstheme="minorHAnsi"/>
                <w:sz w:val="16"/>
                <w:szCs w:val="16"/>
              </w:rPr>
              <w:t>Is the intermediate expected outcome on track to being achieved</w:t>
            </w:r>
            <w:r w:rsidRPr="00525EF3">
              <w:rPr>
                <w:rFonts w:cstheme="minorHAnsi"/>
                <w:sz w:val="16"/>
                <w:szCs w:val="16"/>
              </w:rPr>
              <w:t xml:space="preserve"> in the LM Selected Area?</w:t>
            </w:r>
          </w:p>
        </w:tc>
        <w:tc>
          <w:tcPr>
            <w:tcW w:w="552" w:type="pct"/>
          </w:tcPr>
          <w:p w14:paraId="2AEB1D3F" w14:textId="77777777" w:rsidR="00EB5197" w:rsidRPr="00525EF3" w:rsidRDefault="00EB5197" w:rsidP="002A5892">
            <w:pPr>
              <w:spacing w:after="80"/>
              <w:rPr>
                <w:rFonts w:cstheme="minorHAnsi"/>
                <w:sz w:val="16"/>
                <w:szCs w:val="16"/>
              </w:rPr>
            </w:pPr>
            <w:r w:rsidRPr="00525EF3">
              <w:rPr>
                <w:rFonts w:cstheme="minorHAnsi"/>
                <w:sz w:val="16"/>
                <w:szCs w:val="16"/>
              </w:rPr>
              <w:t xml:space="preserve">Category 3 </w:t>
            </w:r>
            <w:r>
              <w:rPr>
                <w:rFonts w:cstheme="minorHAnsi"/>
                <w:sz w:val="16"/>
                <w:szCs w:val="16"/>
              </w:rPr>
              <w:t>Flow-cued Spawning Fish Recruitment</w:t>
            </w:r>
          </w:p>
        </w:tc>
      </w:tr>
      <w:tr w:rsidR="00EB5197" w:rsidRPr="00525EF3" w14:paraId="41015801" w14:textId="77777777" w:rsidTr="002A5892">
        <w:tc>
          <w:tcPr>
            <w:tcW w:w="354" w:type="pct"/>
            <w:vMerge/>
          </w:tcPr>
          <w:p w14:paraId="25FF14C5" w14:textId="77777777" w:rsidR="00EB5197" w:rsidRPr="00525EF3" w:rsidRDefault="00EB5197" w:rsidP="002A5892">
            <w:pPr>
              <w:spacing w:after="80"/>
              <w:rPr>
                <w:rFonts w:cstheme="minorHAnsi"/>
                <w:sz w:val="16"/>
                <w:szCs w:val="16"/>
              </w:rPr>
            </w:pPr>
          </w:p>
        </w:tc>
        <w:tc>
          <w:tcPr>
            <w:tcW w:w="711" w:type="pct"/>
            <w:vMerge/>
          </w:tcPr>
          <w:p w14:paraId="45CC8715" w14:textId="77777777" w:rsidR="00EB5197" w:rsidRPr="00525EF3" w:rsidRDefault="00EB5197" w:rsidP="002A5892">
            <w:pPr>
              <w:spacing w:after="80"/>
              <w:rPr>
                <w:rFonts w:cstheme="minorHAnsi"/>
                <w:sz w:val="16"/>
                <w:szCs w:val="16"/>
              </w:rPr>
            </w:pPr>
          </w:p>
        </w:tc>
        <w:tc>
          <w:tcPr>
            <w:tcW w:w="915" w:type="pct"/>
          </w:tcPr>
          <w:p w14:paraId="52670F56" w14:textId="77777777" w:rsidR="00EB5197" w:rsidRPr="00525EF3" w:rsidRDefault="00EB5197" w:rsidP="002A5892">
            <w:pPr>
              <w:autoSpaceDE w:val="0"/>
              <w:autoSpaceDN w:val="0"/>
              <w:adjustRightInd w:val="0"/>
              <w:spacing w:after="80"/>
              <w:rPr>
                <w:rFonts w:cstheme="minorHAnsi"/>
                <w:sz w:val="16"/>
                <w:szCs w:val="16"/>
              </w:rPr>
            </w:pPr>
            <w:r w:rsidRPr="00525EF3">
              <w:rPr>
                <w:rFonts w:cstheme="minorHAnsi"/>
                <w:sz w:val="16"/>
                <w:szCs w:val="16"/>
              </w:rPr>
              <w:t>Abundance (CPUE) of golden perch and silver perch increases by ≥30% over a 5-year period.</w:t>
            </w:r>
          </w:p>
        </w:tc>
        <w:tc>
          <w:tcPr>
            <w:tcW w:w="660" w:type="pct"/>
          </w:tcPr>
          <w:p w14:paraId="56C446DC" w14:textId="77777777" w:rsidR="00EB5197" w:rsidRPr="00525EF3" w:rsidRDefault="00EB5197" w:rsidP="002A5892">
            <w:pPr>
              <w:spacing w:after="80"/>
              <w:rPr>
                <w:rFonts w:cstheme="minorHAnsi"/>
                <w:sz w:val="16"/>
                <w:szCs w:val="16"/>
              </w:rPr>
            </w:pPr>
          </w:p>
        </w:tc>
        <w:tc>
          <w:tcPr>
            <w:tcW w:w="655" w:type="pct"/>
          </w:tcPr>
          <w:p w14:paraId="42DF3FFC" w14:textId="77777777" w:rsidR="00EB5197" w:rsidRPr="00525EF3" w:rsidRDefault="00EB5197" w:rsidP="002A5892">
            <w:pPr>
              <w:spacing w:after="80"/>
              <w:rPr>
                <w:rFonts w:cstheme="minorHAnsi"/>
                <w:sz w:val="16"/>
                <w:szCs w:val="16"/>
              </w:rPr>
            </w:pPr>
          </w:p>
        </w:tc>
        <w:tc>
          <w:tcPr>
            <w:tcW w:w="1153" w:type="pct"/>
          </w:tcPr>
          <w:p w14:paraId="09A68D21" w14:textId="77777777" w:rsidR="00EB5197" w:rsidRPr="00525EF3" w:rsidRDefault="00EB5197" w:rsidP="002A5892">
            <w:pPr>
              <w:spacing w:after="80"/>
              <w:rPr>
                <w:rFonts w:cstheme="minorHAnsi"/>
                <w:sz w:val="16"/>
                <w:szCs w:val="16"/>
              </w:rPr>
            </w:pPr>
            <w:r w:rsidRPr="00525EF3">
              <w:rPr>
                <w:rFonts w:cstheme="minorHAnsi"/>
                <w:sz w:val="16"/>
                <w:szCs w:val="16"/>
              </w:rPr>
              <w:t xml:space="preserve">Did the abundance of golden perch in the </w:t>
            </w:r>
            <w:r w:rsidRPr="00525EF3">
              <w:rPr>
                <w:rFonts w:cstheme="minorHAnsi"/>
                <w:i/>
                <w:sz w:val="16"/>
                <w:szCs w:val="16"/>
              </w:rPr>
              <w:t>Gorge</w:t>
            </w:r>
            <w:r w:rsidRPr="00525EF3">
              <w:rPr>
                <w:rFonts w:cstheme="minorHAnsi"/>
                <w:sz w:val="16"/>
                <w:szCs w:val="16"/>
              </w:rPr>
              <w:t xml:space="preserve"> zone increas</w:t>
            </w:r>
            <w:r>
              <w:rPr>
                <w:rFonts w:cstheme="minorHAnsi"/>
                <w:sz w:val="16"/>
                <w:szCs w:val="16"/>
              </w:rPr>
              <w:t>e</w:t>
            </w:r>
            <w:r w:rsidRPr="00525EF3">
              <w:rPr>
                <w:rFonts w:cstheme="minorHAnsi"/>
                <w:sz w:val="16"/>
                <w:szCs w:val="16"/>
              </w:rPr>
              <w:t xml:space="preserve"> by &gt;30% over a 5-year period?</w:t>
            </w:r>
          </w:p>
          <w:p w14:paraId="5580D1A6" w14:textId="28D24F61" w:rsidR="00EB5197" w:rsidRPr="00525EF3" w:rsidRDefault="00EB5197" w:rsidP="002A5892">
            <w:pPr>
              <w:spacing w:after="80"/>
              <w:rPr>
                <w:rFonts w:cstheme="minorHAnsi"/>
                <w:sz w:val="16"/>
                <w:szCs w:val="16"/>
              </w:rPr>
            </w:pPr>
            <w:r w:rsidRPr="00525EF3">
              <w:rPr>
                <w:rFonts w:cstheme="minorHAnsi"/>
                <w:sz w:val="16"/>
                <w:szCs w:val="16"/>
              </w:rPr>
              <w:t xml:space="preserve">Did the abundance of silver perch in the </w:t>
            </w:r>
            <w:r w:rsidRPr="00525EF3">
              <w:rPr>
                <w:rFonts w:cstheme="minorHAnsi"/>
                <w:i/>
                <w:sz w:val="16"/>
                <w:szCs w:val="16"/>
              </w:rPr>
              <w:t>Gorge</w:t>
            </w:r>
            <w:r w:rsidRPr="00525EF3">
              <w:rPr>
                <w:rFonts w:cstheme="minorHAnsi"/>
                <w:sz w:val="16"/>
                <w:szCs w:val="16"/>
              </w:rPr>
              <w:t xml:space="preserve"> zone increase by &gt;30% over a 5-year period?</w:t>
            </w:r>
            <w:bookmarkStart w:id="2464" w:name="_Ref12612677"/>
            <w:r w:rsidR="00DB6179">
              <w:rPr>
                <w:rStyle w:val="FootnoteReference"/>
                <w:rFonts w:cstheme="minorHAnsi"/>
                <w:sz w:val="16"/>
                <w:szCs w:val="16"/>
              </w:rPr>
              <w:footnoteReference w:id="6"/>
            </w:r>
            <w:bookmarkEnd w:id="2464"/>
          </w:p>
        </w:tc>
        <w:tc>
          <w:tcPr>
            <w:tcW w:w="552" w:type="pct"/>
          </w:tcPr>
          <w:p w14:paraId="49F7C304" w14:textId="77777777" w:rsidR="00EB5197" w:rsidRPr="00525EF3" w:rsidRDefault="00EB5197" w:rsidP="002A5892">
            <w:pPr>
              <w:spacing w:after="80"/>
              <w:rPr>
                <w:rFonts w:cstheme="minorHAnsi"/>
                <w:sz w:val="16"/>
                <w:szCs w:val="16"/>
              </w:rPr>
            </w:pPr>
            <w:r w:rsidRPr="00525EF3">
              <w:rPr>
                <w:rFonts w:cstheme="minorHAnsi"/>
                <w:sz w:val="16"/>
                <w:szCs w:val="16"/>
              </w:rPr>
              <w:t>Category 1 Fish (Channel)</w:t>
            </w:r>
          </w:p>
        </w:tc>
      </w:tr>
      <w:tr w:rsidR="00EB5197" w:rsidRPr="00525EF3" w14:paraId="284B747D" w14:textId="77777777" w:rsidTr="002A5892">
        <w:trPr>
          <w:trHeight w:val="625"/>
        </w:trPr>
        <w:tc>
          <w:tcPr>
            <w:tcW w:w="354" w:type="pct"/>
            <w:vMerge/>
          </w:tcPr>
          <w:p w14:paraId="6B99F940" w14:textId="77777777" w:rsidR="00EB5197" w:rsidRPr="00525EF3" w:rsidRDefault="00EB5197" w:rsidP="002A5892">
            <w:pPr>
              <w:spacing w:after="80"/>
              <w:rPr>
                <w:rFonts w:cstheme="minorHAnsi"/>
                <w:sz w:val="16"/>
                <w:szCs w:val="16"/>
              </w:rPr>
            </w:pPr>
          </w:p>
        </w:tc>
        <w:tc>
          <w:tcPr>
            <w:tcW w:w="711" w:type="pct"/>
          </w:tcPr>
          <w:p w14:paraId="0CFBF2C1" w14:textId="77777777" w:rsidR="00EB5197" w:rsidRPr="00525EF3" w:rsidRDefault="00EB5197" w:rsidP="002A5892">
            <w:pPr>
              <w:spacing w:after="80"/>
              <w:rPr>
                <w:rFonts w:cstheme="minorHAnsi"/>
                <w:sz w:val="16"/>
                <w:szCs w:val="16"/>
              </w:rPr>
            </w:pPr>
            <w:r w:rsidRPr="00525EF3">
              <w:rPr>
                <w:rFonts w:cstheme="minorHAnsi"/>
                <w:sz w:val="16"/>
                <w:szCs w:val="16"/>
              </w:rPr>
              <w:t>Restore resilient populations of freshwater catfish.</w:t>
            </w:r>
          </w:p>
        </w:tc>
        <w:tc>
          <w:tcPr>
            <w:tcW w:w="915" w:type="pct"/>
            <w:shd w:val="clear" w:color="auto" w:fill="auto"/>
          </w:tcPr>
          <w:p w14:paraId="389C9C2C" w14:textId="77777777" w:rsidR="00EB5197" w:rsidRPr="00525EF3" w:rsidRDefault="00EB5197" w:rsidP="002A5892">
            <w:pPr>
              <w:autoSpaceDE w:val="0"/>
              <w:autoSpaceDN w:val="0"/>
              <w:adjustRightInd w:val="0"/>
              <w:spacing w:after="80"/>
              <w:rPr>
                <w:rFonts w:cstheme="minorHAnsi"/>
                <w:sz w:val="16"/>
                <w:szCs w:val="16"/>
              </w:rPr>
            </w:pPr>
            <w:r w:rsidRPr="00525EF3">
              <w:rPr>
                <w:rFonts w:cstheme="minorHAnsi"/>
                <w:sz w:val="16"/>
                <w:szCs w:val="16"/>
              </w:rPr>
              <w:t>Abundance (CPUE) of freshwater catfish increases by ≥30% over a 5-year period.</w:t>
            </w:r>
          </w:p>
        </w:tc>
        <w:tc>
          <w:tcPr>
            <w:tcW w:w="660" w:type="pct"/>
          </w:tcPr>
          <w:p w14:paraId="6B201774" w14:textId="77777777" w:rsidR="00EB5197" w:rsidRPr="00525EF3" w:rsidRDefault="00EB5197" w:rsidP="002A5892">
            <w:pPr>
              <w:spacing w:after="80"/>
              <w:rPr>
                <w:rFonts w:cstheme="minorHAnsi"/>
                <w:sz w:val="16"/>
                <w:szCs w:val="16"/>
              </w:rPr>
            </w:pPr>
          </w:p>
        </w:tc>
        <w:tc>
          <w:tcPr>
            <w:tcW w:w="655" w:type="pct"/>
          </w:tcPr>
          <w:p w14:paraId="4930A451" w14:textId="77777777" w:rsidR="00EB5197" w:rsidRPr="00525EF3" w:rsidRDefault="00EB5197" w:rsidP="002A5892">
            <w:pPr>
              <w:spacing w:after="80"/>
              <w:rPr>
                <w:rFonts w:cstheme="minorHAnsi"/>
                <w:sz w:val="16"/>
                <w:szCs w:val="16"/>
              </w:rPr>
            </w:pPr>
          </w:p>
        </w:tc>
        <w:tc>
          <w:tcPr>
            <w:tcW w:w="1153" w:type="pct"/>
            <w:shd w:val="clear" w:color="auto" w:fill="auto"/>
          </w:tcPr>
          <w:p w14:paraId="6A1C95E8" w14:textId="2C05C4CE" w:rsidR="00EB5197" w:rsidRPr="00525EF3" w:rsidRDefault="00EB5197" w:rsidP="002A5892">
            <w:pPr>
              <w:spacing w:after="80"/>
              <w:rPr>
                <w:rFonts w:cstheme="minorHAnsi"/>
                <w:sz w:val="16"/>
                <w:szCs w:val="16"/>
              </w:rPr>
            </w:pPr>
            <w:r w:rsidRPr="00525EF3">
              <w:rPr>
                <w:rFonts w:cstheme="minorHAnsi"/>
                <w:sz w:val="16"/>
                <w:szCs w:val="16"/>
              </w:rPr>
              <w:t xml:space="preserve">Did the abundance of freshwater catfish in the </w:t>
            </w:r>
            <w:r w:rsidRPr="00525EF3">
              <w:rPr>
                <w:rFonts w:cstheme="minorHAnsi"/>
                <w:i/>
                <w:sz w:val="16"/>
                <w:szCs w:val="16"/>
              </w:rPr>
              <w:t>Gorge</w:t>
            </w:r>
            <w:r w:rsidRPr="00525EF3">
              <w:rPr>
                <w:rFonts w:cstheme="minorHAnsi"/>
                <w:sz w:val="16"/>
                <w:szCs w:val="16"/>
              </w:rPr>
              <w:t xml:space="preserve"> zone increase by ≥30% over a 5-year period?</w:t>
            </w:r>
            <w:r w:rsidR="00DB6179" w:rsidRPr="00DB6179">
              <w:rPr>
                <w:rFonts w:cstheme="minorHAnsi"/>
                <w:sz w:val="16"/>
                <w:szCs w:val="16"/>
                <w:vertAlign w:val="superscript"/>
              </w:rPr>
              <w:fldChar w:fldCharType="begin"/>
            </w:r>
            <w:r w:rsidR="00DB6179" w:rsidRPr="00DB6179">
              <w:rPr>
                <w:rFonts w:cstheme="minorHAnsi"/>
                <w:sz w:val="16"/>
                <w:szCs w:val="16"/>
                <w:vertAlign w:val="superscript"/>
              </w:rPr>
              <w:instrText xml:space="preserve"> NOTEREF _Ref12612677 \h </w:instrText>
            </w:r>
            <w:r w:rsidR="00DB6179">
              <w:rPr>
                <w:rFonts w:cstheme="minorHAnsi"/>
                <w:sz w:val="16"/>
                <w:szCs w:val="16"/>
                <w:vertAlign w:val="superscript"/>
              </w:rPr>
              <w:instrText xml:space="preserve"> \* MERGEFORMAT </w:instrText>
            </w:r>
            <w:r w:rsidR="00DB6179" w:rsidRPr="00DB6179">
              <w:rPr>
                <w:rFonts w:cstheme="minorHAnsi"/>
                <w:sz w:val="16"/>
                <w:szCs w:val="16"/>
                <w:vertAlign w:val="superscript"/>
              </w:rPr>
            </w:r>
            <w:r w:rsidR="00DB6179" w:rsidRPr="00DB6179">
              <w:rPr>
                <w:rFonts w:cstheme="minorHAnsi"/>
                <w:sz w:val="16"/>
                <w:szCs w:val="16"/>
                <w:vertAlign w:val="superscript"/>
              </w:rPr>
              <w:fldChar w:fldCharType="separate"/>
            </w:r>
            <w:r w:rsidR="00DF49CD">
              <w:rPr>
                <w:rFonts w:cstheme="minorHAnsi"/>
                <w:sz w:val="16"/>
                <w:szCs w:val="16"/>
                <w:vertAlign w:val="superscript"/>
              </w:rPr>
              <w:t>6</w:t>
            </w:r>
            <w:r w:rsidR="00DB6179" w:rsidRPr="00DB6179">
              <w:rPr>
                <w:rFonts w:cstheme="minorHAnsi"/>
                <w:sz w:val="16"/>
                <w:szCs w:val="16"/>
                <w:vertAlign w:val="superscript"/>
              </w:rPr>
              <w:fldChar w:fldCharType="end"/>
            </w:r>
          </w:p>
        </w:tc>
        <w:tc>
          <w:tcPr>
            <w:tcW w:w="552" w:type="pct"/>
            <w:shd w:val="clear" w:color="auto" w:fill="auto"/>
          </w:tcPr>
          <w:p w14:paraId="65AFE75B" w14:textId="77777777" w:rsidR="00EB5197" w:rsidRPr="00525EF3" w:rsidRDefault="00EB5197" w:rsidP="002A5892">
            <w:pPr>
              <w:spacing w:after="80"/>
              <w:rPr>
                <w:rFonts w:cstheme="minorHAnsi"/>
                <w:sz w:val="16"/>
                <w:szCs w:val="16"/>
              </w:rPr>
            </w:pPr>
            <w:r w:rsidRPr="00525EF3">
              <w:rPr>
                <w:rFonts w:cstheme="minorHAnsi"/>
                <w:sz w:val="16"/>
                <w:szCs w:val="16"/>
              </w:rPr>
              <w:t>Category 1 Fish (Channel)</w:t>
            </w:r>
          </w:p>
        </w:tc>
      </w:tr>
      <w:tr w:rsidR="00EB5197" w:rsidRPr="00525EF3" w14:paraId="5B274D0D" w14:textId="77777777" w:rsidTr="002A5892">
        <w:tc>
          <w:tcPr>
            <w:tcW w:w="354" w:type="pct"/>
            <w:vMerge/>
          </w:tcPr>
          <w:p w14:paraId="71C09E7F" w14:textId="77777777" w:rsidR="00EB5197" w:rsidRPr="00525EF3" w:rsidRDefault="00EB5197" w:rsidP="002A5892">
            <w:pPr>
              <w:spacing w:after="80"/>
              <w:rPr>
                <w:rFonts w:cstheme="minorHAnsi"/>
                <w:sz w:val="16"/>
                <w:szCs w:val="16"/>
              </w:rPr>
            </w:pPr>
          </w:p>
        </w:tc>
        <w:tc>
          <w:tcPr>
            <w:tcW w:w="711" w:type="pct"/>
          </w:tcPr>
          <w:p w14:paraId="058D6C18" w14:textId="77777777" w:rsidR="00EB5197" w:rsidRPr="00525EF3" w:rsidRDefault="00EB5197" w:rsidP="002A5892">
            <w:pPr>
              <w:autoSpaceDE w:val="0"/>
              <w:autoSpaceDN w:val="0"/>
              <w:adjustRightInd w:val="0"/>
              <w:spacing w:after="80"/>
              <w:rPr>
                <w:rFonts w:cstheme="minorHAnsi"/>
                <w:sz w:val="16"/>
                <w:szCs w:val="16"/>
              </w:rPr>
            </w:pPr>
            <w:r w:rsidRPr="00525EF3">
              <w:rPr>
                <w:rFonts w:cstheme="minorHAnsi"/>
                <w:sz w:val="16"/>
                <w:szCs w:val="16"/>
              </w:rPr>
              <w:t>Restore and maintain resilient populations of foraging generalists (e.g. Australian smelt, bony herring, Murray rainbowfish, unspecked hardyhead, carp gudgeons, flathead gudgeons).</w:t>
            </w:r>
          </w:p>
        </w:tc>
        <w:tc>
          <w:tcPr>
            <w:tcW w:w="915" w:type="pct"/>
          </w:tcPr>
          <w:p w14:paraId="1D78953C" w14:textId="77777777" w:rsidR="00EB5197" w:rsidRPr="00525EF3" w:rsidRDefault="00EB5197" w:rsidP="002A5892">
            <w:pPr>
              <w:autoSpaceDE w:val="0"/>
              <w:autoSpaceDN w:val="0"/>
              <w:adjustRightInd w:val="0"/>
              <w:spacing w:after="80"/>
              <w:rPr>
                <w:rFonts w:cstheme="minorHAnsi"/>
                <w:sz w:val="16"/>
                <w:szCs w:val="16"/>
              </w:rPr>
            </w:pPr>
            <w:r w:rsidRPr="00525EF3">
              <w:rPr>
                <w:rFonts w:cstheme="minorHAnsi"/>
                <w:sz w:val="16"/>
                <w:szCs w:val="16"/>
              </w:rPr>
              <w:t>The length-frequency distributions for foraging generalists include size classes showing annual recruitment.</w:t>
            </w:r>
            <w:r w:rsidRPr="00525EF3">
              <w:rPr>
                <w:rStyle w:val="FootnoteReference"/>
                <w:rFonts w:eastAsiaTheme="majorEastAsia" w:cstheme="minorHAnsi"/>
                <w:sz w:val="16"/>
                <w:szCs w:val="16"/>
                <w:lang w:val="en-US"/>
              </w:rPr>
              <w:footnoteReference w:id="7"/>
            </w:r>
          </w:p>
        </w:tc>
        <w:tc>
          <w:tcPr>
            <w:tcW w:w="660" w:type="pct"/>
          </w:tcPr>
          <w:p w14:paraId="3601E156" w14:textId="77777777" w:rsidR="00EB5197" w:rsidRPr="00525EF3" w:rsidRDefault="00EB5197" w:rsidP="002A5892">
            <w:pPr>
              <w:spacing w:after="80"/>
              <w:rPr>
                <w:rFonts w:cstheme="minorHAnsi"/>
                <w:sz w:val="16"/>
                <w:szCs w:val="16"/>
                <w:lang w:val="en-US"/>
              </w:rPr>
            </w:pPr>
          </w:p>
        </w:tc>
        <w:tc>
          <w:tcPr>
            <w:tcW w:w="655" w:type="pct"/>
          </w:tcPr>
          <w:p w14:paraId="012E5F1C" w14:textId="77777777" w:rsidR="00EB5197" w:rsidRPr="00525EF3" w:rsidRDefault="00EB5197" w:rsidP="002A5892">
            <w:pPr>
              <w:spacing w:after="80"/>
              <w:rPr>
                <w:rFonts w:cstheme="minorHAnsi"/>
                <w:sz w:val="16"/>
                <w:szCs w:val="16"/>
                <w:lang w:val="en-US"/>
              </w:rPr>
            </w:pPr>
          </w:p>
        </w:tc>
        <w:tc>
          <w:tcPr>
            <w:tcW w:w="1153" w:type="pct"/>
          </w:tcPr>
          <w:p w14:paraId="6B0377DB" w14:textId="77777777" w:rsidR="00EB5197" w:rsidRPr="00525EF3" w:rsidRDefault="00EB5197" w:rsidP="002A5892">
            <w:pPr>
              <w:spacing w:after="80"/>
              <w:rPr>
                <w:rFonts w:cstheme="minorHAnsi"/>
                <w:sz w:val="16"/>
                <w:szCs w:val="16"/>
                <w:lang w:val="en-US"/>
              </w:rPr>
            </w:pPr>
            <w:r w:rsidRPr="00525EF3">
              <w:rPr>
                <w:rFonts w:cstheme="minorHAnsi"/>
                <w:sz w:val="16"/>
                <w:szCs w:val="16"/>
                <w:lang w:val="en-US"/>
              </w:rPr>
              <w:t xml:space="preserve">Did the length-frequency distribution for bony herring in the </w:t>
            </w:r>
            <w:r w:rsidRPr="00525EF3">
              <w:rPr>
                <w:rFonts w:cstheme="minorHAnsi"/>
                <w:i/>
                <w:sz w:val="16"/>
                <w:szCs w:val="16"/>
              </w:rPr>
              <w:t>Gorge</w:t>
            </w:r>
            <w:r w:rsidRPr="00525EF3">
              <w:rPr>
                <w:rFonts w:cstheme="minorHAnsi"/>
                <w:sz w:val="16"/>
                <w:szCs w:val="16"/>
              </w:rPr>
              <w:t xml:space="preserve"> zone </w:t>
            </w:r>
            <w:r w:rsidRPr="00525EF3">
              <w:rPr>
                <w:rFonts w:cstheme="minorHAnsi"/>
                <w:sz w:val="16"/>
                <w:szCs w:val="16"/>
                <w:lang w:val="en-US"/>
              </w:rPr>
              <w:t>include size classes representing YOY?</w:t>
            </w:r>
          </w:p>
          <w:p w14:paraId="7F19FFB9" w14:textId="77777777" w:rsidR="00EB5197" w:rsidRPr="00525EF3" w:rsidRDefault="00EB5197" w:rsidP="002A5892">
            <w:pPr>
              <w:spacing w:after="80"/>
              <w:rPr>
                <w:rFonts w:cstheme="minorHAnsi"/>
                <w:sz w:val="16"/>
                <w:szCs w:val="16"/>
                <w:lang w:val="en-US"/>
              </w:rPr>
            </w:pPr>
            <w:r w:rsidRPr="00525EF3">
              <w:rPr>
                <w:rFonts w:cstheme="minorHAnsi"/>
                <w:sz w:val="16"/>
                <w:szCs w:val="16"/>
                <w:lang w:val="en-US"/>
              </w:rPr>
              <w:t xml:space="preserve">Did the length-frequency distribution for Murray rainbowfish in the </w:t>
            </w:r>
            <w:r w:rsidRPr="00525EF3">
              <w:rPr>
                <w:rFonts w:cstheme="minorHAnsi"/>
                <w:i/>
                <w:sz w:val="16"/>
                <w:szCs w:val="16"/>
              </w:rPr>
              <w:t>Gorge</w:t>
            </w:r>
            <w:r w:rsidRPr="00525EF3">
              <w:rPr>
                <w:rFonts w:cstheme="minorHAnsi"/>
                <w:sz w:val="16"/>
                <w:szCs w:val="16"/>
              </w:rPr>
              <w:t xml:space="preserve"> zone </w:t>
            </w:r>
            <w:r w:rsidRPr="00525EF3">
              <w:rPr>
                <w:rFonts w:cstheme="minorHAnsi"/>
                <w:sz w:val="16"/>
                <w:szCs w:val="16"/>
                <w:lang w:val="en-US"/>
              </w:rPr>
              <w:t>include size classes representing YOY</w:t>
            </w:r>
            <w:bookmarkStart w:id="2465" w:name="_Ref461792609"/>
            <w:r w:rsidRPr="00525EF3">
              <w:rPr>
                <w:rFonts w:cstheme="minorHAnsi"/>
                <w:sz w:val="16"/>
                <w:szCs w:val="16"/>
                <w:lang w:val="en-US"/>
              </w:rPr>
              <w:t>?</w:t>
            </w:r>
            <w:bookmarkEnd w:id="2465"/>
          </w:p>
          <w:p w14:paraId="237448A1" w14:textId="77777777" w:rsidR="00EB5197" w:rsidRPr="00525EF3" w:rsidRDefault="00EB5197" w:rsidP="002A5892">
            <w:pPr>
              <w:spacing w:after="80"/>
              <w:rPr>
                <w:rFonts w:cstheme="minorHAnsi"/>
                <w:sz w:val="16"/>
                <w:szCs w:val="16"/>
              </w:rPr>
            </w:pPr>
            <w:r w:rsidRPr="00525EF3">
              <w:rPr>
                <w:rFonts w:cstheme="minorHAnsi"/>
                <w:sz w:val="16"/>
                <w:szCs w:val="16"/>
                <w:lang w:val="en-US"/>
              </w:rPr>
              <w:t xml:space="preserve">Did the length-frequency distribution for carp gudgeon in the </w:t>
            </w:r>
            <w:r w:rsidRPr="00525EF3">
              <w:rPr>
                <w:rFonts w:cstheme="minorHAnsi"/>
                <w:i/>
                <w:sz w:val="16"/>
                <w:szCs w:val="16"/>
              </w:rPr>
              <w:t>Gorge</w:t>
            </w:r>
            <w:r w:rsidRPr="00525EF3">
              <w:rPr>
                <w:rFonts w:cstheme="minorHAnsi"/>
                <w:sz w:val="16"/>
                <w:szCs w:val="16"/>
              </w:rPr>
              <w:t xml:space="preserve"> zone </w:t>
            </w:r>
            <w:r w:rsidRPr="00525EF3">
              <w:rPr>
                <w:rFonts w:cstheme="minorHAnsi"/>
                <w:sz w:val="16"/>
                <w:szCs w:val="16"/>
                <w:lang w:val="en-US"/>
              </w:rPr>
              <w:t>include</w:t>
            </w:r>
            <w:r>
              <w:rPr>
                <w:rFonts w:cstheme="minorHAnsi"/>
                <w:sz w:val="16"/>
                <w:szCs w:val="16"/>
                <w:lang w:val="en-US"/>
              </w:rPr>
              <w:t xml:space="preserve"> size classes representing YOY?</w:t>
            </w:r>
          </w:p>
        </w:tc>
        <w:tc>
          <w:tcPr>
            <w:tcW w:w="552" w:type="pct"/>
          </w:tcPr>
          <w:p w14:paraId="3F131C09" w14:textId="77777777" w:rsidR="00EB5197" w:rsidRPr="00525EF3" w:rsidRDefault="00EB5197" w:rsidP="002A5892">
            <w:pPr>
              <w:spacing w:after="80"/>
              <w:rPr>
                <w:rFonts w:cstheme="minorHAnsi"/>
                <w:sz w:val="16"/>
                <w:szCs w:val="16"/>
              </w:rPr>
            </w:pPr>
            <w:r w:rsidRPr="00525EF3">
              <w:rPr>
                <w:rFonts w:cstheme="minorHAnsi"/>
                <w:sz w:val="16"/>
                <w:szCs w:val="16"/>
              </w:rPr>
              <w:t>Category 1 Fish (Channel)</w:t>
            </w:r>
          </w:p>
        </w:tc>
      </w:tr>
      <w:tr w:rsidR="00EB5197" w:rsidRPr="00525EF3" w14:paraId="035D7563" w14:textId="77777777" w:rsidTr="002A5892">
        <w:tc>
          <w:tcPr>
            <w:tcW w:w="354" w:type="pct"/>
            <w:vMerge/>
          </w:tcPr>
          <w:p w14:paraId="0DC3C604" w14:textId="77777777" w:rsidR="00EB5197" w:rsidRPr="00525EF3" w:rsidRDefault="00EB5197" w:rsidP="002A5892">
            <w:pPr>
              <w:spacing w:after="80"/>
              <w:rPr>
                <w:rFonts w:cstheme="minorHAnsi"/>
                <w:sz w:val="16"/>
                <w:szCs w:val="16"/>
              </w:rPr>
            </w:pPr>
          </w:p>
        </w:tc>
        <w:tc>
          <w:tcPr>
            <w:tcW w:w="711" w:type="pct"/>
          </w:tcPr>
          <w:p w14:paraId="2A903636" w14:textId="77777777" w:rsidR="00EB5197" w:rsidRPr="00525EF3" w:rsidRDefault="00EB5197" w:rsidP="002A5892">
            <w:pPr>
              <w:spacing w:after="80"/>
              <w:rPr>
                <w:rFonts w:cstheme="minorHAnsi"/>
                <w:sz w:val="16"/>
                <w:szCs w:val="16"/>
              </w:rPr>
            </w:pPr>
            <w:r w:rsidRPr="00525EF3">
              <w:rPr>
                <w:rFonts w:cstheme="minorHAnsi"/>
                <w:sz w:val="16"/>
                <w:szCs w:val="16"/>
              </w:rPr>
              <w:t>Minimise the risk of carp recruitment.</w:t>
            </w:r>
          </w:p>
        </w:tc>
        <w:tc>
          <w:tcPr>
            <w:tcW w:w="915" w:type="pct"/>
          </w:tcPr>
          <w:p w14:paraId="797C7647" w14:textId="77777777" w:rsidR="00EB5197" w:rsidRPr="00525EF3" w:rsidRDefault="00EB5197" w:rsidP="002A5892">
            <w:pPr>
              <w:autoSpaceDE w:val="0"/>
              <w:autoSpaceDN w:val="0"/>
              <w:adjustRightInd w:val="0"/>
              <w:spacing w:after="80"/>
              <w:rPr>
                <w:rFonts w:cstheme="minorHAnsi"/>
                <w:sz w:val="16"/>
                <w:szCs w:val="16"/>
              </w:rPr>
            </w:pPr>
            <w:r w:rsidRPr="00525EF3">
              <w:rPr>
                <w:rFonts w:cstheme="minorHAnsi"/>
                <w:sz w:val="16"/>
                <w:szCs w:val="16"/>
              </w:rPr>
              <w:t>The relative abundance and biomass of common carp does not increase in the absence of increases in abundance and biomass of flow-dependent native fish.</w:t>
            </w:r>
          </w:p>
        </w:tc>
        <w:tc>
          <w:tcPr>
            <w:tcW w:w="660" w:type="pct"/>
          </w:tcPr>
          <w:p w14:paraId="36D278A1" w14:textId="77777777" w:rsidR="00EB5197" w:rsidRPr="00525EF3" w:rsidRDefault="00EB5197" w:rsidP="002A5892">
            <w:pPr>
              <w:spacing w:after="80"/>
              <w:rPr>
                <w:rFonts w:cstheme="minorHAnsi"/>
                <w:sz w:val="16"/>
                <w:szCs w:val="16"/>
              </w:rPr>
            </w:pPr>
          </w:p>
        </w:tc>
        <w:tc>
          <w:tcPr>
            <w:tcW w:w="655" w:type="pct"/>
          </w:tcPr>
          <w:p w14:paraId="436A95A0" w14:textId="77777777" w:rsidR="00EB5197" w:rsidRPr="00525EF3" w:rsidRDefault="00EB5197" w:rsidP="002A5892">
            <w:pPr>
              <w:spacing w:after="80"/>
              <w:rPr>
                <w:rFonts w:cstheme="minorHAnsi"/>
                <w:sz w:val="16"/>
                <w:szCs w:val="16"/>
              </w:rPr>
            </w:pPr>
          </w:p>
        </w:tc>
        <w:tc>
          <w:tcPr>
            <w:tcW w:w="1153" w:type="pct"/>
          </w:tcPr>
          <w:p w14:paraId="6AFAEC7F" w14:textId="77777777" w:rsidR="00EB5197" w:rsidRPr="00525EF3" w:rsidRDefault="00EB5197" w:rsidP="002A5892">
            <w:pPr>
              <w:spacing w:after="80"/>
              <w:rPr>
                <w:rFonts w:cstheme="minorHAnsi"/>
                <w:sz w:val="16"/>
                <w:szCs w:val="16"/>
              </w:rPr>
            </w:pPr>
            <w:r w:rsidRPr="00525EF3">
              <w:rPr>
                <w:rFonts w:cstheme="minorHAnsi"/>
                <w:sz w:val="16"/>
                <w:szCs w:val="16"/>
              </w:rPr>
              <w:t xml:space="preserve">Did the relative abundance of common carp in the </w:t>
            </w:r>
            <w:r w:rsidRPr="00525EF3">
              <w:rPr>
                <w:rFonts w:cstheme="minorHAnsi"/>
                <w:i/>
                <w:sz w:val="16"/>
                <w:szCs w:val="16"/>
              </w:rPr>
              <w:t>Gorge</w:t>
            </w:r>
            <w:r w:rsidRPr="00525EF3">
              <w:rPr>
                <w:rFonts w:cstheme="minorHAnsi"/>
                <w:sz w:val="16"/>
                <w:szCs w:val="16"/>
              </w:rPr>
              <w:t xml:space="preserve"> zone increase during the current year, relative to the previous year, whilst the relative abundances of flow-dependent native species decreased?</w:t>
            </w:r>
          </w:p>
          <w:p w14:paraId="374FA804" w14:textId="77777777" w:rsidR="00EB5197" w:rsidRPr="00525EF3" w:rsidRDefault="00EB5197" w:rsidP="002A5892">
            <w:pPr>
              <w:spacing w:after="80"/>
              <w:rPr>
                <w:rFonts w:cstheme="minorHAnsi"/>
                <w:sz w:val="16"/>
                <w:szCs w:val="16"/>
              </w:rPr>
            </w:pPr>
            <w:r w:rsidRPr="00525EF3">
              <w:rPr>
                <w:rFonts w:cstheme="minorHAnsi"/>
                <w:sz w:val="16"/>
                <w:szCs w:val="16"/>
              </w:rPr>
              <w:t xml:space="preserve">Did the estimated biomass of common carp in the </w:t>
            </w:r>
            <w:r w:rsidRPr="00525EF3">
              <w:rPr>
                <w:rFonts w:cstheme="minorHAnsi"/>
                <w:i/>
                <w:sz w:val="16"/>
                <w:szCs w:val="16"/>
              </w:rPr>
              <w:t>Gorge</w:t>
            </w:r>
            <w:r w:rsidRPr="00525EF3">
              <w:rPr>
                <w:rFonts w:cstheme="minorHAnsi"/>
                <w:sz w:val="16"/>
                <w:szCs w:val="16"/>
              </w:rPr>
              <w:t xml:space="preserve"> zone increase during the current </w:t>
            </w:r>
            <w:r w:rsidRPr="00525EF3">
              <w:rPr>
                <w:rFonts w:cstheme="minorHAnsi"/>
                <w:sz w:val="16"/>
                <w:szCs w:val="16"/>
              </w:rPr>
              <w:lastRenderedPageBreak/>
              <w:t>year, relative to the previous year, whilst the estimated biomass of flow-dependent native species decreased?</w:t>
            </w:r>
          </w:p>
        </w:tc>
        <w:tc>
          <w:tcPr>
            <w:tcW w:w="552" w:type="pct"/>
          </w:tcPr>
          <w:p w14:paraId="05ED803E" w14:textId="77777777" w:rsidR="00EB5197" w:rsidRPr="00525EF3" w:rsidRDefault="00EB5197" w:rsidP="002A5892">
            <w:pPr>
              <w:spacing w:after="80"/>
              <w:rPr>
                <w:rFonts w:cstheme="minorHAnsi"/>
                <w:sz w:val="16"/>
                <w:szCs w:val="16"/>
              </w:rPr>
            </w:pPr>
            <w:r w:rsidRPr="00525EF3">
              <w:rPr>
                <w:rFonts w:cstheme="minorHAnsi"/>
                <w:sz w:val="16"/>
                <w:szCs w:val="16"/>
              </w:rPr>
              <w:lastRenderedPageBreak/>
              <w:t>Category 1 Fish (Channel)</w:t>
            </w:r>
          </w:p>
        </w:tc>
      </w:tr>
      <w:tr w:rsidR="00EB5197" w:rsidRPr="00525EF3" w14:paraId="43FF6EDD" w14:textId="77777777" w:rsidTr="002A5892">
        <w:tc>
          <w:tcPr>
            <w:tcW w:w="354" w:type="pct"/>
          </w:tcPr>
          <w:p w14:paraId="336D068C" w14:textId="77777777" w:rsidR="00EB5197" w:rsidRPr="00525EF3" w:rsidRDefault="00EB5197" w:rsidP="002A5892">
            <w:pPr>
              <w:spacing w:after="80"/>
              <w:rPr>
                <w:rFonts w:cstheme="minorHAnsi"/>
                <w:sz w:val="16"/>
                <w:szCs w:val="16"/>
              </w:rPr>
            </w:pPr>
            <w:r>
              <w:rPr>
                <w:rFonts w:cstheme="minorHAnsi"/>
                <w:sz w:val="16"/>
                <w:szCs w:val="16"/>
              </w:rPr>
              <w:t>Vegetation</w:t>
            </w:r>
          </w:p>
        </w:tc>
        <w:tc>
          <w:tcPr>
            <w:tcW w:w="711" w:type="pct"/>
          </w:tcPr>
          <w:p w14:paraId="78A0E972" w14:textId="77777777" w:rsidR="00EB5197" w:rsidRPr="004B304C" w:rsidRDefault="00EB5197" w:rsidP="002A5892">
            <w:pPr>
              <w:spacing w:after="80"/>
              <w:rPr>
                <w:rFonts w:cstheme="minorHAnsi"/>
                <w:sz w:val="16"/>
                <w:szCs w:val="16"/>
              </w:rPr>
            </w:pPr>
            <w:r w:rsidRPr="004B304C">
              <w:rPr>
                <w:rFonts w:cstheme="minorHAnsi"/>
                <w:sz w:val="16"/>
                <w:szCs w:val="16"/>
              </w:rPr>
              <w:t>Throughout the length of the Channel asset (i.e. SA border to Wellington), establish and maintain a diverse native flood-dependent plant community in areas inundated by flows of 10,000–40,000 ML/day QSA.</w:t>
            </w:r>
          </w:p>
          <w:p w14:paraId="5028AA48" w14:textId="77777777" w:rsidR="00EB5197" w:rsidRPr="00525EF3" w:rsidRDefault="00EB5197" w:rsidP="002A5892">
            <w:pPr>
              <w:spacing w:after="80"/>
              <w:rPr>
                <w:rFonts w:cstheme="minorHAnsi"/>
                <w:sz w:val="16"/>
                <w:szCs w:val="16"/>
              </w:rPr>
            </w:pPr>
            <w:r w:rsidRPr="004B304C">
              <w:rPr>
                <w:rFonts w:cstheme="minorHAnsi"/>
                <w:sz w:val="16"/>
                <w:szCs w:val="16"/>
              </w:rPr>
              <w:t>Throughout the length of the Channel asset (i.e. SA border to Wellington), establish and maintain a diverse macrophyte community in wetlands inundated by</w:t>
            </w:r>
            <w:r>
              <w:rPr>
                <w:rFonts w:cstheme="minorHAnsi"/>
                <w:sz w:val="16"/>
                <w:szCs w:val="16"/>
              </w:rPr>
              <w:t xml:space="preserve"> flows up to 40,000 ML/day QSA.</w:t>
            </w:r>
          </w:p>
        </w:tc>
        <w:tc>
          <w:tcPr>
            <w:tcW w:w="915" w:type="pct"/>
          </w:tcPr>
          <w:p w14:paraId="43196D57" w14:textId="77777777" w:rsidR="00EB5197" w:rsidRDefault="00EB5197" w:rsidP="002A5892">
            <w:pPr>
              <w:autoSpaceDE w:val="0"/>
              <w:autoSpaceDN w:val="0"/>
              <w:adjustRightInd w:val="0"/>
              <w:spacing w:after="80"/>
              <w:rPr>
                <w:rFonts w:cstheme="minorHAnsi"/>
                <w:sz w:val="16"/>
                <w:szCs w:val="16"/>
              </w:rPr>
            </w:pPr>
            <w:r w:rsidRPr="004B304C">
              <w:rPr>
                <w:rFonts w:cstheme="minorHAnsi"/>
                <w:sz w:val="16"/>
                <w:szCs w:val="16"/>
              </w:rPr>
              <w:t>Species from the Plant Functional Group ‘fl</w:t>
            </w:r>
            <w:r>
              <w:rPr>
                <w:rFonts w:cstheme="minorHAnsi"/>
                <w:sz w:val="16"/>
                <w:szCs w:val="16"/>
              </w:rPr>
              <w:t xml:space="preserve">ood-dependent/responsive’ occur </w:t>
            </w:r>
            <w:r w:rsidRPr="004B304C">
              <w:rPr>
                <w:rFonts w:cstheme="minorHAnsi"/>
                <w:sz w:val="16"/>
                <w:szCs w:val="16"/>
              </w:rPr>
              <w:t>in 70% of quadrats spanning the elevation gradi</w:t>
            </w:r>
            <w:r>
              <w:rPr>
                <w:rFonts w:cstheme="minorHAnsi"/>
                <w:sz w:val="16"/>
                <w:szCs w:val="16"/>
              </w:rPr>
              <w:t xml:space="preserve">ent in the target zone at least </w:t>
            </w:r>
            <w:r w:rsidRPr="004B304C">
              <w:rPr>
                <w:rFonts w:cstheme="minorHAnsi"/>
                <w:sz w:val="16"/>
                <w:szCs w:val="16"/>
              </w:rPr>
              <w:t>once every 3 years.</w:t>
            </w:r>
          </w:p>
          <w:p w14:paraId="41846CA3" w14:textId="77777777" w:rsidR="00EB5197" w:rsidRDefault="00EB5197" w:rsidP="002A5892">
            <w:pPr>
              <w:autoSpaceDE w:val="0"/>
              <w:autoSpaceDN w:val="0"/>
              <w:adjustRightInd w:val="0"/>
              <w:spacing w:after="80"/>
              <w:rPr>
                <w:rFonts w:cstheme="minorHAnsi"/>
                <w:sz w:val="16"/>
                <w:szCs w:val="16"/>
              </w:rPr>
            </w:pPr>
            <w:r w:rsidRPr="004B304C">
              <w:rPr>
                <w:rFonts w:cstheme="minorHAnsi"/>
                <w:sz w:val="16"/>
                <w:szCs w:val="16"/>
              </w:rPr>
              <w:t xml:space="preserve">Native macrophytes from the emergent, </w:t>
            </w:r>
            <w:r>
              <w:rPr>
                <w:rFonts w:cstheme="minorHAnsi"/>
                <w:sz w:val="16"/>
                <w:szCs w:val="16"/>
              </w:rPr>
              <w:t xml:space="preserve">amphibious and flood- dependent </w:t>
            </w:r>
            <w:r w:rsidRPr="004B304C">
              <w:rPr>
                <w:rFonts w:cstheme="minorHAnsi"/>
                <w:sz w:val="16"/>
                <w:szCs w:val="16"/>
              </w:rPr>
              <w:t xml:space="preserve">functional groups occur in 70% of quadrats </w:t>
            </w:r>
            <w:r>
              <w:rPr>
                <w:rFonts w:cstheme="minorHAnsi"/>
                <w:sz w:val="16"/>
                <w:szCs w:val="16"/>
              </w:rPr>
              <w:t xml:space="preserve">spanning the elevation gradient </w:t>
            </w:r>
            <w:r w:rsidRPr="004B304C">
              <w:rPr>
                <w:rFonts w:cstheme="minorHAnsi"/>
                <w:sz w:val="16"/>
                <w:szCs w:val="16"/>
              </w:rPr>
              <w:t>in the target zone at least once every 3 years.</w:t>
            </w:r>
          </w:p>
          <w:p w14:paraId="10486E60" w14:textId="77777777" w:rsidR="00EB5197" w:rsidRPr="00525EF3" w:rsidRDefault="00EB5197" w:rsidP="002A5892">
            <w:pPr>
              <w:autoSpaceDE w:val="0"/>
              <w:autoSpaceDN w:val="0"/>
              <w:adjustRightInd w:val="0"/>
              <w:spacing w:after="80"/>
              <w:rPr>
                <w:rFonts w:cstheme="minorHAnsi"/>
                <w:sz w:val="16"/>
                <w:szCs w:val="16"/>
              </w:rPr>
            </w:pPr>
          </w:p>
        </w:tc>
        <w:tc>
          <w:tcPr>
            <w:tcW w:w="660" w:type="pct"/>
          </w:tcPr>
          <w:p w14:paraId="45BF2574" w14:textId="77777777" w:rsidR="00EB5197" w:rsidRPr="005F1600" w:rsidRDefault="00EB5197" w:rsidP="002A5892">
            <w:pPr>
              <w:spacing w:after="80"/>
              <w:rPr>
                <w:rFonts w:cstheme="minorHAnsi"/>
                <w:sz w:val="16"/>
                <w:szCs w:val="16"/>
              </w:rPr>
            </w:pPr>
          </w:p>
        </w:tc>
        <w:tc>
          <w:tcPr>
            <w:tcW w:w="655" w:type="pct"/>
          </w:tcPr>
          <w:p w14:paraId="510C9F0B" w14:textId="77777777" w:rsidR="00EB5197" w:rsidRPr="005F1600" w:rsidRDefault="00EB5197" w:rsidP="002A5892">
            <w:pPr>
              <w:spacing w:after="80"/>
              <w:rPr>
                <w:rFonts w:cstheme="minorHAnsi"/>
                <w:sz w:val="16"/>
                <w:szCs w:val="16"/>
              </w:rPr>
            </w:pPr>
          </w:p>
        </w:tc>
        <w:tc>
          <w:tcPr>
            <w:tcW w:w="1153" w:type="pct"/>
          </w:tcPr>
          <w:p w14:paraId="6C3E42E8" w14:textId="77777777" w:rsidR="00EB5197" w:rsidRPr="00525EF3" w:rsidRDefault="00EB5197" w:rsidP="002A5892">
            <w:pPr>
              <w:spacing w:after="80"/>
              <w:rPr>
                <w:rFonts w:cstheme="minorHAnsi"/>
                <w:sz w:val="16"/>
                <w:szCs w:val="16"/>
              </w:rPr>
            </w:pPr>
            <w:r>
              <w:rPr>
                <w:rFonts w:cstheme="minorHAnsi"/>
                <w:sz w:val="16"/>
                <w:szCs w:val="16"/>
              </w:rPr>
              <w:t>To what extent did</w:t>
            </w:r>
            <w:r w:rsidRPr="005F1600">
              <w:rPr>
                <w:rFonts w:cstheme="minorHAnsi"/>
                <w:sz w:val="16"/>
                <w:szCs w:val="16"/>
              </w:rPr>
              <w:t xml:space="preserve"> CEW (and other environmental water) contribute to littoral understorey vegetation diversity and productivity?</w:t>
            </w:r>
          </w:p>
        </w:tc>
        <w:tc>
          <w:tcPr>
            <w:tcW w:w="552" w:type="pct"/>
          </w:tcPr>
          <w:p w14:paraId="2B99BD49" w14:textId="77777777" w:rsidR="00EB5197" w:rsidRPr="00525EF3" w:rsidRDefault="00EB5197" w:rsidP="002A5892">
            <w:pPr>
              <w:spacing w:after="80"/>
              <w:rPr>
                <w:rFonts w:cstheme="minorHAnsi"/>
                <w:sz w:val="16"/>
                <w:szCs w:val="16"/>
              </w:rPr>
            </w:pPr>
            <w:r>
              <w:rPr>
                <w:rFonts w:cstheme="minorHAnsi"/>
                <w:sz w:val="16"/>
                <w:szCs w:val="16"/>
              </w:rPr>
              <w:t xml:space="preserve">Category 3 Littoral </w:t>
            </w:r>
            <w:r w:rsidRPr="004454BE">
              <w:rPr>
                <w:rFonts w:cstheme="minorHAnsi"/>
                <w:color w:val="auto"/>
                <w:sz w:val="16"/>
                <w:szCs w:val="16"/>
              </w:rPr>
              <w:t>Vegetation</w:t>
            </w:r>
            <w:r>
              <w:rPr>
                <w:rFonts w:cstheme="minorHAnsi"/>
                <w:color w:val="auto"/>
                <w:sz w:val="16"/>
                <w:szCs w:val="16"/>
              </w:rPr>
              <w:t xml:space="preserve"> Diversity and Productivity</w:t>
            </w:r>
          </w:p>
        </w:tc>
      </w:tr>
    </w:tbl>
    <w:p w14:paraId="70F63A02" w14:textId="77777777" w:rsidR="0035554E" w:rsidRPr="00516B88" w:rsidRDefault="0035554E" w:rsidP="00516B88">
      <w:pPr>
        <w:rPr>
          <w:highlight w:val="yellow"/>
        </w:rPr>
        <w:sectPr w:rsidR="0035554E" w:rsidRPr="00516B88" w:rsidSect="00D75E3B">
          <w:pgSz w:w="16840" w:h="11900" w:orient="landscape" w:code="9"/>
          <w:pgMar w:top="1440" w:right="1440" w:bottom="1440" w:left="1440" w:header="709" w:footer="709" w:gutter="0"/>
          <w:cols w:space="708"/>
          <w:docGrid w:linePitch="360"/>
        </w:sectPr>
      </w:pPr>
    </w:p>
    <w:p w14:paraId="5F77A2ED" w14:textId="5DCFB71D" w:rsidR="00977882" w:rsidRPr="0031605C" w:rsidRDefault="00977882" w:rsidP="00475425">
      <w:pPr>
        <w:pStyle w:val="H1notnumberedinTOC"/>
      </w:pPr>
      <w:bookmarkStart w:id="2466" w:name="_Toc384985590"/>
      <w:bookmarkStart w:id="2467" w:name="_Toc22196945"/>
      <w:r w:rsidRPr="001F661A">
        <w:lastRenderedPageBreak/>
        <w:t>Acronyms</w:t>
      </w:r>
      <w:bookmarkEnd w:id="2466"/>
      <w:bookmarkEnd w:id="2467"/>
    </w:p>
    <w:tbl>
      <w:tblPr>
        <w:tblW w:w="0" w:type="auto"/>
        <w:tblInd w:w="83" w:type="dxa"/>
        <w:tblLook w:val="04A0" w:firstRow="1" w:lastRow="0" w:firstColumn="1" w:lastColumn="0" w:noHBand="0" w:noVBand="1"/>
      </w:tblPr>
      <w:tblGrid>
        <w:gridCol w:w="1264"/>
        <w:gridCol w:w="7404"/>
      </w:tblGrid>
      <w:tr w:rsidR="00977882" w:rsidRPr="00ED7EAE" w14:paraId="1B8CEA9D" w14:textId="77777777" w:rsidTr="00977882">
        <w:trPr>
          <w:trHeight w:val="300"/>
        </w:trPr>
        <w:tc>
          <w:tcPr>
            <w:tcW w:w="0" w:type="auto"/>
            <w:tcBorders>
              <w:top w:val="nil"/>
              <w:left w:val="nil"/>
              <w:bottom w:val="nil"/>
              <w:right w:val="nil"/>
            </w:tcBorders>
            <w:shd w:val="clear" w:color="auto" w:fill="auto"/>
            <w:noWrap/>
            <w:vAlign w:val="bottom"/>
            <w:hideMark/>
          </w:tcPr>
          <w:p w14:paraId="0BB23FF5" w14:textId="77777777" w:rsidR="00977882" w:rsidRPr="00F02673" w:rsidRDefault="00977882" w:rsidP="00F02673">
            <w:pPr>
              <w:rPr>
                <w:b/>
                <w:lang w:val="en-US"/>
              </w:rPr>
            </w:pPr>
            <w:r w:rsidRPr="00F02673">
              <w:rPr>
                <w:b/>
                <w:lang w:val="en-US"/>
              </w:rPr>
              <w:t>ANAE</w:t>
            </w:r>
          </w:p>
        </w:tc>
        <w:tc>
          <w:tcPr>
            <w:tcW w:w="0" w:type="auto"/>
            <w:tcBorders>
              <w:top w:val="nil"/>
              <w:left w:val="nil"/>
              <w:bottom w:val="nil"/>
              <w:right w:val="nil"/>
            </w:tcBorders>
            <w:shd w:val="clear" w:color="auto" w:fill="auto"/>
            <w:noWrap/>
            <w:vAlign w:val="bottom"/>
            <w:hideMark/>
          </w:tcPr>
          <w:p w14:paraId="504C5605" w14:textId="77777777" w:rsidR="00977882" w:rsidRPr="00ED7EAE" w:rsidRDefault="00977882" w:rsidP="00F02673">
            <w:pPr>
              <w:rPr>
                <w:lang w:val="en-US"/>
              </w:rPr>
            </w:pPr>
            <w:r w:rsidRPr="00ED7EAE">
              <w:t>Interim Australian National Aquatic Ecosystem</w:t>
            </w:r>
          </w:p>
        </w:tc>
      </w:tr>
      <w:tr w:rsidR="00977882" w:rsidRPr="00ED7EAE" w14:paraId="4A4BF52E" w14:textId="77777777" w:rsidTr="00977882">
        <w:trPr>
          <w:trHeight w:val="300"/>
        </w:trPr>
        <w:tc>
          <w:tcPr>
            <w:tcW w:w="0" w:type="auto"/>
            <w:tcBorders>
              <w:top w:val="nil"/>
              <w:left w:val="nil"/>
              <w:bottom w:val="nil"/>
              <w:right w:val="nil"/>
            </w:tcBorders>
            <w:shd w:val="clear" w:color="auto" w:fill="auto"/>
            <w:noWrap/>
            <w:vAlign w:val="bottom"/>
            <w:hideMark/>
          </w:tcPr>
          <w:p w14:paraId="081158FD" w14:textId="77777777" w:rsidR="00977882" w:rsidRPr="00F02673" w:rsidRDefault="00977882" w:rsidP="00F02673">
            <w:pPr>
              <w:rPr>
                <w:b/>
                <w:lang w:val="en-US"/>
              </w:rPr>
            </w:pPr>
            <w:r w:rsidRPr="00F02673">
              <w:rPr>
                <w:b/>
                <w:lang w:val="en-US"/>
              </w:rPr>
              <w:t>ANZECC</w:t>
            </w:r>
          </w:p>
        </w:tc>
        <w:tc>
          <w:tcPr>
            <w:tcW w:w="0" w:type="auto"/>
            <w:tcBorders>
              <w:top w:val="nil"/>
              <w:left w:val="nil"/>
              <w:bottom w:val="nil"/>
              <w:right w:val="nil"/>
            </w:tcBorders>
            <w:shd w:val="clear" w:color="auto" w:fill="auto"/>
            <w:noWrap/>
            <w:vAlign w:val="bottom"/>
            <w:hideMark/>
          </w:tcPr>
          <w:p w14:paraId="1C8F8E1F" w14:textId="77777777" w:rsidR="00977882" w:rsidRPr="00ED7EAE" w:rsidRDefault="00977882" w:rsidP="00F02673">
            <w:pPr>
              <w:rPr>
                <w:lang w:val="en-US"/>
              </w:rPr>
            </w:pPr>
            <w:r w:rsidRPr="00ED7EAE">
              <w:t>Australian and New Zealand Environment and Conservation Council</w:t>
            </w:r>
          </w:p>
        </w:tc>
      </w:tr>
      <w:tr w:rsidR="00977882" w:rsidRPr="00ED7EAE" w14:paraId="59967EBA" w14:textId="77777777" w:rsidTr="00977882">
        <w:trPr>
          <w:trHeight w:val="300"/>
        </w:trPr>
        <w:tc>
          <w:tcPr>
            <w:tcW w:w="0" w:type="auto"/>
            <w:tcBorders>
              <w:top w:val="nil"/>
              <w:left w:val="nil"/>
              <w:bottom w:val="nil"/>
              <w:right w:val="nil"/>
            </w:tcBorders>
            <w:shd w:val="clear" w:color="auto" w:fill="auto"/>
            <w:noWrap/>
            <w:vAlign w:val="bottom"/>
            <w:hideMark/>
          </w:tcPr>
          <w:p w14:paraId="5F09CF35" w14:textId="77777777" w:rsidR="00977882" w:rsidRPr="00F02673" w:rsidRDefault="00977882" w:rsidP="00F02673">
            <w:pPr>
              <w:rPr>
                <w:b/>
                <w:lang w:val="en-US"/>
              </w:rPr>
            </w:pPr>
            <w:r w:rsidRPr="00F02673">
              <w:rPr>
                <w:b/>
                <w:lang w:val="en-US"/>
              </w:rPr>
              <w:t>ARMCANZ</w:t>
            </w:r>
          </w:p>
        </w:tc>
        <w:tc>
          <w:tcPr>
            <w:tcW w:w="0" w:type="auto"/>
            <w:tcBorders>
              <w:top w:val="nil"/>
              <w:left w:val="nil"/>
              <w:bottom w:val="nil"/>
              <w:right w:val="nil"/>
            </w:tcBorders>
            <w:shd w:val="clear" w:color="auto" w:fill="auto"/>
            <w:noWrap/>
            <w:vAlign w:val="bottom"/>
            <w:hideMark/>
          </w:tcPr>
          <w:p w14:paraId="165F1ADE" w14:textId="77777777" w:rsidR="00977882" w:rsidRPr="00ED7EAE" w:rsidRDefault="00977882" w:rsidP="00F02673">
            <w:pPr>
              <w:rPr>
                <w:lang w:val="en-US"/>
              </w:rPr>
            </w:pPr>
            <w:r w:rsidRPr="00ED7EAE">
              <w:t>Agriculture and Resource Management Council of Australia and New Zealand</w:t>
            </w:r>
          </w:p>
        </w:tc>
      </w:tr>
      <w:tr w:rsidR="00977882" w:rsidRPr="00ED7EAE" w14:paraId="1C6075FD" w14:textId="77777777" w:rsidTr="00977882">
        <w:trPr>
          <w:trHeight w:val="300"/>
        </w:trPr>
        <w:tc>
          <w:tcPr>
            <w:tcW w:w="0" w:type="auto"/>
            <w:tcBorders>
              <w:top w:val="nil"/>
              <w:left w:val="nil"/>
              <w:bottom w:val="nil"/>
              <w:right w:val="nil"/>
            </w:tcBorders>
            <w:shd w:val="clear" w:color="auto" w:fill="auto"/>
            <w:noWrap/>
            <w:vAlign w:val="bottom"/>
            <w:hideMark/>
          </w:tcPr>
          <w:p w14:paraId="7D889BBB" w14:textId="77777777" w:rsidR="00977882" w:rsidRPr="00F02673" w:rsidRDefault="00977882" w:rsidP="00F02673">
            <w:pPr>
              <w:rPr>
                <w:b/>
                <w:lang w:val="en-US"/>
              </w:rPr>
            </w:pPr>
            <w:r w:rsidRPr="00F02673">
              <w:rPr>
                <w:b/>
                <w:lang w:val="en-US"/>
              </w:rPr>
              <w:t>AS/NZS ISO</w:t>
            </w:r>
          </w:p>
        </w:tc>
        <w:tc>
          <w:tcPr>
            <w:tcW w:w="0" w:type="auto"/>
            <w:tcBorders>
              <w:top w:val="nil"/>
              <w:left w:val="nil"/>
              <w:bottom w:val="nil"/>
              <w:right w:val="nil"/>
            </w:tcBorders>
            <w:shd w:val="clear" w:color="auto" w:fill="auto"/>
            <w:noWrap/>
            <w:vAlign w:val="bottom"/>
            <w:hideMark/>
          </w:tcPr>
          <w:p w14:paraId="7CCB3FEE" w14:textId="77777777" w:rsidR="00977882" w:rsidRPr="00ED7EAE" w:rsidRDefault="00977882" w:rsidP="00F02673">
            <w:pPr>
              <w:rPr>
                <w:lang w:val="en-US"/>
              </w:rPr>
            </w:pPr>
            <w:r w:rsidRPr="00ED7EAE">
              <w:t>Australian/New Zealand Standard International Organisation for Standardisation</w:t>
            </w:r>
          </w:p>
        </w:tc>
      </w:tr>
      <w:tr w:rsidR="00977882" w:rsidRPr="00ED7EAE" w14:paraId="69EE39BC" w14:textId="77777777" w:rsidTr="00977882">
        <w:trPr>
          <w:trHeight w:val="300"/>
        </w:trPr>
        <w:tc>
          <w:tcPr>
            <w:tcW w:w="0" w:type="auto"/>
            <w:tcBorders>
              <w:top w:val="nil"/>
              <w:left w:val="nil"/>
              <w:bottom w:val="nil"/>
              <w:right w:val="nil"/>
            </w:tcBorders>
            <w:shd w:val="clear" w:color="auto" w:fill="auto"/>
            <w:noWrap/>
            <w:vAlign w:val="bottom"/>
            <w:hideMark/>
          </w:tcPr>
          <w:p w14:paraId="3B9B2D5F" w14:textId="77777777" w:rsidR="00977882" w:rsidRPr="00F02673" w:rsidRDefault="00977882" w:rsidP="00F02673">
            <w:pPr>
              <w:rPr>
                <w:b/>
                <w:lang w:val="en-US"/>
              </w:rPr>
            </w:pPr>
            <w:r w:rsidRPr="00F02673">
              <w:rPr>
                <w:b/>
                <w:lang w:val="en-US"/>
              </w:rPr>
              <w:t>CED</w:t>
            </w:r>
          </w:p>
        </w:tc>
        <w:tc>
          <w:tcPr>
            <w:tcW w:w="0" w:type="auto"/>
            <w:tcBorders>
              <w:top w:val="nil"/>
              <w:left w:val="nil"/>
              <w:bottom w:val="nil"/>
              <w:right w:val="nil"/>
            </w:tcBorders>
            <w:shd w:val="clear" w:color="auto" w:fill="auto"/>
            <w:noWrap/>
            <w:vAlign w:val="bottom"/>
            <w:hideMark/>
          </w:tcPr>
          <w:p w14:paraId="4B2873C5" w14:textId="4CF44BF4" w:rsidR="00977882" w:rsidRPr="00ED7EAE" w:rsidRDefault="009B4003" w:rsidP="00F02673">
            <w:pPr>
              <w:rPr>
                <w:lang w:val="en-US"/>
              </w:rPr>
            </w:pPr>
            <w:r>
              <w:t>Cause and</w:t>
            </w:r>
            <w:r w:rsidR="00977882" w:rsidRPr="00ED7EAE">
              <w:t xml:space="preserve"> effect diagram</w:t>
            </w:r>
          </w:p>
        </w:tc>
      </w:tr>
      <w:tr w:rsidR="00977882" w:rsidRPr="00ED7EAE" w14:paraId="50761005" w14:textId="77777777" w:rsidTr="00977882">
        <w:trPr>
          <w:trHeight w:val="300"/>
        </w:trPr>
        <w:tc>
          <w:tcPr>
            <w:tcW w:w="0" w:type="auto"/>
            <w:tcBorders>
              <w:top w:val="nil"/>
              <w:left w:val="nil"/>
              <w:bottom w:val="nil"/>
              <w:right w:val="nil"/>
            </w:tcBorders>
            <w:shd w:val="clear" w:color="auto" w:fill="auto"/>
            <w:noWrap/>
            <w:vAlign w:val="bottom"/>
            <w:hideMark/>
          </w:tcPr>
          <w:p w14:paraId="7329D416" w14:textId="77777777" w:rsidR="00977882" w:rsidRPr="00F02673" w:rsidRDefault="00977882" w:rsidP="00F02673">
            <w:pPr>
              <w:rPr>
                <w:b/>
                <w:lang w:val="en-US"/>
              </w:rPr>
            </w:pPr>
            <w:r w:rsidRPr="00F02673">
              <w:rPr>
                <w:b/>
                <w:lang w:val="en-US"/>
              </w:rPr>
              <w:t xml:space="preserve">CEW </w:t>
            </w:r>
          </w:p>
        </w:tc>
        <w:tc>
          <w:tcPr>
            <w:tcW w:w="0" w:type="auto"/>
            <w:tcBorders>
              <w:top w:val="nil"/>
              <w:left w:val="nil"/>
              <w:bottom w:val="nil"/>
              <w:right w:val="nil"/>
            </w:tcBorders>
            <w:shd w:val="clear" w:color="auto" w:fill="auto"/>
            <w:noWrap/>
            <w:vAlign w:val="bottom"/>
            <w:hideMark/>
          </w:tcPr>
          <w:p w14:paraId="26BA3453" w14:textId="77777777" w:rsidR="00977882" w:rsidRPr="00ED7EAE" w:rsidRDefault="00977882" w:rsidP="00F02673">
            <w:pPr>
              <w:rPr>
                <w:lang w:val="en-US"/>
              </w:rPr>
            </w:pPr>
            <w:r w:rsidRPr="00ED7EAE">
              <w:t>Commonwealth Environmental Water</w:t>
            </w:r>
          </w:p>
        </w:tc>
      </w:tr>
      <w:tr w:rsidR="00977882" w:rsidRPr="00ED7EAE" w14:paraId="65874074" w14:textId="77777777" w:rsidTr="00977882">
        <w:trPr>
          <w:trHeight w:val="300"/>
        </w:trPr>
        <w:tc>
          <w:tcPr>
            <w:tcW w:w="0" w:type="auto"/>
            <w:tcBorders>
              <w:top w:val="nil"/>
              <w:left w:val="nil"/>
              <w:bottom w:val="nil"/>
              <w:right w:val="nil"/>
            </w:tcBorders>
            <w:shd w:val="clear" w:color="auto" w:fill="auto"/>
            <w:noWrap/>
            <w:vAlign w:val="bottom"/>
            <w:hideMark/>
          </w:tcPr>
          <w:p w14:paraId="5C516EAD" w14:textId="77777777" w:rsidR="00977882" w:rsidRPr="00F02673" w:rsidRDefault="00977882" w:rsidP="00F02673">
            <w:pPr>
              <w:rPr>
                <w:b/>
                <w:lang w:val="en-US"/>
              </w:rPr>
            </w:pPr>
            <w:r w:rsidRPr="00F02673">
              <w:rPr>
                <w:b/>
                <w:lang w:val="en-US"/>
              </w:rPr>
              <w:t>CEWH</w:t>
            </w:r>
          </w:p>
        </w:tc>
        <w:tc>
          <w:tcPr>
            <w:tcW w:w="0" w:type="auto"/>
            <w:tcBorders>
              <w:top w:val="nil"/>
              <w:left w:val="nil"/>
              <w:bottom w:val="nil"/>
              <w:right w:val="nil"/>
            </w:tcBorders>
            <w:shd w:val="clear" w:color="auto" w:fill="auto"/>
            <w:noWrap/>
            <w:vAlign w:val="bottom"/>
            <w:hideMark/>
          </w:tcPr>
          <w:p w14:paraId="3B0FBB0A" w14:textId="77777777" w:rsidR="00977882" w:rsidRPr="00ED7EAE" w:rsidRDefault="00977882" w:rsidP="00F02673">
            <w:pPr>
              <w:rPr>
                <w:lang w:val="en-US"/>
              </w:rPr>
            </w:pPr>
            <w:r w:rsidRPr="00ED7EAE">
              <w:t>Commonwealth Environmental Water Holder</w:t>
            </w:r>
          </w:p>
        </w:tc>
      </w:tr>
      <w:tr w:rsidR="00977882" w:rsidRPr="00ED7EAE" w14:paraId="0945A845" w14:textId="77777777" w:rsidTr="00977882">
        <w:trPr>
          <w:trHeight w:val="300"/>
        </w:trPr>
        <w:tc>
          <w:tcPr>
            <w:tcW w:w="0" w:type="auto"/>
            <w:tcBorders>
              <w:top w:val="nil"/>
              <w:left w:val="nil"/>
              <w:bottom w:val="nil"/>
              <w:right w:val="nil"/>
            </w:tcBorders>
            <w:shd w:val="clear" w:color="auto" w:fill="auto"/>
            <w:noWrap/>
            <w:vAlign w:val="bottom"/>
            <w:hideMark/>
          </w:tcPr>
          <w:p w14:paraId="10C08978" w14:textId="77777777" w:rsidR="00977882" w:rsidRPr="00F02673" w:rsidRDefault="00977882" w:rsidP="00F02673">
            <w:pPr>
              <w:rPr>
                <w:b/>
                <w:lang w:val="en-US"/>
              </w:rPr>
            </w:pPr>
            <w:r w:rsidRPr="00F02673">
              <w:rPr>
                <w:b/>
                <w:lang w:val="en-US"/>
              </w:rPr>
              <w:t xml:space="preserve">CEWO </w:t>
            </w:r>
          </w:p>
        </w:tc>
        <w:tc>
          <w:tcPr>
            <w:tcW w:w="0" w:type="auto"/>
            <w:tcBorders>
              <w:top w:val="nil"/>
              <w:left w:val="nil"/>
              <w:bottom w:val="nil"/>
              <w:right w:val="nil"/>
            </w:tcBorders>
            <w:shd w:val="clear" w:color="auto" w:fill="auto"/>
            <w:noWrap/>
            <w:vAlign w:val="bottom"/>
            <w:hideMark/>
          </w:tcPr>
          <w:p w14:paraId="45668694" w14:textId="77777777" w:rsidR="00977882" w:rsidRPr="00ED7EAE" w:rsidRDefault="00977882" w:rsidP="00F02673">
            <w:pPr>
              <w:rPr>
                <w:lang w:val="en-US"/>
              </w:rPr>
            </w:pPr>
            <w:r w:rsidRPr="00ED7EAE">
              <w:t>Commonwealth Environmental Water Office</w:t>
            </w:r>
          </w:p>
        </w:tc>
      </w:tr>
      <w:tr w:rsidR="00977882" w:rsidRPr="00ED7EAE" w14:paraId="221C1B8A" w14:textId="77777777" w:rsidTr="00977882">
        <w:trPr>
          <w:trHeight w:val="300"/>
        </w:trPr>
        <w:tc>
          <w:tcPr>
            <w:tcW w:w="0" w:type="auto"/>
            <w:tcBorders>
              <w:top w:val="nil"/>
              <w:left w:val="nil"/>
              <w:bottom w:val="nil"/>
              <w:right w:val="nil"/>
            </w:tcBorders>
            <w:shd w:val="clear" w:color="auto" w:fill="auto"/>
            <w:noWrap/>
            <w:vAlign w:val="bottom"/>
            <w:hideMark/>
          </w:tcPr>
          <w:p w14:paraId="50552400" w14:textId="77777777" w:rsidR="00977882" w:rsidRPr="00F02673" w:rsidRDefault="00977882" w:rsidP="00F02673">
            <w:pPr>
              <w:rPr>
                <w:b/>
                <w:lang w:val="en-US"/>
              </w:rPr>
            </w:pPr>
            <w:r w:rsidRPr="00F02673">
              <w:rPr>
                <w:b/>
                <w:lang w:val="en-US"/>
              </w:rPr>
              <w:t xml:space="preserve">CLLMM </w:t>
            </w:r>
          </w:p>
        </w:tc>
        <w:tc>
          <w:tcPr>
            <w:tcW w:w="0" w:type="auto"/>
            <w:tcBorders>
              <w:top w:val="nil"/>
              <w:left w:val="nil"/>
              <w:bottom w:val="nil"/>
              <w:right w:val="nil"/>
            </w:tcBorders>
            <w:shd w:val="clear" w:color="auto" w:fill="auto"/>
            <w:noWrap/>
            <w:vAlign w:val="bottom"/>
            <w:hideMark/>
          </w:tcPr>
          <w:p w14:paraId="6D52F208" w14:textId="77777777" w:rsidR="00977882" w:rsidRPr="00ED7EAE" w:rsidRDefault="00977882" w:rsidP="00F02673">
            <w:pPr>
              <w:rPr>
                <w:lang w:val="en-US"/>
              </w:rPr>
            </w:pPr>
            <w:r>
              <w:t>Coorong Lower Lakes and Murray Mouth</w:t>
            </w:r>
          </w:p>
        </w:tc>
      </w:tr>
      <w:tr w:rsidR="00977882" w:rsidRPr="00ED7EAE" w14:paraId="5CD5ECAB" w14:textId="77777777" w:rsidTr="00977882">
        <w:trPr>
          <w:trHeight w:val="300"/>
        </w:trPr>
        <w:tc>
          <w:tcPr>
            <w:tcW w:w="0" w:type="auto"/>
            <w:tcBorders>
              <w:top w:val="nil"/>
              <w:left w:val="nil"/>
              <w:bottom w:val="nil"/>
              <w:right w:val="nil"/>
            </w:tcBorders>
            <w:shd w:val="clear" w:color="auto" w:fill="auto"/>
            <w:noWrap/>
            <w:vAlign w:val="bottom"/>
            <w:hideMark/>
          </w:tcPr>
          <w:p w14:paraId="2B592FB6" w14:textId="77777777" w:rsidR="00977882" w:rsidRPr="00F02673" w:rsidRDefault="00977882" w:rsidP="00F02673">
            <w:pPr>
              <w:rPr>
                <w:b/>
                <w:lang w:val="en-US"/>
              </w:rPr>
            </w:pPr>
            <w:r w:rsidRPr="00F02673">
              <w:rPr>
                <w:b/>
                <w:lang w:val="en-US"/>
              </w:rPr>
              <w:t xml:space="preserve">CPUE </w:t>
            </w:r>
          </w:p>
        </w:tc>
        <w:tc>
          <w:tcPr>
            <w:tcW w:w="0" w:type="auto"/>
            <w:tcBorders>
              <w:top w:val="nil"/>
              <w:left w:val="nil"/>
              <w:bottom w:val="nil"/>
              <w:right w:val="nil"/>
            </w:tcBorders>
            <w:shd w:val="clear" w:color="auto" w:fill="auto"/>
            <w:noWrap/>
            <w:vAlign w:val="bottom"/>
            <w:hideMark/>
          </w:tcPr>
          <w:p w14:paraId="178823E6" w14:textId="77777777" w:rsidR="00977882" w:rsidRPr="00ED7EAE" w:rsidRDefault="00977882" w:rsidP="00F02673">
            <w:pPr>
              <w:rPr>
                <w:lang w:val="en-US"/>
              </w:rPr>
            </w:pPr>
            <w:r>
              <w:t>Catch Per Unit Effort</w:t>
            </w:r>
          </w:p>
        </w:tc>
      </w:tr>
      <w:tr w:rsidR="00977882" w:rsidRPr="00ED7EAE" w14:paraId="3FDD628D" w14:textId="77777777" w:rsidTr="00977882">
        <w:trPr>
          <w:trHeight w:val="300"/>
        </w:trPr>
        <w:tc>
          <w:tcPr>
            <w:tcW w:w="0" w:type="auto"/>
            <w:tcBorders>
              <w:top w:val="nil"/>
              <w:left w:val="nil"/>
              <w:bottom w:val="nil"/>
              <w:right w:val="nil"/>
            </w:tcBorders>
            <w:shd w:val="clear" w:color="auto" w:fill="auto"/>
            <w:noWrap/>
            <w:vAlign w:val="bottom"/>
            <w:hideMark/>
          </w:tcPr>
          <w:p w14:paraId="15E54C37" w14:textId="77777777" w:rsidR="00977882" w:rsidRPr="00F02673" w:rsidRDefault="00977882" w:rsidP="00F02673">
            <w:pPr>
              <w:rPr>
                <w:b/>
                <w:lang w:val="en-US"/>
              </w:rPr>
            </w:pPr>
            <w:r w:rsidRPr="00F02673">
              <w:rPr>
                <w:b/>
                <w:lang w:val="en-US"/>
              </w:rPr>
              <w:t xml:space="preserve">CR </w:t>
            </w:r>
          </w:p>
        </w:tc>
        <w:tc>
          <w:tcPr>
            <w:tcW w:w="0" w:type="auto"/>
            <w:tcBorders>
              <w:top w:val="nil"/>
              <w:left w:val="nil"/>
              <w:bottom w:val="nil"/>
              <w:right w:val="nil"/>
            </w:tcBorders>
            <w:shd w:val="clear" w:color="auto" w:fill="auto"/>
            <w:noWrap/>
            <w:vAlign w:val="bottom"/>
            <w:hideMark/>
          </w:tcPr>
          <w:p w14:paraId="18A9A9A2" w14:textId="77777777" w:rsidR="00977882" w:rsidRPr="00ED7EAE" w:rsidRDefault="00977882" w:rsidP="00F02673">
            <w:pPr>
              <w:rPr>
                <w:lang w:val="en-US"/>
              </w:rPr>
            </w:pPr>
            <w:r>
              <w:t>Community Respiration</w:t>
            </w:r>
          </w:p>
        </w:tc>
      </w:tr>
      <w:tr w:rsidR="00977882" w:rsidRPr="00ED7EAE" w14:paraId="180730F6" w14:textId="77777777" w:rsidTr="00977882">
        <w:trPr>
          <w:trHeight w:val="300"/>
        </w:trPr>
        <w:tc>
          <w:tcPr>
            <w:tcW w:w="0" w:type="auto"/>
            <w:tcBorders>
              <w:top w:val="nil"/>
              <w:left w:val="nil"/>
              <w:bottom w:val="nil"/>
              <w:right w:val="nil"/>
            </w:tcBorders>
            <w:shd w:val="clear" w:color="auto" w:fill="auto"/>
            <w:noWrap/>
            <w:vAlign w:val="bottom"/>
            <w:hideMark/>
          </w:tcPr>
          <w:p w14:paraId="2B1A85A1" w14:textId="77777777" w:rsidR="00977882" w:rsidRPr="00F02673" w:rsidRDefault="00977882" w:rsidP="00F02673">
            <w:pPr>
              <w:rPr>
                <w:b/>
                <w:lang w:val="en-US"/>
              </w:rPr>
            </w:pPr>
            <w:r w:rsidRPr="00F02673">
              <w:rPr>
                <w:b/>
                <w:lang w:val="en-US"/>
              </w:rPr>
              <w:t xml:space="preserve">CSIRO </w:t>
            </w:r>
          </w:p>
        </w:tc>
        <w:tc>
          <w:tcPr>
            <w:tcW w:w="0" w:type="auto"/>
            <w:tcBorders>
              <w:top w:val="nil"/>
              <w:left w:val="nil"/>
              <w:bottom w:val="nil"/>
              <w:right w:val="nil"/>
            </w:tcBorders>
            <w:shd w:val="clear" w:color="auto" w:fill="auto"/>
            <w:noWrap/>
            <w:vAlign w:val="bottom"/>
            <w:hideMark/>
          </w:tcPr>
          <w:p w14:paraId="33853320" w14:textId="77777777" w:rsidR="00977882" w:rsidRPr="00ED7EAE" w:rsidRDefault="00977882" w:rsidP="00F02673">
            <w:pPr>
              <w:rPr>
                <w:lang w:val="en-US"/>
              </w:rPr>
            </w:pPr>
            <w:r w:rsidRPr="00ED7EAE">
              <w:t>Commonwealth Scientific and Industrial Research Organisation</w:t>
            </w:r>
          </w:p>
        </w:tc>
      </w:tr>
      <w:tr w:rsidR="00977882" w:rsidRPr="00ED7EAE" w14:paraId="6905DE17" w14:textId="77777777" w:rsidTr="00977882">
        <w:trPr>
          <w:trHeight w:val="300"/>
        </w:trPr>
        <w:tc>
          <w:tcPr>
            <w:tcW w:w="0" w:type="auto"/>
            <w:tcBorders>
              <w:top w:val="nil"/>
              <w:left w:val="nil"/>
              <w:bottom w:val="nil"/>
              <w:right w:val="nil"/>
            </w:tcBorders>
            <w:shd w:val="clear" w:color="auto" w:fill="auto"/>
            <w:noWrap/>
            <w:vAlign w:val="bottom"/>
            <w:hideMark/>
          </w:tcPr>
          <w:p w14:paraId="66EE1B24" w14:textId="77777777" w:rsidR="00977882" w:rsidRPr="00F02673" w:rsidRDefault="00977882" w:rsidP="00F02673">
            <w:pPr>
              <w:rPr>
                <w:b/>
                <w:lang w:val="en-US"/>
              </w:rPr>
            </w:pPr>
            <w:r w:rsidRPr="00F02673">
              <w:rPr>
                <w:b/>
                <w:lang w:val="en-US"/>
              </w:rPr>
              <w:t>DO</w:t>
            </w:r>
          </w:p>
        </w:tc>
        <w:tc>
          <w:tcPr>
            <w:tcW w:w="0" w:type="auto"/>
            <w:tcBorders>
              <w:top w:val="nil"/>
              <w:left w:val="nil"/>
              <w:bottom w:val="nil"/>
              <w:right w:val="nil"/>
            </w:tcBorders>
            <w:shd w:val="clear" w:color="auto" w:fill="auto"/>
            <w:noWrap/>
            <w:vAlign w:val="bottom"/>
            <w:hideMark/>
          </w:tcPr>
          <w:p w14:paraId="579422BF" w14:textId="77777777" w:rsidR="00977882" w:rsidRPr="00ED7EAE" w:rsidRDefault="00977882" w:rsidP="00F02673">
            <w:pPr>
              <w:rPr>
                <w:lang w:val="en-US"/>
              </w:rPr>
            </w:pPr>
            <w:r>
              <w:t>Dissolved Oxygen</w:t>
            </w:r>
          </w:p>
        </w:tc>
      </w:tr>
      <w:tr w:rsidR="00977882" w:rsidRPr="00ED7EAE" w14:paraId="1F571923" w14:textId="77777777" w:rsidTr="00977882">
        <w:trPr>
          <w:trHeight w:val="300"/>
        </w:trPr>
        <w:tc>
          <w:tcPr>
            <w:tcW w:w="0" w:type="auto"/>
            <w:tcBorders>
              <w:top w:val="nil"/>
              <w:left w:val="nil"/>
              <w:bottom w:val="nil"/>
              <w:right w:val="nil"/>
            </w:tcBorders>
            <w:shd w:val="clear" w:color="auto" w:fill="auto"/>
            <w:noWrap/>
            <w:vAlign w:val="bottom"/>
            <w:hideMark/>
          </w:tcPr>
          <w:p w14:paraId="2125F6FE" w14:textId="04B0B0FA" w:rsidR="00977882" w:rsidRPr="00F02673" w:rsidRDefault="00977882" w:rsidP="00F02673">
            <w:pPr>
              <w:rPr>
                <w:b/>
                <w:lang w:val="en-US"/>
              </w:rPr>
            </w:pPr>
            <w:r w:rsidRPr="00F02673">
              <w:rPr>
                <w:b/>
                <w:lang w:val="en-US"/>
              </w:rPr>
              <w:t>DEW</w:t>
            </w:r>
          </w:p>
        </w:tc>
        <w:tc>
          <w:tcPr>
            <w:tcW w:w="0" w:type="auto"/>
            <w:tcBorders>
              <w:top w:val="nil"/>
              <w:left w:val="nil"/>
              <w:bottom w:val="nil"/>
              <w:right w:val="nil"/>
            </w:tcBorders>
            <w:shd w:val="clear" w:color="auto" w:fill="auto"/>
            <w:noWrap/>
            <w:vAlign w:val="bottom"/>
            <w:hideMark/>
          </w:tcPr>
          <w:p w14:paraId="4881318F" w14:textId="7982A834" w:rsidR="00977882" w:rsidRPr="00ED7EAE" w:rsidRDefault="00977882" w:rsidP="0075184C">
            <w:pPr>
              <w:rPr>
                <w:lang w:val="en-US"/>
              </w:rPr>
            </w:pPr>
            <w:r w:rsidRPr="00ED7EAE">
              <w:t xml:space="preserve">Department </w:t>
            </w:r>
            <w:r w:rsidR="0075184C">
              <w:t>for</w:t>
            </w:r>
            <w:r w:rsidRPr="00ED7EAE">
              <w:t xml:space="preserve"> Environment</w:t>
            </w:r>
            <w:r w:rsidR="0075184C">
              <w:t xml:space="preserve"> and</w:t>
            </w:r>
            <w:r w:rsidRPr="00ED7EAE">
              <w:t xml:space="preserve"> Water</w:t>
            </w:r>
          </w:p>
        </w:tc>
      </w:tr>
      <w:tr w:rsidR="00977882" w:rsidRPr="00ED7EAE" w14:paraId="54E69F61" w14:textId="77777777" w:rsidTr="00977882">
        <w:trPr>
          <w:trHeight w:val="300"/>
        </w:trPr>
        <w:tc>
          <w:tcPr>
            <w:tcW w:w="0" w:type="auto"/>
            <w:tcBorders>
              <w:top w:val="nil"/>
              <w:left w:val="nil"/>
              <w:bottom w:val="nil"/>
              <w:right w:val="nil"/>
            </w:tcBorders>
            <w:shd w:val="clear" w:color="auto" w:fill="auto"/>
            <w:noWrap/>
            <w:vAlign w:val="bottom"/>
            <w:hideMark/>
          </w:tcPr>
          <w:p w14:paraId="6B6C138D" w14:textId="77777777" w:rsidR="00977882" w:rsidRPr="00F02673" w:rsidRDefault="00977882" w:rsidP="00F02673">
            <w:pPr>
              <w:rPr>
                <w:b/>
                <w:lang w:val="en-US"/>
              </w:rPr>
            </w:pPr>
            <w:r w:rsidRPr="00F02673">
              <w:rPr>
                <w:b/>
                <w:lang w:val="en-US"/>
              </w:rPr>
              <w:t>EPA</w:t>
            </w:r>
          </w:p>
        </w:tc>
        <w:tc>
          <w:tcPr>
            <w:tcW w:w="0" w:type="auto"/>
            <w:tcBorders>
              <w:top w:val="nil"/>
              <w:left w:val="nil"/>
              <w:bottom w:val="nil"/>
              <w:right w:val="nil"/>
            </w:tcBorders>
            <w:shd w:val="clear" w:color="auto" w:fill="auto"/>
            <w:noWrap/>
            <w:vAlign w:val="bottom"/>
            <w:hideMark/>
          </w:tcPr>
          <w:p w14:paraId="2C36FF23" w14:textId="77777777" w:rsidR="00977882" w:rsidRPr="00ED7EAE" w:rsidRDefault="00977882" w:rsidP="00F02673">
            <w:pPr>
              <w:rPr>
                <w:lang w:val="en-US"/>
              </w:rPr>
            </w:pPr>
            <w:r w:rsidRPr="00ED7EAE">
              <w:t>Environment Protection Authority</w:t>
            </w:r>
          </w:p>
        </w:tc>
      </w:tr>
      <w:tr w:rsidR="00977882" w:rsidRPr="00ED7EAE" w14:paraId="272A0923" w14:textId="77777777" w:rsidTr="00977882">
        <w:trPr>
          <w:trHeight w:val="300"/>
        </w:trPr>
        <w:tc>
          <w:tcPr>
            <w:tcW w:w="0" w:type="auto"/>
            <w:tcBorders>
              <w:top w:val="nil"/>
              <w:left w:val="nil"/>
              <w:bottom w:val="nil"/>
              <w:right w:val="nil"/>
            </w:tcBorders>
            <w:shd w:val="clear" w:color="auto" w:fill="auto"/>
            <w:noWrap/>
            <w:vAlign w:val="bottom"/>
            <w:hideMark/>
          </w:tcPr>
          <w:p w14:paraId="2E7D38E3" w14:textId="77777777" w:rsidR="00977882" w:rsidRPr="00F02673" w:rsidRDefault="00977882" w:rsidP="00F02673">
            <w:pPr>
              <w:rPr>
                <w:b/>
                <w:lang w:val="en-US"/>
              </w:rPr>
            </w:pPr>
            <w:r w:rsidRPr="00F02673">
              <w:rPr>
                <w:b/>
                <w:lang w:val="en-US"/>
              </w:rPr>
              <w:t>EPBC Act</w:t>
            </w:r>
          </w:p>
        </w:tc>
        <w:tc>
          <w:tcPr>
            <w:tcW w:w="0" w:type="auto"/>
            <w:tcBorders>
              <w:top w:val="nil"/>
              <w:left w:val="nil"/>
              <w:bottom w:val="nil"/>
              <w:right w:val="nil"/>
            </w:tcBorders>
            <w:shd w:val="clear" w:color="auto" w:fill="auto"/>
            <w:noWrap/>
            <w:vAlign w:val="bottom"/>
            <w:hideMark/>
          </w:tcPr>
          <w:p w14:paraId="14FC1E7B" w14:textId="77777777" w:rsidR="00977882" w:rsidRPr="00ED7EAE" w:rsidRDefault="00977882" w:rsidP="00F02673">
            <w:pPr>
              <w:rPr>
                <w:lang w:val="en-US"/>
              </w:rPr>
            </w:pPr>
            <w:r w:rsidRPr="00ED7EAE">
              <w:t>Environment, Protection and Biodiversity Conservation Act</w:t>
            </w:r>
          </w:p>
        </w:tc>
      </w:tr>
      <w:tr w:rsidR="00877A4A" w:rsidRPr="00ED7EAE" w14:paraId="7AEEDE54" w14:textId="77777777" w:rsidTr="00977882">
        <w:trPr>
          <w:trHeight w:val="300"/>
        </w:trPr>
        <w:tc>
          <w:tcPr>
            <w:tcW w:w="0" w:type="auto"/>
            <w:tcBorders>
              <w:top w:val="nil"/>
              <w:left w:val="nil"/>
              <w:bottom w:val="nil"/>
              <w:right w:val="nil"/>
            </w:tcBorders>
            <w:shd w:val="clear" w:color="auto" w:fill="auto"/>
            <w:noWrap/>
            <w:vAlign w:val="bottom"/>
          </w:tcPr>
          <w:p w14:paraId="7E31E4B6" w14:textId="38D42677" w:rsidR="00877A4A" w:rsidRPr="00F02673" w:rsidRDefault="00877A4A" w:rsidP="00F02673">
            <w:pPr>
              <w:rPr>
                <w:b/>
                <w:lang w:val="en-US"/>
              </w:rPr>
            </w:pPr>
            <w:r>
              <w:rPr>
                <w:b/>
                <w:lang w:val="en-US"/>
              </w:rPr>
              <w:t>EWKR</w:t>
            </w:r>
          </w:p>
        </w:tc>
        <w:tc>
          <w:tcPr>
            <w:tcW w:w="0" w:type="auto"/>
            <w:tcBorders>
              <w:top w:val="nil"/>
              <w:left w:val="nil"/>
              <w:bottom w:val="nil"/>
              <w:right w:val="nil"/>
            </w:tcBorders>
            <w:shd w:val="clear" w:color="auto" w:fill="auto"/>
            <w:noWrap/>
            <w:vAlign w:val="bottom"/>
          </w:tcPr>
          <w:p w14:paraId="5B202316" w14:textId="215F7DE3" w:rsidR="00877A4A" w:rsidRPr="00ED7EAE" w:rsidRDefault="00877A4A" w:rsidP="00877A4A">
            <w:r w:rsidRPr="00ED7EAE">
              <w:t xml:space="preserve">Environmental Water </w:t>
            </w:r>
            <w:r>
              <w:t>Knowledge and Research</w:t>
            </w:r>
          </w:p>
        </w:tc>
      </w:tr>
      <w:tr w:rsidR="00977882" w:rsidRPr="00ED7EAE" w14:paraId="410A7F0A" w14:textId="77777777" w:rsidTr="00977882">
        <w:trPr>
          <w:trHeight w:val="300"/>
        </w:trPr>
        <w:tc>
          <w:tcPr>
            <w:tcW w:w="0" w:type="auto"/>
            <w:tcBorders>
              <w:top w:val="nil"/>
              <w:left w:val="nil"/>
              <w:bottom w:val="nil"/>
              <w:right w:val="nil"/>
            </w:tcBorders>
            <w:shd w:val="clear" w:color="auto" w:fill="auto"/>
            <w:noWrap/>
            <w:vAlign w:val="bottom"/>
            <w:hideMark/>
          </w:tcPr>
          <w:p w14:paraId="12AD3CE3" w14:textId="77777777" w:rsidR="00977882" w:rsidRPr="00F02673" w:rsidRDefault="00977882" w:rsidP="00F02673">
            <w:pPr>
              <w:rPr>
                <w:b/>
                <w:lang w:val="en-US"/>
              </w:rPr>
            </w:pPr>
            <w:r w:rsidRPr="00F02673">
              <w:rPr>
                <w:b/>
                <w:lang w:val="en-US"/>
              </w:rPr>
              <w:t xml:space="preserve">EWR </w:t>
            </w:r>
          </w:p>
        </w:tc>
        <w:tc>
          <w:tcPr>
            <w:tcW w:w="0" w:type="auto"/>
            <w:tcBorders>
              <w:top w:val="nil"/>
              <w:left w:val="nil"/>
              <w:bottom w:val="nil"/>
              <w:right w:val="nil"/>
            </w:tcBorders>
            <w:shd w:val="clear" w:color="auto" w:fill="auto"/>
            <w:noWrap/>
            <w:vAlign w:val="bottom"/>
            <w:hideMark/>
          </w:tcPr>
          <w:p w14:paraId="1B059AA5" w14:textId="7B3D137A" w:rsidR="00977882" w:rsidRPr="00ED7EAE" w:rsidRDefault="00877A4A" w:rsidP="00F02673">
            <w:pPr>
              <w:rPr>
                <w:lang w:val="en-US"/>
              </w:rPr>
            </w:pPr>
            <w:r w:rsidRPr="00ED7EAE">
              <w:t>Environmental Water Requirement</w:t>
            </w:r>
          </w:p>
        </w:tc>
      </w:tr>
      <w:tr w:rsidR="00977882" w:rsidRPr="00ED7EAE" w14:paraId="4EE9E642" w14:textId="77777777" w:rsidTr="00977882">
        <w:trPr>
          <w:trHeight w:val="300"/>
        </w:trPr>
        <w:tc>
          <w:tcPr>
            <w:tcW w:w="0" w:type="auto"/>
            <w:tcBorders>
              <w:top w:val="nil"/>
              <w:left w:val="nil"/>
              <w:bottom w:val="nil"/>
              <w:right w:val="nil"/>
            </w:tcBorders>
            <w:shd w:val="clear" w:color="auto" w:fill="auto"/>
            <w:noWrap/>
            <w:vAlign w:val="bottom"/>
            <w:hideMark/>
          </w:tcPr>
          <w:p w14:paraId="4AB866F8" w14:textId="77777777" w:rsidR="00977882" w:rsidRPr="00F02673" w:rsidRDefault="00977882" w:rsidP="00F02673">
            <w:pPr>
              <w:rPr>
                <w:b/>
                <w:lang w:val="en-US"/>
              </w:rPr>
            </w:pPr>
            <w:r w:rsidRPr="00F02673">
              <w:rPr>
                <w:b/>
                <w:lang w:val="en-US"/>
              </w:rPr>
              <w:t>GPS</w:t>
            </w:r>
          </w:p>
        </w:tc>
        <w:tc>
          <w:tcPr>
            <w:tcW w:w="0" w:type="auto"/>
            <w:tcBorders>
              <w:top w:val="nil"/>
              <w:left w:val="nil"/>
              <w:bottom w:val="nil"/>
              <w:right w:val="nil"/>
            </w:tcBorders>
            <w:shd w:val="clear" w:color="auto" w:fill="auto"/>
            <w:noWrap/>
            <w:vAlign w:val="bottom"/>
            <w:hideMark/>
          </w:tcPr>
          <w:p w14:paraId="1F5304BF" w14:textId="77777777" w:rsidR="00977882" w:rsidRPr="00ED7EAE" w:rsidRDefault="00977882" w:rsidP="00F02673">
            <w:pPr>
              <w:rPr>
                <w:lang w:val="en-US"/>
              </w:rPr>
            </w:pPr>
            <w:r>
              <w:t>Global</w:t>
            </w:r>
            <w:r w:rsidRPr="00ED7EAE">
              <w:t xml:space="preserve"> </w:t>
            </w:r>
            <w:r>
              <w:t>Positioning</w:t>
            </w:r>
            <w:r w:rsidRPr="00ED7EAE">
              <w:t xml:space="preserve"> System</w:t>
            </w:r>
          </w:p>
        </w:tc>
      </w:tr>
      <w:tr w:rsidR="00977882" w:rsidRPr="00ED7EAE" w14:paraId="2E290AE1" w14:textId="77777777" w:rsidTr="00977882">
        <w:trPr>
          <w:trHeight w:val="300"/>
        </w:trPr>
        <w:tc>
          <w:tcPr>
            <w:tcW w:w="0" w:type="auto"/>
            <w:tcBorders>
              <w:top w:val="nil"/>
              <w:left w:val="nil"/>
              <w:bottom w:val="nil"/>
              <w:right w:val="nil"/>
            </w:tcBorders>
            <w:shd w:val="clear" w:color="auto" w:fill="auto"/>
            <w:noWrap/>
            <w:vAlign w:val="bottom"/>
            <w:hideMark/>
          </w:tcPr>
          <w:p w14:paraId="7E3347C4" w14:textId="77777777" w:rsidR="00977882" w:rsidRPr="00F02673" w:rsidRDefault="00977882" w:rsidP="00F02673">
            <w:pPr>
              <w:rPr>
                <w:b/>
                <w:lang w:val="en-US"/>
              </w:rPr>
            </w:pPr>
            <w:r w:rsidRPr="00F02673">
              <w:rPr>
                <w:b/>
                <w:lang w:val="en-US"/>
              </w:rPr>
              <w:t>IAP2</w:t>
            </w:r>
          </w:p>
        </w:tc>
        <w:tc>
          <w:tcPr>
            <w:tcW w:w="0" w:type="auto"/>
            <w:tcBorders>
              <w:top w:val="nil"/>
              <w:left w:val="nil"/>
              <w:bottom w:val="nil"/>
              <w:right w:val="nil"/>
            </w:tcBorders>
            <w:shd w:val="clear" w:color="auto" w:fill="auto"/>
            <w:noWrap/>
            <w:vAlign w:val="bottom"/>
            <w:hideMark/>
          </w:tcPr>
          <w:p w14:paraId="10552996" w14:textId="77777777" w:rsidR="00977882" w:rsidRPr="00ED7EAE" w:rsidRDefault="00977882" w:rsidP="00F02673">
            <w:pPr>
              <w:rPr>
                <w:lang w:val="en-US"/>
              </w:rPr>
            </w:pPr>
            <w:r w:rsidRPr="00ED7EAE">
              <w:t>International Association of Public Participation</w:t>
            </w:r>
          </w:p>
        </w:tc>
      </w:tr>
      <w:tr w:rsidR="00977882" w:rsidRPr="00ED7EAE" w14:paraId="1EA2A1FD" w14:textId="77777777" w:rsidTr="00977882">
        <w:trPr>
          <w:trHeight w:val="300"/>
        </w:trPr>
        <w:tc>
          <w:tcPr>
            <w:tcW w:w="0" w:type="auto"/>
            <w:tcBorders>
              <w:top w:val="nil"/>
              <w:left w:val="nil"/>
              <w:bottom w:val="nil"/>
              <w:right w:val="nil"/>
            </w:tcBorders>
            <w:shd w:val="clear" w:color="auto" w:fill="auto"/>
            <w:noWrap/>
            <w:vAlign w:val="bottom"/>
            <w:hideMark/>
          </w:tcPr>
          <w:p w14:paraId="25A69730" w14:textId="77777777" w:rsidR="00977882" w:rsidRPr="00F02673" w:rsidRDefault="00977882" w:rsidP="00F02673">
            <w:pPr>
              <w:rPr>
                <w:b/>
                <w:lang w:val="en-US"/>
              </w:rPr>
            </w:pPr>
            <w:r w:rsidRPr="00F02673">
              <w:rPr>
                <w:b/>
                <w:lang w:val="en-US"/>
              </w:rPr>
              <w:t>LMRIA</w:t>
            </w:r>
          </w:p>
        </w:tc>
        <w:tc>
          <w:tcPr>
            <w:tcW w:w="0" w:type="auto"/>
            <w:tcBorders>
              <w:top w:val="nil"/>
              <w:left w:val="nil"/>
              <w:bottom w:val="nil"/>
              <w:right w:val="nil"/>
            </w:tcBorders>
            <w:shd w:val="clear" w:color="auto" w:fill="auto"/>
            <w:noWrap/>
            <w:vAlign w:val="bottom"/>
            <w:hideMark/>
          </w:tcPr>
          <w:p w14:paraId="0302D499" w14:textId="77777777" w:rsidR="00977882" w:rsidRPr="00ED7EAE" w:rsidRDefault="00977882" w:rsidP="00F02673">
            <w:pPr>
              <w:rPr>
                <w:lang w:val="en-US"/>
              </w:rPr>
            </w:pPr>
            <w:r w:rsidRPr="00ED7EAE">
              <w:t>Lower Murray Reclaimed Irrigation Area</w:t>
            </w:r>
          </w:p>
        </w:tc>
      </w:tr>
      <w:tr w:rsidR="00977882" w:rsidRPr="00ED7EAE" w14:paraId="3BE4CCE1" w14:textId="77777777" w:rsidTr="00977882">
        <w:trPr>
          <w:trHeight w:val="300"/>
        </w:trPr>
        <w:tc>
          <w:tcPr>
            <w:tcW w:w="0" w:type="auto"/>
            <w:tcBorders>
              <w:top w:val="nil"/>
              <w:left w:val="nil"/>
              <w:bottom w:val="nil"/>
              <w:right w:val="nil"/>
            </w:tcBorders>
            <w:shd w:val="clear" w:color="auto" w:fill="auto"/>
            <w:noWrap/>
            <w:vAlign w:val="bottom"/>
            <w:hideMark/>
          </w:tcPr>
          <w:p w14:paraId="602D276D" w14:textId="77777777" w:rsidR="00977882" w:rsidRPr="00F02673" w:rsidRDefault="00977882" w:rsidP="00F02673">
            <w:pPr>
              <w:rPr>
                <w:b/>
                <w:lang w:val="en-US"/>
              </w:rPr>
            </w:pPr>
            <w:r w:rsidRPr="00F02673">
              <w:rPr>
                <w:b/>
                <w:lang w:val="en-US"/>
              </w:rPr>
              <w:t>LTIM</w:t>
            </w:r>
          </w:p>
        </w:tc>
        <w:tc>
          <w:tcPr>
            <w:tcW w:w="0" w:type="auto"/>
            <w:tcBorders>
              <w:top w:val="nil"/>
              <w:left w:val="nil"/>
              <w:bottom w:val="nil"/>
              <w:right w:val="nil"/>
            </w:tcBorders>
            <w:shd w:val="clear" w:color="auto" w:fill="auto"/>
            <w:noWrap/>
            <w:vAlign w:val="bottom"/>
            <w:hideMark/>
          </w:tcPr>
          <w:p w14:paraId="3F4E5A23" w14:textId="77777777" w:rsidR="00977882" w:rsidRPr="00ED7EAE" w:rsidRDefault="00977882" w:rsidP="00F02673">
            <w:pPr>
              <w:rPr>
                <w:lang w:val="en-US"/>
              </w:rPr>
            </w:pPr>
            <w:r w:rsidRPr="00ED7EAE">
              <w:t>Long Term Intervention Monitoring</w:t>
            </w:r>
          </w:p>
        </w:tc>
      </w:tr>
      <w:tr w:rsidR="00602D06" w:rsidRPr="00ED7EAE" w14:paraId="0567088F" w14:textId="77777777" w:rsidTr="00977882">
        <w:trPr>
          <w:trHeight w:val="300"/>
        </w:trPr>
        <w:tc>
          <w:tcPr>
            <w:tcW w:w="0" w:type="auto"/>
            <w:tcBorders>
              <w:top w:val="nil"/>
              <w:left w:val="nil"/>
              <w:bottom w:val="nil"/>
              <w:right w:val="nil"/>
            </w:tcBorders>
            <w:shd w:val="clear" w:color="auto" w:fill="auto"/>
            <w:noWrap/>
            <w:vAlign w:val="bottom"/>
          </w:tcPr>
          <w:p w14:paraId="2DB3CF1B" w14:textId="5CC00201" w:rsidR="00602D06" w:rsidRPr="00F02673" w:rsidRDefault="00602D06" w:rsidP="00F02673">
            <w:pPr>
              <w:rPr>
                <w:b/>
                <w:lang w:val="en-US"/>
              </w:rPr>
            </w:pPr>
            <w:r>
              <w:rPr>
                <w:b/>
                <w:lang w:val="en-US"/>
              </w:rPr>
              <w:t>LTWP</w:t>
            </w:r>
          </w:p>
        </w:tc>
        <w:tc>
          <w:tcPr>
            <w:tcW w:w="0" w:type="auto"/>
            <w:tcBorders>
              <w:top w:val="nil"/>
              <w:left w:val="nil"/>
              <w:bottom w:val="nil"/>
              <w:right w:val="nil"/>
            </w:tcBorders>
            <w:shd w:val="clear" w:color="auto" w:fill="auto"/>
            <w:noWrap/>
            <w:vAlign w:val="bottom"/>
          </w:tcPr>
          <w:p w14:paraId="661D1978" w14:textId="4D19D913" w:rsidR="00602D06" w:rsidRPr="00ED7EAE" w:rsidRDefault="00602D06" w:rsidP="00F02673">
            <w:r>
              <w:t>Long Term Watering Plan</w:t>
            </w:r>
          </w:p>
        </w:tc>
      </w:tr>
      <w:tr w:rsidR="00977882" w:rsidRPr="00ED7EAE" w14:paraId="412BD6A9" w14:textId="77777777" w:rsidTr="00977882">
        <w:trPr>
          <w:trHeight w:val="300"/>
        </w:trPr>
        <w:tc>
          <w:tcPr>
            <w:tcW w:w="0" w:type="auto"/>
            <w:tcBorders>
              <w:top w:val="nil"/>
              <w:left w:val="nil"/>
              <w:bottom w:val="nil"/>
              <w:right w:val="nil"/>
            </w:tcBorders>
            <w:shd w:val="clear" w:color="auto" w:fill="auto"/>
            <w:noWrap/>
            <w:vAlign w:val="bottom"/>
            <w:hideMark/>
          </w:tcPr>
          <w:p w14:paraId="5394973F" w14:textId="77777777" w:rsidR="00977882" w:rsidRPr="00F02673" w:rsidRDefault="00977882" w:rsidP="00F02673">
            <w:pPr>
              <w:rPr>
                <w:b/>
                <w:lang w:val="en-US"/>
              </w:rPr>
            </w:pPr>
            <w:r w:rsidRPr="00F02673">
              <w:rPr>
                <w:b/>
                <w:lang w:val="en-US"/>
              </w:rPr>
              <w:t>MDB</w:t>
            </w:r>
          </w:p>
        </w:tc>
        <w:tc>
          <w:tcPr>
            <w:tcW w:w="0" w:type="auto"/>
            <w:tcBorders>
              <w:top w:val="nil"/>
              <w:left w:val="nil"/>
              <w:bottom w:val="nil"/>
              <w:right w:val="nil"/>
            </w:tcBorders>
            <w:shd w:val="clear" w:color="auto" w:fill="auto"/>
            <w:noWrap/>
            <w:vAlign w:val="bottom"/>
            <w:hideMark/>
          </w:tcPr>
          <w:p w14:paraId="067B3EFB" w14:textId="77777777" w:rsidR="00977882" w:rsidRPr="00ED7EAE" w:rsidRDefault="00977882" w:rsidP="00F02673">
            <w:pPr>
              <w:rPr>
                <w:lang w:val="en-US"/>
              </w:rPr>
            </w:pPr>
            <w:r w:rsidRPr="00ED7EAE">
              <w:t>Murray</w:t>
            </w:r>
            <w:r w:rsidR="00623FCB">
              <w:rPr>
                <w:rFonts w:eastAsiaTheme="majorEastAsia"/>
              </w:rPr>
              <w:t>–</w:t>
            </w:r>
            <w:r w:rsidRPr="00ED7EAE">
              <w:t>Darling Basin</w:t>
            </w:r>
          </w:p>
        </w:tc>
      </w:tr>
      <w:tr w:rsidR="00977882" w:rsidRPr="00ED7EAE" w14:paraId="350774E7" w14:textId="77777777" w:rsidTr="00977882">
        <w:trPr>
          <w:trHeight w:val="300"/>
        </w:trPr>
        <w:tc>
          <w:tcPr>
            <w:tcW w:w="0" w:type="auto"/>
            <w:tcBorders>
              <w:top w:val="nil"/>
              <w:left w:val="nil"/>
              <w:bottom w:val="nil"/>
              <w:right w:val="nil"/>
            </w:tcBorders>
            <w:shd w:val="clear" w:color="auto" w:fill="auto"/>
            <w:noWrap/>
            <w:vAlign w:val="bottom"/>
            <w:hideMark/>
          </w:tcPr>
          <w:p w14:paraId="49D6E311" w14:textId="77777777" w:rsidR="00977882" w:rsidRPr="00F02673" w:rsidRDefault="00977882" w:rsidP="00F02673">
            <w:pPr>
              <w:rPr>
                <w:b/>
                <w:lang w:val="en-US"/>
              </w:rPr>
            </w:pPr>
            <w:r w:rsidRPr="00F02673">
              <w:rPr>
                <w:b/>
                <w:lang w:val="en-US"/>
              </w:rPr>
              <w:t xml:space="preserve">MDBA </w:t>
            </w:r>
          </w:p>
        </w:tc>
        <w:tc>
          <w:tcPr>
            <w:tcW w:w="0" w:type="auto"/>
            <w:tcBorders>
              <w:top w:val="nil"/>
              <w:left w:val="nil"/>
              <w:bottom w:val="nil"/>
              <w:right w:val="nil"/>
            </w:tcBorders>
            <w:shd w:val="clear" w:color="auto" w:fill="auto"/>
            <w:noWrap/>
            <w:vAlign w:val="bottom"/>
            <w:hideMark/>
          </w:tcPr>
          <w:p w14:paraId="53D1DC90" w14:textId="77777777" w:rsidR="00977882" w:rsidRPr="00ED7EAE" w:rsidRDefault="00977882" w:rsidP="00F02673">
            <w:pPr>
              <w:rPr>
                <w:lang w:val="en-US"/>
              </w:rPr>
            </w:pPr>
            <w:r w:rsidRPr="00ED7EAE">
              <w:t>Murray</w:t>
            </w:r>
            <w:r w:rsidR="00623FCB">
              <w:rPr>
                <w:rFonts w:eastAsiaTheme="majorEastAsia"/>
              </w:rPr>
              <w:t>–</w:t>
            </w:r>
            <w:r w:rsidRPr="00ED7EAE">
              <w:t>Darling Basin Authority</w:t>
            </w:r>
          </w:p>
        </w:tc>
      </w:tr>
      <w:tr w:rsidR="00977882" w:rsidRPr="00ED7EAE" w14:paraId="59514EE6" w14:textId="77777777" w:rsidTr="00977882">
        <w:trPr>
          <w:trHeight w:val="300"/>
        </w:trPr>
        <w:tc>
          <w:tcPr>
            <w:tcW w:w="0" w:type="auto"/>
            <w:tcBorders>
              <w:top w:val="nil"/>
              <w:left w:val="nil"/>
              <w:bottom w:val="nil"/>
              <w:right w:val="nil"/>
            </w:tcBorders>
            <w:shd w:val="clear" w:color="auto" w:fill="auto"/>
            <w:noWrap/>
            <w:vAlign w:val="bottom"/>
            <w:hideMark/>
          </w:tcPr>
          <w:p w14:paraId="7A1C8DAB" w14:textId="77777777" w:rsidR="00977882" w:rsidRPr="00F02673" w:rsidRDefault="00977882" w:rsidP="00F02673">
            <w:pPr>
              <w:rPr>
                <w:b/>
                <w:lang w:val="en-US"/>
              </w:rPr>
            </w:pPr>
            <w:r w:rsidRPr="00F02673">
              <w:rPr>
                <w:b/>
                <w:lang w:val="en-US"/>
              </w:rPr>
              <w:t xml:space="preserve">MDBC </w:t>
            </w:r>
          </w:p>
        </w:tc>
        <w:tc>
          <w:tcPr>
            <w:tcW w:w="0" w:type="auto"/>
            <w:tcBorders>
              <w:top w:val="nil"/>
              <w:left w:val="nil"/>
              <w:bottom w:val="nil"/>
              <w:right w:val="nil"/>
            </w:tcBorders>
            <w:shd w:val="clear" w:color="auto" w:fill="auto"/>
            <w:noWrap/>
            <w:vAlign w:val="bottom"/>
            <w:hideMark/>
          </w:tcPr>
          <w:p w14:paraId="3473CB76" w14:textId="77777777" w:rsidR="00977882" w:rsidRPr="00ED7EAE" w:rsidRDefault="00977882" w:rsidP="00F02673">
            <w:pPr>
              <w:rPr>
                <w:lang w:val="en-US"/>
              </w:rPr>
            </w:pPr>
            <w:r w:rsidRPr="00ED7EAE">
              <w:t>Murray</w:t>
            </w:r>
            <w:r w:rsidR="00623FCB">
              <w:rPr>
                <w:rFonts w:eastAsiaTheme="majorEastAsia"/>
              </w:rPr>
              <w:t>–</w:t>
            </w:r>
            <w:r w:rsidRPr="00ED7EAE">
              <w:t xml:space="preserve">Darling Basin </w:t>
            </w:r>
            <w:r>
              <w:t>Commission</w:t>
            </w:r>
          </w:p>
        </w:tc>
      </w:tr>
      <w:tr w:rsidR="00977882" w:rsidRPr="00ED7EAE" w14:paraId="67961D99" w14:textId="77777777" w:rsidTr="00977882">
        <w:trPr>
          <w:trHeight w:val="300"/>
        </w:trPr>
        <w:tc>
          <w:tcPr>
            <w:tcW w:w="0" w:type="auto"/>
            <w:tcBorders>
              <w:top w:val="nil"/>
              <w:left w:val="nil"/>
              <w:bottom w:val="nil"/>
              <w:right w:val="nil"/>
            </w:tcBorders>
            <w:shd w:val="clear" w:color="auto" w:fill="auto"/>
            <w:noWrap/>
            <w:vAlign w:val="bottom"/>
            <w:hideMark/>
          </w:tcPr>
          <w:p w14:paraId="1F4CB003" w14:textId="77777777" w:rsidR="00977882" w:rsidRPr="00F02673" w:rsidRDefault="00977882" w:rsidP="00F02673">
            <w:pPr>
              <w:rPr>
                <w:b/>
                <w:lang w:val="en-US"/>
              </w:rPr>
            </w:pPr>
            <w:r w:rsidRPr="00F02673">
              <w:rPr>
                <w:b/>
                <w:lang w:val="en-US"/>
              </w:rPr>
              <w:t>MDBNRMS</w:t>
            </w:r>
          </w:p>
        </w:tc>
        <w:tc>
          <w:tcPr>
            <w:tcW w:w="0" w:type="auto"/>
            <w:tcBorders>
              <w:top w:val="nil"/>
              <w:left w:val="nil"/>
              <w:bottom w:val="nil"/>
              <w:right w:val="nil"/>
            </w:tcBorders>
            <w:shd w:val="clear" w:color="auto" w:fill="auto"/>
            <w:noWrap/>
            <w:vAlign w:val="bottom"/>
            <w:hideMark/>
          </w:tcPr>
          <w:p w14:paraId="5C09307D" w14:textId="77777777" w:rsidR="00977882" w:rsidRPr="00ED7EAE" w:rsidRDefault="00977882" w:rsidP="00F02673">
            <w:pPr>
              <w:rPr>
                <w:lang w:val="en-US"/>
              </w:rPr>
            </w:pPr>
            <w:r w:rsidRPr="00ED7EAE">
              <w:t>Murray</w:t>
            </w:r>
            <w:r w:rsidR="00623FCB">
              <w:rPr>
                <w:rFonts w:eastAsiaTheme="majorEastAsia"/>
              </w:rPr>
              <w:t>–</w:t>
            </w:r>
            <w:r w:rsidRPr="00ED7EAE">
              <w:t xml:space="preserve">Darling Basin </w:t>
            </w:r>
            <w:r>
              <w:t>Natural Resources Management Strategy</w:t>
            </w:r>
          </w:p>
        </w:tc>
      </w:tr>
      <w:tr w:rsidR="00977882" w:rsidRPr="00ED7EAE" w14:paraId="13D727C1" w14:textId="77777777" w:rsidTr="00977882">
        <w:trPr>
          <w:trHeight w:val="300"/>
        </w:trPr>
        <w:tc>
          <w:tcPr>
            <w:tcW w:w="0" w:type="auto"/>
            <w:tcBorders>
              <w:top w:val="nil"/>
              <w:left w:val="nil"/>
              <w:bottom w:val="nil"/>
              <w:right w:val="nil"/>
            </w:tcBorders>
            <w:shd w:val="clear" w:color="auto" w:fill="auto"/>
            <w:noWrap/>
            <w:vAlign w:val="bottom"/>
            <w:hideMark/>
          </w:tcPr>
          <w:p w14:paraId="04FA6FE5" w14:textId="77777777" w:rsidR="00977882" w:rsidRPr="00F02673" w:rsidRDefault="00977882" w:rsidP="00F02673">
            <w:pPr>
              <w:rPr>
                <w:b/>
                <w:lang w:val="en-US"/>
              </w:rPr>
            </w:pPr>
            <w:r w:rsidRPr="00F02673">
              <w:rPr>
                <w:b/>
                <w:lang w:val="en-US"/>
              </w:rPr>
              <w:t>MDFRC</w:t>
            </w:r>
          </w:p>
        </w:tc>
        <w:tc>
          <w:tcPr>
            <w:tcW w:w="0" w:type="auto"/>
            <w:tcBorders>
              <w:top w:val="nil"/>
              <w:left w:val="nil"/>
              <w:bottom w:val="nil"/>
              <w:right w:val="nil"/>
            </w:tcBorders>
            <w:shd w:val="clear" w:color="auto" w:fill="auto"/>
            <w:noWrap/>
            <w:vAlign w:val="bottom"/>
            <w:hideMark/>
          </w:tcPr>
          <w:p w14:paraId="16A35A98" w14:textId="77777777" w:rsidR="00977882" w:rsidRPr="00ED7EAE" w:rsidRDefault="00977882" w:rsidP="00F02673">
            <w:pPr>
              <w:rPr>
                <w:lang w:val="en-US"/>
              </w:rPr>
            </w:pPr>
            <w:r w:rsidRPr="00ED7EAE">
              <w:t>Murray</w:t>
            </w:r>
            <w:r w:rsidR="00623FCB">
              <w:rPr>
                <w:rFonts w:eastAsiaTheme="majorEastAsia"/>
              </w:rPr>
              <w:t>–</w:t>
            </w:r>
            <w:r w:rsidRPr="00ED7EAE">
              <w:t>Darling Freshwater Research Centre</w:t>
            </w:r>
          </w:p>
        </w:tc>
      </w:tr>
      <w:tr w:rsidR="00977882" w:rsidRPr="00ED7EAE" w14:paraId="29557DB2" w14:textId="77777777" w:rsidTr="00977882">
        <w:trPr>
          <w:trHeight w:val="300"/>
        </w:trPr>
        <w:tc>
          <w:tcPr>
            <w:tcW w:w="0" w:type="auto"/>
            <w:tcBorders>
              <w:top w:val="nil"/>
              <w:left w:val="nil"/>
              <w:bottom w:val="nil"/>
              <w:right w:val="nil"/>
            </w:tcBorders>
            <w:shd w:val="clear" w:color="auto" w:fill="auto"/>
            <w:noWrap/>
            <w:vAlign w:val="bottom"/>
            <w:hideMark/>
          </w:tcPr>
          <w:p w14:paraId="401CC2DF" w14:textId="54B8DDE7" w:rsidR="00977882" w:rsidRPr="00F02673" w:rsidRDefault="00BC79ED" w:rsidP="00F02673">
            <w:pPr>
              <w:rPr>
                <w:b/>
                <w:lang w:val="en-US"/>
              </w:rPr>
            </w:pPr>
            <w:r>
              <w:rPr>
                <w:b/>
                <w:lang w:val="en-US"/>
              </w:rPr>
              <w:t>MER</w:t>
            </w:r>
          </w:p>
        </w:tc>
        <w:tc>
          <w:tcPr>
            <w:tcW w:w="0" w:type="auto"/>
            <w:tcBorders>
              <w:top w:val="nil"/>
              <w:left w:val="nil"/>
              <w:bottom w:val="nil"/>
              <w:right w:val="nil"/>
            </w:tcBorders>
            <w:shd w:val="clear" w:color="auto" w:fill="auto"/>
            <w:noWrap/>
            <w:vAlign w:val="bottom"/>
            <w:hideMark/>
          </w:tcPr>
          <w:p w14:paraId="2A6CC1D9" w14:textId="5325DC7B" w:rsidR="00977882" w:rsidRPr="00ED7EAE" w:rsidRDefault="00977882" w:rsidP="00BC79ED">
            <w:pPr>
              <w:rPr>
                <w:lang w:val="en-US"/>
              </w:rPr>
            </w:pPr>
            <w:r w:rsidRPr="00ED7EAE">
              <w:t>Monitoring</w:t>
            </w:r>
            <w:r w:rsidR="00BC79ED">
              <w:t>,</w:t>
            </w:r>
            <w:r w:rsidRPr="00ED7EAE">
              <w:t xml:space="preserve"> Evaluation</w:t>
            </w:r>
            <w:r w:rsidR="00BC79ED">
              <w:t xml:space="preserve"> and Research</w:t>
            </w:r>
          </w:p>
        </w:tc>
      </w:tr>
      <w:tr w:rsidR="00977882" w:rsidRPr="00ED7EAE" w14:paraId="45477B6F" w14:textId="77777777" w:rsidTr="00977882">
        <w:trPr>
          <w:trHeight w:val="300"/>
        </w:trPr>
        <w:tc>
          <w:tcPr>
            <w:tcW w:w="0" w:type="auto"/>
            <w:tcBorders>
              <w:top w:val="nil"/>
              <w:left w:val="nil"/>
              <w:bottom w:val="nil"/>
              <w:right w:val="nil"/>
            </w:tcBorders>
            <w:shd w:val="clear" w:color="auto" w:fill="auto"/>
            <w:noWrap/>
            <w:vAlign w:val="bottom"/>
            <w:hideMark/>
          </w:tcPr>
          <w:p w14:paraId="4FC3E3AA" w14:textId="77777777" w:rsidR="00977882" w:rsidRPr="00F02673" w:rsidRDefault="00977882" w:rsidP="00F02673">
            <w:pPr>
              <w:rPr>
                <w:b/>
                <w:lang w:val="en-US"/>
              </w:rPr>
            </w:pPr>
            <w:r w:rsidRPr="00F02673">
              <w:rPr>
                <w:b/>
                <w:lang w:val="en-US"/>
              </w:rPr>
              <w:t>MERI</w:t>
            </w:r>
          </w:p>
        </w:tc>
        <w:tc>
          <w:tcPr>
            <w:tcW w:w="0" w:type="auto"/>
            <w:tcBorders>
              <w:top w:val="nil"/>
              <w:left w:val="nil"/>
              <w:bottom w:val="nil"/>
              <w:right w:val="nil"/>
            </w:tcBorders>
            <w:shd w:val="clear" w:color="auto" w:fill="auto"/>
            <w:noWrap/>
            <w:vAlign w:val="bottom"/>
            <w:hideMark/>
          </w:tcPr>
          <w:p w14:paraId="2901CDF8" w14:textId="77777777" w:rsidR="00977882" w:rsidRPr="00ED7EAE" w:rsidRDefault="00977882" w:rsidP="00F02673">
            <w:pPr>
              <w:rPr>
                <w:lang w:val="en-US"/>
              </w:rPr>
            </w:pPr>
            <w:r w:rsidRPr="00ED7EAE">
              <w:t>Monitoring, Evaluation, Reporting and Improvement</w:t>
            </w:r>
          </w:p>
        </w:tc>
      </w:tr>
      <w:tr w:rsidR="00977882" w:rsidRPr="00ED7EAE" w14:paraId="75342036" w14:textId="77777777" w:rsidTr="00977882">
        <w:trPr>
          <w:trHeight w:val="300"/>
        </w:trPr>
        <w:tc>
          <w:tcPr>
            <w:tcW w:w="0" w:type="auto"/>
            <w:tcBorders>
              <w:top w:val="nil"/>
              <w:left w:val="nil"/>
              <w:bottom w:val="nil"/>
              <w:right w:val="nil"/>
            </w:tcBorders>
            <w:shd w:val="clear" w:color="auto" w:fill="auto"/>
            <w:noWrap/>
            <w:vAlign w:val="bottom"/>
            <w:hideMark/>
          </w:tcPr>
          <w:p w14:paraId="62573115" w14:textId="77777777" w:rsidR="00977882" w:rsidRPr="00F02673" w:rsidRDefault="00977882" w:rsidP="00F02673">
            <w:pPr>
              <w:rPr>
                <w:b/>
                <w:lang w:val="en-US"/>
              </w:rPr>
            </w:pPr>
            <w:r w:rsidRPr="00F02673">
              <w:rPr>
                <w:b/>
                <w:lang w:val="en-US"/>
              </w:rPr>
              <w:t>NATA</w:t>
            </w:r>
          </w:p>
        </w:tc>
        <w:tc>
          <w:tcPr>
            <w:tcW w:w="0" w:type="auto"/>
            <w:tcBorders>
              <w:top w:val="nil"/>
              <w:left w:val="nil"/>
              <w:bottom w:val="nil"/>
              <w:right w:val="nil"/>
            </w:tcBorders>
            <w:shd w:val="clear" w:color="auto" w:fill="auto"/>
            <w:noWrap/>
            <w:vAlign w:val="bottom"/>
            <w:hideMark/>
          </w:tcPr>
          <w:p w14:paraId="4602D1B6" w14:textId="77777777" w:rsidR="00977882" w:rsidRPr="00ED7EAE" w:rsidRDefault="00977882" w:rsidP="00F02673">
            <w:pPr>
              <w:rPr>
                <w:rFonts w:cs="Calibri"/>
                <w:lang w:val="en-US"/>
              </w:rPr>
            </w:pPr>
            <w:r w:rsidRPr="00ED7EAE">
              <w:t>National Association of Testing Authorities</w:t>
            </w:r>
          </w:p>
        </w:tc>
      </w:tr>
      <w:tr w:rsidR="00977882" w:rsidRPr="00ED7EAE" w14:paraId="43DF4871" w14:textId="77777777" w:rsidTr="00977882">
        <w:trPr>
          <w:trHeight w:val="300"/>
        </w:trPr>
        <w:tc>
          <w:tcPr>
            <w:tcW w:w="0" w:type="auto"/>
            <w:tcBorders>
              <w:top w:val="nil"/>
              <w:left w:val="nil"/>
              <w:bottom w:val="nil"/>
              <w:right w:val="nil"/>
            </w:tcBorders>
            <w:shd w:val="clear" w:color="auto" w:fill="auto"/>
            <w:noWrap/>
            <w:vAlign w:val="bottom"/>
            <w:hideMark/>
          </w:tcPr>
          <w:p w14:paraId="6BC4A370" w14:textId="77777777" w:rsidR="00977882" w:rsidRPr="00F02673" w:rsidRDefault="00977882" w:rsidP="00F02673">
            <w:pPr>
              <w:rPr>
                <w:b/>
                <w:lang w:val="en-US"/>
              </w:rPr>
            </w:pPr>
            <w:r w:rsidRPr="00F02673">
              <w:rPr>
                <w:b/>
                <w:lang w:val="en-US"/>
              </w:rPr>
              <w:lastRenderedPageBreak/>
              <w:t>NRM</w:t>
            </w:r>
          </w:p>
        </w:tc>
        <w:tc>
          <w:tcPr>
            <w:tcW w:w="0" w:type="auto"/>
            <w:tcBorders>
              <w:top w:val="nil"/>
              <w:left w:val="nil"/>
              <w:bottom w:val="nil"/>
              <w:right w:val="nil"/>
            </w:tcBorders>
            <w:shd w:val="clear" w:color="auto" w:fill="auto"/>
            <w:noWrap/>
            <w:vAlign w:val="bottom"/>
            <w:hideMark/>
          </w:tcPr>
          <w:p w14:paraId="71BEE836" w14:textId="77777777" w:rsidR="00977882" w:rsidRPr="00ED7EAE" w:rsidRDefault="00977882" w:rsidP="00F02673">
            <w:pPr>
              <w:rPr>
                <w:rFonts w:cs="Calibri"/>
                <w:lang w:val="en-US"/>
              </w:rPr>
            </w:pPr>
            <w:r w:rsidRPr="00ED7EAE">
              <w:t xml:space="preserve">Natural Resources Management </w:t>
            </w:r>
          </w:p>
        </w:tc>
      </w:tr>
      <w:tr w:rsidR="00977882" w:rsidRPr="00ED7EAE" w14:paraId="67C0D554" w14:textId="77777777" w:rsidTr="00977882">
        <w:trPr>
          <w:trHeight w:val="300"/>
        </w:trPr>
        <w:tc>
          <w:tcPr>
            <w:tcW w:w="0" w:type="auto"/>
            <w:tcBorders>
              <w:top w:val="nil"/>
              <w:left w:val="nil"/>
              <w:bottom w:val="nil"/>
              <w:right w:val="nil"/>
            </w:tcBorders>
            <w:shd w:val="clear" w:color="auto" w:fill="auto"/>
            <w:noWrap/>
            <w:vAlign w:val="bottom"/>
            <w:hideMark/>
          </w:tcPr>
          <w:p w14:paraId="67EAF562" w14:textId="77777777" w:rsidR="00977882" w:rsidRPr="00F02673" w:rsidRDefault="00977882" w:rsidP="00F02673">
            <w:pPr>
              <w:rPr>
                <w:b/>
                <w:lang w:val="en-US"/>
              </w:rPr>
            </w:pPr>
            <w:r w:rsidRPr="00F02673">
              <w:rPr>
                <w:b/>
                <w:lang w:val="en-US"/>
              </w:rPr>
              <w:t>NRMB</w:t>
            </w:r>
          </w:p>
        </w:tc>
        <w:tc>
          <w:tcPr>
            <w:tcW w:w="0" w:type="auto"/>
            <w:tcBorders>
              <w:top w:val="nil"/>
              <w:left w:val="nil"/>
              <w:bottom w:val="nil"/>
              <w:right w:val="nil"/>
            </w:tcBorders>
            <w:shd w:val="clear" w:color="auto" w:fill="auto"/>
            <w:noWrap/>
            <w:vAlign w:val="bottom"/>
            <w:hideMark/>
          </w:tcPr>
          <w:p w14:paraId="3BD4A4BE" w14:textId="77777777" w:rsidR="00977882" w:rsidRPr="00ED7EAE" w:rsidRDefault="00977882" w:rsidP="00F02673">
            <w:pPr>
              <w:rPr>
                <w:rFonts w:cs="Calibri"/>
                <w:lang w:val="en-US"/>
              </w:rPr>
            </w:pPr>
            <w:r w:rsidRPr="00ED7EAE">
              <w:t>Natural Resources Management Board</w:t>
            </w:r>
          </w:p>
        </w:tc>
      </w:tr>
      <w:tr w:rsidR="00977882" w:rsidRPr="00ED7EAE" w14:paraId="31B4168C" w14:textId="77777777" w:rsidTr="00977882">
        <w:trPr>
          <w:trHeight w:val="300"/>
        </w:trPr>
        <w:tc>
          <w:tcPr>
            <w:tcW w:w="0" w:type="auto"/>
            <w:tcBorders>
              <w:top w:val="nil"/>
              <w:left w:val="nil"/>
              <w:bottom w:val="nil"/>
              <w:right w:val="nil"/>
            </w:tcBorders>
            <w:shd w:val="clear" w:color="auto" w:fill="auto"/>
            <w:noWrap/>
            <w:vAlign w:val="bottom"/>
            <w:hideMark/>
          </w:tcPr>
          <w:p w14:paraId="6BC4DC38" w14:textId="77777777" w:rsidR="00977882" w:rsidRPr="00F02673" w:rsidRDefault="00977882" w:rsidP="00F02673">
            <w:pPr>
              <w:rPr>
                <w:b/>
                <w:lang w:val="en-US"/>
              </w:rPr>
            </w:pPr>
            <w:r w:rsidRPr="00F02673">
              <w:rPr>
                <w:b/>
                <w:lang w:val="en-US"/>
              </w:rPr>
              <w:t>PAR</w:t>
            </w:r>
          </w:p>
        </w:tc>
        <w:tc>
          <w:tcPr>
            <w:tcW w:w="0" w:type="auto"/>
            <w:tcBorders>
              <w:top w:val="nil"/>
              <w:left w:val="nil"/>
              <w:bottom w:val="nil"/>
              <w:right w:val="nil"/>
            </w:tcBorders>
            <w:shd w:val="clear" w:color="auto" w:fill="auto"/>
            <w:noWrap/>
            <w:vAlign w:val="bottom"/>
            <w:hideMark/>
          </w:tcPr>
          <w:p w14:paraId="7A412EFA" w14:textId="77777777" w:rsidR="00977882" w:rsidRPr="00ED7EAE" w:rsidRDefault="00977882" w:rsidP="00F02673">
            <w:pPr>
              <w:rPr>
                <w:rFonts w:cs="Calibri"/>
                <w:lang w:val="en-US"/>
              </w:rPr>
            </w:pPr>
            <w:r>
              <w:t>Photosynthetically Active Radiation</w:t>
            </w:r>
          </w:p>
        </w:tc>
      </w:tr>
      <w:tr w:rsidR="00977882" w:rsidRPr="00ED7EAE" w14:paraId="06A939C8" w14:textId="77777777" w:rsidTr="00977882">
        <w:trPr>
          <w:trHeight w:val="300"/>
        </w:trPr>
        <w:tc>
          <w:tcPr>
            <w:tcW w:w="0" w:type="auto"/>
            <w:tcBorders>
              <w:top w:val="nil"/>
              <w:left w:val="nil"/>
              <w:bottom w:val="nil"/>
              <w:right w:val="nil"/>
            </w:tcBorders>
            <w:shd w:val="clear" w:color="auto" w:fill="auto"/>
            <w:noWrap/>
            <w:vAlign w:val="bottom"/>
            <w:hideMark/>
          </w:tcPr>
          <w:p w14:paraId="64D1B7B9" w14:textId="77777777" w:rsidR="00977882" w:rsidRPr="00F02673" w:rsidRDefault="00977882" w:rsidP="00F02673">
            <w:pPr>
              <w:rPr>
                <w:b/>
                <w:lang w:val="en-US"/>
              </w:rPr>
            </w:pPr>
            <w:r w:rsidRPr="00F02673">
              <w:rPr>
                <w:b/>
                <w:lang w:val="en-US"/>
              </w:rPr>
              <w:t>PIRSA</w:t>
            </w:r>
          </w:p>
        </w:tc>
        <w:tc>
          <w:tcPr>
            <w:tcW w:w="0" w:type="auto"/>
            <w:tcBorders>
              <w:top w:val="nil"/>
              <w:left w:val="nil"/>
              <w:bottom w:val="nil"/>
              <w:right w:val="nil"/>
            </w:tcBorders>
            <w:shd w:val="clear" w:color="auto" w:fill="auto"/>
            <w:noWrap/>
            <w:vAlign w:val="bottom"/>
            <w:hideMark/>
          </w:tcPr>
          <w:p w14:paraId="5C821D41" w14:textId="77777777" w:rsidR="00977882" w:rsidRPr="00ED7EAE" w:rsidRDefault="00977882" w:rsidP="00F02673">
            <w:pPr>
              <w:rPr>
                <w:rFonts w:cs="Calibri"/>
                <w:lang w:val="en-US"/>
              </w:rPr>
            </w:pPr>
            <w:r w:rsidRPr="00ED7EAE">
              <w:t>Primary Industries and Regions South Australia</w:t>
            </w:r>
          </w:p>
        </w:tc>
      </w:tr>
      <w:tr w:rsidR="00977882" w:rsidRPr="00ED7EAE" w14:paraId="23336267" w14:textId="77777777" w:rsidTr="00977882">
        <w:trPr>
          <w:trHeight w:val="300"/>
        </w:trPr>
        <w:tc>
          <w:tcPr>
            <w:tcW w:w="0" w:type="auto"/>
            <w:tcBorders>
              <w:top w:val="nil"/>
              <w:left w:val="nil"/>
              <w:bottom w:val="nil"/>
              <w:right w:val="nil"/>
            </w:tcBorders>
            <w:shd w:val="clear" w:color="auto" w:fill="auto"/>
            <w:noWrap/>
            <w:vAlign w:val="bottom"/>
            <w:hideMark/>
          </w:tcPr>
          <w:p w14:paraId="251A681A" w14:textId="77777777" w:rsidR="00977882" w:rsidRPr="00F02673" w:rsidRDefault="00977882" w:rsidP="00F02673">
            <w:pPr>
              <w:rPr>
                <w:b/>
                <w:lang w:val="en-US"/>
              </w:rPr>
            </w:pPr>
            <w:r w:rsidRPr="00F02673">
              <w:rPr>
                <w:b/>
                <w:lang w:val="en-US"/>
              </w:rPr>
              <w:t>QA/QC</w:t>
            </w:r>
          </w:p>
        </w:tc>
        <w:tc>
          <w:tcPr>
            <w:tcW w:w="0" w:type="auto"/>
            <w:tcBorders>
              <w:top w:val="nil"/>
              <w:left w:val="nil"/>
              <w:bottom w:val="nil"/>
              <w:right w:val="nil"/>
            </w:tcBorders>
            <w:shd w:val="clear" w:color="auto" w:fill="auto"/>
            <w:noWrap/>
            <w:vAlign w:val="bottom"/>
            <w:hideMark/>
          </w:tcPr>
          <w:p w14:paraId="01187B00" w14:textId="77777777" w:rsidR="00977882" w:rsidRPr="00ED7EAE" w:rsidRDefault="00977882" w:rsidP="00F02673">
            <w:pPr>
              <w:rPr>
                <w:rFonts w:cs="Calibri"/>
                <w:lang w:val="en-US"/>
              </w:rPr>
            </w:pPr>
            <w:r w:rsidRPr="00ED7EAE">
              <w:t>Quality assurance/quality control</w:t>
            </w:r>
          </w:p>
        </w:tc>
      </w:tr>
      <w:tr w:rsidR="00977882" w:rsidRPr="00ED7EAE" w14:paraId="0C1863EF" w14:textId="77777777" w:rsidTr="00977882">
        <w:trPr>
          <w:trHeight w:val="300"/>
        </w:trPr>
        <w:tc>
          <w:tcPr>
            <w:tcW w:w="0" w:type="auto"/>
            <w:tcBorders>
              <w:top w:val="nil"/>
              <w:left w:val="nil"/>
              <w:bottom w:val="nil"/>
              <w:right w:val="nil"/>
            </w:tcBorders>
            <w:shd w:val="clear" w:color="auto" w:fill="auto"/>
            <w:noWrap/>
            <w:vAlign w:val="bottom"/>
            <w:hideMark/>
          </w:tcPr>
          <w:p w14:paraId="0552D420" w14:textId="77777777" w:rsidR="00977882" w:rsidRPr="00F02673" w:rsidRDefault="00977882" w:rsidP="00F02673">
            <w:pPr>
              <w:rPr>
                <w:b/>
                <w:lang w:val="en-US"/>
              </w:rPr>
            </w:pPr>
            <w:r w:rsidRPr="00F02673">
              <w:rPr>
                <w:b/>
                <w:lang w:val="en-US"/>
              </w:rPr>
              <w:t xml:space="preserve">RRP </w:t>
            </w:r>
          </w:p>
        </w:tc>
        <w:tc>
          <w:tcPr>
            <w:tcW w:w="0" w:type="auto"/>
            <w:tcBorders>
              <w:top w:val="nil"/>
              <w:left w:val="nil"/>
              <w:bottom w:val="nil"/>
              <w:right w:val="nil"/>
            </w:tcBorders>
            <w:shd w:val="clear" w:color="auto" w:fill="auto"/>
            <w:noWrap/>
            <w:vAlign w:val="bottom"/>
            <w:hideMark/>
          </w:tcPr>
          <w:p w14:paraId="55A09246" w14:textId="77777777" w:rsidR="00977882" w:rsidRPr="00ED7EAE" w:rsidRDefault="00977882" w:rsidP="00F02673">
            <w:pPr>
              <w:rPr>
                <w:rFonts w:cs="Calibri"/>
                <w:lang w:val="en-US"/>
              </w:rPr>
            </w:pPr>
            <w:r w:rsidRPr="00ED7EAE">
              <w:t>Riverine Recovery Project</w:t>
            </w:r>
          </w:p>
        </w:tc>
      </w:tr>
      <w:tr w:rsidR="00977882" w:rsidRPr="00ED7EAE" w14:paraId="72BC5E17" w14:textId="77777777" w:rsidTr="00977882">
        <w:trPr>
          <w:trHeight w:val="300"/>
        </w:trPr>
        <w:tc>
          <w:tcPr>
            <w:tcW w:w="0" w:type="auto"/>
            <w:tcBorders>
              <w:top w:val="nil"/>
              <w:left w:val="nil"/>
              <w:bottom w:val="nil"/>
              <w:right w:val="nil"/>
            </w:tcBorders>
            <w:shd w:val="clear" w:color="auto" w:fill="auto"/>
            <w:noWrap/>
            <w:vAlign w:val="bottom"/>
            <w:hideMark/>
          </w:tcPr>
          <w:p w14:paraId="1EBE7130" w14:textId="77777777" w:rsidR="00977882" w:rsidRPr="00F02673" w:rsidRDefault="00977882" w:rsidP="00F02673">
            <w:pPr>
              <w:rPr>
                <w:b/>
                <w:lang w:val="en-US"/>
              </w:rPr>
            </w:pPr>
            <w:r w:rsidRPr="00F02673">
              <w:rPr>
                <w:b/>
                <w:lang w:val="en-US"/>
              </w:rPr>
              <w:t>SAMDB</w:t>
            </w:r>
          </w:p>
        </w:tc>
        <w:tc>
          <w:tcPr>
            <w:tcW w:w="0" w:type="auto"/>
            <w:tcBorders>
              <w:top w:val="nil"/>
              <w:left w:val="nil"/>
              <w:bottom w:val="nil"/>
              <w:right w:val="nil"/>
            </w:tcBorders>
            <w:shd w:val="clear" w:color="auto" w:fill="auto"/>
            <w:noWrap/>
            <w:vAlign w:val="bottom"/>
            <w:hideMark/>
          </w:tcPr>
          <w:p w14:paraId="0B08FC1B" w14:textId="77777777" w:rsidR="00977882" w:rsidRPr="00ED7EAE" w:rsidRDefault="00977882" w:rsidP="00F02673">
            <w:pPr>
              <w:rPr>
                <w:rFonts w:cs="Calibri"/>
                <w:lang w:val="en-US"/>
              </w:rPr>
            </w:pPr>
            <w:r w:rsidRPr="00ED7EAE">
              <w:t>South Australian Murray</w:t>
            </w:r>
            <w:r w:rsidR="00623FCB">
              <w:rPr>
                <w:rFonts w:eastAsiaTheme="majorEastAsia"/>
              </w:rPr>
              <w:t>–</w:t>
            </w:r>
            <w:r w:rsidRPr="00ED7EAE">
              <w:t>Darling Basin</w:t>
            </w:r>
          </w:p>
        </w:tc>
      </w:tr>
      <w:tr w:rsidR="00977882" w:rsidRPr="00ED7EAE" w14:paraId="63AC3ECA" w14:textId="77777777" w:rsidTr="00977882">
        <w:trPr>
          <w:trHeight w:val="300"/>
        </w:trPr>
        <w:tc>
          <w:tcPr>
            <w:tcW w:w="0" w:type="auto"/>
            <w:tcBorders>
              <w:top w:val="nil"/>
              <w:left w:val="nil"/>
              <w:bottom w:val="nil"/>
              <w:right w:val="nil"/>
            </w:tcBorders>
            <w:shd w:val="clear" w:color="auto" w:fill="auto"/>
            <w:noWrap/>
            <w:vAlign w:val="bottom"/>
            <w:hideMark/>
          </w:tcPr>
          <w:p w14:paraId="3F7280BB" w14:textId="77777777" w:rsidR="00977882" w:rsidRPr="00F02673" w:rsidRDefault="00977882" w:rsidP="00F02673">
            <w:pPr>
              <w:rPr>
                <w:b/>
                <w:lang w:val="en-US"/>
              </w:rPr>
            </w:pPr>
            <w:r w:rsidRPr="00F02673">
              <w:rPr>
                <w:b/>
                <w:lang w:val="en-US"/>
              </w:rPr>
              <w:t>SARDI</w:t>
            </w:r>
          </w:p>
        </w:tc>
        <w:tc>
          <w:tcPr>
            <w:tcW w:w="0" w:type="auto"/>
            <w:tcBorders>
              <w:top w:val="nil"/>
              <w:left w:val="nil"/>
              <w:bottom w:val="nil"/>
              <w:right w:val="nil"/>
            </w:tcBorders>
            <w:shd w:val="clear" w:color="auto" w:fill="auto"/>
            <w:noWrap/>
            <w:vAlign w:val="bottom"/>
            <w:hideMark/>
          </w:tcPr>
          <w:p w14:paraId="26C160D3" w14:textId="77777777" w:rsidR="00977882" w:rsidRPr="00ED7EAE" w:rsidRDefault="00977882" w:rsidP="00F02673">
            <w:pPr>
              <w:rPr>
                <w:lang w:val="en-US"/>
              </w:rPr>
            </w:pPr>
            <w:r w:rsidRPr="00ED7EAE">
              <w:t>South Australian Research and Development Institute</w:t>
            </w:r>
          </w:p>
        </w:tc>
      </w:tr>
      <w:tr w:rsidR="00644970" w:rsidRPr="00ED7EAE" w14:paraId="531088FE" w14:textId="77777777" w:rsidTr="00977882">
        <w:trPr>
          <w:trHeight w:val="300"/>
        </w:trPr>
        <w:tc>
          <w:tcPr>
            <w:tcW w:w="0" w:type="auto"/>
            <w:tcBorders>
              <w:top w:val="nil"/>
              <w:left w:val="nil"/>
              <w:bottom w:val="nil"/>
              <w:right w:val="nil"/>
            </w:tcBorders>
            <w:shd w:val="clear" w:color="auto" w:fill="auto"/>
            <w:noWrap/>
            <w:vAlign w:val="bottom"/>
          </w:tcPr>
          <w:p w14:paraId="19096118" w14:textId="3C646811" w:rsidR="00644970" w:rsidRPr="00F02673" w:rsidRDefault="00644970" w:rsidP="00F02673">
            <w:pPr>
              <w:rPr>
                <w:b/>
                <w:lang w:val="en-US"/>
              </w:rPr>
            </w:pPr>
            <w:r>
              <w:rPr>
                <w:b/>
                <w:lang w:val="en-US"/>
              </w:rPr>
              <w:t>SCBEWC</w:t>
            </w:r>
          </w:p>
        </w:tc>
        <w:tc>
          <w:tcPr>
            <w:tcW w:w="0" w:type="auto"/>
            <w:tcBorders>
              <w:top w:val="nil"/>
              <w:left w:val="nil"/>
              <w:bottom w:val="nil"/>
              <w:right w:val="nil"/>
            </w:tcBorders>
            <w:shd w:val="clear" w:color="auto" w:fill="auto"/>
            <w:noWrap/>
            <w:vAlign w:val="bottom"/>
          </w:tcPr>
          <w:p w14:paraId="17DEA299" w14:textId="3E1BB2C4" w:rsidR="00644970" w:rsidRPr="00ED7EAE" w:rsidRDefault="00644970" w:rsidP="00F02673">
            <w:r w:rsidRPr="00644970">
              <w:t>Southern Connected Basin Environmental Watering Committee</w:t>
            </w:r>
          </w:p>
        </w:tc>
      </w:tr>
      <w:tr w:rsidR="00977882" w:rsidRPr="00ED7EAE" w14:paraId="5A47F083" w14:textId="77777777" w:rsidTr="00977882">
        <w:trPr>
          <w:trHeight w:val="300"/>
        </w:trPr>
        <w:tc>
          <w:tcPr>
            <w:tcW w:w="0" w:type="auto"/>
            <w:tcBorders>
              <w:top w:val="nil"/>
              <w:left w:val="nil"/>
              <w:bottom w:val="nil"/>
              <w:right w:val="nil"/>
            </w:tcBorders>
            <w:shd w:val="clear" w:color="auto" w:fill="auto"/>
            <w:noWrap/>
            <w:vAlign w:val="bottom"/>
            <w:hideMark/>
          </w:tcPr>
          <w:p w14:paraId="61F1B7CD" w14:textId="77777777" w:rsidR="00977882" w:rsidRPr="00F02673" w:rsidRDefault="00977882" w:rsidP="00F02673">
            <w:pPr>
              <w:rPr>
                <w:b/>
                <w:lang w:val="en-US"/>
              </w:rPr>
            </w:pPr>
            <w:r w:rsidRPr="00F02673">
              <w:rPr>
                <w:b/>
                <w:lang w:val="en-US"/>
              </w:rPr>
              <w:t>SOP</w:t>
            </w:r>
          </w:p>
        </w:tc>
        <w:tc>
          <w:tcPr>
            <w:tcW w:w="0" w:type="auto"/>
            <w:tcBorders>
              <w:top w:val="nil"/>
              <w:left w:val="nil"/>
              <w:bottom w:val="nil"/>
              <w:right w:val="nil"/>
            </w:tcBorders>
            <w:shd w:val="clear" w:color="auto" w:fill="auto"/>
            <w:noWrap/>
            <w:vAlign w:val="bottom"/>
            <w:hideMark/>
          </w:tcPr>
          <w:p w14:paraId="11252D4F" w14:textId="77777777" w:rsidR="00977882" w:rsidRPr="00ED7EAE" w:rsidRDefault="00977882" w:rsidP="00F02673">
            <w:pPr>
              <w:rPr>
                <w:lang w:val="en-US"/>
              </w:rPr>
            </w:pPr>
            <w:r>
              <w:t>Standard Operating Procedures</w:t>
            </w:r>
          </w:p>
        </w:tc>
      </w:tr>
      <w:tr w:rsidR="00977882" w:rsidRPr="00ED7EAE" w14:paraId="68369792" w14:textId="77777777" w:rsidTr="00977882">
        <w:trPr>
          <w:trHeight w:val="300"/>
        </w:trPr>
        <w:tc>
          <w:tcPr>
            <w:tcW w:w="0" w:type="auto"/>
            <w:tcBorders>
              <w:top w:val="nil"/>
              <w:left w:val="nil"/>
              <w:bottom w:val="nil"/>
              <w:right w:val="nil"/>
            </w:tcBorders>
            <w:shd w:val="clear" w:color="auto" w:fill="auto"/>
            <w:noWrap/>
            <w:vAlign w:val="bottom"/>
            <w:hideMark/>
          </w:tcPr>
          <w:p w14:paraId="14E2B001" w14:textId="77777777" w:rsidR="00977882" w:rsidRPr="00F02673" w:rsidRDefault="00977882" w:rsidP="00F02673">
            <w:pPr>
              <w:rPr>
                <w:b/>
                <w:lang w:val="en-US"/>
              </w:rPr>
            </w:pPr>
            <w:r w:rsidRPr="00F02673">
              <w:rPr>
                <w:b/>
                <w:lang w:val="en-US"/>
              </w:rPr>
              <w:t>SSMP</w:t>
            </w:r>
          </w:p>
        </w:tc>
        <w:tc>
          <w:tcPr>
            <w:tcW w:w="0" w:type="auto"/>
            <w:tcBorders>
              <w:top w:val="nil"/>
              <w:left w:val="nil"/>
              <w:bottom w:val="nil"/>
              <w:right w:val="nil"/>
            </w:tcBorders>
            <w:shd w:val="clear" w:color="auto" w:fill="auto"/>
            <w:noWrap/>
            <w:vAlign w:val="bottom"/>
            <w:hideMark/>
          </w:tcPr>
          <w:p w14:paraId="5786C4BE" w14:textId="77777777" w:rsidR="00977882" w:rsidRPr="00ED7EAE" w:rsidRDefault="00977882" w:rsidP="00F02673">
            <w:pPr>
              <w:rPr>
                <w:lang w:val="en-US"/>
              </w:rPr>
            </w:pPr>
            <w:r w:rsidRPr="00ED7EAE">
              <w:t>Site Safety Management Plans</w:t>
            </w:r>
          </w:p>
        </w:tc>
      </w:tr>
      <w:tr w:rsidR="00977882" w:rsidRPr="00ED7EAE" w14:paraId="5C3B6322" w14:textId="77777777" w:rsidTr="00977882">
        <w:trPr>
          <w:trHeight w:val="300"/>
        </w:trPr>
        <w:tc>
          <w:tcPr>
            <w:tcW w:w="0" w:type="auto"/>
            <w:tcBorders>
              <w:top w:val="nil"/>
              <w:left w:val="nil"/>
              <w:bottom w:val="nil"/>
              <w:right w:val="nil"/>
            </w:tcBorders>
            <w:shd w:val="clear" w:color="auto" w:fill="auto"/>
            <w:noWrap/>
            <w:vAlign w:val="bottom"/>
            <w:hideMark/>
          </w:tcPr>
          <w:p w14:paraId="1161A11F" w14:textId="77777777" w:rsidR="00977882" w:rsidRPr="00F02673" w:rsidRDefault="00977882" w:rsidP="00F02673">
            <w:pPr>
              <w:rPr>
                <w:b/>
                <w:lang w:val="en-US"/>
              </w:rPr>
            </w:pPr>
            <w:r w:rsidRPr="00F02673">
              <w:rPr>
                <w:b/>
                <w:lang w:val="en-US"/>
              </w:rPr>
              <w:t>TLM</w:t>
            </w:r>
          </w:p>
        </w:tc>
        <w:tc>
          <w:tcPr>
            <w:tcW w:w="0" w:type="auto"/>
            <w:tcBorders>
              <w:top w:val="nil"/>
              <w:left w:val="nil"/>
              <w:bottom w:val="nil"/>
              <w:right w:val="nil"/>
            </w:tcBorders>
            <w:shd w:val="clear" w:color="auto" w:fill="auto"/>
            <w:noWrap/>
            <w:vAlign w:val="bottom"/>
            <w:hideMark/>
          </w:tcPr>
          <w:p w14:paraId="696ED702" w14:textId="77777777" w:rsidR="00977882" w:rsidRPr="00ED7EAE" w:rsidRDefault="00977882" w:rsidP="00F02673">
            <w:r>
              <w:t>The Living Murray</w:t>
            </w:r>
          </w:p>
        </w:tc>
      </w:tr>
      <w:tr w:rsidR="00977882" w:rsidRPr="00ED7EAE" w14:paraId="0A9E265A" w14:textId="77777777" w:rsidTr="00977882">
        <w:trPr>
          <w:trHeight w:val="300"/>
        </w:trPr>
        <w:tc>
          <w:tcPr>
            <w:tcW w:w="0" w:type="auto"/>
            <w:tcBorders>
              <w:top w:val="nil"/>
              <w:left w:val="nil"/>
              <w:bottom w:val="nil"/>
              <w:right w:val="nil"/>
            </w:tcBorders>
            <w:shd w:val="clear" w:color="auto" w:fill="auto"/>
            <w:noWrap/>
            <w:vAlign w:val="bottom"/>
            <w:hideMark/>
          </w:tcPr>
          <w:p w14:paraId="6D56EF68" w14:textId="77777777" w:rsidR="00977882" w:rsidRPr="00F02673" w:rsidRDefault="00977882" w:rsidP="00F02673">
            <w:pPr>
              <w:rPr>
                <w:b/>
                <w:lang w:val="en-US"/>
              </w:rPr>
            </w:pPr>
            <w:r w:rsidRPr="00F02673">
              <w:rPr>
                <w:b/>
                <w:lang w:val="en-US"/>
              </w:rPr>
              <w:t>UoA</w:t>
            </w:r>
          </w:p>
        </w:tc>
        <w:tc>
          <w:tcPr>
            <w:tcW w:w="0" w:type="auto"/>
            <w:tcBorders>
              <w:top w:val="nil"/>
              <w:left w:val="nil"/>
              <w:bottom w:val="nil"/>
              <w:right w:val="nil"/>
            </w:tcBorders>
            <w:shd w:val="clear" w:color="auto" w:fill="auto"/>
            <w:noWrap/>
            <w:vAlign w:val="bottom"/>
            <w:hideMark/>
          </w:tcPr>
          <w:p w14:paraId="3B2B63BD" w14:textId="77777777" w:rsidR="00977882" w:rsidRPr="00ED7EAE" w:rsidRDefault="00977882" w:rsidP="00F02673">
            <w:pPr>
              <w:rPr>
                <w:lang w:val="en-US"/>
              </w:rPr>
            </w:pPr>
            <w:r w:rsidRPr="00ED7EAE">
              <w:t>University of Adelaide</w:t>
            </w:r>
          </w:p>
        </w:tc>
      </w:tr>
      <w:tr w:rsidR="00071E19" w:rsidRPr="00ED7EAE" w14:paraId="43D5C62D" w14:textId="77777777" w:rsidTr="00977882">
        <w:trPr>
          <w:trHeight w:val="300"/>
        </w:trPr>
        <w:tc>
          <w:tcPr>
            <w:tcW w:w="0" w:type="auto"/>
            <w:tcBorders>
              <w:top w:val="nil"/>
              <w:left w:val="nil"/>
              <w:bottom w:val="nil"/>
              <w:right w:val="nil"/>
            </w:tcBorders>
            <w:shd w:val="clear" w:color="auto" w:fill="auto"/>
            <w:noWrap/>
            <w:vAlign w:val="bottom"/>
          </w:tcPr>
          <w:p w14:paraId="58D97646" w14:textId="7B207CF8" w:rsidR="00071E19" w:rsidRPr="00F02673" w:rsidRDefault="00071E19" w:rsidP="00F02673">
            <w:pPr>
              <w:rPr>
                <w:b/>
                <w:lang w:val="en-US"/>
              </w:rPr>
            </w:pPr>
            <w:r>
              <w:rPr>
                <w:b/>
                <w:lang w:val="en-US"/>
              </w:rPr>
              <w:t>VEWH</w:t>
            </w:r>
          </w:p>
        </w:tc>
        <w:tc>
          <w:tcPr>
            <w:tcW w:w="0" w:type="auto"/>
            <w:tcBorders>
              <w:top w:val="nil"/>
              <w:left w:val="nil"/>
              <w:bottom w:val="nil"/>
              <w:right w:val="nil"/>
            </w:tcBorders>
            <w:shd w:val="clear" w:color="auto" w:fill="auto"/>
            <w:noWrap/>
            <w:vAlign w:val="bottom"/>
          </w:tcPr>
          <w:p w14:paraId="299B3F3D" w14:textId="28672105" w:rsidR="00071E19" w:rsidRPr="00ED7EAE" w:rsidRDefault="00071E19" w:rsidP="00F02673">
            <w:r>
              <w:t>Victorian Environmental Water Holder</w:t>
            </w:r>
          </w:p>
        </w:tc>
      </w:tr>
      <w:tr w:rsidR="00977882" w:rsidRPr="00ED7EAE" w14:paraId="56D3D4E1" w14:textId="77777777" w:rsidTr="00977882">
        <w:trPr>
          <w:trHeight w:val="300"/>
        </w:trPr>
        <w:tc>
          <w:tcPr>
            <w:tcW w:w="0" w:type="auto"/>
            <w:tcBorders>
              <w:top w:val="nil"/>
              <w:left w:val="nil"/>
              <w:bottom w:val="nil"/>
              <w:right w:val="nil"/>
            </w:tcBorders>
            <w:shd w:val="clear" w:color="auto" w:fill="auto"/>
            <w:noWrap/>
            <w:vAlign w:val="bottom"/>
            <w:hideMark/>
          </w:tcPr>
          <w:p w14:paraId="7031F241" w14:textId="77777777" w:rsidR="00977882" w:rsidRPr="00F02673" w:rsidRDefault="00977882" w:rsidP="00F02673">
            <w:pPr>
              <w:rPr>
                <w:b/>
                <w:lang w:val="en-US"/>
              </w:rPr>
            </w:pPr>
            <w:r w:rsidRPr="00F02673">
              <w:rPr>
                <w:b/>
                <w:lang w:val="en-US"/>
              </w:rPr>
              <w:t>WHS</w:t>
            </w:r>
          </w:p>
        </w:tc>
        <w:tc>
          <w:tcPr>
            <w:tcW w:w="0" w:type="auto"/>
            <w:tcBorders>
              <w:top w:val="nil"/>
              <w:left w:val="nil"/>
              <w:bottom w:val="nil"/>
              <w:right w:val="nil"/>
            </w:tcBorders>
            <w:shd w:val="clear" w:color="auto" w:fill="auto"/>
            <w:noWrap/>
            <w:vAlign w:val="bottom"/>
            <w:hideMark/>
          </w:tcPr>
          <w:p w14:paraId="4727A438" w14:textId="77777777" w:rsidR="00977882" w:rsidRPr="00ED7EAE" w:rsidRDefault="00977882" w:rsidP="00F02673">
            <w:pPr>
              <w:rPr>
                <w:lang w:val="en-US"/>
              </w:rPr>
            </w:pPr>
            <w:r w:rsidRPr="00ED7EAE">
              <w:t>Work Health Safety and Injury Management</w:t>
            </w:r>
          </w:p>
        </w:tc>
      </w:tr>
      <w:tr w:rsidR="00977882" w:rsidRPr="00ED7EAE" w14:paraId="6BFD55D1" w14:textId="77777777" w:rsidTr="00977882">
        <w:trPr>
          <w:trHeight w:val="300"/>
        </w:trPr>
        <w:tc>
          <w:tcPr>
            <w:tcW w:w="0" w:type="auto"/>
            <w:tcBorders>
              <w:top w:val="nil"/>
              <w:left w:val="nil"/>
              <w:bottom w:val="nil"/>
              <w:right w:val="nil"/>
            </w:tcBorders>
            <w:shd w:val="clear" w:color="auto" w:fill="auto"/>
            <w:noWrap/>
            <w:vAlign w:val="bottom"/>
            <w:hideMark/>
          </w:tcPr>
          <w:p w14:paraId="179AA218" w14:textId="77777777" w:rsidR="00977882" w:rsidRPr="00F02673" w:rsidRDefault="00977882" w:rsidP="00F02673">
            <w:pPr>
              <w:rPr>
                <w:b/>
                <w:lang w:val="en-US"/>
              </w:rPr>
            </w:pPr>
            <w:r w:rsidRPr="00F02673">
              <w:rPr>
                <w:b/>
                <w:lang w:val="en-US"/>
              </w:rPr>
              <w:t>WQ</w:t>
            </w:r>
          </w:p>
        </w:tc>
        <w:tc>
          <w:tcPr>
            <w:tcW w:w="0" w:type="auto"/>
            <w:tcBorders>
              <w:top w:val="nil"/>
              <w:left w:val="nil"/>
              <w:bottom w:val="nil"/>
              <w:right w:val="nil"/>
            </w:tcBorders>
            <w:shd w:val="clear" w:color="auto" w:fill="auto"/>
            <w:noWrap/>
            <w:vAlign w:val="bottom"/>
            <w:hideMark/>
          </w:tcPr>
          <w:p w14:paraId="22492AD8" w14:textId="77777777" w:rsidR="00977882" w:rsidRPr="00ED7EAE" w:rsidRDefault="00977882" w:rsidP="00F02673">
            <w:pPr>
              <w:rPr>
                <w:lang w:val="en-US"/>
              </w:rPr>
            </w:pPr>
            <w:r>
              <w:t>Water Quality</w:t>
            </w:r>
          </w:p>
        </w:tc>
      </w:tr>
      <w:tr w:rsidR="00977882" w:rsidRPr="00ED7EAE" w14:paraId="36A1A458" w14:textId="77777777" w:rsidTr="00977882">
        <w:trPr>
          <w:trHeight w:val="300"/>
        </w:trPr>
        <w:tc>
          <w:tcPr>
            <w:tcW w:w="0" w:type="auto"/>
            <w:tcBorders>
              <w:top w:val="nil"/>
              <w:left w:val="nil"/>
              <w:bottom w:val="nil"/>
              <w:right w:val="nil"/>
            </w:tcBorders>
            <w:shd w:val="clear" w:color="auto" w:fill="auto"/>
            <w:noWrap/>
            <w:vAlign w:val="bottom"/>
            <w:hideMark/>
          </w:tcPr>
          <w:p w14:paraId="70D2195A" w14:textId="77777777" w:rsidR="00977882" w:rsidRPr="00F02673" w:rsidRDefault="00977882" w:rsidP="00F02673">
            <w:pPr>
              <w:rPr>
                <w:b/>
                <w:lang w:val="en-US"/>
              </w:rPr>
            </w:pPr>
            <w:r w:rsidRPr="00F02673">
              <w:rPr>
                <w:b/>
                <w:lang w:val="en-US"/>
              </w:rPr>
              <w:t>YOY</w:t>
            </w:r>
          </w:p>
        </w:tc>
        <w:tc>
          <w:tcPr>
            <w:tcW w:w="0" w:type="auto"/>
            <w:tcBorders>
              <w:top w:val="nil"/>
              <w:left w:val="nil"/>
              <w:bottom w:val="nil"/>
              <w:right w:val="nil"/>
            </w:tcBorders>
            <w:shd w:val="clear" w:color="auto" w:fill="auto"/>
            <w:noWrap/>
            <w:vAlign w:val="bottom"/>
            <w:hideMark/>
          </w:tcPr>
          <w:p w14:paraId="47237739" w14:textId="77777777" w:rsidR="00977882" w:rsidRPr="00ED7EAE" w:rsidRDefault="00977882" w:rsidP="00F02673">
            <w:pPr>
              <w:rPr>
                <w:lang w:val="en-US"/>
              </w:rPr>
            </w:pPr>
            <w:r w:rsidRPr="00ED7EAE">
              <w:t xml:space="preserve">Young-of-the-year (with reference to </w:t>
            </w:r>
            <w:r>
              <w:t xml:space="preserve">newly </w:t>
            </w:r>
            <w:r w:rsidRPr="00ED7EAE">
              <w:t>recruit</w:t>
            </w:r>
            <w:r>
              <w:t xml:space="preserve">ed 0+ year old </w:t>
            </w:r>
            <w:r w:rsidRPr="00ED7EAE">
              <w:t>fish)</w:t>
            </w:r>
          </w:p>
        </w:tc>
      </w:tr>
    </w:tbl>
    <w:p w14:paraId="722A8740" w14:textId="15407243" w:rsidR="00B7627B" w:rsidRDefault="00B7627B" w:rsidP="00644970"/>
    <w:p w14:paraId="646C3B25" w14:textId="77777777" w:rsidR="00B7627B" w:rsidRDefault="00B7627B">
      <w:pPr>
        <w:spacing w:after="200" w:line="276" w:lineRule="auto"/>
        <w:jc w:val="left"/>
      </w:pPr>
      <w:r>
        <w:br w:type="page"/>
      </w:r>
    </w:p>
    <w:p w14:paraId="60406118" w14:textId="77777777" w:rsidR="006B2164" w:rsidRDefault="006B2164" w:rsidP="00B7627B">
      <w:pPr>
        <w:pStyle w:val="Heading1"/>
        <w:numPr>
          <w:ilvl w:val="0"/>
          <w:numId w:val="0"/>
        </w:numPr>
        <w:ind w:left="851" w:hanging="851"/>
        <w:sectPr w:rsidR="006B2164" w:rsidSect="00D75E3B">
          <w:pgSz w:w="11900" w:h="16840" w:code="9"/>
          <w:pgMar w:top="1440" w:right="1440" w:bottom="1440" w:left="1440" w:header="709" w:footer="709" w:gutter="0"/>
          <w:cols w:space="708"/>
          <w:docGrid w:linePitch="360"/>
        </w:sectPr>
      </w:pPr>
    </w:p>
    <w:p w14:paraId="67E402CC" w14:textId="22356197" w:rsidR="00196B01" w:rsidRDefault="00B7627B" w:rsidP="00116822">
      <w:pPr>
        <w:pStyle w:val="Heading1"/>
        <w:numPr>
          <w:ilvl w:val="0"/>
          <w:numId w:val="0"/>
        </w:numPr>
        <w:ind w:left="851" w:right="851"/>
      </w:pPr>
      <w:bookmarkStart w:id="2468" w:name="_Toc22196946"/>
      <w:r>
        <w:lastRenderedPageBreak/>
        <w:t>Attachment A</w:t>
      </w:r>
      <w:r w:rsidR="000B3EA0">
        <w:t xml:space="preserve">: </w:t>
      </w:r>
      <w:r w:rsidR="00A8252A">
        <w:t xml:space="preserve">2019 </w:t>
      </w:r>
      <w:r w:rsidR="006C7DA9" w:rsidRPr="00E36A52">
        <w:t>Lamprey migration contingency monitoring Work Order</w:t>
      </w:r>
      <w:r w:rsidR="006C7DA9">
        <w:t xml:space="preserve"> and</w:t>
      </w:r>
      <w:r w:rsidR="006C7DA9" w:rsidRPr="00E36A52">
        <w:t xml:space="preserve"> Project Scope</w:t>
      </w:r>
      <w:bookmarkEnd w:id="2468"/>
    </w:p>
    <w:p w14:paraId="10C0335F" w14:textId="77777777" w:rsidR="00196B01" w:rsidRDefault="00196B01" w:rsidP="0006645B">
      <w:pPr>
        <w:jc w:val="center"/>
        <w:rPr>
          <w:rFonts w:ascii="Arial" w:hAnsi="Arial" w:cs="Arial"/>
        </w:rPr>
      </w:pPr>
      <w:r>
        <w:rPr>
          <w:noProof/>
          <w:lang w:eastAsia="en-AU"/>
        </w:rPr>
        <w:drawing>
          <wp:inline distT="0" distB="0" distL="0" distR="0" wp14:anchorId="5ECE59E6" wp14:editId="1B01B0A5">
            <wp:extent cx="5724000" cy="8487366"/>
            <wp:effectExtent l="0" t="0" r="0" b="9525"/>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5724000" cy="8487366"/>
                    </a:xfrm>
                    <a:prstGeom prst="rect">
                      <a:avLst/>
                    </a:prstGeom>
                    <a:ln>
                      <a:noFill/>
                    </a:ln>
                    <a:extLst>
                      <a:ext uri="{53640926-AAD7-44D8-BBD7-CCE9431645EC}">
                        <a14:shadowObscured xmlns:a14="http://schemas.microsoft.com/office/drawing/2010/main"/>
                      </a:ext>
                    </a:extLst>
                  </pic:spPr>
                </pic:pic>
              </a:graphicData>
            </a:graphic>
          </wp:inline>
        </w:drawing>
      </w:r>
    </w:p>
    <w:p w14:paraId="47DC0591" w14:textId="0A4278AA" w:rsidR="00196B01" w:rsidRDefault="006C7DA9" w:rsidP="0006645B">
      <w:pPr>
        <w:jc w:val="center"/>
        <w:rPr>
          <w:rFonts w:ascii="Arial" w:hAnsi="Arial" w:cs="Arial"/>
          <w:b/>
          <w:sz w:val="32"/>
        </w:rPr>
      </w:pPr>
      <w:r>
        <w:rPr>
          <w:noProof/>
          <w:lang w:eastAsia="en-AU"/>
        </w:rPr>
        <w:lastRenderedPageBreak/>
        <w:drawing>
          <wp:inline distT="0" distB="0" distL="0" distR="0" wp14:anchorId="12819152" wp14:editId="0FB0A5FF">
            <wp:extent cx="5831840" cy="853970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5832000" cy="853993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lastRenderedPageBreak/>
        <w:drawing>
          <wp:inline distT="0" distB="0" distL="0" distR="0" wp14:anchorId="5986B1C9" wp14:editId="1F5F52E6">
            <wp:extent cx="5832000" cy="5236566"/>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5832000" cy="5236566"/>
                    </a:xfrm>
                    <a:prstGeom prst="rect">
                      <a:avLst/>
                    </a:prstGeom>
                    <a:ln>
                      <a:noFill/>
                    </a:ln>
                    <a:extLst>
                      <a:ext uri="{53640926-AAD7-44D8-BBD7-CCE9431645EC}">
                        <a14:shadowObscured xmlns:a14="http://schemas.microsoft.com/office/drawing/2010/main"/>
                      </a:ext>
                    </a:extLst>
                  </pic:spPr>
                </pic:pic>
              </a:graphicData>
            </a:graphic>
          </wp:inline>
        </w:drawing>
      </w:r>
    </w:p>
    <w:p w14:paraId="2FF4B08D" w14:textId="77777777" w:rsidR="00E36884" w:rsidRDefault="00E36884" w:rsidP="006B2164">
      <w:pPr>
        <w:jc w:val="center"/>
        <w:rPr>
          <w:noProof/>
          <w:lang w:eastAsia="en-AU"/>
        </w:rPr>
      </w:pPr>
      <w:r>
        <w:rPr>
          <w:noProof/>
          <w:lang w:eastAsia="en-AU"/>
        </w:rPr>
        <w:lastRenderedPageBreak/>
        <w:drawing>
          <wp:inline distT="0" distB="0" distL="0" distR="0" wp14:anchorId="602C7E47" wp14:editId="32B22AAD">
            <wp:extent cx="5867400" cy="829339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5868000" cy="8294243"/>
                    </a:xfrm>
                    <a:prstGeom prst="rect">
                      <a:avLst/>
                    </a:prstGeom>
                    <a:ln>
                      <a:noFill/>
                    </a:ln>
                    <a:extLst>
                      <a:ext uri="{53640926-AAD7-44D8-BBD7-CCE9431645EC}">
                        <a14:shadowObscured xmlns:a14="http://schemas.microsoft.com/office/drawing/2010/main"/>
                      </a:ext>
                    </a:extLst>
                  </pic:spPr>
                </pic:pic>
              </a:graphicData>
            </a:graphic>
          </wp:inline>
        </w:drawing>
      </w:r>
      <w:r w:rsidRPr="00E36884">
        <w:rPr>
          <w:noProof/>
          <w:lang w:eastAsia="en-AU"/>
        </w:rPr>
        <w:t xml:space="preserve"> </w:t>
      </w:r>
    </w:p>
    <w:p w14:paraId="205270CF" w14:textId="331BB7D3" w:rsidR="006C7DA9" w:rsidRDefault="00E36884" w:rsidP="00196B01">
      <w:pPr>
        <w:jc w:val="center"/>
        <w:rPr>
          <w:noProof/>
          <w:lang w:eastAsia="en-AU"/>
        </w:rPr>
      </w:pPr>
      <w:r>
        <w:rPr>
          <w:noProof/>
          <w:lang w:eastAsia="en-AU"/>
        </w:rPr>
        <w:lastRenderedPageBreak/>
        <w:drawing>
          <wp:inline distT="0" distB="0" distL="0" distR="0" wp14:anchorId="5D961007" wp14:editId="2CA58283">
            <wp:extent cx="5868670" cy="8452884"/>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5869271" cy="8453750"/>
                    </a:xfrm>
                    <a:prstGeom prst="rect">
                      <a:avLst/>
                    </a:prstGeom>
                    <a:ln>
                      <a:noFill/>
                    </a:ln>
                    <a:extLst>
                      <a:ext uri="{53640926-AAD7-44D8-BBD7-CCE9431645EC}">
                        <a14:shadowObscured xmlns:a14="http://schemas.microsoft.com/office/drawing/2010/main"/>
                      </a:ext>
                    </a:extLst>
                  </pic:spPr>
                </pic:pic>
              </a:graphicData>
            </a:graphic>
          </wp:inline>
        </w:drawing>
      </w:r>
      <w:r w:rsidRPr="00E36884">
        <w:rPr>
          <w:noProof/>
          <w:lang w:eastAsia="en-AU"/>
        </w:rPr>
        <w:t xml:space="preserve"> </w:t>
      </w:r>
      <w:r>
        <w:rPr>
          <w:noProof/>
          <w:lang w:eastAsia="en-AU"/>
        </w:rPr>
        <w:lastRenderedPageBreak/>
        <w:drawing>
          <wp:inline distT="0" distB="0" distL="0" distR="0" wp14:anchorId="780246CC" wp14:editId="45BA6166">
            <wp:extent cx="5834350" cy="8527312"/>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5834541" cy="8527591"/>
                    </a:xfrm>
                    <a:prstGeom prst="rect">
                      <a:avLst/>
                    </a:prstGeom>
                    <a:ln>
                      <a:noFill/>
                    </a:ln>
                    <a:extLst>
                      <a:ext uri="{53640926-AAD7-44D8-BBD7-CCE9431645EC}">
                        <a14:shadowObscured xmlns:a14="http://schemas.microsoft.com/office/drawing/2010/main"/>
                      </a:ext>
                    </a:extLst>
                  </pic:spPr>
                </pic:pic>
              </a:graphicData>
            </a:graphic>
          </wp:inline>
        </w:drawing>
      </w:r>
      <w:r w:rsidRPr="00E36884">
        <w:rPr>
          <w:noProof/>
          <w:lang w:eastAsia="en-AU"/>
        </w:rPr>
        <w:t xml:space="preserve"> </w:t>
      </w:r>
      <w:r>
        <w:rPr>
          <w:noProof/>
          <w:lang w:eastAsia="en-AU"/>
        </w:rPr>
        <w:lastRenderedPageBreak/>
        <w:drawing>
          <wp:inline distT="0" distB="0" distL="0" distR="0" wp14:anchorId="08CEE7EC" wp14:editId="3C5E8FB2">
            <wp:extent cx="5834350" cy="848478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5834541" cy="8485059"/>
                    </a:xfrm>
                    <a:prstGeom prst="rect">
                      <a:avLst/>
                    </a:prstGeom>
                    <a:ln>
                      <a:noFill/>
                    </a:ln>
                    <a:extLst>
                      <a:ext uri="{53640926-AAD7-44D8-BBD7-CCE9431645EC}">
                        <a14:shadowObscured xmlns:a14="http://schemas.microsoft.com/office/drawing/2010/main"/>
                      </a:ext>
                    </a:extLst>
                  </pic:spPr>
                </pic:pic>
              </a:graphicData>
            </a:graphic>
          </wp:inline>
        </w:drawing>
      </w:r>
      <w:r w:rsidRPr="00E36884">
        <w:rPr>
          <w:noProof/>
          <w:lang w:eastAsia="en-AU"/>
        </w:rPr>
        <w:t xml:space="preserve">  </w:t>
      </w:r>
    </w:p>
    <w:p w14:paraId="48ECF68A" w14:textId="77777777" w:rsidR="006C7DA9" w:rsidRDefault="006C7DA9">
      <w:pPr>
        <w:spacing w:after="200" w:line="276" w:lineRule="auto"/>
        <w:jc w:val="left"/>
        <w:rPr>
          <w:noProof/>
          <w:lang w:eastAsia="en-AU"/>
        </w:rPr>
      </w:pPr>
      <w:r>
        <w:rPr>
          <w:noProof/>
          <w:lang w:eastAsia="en-AU"/>
        </w:rPr>
        <w:br w:type="page"/>
      </w:r>
    </w:p>
    <w:p w14:paraId="7C95BFDF" w14:textId="471FCEFD" w:rsidR="006C7DA9" w:rsidRDefault="006C7DA9" w:rsidP="006C7DA9">
      <w:pPr>
        <w:pStyle w:val="Heading1"/>
        <w:numPr>
          <w:ilvl w:val="0"/>
          <w:numId w:val="0"/>
        </w:numPr>
        <w:ind w:left="851" w:right="851"/>
      </w:pPr>
      <w:bookmarkStart w:id="2469" w:name="_Toc22196947"/>
      <w:r>
        <w:lastRenderedPageBreak/>
        <w:t xml:space="preserve">Attachment </w:t>
      </w:r>
      <w:r w:rsidRPr="006C7DA9">
        <w:t>B: 2019–2021 Research Work Order and Project Scope</w:t>
      </w:r>
      <w:bookmarkEnd w:id="2469"/>
    </w:p>
    <w:p w14:paraId="69517AB4" w14:textId="77777777" w:rsidR="00270C21" w:rsidRDefault="006C7DA9" w:rsidP="00196B01">
      <w:pPr>
        <w:spacing w:after="200" w:line="276" w:lineRule="auto"/>
        <w:jc w:val="center"/>
        <w:rPr>
          <w:rFonts w:ascii="Arial" w:hAnsi="Arial" w:cs="Arial"/>
          <w:b/>
          <w:sz w:val="32"/>
        </w:rPr>
      </w:pPr>
      <w:r>
        <w:rPr>
          <w:noProof/>
          <w:lang w:eastAsia="en-AU"/>
        </w:rPr>
        <w:drawing>
          <wp:inline distT="0" distB="0" distL="0" distR="0" wp14:anchorId="564BF93E" wp14:editId="5F1C6A4A">
            <wp:extent cx="5832000" cy="8536121"/>
            <wp:effectExtent l="0" t="0" r="0" b="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5832000" cy="8536121"/>
                    </a:xfrm>
                    <a:prstGeom prst="rect">
                      <a:avLst/>
                    </a:prstGeom>
                    <a:ln>
                      <a:noFill/>
                    </a:ln>
                    <a:extLst>
                      <a:ext uri="{53640926-AAD7-44D8-BBD7-CCE9431645EC}">
                        <a14:shadowObscured xmlns:a14="http://schemas.microsoft.com/office/drawing/2010/main"/>
                      </a:ext>
                    </a:extLst>
                  </pic:spPr>
                </pic:pic>
              </a:graphicData>
            </a:graphic>
          </wp:inline>
        </w:drawing>
      </w:r>
    </w:p>
    <w:p w14:paraId="7A45F663" w14:textId="75DD4A51" w:rsidR="00196B01" w:rsidRDefault="006C7DA9" w:rsidP="00196B01">
      <w:pPr>
        <w:spacing w:after="200" w:line="276" w:lineRule="auto"/>
        <w:jc w:val="center"/>
        <w:rPr>
          <w:rFonts w:ascii="Arial" w:hAnsi="Arial" w:cs="Arial"/>
          <w:b/>
          <w:sz w:val="32"/>
        </w:rPr>
      </w:pPr>
      <w:r>
        <w:rPr>
          <w:noProof/>
          <w:lang w:eastAsia="en-AU"/>
        </w:rPr>
        <w:lastRenderedPageBreak/>
        <w:drawing>
          <wp:inline distT="0" distB="0" distL="0" distR="0" wp14:anchorId="0E9F8875" wp14:editId="1942BBF6">
            <wp:extent cx="5832000" cy="8394991"/>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5832000" cy="839499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lastRenderedPageBreak/>
        <w:drawing>
          <wp:inline distT="0" distB="0" distL="0" distR="0" wp14:anchorId="221F0C2D" wp14:editId="1C22DB50">
            <wp:extent cx="5832000" cy="8605628"/>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5832000" cy="860562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lastRenderedPageBreak/>
        <w:drawing>
          <wp:inline distT="0" distB="0" distL="0" distR="0" wp14:anchorId="68405F93" wp14:editId="089F73AE">
            <wp:extent cx="5832000" cy="8646778"/>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5832000" cy="864677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lastRenderedPageBreak/>
        <w:drawing>
          <wp:inline distT="0" distB="0" distL="0" distR="0" wp14:anchorId="2DAD2DC0" wp14:editId="67C0F417">
            <wp:extent cx="5832000" cy="391820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screen">
                      <a:extLst>
                        <a:ext uri="{28A0092B-C50C-407E-A947-70E740481C1C}">
                          <a14:useLocalDpi xmlns:a14="http://schemas.microsoft.com/office/drawing/2010/main"/>
                        </a:ext>
                      </a:extLst>
                    </a:blip>
                    <a:srcRect/>
                    <a:stretch/>
                  </pic:blipFill>
                  <pic:spPr bwMode="auto">
                    <a:xfrm>
                      <a:off x="0" y="0"/>
                      <a:ext cx="5832000" cy="39182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lastRenderedPageBreak/>
        <w:drawing>
          <wp:inline distT="0" distB="0" distL="0" distR="0" wp14:anchorId="1DF67456" wp14:editId="12D9D8D8">
            <wp:extent cx="5832000" cy="8393762"/>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5832000" cy="83937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lastRenderedPageBreak/>
        <w:drawing>
          <wp:inline distT="0" distB="0" distL="0" distR="0" wp14:anchorId="73BB0207" wp14:editId="6849B7D5">
            <wp:extent cx="5832000" cy="8335564"/>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screen">
                      <a:extLst>
                        <a:ext uri="{28A0092B-C50C-407E-A947-70E740481C1C}">
                          <a14:useLocalDpi xmlns:a14="http://schemas.microsoft.com/office/drawing/2010/main"/>
                        </a:ext>
                      </a:extLst>
                    </a:blip>
                    <a:srcRect/>
                    <a:stretch/>
                  </pic:blipFill>
                  <pic:spPr bwMode="auto">
                    <a:xfrm>
                      <a:off x="0" y="0"/>
                      <a:ext cx="5832000" cy="83355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lastRenderedPageBreak/>
        <w:drawing>
          <wp:inline distT="0" distB="0" distL="0" distR="0" wp14:anchorId="30238B85" wp14:editId="5EAC36AB">
            <wp:extent cx="5831674" cy="8431306"/>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5832000" cy="843177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lastRenderedPageBreak/>
        <w:drawing>
          <wp:inline distT="0" distB="0" distL="0" distR="0" wp14:anchorId="716975A3" wp14:editId="75D2E92B">
            <wp:extent cx="5832000" cy="824871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5832000" cy="824871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lastRenderedPageBreak/>
        <w:drawing>
          <wp:inline distT="0" distB="0" distL="0" distR="0" wp14:anchorId="60C11F07" wp14:editId="6BD03A50">
            <wp:extent cx="5832000" cy="8490112"/>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5832000" cy="849011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lastRenderedPageBreak/>
        <w:drawing>
          <wp:inline distT="0" distB="0" distL="0" distR="0" wp14:anchorId="321EBAAB" wp14:editId="5FEBFEB3">
            <wp:extent cx="5832000" cy="8185044"/>
            <wp:effectExtent l="0" t="0" r="0"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screen">
                      <a:extLst>
                        <a:ext uri="{28A0092B-C50C-407E-A947-70E740481C1C}">
                          <a14:useLocalDpi xmlns:a14="http://schemas.microsoft.com/office/drawing/2010/main"/>
                        </a:ext>
                      </a:extLst>
                    </a:blip>
                    <a:srcRect/>
                    <a:stretch/>
                  </pic:blipFill>
                  <pic:spPr bwMode="auto">
                    <a:xfrm>
                      <a:off x="0" y="0"/>
                      <a:ext cx="5832000" cy="818504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lastRenderedPageBreak/>
        <w:drawing>
          <wp:inline distT="0" distB="0" distL="0" distR="0" wp14:anchorId="66915536" wp14:editId="707EF7EB">
            <wp:extent cx="5832000" cy="8334934"/>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screen">
                      <a:extLst>
                        <a:ext uri="{28A0092B-C50C-407E-A947-70E740481C1C}">
                          <a14:useLocalDpi xmlns:a14="http://schemas.microsoft.com/office/drawing/2010/main"/>
                        </a:ext>
                      </a:extLst>
                    </a:blip>
                    <a:srcRect/>
                    <a:stretch/>
                  </pic:blipFill>
                  <pic:spPr bwMode="auto">
                    <a:xfrm>
                      <a:off x="0" y="0"/>
                      <a:ext cx="5832000" cy="833493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lastRenderedPageBreak/>
        <w:drawing>
          <wp:inline distT="0" distB="0" distL="0" distR="0" wp14:anchorId="4A81AF9F" wp14:editId="6C3B3C54">
            <wp:extent cx="5831840" cy="690053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screen">
                      <a:extLst>
                        <a:ext uri="{28A0092B-C50C-407E-A947-70E740481C1C}">
                          <a14:useLocalDpi xmlns:a14="http://schemas.microsoft.com/office/drawing/2010/main"/>
                        </a:ext>
                      </a:extLst>
                    </a:blip>
                    <a:srcRect/>
                    <a:stretch/>
                  </pic:blipFill>
                  <pic:spPr bwMode="auto">
                    <a:xfrm>
                      <a:off x="0" y="0"/>
                      <a:ext cx="5832000" cy="690071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lastRenderedPageBreak/>
        <w:drawing>
          <wp:inline distT="0" distB="0" distL="0" distR="0" wp14:anchorId="6D88B648" wp14:editId="30C5CBD0">
            <wp:extent cx="5832000" cy="8403481"/>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5832000" cy="8403481"/>
                    </a:xfrm>
                    <a:prstGeom prst="rect">
                      <a:avLst/>
                    </a:prstGeom>
                    <a:ln>
                      <a:noFill/>
                    </a:ln>
                    <a:extLst>
                      <a:ext uri="{53640926-AAD7-44D8-BBD7-CCE9431645EC}">
                        <a14:shadowObscured xmlns:a14="http://schemas.microsoft.com/office/drawing/2010/main"/>
                      </a:ext>
                    </a:extLst>
                  </pic:spPr>
                </pic:pic>
              </a:graphicData>
            </a:graphic>
          </wp:inline>
        </w:drawing>
      </w:r>
    </w:p>
    <w:sectPr w:rsidR="00196B01" w:rsidSect="006B2164">
      <w:pgSz w:w="11900" w:h="16840"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4BAB75" w14:textId="77777777" w:rsidR="00187CDF" w:rsidRDefault="00187CDF" w:rsidP="00E66522">
      <w:r>
        <w:separator/>
      </w:r>
    </w:p>
    <w:p w14:paraId="0DFD9640" w14:textId="77777777" w:rsidR="00187CDF" w:rsidRDefault="00187CDF"/>
    <w:p w14:paraId="5479DA8F" w14:textId="77777777" w:rsidR="00187CDF" w:rsidRDefault="00187CDF"/>
  </w:endnote>
  <w:endnote w:type="continuationSeparator" w:id="0">
    <w:p w14:paraId="7CE0EAE3" w14:textId="77777777" w:rsidR="00187CDF" w:rsidRDefault="00187CDF" w:rsidP="00E66522">
      <w:r>
        <w:continuationSeparator/>
      </w:r>
    </w:p>
    <w:p w14:paraId="5BA0077D" w14:textId="77777777" w:rsidR="00187CDF" w:rsidRDefault="00187CDF"/>
    <w:p w14:paraId="254C3E86" w14:textId="77777777" w:rsidR="00187CDF" w:rsidRDefault="00187C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Frutiger LT Std 45 Light">
    <w:altName w:val="Times New Roman"/>
    <w:panose1 w:val="00000000000000000000"/>
    <w:charset w:val="00"/>
    <w:family w:val="roman"/>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E9C59" w14:textId="77777777" w:rsidR="007047E0" w:rsidRDefault="007047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56E54" w14:textId="26BAC390" w:rsidR="00A8252A" w:rsidRDefault="00A8252A" w:rsidP="00D93DAE">
    <w:pPr>
      <w:pStyle w:val="Footer"/>
    </w:pPr>
    <w:r>
      <w:t>CEWO MER Project -</w:t>
    </w:r>
    <w:r w:rsidRPr="00231558">
      <w:rPr>
        <w:i/>
      </w:rPr>
      <w:t xml:space="preserve"> Lower Murray </w:t>
    </w:r>
    <w:r>
      <w:rPr>
        <w:i/>
      </w:rPr>
      <w:t>Monitoring, Evaluation and Research Plan</w:t>
    </w:r>
    <w:r>
      <w:tab/>
    </w:r>
    <w:r>
      <w:fldChar w:fldCharType="begin"/>
    </w:r>
    <w:r>
      <w:instrText xml:space="preserve"> PAGE   \* MERGEFORMAT </w:instrText>
    </w:r>
    <w:r>
      <w:fldChar w:fldCharType="separate"/>
    </w:r>
    <w:r w:rsidR="00064EC9">
      <w:rPr>
        <w:noProof/>
      </w:rPr>
      <w:t>14</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82471" w14:textId="77777777" w:rsidR="007047E0" w:rsidRDefault="007047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658953" w14:textId="77777777" w:rsidR="00187CDF" w:rsidRDefault="00187CDF" w:rsidP="00E66522">
      <w:r>
        <w:separator/>
      </w:r>
    </w:p>
    <w:p w14:paraId="2752295E" w14:textId="77777777" w:rsidR="00187CDF" w:rsidRDefault="00187CDF"/>
    <w:p w14:paraId="1609CA6D" w14:textId="77777777" w:rsidR="00187CDF" w:rsidRDefault="00187CDF"/>
  </w:footnote>
  <w:footnote w:type="continuationSeparator" w:id="0">
    <w:p w14:paraId="02C63DF0" w14:textId="77777777" w:rsidR="00187CDF" w:rsidRDefault="00187CDF" w:rsidP="00E66522">
      <w:r>
        <w:continuationSeparator/>
      </w:r>
    </w:p>
    <w:p w14:paraId="0A42DFF5" w14:textId="77777777" w:rsidR="00187CDF" w:rsidRDefault="00187CDF"/>
    <w:p w14:paraId="42965D39" w14:textId="77777777" w:rsidR="00187CDF" w:rsidRDefault="00187CDF"/>
  </w:footnote>
  <w:footnote w:id="1">
    <w:p w14:paraId="394CE9DB" w14:textId="77777777" w:rsidR="00A8252A" w:rsidRPr="00602D06" w:rsidRDefault="00A8252A" w:rsidP="00EB5197">
      <w:pPr>
        <w:pStyle w:val="FootnoteText"/>
        <w:rPr>
          <w:sz w:val="16"/>
          <w:szCs w:val="14"/>
          <w:lang w:val="en-US"/>
        </w:rPr>
      </w:pPr>
      <w:r w:rsidRPr="00602D06">
        <w:rPr>
          <w:rStyle w:val="FootnoteReference"/>
          <w:rFonts w:eastAsiaTheme="majorEastAsia"/>
          <w:sz w:val="16"/>
          <w:szCs w:val="14"/>
        </w:rPr>
        <w:footnoteRef/>
      </w:r>
      <w:r w:rsidRPr="00602D06">
        <w:rPr>
          <w:sz w:val="16"/>
          <w:szCs w:val="14"/>
        </w:rPr>
        <w:t xml:space="preserve"> Population age structure is inferred from length-frequency distributions and validated by otoliths where appropriate</w:t>
      </w:r>
      <w:r>
        <w:rPr>
          <w:sz w:val="16"/>
          <w:szCs w:val="14"/>
        </w:rPr>
        <w:t xml:space="preserve">. </w:t>
      </w:r>
      <w:r w:rsidRPr="00602D06">
        <w:rPr>
          <w:sz w:val="16"/>
          <w:szCs w:val="14"/>
        </w:rPr>
        <w:t>YOY = Young of Year, age 0+</w:t>
      </w:r>
      <w:r>
        <w:rPr>
          <w:sz w:val="16"/>
          <w:szCs w:val="14"/>
        </w:rPr>
        <w:t>.</w:t>
      </w:r>
    </w:p>
  </w:footnote>
  <w:footnote w:id="2">
    <w:p w14:paraId="56B43AAB" w14:textId="26DB3053" w:rsidR="00A8252A" w:rsidRPr="00602D06" w:rsidRDefault="00A8252A" w:rsidP="00EB5197">
      <w:pPr>
        <w:pStyle w:val="FootnoteText"/>
        <w:rPr>
          <w:sz w:val="16"/>
          <w:szCs w:val="14"/>
          <w:lang w:val="en-US"/>
        </w:rPr>
      </w:pPr>
      <w:r w:rsidRPr="00602D06">
        <w:rPr>
          <w:rStyle w:val="FootnoteReference"/>
          <w:rFonts w:eastAsiaTheme="majorEastAsia"/>
          <w:sz w:val="16"/>
          <w:szCs w:val="14"/>
        </w:rPr>
        <w:footnoteRef/>
      </w:r>
      <w:r>
        <w:rPr>
          <w:sz w:val="16"/>
          <w:szCs w:val="14"/>
        </w:rPr>
        <w:t xml:space="preserve"> </w:t>
      </w:r>
      <w:r w:rsidRPr="005B4278">
        <w:rPr>
          <w:sz w:val="16"/>
          <w:szCs w:val="14"/>
        </w:rPr>
        <w:t>Age classes defined as recent recruits (&lt;200</w:t>
      </w:r>
      <w:r>
        <w:rPr>
          <w:sz w:val="16"/>
          <w:szCs w:val="14"/>
        </w:rPr>
        <w:t xml:space="preserve"> </w:t>
      </w:r>
      <w:r w:rsidRPr="005B4278">
        <w:rPr>
          <w:sz w:val="16"/>
          <w:szCs w:val="14"/>
        </w:rPr>
        <w:t>mm, including YOY and 1+ fish), sub-adults (200</w:t>
      </w:r>
      <w:r>
        <w:rPr>
          <w:rFonts w:cstheme="minorHAnsi"/>
          <w:sz w:val="16"/>
          <w:szCs w:val="14"/>
        </w:rPr>
        <w:t>−</w:t>
      </w:r>
      <w:r w:rsidRPr="005B4278">
        <w:rPr>
          <w:sz w:val="16"/>
          <w:szCs w:val="14"/>
        </w:rPr>
        <w:t>600</w:t>
      </w:r>
      <w:r>
        <w:rPr>
          <w:sz w:val="16"/>
          <w:szCs w:val="14"/>
        </w:rPr>
        <w:t xml:space="preserve"> </w:t>
      </w:r>
      <w:r w:rsidRPr="005B4278">
        <w:rPr>
          <w:sz w:val="16"/>
          <w:szCs w:val="14"/>
        </w:rPr>
        <w:t>mm) and adults (&gt;600</w:t>
      </w:r>
      <w:r>
        <w:rPr>
          <w:sz w:val="16"/>
          <w:szCs w:val="14"/>
        </w:rPr>
        <w:t xml:space="preserve"> </w:t>
      </w:r>
      <w:r w:rsidRPr="005B4278">
        <w:rPr>
          <w:sz w:val="16"/>
          <w:szCs w:val="14"/>
        </w:rPr>
        <w:t>mm)</w:t>
      </w:r>
    </w:p>
  </w:footnote>
  <w:footnote w:id="3">
    <w:p w14:paraId="5B3B903B" w14:textId="77777777" w:rsidR="00A8252A" w:rsidRPr="00602D06" w:rsidRDefault="00A8252A" w:rsidP="00EB5197">
      <w:pPr>
        <w:pStyle w:val="FootnoteText"/>
        <w:rPr>
          <w:sz w:val="16"/>
          <w:szCs w:val="14"/>
          <w:lang w:val="en-US"/>
        </w:rPr>
      </w:pPr>
      <w:r w:rsidRPr="00602D06">
        <w:rPr>
          <w:rStyle w:val="FootnoteReference"/>
          <w:rFonts w:eastAsiaTheme="majorEastAsia"/>
          <w:sz w:val="16"/>
          <w:szCs w:val="14"/>
        </w:rPr>
        <w:footnoteRef/>
      </w:r>
      <w:r w:rsidRPr="00602D06">
        <w:rPr>
          <w:sz w:val="16"/>
          <w:szCs w:val="14"/>
        </w:rPr>
        <w:t xml:space="preserve"> ‘Recruitment’ refers to survival and growth of the larvae and juveniles to YOY (young of year)</w:t>
      </w:r>
    </w:p>
  </w:footnote>
  <w:footnote w:id="4">
    <w:p w14:paraId="171906AC" w14:textId="77777777" w:rsidR="00A8252A" w:rsidRPr="00602D06" w:rsidRDefault="00A8252A" w:rsidP="00EB5197">
      <w:pPr>
        <w:pStyle w:val="FootnoteText"/>
        <w:rPr>
          <w:sz w:val="16"/>
          <w:szCs w:val="14"/>
          <w:lang w:val="en-US"/>
        </w:rPr>
      </w:pPr>
      <w:r w:rsidRPr="00602D06">
        <w:rPr>
          <w:rStyle w:val="FootnoteReference"/>
          <w:rFonts w:eastAsiaTheme="majorEastAsia"/>
          <w:sz w:val="16"/>
          <w:szCs w:val="14"/>
        </w:rPr>
        <w:footnoteRef/>
      </w:r>
      <w:r w:rsidRPr="00602D06">
        <w:rPr>
          <w:sz w:val="16"/>
          <w:szCs w:val="14"/>
        </w:rPr>
        <w:t xml:space="preserve"> Abundance is measured by CPUE, which is ‘catch per unit effort’ resulting from formal surveys using standard techniques (e.g. boat-mounted electrofishing, fyke nets)</w:t>
      </w:r>
    </w:p>
  </w:footnote>
  <w:footnote w:id="5">
    <w:p w14:paraId="3621A2CA" w14:textId="031DC96F" w:rsidR="00A8252A" w:rsidRDefault="00A8252A" w:rsidP="00EB5197">
      <w:pPr>
        <w:pStyle w:val="FootnoteText"/>
      </w:pPr>
      <w:r w:rsidRPr="00E45D0B">
        <w:rPr>
          <w:rStyle w:val="FootnoteReference"/>
          <w:rFonts w:eastAsiaTheme="majorEastAsia"/>
          <w:sz w:val="16"/>
          <w:szCs w:val="16"/>
        </w:rPr>
        <w:footnoteRef/>
      </w:r>
      <w:r w:rsidRPr="005B4278">
        <w:rPr>
          <w:sz w:val="16"/>
          <w:szCs w:val="14"/>
        </w:rPr>
        <w:t>Age classes defined as YOY &lt;1+, sub-adult 1+</w:t>
      </w:r>
      <w:r>
        <w:rPr>
          <w:rFonts w:cstheme="minorHAnsi"/>
          <w:sz w:val="16"/>
          <w:szCs w:val="14"/>
        </w:rPr>
        <w:t>−</w:t>
      </w:r>
      <w:r w:rsidRPr="005B4278">
        <w:rPr>
          <w:sz w:val="16"/>
          <w:szCs w:val="14"/>
        </w:rPr>
        <w:t>3+, adult 4+</w:t>
      </w:r>
    </w:p>
  </w:footnote>
  <w:footnote w:id="6">
    <w:p w14:paraId="273BF509" w14:textId="6E758737" w:rsidR="00A8252A" w:rsidRPr="00DB6179" w:rsidRDefault="00A8252A">
      <w:pPr>
        <w:pStyle w:val="FootnoteText"/>
        <w:rPr>
          <w:sz w:val="16"/>
          <w:szCs w:val="16"/>
          <w:lang w:val="en-US"/>
        </w:rPr>
      </w:pPr>
      <w:r w:rsidRPr="00DB6179">
        <w:rPr>
          <w:rStyle w:val="FootnoteReference"/>
          <w:sz w:val="16"/>
          <w:szCs w:val="16"/>
        </w:rPr>
        <w:footnoteRef/>
      </w:r>
      <w:r w:rsidRPr="00DB6179">
        <w:rPr>
          <w:sz w:val="16"/>
          <w:szCs w:val="16"/>
        </w:rPr>
        <w:t xml:space="preserve"> Capability to answer the question is dependent on adequate sample size.</w:t>
      </w:r>
    </w:p>
  </w:footnote>
  <w:footnote w:id="7">
    <w:p w14:paraId="436F02F6" w14:textId="77777777" w:rsidR="00A8252A" w:rsidRPr="00602D06" w:rsidRDefault="00A8252A" w:rsidP="00EB5197">
      <w:pPr>
        <w:pStyle w:val="FootnoteText"/>
        <w:rPr>
          <w:sz w:val="16"/>
          <w:szCs w:val="14"/>
          <w:lang w:val="en-US"/>
        </w:rPr>
      </w:pPr>
      <w:r w:rsidRPr="00602D06">
        <w:rPr>
          <w:rStyle w:val="FootnoteReference"/>
          <w:rFonts w:eastAsiaTheme="majorEastAsia"/>
          <w:sz w:val="16"/>
          <w:szCs w:val="14"/>
        </w:rPr>
        <w:footnoteRef/>
      </w:r>
      <w:r w:rsidRPr="00602D06">
        <w:rPr>
          <w:sz w:val="16"/>
          <w:szCs w:val="14"/>
        </w:rPr>
        <w:t xml:space="preserve"> </w:t>
      </w:r>
      <w:r w:rsidRPr="00602D06">
        <w:rPr>
          <w:sz w:val="16"/>
          <w:szCs w:val="14"/>
          <w:lang w:val="en-US"/>
        </w:rPr>
        <w:t>During high flow years (e.g. &gt;30 000 ML.day</w:t>
      </w:r>
      <w:r w:rsidRPr="00602D06">
        <w:rPr>
          <w:sz w:val="16"/>
          <w:szCs w:val="14"/>
          <w:vertAlign w:val="superscript"/>
          <w:lang w:val="en-US"/>
        </w:rPr>
        <w:t>-1</w:t>
      </w:r>
      <w:r w:rsidRPr="00602D06">
        <w:rPr>
          <w:sz w:val="16"/>
          <w:szCs w:val="14"/>
          <w:lang w:val="en-US"/>
        </w:rPr>
        <w:t>), Murray rainbowfish and carp gudgeon may be rare or absent from main channel environments as in-channel habitats become unsuitable. As fish sampling for LTIM is not being undertaken in off-channel habitats, the absence of YOY in the main channel should not be seen as a failure to achieving the target.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FEE62" w14:textId="77777777" w:rsidR="007047E0" w:rsidRDefault="007047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D2691" w14:textId="77777777" w:rsidR="007047E0" w:rsidRDefault="007047E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BACAC" w14:textId="77777777" w:rsidR="007047E0" w:rsidRDefault="007047E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AB2D1" w14:textId="087D37D3" w:rsidR="00A8252A" w:rsidRDefault="00A825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6D8FD6C"/>
    <w:multiLevelType w:val="hybridMultilevel"/>
    <w:tmpl w:val="8BED481A"/>
    <w:lvl w:ilvl="0" w:tplc="FFFFFFFF">
      <w:start w:val="1"/>
      <w:numFmt w:val="ideographDigital"/>
      <w:lvlText w:val="•"/>
      <w:lvlJc w:val="left"/>
    </w:lvl>
    <w:lvl w:ilvl="1" w:tplc="FFFFFFFF">
      <w:start w:val="1"/>
      <w:numFmt w:val="ideographDigital"/>
      <w:lvlText w:val="•"/>
      <w:lvlJc w:val="left"/>
    </w:lvl>
    <w:lvl w:ilvl="2" w:tplc="2F06715D">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F83E5B4"/>
    <w:multiLevelType w:val="hybridMultilevel"/>
    <w:tmpl w:val="7C5EEF7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1FFA247"/>
    <w:multiLevelType w:val="hybridMultilevel"/>
    <w:tmpl w:val="1E55F2D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490BEA"/>
    <w:multiLevelType w:val="hybridMultilevel"/>
    <w:tmpl w:val="8ED40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C5165E"/>
    <w:multiLevelType w:val="hybridMultilevel"/>
    <w:tmpl w:val="92E4C332"/>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5" w15:restartNumberingAfterBreak="0">
    <w:nsid w:val="05605695"/>
    <w:multiLevelType w:val="hybridMultilevel"/>
    <w:tmpl w:val="18049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680381"/>
    <w:multiLevelType w:val="singleLevel"/>
    <w:tmpl w:val="0809000F"/>
    <w:lvl w:ilvl="0">
      <w:start w:val="1"/>
      <w:numFmt w:val="decimal"/>
      <w:lvlText w:val="%1."/>
      <w:lvlJc w:val="left"/>
      <w:pPr>
        <w:tabs>
          <w:tab w:val="num" w:pos="360"/>
        </w:tabs>
        <w:ind w:left="360" w:hanging="360"/>
      </w:pPr>
      <w:rPr>
        <w:rFonts w:hint="default"/>
      </w:rPr>
    </w:lvl>
  </w:abstractNum>
  <w:abstractNum w:abstractNumId="7" w15:restartNumberingAfterBreak="0">
    <w:nsid w:val="058459EE"/>
    <w:multiLevelType w:val="hybridMultilevel"/>
    <w:tmpl w:val="A6D85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2A699B"/>
    <w:multiLevelType w:val="hybridMultilevel"/>
    <w:tmpl w:val="65DC03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99630B"/>
    <w:multiLevelType w:val="hybridMultilevel"/>
    <w:tmpl w:val="D0C242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0F8E6C6E"/>
    <w:multiLevelType w:val="hybridMultilevel"/>
    <w:tmpl w:val="02ACBD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3A01FA"/>
    <w:multiLevelType w:val="hybridMultilevel"/>
    <w:tmpl w:val="64FA6B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E646DF"/>
    <w:multiLevelType w:val="hybridMultilevel"/>
    <w:tmpl w:val="1BD08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5B7C10"/>
    <w:multiLevelType w:val="hybridMultilevel"/>
    <w:tmpl w:val="924A96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156F72CC"/>
    <w:multiLevelType w:val="hybridMultilevel"/>
    <w:tmpl w:val="970887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6097DE7"/>
    <w:multiLevelType w:val="singleLevel"/>
    <w:tmpl w:val="9B94E4FC"/>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16" w15:restartNumberingAfterBreak="0">
    <w:nsid w:val="16544EF7"/>
    <w:multiLevelType w:val="hybridMultilevel"/>
    <w:tmpl w:val="8A682C7A"/>
    <w:lvl w:ilvl="0" w:tplc="92B4AC10">
      <w:start w:val="1"/>
      <w:numFmt w:val="decimal"/>
      <w:lvlText w:val="%1."/>
      <w:lvlJc w:val="left"/>
      <w:pPr>
        <w:ind w:left="1080" w:hanging="360"/>
      </w:pPr>
      <w:rPr>
        <w:rFonts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6BB418C"/>
    <w:multiLevelType w:val="hybridMultilevel"/>
    <w:tmpl w:val="D7707F76"/>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18" w15:restartNumberingAfterBreak="0">
    <w:nsid w:val="1BE273E4"/>
    <w:multiLevelType w:val="hybridMultilevel"/>
    <w:tmpl w:val="E5B4A596"/>
    <w:lvl w:ilvl="0" w:tplc="F690A506">
      <w:start w:val="1"/>
      <w:numFmt w:val="decimal"/>
      <w:lvlText w:val="%1."/>
      <w:lvlJc w:val="left"/>
      <w:pPr>
        <w:ind w:left="361" w:hanging="360"/>
      </w:pPr>
      <w:rPr>
        <w:rFonts w:hint="default"/>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9" w15:restartNumberingAfterBreak="0">
    <w:nsid w:val="1DC24085"/>
    <w:multiLevelType w:val="hybridMultilevel"/>
    <w:tmpl w:val="13F88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34D72CD"/>
    <w:multiLevelType w:val="hybridMultilevel"/>
    <w:tmpl w:val="D98A0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7F6789"/>
    <w:multiLevelType w:val="hybridMultilevel"/>
    <w:tmpl w:val="D43A7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463EF0"/>
    <w:multiLevelType w:val="hybridMultilevel"/>
    <w:tmpl w:val="0C06E9F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264D024B"/>
    <w:multiLevelType w:val="hybridMultilevel"/>
    <w:tmpl w:val="6F987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BBE641E"/>
    <w:multiLevelType w:val="hybridMultilevel"/>
    <w:tmpl w:val="290AD4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2D2C389C"/>
    <w:multiLevelType w:val="hybridMultilevel"/>
    <w:tmpl w:val="9F1A41E4"/>
    <w:lvl w:ilvl="0" w:tplc="D67E55B6">
      <w:start w:val="1"/>
      <w:numFmt w:val="decimal"/>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26" w15:restartNumberingAfterBreak="0">
    <w:nsid w:val="2D351307"/>
    <w:multiLevelType w:val="hybridMultilevel"/>
    <w:tmpl w:val="8AB25D86"/>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E814890"/>
    <w:multiLevelType w:val="hybridMultilevel"/>
    <w:tmpl w:val="161A5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2A943BA"/>
    <w:multiLevelType w:val="hybridMultilevel"/>
    <w:tmpl w:val="1436E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4DC0FF9"/>
    <w:multiLevelType w:val="hybridMultilevel"/>
    <w:tmpl w:val="5DF86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7637CF5"/>
    <w:multiLevelType w:val="hybridMultilevel"/>
    <w:tmpl w:val="23746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001BE5"/>
    <w:multiLevelType w:val="hybridMultilevel"/>
    <w:tmpl w:val="962CA3C4"/>
    <w:lvl w:ilvl="0" w:tplc="9E6E7318">
      <w:start w:val="1"/>
      <w:numFmt w:val="bullet"/>
      <w:lvlText w:val=""/>
      <w:lvlJc w:val="left"/>
      <w:pPr>
        <w:ind w:left="720" w:hanging="360"/>
      </w:pPr>
      <w:rPr>
        <w:rFonts w:ascii="Symbol" w:hAnsi="Symbol" w:hint="default"/>
      </w:rPr>
    </w:lvl>
    <w:lvl w:ilvl="1" w:tplc="E8B0309A" w:tentative="1">
      <w:start w:val="1"/>
      <w:numFmt w:val="bullet"/>
      <w:lvlText w:val="o"/>
      <w:lvlJc w:val="left"/>
      <w:pPr>
        <w:ind w:left="1440" w:hanging="360"/>
      </w:pPr>
      <w:rPr>
        <w:rFonts w:ascii="Courier New" w:hAnsi="Courier New" w:cs="Courier New" w:hint="default"/>
      </w:rPr>
    </w:lvl>
    <w:lvl w:ilvl="2" w:tplc="FD08AB2E" w:tentative="1">
      <w:start w:val="1"/>
      <w:numFmt w:val="bullet"/>
      <w:lvlText w:val=""/>
      <w:lvlJc w:val="left"/>
      <w:pPr>
        <w:ind w:left="2160" w:hanging="360"/>
      </w:pPr>
      <w:rPr>
        <w:rFonts w:ascii="Wingdings" w:hAnsi="Wingdings" w:hint="default"/>
      </w:rPr>
    </w:lvl>
    <w:lvl w:ilvl="3" w:tplc="A6FA3628" w:tentative="1">
      <w:start w:val="1"/>
      <w:numFmt w:val="bullet"/>
      <w:lvlText w:val=""/>
      <w:lvlJc w:val="left"/>
      <w:pPr>
        <w:ind w:left="2880" w:hanging="360"/>
      </w:pPr>
      <w:rPr>
        <w:rFonts w:ascii="Symbol" w:hAnsi="Symbol" w:hint="default"/>
      </w:rPr>
    </w:lvl>
    <w:lvl w:ilvl="4" w:tplc="1B563D2E" w:tentative="1">
      <w:start w:val="1"/>
      <w:numFmt w:val="bullet"/>
      <w:lvlText w:val="o"/>
      <w:lvlJc w:val="left"/>
      <w:pPr>
        <w:ind w:left="3600" w:hanging="360"/>
      </w:pPr>
      <w:rPr>
        <w:rFonts w:ascii="Courier New" w:hAnsi="Courier New" w:cs="Courier New" w:hint="default"/>
      </w:rPr>
    </w:lvl>
    <w:lvl w:ilvl="5" w:tplc="5E0C66F2" w:tentative="1">
      <w:start w:val="1"/>
      <w:numFmt w:val="bullet"/>
      <w:lvlText w:val=""/>
      <w:lvlJc w:val="left"/>
      <w:pPr>
        <w:ind w:left="4320" w:hanging="360"/>
      </w:pPr>
      <w:rPr>
        <w:rFonts w:ascii="Wingdings" w:hAnsi="Wingdings" w:hint="default"/>
      </w:rPr>
    </w:lvl>
    <w:lvl w:ilvl="6" w:tplc="C688C47C" w:tentative="1">
      <w:start w:val="1"/>
      <w:numFmt w:val="bullet"/>
      <w:lvlText w:val=""/>
      <w:lvlJc w:val="left"/>
      <w:pPr>
        <w:ind w:left="5040" w:hanging="360"/>
      </w:pPr>
      <w:rPr>
        <w:rFonts w:ascii="Symbol" w:hAnsi="Symbol" w:hint="default"/>
      </w:rPr>
    </w:lvl>
    <w:lvl w:ilvl="7" w:tplc="4E4AC636" w:tentative="1">
      <w:start w:val="1"/>
      <w:numFmt w:val="bullet"/>
      <w:lvlText w:val="o"/>
      <w:lvlJc w:val="left"/>
      <w:pPr>
        <w:ind w:left="5760" w:hanging="360"/>
      </w:pPr>
      <w:rPr>
        <w:rFonts w:ascii="Courier New" w:hAnsi="Courier New" w:cs="Courier New" w:hint="default"/>
      </w:rPr>
    </w:lvl>
    <w:lvl w:ilvl="8" w:tplc="ADDA1318" w:tentative="1">
      <w:start w:val="1"/>
      <w:numFmt w:val="bullet"/>
      <w:lvlText w:val=""/>
      <w:lvlJc w:val="left"/>
      <w:pPr>
        <w:ind w:left="6480" w:hanging="360"/>
      </w:pPr>
      <w:rPr>
        <w:rFonts w:ascii="Wingdings" w:hAnsi="Wingdings" w:hint="default"/>
      </w:rPr>
    </w:lvl>
  </w:abstractNum>
  <w:abstractNum w:abstractNumId="32" w15:restartNumberingAfterBreak="0">
    <w:nsid w:val="398A3419"/>
    <w:multiLevelType w:val="hybridMultilevel"/>
    <w:tmpl w:val="9F482422"/>
    <w:lvl w:ilvl="0" w:tplc="0C090001">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3" w15:restartNumberingAfterBreak="0">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A3118D8"/>
    <w:multiLevelType w:val="multilevel"/>
    <w:tmpl w:val="94BA1EC8"/>
    <w:lvl w:ilvl="0">
      <w:start w:val="1"/>
      <w:numFmt w:val="decimal"/>
      <w:pStyle w:val="ListNumber"/>
      <w:lvlText w:val="%1."/>
      <w:lvlJc w:val="left"/>
      <w:pPr>
        <w:ind w:left="717" w:hanging="360"/>
      </w:pPr>
      <w:rPr>
        <w:rFonts w:hint="default"/>
      </w:rPr>
    </w:lvl>
    <w:lvl w:ilvl="1">
      <w:start w:val="2"/>
      <w:numFmt w:val="decimal"/>
      <w:isLgl/>
      <w:lvlText w:val="%1.%2"/>
      <w:lvlJc w:val="left"/>
      <w:pPr>
        <w:ind w:left="1437" w:hanging="720"/>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361"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35" w15:restartNumberingAfterBreak="0">
    <w:nsid w:val="3ACE417A"/>
    <w:multiLevelType w:val="hybridMultilevel"/>
    <w:tmpl w:val="32848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C4C7102"/>
    <w:multiLevelType w:val="hybridMultilevel"/>
    <w:tmpl w:val="431CE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C647EF6"/>
    <w:multiLevelType w:val="multilevel"/>
    <w:tmpl w:val="4E5EF014"/>
    <w:lvl w:ilvl="0">
      <w:start w:val="1"/>
      <w:numFmt w:val="bullet"/>
      <w:lvlText w:val=""/>
      <w:lvlJc w:val="left"/>
      <w:pPr>
        <w:tabs>
          <w:tab w:val="num" w:pos="2016"/>
        </w:tabs>
        <w:ind w:left="2016" w:hanging="360"/>
      </w:pPr>
      <w:rPr>
        <w:rFonts w:ascii="Symbol" w:hAnsi="Symbol" w:hint="default"/>
        <w:sz w:val="22"/>
        <w:szCs w:val="22"/>
      </w:rPr>
    </w:lvl>
    <w:lvl w:ilvl="1">
      <w:start w:val="1"/>
      <w:numFmt w:val="bullet"/>
      <w:lvlText w:val="o"/>
      <w:lvlJc w:val="left"/>
      <w:pPr>
        <w:tabs>
          <w:tab w:val="num" w:pos="2736"/>
        </w:tabs>
        <w:ind w:left="2736" w:hanging="360"/>
      </w:pPr>
      <w:rPr>
        <w:rFonts w:ascii="Courier New" w:hAnsi="Courier New" w:cs="Times New Roman" w:hint="default"/>
        <w:sz w:val="20"/>
      </w:rPr>
    </w:lvl>
    <w:lvl w:ilvl="2">
      <w:start w:val="1"/>
      <w:numFmt w:val="bullet"/>
      <w:lvlText w:val=""/>
      <w:lvlJc w:val="left"/>
      <w:pPr>
        <w:tabs>
          <w:tab w:val="num" w:pos="3456"/>
        </w:tabs>
        <w:ind w:left="3456" w:hanging="360"/>
      </w:pPr>
      <w:rPr>
        <w:rFonts w:ascii="Wingdings" w:hAnsi="Wingdings" w:hint="default"/>
        <w:sz w:val="20"/>
      </w:rPr>
    </w:lvl>
    <w:lvl w:ilvl="3">
      <w:start w:val="1"/>
      <w:numFmt w:val="bullet"/>
      <w:lvlText w:val=""/>
      <w:lvlJc w:val="left"/>
      <w:pPr>
        <w:tabs>
          <w:tab w:val="num" w:pos="4176"/>
        </w:tabs>
        <w:ind w:left="4176" w:hanging="360"/>
      </w:pPr>
      <w:rPr>
        <w:rFonts w:ascii="Wingdings" w:hAnsi="Wingdings" w:hint="default"/>
        <w:sz w:val="20"/>
      </w:rPr>
    </w:lvl>
    <w:lvl w:ilvl="4">
      <w:start w:val="1"/>
      <w:numFmt w:val="bullet"/>
      <w:lvlText w:val=""/>
      <w:lvlJc w:val="left"/>
      <w:pPr>
        <w:tabs>
          <w:tab w:val="num" w:pos="4896"/>
        </w:tabs>
        <w:ind w:left="4896" w:hanging="360"/>
      </w:pPr>
      <w:rPr>
        <w:rFonts w:ascii="Wingdings" w:hAnsi="Wingdings" w:hint="default"/>
        <w:sz w:val="20"/>
      </w:rPr>
    </w:lvl>
    <w:lvl w:ilvl="5">
      <w:start w:val="1"/>
      <w:numFmt w:val="bullet"/>
      <w:lvlText w:val=""/>
      <w:lvlJc w:val="left"/>
      <w:pPr>
        <w:tabs>
          <w:tab w:val="num" w:pos="5616"/>
        </w:tabs>
        <w:ind w:left="5616" w:hanging="360"/>
      </w:pPr>
      <w:rPr>
        <w:rFonts w:ascii="Wingdings" w:hAnsi="Wingdings" w:hint="default"/>
        <w:sz w:val="20"/>
      </w:rPr>
    </w:lvl>
    <w:lvl w:ilvl="6">
      <w:start w:val="1"/>
      <w:numFmt w:val="bullet"/>
      <w:lvlText w:val=""/>
      <w:lvlJc w:val="left"/>
      <w:pPr>
        <w:tabs>
          <w:tab w:val="num" w:pos="6336"/>
        </w:tabs>
        <w:ind w:left="6336" w:hanging="360"/>
      </w:pPr>
      <w:rPr>
        <w:rFonts w:ascii="Wingdings" w:hAnsi="Wingdings" w:hint="default"/>
        <w:sz w:val="20"/>
      </w:rPr>
    </w:lvl>
    <w:lvl w:ilvl="7">
      <w:start w:val="1"/>
      <w:numFmt w:val="bullet"/>
      <w:lvlText w:val=""/>
      <w:lvlJc w:val="left"/>
      <w:pPr>
        <w:tabs>
          <w:tab w:val="num" w:pos="7056"/>
        </w:tabs>
        <w:ind w:left="7056" w:hanging="360"/>
      </w:pPr>
      <w:rPr>
        <w:rFonts w:ascii="Wingdings" w:hAnsi="Wingdings" w:hint="default"/>
        <w:sz w:val="20"/>
      </w:rPr>
    </w:lvl>
    <w:lvl w:ilvl="8">
      <w:start w:val="1"/>
      <w:numFmt w:val="bullet"/>
      <w:lvlText w:val=""/>
      <w:lvlJc w:val="left"/>
      <w:pPr>
        <w:tabs>
          <w:tab w:val="num" w:pos="7776"/>
        </w:tabs>
        <w:ind w:left="7776" w:hanging="360"/>
      </w:pPr>
      <w:rPr>
        <w:rFonts w:ascii="Wingdings" w:hAnsi="Wingdings" w:hint="default"/>
        <w:sz w:val="20"/>
      </w:rPr>
    </w:lvl>
  </w:abstractNum>
  <w:abstractNum w:abstractNumId="38" w15:restartNumberingAfterBreak="0">
    <w:nsid w:val="3E115E91"/>
    <w:multiLevelType w:val="hybridMultilevel"/>
    <w:tmpl w:val="599AC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E1600E5"/>
    <w:multiLevelType w:val="hybridMultilevel"/>
    <w:tmpl w:val="3EFCBC34"/>
    <w:lvl w:ilvl="0" w:tplc="8DDE240A">
      <w:start w:val="1"/>
      <w:numFmt w:val="bullet"/>
      <w:pStyle w:val="TableBullets"/>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0" w15:restartNumberingAfterBreak="0">
    <w:nsid w:val="41603EC7"/>
    <w:multiLevelType w:val="hybridMultilevel"/>
    <w:tmpl w:val="41E45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DC02A5"/>
    <w:multiLevelType w:val="hybridMultilevel"/>
    <w:tmpl w:val="22B24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3F96DD1"/>
    <w:multiLevelType w:val="hybridMultilevel"/>
    <w:tmpl w:val="56D49E40"/>
    <w:lvl w:ilvl="0" w:tplc="0C09000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42A31B7"/>
    <w:multiLevelType w:val="multilevel"/>
    <w:tmpl w:val="BE426D12"/>
    <w:lvl w:ilvl="0">
      <w:start w:val="1"/>
      <w:numFmt w:val="decimal"/>
      <w:lvlText w:val="%1"/>
      <w:lvlJc w:val="left"/>
      <w:pPr>
        <w:tabs>
          <w:tab w:val="num" w:pos="720"/>
        </w:tabs>
        <w:ind w:left="720" w:hanging="72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bullet"/>
      <w:lvlText w:val=""/>
      <w:lvlJc w:val="left"/>
      <w:pPr>
        <w:tabs>
          <w:tab w:val="num" w:pos="360"/>
        </w:tabs>
        <w:ind w:left="360" w:hanging="360"/>
      </w:pPr>
      <w:rPr>
        <w:rFonts w:ascii="Symbol" w:hAnsi="Symbol"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44E5A461"/>
    <w:multiLevelType w:val="hybridMultilevel"/>
    <w:tmpl w:val="50C4F3FA"/>
    <w:lvl w:ilvl="0" w:tplc="0C09000F">
      <w:start w:val="1"/>
      <w:numFmt w:val="decimal"/>
      <w:lvlText w:val="%1."/>
      <w:lvlJc w:val="left"/>
      <w:rPr>
        <w:rFonts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5" w15:restartNumberingAfterBreak="0">
    <w:nsid w:val="4545210F"/>
    <w:multiLevelType w:val="hybridMultilevel"/>
    <w:tmpl w:val="E0827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5DC58F6"/>
    <w:multiLevelType w:val="hybridMultilevel"/>
    <w:tmpl w:val="4F8AE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8507204"/>
    <w:multiLevelType w:val="hybridMultilevel"/>
    <w:tmpl w:val="1EF02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8594240"/>
    <w:multiLevelType w:val="hybridMultilevel"/>
    <w:tmpl w:val="C4E060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93B18F3"/>
    <w:multiLevelType w:val="hybridMultilevel"/>
    <w:tmpl w:val="84808098"/>
    <w:lvl w:ilvl="0" w:tplc="CF2ED404">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4AC65953"/>
    <w:multiLevelType w:val="hybridMultilevel"/>
    <w:tmpl w:val="13260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B2E6BE6"/>
    <w:multiLevelType w:val="hybridMultilevel"/>
    <w:tmpl w:val="DF78B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F581AC7"/>
    <w:multiLevelType w:val="hybridMultilevel"/>
    <w:tmpl w:val="1E90028E"/>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FAB0D33"/>
    <w:multiLevelType w:val="hybridMultilevel"/>
    <w:tmpl w:val="0D802B5C"/>
    <w:lvl w:ilvl="0" w:tplc="50067248">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54" w15:restartNumberingAfterBreak="0">
    <w:nsid w:val="50A4516B"/>
    <w:multiLevelType w:val="hybridMultilevel"/>
    <w:tmpl w:val="BD1D953F"/>
    <w:lvl w:ilvl="0" w:tplc="0C09000F">
      <w:start w:val="1"/>
      <w:numFmt w:val="bullet"/>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55" w15:restartNumberingAfterBreak="0">
    <w:nsid w:val="54A5A088"/>
    <w:multiLevelType w:val="hybridMultilevel"/>
    <w:tmpl w:val="425E34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55154E91"/>
    <w:multiLevelType w:val="multilevel"/>
    <w:tmpl w:val="6116ED56"/>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0" w:hanging="850"/>
      </w:pPr>
      <w:rPr>
        <w:rFonts w:hint="default"/>
        <w:b/>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pStyle w:val="Heading6"/>
      <w:lvlText w:val=""/>
      <w:lvlJc w:val="left"/>
      <w:pPr>
        <w:ind w:left="1701" w:firstLine="0"/>
      </w:pPr>
      <w:rPr>
        <w:rFonts w:hint="default"/>
      </w:rPr>
    </w:lvl>
    <w:lvl w:ilvl="6">
      <w:start w:val="1"/>
      <w:numFmt w:val="none"/>
      <w:pStyle w:val="Heading7"/>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57" w15:restartNumberingAfterBreak="0">
    <w:nsid w:val="55AE3786"/>
    <w:multiLevelType w:val="hybridMultilevel"/>
    <w:tmpl w:val="9454EFBA"/>
    <w:lvl w:ilvl="0" w:tplc="D1625D54">
      <w:start w:val="1"/>
      <w:numFmt w:val="decimal"/>
      <w:lvlText w:val="%1."/>
      <w:lvlJc w:val="left"/>
      <w:pPr>
        <w:ind w:left="720" w:hanging="360"/>
      </w:pPr>
    </w:lvl>
    <w:lvl w:ilvl="1" w:tplc="BACCCAA2" w:tentative="1">
      <w:start w:val="1"/>
      <w:numFmt w:val="lowerLetter"/>
      <w:lvlText w:val="%2."/>
      <w:lvlJc w:val="left"/>
      <w:pPr>
        <w:ind w:left="1440" w:hanging="360"/>
      </w:pPr>
    </w:lvl>
    <w:lvl w:ilvl="2" w:tplc="4DF882D6" w:tentative="1">
      <w:start w:val="1"/>
      <w:numFmt w:val="lowerRoman"/>
      <w:lvlText w:val="%3."/>
      <w:lvlJc w:val="right"/>
      <w:pPr>
        <w:ind w:left="2160" w:hanging="180"/>
      </w:pPr>
    </w:lvl>
    <w:lvl w:ilvl="3" w:tplc="EDD25784" w:tentative="1">
      <w:start w:val="1"/>
      <w:numFmt w:val="decimal"/>
      <w:lvlText w:val="%4."/>
      <w:lvlJc w:val="left"/>
      <w:pPr>
        <w:ind w:left="2880" w:hanging="360"/>
      </w:pPr>
    </w:lvl>
    <w:lvl w:ilvl="4" w:tplc="FA0C35DC" w:tentative="1">
      <w:start w:val="1"/>
      <w:numFmt w:val="lowerLetter"/>
      <w:lvlText w:val="%5."/>
      <w:lvlJc w:val="left"/>
      <w:pPr>
        <w:ind w:left="3600" w:hanging="360"/>
      </w:pPr>
    </w:lvl>
    <w:lvl w:ilvl="5" w:tplc="A3F22904" w:tentative="1">
      <w:start w:val="1"/>
      <w:numFmt w:val="lowerRoman"/>
      <w:lvlText w:val="%6."/>
      <w:lvlJc w:val="right"/>
      <w:pPr>
        <w:ind w:left="4320" w:hanging="180"/>
      </w:pPr>
    </w:lvl>
    <w:lvl w:ilvl="6" w:tplc="02E42952" w:tentative="1">
      <w:start w:val="1"/>
      <w:numFmt w:val="decimal"/>
      <w:lvlText w:val="%7."/>
      <w:lvlJc w:val="left"/>
      <w:pPr>
        <w:ind w:left="5040" w:hanging="360"/>
      </w:pPr>
    </w:lvl>
    <w:lvl w:ilvl="7" w:tplc="8A0680F4" w:tentative="1">
      <w:start w:val="1"/>
      <w:numFmt w:val="lowerLetter"/>
      <w:lvlText w:val="%8."/>
      <w:lvlJc w:val="left"/>
      <w:pPr>
        <w:ind w:left="5760" w:hanging="360"/>
      </w:pPr>
    </w:lvl>
    <w:lvl w:ilvl="8" w:tplc="93A0CB22" w:tentative="1">
      <w:start w:val="1"/>
      <w:numFmt w:val="lowerRoman"/>
      <w:lvlText w:val="%9."/>
      <w:lvlJc w:val="right"/>
      <w:pPr>
        <w:ind w:left="6480" w:hanging="180"/>
      </w:pPr>
    </w:lvl>
  </w:abstractNum>
  <w:abstractNum w:abstractNumId="58" w15:restartNumberingAfterBreak="0">
    <w:nsid w:val="5D110E69"/>
    <w:multiLevelType w:val="hybridMultilevel"/>
    <w:tmpl w:val="2EB05B70"/>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59" w15:restartNumberingAfterBreak="0">
    <w:nsid w:val="5E9723C8"/>
    <w:multiLevelType w:val="hybridMultilevel"/>
    <w:tmpl w:val="BAFE4C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6A10CC1"/>
    <w:multiLevelType w:val="hybridMultilevel"/>
    <w:tmpl w:val="660C6C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0A2674"/>
    <w:multiLevelType w:val="hybridMultilevel"/>
    <w:tmpl w:val="BEB01EF2"/>
    <w:lvl w:ilvl="0" w:tplc="0FAA64DE">
      <w:numFmt w:val="bullet"/>
      <w:lvlText w:val="•"/>
      <w:lvlJc w:val="left"/>
      <w:pPr>
        <w:ind w:left="720" w:hanging="360"/>
      </w:pPr>
      <w:rPr>
        <w:rFonts w:ascii="Calibri" w:eastAsia="Times New Roman" w:hAnsi="Calibri" w:cs="Times New Roman" w:hint="default"/>
      </w:rPr>
    </w:lvl>
    <w:lvl w:ilvl="1" w:tplc="F154D83C" w:tentative="1">
      <w:start w:val="1"/>
      <w:numFmt w:val="bullet"/>
      <w:lvlText w:val="o"/>
      <w:lvlJc w:val="left"/>
      <w:pPr>
        <w:ind w:left="1440" w:hanging="360"/>
      </w:pPr>
      <w:rPr>
        <w:rFonts w:ascii="Courier New" w:hAnsi="Courier New" w:cs="Courier New" w:hint="default"/>
      </w:rPr>
    </w:lvl>
    <w:lvl w:ilvl="2" w:tplc="EFBA52A0" w:tentative="1">
      <w:start w:val="1"/>
      <w:numFmt w:val="bullet"/>
      <w:lvlText w:val=""/>
      <w:lvlJc w:val="left"/>
      <w:pPr>
        <w:ind w:left="2160" w:hanging="360"/>
      </w:pPr>
      <w:rPr>
        <w:rFonts w:ascii="Wingdings" w:hAnsi="Wingdings" w:hint="default"/>
      </w:rPr>
    </w:lvl>
    <w:lvl w:ilvl="3" w:tplc="518CFA0A" w:tentative="1">
      <w:start w:val="1"/>
      <w:numFmt w:val="bullet"/>
      <w:lvlText w:val=""/>
      <w:lvlJc w:val="left"/>
      <w:pPr>
        <w:ind w:left="2880" w:hanging="360"/>
      </w:pPr>
      <w:rPr>
        <w:rFonts w:ascii="Symbol" w:hAnsi="Symbol" w:hint="default"/>
      </w:rPr>
    </w:lvl>
    <w:lvl w:ilvl="4" w:tplc="DB7CE228" w:tentative="1">
      <w:start w:val="1"/>
      <w:numFmt w:val="bullet"/>
      <w:lvlText w:val="o"/>
      <w:lvlJc w:val="left"/>
      <w:pPr>
        <w:ind w:left="3600" w:hanging="360"/>
      </w:pPr>
      <w:rPr>
        <w:rFonts w:ascii="Courier New" w:hAnsi="Courier New" w:cs="Courier New" w:hint="default"/>
      </w:rPr>
    </w:lvl>
    <w:lvl w:ilvl="5" w:tplc="CBF62DDC" w:tentative="1">
      <w:start w:val="1"/>
      <w:numFmt w:val="bullet"/>
      <w:lvlText w:val=""/>
      <w:lvlJc w:val="left"/>
      <w:pPr>
        <w:ind w:left="4320" w:hanging="360"/>
      </w:pPr>
      <w:rPr>
        <w:rFonts w:ascii="Wingdings" w:hAnsi="Wingdings" w:hint="default"/>
      </w:rPr>
    </w:lvl>
    <w:lvl w:ilvl="6" w:tplc="CB52BC2E" w:tentative="1">
      <w:start w:val="1"/>
      <w:numFmt w:val="bullet"/>
      <w:lvlText w:val=""/>
      <w:lvlJc w:val="left"/>
      <w:pPr>
        <w:ind w:left="5040" w:hanging="360"/>
      </w:pPr>
      <w:rPr>
        <w:rFonts w:ascii="Symbol" w:hAnsi="Symbol" w:hint="default"/>
      </w:rPr>
    </w:lvl>
    <w:lvl w:ilvl="7" w:tplc="B4EE968A" w:tentative="1">
      <w:start w:val="1"/>
      <w:numFmt w:val="bullet"/>
      <w:lvlText w:val="o"/>
      <w:lvlJc w:val="left"/>
      <w:pPr>
        <w:ind w:left="5760" w:hanging="360"/>
      </w:pPr>
      <w:rPr>
        <w:rFonts w:ascii="Courier New" w:hAnsi="Courier New" w:cs="Courier New" w:hint="default"/>
      </w:rPr>
    </w:lvl>
    <w:lvl w:ilvl="8" w:tplc="BBB8298E" w:tentative="1">
      <w:start w:val="1"/>
      <w:numFmt w:val="bullet"/>
      <w:lvlText w:val=""/>
      <w:lvlJc w:val="left"/>
      <w:pPr>
        <w:ind w:left="6480" w:hanging="360"/>
      </w:pPr>
      <w:rPr>
        <w:rFonts w:ascii="Wingdings" w:hAnsi="Wingdings" w:hint="default"/>
      </w:rPr>
    </w:lvl>
  </w:abstractNum>
  <w:abstractNum w:abstractNumId="62" w15:restartNumberingAfterBreak="0">
    <w:nsid w:val="6C4136B5"/>
    <w:multiLevelType w:val="hybridMultilevel"/>
    <w:tmpl w:val="1EA04524"/>
    <w:lvl w:ilvl="0" w:tplc="0C090001">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63" w15:restartNumberingAfterBreak="0">
    <w:nsid w:val="6F0152F9"/>
    <w:multiLevelType w:val="hybridMultilevel"/>
    <w:tmpl w:val="CE0C1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F281DA0"/>
    <w:multiLevelType w:val="hybridMultilevel"/>
    <w:tmpl w:val="897E1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4483F58"/>
    <w:multiLevelType w:val="hybridMultilevel"/>
    <w:tmpl w:val="C1FED67C"/>
    <w:lvl w:ilvl="0" w:tplc="29A022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5951801"/>
    <w:multiLevelType w:val="singleLevel"/>
    <w:tmpl w:val="35F45D7C"/>
    <w:lvl w:ilvl="0">
      <w:start w:val="1"/>
      <w:numFmt w:val="bullet"/>
      <w:pStyle w:val="Bullet"/>
      <w:lvlText w:val=""/>
      <w:lvlJc w:val="left"/>
      <w:pPr>
        <w:tabs>
          <w:tab w:val="num" w:pos="567"/>
        </w:tabs>
        <w:ind w:left="567" w:hanging="567"/>
      </w:pPr>
      <w:rPr>
        <w:rFonts w:ascii="Symbol" w:hAnsi="Symbol" w:hint="default"/>
        <w:sz w:val="16"/>
      </w:rPr>
    </w:lvl>
  </w:abstractNum>
  <w:abstractNum w:abstractNumId="67"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68" w15:restartNumberingAfterBreak="0">
    <w:nsid w:val="76590150"/>
    <w:multiLevelType w:val="hybridMultilevel"/>
    <w:tmpl w:val="CAD4DBD8"/>
    <w:lvl w:ilvl="0" w:tplc="8976E94E">
      <w:start w:val="1"/>
      <w:numFmt w:val="bullet"/>
      <w:pStyle w:val="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6BB3ECE"/>
    <w:multiLevelType w:val="hybridMultilevel"/>
    <w:tmpl w:val="766C7B10"/>
    <w:lvl w:ilvl="0" w:tplc="66A4F7BC">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7AB1C8B"/>
    <w:multiLevelType w:val="hybridMultilevel"/>
    <w:tmpl w:val="83189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9225485"/>
    <w:multiLevelType w:val="hybridMultilevel"/>
    <w:tmpl w:val="89504A7A"/>
    <w:lvl w:ilvl="0" w:tplc="0C090001">
      <w:start w:val="1"/>
      <w:numFmt w:val="bullet"/>
      <w:lvlText w:val=""/>
      <w:lvlJc w:val="left"/>
      <w:pPr>
        <w:ind w:left="720" w:hanging="360"/>
      </w:pPr>
      <w:rPr>
        <w:rFonts w:ascii="Symbol" w:hAnsi="Symbol" w:hint="default"/>
      </w:rPr>
    </w:lvl>
    <w:lvl w:ilvl="1" w:tplc="0C090003">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DAF6885"/>
    <w:multiLevelType w:val="hybridMultilevel"/>
    <w:tmpl w:val="0FEC2D6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E9B56FD"/>
    <w:multiLevelType w:val="hybridMultilevel"/>
    <w:tmpl w:val="D54EB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2"/>
  </w:num>
  <w:num w:numId="2">
    <w:abstractNumId w:val="34"/>
  </w:num>
  <w:num w:numId="3">
    <w:abstractNumId w:val="33"/>
  </w:num>
  <w:num w:numId="4">
    <w:abstractNumId w:val="56"/>
  </w:num>
  <w:num w:numId="5">
    <w:abstractNumId w:val="15"/>
  </w:num>
  <w:num w:numId="6">
    <w:abstractNumId w:val="49"/>
  </w:num>
  <w:num w:numId="7">
    <w:abstractNumId w:val="39"/>
  </w:num>
  <w:num w:numId="8">
    <w:abstractNumId w:val="3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63"/>
  </w:num>
  <w:num w:numId="11">
    <w:abstractNumId w:val="64"/>
  </w:num>
  <w:num w:numId="12">
    <w:abstractNumId w:val="73"/>
  </w:num>
  <w:num w:numId="13">
    <w:abstractNumId w:val="46"/>
  </w:num>
  <w:num w:numId="14">
    <w:abstractNumId w:val="30"/>
  </w:num>
  <w:num w:numId="15">
    <w:abstractNumId w:val="35"/>
  </w:num>
  <w:num w:numId="16">
    <w:abstractNumId w:val="37"/>
  </w:num>
  <w:num w:numId="17">
    <w:abstractNumId w:val="71"/>
  </w:num>
  <w:num w:numId="18">
    <w:abstractNumId w:val="59"/>
  </w:num>
  <w:num w:numId="19">
    <w:abstractNumId w:val="5"/>
  </w:num>
  <w:num w:numId="20">
    <w:abstractNumId w:val="31"/>
  </w:num>
  <w:num w:numId="21">
    <w:abstractNumId w:val="32"/>
  </w:num>
  <w:num w:numId="22">
    <w:abstractNumId w:val="53"/>
  </w:num>
  <w:num w:numId="23">
    <w:abstractNumId w:val="8"/>
  </w:num>
  <w:num w:numId="24">
    <w:abstractNumId w:val="42"/>
  </w:num>
  <w:num w:numId="25">
    <w:abstractNumId w:val="58"/>
  </w:num>
  <w:num w:numId="26">
    <w:abstractNumId w:val="10"/>
  </w:num>
  <w:num w:numId="27">
    <w:abstractNumId w:val="23"/>
  </w:num>
  <w:num w:numId="28">
    <w:abstractNumId w:val="36"/>
  </w:num>
  <w:num w:numId="29">
    <w:abstractNumId w:val="22"/>
  </w:num>
  <w:num w:numId="30">
    <w:abstractNumId w:val="54"/>
  </w:num>
  <w:num w:numId="31">
    <w:abstractNumId w:val="55"/>
  </w:num>
  <w:num w:numId="32">
    <w:abstractNumId w:val="2"/>
  </w:num>
  <w:num w:numId="33">
    <w:abstractNumId w:val="44"/>
  </w:num>
  <w:num w:numId="34">
    <w:abstractNumId w:val="1"/>
  </w:num>
  <w:num w:numId="35">
    <w:abstractNumId w:val="0"/>
  </w:num>
  <w:num w:numId="36">
    <w:abstractNumId w:val="57"/>
  </w:num>
  <w:num w:numId="37">
    <w:abstractNumId w:val="11"/>
  </w:num>
  <w:num w:numId="38">
    <w:abstractNumId w:val="24"/>
  </w:num>
  <w:num w:numId="39">
    <w:abstractNumId w:val="65"/>
  </w:num>
  <w:num w:numId="40">
    <w:abstractNumId w:val="62"/>
  </w:num>
  <w:num w:numId="41">
    <w:abstractNumId w:val="61"/>
  </w:num>
  <w:num w:numId="42">
    <w:abstractNumId w:val="17"/>
  </w:num>
  <w:num w:numId="43">
    <w:abstractNumId w:val="4"/>
  </w:num>
  <w:num w:numId="44">
    <w:abstractNumId w:val="14"/>
  </w:num>
  <w:num w:numId="45">
    <w:abstractNumId w:val="18"/>
  </w:num>
  <w:num w:numId="46">
    <w:abstractNumId w:val="20"/>
  </w:num>
  <w:num w:numId="47">
    <w:abstractNumId w:val="67"/>
  </w:num>
  <w:num w:numId="48">
    <w:abstractNumId w:val="40"/>
  </w:num>
  <w:num w:numId="49">
    <w:abstractNumId w:val="29"/>
  </w:num>
  <w:num w:numId="50">
    <w:abstractNumId w:val="12"/>
  </w:num>
  <w:num w:numId="51">
    <w:abstractNumId w:val="3"/>
  </w:num>
  <w:num w:numId="52">
    <w:abstractNumId w:val="45"/>
  </w:num>
  <w:num w:numId="53">
    <w:abstractNumId w:val="47"/>
  </w:num>
  <w:num w:numId="54">
    <w:abstractNumId w:val="69"/>
  </w:num>
  <w:num w:numId="55">
    <w:abstractNumId w:val="51"/>
  </w:num>
  <w:num w:numId="56">
    <w:abstractNumId w:val="27"/>
  </w:num>
  <w:num w:numId="57">
    <w:abstractNumId w:val="72"/>
  </w:num>
  <w:num w:numId="5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
  </w:num>
  <w:num w:numId="60">
    <w:abstractNumId w:val="50"/>
  </w:num>
  <w:num w:numId="61">
    <w:abstractNumId w:val="19"/>
  </w:num>
  <w:num w:numId="62">
    <w:abstractNumId w:val="41"/>
  </w:num>
  <w:num w:numId="63">
    <w:abstractNumId w:val="26"/>
  </w:num>
  <w:num w:numId="64">
    <w:abstractNumId w:val="38"/>
  </w:num>
  <w:num w:numId="65">
    <w:abstractNumId w:val="68"/>
  </w:num>
  <w:num w:numId="66">
    <w:abstractNumId w:val="48"/>
  </w:num>
  <w:num w:numId="67">
    <w:abstractNumId w:val="21"/>
  </w:num>
  <w:num w:numId="68">
    <w:abstractNumId w:val="70"/>
  </w:num>
  <w:num w:numId="69">
    <w:abstractNumId w:val="9"/>
  </w:num>
  <w:num w:numId="70">
    <w:abstractNumId w:val="6"/>
  </w:num>
  <w:num w:numId="71">
    <w:abstractNumId w:val="7"/>
  </w:num>
  <w:num w:numId="72">
    <w:abstractNumId w:val="25"/>
  </w:num>
  <w:num w:numId="73">
    <w:abstractNumId w:val="66"/>
  </w:num>
  <w:num w:numId="74">
    <w:abstractNumId w:val="43"/>
  </w:num>
  <w:num w:numId="75">
    <w:abstractNumId w:val="60"/>
  </w:num>
  <w:num w:numId="76">
    <w:abstractNumId w:val="1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222"/>
    <w:rsid w:val="00002560"/>
    <w:rsid w:val="00002A15"/>
    <w:rsid w:val="00002E31"/>
    <w:rsid w:val="000031B4"/>
    <w:rsid w:val="0000453A"/>
    <w:rsid w:val="00004726"/>
    <w:rsid w:val="00004AF6"/>
    <w:rsid w:val="00004B54"/>
    <w:rsid w:val="00004B57"/>
    <w:rsid w:val="000050CE"/>
    <w:rsid w:val="00005114"/>
    <w:rsid w:val="00005875"/>
    <w:rsid w:val="00005EC5"/>
    <w:rsid w:val="00007092"/>
    <w:rsid w:val="00007327"/>
    <w:rsid w:val="00007E51"/>
    <w:rsid w:val="00010916"/>
    <w:rsid w:val="00010E34"/>
    <w:rsid w:val="000114A1"/>
    <w:rsid w:val="000118C3"/>
    <w:rsid w:val="00011BE4"/>
    <w:rsid w:val="00012423"/>
    <w:rsid w:val="00012A20"/>
    <w:rsid w:val="00012BA2"/>
    <w:rsid w:val="00012BD3"/>
    <w:rsid w:val="00013837"/>
    <w:rsid w:val="000138A8"/>
    <w:rsid w:val="00013CA7"/>
    <w:rsid w:val="0001427C"/>
    <w:rsid w:val="00014670"/>
    <w:rsid w:val="0001478A"/>
    <w:rsid w:val="000149AE"/>
    <w:rsid w:val="00014D8B"/>
    <w:rsid w:val="00014FEE"/>
    <w:rsid w:val="000150F2"/>
    <w:rsid w:val="00015390"/>
    <w:rsid w:val="0001547C"/>
    <w:rsid w:val="00015735"/>
    <w:rsid w:val="00016B52"/>
    <w:rsid w:val="000170FD"/>
    <w:rsid w:val="0001785D"/>
    <w:rsid w:val="00017CCA"/>
    <w:rsid w:val="00017EB1"/>
    <w:rsid w:val="00020A50"/>
    <w:rsid w:val="0002110C"/>
    <w:rsid w:val="000217B0"/>
    <w:rsid w:val="00021AEE"/>
    <w:rsid w:val="00021FC6"/>
    <w:rsid w:val="00022052"/>
    <w:rsid w:val="00022DEE"/>
    <w:rsid w:val="00022F0C"/>
    <w:rsid w:val="00023F29"/>
    <w:rsid w:val="0002439B"/>
    <w:rsid w:val="000249F4"/>
    <w:rsid w:val="00024E03"/>
    <w:rsid w:val="00026337"/>
    <w:rsid w:val="0002644C"/>
    <w:rsid w:val="00026FC5"/>
    <w:rsid w:val="00027C46"/>
    <w:rsid w:val="00031023"/>
    <w:rsid w:val="0003133E"/>
    <w:rsid w:val="00031686"/>
    <w:rsid w:val="00031A12"/>
    <w:rsid w:val="00032408"/>
    <w:rsid w:val="00032EE6"/>
    <w:rsid w:val="0003377A"/>
    <w:rsid w:val="000338EA"/>
    <w:rsid w:val="000349C4"/>
    <w:rsid w:val="00035689"/>
    <w:rsid w:val="00035CB2"/>
    <w:rsid w:val="000367FD"/>
    <w:rsid w:val="000368FD"/>
    <w:rsid w:val="00036A2F"/>
    <w:rsid w:val="00040C9B"/>
    <w:rsid w:val="00040D98"/>
    <w:rsid w:val="00041037"/>
    <w:rsid w:val="00041F2B"/>
    <w:rsid w:val="00042F50"/>
    <w:rsid w:val="00043257"/>
    <w:rsid w:val="00043413"/>
    <w:rsid w:val="00043421"/>
    <w:rsid w:val="000434AB"/>
    <w:rsid w:val="00043B81"/>
    <w:rsid w:val="000442D4"/>
    <w:rsid w:val="00044CB0"/>
    <w:rsid w:val="00044F86"/>
    <w:rsid w:val="00046340"/>
    <w:rsid w:val="0004662D"/>
    <w:rsid w:val="000473E5"/>
    <w:rsid w:val="0005042D"/>
    <w:rsid w:val="00050748"/>
    <w:rsid w:val="0005075F"/>
    <w:rsid w:val="00051157"/>
    <w:rsid w:val="00052638"/>
    <w:rsid w:val="000526ED"/>
    <w:rsid w:val="00053163"/>
    <w:rsid w:val="00053AE7"/>
    <w:rsid w:val="00053DA9"/>
    <w:rsid w:val="00053F15"/>
    <w:rsid w:val="00054392"/>
    <w:rsid w:val="00054962"/>
    <w:rsid w:val="00054CE4"/>
    <w:rsid w:val="0005522E"/>
    <w:rsid w:val="00055ABD"/>
    <w:rsid w:val="00055CAB"/>
    <w:rsid w:val="000564BF"/>
    <w:rsid w:val="000571EA"/>
    <w:rsid w:val="00057E34"/>
    <w:rsid w:val="0006187B"/>
    <w:rsid w:val="00061AB5"/>
    <w:rsid w:val="0006323A"/>
    <w:rsid w:val="00063AE2"/>
    <w:rsid w:val="00064A38"/>
    <w:rsid w:val="00064D60"/>
    <w:rsid w:val="00064EC9"/>
    <w:rsid w:val="000650E0"/>
    <w:rsid w:val="0006645B"/>
    <w:rsid w:val="00066CDC"/>
    <w:rsid w:val="0006753F"/>
    <w:rsid w:val="00067C5C"/>
    <w:rsid w:val="00067E39"/>
    <w:rsid w:val="00067E45"/>
    <w:rsid w:val="000710A8"/>
    <w:rsid w:val="000710CE"/>
    <w:rsid w:val="00071122"/>
    <w:rsid w:val="00071E19"/>
    <w:rsid w:val="00071ED8"/>
    <w:rsid w:val="00071F7F"/>
    <w:rsid w:val="00072593"/>
    <w:rsid w:val="00072B47"/>
    <w:rsid w:val="000739A7"/>
    <w:rsid w:val="00073C1B"/>
    <w:rsid w:val="00074B78"/>
    <w:rsid w:val="000752A7"/>
    <w:rsid w:val="00075A6B"/>
    <w:rsid w:val="00075E2F"/>
    <w:rsid w:val="00077133"/>
    <w:rsid w:val="00077329"/>
    <w:rsid w:val="00077EB9"/>
    <w:rsid w:val="000813A1"/>
    <w:rsid w:val="00081C72"/>
    <w:rsid w:val="0008315C"/>
    <w:rsid w:val="000831A2"/>
    <w:rsid w:val="000836AE"/>
    <w:rsid w:val="00083AAC"/>
    <w:rsid w:val="00084730"/>
    <w:rsid w:val="00084A00"/>
    <w:rsid w:val="00084B46"/>
    <w:rsid w:val="00084BBA"/>
    <w:rsid w:val="00086283"/>
    <w:rsid w:val="00087E25"/>
    <w:rsid w:val="00090045"/>
    <w:rsid w:val="000900C2"/>
    <w:rsid w:val="0009013A"/>
    <w:rsid w:val="00090212"/>
    <w:rsid w:val="00090A36"/>
    <w:rsid w:val="00090E6C"/>
    <w:rsid w:val="000923CF"/>
    <w:rsid w:val="000935D6"/>
    <w:rsid w:val="00093C2F"/>
    <w:rsid w:val="0009462F"/>
    <w:rsid w:val="00094EAB"/>
    <w:rsid w:val="0009531A"/>
    <w:rsid w:val="000958EE"/>
    <w:rsid w:val="00095C67"/>
    <w:rsid w:val="00096955"/>
    <w:rsid w:val="00096C60"/>
    <w:rsid w:val="00096CF7"/>
    <w:rsid w:val="00097E65"/>
    <w:rsid w:val="000A028D"/>
    <w:rsid w:val="000A0299"/>
    <w:rsid w:val="000A07AC"/>
    <w:rsid w:val="000A0F1A"/>
    <w:rsid w:val="000A1639"/>
    <w:rsid w:val="000A28A3"/>
    <w:rsid w:val="000A314E"/>
    <w:rsid w:val="000A32E0"/>
    <w:rsid w:val="000A3FBB"/>
    <w:rsid w:val="000A5351"/>
    <w:rsid w:val="000A5531"/>
    <w:rsid w:val="000A5C8D"/>
    <w:rsid w:val="000A6DAE"/>
    <w:rsid w:val="000A706D"/>
    <w:rsid w:val="000A7752"/>
    <w:rsid w:val="000A7F44"/>
    <w:rsid w:val="000B019F"/>
    <w:rsid w:val="000B105B"/>
    <w:rsid w:val="000B23EE"/>
    <w:rsid w:val="000B24AC"/>
    <w:rsid w:val="000B313C"/>
    <w:rsid w:val="000B33E4"/>
    <w:rsid w:val="000B3EA0"/>
    <w:rsid w:val="000B4316"/>
    <w:rsid w:val="000B449A"/>
    <w:rsid w:val="000B477A"/>
    <w:rsid w:val="000B4BEE"/>
    <w:rsid w:val="000B4DEC"/>
    <w:rsid w:val="000B65BE"/>
    <w:rsid w:val="000B6913"/>
    <w:rsid w:val="000B7358"/>
    <w:rsid w:val="000C029D"/>
    <w:rsid w:val="000C0AED"/>
    <w:rsid w:val="000C1533"/>
    <w:rsid w:val="000C1AFA"/>
    <w:rsid w:val="000C1B45"/>
    <w:rsid w:val="000C4D72"/>
    <w:rsid w:val="000C5CA0"/>
    <w:rsid w:val="000C5CAD"/>
    <w:rsid w:val="000C72FA"/>
    <w:rsid w:val="000C76E0"/>
    <w:rsid w:val="000C7A03"/>
    <w:rsid w:val="000C7AB8"/>
    <w:rsid w:val="000C7EBA"/>
    <w:rsid w:val="000D0D9C"/>
    <w:rsid w:val="000D1CF7"/>
    <w:rsid w:val="000D278B"/>
    <w:rsid w:val="000D3251"/>
    <w:rsid w:val="000D349B"/>
    <w:rsid w:val="000D4941"/>
    <w:rsid w:val="000D4C02"/>
    <w:rsid w:val="000D4CBB"/>
    <w:rsid w:val="000D5A79"/>
    <w:rsid w:val="000D6141"/>
    <w:rsid w:val="000D6681"/>
    <w:rsid w:val="000D6A78"/>
    <w:rsid w:val="000D6CB9"/>
    <w:rsid w:val="000D7326"/>
    <w:rsid w:val="000D7735"/>
    <w:rsid w:val="000D7908"/>
    <w:rsid w:val="000E0FD2"/>
    <w:rsid w:val="000E1222"/>
    <w:rsid w:val="000E1375"/>
    <w:rsid w:val="000E14C1"/>
    <w:rsid w:val="000E1A85"/>
    <w:rsid w:val="000E200F"/>
    <w:rsid w:val="000E201D"/>
    <w:rsid w:val="000E2444"/>
    <w:rsid w:val="000E285D"/>
    <w:rsid w:val="000E2930"/>
    <w:rsid w:val="000E448F"/>
    <w:rsid w:val="000E4A8C"/>
    <w:rsid w:val="000E4EF5"/>
    <w:rsid w:val="000E5991"/>
    <w:rsid w:val="000E59D8"/>
    <w:rsid w:val="000E5A7B"/>
    <w:rsid w:val="000E7701"/>
    <w:rsid w:val="000F02D8"/>
    <w:rsid w:val="000F04BE"/>
    <w:rsid w:val="000F092C"/>
    <w:rsid w:val="000F0F9E"/>
    <w:rsid w:val="000F1496"/>
    <w:rsid w:val="000F16EF"/>
    <w:rsid w:val="000F1B32"/>
    <w:rsid w:val="000F1C78"/>
    <w:rsid w:val="000F1E3F"/>
    <w:rsid w:val="000F21AB"/>
    <w:rsid w:val="000F230D"/>
    <w:rsid w:val="000F3437"/>
    <w:rsid w:val="000F3469"/>
    <w:rsid w:val="000F39F5"/>
    <w:rsid w:val="000F3D9E"/>
    <w:rsid w:val="000F418F"/>
    <w:rsid w:val="000F4313"/>
    <w:rsid w:val="000F48FB"/>
    <w:rsid w:val="000F4B2C"/>
    <w:rsid w:val="000F4B2F"/>
    <w:rsid w:val="000F5301"/>
    <w:rsid w:val="000F53E7"/>
    <w:rsid w:val="000F5BE4"/>
    <w:rsid w:val="000F6576"/>
    <w:rsid w:val="000F68A7"/>
    <w:rsid w:val="000F6FFE"/>
    <w:rsid w:val="000F7144"/>
    <w:rsid w:val="000F73F9"/>
    <w:rsid w:val="001000C9"/>
    <w:rsid w:val="0010073E"/>
    <w:rsid w:val="0010077F"/>
    <w:rsid w:val="001008B3"/>
    <w:rsid w:val="00100C79"/>
    <w:rsid w:val="00101600"/>
    <w:rsid w:val="001018AB"/>
    <w:rsid w:val="00102309"/>
    <w:rsid w:val="001027F2"/>
    <w:rsid w:val="00103734"/>
    <w:rsid w:val="00104A97"/>
    <w:rsid w:val="001056DF"/>
    <w:rsid w:val="00105F19"/>
    <w:rsid w:val="00106144"/>
    <w:rsid w:val="00106687"/>
    <w:rsid w:val="00106874"/>
    <w:rsid w:val="0010741C"/>
    <w:rsid w:val="00107646"/>
    <w:rsid w:val="00107BDC"/>
    <w:rsid w:val="00107F77"/>
    <w:rsid w:val="00112561"/>
    <w:rsid w:val="0011343F"/>
    <w:rsid w:val="00113E03"/>
    <w:rsid w:val="00113E55"/>
    <w:rsid w:val="001142AB"/>
    <w:rsid w:val="00114B7A"/>
    <w:rsid w:val="00114C6A"/>
    <w:rsid w:val="0011534A"/>
    <w:rsid w:val="001155B3"/>
    <w:rsid w:val="001159D7"/>
    <w:rsid w:val="00116372"/>
    <w:rsid w:val="001165B3"/>
    <w:rsid w:val="00116822"/>
    <w:rsid w:val="00116D97"/>
    <w:rsid w:val="00117C7C"/>
    <w:rsid w:val="00117E62"/>
    <w:rsid w:val="00120504"/>
    <w:rsid w:val="001211C8"/>
    <w:rsid w:val="00121D46"/>
    <w:rsid w:val="00122279"/>
    <w:rsid w:val="001223F6"/>
    <w:rsid w:val="00122B44"/>
    <w:rsid w:val="001231A7"/>
    <w:rsid w:val="0012341D"/>
    <w:rsid w:val="00123550"/>
    <w:rsid w:val="0012367F"/>
    <w:rsid w:val="00123A48"/>
    <w:rsid w:val="00123A50"/>
    <w:rsid w:val="00123B5E"/>
    <w:rsid w:val="00124012"/>
    <w:rsid w:val="001243EC"/>
    <w:rsid w:val="001248AB"/>
    <w:rsid w:val="00124F8D"/>
    <w:rsid w:val="00125108"/>
    <w:rsid w:val="0012555A"/>
    <w:rsid w:val="0012679D"/>
    <w:rsid w:val="00127625"/>
    <w:rsid w:val="0012792D"/>
    <w:rsid w:val="00127CDB"/>
    <w:rsid w:val="0013052D"/>
    <w:rsid w:val="001308D5"/>
    <w:rsid w:val="00131057"/>
    <w:rsid w:val="00133042"/>
    <w:rsid w:val="00133E7B"/>
    <w:rsid w:val="001344B9"/>
    <w:rsid w:val="00134C30"/>
    <w:rsid w:val="00134CC9"/>
    <w:rsid w:val="00135235"/>
    <w:rsid w:val="00135FE8"/>
    <w:rsid w:val="0013675B"/>
    <w:rsid w:val="00136F06"/>
    <w:rsid w:val="001373FD"/>
    <w:rsid w:val="00137909"/>
    <w:rsid w:val="00140F40"/>
    <w:rsid w:val="00140F42"/>
    <w:rsid w:val="00141241"/>
    <w:rsid w:val="001414EA"/>
    <w:rsid w:val="00141ACD"/>
    <w:rsid w:val="001421FF"/>
    <w:rsid w:val="001436C8"/>
    <w:rsid w:val="00143C7C"/>
    <w:rsid w:val="00143CCB"/>
    <w:rsid w:val="0014405E"/>
    <w:rsid w:val="00145029"/>
    <w:rsid w:val="00145774"/>
    <w:rsid w:val="0014597B"/>
    <w:rsid w:val="001459C3"/>
    <w:rsid w:val="0014637F"/>
    <w:rsid w:val="001469D0"/>
    <w:rsid w:val="00146AE8"/>
    <w:rsid w:val="00146CB2"/>
    <w:rsid w:val="00147F9C"/>
    <w:rsid w:val="00150A1D"/>
    <w:rsid w:val="00150A79"/>
    <w:rsid w:val="001511F7"/>
    <w:rsid w:val="00151289"/>
    <w:rsid w:val="00151771"/>
    <w:rsid w:val="001521B8"/>
    <w:rsid w:val="001528D8"/>
    <w:rsid w:val="00152943"/>
    <w:rsid w:val="001537A7"/>
    <w:rsid w:val="00153CEC"/>
    <w:rsid w:val="00153FCF"/>
    <w:rsid w:val="00156110"/>
    <w:rsid w:val="00157426"/>
    <w:rsid w:val="001577E6"/>
    <w:rsid w:val="001609B4"/>
    <w:rsid w:val="00160D37"/>
    <w:rsid w:val="001610FD"/>
    <w:rsid w:val="00161EE7"/>
    <w:rsid w:val="00161F19"/>
    <w:rsid w:val="001621A7"/>
    <w:rsid w:val="00162D90"/>
    <w:rsid w:val="00163759"/>
    <w:rsid w:val="00163C40"/>
    <w:rsid w:val="001641C6"/>
    <w:rsid w:val="001641DC"/>
    <w:rsid w:val="00164335"/>
    <w:rsid w:val="00164A94"/>
    <w:rsid w:val="00165480"/>
    <w:rsid w:val="00165D7C"/>
    <w:rsid w:val="00166DC6"/>
    <w:rsid w:val="00167831"/>
    <w:rsid w:val="00167F7D"/>
    <w:rsid w:val="001705E1"/>
    <w:rsid w:val="00170B6E"/>
    <w:rsid w:val="0017116A"/>
    <w:rsid w:val="001711B6"/>
    <w:rsid w:val="001716B8"/>
    <w:rsid w:val="00171F7A"/>
    <w:rsid w:val="001725AC"/>
    <w:rsid w:val="001728FF"/>
    <w:rsid w:val="001739FE"/>
    <w:rsid w:val="00173B85"/>
    <w:rsid w:val="001744FD"/>
    <w:rsid w:val="00174C97"/>
    <w:rsid w:val="00175161"/>
    <w:rsid w:val="001754A5"/>
    <w:rsid w:val="00176601"/>
    <w:rsid w:val="0017704A"/>
    <w:rsid w:val="00177F89"/>
    <w:rsid w:val="001811C4"/>
    <w:rsid w:val="00181B4E"/>
    <w:rsid w:val="00181E85"/>
    <w:rsid w:val="0018258F"/>
    <w:rsid w:val="0018292E"/>
    <w:rsid w:val="001829C5"/>
    <w:rsid w:val="00182CAE"/>
    <w:rsid w:val="001831E6"/>
    <w:rsid w:val="00183965"/>
    <w:rsid w:val="00183A13"/>
    <w:rsid w:val="00183AE8"/>
    <w:rsid w:val="00184FE8"/>
    <w:rsid w:val="00185242"/>
    <w:rsid w:val="00185A4C"/>
    <w:rsid w:val="00185F85"/>
    <w:rsid w:val="00186753"/>
    <w:rsid w:val="0018694F"/>
    <w:rsid w:val="0018753A"/>
    <w:rsid w:val="00187CDF"/>
    <w:rsid w:val="001901BE"/>
    <w:rsid w:val="001913C3"/>
    <w:rsid w:val="001918C0"/>
    <w:rsid w:val="00191CBD"/>
    <w:rsid w:val="00192445"/>
    <w:rsid w:val="001938B8"/>
    <w:rsid w:val="00193D76"/>
    <w:rsid w:val="0019414C"/>
    <w:rsid w:val="001946BF"/>
    <w:rsid w:val="00194F43"/>
    <w:rsid w:val="001953E4"/>
    <w:rsid w:val="001956F0"/>
    <w:rsid w:val="001963B1"/>
    <w:rsid w:val="00196B01"/>
    <w:rsid w:val="001977B7"/>
    <w:rsid w:val="0019799F"/>
    <w:rsid w:val="001A0A09"/>
    <w:rsid w:val="001A0AA6"/>
    <w:rsid w:val="001A0CBC"/>
    <w:rsid w:val="001A1C2C"/>
    <w:rsid w:val="001A1C85"/>
    <w:rsid w:val="001A2378"/>
    <w:rsid w:val="001A3089"/>
    <w:rsid w:val="001A5FD0"/>
    <w:rsid w:val="001A6EAA"/>
    <w:rsid w:val="001A6F60"/>
    <w:rsid w:val="001A7E3A"/>
    <w:rsid w:val="001A7EB1"/>
    <w:rsid w:val="001B1333"/>
    <w:rsid w:val="001B143A"/>
    <w:rsid w:val="001B216D"/>
    <w:rsid w:val="001B3042"/>
    <w:rsid w:val="001B310D"/>
    <w:rsid w:val="001B383E"/>
    <w:rsid w:val="001B396B"/>
    <w:rsid w:val="001B39C3"/>
    <w:rsid w:val="001B43E7"/>
    <w:rsid w:val="001B4401"/>
    <w:rsid w:val="001B4552"/>
    <w:rsid w:val="001B5727"/>
    <w:rsid w:val="001B5FB5"/>
    <w:rsid w:val="001B6744"/>
    <w:rsid w:val="001B6AF9"/>
    <w:rsid w:val="001B6C66"/>
    <w:rsid w:val="001B7243"/>
    <w:rsid w:val="001B77A3"/>
    <w:rsid w:val="001B7B04"/>
    <w:rsid w:val="001C046B"/>
    <w:rsid w:val="001C09E8"/>
    <w:rsid w:val="001C1A3F"/>
    <w:rsid w:val="001C1C40"/>
    <w:rsid w:val="001C22A2"/>
    <w:rsid w:val="001C3595"/>
    <w:rsid w:val="001C37E0"/>
    <w:rsid w:val="001C3D0C"/>
    <w:rsid w:val="001C441A"/>
    <w:rsid w:val="001C4736"/>
    <w:rsid w:val="001C4F23"/>
    <w:rsid w:val="001C544A"/>
    <w:rsid w:val="001C5EF6"/>
    <w:rsid w:val="001C699B"/>
    <w:rsid w:val="001C7157"/>
    <w:rsid w:val="001C7894"/>
    <w:rsid w:val="001C7F30"/>
    <w:rsid w:val="001D0202"/>
    <w:rsid w:val="001D04CE"/>
    <w:rsid w:val="001D0A27"/>
    <w:rsid w:val="001D11F6"/>
    <w:rsid w:val="001D2283"/>
    <w:rsid w:val="001D2657"/>
    <w:rsid w:val="001D3046"/>
    <w:rsid w:val="001D38B0"/>
    <w:rsid w:val="001D41A7"/>
    <w:rsid w:val="001D45FB"/>
    <w:rsid w:val="001D4B63"/>
    <w:rsid w:val="001D4CD7"/>
    <w:rsid w:val="001D561B"/>
    <w:rsid w:val="001D562E"/>
    <w:rsid w:val="001D5811"/>
    <w:rsid w:val="001D5B23"/>
    <w:rsid w:val="001D631A"/>
    <w:rsid w:val="001D6382"/>
    <w:rsid w:val="001D64EC"/>
    <w:rsid w:val="001D6F7F"/>
    <w:rsid w:val="001D77E9"/>
    <w:rsid w:val="001D7A1A"/>
    <w:rsid w:val="001D7F0E"/>
    <w:rsid w:val="001E03EE"/>
    <w:rsid w:val="001E0FE4"/>
    <w:rsid w:val="001E126E"/>
    <w:rsid w:val="001E3176"/>
    <w:rsid w:val="001E33BC"/>
    <w:rsid w:val="001E3458"/>
    <w:rsid w:val="001E3E69"/>
    <w:rsid w:val="001E4123"/>
    <w:rsid w:val="001E663C"/>
    <w:rsid w:val="001E7312"/>
    <w:rsid w:val="001E7AE8"/>
    <w:rsid w:val="001F2786"/>
    <w:rsid w:val="001F3ED5"/>
    <w:rsid w:val="001F4156"/>
    <w:rsid w:val="001F47C2"/>
    <w:rsid w:val="001F47C5"/>
    <w:rsid w:val="001F4DCC"/>
    <w:rsid w:val="001F512A"/>
    <w:rsid w:val="001F5412"/>
    <w:rsid w:val="001F62CE"/>
    <w:rsid w:val="001F65D4"/>
    <w:rsid w:val="001F661A"/>
    <w:rsid w:val="001F685A"/>
    <w:rsid w:val="001F69C5"/>
    <w:rsid w:val="001F7879"/>
    <w:rsid w:val="0020035C"/>
    <w:rsid w:val="002014DF"/>
    <w:rsid w:val="002018D9"/>
    <w:rsid w:val="002020CE"/>
    <w:rsid w:val="00202302"/>
    <w:rsid w:val="00203060"/>
    <w:rsid w:val="002030B9"/>
    <w:rsid w:val="00203295"/>
    <w:rsid w:val="002038B9"/>
    <w:rsid w:val="00204CA0"/>
    <w:rsid w:val="00204F47"/>
    <w:rsid w:val="00205461"/>
    <w:rsid w:val="00207169"/>
    <w:rsid w:val="0020742D"/>
    <w:rsid w:val="0020749B"/>
    <w:rsid w:val="00207502"/>
    <w:rsid w:val="00210406"/>
    <w:rsid w:val="00210B76"/>
    <w:rsid w:val="00210EDC"/>
    <w:rsid w:val="00210F6D"/>
    <w:rsid w:val="0021154F"/>
    <w:rsid w:val="0021161C"/>
    <w:rsid w:val="00211D10"/>
    <w:rsid w:val="0021201B"/>
    <w:rsid w:val="0021290C"/>
    <w:rsid w:val="00213AB1"/>
    <w:rsid w:val="00213C53"/>
    <w:rsid w:val="0021411A"/>
    <w:rsid w:val="002143B8"/>
    <w:rsid w:val="00214414"/>
    <w:rsid w:val="002149F8"/>
    <w:rsid w:val="00215D05"/>
    <w:rsid w:val="002171C9"/>
    <w:rsid w:val="0021787E"/>
    <w:rsid w:val="00217FA7"/>
    <w:rsid w:val="002206D5"/>
    <w:rsid w:val="00220A8F"/>
    <w:rsid w:val="00221267"/>
    <w:rsid w:val="002214B4"/>
    <w:rsid w:val="0022230A"/>
    <w:rsid w:val="00222867"/>
    <w:rsid w:val="00222CAD"/>
    <w:rsid w:val="00224063"/>
    <w:rsid w:val="00224BD6"/>
    <w:rsid w:val="00224D1E"/>
    <w:rsid w:val="00224F34"/>
    <w:rsid w:val="0022666F"/>
    <w:rsid w:val="002269AB"/>
    <w:rsid w:val="00226F0F"/>
    <w:rsid w:val="002274DD"/>
    <w:rsid w:val="00230157"/>
    <w:rsid w:val="00231558"/>
    <w:rsid w:val="00231915"/>
    <w:rsid w:val="00232553"/>
    <w:rsid w:val="002336C3"/>
    <w:rsid w:val="00233C9E"/>
    <w:rsid w:val="002343C6"/>
    <w:rsid w:val="00235DD2"/>
    <w:rsid w:val="0023617B"/>
    <w:rsid w:val="002367A5"/>
    <w:rsid w:val="002377CE"/>
    <w:rsid w:val="00237842"/>
    <w:rsid w:val="00237989"/>
    <w:rsid w:val="00237B1C"/>
    <w:rsid w:val="00237C17"/>
    <w:rsid w:val="00237DF0"/>
    <w:rsid w:val="0024072B"/>
    <w:rsid w:val="00240AE2"/>
    <w:rsid w:val="00240B29"/>
    <w:rsid w:val="00240D80"/>
    <w:rsid w:val="00240E20"/>
    <w:rsid w:val="00240E6C"/>
    <w:rsid w:val="00241BF2"/>
    <w:rsid w:val="002428E3"/>
    <w:rsid w:val="00242D24"/>
    <w:rsid w:val="00242EDB"/>
    <w:rsid w:val="00243118"/>
    <w:rsid w:val="00243268"/>
    <w:rsid w:val="00243A73"/>
    <w:rsid w:val="0024420C"/>
    <w:rsid w:val="00244A29"/>
    <w:rsid w:val="00244B1E"/>
    <w:rsid w:val="0024541D"/>
    <w:rsid w:val="002454C3"/>
    <w:rsid w:val="00245BEB"/>
    <w:rsid w:val="00246064"/>
    <w:rsid w:val="0024653A"/>
    <w:rsid w:val="00246623"/>
    <w:rsid w:val="002470CB"/>
    <w:rsid w:val="0024729D"/>
    <w:rsid w:val="00250504"/>
    <w:rsid w:val="002506B3"/>
    <w:rsid w:val="00250B42"/>
    <w:rsid w:val="00251188"/>
    <w:rsid w:val="0025244C"/>
    <w:rsid w:val="0025338F"/>
    <w:rsid w:val="00254560"/>
    <w:rsid w:val="0025651C"/>
    <w:rsid w:val="00256A32"/>
    <w:rsid w:val="002572CF"/>
    <w:rsid w:val="00257916"/>
    <w:rsid w:val="00257CE2"/>
    <w:rsid w:val="002608AF"/>
    <w:rsid w:val="002613E1"/>
    <w:rsid w:val="00261826"/>
    <w:rsid w:val="00261E8D"/>
    <w:rsid w:val="002623E9"/>
    <w:rsid w:val="0026279E"/>
    <w:rsid w:val="0026300B"/>
    <w:rsid w:val="0026305D"/>
    <w:rsid w:val="00263BFC"/>
    <w:rsid w:val="00263EE4"/>
    <w:rsid w:val="00263F26"/>
    <w:rsid w:val="00264B49"/>
    <w:rsid w:val="00265CDE"/>
    <w:rsid w:val="0026623C"/>
    <w:rsid w:val="00266764"/>
    <w:rsid w:val="002669FC"/>
    <w:rsid w:val="00266C53"/>
    <w:rsid w:val="00267D26"/>
    <w:rsid w:val="0027048F"/>
    <w:rsid w:val="00270C21"/>
    <w:rsid w:val="00271BFA"/>
    <w:rsid w:val="00271F31"/>
    <w:rsid w:val="002726DF"/>
    <w:rsid w:val="00272A35"/>
    <w:rsid w:val="0027399C"/>
    <w:rsid w:val="00273CF1"/>
    <w:rsid w:val="00274584"/>
    <w:rsid w:val="00274897"/>
    <w:rsid w:val="002750A4"/>
    <w:rsid w:val="00275549"/>
    <w:rsid w:val="002765EE"/>
    <w:rsid w:val="00276F04"/>
    <w:rsid w:val="0027752C"/>
    <w:rsid w:val="00277877"/>
    <w:rsid w:val="00277DDD"/>
    <w:rsid w:val="0028105A"/>
    <w:rsid w:val="002819AC"/>
    <w:rsid w:val="00282997"/>
    <w:rsid w:val="00282CA8"/>
    <w:rsid w:val="0028347B"/>
    <w:rsid w:val="002835C9"/>
    <w:rsid w:val="00283A82"/>
    <w:rsid w:val="002840B7"/>
    <w:rsid w:val="002844E5"/>
    <w:rsid w:val="00284F8C"/>
    <w:rsid w:val="00285390"/>
    <w:rsid w:val="00285BBD"/>
    <w:rsid w:val="00286E50"/>
    <w:rsid w:val="00287045"/>
    <w:rsid w:val="002874C5"/>
    <w:rsid w:val="00287F4F"/>
    <w:rsid w:val="002904CC"/>
    <w:rsid w:val="00290A06"/>
    <w:rsid w:val="00290EBF"/>
    <w:rsid w:val="00291310"/>
    <w:rsid w:val="00291A6B"/>
    <w:rsid w:val="00292976"/>
    <w:rsid w:val="00293D97"/>
    <w:rsid w:val="00293FD2"/>
    <w:rsid w:val="00294180"/>
    <w:rsid w:val="00294312"/>
    <w:rsid w:val="002948D4"/>
    <w:rsid w:val="00294D06"/>
    <w:rsid w:val="0029502D"/>
    <w:rsid w:val="00295342"/>
    <w:rsid w:val="00295927"/>
    <w:rsid w:val="0029686B"/>
    <w:rsid w:val="002975CA"/>
    <w:rsid w:val="002977EA"/>
    <w:rsid w:val="00297D14"/>
    <w:rsid w:val="00297E6A"/>
    <w:rsid w:val="00297E7E"/>
    <w:rsid w:val="00297FFE"/>
    <w:rsid w:val="002A00A9"/>
    <w:rsid w:val="002A08DB"/>
    <w:rsid w:val="002A1341"/>
    <w:rsid w:val="002A2784"/>
    <w:rsid w:val="002A335B"/>
    <w:rsid w:val="002A3663"/>
    <w:rsid w:val="002A40AF"/>
    <w:rsid w:val="002A41AC"/>
    <w:rsid w:val="002A441D"/>
    <w:rsid w:val="002A4B39"/>
    <w:rsid w:val="002A54BA"/>
    <w:rsid w:val="002A5892"/>
    <w:rsid w:val="002A606B"/>
    <w:rsid w:val="002A6C2B"/>
    <w:rsid w:val="002B03AE"/>
    <w:rsid w:val="002B0438"/>
    <w:rsid w:val="002B0A6A"/>
    <w:rsid w:val="002B36AF"/>
    <w:rsid w:val="002B4B2F"/>
    <w:rsid w:val="002B4E2B"/>
    <w:rsid w:val="002B580A"/>
    <w:rsid w:val="002B581A"/>
    <w:rsid w:val="002B5C55"/>
    <w:rsid w:val="002B6BDE"/>
    <w:rsid w:val="002B6E8C"/>
    <w:rsid w:val="002B749A"/>
    <w:rsid w:val="002C04F5"/>
    <w:rsid w:val="002C05F2"/>
    <w:rsid w:val="002C0BFD"/>
    <w:rsid w:val="002C13D3"/>
    <w:rsid w:val="002C1740"/>
    <w:rsid w:val="002C1CBD"/>
    <w:rsid w:val="002C3099"/>
    <w:rsid w:val="002C3B36"/>
    <w:rsid w:val="002C404F"/>
    <w:rsid w:val="002C4506"/>
    <w:rsid w:val="002C538A"/>
    <w:rsid w:val="002C5BA5"/>
    <w:rsid w:val="002C5DBE"/>
    <w:rsid w:val="002C75B3"/>
    <w:rsid w:val="002C774D"/>
    <w:rsid w:val="002D1A3F"/>
    <w:rsid w:val="002D1E81"/>
    <w:rsid w:val="002D1FCF"/>
    <w:rsid w:val="002D1FFB"/>
    <w:rsid w:val="002D24CD"/>
    <w:rsid w:val="002D27BC"/>
    <w:rsid w:val="002D2B18"/>
    <w:rsid w:val="002D2FF0"/>
    <w:rsid w:val="002D348D"/>
    <w:rsid w:val="002D3845"/>
    <w:rsid w:val="002D4501"/>
    <w:rsid w:val="002D5EA7"/>
    <w:rsid w:val="002D72BB"/>
    <w:rsid w:val="002D72F7"/>
    <w:rsid w:val="002E0701"/>
    <w:rsid w:val="002E07A0"/>
    <w:rsid w:val="002E0CDE"/>
    <w:rsid w:val="002E1B6A"/>
    <w:rsid w:val="002E2C5D"/>
    <w:rsid w:val="002E2E1B"/>
    <w:rsid w:val="002E357E"/>
    <w:rsid w:val="002E3EEF"/>
    <w:rsid w:val="002E405E"/>
    <w:rsid w:val="002E4C58"/>
    <w:rsid w:val="002E5D67"/>
    <w:rsid w:val="002E71D0"/>
    <w:rsid w:val="002E763B"/>
    <w:rsid w:val="002E7887"/>
    <w:rsid w:val="002E78A6"/>
    <w:rsid w:val="002F0564"/>
    <w:rsid w:val="002F0803"/>
    <w:rsid w:val="002F0EF0"/>
    <w:rsid w:val="002F0F2E"/>
    <w:rsid w:val="002F0F7A"/>
    <w:rsid w:val="002F2A64"/>
    <w:rsid w:val="002F2ED7"/>
    <w:rsid w:val="002F2F17"/>
    <w:rsid w:val="002F43BD"/>
    <w:rsid w:val="002F4754"/>
    <w:rsid w:val="002F5052"/>
    <w:rsid w:val="002F5783"/>
    <w:rsid w:val="002F6961"/>
    <w:rsid w:val="002F6EAA"/>
    <w:rsid w:val="002F749D"/>
    <w:rsid w:val="002F75A9"/>
    <w:rsid w:val="002F7DED"/>
    <w:rsid w:val="00301194"/>
    <w:rsid w:val="00301310"/>
    <w:rsid w:val="00301519"/>
    <w:rsid w:val="003018A6"/>
    <w:rsid w:val="003025A0"/>
    <w:rsid w:val="00303570"/>
    <w:rsid w:val="00303D55"/>
    <w:rsid w:val="00303F36"/>
    <w:rsid w:val="00304134"/>
    <w:rsid w:val="00304B4D"/>
    <w:rsid w:val="003051B3"/>
    <w:rsid w:val="003057DC"/>
    <w:rsid w:val="00305FF1"/>
    <w:rsid w:val="003070F9"/>
    <w:rsid w:val="003079DB"/>
    <w:rsid w:val="003102D7"/>
    <w:rsid w:val="00310F37"/>
    <w:rsid w:val="003110EE"/>
    <w:rsid w:val="003111BF"/>
    <w:rsid w:val="003113FB"/>
    <w:rsid w:val="00311804"/>
    <w:rsid w:val="00311893"/>
    <w:rsid w:val="00311ADC"/>
    <w:rsid w:val="00311ADE"/>
    <w:rsid w:val="003120AD"/>
    <w:rsid w:val="003122A9"/>
    <w:rsid w:val="00312442"/>
    <w:rsid w:val="00312D26"/>
    <w:rsid w:val="003134FC"/>
    <w:rsid w:val="00314CFD"/>
    <w:rsid w:val="0031605C"/>
    <w:rsid w:val="003165F0"/>
    <w:rsid w:val="00317768"/>
    <w:rsid w:val="00320B52"/>
    <w:rsid w:val="00320EB3"/>
    <w:rsid w:val="00321544"/>
    <w:rsid w:val="00322693"/>
    <w:rsid w:val="00322875"/>
    <w:rsid w:val="00323119"/>
    <w:rsid w:val="00323368"/>
    <w:rsid w:val="00323892"/>
    <w:rsid w:val="00323B2B"/>
    <w:rsid w:val="00324138"/>
    <w:rsid w:val="00324393"/>
    <w:rsid w:val="0032449E"/>
    <w:rsid w:val="0032528C"/>
    <w:rsid w:val="00325C6C"/>
    <w:rsid w:val="00325F85"/>
    <w:rsid w:val="00326A57"/>
    <w:rsid w:val="003270BB"/>
    <w:rsid w:val="00327933"/>
    <w:rsid w:val="003306FB"/>
    <w:rsid w:val="003329C0"/>
    <w:rsid w:val="00332CE8"/>
    <w:rsid w:val="00332FF5"/>
    <w:rsid w:val="00333992"/>
    <w:rsid w:val="0033415C"/>
    <w:rsid w:val="0033424D"/>
    <w:rsid w:val="00334752"/>
    <w:rsid w:val="00334C42"/>
    <w:rsid w:val="00335454"/>
    <w:rsid w:val="003355D5"/>
    <w:rsid w:val="003361C4"/>
    <w:rsid w:val="00336276"/>
    <w:rsid w:val="00336C52"/>
    <w:rsid w:val="00337098"/>
    <w:rsid w:val="0033734F"/>
    <w:rsid w:val="003377BA"/>
    <w:rsid w:val="00337C2B"/>
    <w:rsid w:val="003402DB"/>
    <w:rsid w:val="003408D7"/>
    <w:rsid w:val="00341C5B"/>
    <w:rsid w:val="003422E9"/>
    <w:rsid w:val="00342C51"/>
    <w:rsid w:val="00342CAC"/>
    <w:rsid w:val="00342F4F"/>
    <w:rsid w:val="00343E69"/>
    <w:rsid w:val="00344101"/>
    <w:rsid w:val="00344884"/>
    <w:rsid w:val="003455EB"/>
    <w:rsid w:val="00345653"/>
    <w:rsid w:val="003457C7"/>
    <w:rsid w:val="00345ED6"/>
    <w:rsid w:val="003465CD"/>
    <w:rsid w:val="0034742E"/>
    <w:rsid w:val="0034767A"/>
    <w:rsid w:val="00347A66"/>
    <w:rsid w:val="00351370"/>
    <w:rsid w:val="00352A8B"/>
    <w:rsid w:val="003549B4"/>
    <w:rsid w:val="00354A75"/>
    <w:rsid w:val="0035554E"/>
    <w:rsid w:val="0035568C"/>
    <w:rsid w:val="00356D14"/>
    <w:rsid w:val="00356FC8"/>
    <w:rsid w:val="00357D18"/>
    <w:rsid w:val="00360A68"/>
    <w:rsid w:val="00360CA5"/>
    <w:rsid w:val="0036119B"/>
    <w:rsid w:val="00361746"/>
    <w:rsid w:val="0036175B"/>
    <w:rsid w:val="00361C8A"/>
    <w:rsid w:val="003623BB"/>
    <w:rsid w:val="003623D0"/>
    <w:rsid w:val="00362532"/>
    <w:rsid w:val="003635F6"/>
    <w:rsid w:val="003639F6"/>
    <w:rsid w:val="00364C3E"/>
    <w:rsid w:val="00365768"/>
    <w:rsid w:val="0036644C"/>
    <w:rsid w:val="003666C4"/>
    <w:rsid w:val="003667E7"/>
    <w:rsid w:val="00366D5E"/>
    <w:rsid w:val="0036752B"/>
    <w:rsid w:val="003675C3"/>
    <w:rsid w:val="003700B5"/>
    <w:rsid w:val="003701EB"/>
    <w:rsid w:val="0037037A"/>
    <w:rsid w:val="003711E8"/>
    <w:rsid w:val="003712BB"/>
    <w:rsid w:val="00372643"/>
    <w:rsid w:val="0037273F"/>
    <w:rsid w:val="00372853"/>
    <w:rsid w:val="00372A18"/>
    <w:rsid w:val="00372AD8"/>
    <w:rsid w:val="00372B5A"/>
    <w:rsid w:val="00372BC2"/>
    <w:rsid w:val="00372E7B"/>
    <w:rsid w:val="00373008"/>
    <w:rsid w:val="00373051"/>
    <w:rsid w:val="00373130"/>
    <w:rsid w:val="00374422"/>
    <w:rsid w:val="00374CCE"/>
    <w:rsid w:val="00375E49"/>
    <w:rsid w:val="003763E2"/>
    <w:rsid w:val="00376A30"/>
    <w:rsid w:val="00376A49"/>
    <w:rsid w:val="0038070A"/>
    <w:rsid w:val="003808D2"/>
    <w:rsid w:val="003810A5"/>
    <w:rsid w:val="003811F5"/>
    <w:rsid w:val="00381911"/>
    <w:rsid w:val="00381C17"/>
    <w:rsid w:val="00381D7D"/>
    <w:rsid w:val="00381ED9"/>
    <w:rsid w:val="00382A36"/>
    <w:rsid w:val="00383682"/>
    <w:rsid w:val="0038369F"/>
    <w:rsid w:val="0038430B"/>
    <w:rsid w:val="00384929"/>
    <w:rsid w:val="00384C69"/>
    <w:rsid w:val="00384E9C"/>
    <w:rsid w:val="003856B9"/>
    <w:rsid w:val="0038576E"/>
    <w:rsid w:val="00386489"/>
    <w:rsid w:val="003864A5"/>
    <w:rsid w:val="00386D12"/>
    <w:rsid w:val="0039024F"/>
    <w:rsid w:val="00390433"/>
    <w:rsid w:val="00390F70"/>
    <w:rsid w:val="0039109F"/>
    <w:rsid w:val="00391627"/>
    <w:rsid w:val="00391819"/>
    <w:rsid w:val="00391A27"/>
    <w:rsid w:val="0039220D"/>
    <w:rsid w:val="003923E4"/>
    <w:rsid w:val="00392541"/>
    <w:rsid w:val="00392772"/>
    <w:rsid w:val="003927DB"/>
    <w:rsid w:val="00392F74"/>
    <w:rsid w:val="00393F24"/>
    <w:rsid w:val="00394B57"/>
    <w:rsid w:val="0039594A"/>
    <w:rsid w:val="00395F19"/>
    <w:rsid w:val="003963EC"/>
    <w:rsid w:val="00396BDE"/>
    <w:rsid w:val="00396CB6"/>
    <w:rsid w:val="00396DCA"/>
    <w:rsid w:val="00397198"/>
    <w:rsid w:val="0039719A"/>
    <w:rsid w:val="003A059C"/>
    <w:rsid w:val="003A05B7"/>
    <w:rsid w:val="003A068E"/>
    <w:rsid w:val="003A06CC"/>
    <w:rsid w:val="003A09CB"/>
    <w:rsid w:val="003A2597"/>
    <w:rsid w:val="003A295D"/>
    <w:rsid w:val="003A2E50"/>
    <w:rsid w:val="003A3403"/>
    <w:rsid w:val="003A4BDA"/>
    <w:rsid w:val="003A5589"/>
    <w:rsid w:val="003A61CA"/>
    <w:rsid w:val="003A627F"/>
    <w:rsid w:val="003A7C8F"/>
    <w:rsid w:val="003B08F9"/>
    <w:rsid w:val="003B12E5"/>
    <w:rsid w:val="003B25D4"/>
    <w:rsid w:val="003B2A52"/>
    <w:rsid w:val="003B2E65"/>
    <w:rsid w:val="003B2EF8"/>
    <w:rsid w:val="003B3537"/>
    <w:rsid w:val="003B4346"/>
    <w:rsid w:val="003B4665"/>
    <w:rsid w:val="003B4942"/>
    <w:rsid w:val="003B4C1B"/>
    <w:rsid w:val="003B5C82"/>
    <w:rsid w:val="003B61CF"/>
    <w:rsid w:val="003B76E1"/>
    <w:rsid w:val="003B7C2C"/>
    <w:rsid w:val="003B7F13"/>
    <w:rsid w:val="003C0942"/>
    <w:rsid w:val="003C12C6"/>
    <w:rsid w:val="003C15D9"/>
    <w:rsid w:val="003C1876"/>
    <w:rsid w:val="003C2803"/>
    <w:rsid w:val="003C2F71"/>
    <w:rsid w:val="003C35DB"/>
    <w:rsid w:val="003C3C40"/>
    <w:rsid w:val="003C3CEE"/>
    <w:rsid w:val="003C4AA2"/>
    <w:rsid w:val="003C5301"/>
    <w:rsid w:val="003C5A47"/>
    <w:rsid w:val="003C680E"/>
    <w:rsid w:val="003C6FE1"/>
    <w:rsid w:val="003C74E1"/>
    <w:rsid w:val="003C7BC2"/>
    <w:rsid w:val="003C7D1E"/>
    <w:rsid w:val="003D03B7"/>
    <w:rsid w:val="003D0F94"/>
    <w:rsid w:val="003D1595"/>
    <w:rsid w:val="003D1AC3"/>
    <w:rsid w:val="003D1C2C"/>
    <w:rsid w:val="003D2259"/>
    <w:rsid w:val="003D229F"/>
    <w:rsid w:val="003D2D43"/>
    <w:rsid w:val="003D2FA3"/>
    <w:rsid w:val="003D398E"/>
    <w:rsid w:val="003D3A86"/>
    <w:rsid w:val="003D3A99"/>
    <w:rsid w:val="003D4472"/>
    <w:rsid w:val="003D45C6"/>
    <w:rsid w:val="003D75D5"/>
    <w:rsid w:val="003E083A"/>
    <w:rsid w:val="003E0AED"/>
    <w:rsid w:val="003E13C8"/>
    <w:rsid w:val="003E13E7"/>
    <w:rsid w:val="003E17C8"/>
    <w:rsid w:val="003E1EDA"/>
    <w:rsid w:val="003E28F5"/>
    <w:rsid w:val="003E29B7"/>
    <w:rsid w:val="003E29FD"/>
    <w:rsid w:val="003E2B6B"/>
    <w:rsid w:val="003E2EAD"/>
    <w:rsid w:val="003E34C4"/>
    <w:rsid w:val="003E37F9"/>
    <w:rsid w:val="003E529F"/>
    <w:rsid w:val="003E636B"/>
    <w:rsid w:val="003E6EA5"/>
    <w:rsid w:val="003E7529"/>
    <w:rsid w:val="003F05EE"/>
    <w:rsid w:val="003F07FF"/>
    <w:rsid w:val="003F0F81"/>
    <w:rsid w:val="003F165F"/>
    <w:rsid w:val="003F173E"/>
    <w:rsid w:val="003F1B11"/>
    <w:rsid w:val="003F27CF"/>
    <w:rsid w:val="003F2B8A"/>
    <w:rsid w:val="003F3121"/>
    <w:rsid w:val="003F31B4"/>
    <w:rsid w:val="003F3793"/>
    <w:rsid w:val="003F3B87"/>
    <w:rsid w:val="003F3E85"/>
    <w:rsid w:val="003F4ADD"/>
    <w:rsid w:val="003F502A"/>
    <w:rsid w:val="003F6444"/>
    <w:rsid w:val="003F6819"/>
    <w:rsid w:val="003F6C2F"/>
    <w:rsid w:val="003F7CB1"/>
    <w:rsid w:val="003F7FEA"/>
    <w:rsid w:val="00400539"/>
    <w:rsid w:val="00401FD0"/>
    <w:rsid w:val="0040235D"/>
    <w:rsid w:val="004035B1"/>
    <w:rsid w:val="00403689"/>
    <w:rsid w:val="00403A5E"/>
    <w:rsid w:val="004048AB"/>
    <w:rsid w:val="0040491D"/>
    <w:rsid w:val="00404A41"/>
    <w:rsid w:val="00404A95"/>
    <w:rsid w:val="00404B64"/>
    <w:rsid w:val="00405711"/>
    <w:rsid w:val="0040607A"/>
    <w:rsid w:val="004070D6"/>
    <w:rsid w:val="004072ED"/>
    <w:rsid w:val="00407CBE"/>
    <w:rsid w:val="00410B6A"/>
    <w:rsid w:val="00410CAC"/>
    <w:rsid w:val="004114D5"/>
    <w:rsid w:val="00411B46"/>
    <w:rsid w:val="0041268B"/>
    <w:rsid w:val="004127DF"/>
    <w:rsid w:val="00413540"/>
    <w:rsid w:val="004138B6"/>
    <w:rsid w:val="00414168"/>
    <w:rsid w:val="0041526D"/>
    <w:rsid w:val="00415542"/>
    <w:rsid w:val="004172FD"/>
    <w:rsid w:val="00420242"/>
    <w:rsid w:val="00420984"/>
    <w:rsid w:val="0042188F"/>
    <w:rsid w:val="00421AED"/>
    <w:rsid w:val="00421FBD"/>
    <w:rsid w:val="004225C0"/>
    <w:rsid w:val="00422744"/>
    <w:rsid w:val="00422E43"/>
    <w:rsid w:val="004230BE"/>
    <w:rsid w:val="0042371D"/>
    <w:rsid w:val="00423732"/>
    <w:rsid w:val="00424124"/>
    <w:rsid w:val="00425E5A"/>
    <w:rsid w:val="004264FA"/>
    <w:rsid w:val="00426AA9"/>
    <w:rsid w:val="00426BFA"/>
    <w:rsid w:val="00427E21"/>
    <w:rsid w:val="00430220"/>
    <w:rsid w:val="00430EF9"/>
    <w:rsid w:val="00431B29"/>
    <w:rsid w:val="0043358D"/>
    <w:rsid w:val="00433A04"/>
    <w:rsid w:val="00433EBF"/>
    <w:rsid w:val="00434964"/>
    <w:rsid w:val="0043530F"/>
    <w:rsid w:val="004354CC"/>
    <w:rsid w:val="004364F3"/>
    <w:rsid w:val="00440001"/>
    <w:rsid w:val="004403B3"/>
    <w:rsid w:val="004412C0"/>
    <w:rsid w:val="0044133F"/>
    <w:rsid w:val="0044150D"/>
    <w:rsid w:val="00441D38"/>
    <w:rsid w:val="004432BD"/>
    <w:rsid w:val="0044351B"/>
    <w:rsid w:val="00443538"/>
    <w:rsid w:val="0044375F"/>
    <w:rsid w:val="00443EDA"/>
    <w:rsid w:val="00444001"/>
    <w:rsid w:val="00444691"/>
    <w:rsid w:val="00444AC7"/>
    <w:rsid w:val="00444C08"/>
    <w:rsid w:val="00444DB8"/>
    <w:rsid w:val="0044641B"/>
    <w:rsid w:val="0044683E"/>
    <w:rsid w:val="004506CF"/>
    <w:rsid w:val="004508BB"/>
    <w:rsid w:val="004508E7"/>
    <w:rsid w:val="00451003"/>
    <w:rsid w:val="0045300A"/>
    <w:rsid w:val="00453068"/>
    <w:rsid w:val="00453653"/>
    <w:rsid w:val="00453688"/>
    <w:rsid w:val="004546C7"/>
    <w:rsid w:val="00454A54"/>
    <w:rsid w:val="0045527D"/>
    <w:rsid w:val="004552F5"/>
    <w:rsid w:val="004562E1"/>
    <w:rsid w:val="00456636"/>
    <w:rsid w:val="00457339"/>
    <w:rsid w:val="004577B6"/>
    <w:rsid w:val="004578FC"/>
    <w:rsid w:val="00457E39"/>
    <w:rsid w:val="00460D1D"/>
    <w:rsid w:val="00461038"/>
    <w:rsid w:val="00461207"/>
    <w:rsid w:val="00462076"/>
    <w:rsid w:val="00462099"/>
    <w:rsid w:val="004622AE"/>
    <w:rsid w:val="00462309"/>
    <w:rsid w:val="004625A3"/>
    <w:rsid w:val="00463041"/>
    <w:rsid w:val="0046382A"/>
    <w:rsid w:val="00464280"/>
    <w:rsid w:val="00464F01"/>
    <w:rsid w:val="00466CA7"/>
    <w:rsid w:val="00466F5D"/>
    <w:rsid w:val="004673ED"/>
    <w:rsid w:val="004701DE"/>
    <w:rsid w:val="004705E0"/>
    <w:rsid w:val="00470FE8"/>
    <w:rsid w:val="00471144"/>
    <w:rsid w:val="0047139E"/>
    <w:rsid w:val="0047140B"/>
    <w:rsid w:val="00473F13"/>
    <w:rsid w:val="0047521C"/>
    <w:rsid w:val="00475425"/>
    <w:rsid w:val="0047548F"/>
    <w:rsid w:val="00475635"/>
    <w:rsid w:val="00475BC7"/>
    <w:rsid w:val="00475F01"/>
    <w:rsid w:val="0047634B"/>
    <w:rsid w:val="00477042"/>
    <w:rsid w:val="0047707C"/>
    <w:rsid w:val="00477845"/>
    <w:rsid w:val="00481052"/>
    <w:rsid w:val="00482875"/>
    <w:rsid w:val="00482BE6"/>
    <w:rsid w:val="004844C7"/>
    <w:rsid w:val="004848FE"/>
    <w:rsid w:val="004851C9"/>
    <w:rsid w:val="004857E5"/>
    <w:rsid w:val="00485F50"/>
    <w:rsid w:val="00486084"/>
    <w:rsid w:val="0048623C"/>
    <w:rsid w:val="00487182"/>
    <w:rsid w:val="00487D6F"/>
    <w:rsid w:val="004906A5"/>
    <w:rsid w:val="00491123"/>
    <w:rsid w:val="004914FD"/>
    <w:rsid w:val="00491700"/>
    <w:rsid w:val="00492462"/>
    <w:rsid w:val="0049365B"/>
    <w:rsid w:val="004938A5"/>
    <w:rsid w:val="00493B29"/>
    <w:rsid w:val="00493BD9"/>
    <w:rsid w:val="00493C2D"/>
    <w:rsid w:val="0049485C"/>
    <w:rsid w:val="00495ECC"/>
    <w:rsid w:val="004961CF"/>
    <w:rsid w:val="00496242"/>
    <w:rsid w:val="004962F1"/>
    <w:rsid w:val="0049641B"/>
    <w:rsid w:val="00497976"/>
    <w:rsid w:val="00497E94"/>
    <w:rsid w:val="004A0576"/>
    <w:rsid w:val="004A0B20"/>
    <w:rsid w:val="004A1F4D"/>
    <w:rsid w:val="004A20F9"/>
    <w:rsid w:val="004A238E"/>
    <w:rsid w:val="004A2605"/>
    <w:rsid w:val="004A2C87"/>
    <w:rsid w:val="004A3546"/>
    <w:rsid w:val="004A46B4"/>
    <w:rsid w:val="004A47FA"/>
    <w:rsid w:val="004A4FD1"/>
    <w:rsid w:val="004A5351"/>
    <w:rsid w:val="004A5B62"/>
    <w:rsid w:val="004A5BFE"/>
    <w:rsid w:val="004A6FD5"/>
    <w:rsid w:val="004A7F24"/>
    <w:rsid w:val="004B02BA"/>
    <w:rsid w:val="004B0A1C"/>
    <w:rsid w:val="004B0EBA"/>
    <w:rsid w:val="004B24A3"/>
    <w:rsid w:val="004B2B66"/>
    <w:rsid w:val="004B3F1A"/>
    <w:rsid w:val="004B4302"/>
    <w:rsid w:val="004B437C"/>
    <w:rsid w:val="004B4E79"/>
    <w:rsid w:val="004B55B3"/>
    <w:rsid w:val="004B5E07"/>
    <w:rsid w:val="004B6D2B"/>
    <w:rsid w:val="004B6E04"/>
    <w:rsid w:val="004B7186"/>
    <w:rsid w:val="004B7CF2"/>
    <w:rsid w:val="004B7E25"/>
    <w:rsid w:val="004C0928"/>
    <w:rsid w:val="004C124F"/>
    <w:rsid w:val="004C141F"/>
    <w:rsid w:val="004C2285"/>
    <w:rsid w:val="004C3395"/>
    <w:rsid w:val="004C3670"/>
    <w:rsid w:val="004C423E"/>
    <w:rsid w:val="004C4837"/>
    <w:rsid w:val="004C54BE"/>
    <w:rsid w:val="004C5577"/>
    <w:rsid w:val="004C5D35"/>
    <w:rsid w:val="004C6136"/>
    <w:rsid w:val="004C618B"/>
    <w:rsid w:val="004C63B8"/>
    <w:rsid w:val="004C70A7"/>
    <w:rsid w:val="004D0430"/>
    <w:rsid w:val="004D0E36"/>
    <w:rsid w:val="004D1AF3"/>
    <w:rsid w:val="004D1E90"/>
    <w:rsid w:val="004D1F6E"/>
    <w:rsid w:val="004D2080"/>
    <w:rsid w:val="004D36CD"/>
    <w:rsid w:val="004D3EB4"/>
    <w:rsid w:val="004D4A53"/>
    <w:rsid w:val="004D5BFA"/>
    <w:rsid w:val="004D5E53"/>
    <w:rsid w:val="004D5FA8"/>
    <w:rsid w:val="004D6406"/>
    <w:rsid w:val="004D6586"/>
    <w:rsid w:val="004D749A"/>
    <w:rsid w:val="004D76E1"/>
    <w:rsid w:val="004E0845"/>
    <w:rsid w:val="004E0DD5"/>
    <w:rsid w:val="004E25CF"/>
    <w:rsid w:val="004E2B2D"/>
    <w:rsid w:val="004E2E47"/>
    <w:rsid w:val="004E3898"/>
    <w:rsid w:val="004E3963"/>
    <w:rsid w:val="004E3986"/>
    <w:rsid w:val="004E3EFB"/>
    <w:rsid w:val="004E4575"/>
    <w:rsid w:val="004E4CB6"/>
    <w:rsid w:val="004E5544"/>
    <w:rsid w:val="004E5649"/>
    <w:rsid w:val="004F011F"/>
    <w:rsid w:val="004F026E"/>
    <w:rsid w:val="004F042F"/>
    <w:rsid w:val="004F0531"/>
    <w:rsid w:val="004F1A8A"/>
    <w:rsid w:val="004F26FA"/>
    <w:rsid w:val="004F27FE"/>
    <w:rsid w:val="004F29B6"/>
    <w:rsid w:val="004F2F60"/>
    <w:rsid w:val="004F3BFB"/>
    <w:rsid w:val="004F3C12"/>
    <w:rsid w:val="004F4504"/>
    <w:rsid w:val="004F4CA5"/>
    <w:rsid w:val="004F54D3"/>
    <w:rsid w:val="004F580E"/>
    <w:rsid w:val="004F60FD"/>
    <w:rsid w:val="004F67F1"/>
    <w:rsid w:val="004F72D2"/>
    <w:rsid w:val="004F731C"/>
    <w:rsid w:val="004F7399"/>
    <w:rsid w:val="004F7774"/>
    <w:rsid w:val="004F7823"/>
    <w:rsid w:val="004F7EED"/>
    <w:rsid w:val="00500345"/>
    <w:rsid w:val="0050053E"/>
    <w:rsid w:val="0050093C"/>
    <w:rsid w:val="00501607"/>
    <w:rsid w:val="005019E4"/>
    <w:rsid w:val="00501B40"/>
    <w:rsid w:val="00501C14"/>
    <w:rsid w:val="0050361B"/>
    <w:rsid w:val="00503A88"/>
    <w:rsid w:val="00503D07"/>
    <w:rsid w:val="005056CC"/>
    <w:rsid w:val="005069C7"/>
    <w:rsid w:val="00506D9D"/>
    <w:rsid w:val="005075C8"/>
    <w:rsid w:val="0051031F"/>
    <w:rsid w:val="00510325"/>
    <w:rsid w:val="00510C33"/>
    <w:rsid w:val="00510F32"/>
    <w:rsid w:val="005111A8"/>
    <w:rsid w:val="0051229B"/>
    <w:rsid w:val="005128E6"/>
    <w:rsid w:val="00513815"/>
    <w:rsid w:val="00513923"/>
    <w:rsid w:val="005141FB"/>
    <w:rsid w:val="00515AA8"/>
    <w:rsid w:val="005160AB"/>
    <w:rsid w:val="00516B56"/>
    <w:rsid w:val="00516B88"/>
    <w:rsid w:val="0052049A"/>
    <w:rsid w:val="0052049E"/>
    <w:rsid w:val="00520547"/>
    <w:rsid w:val="005218C2"/>
    <w:rsid w:val="00521C33"/>
    <w:rsid w:val="00521EC9"/>
    <w:rsid w:val="00522348"/>
    <w:rsid w:val="00522A2E"/>
    <w:rsid w:val="005239A9"/>
    <w:rsid w:val="00523F62"/>
    <w:rsid w:val="00524492"/>
    <w:rsid w:val="00524A5D"/>
    <w:rsid w:val="005254AC"/>
    <w:rsid w:val="005257F6"/>
    <w:rsid w:val="00525DF8"/>
    <w:rsid w:val="00525EF3"/>
    <w:rsid w:val="00526467"/>
    <w:rsid w:val="00526DE8"/>
    <w:rsid w:val="00527203"/>
    <w:rsid w:val="00527A1E"/>
    <w:rsid w:val="00527B22"/>
    <w:rsid w:val="00530018"/>
    <w:rsid w:val="00530D11"/>
    <w:rsid w:val="00531AE0"/>
    <w:rsid w:val="0053246C"/>
    <w:rsid w:val="00532585"/>
    <w:rsid w:val="005328AF"/>
    <w:rsid w:val="005334A0"/>
    <w:rsid w:val="0053379F"/>
    <w:rsid w:val="00533D55"/>
    <w:rsid w:val="00534849"/>
    <w:rsid w:val="00534EA5"/>
    <w:rsid w:val="0053512B"/>
    <w:rsid w:val="00535836"/>
    <w:rsid w:val="00535CF3"/>
    <w:rsid w:val="00535E64"/>
    <w:rsid w:val="00535EB9"/>
    <w:rsid w:val="0053614A"/>
    <w:rsid w:val="005367C3"/>
    <w:rsid w:val="00536F50"/>
    <w:rsid w:val="005374AA"/>
    <w:rsid w:val="00537940"/>
    <w:rsid w:val="00537B82"/>
    <w:rsid w:val="005400F2"/>
    <w:rsid w:val="00540A02"/>
    <w:rsid w:val="005414DD"/>
    <w:rsid w:val="005416AD"/>
    <w:rsid w:val="005419FA"/>
    <w:rsid w:val="005427D3"/>
    <w:rsid w:val="00542BD0"/>
    <w:rsid w:val="005436B1"/>
    <w:rsid w:val="005438B3"/>
    <w:rsid w:val="005439BB"/>
    <w:rsid w:val="005439D6"/>
    <w:rsid w:val="00544876"/>
    <w:rsid w:val="005455D0"/>
    <w:rsid w:val="00545D19"/>
    <w:rsid w:val="0054661B"/>
    <w:rsid w:val="005466BA"/>
    <w:rsid w:val="0054708E"/>
    <w:rsid w:val="005474C8"/>
    <w:rsid w:val="0054776C"/>
    <w:rsid w:val="00547CE6"/>
    <w:rsid w:val="00551384"/>
    <w:rsid w:val="00551434"/>
    <w:rsid w:val="0055149A"/>
    <w:rsid w:val="00551890"/>
    <w:rsid w:val="005518F2"/>
    <w:rsid w:val="0055481B"/>
    <w:rsid w:val="00555342"/>
    <w:rsid w:val="00556008"/>
    <w:rsid w:val="005564DA"/>
    <w:rsid w:val="0055680D"/>
    <w:rsid w:val="0055698E"/>
    <w:rsid w:val="005573F7"/>
    <w:rsid w:val="005575A6"/>
    <w:rsid w:val="00557946"/>
    <w:rsid w:val="00560041"/>
    <w:rsid w:val="00561B12"/>
    <w:rsid w:val="00562BB6"/>
    <w:rsid w:val="00562CE4"/>
    <w:rsid w:val="0056326C"/>
    <w:rsid w:val="00563EBD"/>
    <w:rsid w:val="00564716"/>
    <w:rsid w:val="00564AC8"/>
    <w:rsid w:val="00564CEC"/>
    <w:rsid w:val="00565787"/>
    <w:rsid w:val="00566054"/>
    <w:rsid w:val="005663F9"/>
    <w:rsid w:val="00566451"/>
    <w:rsid w:val="0056707E"/>
    <w:rsid w:val="00567A0F"/>
    <w:rsid w:val="00567A10"/>
    <w:rsid w:val="00567A9C"/>
    <w:rsid w:val="005701DD"/>
    <w:rsid w:val="005704F8"/>
    <w:rsid w:val="00571413"/>
    <w:rsid w:val="00572468"/>
    <w:rsid w:val="00572D6D"/>
    <w:rsid w:val="00572E7F"/>
    <w:rsid w:val="00573692"/>
    <w:rsid w:val="005742F9"/>
    <w:rsid w:val="00574A5B"/>
    <w:rsid w:val="00574B08"/>
    <w:rsid w:val="00574E99"/>
    <w:rsid w:val="005760C3"/>
    <w:rsid w:val="005760FC"/>
    <w:rsid w:val="00577D72"/>
    <w:rsid w:val="005808F4"/>
    <w:rsid w:val="00580C37"/>
    <w:rsid w:val="00580F8A"/>
    <w:rsid w:val="005811E3"/>
    <w:rsid w:val="005814E0"/>
    <w:rsid w:val="00581ADC"/>
    <w:rsid w:val="00581B07"/>
    <w:rsid w:val="00583365"/>
    <w:rsid w:val="005835AF"/>
    <w:rsid w:val="00583D0B"/>
    <w:rsid w:val="00584C7E"/>
    <w:rsid w:val="00585102"/>
    <w:rsid w:val="00585957"/>
    <w:rsid w:val="00585CF3"/>
    <w:rsid w:val="00586038"/>
    <w:rsid w:val="00586B68"/>
    <w:rsid w:val="00586BA4"/>
    <w:rsid w:val="00587328"/>
    <w:rsid w:val="005911B7"/>
    <w:rsid w:val="005920FD"/>
    <w:rsid w:val="005927F6"/>
    <w:rsid w:val="00593364"/>
    <w:rsid w:val="00593B09"/>
    <w:rsid w:val="0059403A"/>
    <w:rsid w:val="005946E9"/>
    <w:rsid w:val="0059562E"/>
    <w:rsid w:val="00595EB4"/>
    <w:rsid w:val="00596105"/>
    <w:rsid w:val="00596BC3"/>
    <w:rsid w:val="005A073B"/>
    <w:rsid w:val="005A11B2"/>
    <w:rsid w:val="005A38B8"/>
    <w:rsid w:val="005A3AC4"/>
    <w:rsid w:val="005A443D"/>
    <w:rsid w:val="005A4A84"/>
    <w:rsid w:val="005A4AFD"/>
    <w:rsid w:val="005A51A7"/>
    <w:rsid w:val="005A5349"/>
    <w:rsid w:val="005A5A1A"/>
    <w:rsid w:val="005A5C56"/>
    <w:rsid w:val="005A5F88"/>
    <w:rsid w:val="005A5FBE"/>
    <w:rsid w:val="005A5FD7"/>
    <w:rsid w:val="005A67B2"/>
    <w:rsid w:val="005A778E"/>
    <w:rsid w:val="005B1229"/>
    <w:rsid w:val="005B139A"/>
    <w:rsid w:val="005B19BA"/>
    <w:rsid w:val="005B1FC1"/>
    <w:rsid w:val="005B2080"/>
    <w:rsid w:val="005B2154"/>
    <w:rsid w:val="005B2895"/>
    <w:rsid w:val="005B2D8C"/>
    <w:rsid w:val="005B30E5"/>
    <w:rsid w:val="005B3493"/>
    <w:rsid w:val="005B366F"/>
    <w:rsid w:val="005B3F50"/>
    <w:rsid w:val="005B4025"/>
    <w:rsid w:val="005B4B4E"/>
    <w:rsid w:val="005B4CBD"/>
    <w:rsid w:val="005B4D2E"/>
    <w:rsid w:val="005B4ED0"/>
    <w:rsid w:val="005B5E29"/>
    <w:rsid w:val="005B6058"/>
    <w:rsid w:val="005B6296"/>
    <w:rsid w:val="005B634D"/>
    <w:rsid w:val="005B6B50"/>
    <w:rsid w:val="005B6F80"/>
    <w:rsid w:val="005B72A4"/>
    <w:rsid w:val="005C02F7"/>
    <w:rsid w:val="005C04B3"/>
    <w:rsid w:val="005C06C3"/>
    <w:rsid w:val="005C1033"/>
    <w:rsid w:val="005C1489"/>
    <w:rsid w:val="005C173D"/>
    <w:rsid w:val="005C2338"/>
    <w:rsid w:val="005C23EF"/>
    <w:rsid w:val="005C2BD9"/>
    <w:rsid w:val="005C3A87"/>
    <w:rsid w:val="005C3BA4"/>
    <w:rsid w:val="005C4519"/>
    <w:rsid w:val="005C4785"/>
    <w:rsid w:val="005C4E33"/>
    <w:rsid w:val="005C630C"/>
    <w:rsid w:val="005C7388"/>
    <w:rsid w:val="005C74AC"/>
    <w:rsid w:val="005C7EB6"/>
    <w:rsid w:val="005D015E"/>
    <w:rsid w:val="005D173A"/>
    <w:rsid w:val="005D17D3"/>
    <w:rsid w:val="005D2A28"/>
    <w:rsid w:val="005D2B34"/>
    <w:rsid w:val="005D2B51"/>
    <w:rsid w:val="005D39BE"/>
    <w:rsid w:val="005D3F77"/>
    <w:rsid w:val="005D449F"/>
    <w:rsid w:val="005D4E4A"/>
    <w:rsid w:val="005D57C8"/>
    <w:rsid w:val="005D63E0"/>
    <w:rsid w:val="005D6418"/>
    <w:rsid w:val="005D6811"/>
    <w:rsid w:val="005D6FE5"/>
    <w:rsid w:val="005D7365"/>
    <w:rsid w:val="005D77E8"/>
    <w:rsid w:val="005D7D9F"/>
    <w:rsid w:val="005E0247"/>
    <w:rsid w:val="005E0345"/>
    <w:rsid w:val="005E08FE"/>
    <w:rsid w:val="005E11BC"/>
    <w:rsid w:val="005E1C54"/>
    <w:rsid w:val="005E210F"/>
    <w:rsid w:val="005E2344"/>
    <w:rsid w:val="005E2A18"/>
    <w:rsid w:val="005E30DC"/>
    <w:rsid w:val="005E3D73"/>
    <w:rsid w:val="005E41E2"/>
    <w:rsid w:val="005E5877"/>
    <w:rsid w:val="005E6398"/>
    <w:rsid w:val="005E6491"/>
    <w:rsid w:val="005E679A"/>
    <w:rsid w:val="005E6AC7"/>
    <w:rsid w:val="005E792B"/>
    <w:rsid w:val="005F1689"/>
    <w:rsid w:val="005F1991"/>
    <w:rsid w:val="005F1C20"/>
    <w:rsid w:val="005F1F62"/>
    <w:rsid w:val="005F1F79"/>
    <w:rsid w:val="005F1F8E"/>
    <w:rsid w:val="005F262C"/>
    <w:rsid w:val="005F268A"/>
    <w:rsid w:val="005F2E96"/>
    <w:rsid w:val="005F344F"/>
    <w:rsid w:val="005F416D"/>
    <w:rsid w:val="005F4C56"/>
    <w:rsid w:val="005F51EA"/>
    <w:rsid w:val="005F5870"/>
    <w:rsid w:val="005F5C7C"/>
    <w:rsid w:val="005F6AFE"/>
    <w:rsid w:val="005F6E09"/>
    <w:rsid w:val="005F701E"/>
    <w:rsid w:val="005F7B15"/>
    <w:rsid w:val="00600549"/>
    <w:rsid w:val="00600FF6"/>
    <w:rsid w:val="00601496"/>
    <w:rsid w:val="006018FE"/>
    <w:rsid w:val="00602B35"/>
    <w:rsid w:val="00602B8B"/>
    <w:rsid w:val="00602D06"/>
    <w:rsid w:val="006037B6"/>
    <w:rsid w:val="006039E2"/>
    <w:rsid w:val="006043A5"/>
    <w:rsid w:val="00604994"/>
    <w:rsid w:val="006056C5"/>
    <w:rsid w:val="00606682"/>
    <w:rsid w:val="00606915"/>
    <w:rsid w:val="0060726B"/>
    <w:rsid w:val="006075BC"/>
    <w:rsid w:val="00610027"/>
    <w:rsid w:val="0061019A"/>
    <w:rsid w:val="0061069D"/>
    <w:rsid w:val="00610A43"/>
    <w:rsid w:val="00611267"/>
    <w:rsid w:val="006121C6"/>
    <w:rsid w:val="006126D1"/>
    <w:rsid w:val="006129EA"/>
    <w:rsid w:val="00612CC8"/>
    <w:rsid w:val="0061300A"/>
    <w:rsid w:val="006130DC"/>
    <w:rsid w:val="006136E7"/>
    <w:rsid w:val="00613BD6"/>
    <w:rsid w:val="00614212"/>
    <w:rsid w:val="006144C3"/>
    <w:rsid w:val="00614DE1"/>
    <w:rsid w:val="00614E3A"/>
    <w:rsid w:val="0061540D"/>
    <w:rsid w:val="00615FF0"/>
    <w:rsid w:val="0061642D"/>
    <w:rsid w:val="006176D1"/>
    <w:rsid w:val="00617B2A"/>
    <w:rsid w:val="00617EAC"/>
    <w:rsid w:val="006206BE"/>
    <w:rsid w:val="00620E69"/>
    <w:rsid w:val="00621810"/>
    <w:rsid w:val="00623CFF"/>
    <w:rsid w:val="00623FCB"/>
    <w:rsid w:val="006245D7"/>
    <w:rsid w:val="006249C2"/>
    <w:rsid w:val="00624A96"/>
    <w:rsid w:val="00624AF6"/>
    <w:rsid w:val="00624F34"/>
    <w:rsid w:val="006254CA"/>
    <w:rsid w:val="006256A6"/>
    <w:rsid w:val="006258AF"/>
    <w:rsid w:val="00625D9F"/>
    <w:rsid w:val="006262A9"/>
    <w:rsid w:val="00626D80"/>
    <w:rsid w:val="006271F2"/>
    <w:rsid w:val="0063018D"/>
    <w:rsid w:val="00630326"/>
    <w:rsid w:val="00630B13"/>
    <w:rsid w:val="006313AA"/>
    <w:rsid w:val="0063140F"/>
    <w:rsid w:val="00631ACE"/>
    <w:rsid w:val="00631FD7"/>
    <w:rsid w:val="0063252F"/>
    <w:rsid w:val="00632C65"/>
    <w:rsid w:val="00634033"/>
    <w:rsid w:val="0063429A"/>
    <w:rsid w:val="00635154"/>
    <w:rsid w:val="006351ED"/>
    <w:rsid w:val="0063539F"/>
    <w:rsid w:val="006361E1"/>
    <w:rsid w:val="00636DE8"/>
    <w:rsid w:val="00637B54"/>
    <w:rsid w:val="00640394"/>
    <w:rsid w:val="006411D1"/>
    <w:rsid w:val="006412F1"/>
    <w:rsid w:val="006414C8"/>
    <w:rsid w:val="006414FD"/>
    <w:rsid w:val="006416AE"/>
    <w:rsid w:val="006418E2"/>
    <w:rsid w:val="00641CF5"/>
    <w:rsid w:val="00642739"/>
    <w:rsid w:val="00642A75"/>
    <w:rsid w:val="00642B95"/>
    <w:rsid w:val="00643024"/>
    <w:rsid w:val="006431CF"/>
    <w:rsid w:val="0064347A"/>
    <w:rsid w:val="00643608"/>
    <w:rsid w:val="00644970"/>
    <w:rsid w:val="00644C92"/>
    <w:rsid w:val="00645DA1"/>
    <w:rsid w:val="006465AF"/>
    <w:rsid w:val="00646D51"/>
    <w:rsid w:val="00647032"/>
    <w:rsid w:val="006472EC"/>
    <w:rsid w:val="00647965"/>
    <w:rsid w:val="006503B6"/>
    <w:rsid w:val="00651252"/>
    <w:rsid w:val="006512E7"/>
    <w:rsid w:val="00651CC0"/>
    <w:rsid w:val="006523F1"/>
    <w:rsid w:val="0065333C"/>
    <w:rsid w:val="00654D65"/>
    <w:rsid w:val="00655375"/>
    <w:rsid w:val="006553D7"/>
    <w:rsid w:val="006555BA"/>
    <w:rsid w:val="00655F8B"/>
    <w:rsid w:val="00657CB1"/>
    <w:rsid w:val="00657F1C"/>
    <w:rsid w:val="00660266"/>
    <w:rsid w:val="0066124F"/>
    <w:rsid w:val="00661489"/>
    <w:rsid w:val="0066182D"/>
    <w:rsid w:val="006618F8"/>
    <w:rsid w:val="00661DFF"/>
    <w:rsid w:val="006623BF"/>
    <w:rsid w:val="006626CD"/>
    <w:rsid w:val="00662DD5"/>
    <w:rsid w:val="00662FF1"/>
    <w:rsid w:val="00663285"/>
    <w:rsid w:val="00663625"/>
    <w:rsid w:val="00663B8A"/>
    <w:rsid w:val="00663DFD"/>
    <w:rsid w:val="00664A7B"/>
    <w:rsid w:val="00664B06"/>
    <w:rsid w:val="00664B38"/>
    <w:rsid w:val="006653A1"/>
    <w:rsid w:val="006654EE"/>
    <w:rsid w:val="00665CBF"/>
    <w:rsid w:val="0066754B"/>
    <w:rsid w:val="00667D8F"/>
    <w:rsid w:val="006702CA"/>
    <w:rsid w:val="0067070E"/>
    <w:rsid w:val="00670810"/>
    <w:rsid w:val="00671486"/>
    <w:rsid w:val="00671CAD"/>
    <w:rsid w:val="006722D3"/>
    <w:rsid w:val="00672793"/>
    <w:rsid w:val="00672F85"/>
    <w:rsid w:val="00672FA5"/>
    <w:rsid w:val="00673446"/>
    <w:rsid w:val="00674145"/>
    <w:rsid w:val="006756AE"/>
    <w:rsid w:val="0067578C"/>
    <w:rsid w:val="00676505"/>
    <w:rsid w:val="00677387"/>
    <w:rsid w:val="006774E4"/>
    <w:rsid w:val="006815F5"/>
    <w:rsid w:val="00681DA9"/>
    <w:rsid w:val="006826F5"/>
    <w:rsid w:val="006827F7"/>
    <w:rsid w:val="00682F1A"/>
    <w:rsid w:val="00682FC2"/>
    <w:rsid w:val="00683D44"/>
    <w:rsid w:val="00684FA9"/>
    <w:rsid w:val="00685585"/>
    <w:rsid w:val="00685B9B"/>
    <w:rsid w:val="0068610D"/>
    <w:rsid w:val="00686905"/>
    <w:rsid w:val="00686AAC"/>
    <w:rsid w:val="00686C6C"/>
    <w:rsid w:val="00687764"/>
    <w:rsid w:val="0068784B"/>
    <w:rsid w:val="006900AB"/>
    <w:rsid w:val="0069117A"/>
    <w:rsid w:val="006918E1"/>
    <w:rsid w:val="006921D0"/>
    <w:rsid w:val="006921E1"/>
    <w:rsid w:val="0069313D"/>
    <w:rsid w:val="006935AF"/>
    <w:rsid w:val="0069483A"/>
    <w:rsid w:val="00695D39"/>
    <w:rsid w:val="00696B79"/>
    <w:rsid w:val="006972A9"/>
    <w:rsid w:val="00697441"/>
    <w:rsid w:val="00697537"/>
    <w:rsid w:val="00697ACD"/>
    <w:rsid w:val="006A11E0"/>
    <w:rsid w:val="006A1250"/>
    <w:rsid w:val="006A21A0"/>
    <w:rsid w:val="006A2200"/>
    <w:rsid w:val="006A271C"/>
    <w:rsid w:val="006A38E7"/>
    <w:rsid w:val="006A3A66"/>
    <w:rsid w:val="006A3F89"/>
    <w:rsid w:val="006A4211"/>
    <w:rsid w:val="006A4A98"/>
    <w:rsid w:val="006A4BC7"/>
    <w:rsid w:val="006A4BD4"/>
    <w:rsid w:val="006A4FE4"/>
    <w:rsid w:val="006A598D"/>
    <w:rsid w:val="006A5D17"/>
    <w:rsid w:val="006A69E8"/>
    <w:rsid w:val="006A6B80"/>
    <w:rsid w:val="006A7910"/>
    <w:rsid w:val="006A7FE5"/>
    <w:rsid w:val="006A7FFD"/>
    <w:rsid w:val="006B062F"/>
    <w:rsid w:val="006B1252"/>
    <w:rsid w:val="006B2164"/>
    <w:rsid w:val="006B335E"/>
    <w:rsid w:val="006B3725"/>
    <w:rsid w:val="006B3DC8"/>
    <w:rsid w:val="006B6012"/>
    <w:rsid w:val="006B63E6"/>
    <w:rsid w:val="006B6C99"/>
    <w:rsid w:val="006B6E72"/>
    <w:rsid w:val="006B72F9"/>
    <w:rsid w:val="006B7AB8"/>
    <w:rsid w:val="006B7D49"/>
    <w:rsid w:val="006C0F97"/>
    <w:rsid w:val="006C13F8"/>
    <w:rsid w:val="006C1632"/>
    <w:rsid w:val="006C1B4A"/>
    <w:rsid w:val="006C1F99"/>
    <w:rsid w:val="006C31BF"/>
    <w:rsid w:val="006C3233"/>
    <w:rsid w:val="006C3CD7"/>
    <w:rsid w:val="006C3F9D"/>
    <w:rsid w:val="006C4DE4"/>
    <w:rsid w:val="006C51F0"/>
    <w:rsid w:val="006C60B5"/>
    <w:rsid w:val="006C6142"/>
    <w:rsid w:val="006C61F4"/>
    <w:rsid w:val="006C68C1"/>
    <w:rsid w:val="006C713A"/>
    <w:rsid w:val="006C791B"/>
    <w:rsid w:val="006C7DA9"/>
    <w:rsid w:val="006C7DFF"/>
    <w:rsid w:val="006D01B2"/>
    <w:rsid w:val="006D14CC"/>
    <w:rsid w:val="006D1E52"/>
    <w:rsid w:val="006D22B2"/>
    <w:rsid w:val="006D23BC"/>
    <w:rsid w:val="006D28AA"/>
    <w:rsid w:val="006D2C0D"/>
    <w:rsid w:val="006D2CA5"/>
    <w:rsid w:val="006D31DC"/>
    <w:rsid w:val="006D3CF8"/>
    <w:rsid w:val="006D415D"/>
    <w:rsid w:val="006D41D8"/>
    <w:rsid w:val="006D4DDE"/>
    <w:rsid w:val="006D4F11"/>
    <w:rsid w:val="006D5D00"/>
    <w:rsid w:val="006D60BB"/>
    <w:rsid w:val="006D6351"/>
    <w:rsid w:val="006D6AA4"/>
    <w:rsid w:val="006D7BF8"/>
    <w:rsid w:val="006E067F"/>
    <w:rsid w:val="006E13F3"/>
    <w:rsid w:val="006E1CCC"/>
    <w:rsid w:val="006E4167"/>
    <w:rsid w:val="006E4CD7"/>
    <w:rsid w:val="006E4EE9"/>
    <w:rsid w:val="006E4F93"/>
    <w:rsid w:val="006E501D"/>
    <w:rsid w:val="006E526F"/>
    <w:rsid w:val="006E5639"/>
    <w:rsid w:val="006F0400"/>
    <w:rsid w:val="006F4135"/>
    <w:rsid w:val="006F42BC"/>
    <w:rsid w:val="006F4525"/>
    <w:rsid w:val="006F4547"/>
    <w:rsid w:val="006F4580"/>
    <w:rsid w:val="006F4700"/>
    <w:rsid w:val="006F4995"/>
    <w:rsid w:val="006F4D01"/>
    <w:rsid w:val="006F53AD"/>
    <w:rsid w:val="006F5C00"/>
    <w:rsid w:val="006F6708"/>
    <w:rsid w:val="006F750E"/>
    <w:rsid w:val="00700389"/>
    <w:rsid w:val="00701403"/>
    <w:rsid w:val="00701720"/>
    <w:rsid w:val="00702018"/>
    <w:rsid w:val="007023F3"/>
    <w:rsid w:val="00702599"/>
    <w:rsid w:val="00702770"/>
    <w:rsid w:val="00702AB4"/>
    <w:rsid w:val="00703474"/>
    <w:rsid w:val="007034DE"/>
    <w:rsid w:val="00703C81"/>
    <w:rsid w:val="00703C9B"/>
    <w:rsid w:val="00703D11"/>
    <w:rsid w:val="00703D17"/>
    <w:rsid w:val="00704222"/>
    <w:rsid w:val="007047E0"/>
    <w:rsid w:val="00704F9F"/>
    <w:rsid w:val="0070562F"/>
    <w:rsid w:val="007057C1"/>
    <w:rsid w:val="00705C20"/>
    <w:rsid w:val="0070669A"/>
    <w:rsid w:val="00706722"/>
    <w:rsid w:val="0070705F"/>
    <w:rsid w:val="007073AA"/>
    <w:rsid w:val="0070750B"/>
    <w:rsid w:val="007101F6"/>
    <w:rsid w:val="00710601"/>
    <w:rsid w:val="007112AE"/>
    <w:rsid w:val="00711A7B"/>
    <w:rsid w:val="00712855"/>
    <w:rsid w:val="00712BC6"/>
    <w:rsid w:val="00713171"/>
    <w:rsid w:val="007132B8"/>
    <w:rsid w:val="00713697"/>
    <w:rsid w:val="007140D0"/>
    <w:rsid w:val="00714BFD"/>
    <w:rsid w:val="0071539B"/>
    <w:rsid w:val="00715B8B"/>
    <w:rsid w:val="00715CCE"/>
    <w:rsid w:val="00716C7B"/>
    <w:rsid w:val="0071703E"/>
    <w:rsid w:val="00717173"/>
    <w:rsid w:val="00717669"/>
    <w:rsid w:val="007177DB"/>
    <w:rsid w:val="00717EC0"/>
    <w:rsid w:val="007209E8"/>
    <w:rsid w:val="007217DC"/>
    <w:rsid w:val="00721C9E"/>
    <w:rsid w:val="0072254A"/>
    <w:rsid w:val="0072370A"/>
    <w:rsid w:val="00723776"/>
    <w:rsid w:val="0072453F"/>
    <w:rsid w:val="00725E0D"/>
    <w:rsid w:val="007261AA"/>
    <w:rsid w:val="00726D82"/>
    <w:rsid w:val="0072771A"/>
    <w:rsid w:val="007278A8"/>
    <w:rsid w:val="00727C71"/>
    <w:rsid w:val="0073056C"/>
    <w:rsid w:val="0073099E"/>
    <w:rsid w:val="00730B91"/>
    <w:rsid w:val="00731C1B"/>
    <w:rsid w:val="00732C2A"/>
    <w:rsid w:val="00732C57"/>
    <w:rsid w:val="0073332A"/>
    <w:rsid w:val="00733F4E"/>
    <w:rsid w:val="00734122"/>
    <w:rsid w:val="007341F6"/>
    <w:rsid w:val="00734376"/>
    <w:rsid w:val="007347FC"/>
    <w:rsid w:val="007362B3"/>
    <w:rsid w:val="007369A2"/>
    <w:rsid w:val="00737151"/>
    <w:rsid w:val="00740DA7"/>
    <w:rsid w:val="0074115E"/>
    <w:rsid w:val="00741530"/>
    <w:rsid w:val="007422F9"/>
    <w:rsid w:val="00742376"/>
    <w:rsid w:val="00742954"/>
    <w:rsid w:val="0074301A"/>
    <w:rsid w:val="00743544"/>
    <w:rsid w:val="00743785"/>
    <w:rsid w:val="0074401D"/>
    <w:rsid w:val="00745978"/>
    <w:rsid w:val="00745DAB"/>
    <w:rsid w:val="00745EC3"/>
    <w:rsid w:val="0074629E"/>
    <w:rsid w:val="007465DB"/>
    <w:rsid w:val="00746F0A"/>
    <w:rsid w:val="00747FC0"/>
    <w:rsid w:val="00750057"/>
    <w:rsid w:val="00751307"/>
    <w:rsid w:val="00751810"/>
    <w:rsid w:val="0075184C"/>
    <w:rsid w:val="007520BF"/>
    <w:rsid w:val="00753495"/>
    <w:rsid w:val="00753829"/>
    <w:rsid w:val="00754CFB"/>
    <w:rsid w:val="0075516A"/>
    <w:rsid w:val="00755286"/>
    <w:rsid w:val="00755405"/>
    <w:rsid w:val="00755813"/>
    <w:rsid w:val="00755849"/>
    <w:rsid w:val="00756168"/>
    <w:rsid w:val="00756633"/>
    <w:rsid w:val="007568F4"/>
    <w:rsid w:val="00756F1C"/>
    <w:rsid w:val="0075750E"/>
    <w:rsid w:val="00757B4D"/>
    <w:rsid w:val="00760894"/>
    <w:rsid w:val="00761A15"/>
    <w:rsid w:val="00761C96"/>
    <w:rsid w:val="00761D81"/>
    <w:rsid w:val="00761F4E"/>
    <w:rsid w:val="007629ED"/>
    <w:rsid w:val="00762DC8"/>
    <w:rsid w:val="00763460"/>
    <w:rsid w:val="007639BC"/>
    <w:rsid w:val="00763A24"/>
    <w:rsid w:val="00764A06"/>
    <w:rsid w:val="00764C6C"/>
    <w:rsid w:val="007660CB"/>
    <w:rsid w:val="0076757A"/>
    <w:rsid w:val="007675A4"/>
    <w:rsid w:val="007711E5"/>
    <w:rsid w:val="00772608"/>
    <w:rsid w:val="0077425D"/>
    <w:rsid w:val="0077463F"/>
    <w:rsid w:val="00774C29"/>
    <w:rsid w:val="00775330"/>
    <w:rsid w:val="00775351"/>
    <w:rsid w:val="0077571F"/>
    <w:rsid w:val="00777010"/>
    <w:rsid w:val="007778D7"/>
    <w:rsid w:val="00777ADA"/>
    <w:rsid w:val="00781089"/>
    <w:rsid w:val="007815C0"/>
    <w:rsid w:val="00781651"/>
    <w:rsid w:val="007822EF"/>
    <w:rsid w:val="007835CA"/>
    <w:rsid w:val="00783EE2"/>
    <w:rsid w:val="0078487C"/>
    <w:rsid w:val="007849E2"/>
    <w:rsid w:val="00784DED"/>
    <w:rsid w:val="00786A83"/>
    <w:rsid w:val="00786ADE"/>
    <w:rsid w:val="007873E4"/>
    <w:rsid w:val="007879D1"/>
    <w:rsid w:val="0079050F"/>
    <w:rsid w:val="00790542"/>
    <w:rsid w:val="007908DD"/>
    <w:rsid w:val="00790E86"/>
    <w:rsid w:val="00790EB7"/>
    <w:rsid w:val="00791D1E"/>
    <w:rsid w:val="007926B6"/>
    <w:rsid w:val="007933EC"/>
    <w:rsid w:val="00793790"/>
    <w:rsid w:val="007975BC"/>
    <w:rsid w:val="00797E4F"/>
    <w:rsid w:val="007A02E6"/>
    <w:rsid w:val="007A07BD"/>
    <w:rsid w:val="007A16BA"/>
    <w:rsid w:val="007A291B"/>
    <w:rsid w:val="007A4139"/>
    <w:rsid w:val="007A4981"/>
    <w:rsid w:val="007A541D"/>
    <w:rsid w:val="007A604B"/>
    <w:rsid w:val="007A63B2"/>
    <w:rsid w:val="007A72C0"/>
    <w:rsid w:val="007A7390"/>
    <w:rsid w:val="007A77B7"/>
    <w:rsid w:val="007A7EB3"/>
    <w:rsid w:val="007B0487"/>
    <w:rsid w:val="007B0F22"/>
    <w:rsid w:val="007B112B"/>
    <w:rsid w:val="007B13D0"/>
    <w:rsid w:val="007B223B"/>
    <w:rsid w:val="007B27DB"/>
    <w:rsid w:val="007B2E65"/>
    <w:rsid w:val="007B5A64"/>
    <w:rsid w:val="007B72C3"/>
    <w:rsid w:val="007B7A5F"/>
    <w:rsid w:val="007B7CA1"/>
    <w:rsid w:val="007C0096"/>
    <w:rsid w:val="007C056D"/>
    <w:rsid w:val="007C1182"/>
    <w:rsid w:val="007C163A"/>
    <w:rsid w:val="007C2C2C"/>
    <w:rsid w:val="007C3E46"/>
    <w:rsid w:val="007C3FA7"/>
    <w:rsid w:val="007C42F3"/>
    <w:rsid w:val="007C4328"/>
    <w:rsid w:val="007C4E25"/>
    <w:rsid w:val="007C5243"/>
    <w:rsid w:val="007C60B5"/>
    <w:rsid w:val="007C6948"/>
    <w:rsid w:val="007D019C"/>
    <w:rsid w:val="007D02E0"/>
    <w:rsid w:val="007D0C18"/>
    <w:rsid w:val="007D1675"/>
    <w:rsid w:val="007D17EC"/>
    <w:rsid w:val="007D1A4A"/>
    <w:rsid w:val="007D21C7"/>
    <w:rsid w:val="007D2BB6"/>
    <w:rsid w:val="007D2BE1"/>
    <w:rsid w:val="007D3060"/>
    <w:rsid w:val="007D31D9"/>
    <w:rsid w:val="007D5364"/>
    <w:rsid w:val="007D53C1"/>
    <w:rsid w:val="007D5418"/>
    <w:rsid w:val="007D542E"/>
    <w:rsid w:val="007D5441"/>
    <w:rsid w:val="007D5E96"/>
    <w:rsid w:val="007D6129"/>
    <w:rsid w:val="007D6195"/>
    <w:rsid w:val="007D62DA"/>
    <w:rsid w:val="007D6534"/>
    <w:rsid w:val="007D6A20"/>
    <w:rsid w:val="007D6AD6"/>
    <w:rsid w:val="007D6F21"/>
    <w:rsid w:val="007D775F"/>
    <w:rsid w:val="007D77C8"/>
    <w:rsid w:val="007D79DA"/>
    <w:rsid w:val="007D7F80"/>
    <w:rsid w:val="007E0704"/>
    <w:rsid w:val="007E10FC"/>
    <w:rsid w:val="007E13F3"/>
    <w:rsid w:val="007E17F5"/>
    <w:rsid w:val="007E218B"/>
    <w:rsid w:val="007E2291"/>
    <w:rsid w:val="007E22BA"/>
    <w:rsid w:val="007E2C79"/>
    <w:rsid w:val="007E3661"/>
    <w:rsid w:val="007E3777"/>
    <w:rsid w:val="007E3C33"/>
    <w:rsid w:val="007E3F11"/>
    <w:rsid w:val="007E44D2"/>
    <w:rsid w:val="007E49CE"/>
    <w:rsid w:val="007E5A15"/>
    <w:rsid w:val="007E5ACB"/>
    <w:rsid w:val="007E6000"/>
    <w:rsid w:val="007E6192"/>
    <w:rsid w:val="007E6C1C"/>
    <w:rsid w:val="007E6FD8"/>
    <w:rsid w:val="007F0672"/>
    <w:rsid w:val="007F0DD3"/>
    <w:rsid w:val="007F13CA"/>
    <w:rsid w:val="007F13FC"/>
    <w:rsid w:val="007F1C28"/>
    <w:rsid w:val="007F21EA"/>
    <w:rsid w:val="007F4C29"/>
    <w:rsid w:val="007F5219"/>
    <w:rsid w:val="007F5E8E"/>
    <w:rsid w:val="007F67A3"/>
    <w:rsid w:val="007F6B21"/>
    <w:rsid w:val="007F7C29"/>
    <w:rsid w:val="007F7D06"/>
    <w:rsid w:val="008002F9"/>
    <w:rsid w:val="00801426"/>
    <w:rsid w:val="00801B96"/>
    <w:rsid w:val="0080273D"/>
    <w:rsid w:val="008037C7"/>
    <w:rsid w:val="00803A69"/>
    <w:rsid w:val="00803B6A"/>
    <w:rsid w:val="00803D5D"/>
    <w:rsid w:val="00803E6C"/>
    <w:rsid w:val="00803FAA"/>
    <w:rsid w:val="00804AE6"/>
    <w:rsid w:val="00804D5E"/>
    <w:rsid w:val="00805B81"/>
    <w:rsid w:val="0081153F"/>
    <w:rsid w:val="0081194D"/>
    <w:rsid w:val="0081269B"/>
    <w:rsid w:val="00812BC4"/>
    <w:rsid w:val="0081353A"/>
    <w:rsid w:val="00813942"/>
    <w:rsid w:val="008161E9"/>
    <w:rsid w:val="00816566"/>
    <w:rsid w:val="00817322"/>
    <w:rsid w:val="008175FB"/>
    <w:rsid w:val="008177D1"/>
    <w:rsid w:val="00820434"/>
    <w:rsid w:val="00820ADD"/>
    <w:rsid w:val="00821ABA"/>
    <w:rsid w:val="0082231D"/>
    <w:rsid w:val="0082249B"/>
    <w:rsid w:val="008229EE"/>
    <w:rsid w:val="008230F5"/>
    <w:rsid w:val="00824115"/>
    <w:rsid w:val="008241DD"/>
    <w:rsid w:val="008247E2"/>
    <w:rsid w:val="0082543A"/>
    <w:rsid w:val="008254EF"/>
    <w:rsid w:val="0082565E"/>
    <w:rsid w:val="008261D3"/>
    <w:rsid w:val="008268B8"/>
    <w:rsid w:val="00827879"/>
    <w:rsid w:val="00827BD2"/>
    <w:rsid w:val="00827C16"/>
    <w:rsid w:val="0083048A"/>
    <w:rsid w:val="00831D03"/>
    <w:rsid w:val="00831E08"/>
    <w:rsid w:val="00831EBC"/>
    <w:rsid w:val="00831EEC"/>
    <w:rsid w:val="0083219F"/>
    <w:rsid w:val="00832373"/>
    <w:rsid w:val="008326F0"/>
    <w:rsid w:val="0083415A"/>
    <w:rsid w:val="00834896"/>
    <w:rsid w:val="00834EBD"/>
    <w:rsid w:val="00835E4C"/>
    <w:rsid w:val="0083634D"/>
    <w:rsid w:val="008368A0"/>
    <w:rsid w:val="00836C04"/>
    <w:rsid w:val="00836E7F"/>
    <w:rsid w:val="00837445"/>
    <w:rsid w:val="00837B8C"/>
    <w:rsid w:val="00837F12"/>
    <w:rsid w:val="00837F1E"/>
    <w:rsid w:val="00840068"/>
    <w:rsid w:val="008410A0"/>
    <w:rsid w:val="00842463"/>
    <w:rsid w:val="00842898"/>
    <w:rsid w:val="00842BB1"/>
    <w:rsid w:val="008431EC"/>
    <w:rsid w:val="00843757"/>
    <w:rsid w:val="008441C2"/>
    <w:rsid w:val="00844B54"/>
    <w:rsid w:val="00844EC4"/>
    <w:rsid w:val="00844F15"/>
    <w:rsid w:val="008453B6"/>
    <w:rsid w:val="008455FC"/>
    <w:rsid w:val="00845A69"/>
    <w:rsid w:val="00845AC0"/>
    <w:rsid w:val="008467CE"/>
    <w:rsid w:val="00846DD4"/>
    <w:rsid w:val="00847444"/>
    <w:rsid w:val="0084756A"/>
    <w:rsid w:val="00847FA2"/>
    <w:rsid w:val="0085001C"/>
    <w:rsid w:val="008508C1"/>
    <w:rsid w:val="00850BBA"/>
    <w:rsid w:val="00851664"/>
    <w:rsid w:val="00851916"/>
    <w:rsid w:val="0085222D"/>
    <w:rsid w:val="00852554"/>
    <w:rsid w:val="0085266D"/>
    <w:rsid w:val="00853040"/>
    <w:rsid w:val="00853A0E"/>
    <w:rsid w:val="00853F29"/>
    <w:rsid w:val="0085406D"/>
    <w:rsid w:val="00854964"/>
    <w:rsid w:val="00855114"/>
    <w:rsid w:val="00855273"/>
    <w:rsid w:val="008559C1"/>
    <w:rsid w:val="00855B72"/>
    <w:rsid w:val="00856307"/>
    <w:rsid w:val="00856375"/>
    <w:rsid w:val="00856E84"/>
    <w:rsid w:val="008578D0"/>
    <w:rsid w:val="0085798D"/>
    <w:rsid w:val="00860292"/>
    <w:rsid w:val="008602B1"/>
    <w:rsid w:val="0086039F"/>
    <w:rsid w:val="00860AE6"/>
    <w:rsid w:val="00860EB3"/>
    <w:rsid w:val="0086111E"/>
    <w:rsid w:val="008618A2"/>
    <w:rsid w:val="00861D26"/>
    <w:rsid w:val="00862439"/>
    <w:rsid w:val="00864056"/>
    <w:rsid w:val="00864E69"/>
    <w:rsid w:val="00864EE5"/>
    <w:rsid w:val="008660F7"/>
    <w:rsid w:val="00866478"/>
    <w:rsid w:val="0086673F"/>
    <w:rsid w:val="00866F1D"/>
    <w:rsid w:val="008677A3"/>
    <w:rsid w:val="00867C75"/>
    <w:rsid w:val="00870657"/>
    <w:rsid w:val="008706D4"/>
    <w:rsid w:val="0087159A"/>
    <w:rsid w:val="00872025"/>
    <w:rsid w:val="00872181"/>
    <w:rsid w:val="008725A6"/>
    <w:rsid w:val="00872E51"/>
    <w:rsid w:val="0087365A"/>
    <w:rsid w:val="00873898"/>
    <w:rsid w:val="008738DC"/>
    <w:rsid w:val="00873F36"/>
    <w:rsid w:val="008747ED"/>
    <w:rsid w:val="00875099"/>
    <w:rsid w:val="00875412"/>
    <w:rsid w:val="008759DF"/>
    <w:rsid w:val="00875DA8"/>
    <w:rsid w:val="0087656E"/>
    <w:rsid w:val="00877A4A"/>
    <w:rsid w:val="00877E75"/>
    <w:rsid w:val="00877E8C"/>
    <w:rsid w:val="008803DD"/>
    <w:rsid w:val="00880817"/>
    <w:rsid w:val="00881892"/>
    <w:rsid w:val="008818C4"/>
    <w:rsid w:val="00881D76"/>
    <w:rsid w:val="00882842"/>
    <w:rsid w:val="00884737"/>
    <w:rsid w:val="00884A74"/>
    <w:rsid w:val="008856A0"/>
    <w:rsid w:val="0088581E"/>
    <w:rsid w:val="00885EF5"/>
    <w:rsid w:val="00886D5C"/>
    <w:rsid w:val="00886E4D"/>
    <w:rsid w:val="00887721"/>
    <w:rsid w:val="0088799E"/>
    <w:rsid w:val="00887A51"/>
    <w:rsid w:val="008900D0"/>
    <w:rsid w:val="0089016A"/>
    <w:rsid w:val="00891422"/>
    <w:rsid w:val="008926C6"/>
    <w:rsid w:val="00893896"/>
    <w:rsid w:val="0089389B"/>
    <w:rsid w:val="00893C6F"/>
    <w:rsid w:val="00893EA5"/>
    <w:rsid w:val="00894E3F"/>
    <w:rsid w:val="0089526D"/>
    <w:rsid w:val="00895373"/>
    <w:rsid w:val="00895587"/>
    <w:rsid w:val="00895594"/>
    <w:rsid w:val="008960AB"/>
    <w:rsid w:val="00897427"/>
    <w:rsid w:val="008A053E"/>
    <w:rsid w:val="008A08F9"/>
    <w:rsid w:val="008A096A"/>
    <w:rsid w:val="008A0F6D"/>
    <w:rsid w:val="008A54BA"/>
    <w:rsid w:val="008A59FF"/>
    <w:rsid w:val="008A63E0"/>
    <w:rsid w:val="008A70CF"/>
    <w:rsid w:val="008A7C61"/>
    <w:rsid w:val="008A7CF1"/>
    <w:rsid w:val="008A7ED2"/>
    <w:rsid w:val="008B0BAF"/>
    <w:rsid w:val="008B1AF5"/>
    <w:rsid w:val="008B235E"/>
    <w:rsid w:val="008B2569"/>
    <w:rsid w:val="008B31CD"/>
    <w:rsid w:val="008B371F"/>
    <w:rsid w:val="008B4CB3"/>
    <w:rsid w:val="008B5083"/>
    <w:rsid w:val="008B5465"/>
    <w:rsid w:val="008B5B26"/>
    <w:rsid w:val="008B5BBE"/>
    <w:rsid w:val="008B5E36"/>
    <w:rsid w:val="008B6794"/>
    <w:rsid w:val="008B69F7"/>
    <w:rsid w:val="008B77B3"/>
    <w:rsid w:val="008C0698"/>
    <w:rsid w:val="008C0E95"/>
    <w:rsid w:val="008C1367"/>
    <w:rsid w:val="008C1585"/>
    <w:rsid w:val="008C1D1B"/>
    <w:rsid w:val="008C1F57"/>
    <w:rsid w:val="008C28F9"/>
    <w:rsid w:val="008C33A0"/>
    <w:rsid w:val="008C3B72"/>
    <w:rsid w:val="008C3BC0"/>
    <w:rsid w:val="008C4960"/>
    <w:rsid w:val="008C566A"/>
    <w:rsid w:val="008C570A"/>
    <w:rsid w:val="008C5BE4"/>
    <w:rsid w:val="008C5C5A"/>
    <w:rsid w:val="008C5E13"/>
    <w:rsid w:val="008C60A3"/>
    <w:rsid w:val="008C6F3C"/>
    <w:rsid w:val="008C7D90"/>
    <w:rsid w:val="008C7F40"/>
    <w:rsid w:val="008D04C1"/>
    <w:rsid w:val="008D057A"/>
    <w:rsid w:val="008D0671"/>
    <w:rsid w:val="008D0C2B"/>
    <w:rsid w:val="008D145D"/>
    <w:rsid w:val="008D18F7"/>
    <w:rsid w:val="008D2139"/>
    <w:rsid w:val="008D27B2"/>
    <w:rsid w:val="008D33DD"/>
    <w:rsid w:val="008D355F"/>
    <w:rsid w:val="008D40BA"/>
    <w:rsid w:val="008D4608"/>
    <w:rsid w:val="008D49DA"/>
    <w:rsid w:val="008D53DC"/>
    <w:rsid w:val="008D5909"/>
    <w:rsid w:val="008D5F43"/>
    <w:rsid w:val="008D6913"/>
    <w:rsid w:val="008D75E4"/>
    <w:rsid w:val="008D7694"/>
    <w:rsid w:val="008E002D"/>
    <w:rsid w:val="008E0DE6"/>
    <w:rsid w:val="008E1310"/>
    <w:rsid w:val="008E1DF0"/>
    <w:rsid w:val="008E2676"/>
    <w:rsid w:val="008E26F9"/>
    <w:rsid w:val="008E3C1A"/>
    <w:rsid w:val="008E3CFD"/>
    <w:rsid w:val="008E4BD0"/>
    <w:rsid w:val="008E53C8"/>
    <w:rsid w:val="008E543A"/>
    <w:rsid w:val="008E58B7"/>
    <w:rsid w:val="008E5EBA"/>
    <w:rsid w:val="008E643F"/>
    <w:rsid w:val="008E72B4"/>
    <w:rsid w:val="008E7AE7"/>
    <w:rsid w:val="008E7E09"/>
    <w:rsid w:val="008F0844"/>
    <w:rsid w:val="008F0D1F"/>
    <w:rsid w:val="008F1777"/>
    <w:rsid w:val="008F2088"/>
    <w:rsid w:val="008F20BF"/>
    <w:rsid w:val="008F2B07"/>
    <w:rsid w:val="008F2B65"/>
    <w:rsid w:val="008F2ED6"/>
    <w:rsid w:val="008F2F9E"/>
    <w:rsid w:val="008F3452"/>
    <w:rsid w:val="008F363F"/>
    <w:rsid w:val="008F387A"/>
    <w:rsid w:val="008F390B"/>
    <w:rsid w:val="008F3A0E"/>
    <w:rsid w:val="008F425B"/>
    <w:rsid w:val="008F4661"/>
    <w:rsid w:val="008F467B"/>
    <w:rsid w:val="008F482D"/>
    <w:rsid w:val="008F4E33"/>
    <w:rsid w:val="008F4F40"/>
    <w:rsid w:val="008F56B5"/>
    <w:rsid w:val="008F58D4"/>
    <w:rsid w:val="008F5C04"/>
    <w:rsid w:val="008F7A39"/>
    <w:rsid w:val="0090011B"/>
    <w:rsid w:val="00900B6F"/>
    <w:rsid w:val="009016D1"/>
    <w:rsid w:val="0090193E"/>
    <w:rsid w:val="00901C2A"/>
    <w:rsid w:val="00901F58"/>
    <w:rsid w:val="00902061"/>
    <w:rsid w:val="0090209D"/>
    <w:rsid w:val="0090216D"/>
    <w:rsid w:val="009038F7"/>
    <w:rsid w:val="00903DD3"/>
    <w:rsid w:val="00903EE4"/>
    <w:rsid w:val="0090425B"/>
    <w:rsid w:val="009042EF"/>
    <w:rsid w:val="0090450E"/>
    <w:rsid w:val="009053AD"/>
    <w:rsid w:val="0090561F"/>
    <w:rsid w:val="009057D6"/>
    <w:rsid w:val="0090719F"/>
    <w:rsid w:val="0090737A"/>
    <w:rsid w:val="009075B7"/>
    <w:rsid w:val="009075BE"/>
    <w:rsid w:val="00907D94"/>
    <w:rsid w:val="00910101"/>
    <w:rsid w:val="009120E7"/>
    <w:rsid w:val="00913B8F"/>
    <w:rsid w:val="00914116"/>
    <w:rsid w:val="009149C9"/>
    <w:rsid w:val="00914CF1"/>
    <w:rsid w:val="00915250"/>
    <w:rsid w:val="00916115"/>
    <w:rsid w:val="0091703E"/>
    <w:rsid w:val="0091726A"/>
    <w:rsid w:val="00917C25"/>
    <w:rsid w:val="00917F5E"/>
    <w:rsid w:val="00921227"/>
    <w:rsid w:val="009216C8"/>
    <w:rsid w:val="00922E78"/>
    <w:rsid w:val="00923747"/>
    <w:rsid w:val="00923A3D"/>
    <w:rsid w:val="00924566"/>
    <w:rsid w:val="0092492C"/>
    <w:rsid w:val="00924C00"/>
    <w:rsid w:val="00924C26"/>
    <w:rsid w:val="00924CD0"/>
    <w:rsid w:val="00925259"/>
    <w:rsid w:val="009255DB"/>
    <w:rsid w:val="00925B41"/>
    <w:rsid w:val="0092677C"/>
    <w:rsid w:val="00927096"/>
    <w:rsid w:val="00927F6A"/>
    <w:rsid w:val="0093053B"/>
    <w:rsid w:val="00931F85"/>
    <w:rsid w:val="00932DDE"/>
    <w:rsid w:val="0093300C"/>
    <w:rsid w:val="009337DC"/>
    <w:rsid w:val="009348B4"/>
    <w:rsid w:val="00934E75"/>
    <w:rsid w:val="009356E4"/>
    <w:rsid w:val="00935AB5"/>
    <w:rsid w:val="00935B41"/>
    <w:rsid w:val="00935E68"/>
    <w:rsid w:val="0093604B"/>
    <w:rsid w:val="00936302"/>
    <w:rsid w:val="00936DF0"/>
    <w:rsid w:val="00936F10"/>
    <w:rsid w:val="00937DFC"/>
    <w:rsid w:val="009401C0"/>
    <w:rsid w:val="00940929"/>
    <w:rsid w:val="00940C52"/>
    <w:rsid w:val="00940DE2"/>
    <w:rsid w:val="009411AB"/>
    <w:rsid w:val="00941340"/>
    <w:rsid w:val="00941A3F"/>
    <w:rsid w:val="0094382A"/>
    <w:rsid w:val="00943E8C"/>
    <w:rsid w:val="00943E94"/>
    <w:rsid w:val="00943FFE"/>
    <w:rsid w:val="00944D3E"/>
    <w:rsid w:val="0094525D"/>
    <w:rsid w:val="00945412"/>
    <w:rsid w:val="00945945"/>
    <w:rsid w:val="009459BF"/>
    <w:rsid w:val="0094603B"/>
    <w:rsid w:val="00946973"/>
    <w:rsid w:val="00946A37"/>
    <w:rsid w:val="0095022E"/>
    <w:rsid w:val="009506A1"/>
    <w:rsid w:val="009510E0"/>
    <w:rsid w:val="0095151F"/>
    <w:rsid w:val="00951C37"/>
    <w:rsid w:val="00954629"/>
    <w:rsid w:val="00955181"/>
    <w:rsid w:val="009561F4"/>
    <w:rsid w:val="0095681C"/>
    <w:rsid w:val="009569D0"/>
    <w:rsid w:val="00956AE3"/>
    <w:rsid w:val="00956B34"/>
    <w:rsid w:val="0095796E"/>
    <w:rsid w:val="00957987"/>
    <w:rsid w:val="009579EA"/>
    <w:rsid w:val="00960F5A"/>
    <w:rsid w:val="00961315"/>
    <w:rsid w:val="00961D2D"/>
    <w:rsid w:val="00961EE7"/>
    <w:rsid w:val="009626FA"/>
    <w:rsid w:val="009633F2"/>
    <w:rsid w:val="009639A9"/>
    <w:rsid w:val="009641A5"/>
    <w:rsid w:val="009642D9"/>
    <w:rsid w:val="009647F7"/>
    <w:rsid w:val="009652EE"/>
    <w:rsid w:val="009654E8"/>
    <w:rsid w:val="009654F4"/>
    <w:rsid w:val="0096557C"/>
    <w:rsid w:val="00965B09"/>
    <w:rsid w:val="00966300"/>
    <w:rsid w:val="00966698"/>
    <w:rsid w:val="00966FF3"/>
    <w:rsid w:val="00967ADA"/>
    <w:rsid w:val="00967AE2"/>
    <w:rsid w:val="00970C2E"/>
    <w:rsid w:val="00971703"/>
    <w:rsid w:val="00971A86"/>
    <w:rsid w:val="00971F0E"/>
    <w:rsid w:val="00972901"/>
    <w:rsid w:val="00972B6C"/>
    <w:rsid w:val="009730A0"/>
    <w:rsid w:val="009733EB"/>
    <w:rsid w:val="009734B4"/>
    <w:rsid w:val="00973BFC"/>
    <w:rsid w:val="0097491F"/>
    <w:rsid w:val="00974B63"/>
    <w:rsid w:val="00974C0D"/>
    <w:rsid w:val="00975295"/>
    <w:rsid w:val="0097529E"/>
    <w:rsid w:val="00975733"/>
    <w:rsid w:val="00976695"/>
    <w:rsid w:val="0097738B"/>
    <w:rsid w:val="00977882"/>
    <w:rsid w:val="0098017E"/>
    <w:rsid w:val="0098059D"/>
    <w:rsid w:val="00980EF7"/>
    <w:rsid w:val="00981050"/>
    <w:rsid w:val="00981B26"/>
    <w:rsid w:val="00981F8D"/>
    <w:rsid w:val="00982337"/>
    <w:rsid w:val="00982898"/>
    <w:rsid w:val="00983E66"/>
    <w:rsid w:val="00984896"/>
    <w:rsid w:val="00984952"/>
    <w:rsid w:val="0098497C"/>
    <w:rsid w:val="009849B7"/>
    <w:rsid w:val="00984FDB"/>
    <w:rsid w:val="0098545C"/>
    <w:rsid w:val="00986450"/>
    <w:rsid w:val="00987827"/>
    <w:rsid w:val="00987EB0"/>
    <w:rsid w:val="00990476"/>
    <w:rsid w:val="00990B4D"/>
    <w:rsid w:val="00990ED7"/>
    <w:rsid w:val="0099206B"/>
    <w:rsid w:val="00992869"/>
    <w:rsid w:val="009930C5"/>
    <w:rsid w:val="00993CB5"/>
    <w:rsid w:val="00993E73"/>
    <w:rsid w:val="00994071"/>
    <w:rsid w:val="00994E11"/>
    <w:rsid w:val="00994F68"/>
    <w:rsid w:val="00996B96"/>
    <w:rsid w:val="00997094"/>
    <w:rsid w:val="009977FC"/>
    <w:rsid w:val="009A075C"/>
    <w:rsid w:val="009A189A"/>
    <w:rsid w:val="009A1948"/>
    <w:rsid w:val="009A26CA"/>
    <w:rsid w:val="009A2762"/>
    <w:rsid w:val="009A3700"/>
    <w:rsid w:val="009A3E11"/>
    <w:rsid w:val="009A3E36"/>
    <w:rsid w:val="009A4BD6"/>
    <w:rsid w:val="009A523F"/>
    <w:rsid w:val="009A5811"/>
    <w:rsid w:val="009A5C2E"/>
    <w:rsid w:val="009A6813"/>
    <w:rsid w:val="009A6C7E"/>
    <w:rsid w:val="009A6CF2"/>
    <w:rsid w:val="009A719C"/>
    <w:rsid w:val="009A7308"/>
    <w:rsid w:val="009A7745"/>
    <w:rsid w:val="009B0103"/>
    <w:rsid w:val="009B080B"/>
    <w:rsid w:val="009B0993"/>
    <w:rsid w:val="009B0B4D"/>
    <w:rsid w:val="009B133A"/>
    <w:rsid w:val="009B1634"/>
    <w:rsid w:val="009B1BF8"/>
    <w:rsid w:val="009B2113"/>
    <w:rsid w:val="009B27E3"/>
    <w:rsid w:val="009B3715"/>
    <w:rsid w:val="009B384E"/>
    <w:rsid w:val="009B3FD6"/>
    <w:rsid w:val="009B4003"/>
    <w:rsid w:val="009B455D"/>
    <w:rsid w:val="009B4973"/>
    <w:rsid w:val="009B4B1F"/>
    <w:rsid w:val="009B55E4"/>
    <w:rsid w:val="009B5628"/>
    <w:rsid w:val="009B6918"/>
    <w:rsid w:val="009B6A4E"/>
    <w:rsid w:val="009B6CE2"/>
    <w:rsid w:val="009B7158"/>
    <w:rsid w:val="009B78AF"/>
    <w:rsid w:val="009B7F55"/>
    <w:rsid w:val="009C1018"/>
    <w:rsid w:val="009C1504"/>
    <w:rsid w:val="009C305C"/>
    <w:rsid w:val="009C3873"/>
    <w:rsid w:val="009C3B8C"/>
    <w:rsid w:val="009C3D21"/>
    <w:rsid w:val="009C3D2C"/>
    <w:rsid w:val="009C5066"/>
    <w:rsid w:val="009C53A8"/>
    <w:rsid w:val="009C57D5"/>
    <w:rsid w:val="009C590E"/>
    <w:rsid w:val="009C5FD6"/>
    <w:rsid w:val="009C6219"/>
    <w:rsid w:val="009C6607"/>
    <w:rsid w:val="009C6E85"/>
    <w:rsid w:val="009C7029"/>
    <w:rsid w:val="009C7420"/>
    <w:rsid w:val="009C7677"/>
    <w:rsid w:val="009C7EC9"/>
    <w:rsid w:val="009D047B"/>
    <w:rsid w:val="009D05C1"/>
    <w:rsid w:val="009D09D5"/>
    <w:rsid w:val="009D24E7"/>
    <w:rsid w:val="009D2505"/>
    <w:rsid w:val="009D3578"/>
    <w:rsid w:val="009D4214"/>
    <w:rsid w:val="009D6360"/>
    <w:rsid w:val="009D6965"/>
    <w:rsid w:val="009D7A10"/>
    <w:rsid w:val="009E0275"/>
    <w:rsid w:val="009E0735"/>
    <w:rsid w:val="009E073B"/>
    <w:rsid w:val="009E0BCF"/>
    <w:rsid w:val="009E14C4"/>
    <w:rsid w:val="009E1A72"/>
    <w:rsid w:val="009E2485"/>
    <w:rsid w:val="009E34ED"/>
    <w:rsid w:val="009E403C"/>
    <w:rsid w:val="009E40FE"/>
    <w:rsid w:val="009E4E86"/>
    <w:rsid w:val="009E4FE5"/>
    <w:rsid w:val="009E5C77"/>
    <w:rsid w:val="009E5E18"/>
    <w:rsid w:val="009E6B27"/>
    <w:rsid w:val="009E6C53"/>
    <w:rsid w:val="009F0F00"/>
    <w:rsid w:val="009F1BCB"/>
    <w:rsid w:val="009F21B9"/>
    <w:rsid w:val="009F240C"/>
    <w:rsid w:val="009F2603"/>
    <w:rsid w:val="009F27DA"/>
    <w:rsid w:val="009F2B2F"/>
    <w:rsid w:val="009F2E3F"/>
    <w:rsid w:val="009F33CC"/>
    <w:rsid w:val="009F371C"/>
    <w:rsid w:val="009F4064"/>
    <w:rsid w:val="009F589F"/>
    <w:rsid w:val="009F591A"/>
    <w:rsid w:val="009F5CC5"/>
    <w:rsid w:val="009F6798"/>
    <w:rsid w:val="009F6E46"/>
    <w:rsid w:val="009F7AC9"/>
    <w:rsid w:val="00A003AB"/>
    <w:rsid w:val="00A01046"/>
    <w:rsid w:val="00A020EB"/>
    <w:rsid w:val="00A02235"/>
    <w:rsid w:val="00A023C8"/>
    <w:rsid w:val="00A03D53"/>
    <w:rsid w:val="00A0419B"/>
    <w:rsid w:val="00A04351"/>
    <w:rsid w:val="00A05096"/>
    <w:rsid w:val="00A05531"/>
    <w:rsid w:val="00A075C6"/>
    <w:rsid w:val="00A076AE"/>
    <w:rsid w:val="00A078C4"/>
    <w:rsid w:val="00A114C3"/>
    <w:rsid w:val="00A11569"/>
    <w:rsid w:val="00A126BC"/>
    <w:rsid w:val="00A12A48"/>
    <w:rsid w:val="00A12B0B"/>
    <w:rsid w:val="00A13182"/>
    <w:rsid w:val="00A13DA4"/>
    <w:rsid w:val="00A14188"/>
    <w:rsid w:val="00A1432E"/>
    <w:rsid w:val="00A1492A"/>
    <w:rsid w:val="00A14AFE"/>
    <w:rsid w:val="00A152D7"/>
    <w:rsid w:val="00A15D00"/>
    <w:rsid w:val="00A16154"/>
    <w:rsid w:val="00A165CA"/>
    <w:rsid w:val="00A168C8"/>
    <w:rsid w:val="00A16980"/>
    <w:rsid w:val="00A16AB7"/>
    <w:rsid w:val="00A170D7"/>
    <w:rsid w:val="00A1737A"/>
    <w:rsid w:val="00A17B42"/>
    <w:rsid w:val="00A17CE1"/>
    <w:rsid w:val="00A20063"/>
    <w:rsid w:val="00A20C89"/>
    <w:rsid w:val="00A21443"/>
    <w:rsid w:val="00A2159B"/>
    <w:rsid w:val="00A215CA"/>
    <w:rsid w:val="00A21FD0"/>
    <w:rsid w:val="00A221C3"/>
    <w:rsid w:val="00A22AF4"/>
    <w:rsid w:val="00A22E47"/>
    <w:rsid w:val="00A22EB0"/>
    <w:rsid w:val="00A22EDE"/>
    <w:rsid w:val="00A23775"/>
    <w:rsid w:val="00A237EE"/>
    <w:rsid w:val="00A23D00"/>
    <w:rsid w:val="00A24F08"/>
    <w:rsid w:val="00A24F81"/>
    <w:rsid w:val="00A25027"/>
    <w:rsid w:val="00A25D76"/>
    <w:rsid w:val="00A25EDF"/>
    <w:rsid w:val="00A26153"/>
    <w:rsid w:val="00A262D8"/>
    <w:rsid w:val="00A264FC"/>
    <w:rsid w:val="00A26778"/>
    <w:rsid w:val="00A2729E"/>
    <w:rsid w:val="00A27C77"/>
    <w:rsid w:val="00A302EF"/>
    <w:rsid w:val="00A31086"/>
    <w:rsid w:val="00A315ED"/>
    <w:rsid w:val="00A31E9E"/>
    <w:rsid w:val="00A32404"/>
    <w:rsid w:val="00A32921"/>
    <w:rsid w:val="00A32BDB"/>
    <w:rsid w:val="00A3433A"/>
    <w:rsid w:val="00A3446A"/>
    <w:rsid w:val="00A3471B"/>
    <w:rsid w:val="00A34FF4"/>
    <w:rsid w:val="00A361C8"/>
    <w:rsid w:val="00A36910"/>
    <w:rsid w:val="00A36B88"/>
    <w:rsid w:val="00A36E2E"/>
    <w:rsid w:val="00A373C8"/>
    <w:rsid w:val="00A37522"/>
    <w:rsid w:val="00A3792B"/>
    <w:rsid w:val="00A37DB8"/>
    <w:rsid w:val="00A4009F"/>
    <w:rsid w:val="00A40394"/>
    <w:rsid w:val="00A4081A"/>
    <w:rsid w:val="00A40E38"/>
    <w:rsid w:val="00A41619"/>
    <w:rsid w:val="00A41801"/>
    <w:rsid w:val="00A418FC"/>
    <w:rsid w:val="00A41FB4"/>
    <w:rsid w:val="00A42C68"/>
    <w:rsid w:val="00A430C7"/>
    <w:rsid w:val="00A43C09"/>
    <w:rsid w:val="00A43C8B"/>
    <w:rsid w:val="00A44E74"/>
    <w:rsid w:val="00A45964"/>
    <w:rsid w:val="00A45D7B"/>
    <w:rsid w:val="00A46A83"/>
    <w:rsid w:val="00A4702E"/>
    <w:rsid w:val="00A4770D"/>
    <w:rsid w:val="00A47D8A"/>
    <w:rsid w:val="00A47E18"/>
    <w:rsid w:val="00A508B6"/>
    <w:rsid w:val="00A50E47"/>
    <w:rsid w:val="00A510F5"/>
    <w:rsid w:val="00A511E5"/>
    <w:rsid w:val="00A5214F"/>
    <w:rsid w:val="00A5273A"/>
    <w:rsid w:val="00A52786"/>
    <w:rsid w:val="00A53E42"/>
    <w:rsid w:val="00A53E53"/>
    <w:rsid w:val="00A54244"/>
    <w:rsid w:val="00A55AFB"/>
    <w:rsid w:val="00A55C07"/>
    <w:rsid w:val="00A55C71"/>
    <w:rsid w:val="00A55DA3"/>
    <w:rsid w:val="00A55F5C"/>
    <w:rsid w:val="00A60BA1"/>
    <w:rsid w:val="00A610F1"/>
    <w:rsid w:val="00A61330"/>
    <w:rsid w:val="00A61635"/>
    <w:rsid w:val="00A61E82"/>
    <w:rsid w:val="00A623E0"/>
    <w:rsid w:val="00A62A49"/>
    <w:rsid w:val="00A64507"/>
    <w:rsid w:val="00A64C0A"/>
    <w:rsid w:val="00A65DC9"/>
    <w:rsid w:val="00A664FC"/>
    <w:rsid w:val="00A66BB7"/>
    <w:rsid w:val="00A674F7"/>
    <w:rsid w:val="00A67CE7"/>
    <w:rsid w:val="00A7072E"/>
    <w:rsid w:val="00A713D9"/>
    <w:rsid w:val="00A72D85"/>
    <w:rsid w:val="00A7327D"/>
    <w:rsid w:val="00A732E0"/>
    <w:rsid w:val="00A7343F"/>
    <w:rsid w:val="00A7412F"/>
    <w:rsid w:val="00A75E28"/>
    <w:rsid w:val="00A76DEA"/>
    <w:rsid w:val="00A77B82"/>
    <w:rsid w:val="00A80449"/>
    <w:rsid w:val="00A8162F"/>
    <w:rsid w:val="00A819AC"/>
    <w:rsid w:val="00A81D14"/>
    <w:rsid w:val="00A81F5A"/>
    <w:rsid w:val="00A8252A"/>
    <w:rsid w:val="00A82850"/>
    <w:rsid w:val="00A834E1"/>
    <w:rsid w:val="00A837B2"/>
    <w:rsid w:val="00A84012"/>
    <w:rsid w:val="00A843FD"/>
    <w:rsid w:val="00A84677"/>
    <w:rsid w:val="00A84CD6"/>
    <w:rsid w:val="00A84F40"/>
    <w:rsid w:val="00A8532B"/>
    <w:rsid w:val="00A8532C"/>
    <w:rsid w:val="00A8585E"/>
    <w:rsid w:val="00A864EF"/>
    <w:rsid w:val="00A8723D"/>
    <w:rsid w:val="00A873EC"/>
    <w:rsid w:val="00A87DE8"/>
    <w:rsid w:val="00A905A8"/>
    <w:rsid w:val="00A90706"/>
    <w:rsid w:val="00A91070"/>
    <w:rsid w:val="00A91655"/>
    <w:rsid w:val="00A91A89"/>
    <w:rsid w:val="00A921DD"/>
    <w:rsid w:val="00A92DF5"/>
    <w:rsid w:val="00A93098"/>
    <w:rsid w:val="00A934C3"/>
    <w:rsid w:val="00A943EB"/>
    <w:rsid w:val="00A94E5A"/>
    <w:rsid w:val="00A95033"/>
    <w:rsid w:val="00A95292"/>
    <w:rsid w:val="00A95488"/>
    <w:rsid w:val="00A95961"/>
    <w:rsid w:val="00A95A00"/>
    <w:rsid w:val="00A96057"/>
    <w:rsid w:val="00A962AC"/>
    <w:rsid w:val="00A96564"/>
    <w:rsid w:val="00A96777"/>
    <w:rsid w:val="00AA26E8"/>
    <w:rsid w:val="00AA350E"/>
    <w:rsid w:val="00AA4442"/>
    <w:rsid w:val="00AA448C"/>
    <w:rsid w:val="00AA4783"/>
    <w:rsid w:val="00AA5196"/>
    <w:rsid w:val="00AA5852"/>
    <w:rsid w:val="00AA6471"/>
    <w:rsid w:val="00AA652B"/>
    <w:rsid w:val="00AA7996"/>
    <w:rsid w:val="00AA7A01"/>
    <w:rsid w:val="00AB078D"/>
    <w:rsid w:val="00AB0A37"/>
    <w:rsid w:val="00AB0CFD"/>
    <w:rsid w:val="00AB0ECD"/>
    <w:rsid w:val="00AB1CDE"/>
    <w:rsid w:val="00AB232C"/>
    <w:rsid w:val="00AB306F"/>
    <w:rsid w:val="00AB31D5"/>
    <w:rsid w:val="00AB3AB4"/>
    <w:rsid w:val="00AB43AB"/>
    <w:rsid w:val="00AB4E28"/>
    <w:rsid w:val="00AB4FEF"/>
    <w:rsid w:val="00AB6E11"/>
    <w:rsid w:val="00AB6F69"/>
    <w:rsid w:val="00AB7BD1"/>
    <w:rsid w:val="00AC0C84"/>
    <w:rsid w:val="00AC1EA3"/>
    <w:rsid w:val="00AC2AB5"/>
    <w:rsid w:val="00AC3172"/>
    <w:rsid w:val="00AC3AC0"/>
    <w:rsid w:val="00AC42C6"/>
    <w:rsid w:val="00AC45B9"/>
    <w:rsid w:val="00AC5DE6"/>
    <w:rsid w:val="00AC683A"/>
    <w:rsid w:val="00AC6D98"/>
    <w:rsid w:val="00AC79F6"/>
    <w:rsid w:val="00AD0624"/>
    <w:rsid w:val="00AD0754"/>
    <w:rsid w:val="00AD1042"/>
    <w:rsid w:val="00AD1500"/>
    <w:rsid w:val="00AD18C0"/>
    <w:rsid w:val="00AD1CEE"/>
    <w:rsid w:val="00AD24E4"/>
    <w:rsid w:val="00AD2880"/>
    <w:rsid w:val="00AD48ED"/>
    <w:rsid w:val="00AD4CB2"/>
    <w:rsid w:val="00AD53DB"/>
    <w:rsid w:val="00AD5667"/>
    <w:rsid w:val="00AD56D6"/>
    <w:rsid w:val="00AD57EB"/>
    <w:rsid w:val="00AD67AF"/>
    <w:rsid w:val="00AD7085"/>
    <w:rsid w:val="00AD7639"/>
    <w:rsid w:val="00AD76DC"/>
    <w:rsid w:val="00AD7C96"/>
    <w:rsid w:val="00AE0356"/>
    <w:rsid w:val="00AE178B"/>
    <w:rsid w:val="00AE1A13"/>
    <w:rsid w:val="00AE209C"/>
    <w:rsid w:val="00AE2110"/>
    <w:rsid w:val="00AE21B9"/>
    <w:rsid w:val="00AE2F27"/>
    <w:rsid w:val="00AE2FD1"/>
    <w:rsid w:val="00AE3087"/>
    <w:rsid w:val="00AE320D"/>
    <w:rsid w:val="00AE3977"/>
    <w:rsid w:val="00AE49E8"/>
    <w:rsid w:val="00AE4E0E"/>
    <w:rsid w:val="00AE5E03"/>
    <w:rsid w:val="00AE5F16"/>
    <w:rsid w:val="00AE5F76"/>
    <w:rsid w:val="00AE61EA"/>
    <w:rsid w:val="00AE6682"/>
    <w:rsid w:val="00AE7026"/>
    <w:rsid w:val="00AF0B1C"/>
    <w:rsid w:val="00AF14FD"/>
    <w:rsid w:val="00AF1A4A"/>
    <w:rsid w:val="00AF2010"/>
    <w:rsid w:val="00AF2048"/>
    <w:rsid w:val="00AF341F"/>
    <w:rsid w:val="00AF38BC"/>
    <w:rsid w:val="00AF44B2"/>
    <w:rsid w:val="00AF556B"/>
    <w:rsid w:val="00AF5901"/>
    <w:rsid w:val="00AF599B"/>
    <w:rsid w:val="00AF6338"/>
    <w:rsid w:val="00AF63A0"/>
    <w:rsid w:val="00AF754E"/>
    <w:rsid w:val="00AF79BD"/>
    <w:rsid w:val="00AF7BF1"/>
    <w:rsid w:val="00B00203"/>
    <w:rsid w:val="00B00635"/>
    <w:rsid w:val="00B0082B"/>
    <w:rsid w:val="00B00855"/>
    <w:rsid w:val="00B009ED"/>
    <w:rsid w:val="00B00C2D"/>
    <w:rsid w:val="00B00C48"/>
    <w:rsid w:val="00B00FC6"/>
    <w:rsid w:val="00B014B5"/>
    <w:rsid w:val="00B01B71"/>
    <w:rsid w:val="00B028A6"/>
    <w:rsid w:val="00B03FB1"/>
    <w:rsid w:val="00B04B94"/>
    <w:rsid w:val="00B0510F"/>
    <w:rsid w:val="00B051FD"/>
    <w:rsid w:val="00B05670"/>
    <w:rsid w:val="00B05DEA"/>
    <w:rsid w:val="00B05E81"/>
    <w:rsid w:val="00B05FEA"/>
    <w:rsid w:val="00B06728"/>
    <w:rsid w:val="00B069E4"/>
    <w:rsid w:val="00B07237"/>
    <w:rsid w:val="00B07A3C"/>
    <w:rsid w:val="00B07FE9"/>
    <w:rsid w:val="00B10D9A"/>
    <w:rsid w:val="00B10F7C"/>
    <w:rsid w:val="00B113F5"/>
    <w:rsid w:val="00B12500"/>
    <w:rsid w:val="00B125FE"/>
    <w:rsid w:val="00B12A6E"/>
    <w:rsid w:val="00B12DAA"/>
    <w:rsid w:val="00B13464"/>
    <w:rsid w:val="00B13D50"/>
    <w:rsid w:val="00B14D78"/>
    <w:rsid w:val="00B14E28"/>
    <w:rsid w:val="00B15FF3"/>
    <w:rsid w:val="00B16657"/>
    <w:rsid w:val="00B16BE6"/>
    <w:rsid w:val="00B16F83"/>
    <w:rsid w:val="00B170D9"/>
    <w:rsid w:val="00B201BD"/>
    <w:rsid w:val="00B2032A"/>
    <w:rsid w:val="00B205A3"/>
    <w:rsid w:val="00B2085C"/>
    <w:rsid w:val="00B21231"/>
    <w:rsid w:val="00B2229D"/>
    <w:rsid w:val="00B2346E"/>
    <w:rsid w:val="00B239CD"/>
    <w:rsid w:val="00B23A99"/>
    <w:rsid w:val="00B245B9"/>
    <w:rsid w:val="00B247C1"/>
    <w:rsid w:val="00B24CB0"/>
    <w:rsid w:val="00B25753"/>
    <w:rsid w:val="00B26122"/>
    <w:rsid w:val="00B26A01"/>
    <w:rsid w:val="00B26D89"/>
    <w:rsid w:val="00B2727C"/>
    <w:rsid w:val="00B27321"/>
    <w:rsid w:val="00B30541"/>
    <w:rsid w:val="00B311C8"/>
    <w:rsid w:val="00B31689"/>
    <w:rsid w:val="00B31D94"/>
    <w:rsid w:val="00B31E42"/>
    <w:rsid w:val="00B328A3"/>
    <w:rsid w:val="00B331F6"/>
    <w:rsid w:val="00B336F5"/>
    <w:rsid w:val="00B33976"/>
    <w:rsid w:val="00B33B0B"/>
    <w:rsid w:val="00B34527"/>
    <w:rsid w:val="00B34B80"/>
    <w:rsid w:val="00B3634A"/>
    <w:rsid w:val="00B36381"/>
    <w:rsid w:val="00B3669E"/>
    <w:rsid w:val="00B36A17"/>
    <w:rsid w:val="00B400E9"/>
    <w:rsid w:val="00B4034C"/>
    <w:rsid w:val="00B407A2"/>
    <w:rsid w:val="00B4191D"/>
    <w:rsid w:val="00B41EDE"/>
    <w:rsid w:val="00B420B1"/>
    <w:rsid w:val="00B4239C"/>
    <w:rsid w:val="00B424D4"/>
    <w:rsid w:val="00B42764"/>
    <w:rsid w:val="00B42D40"/>
    <w:rsid w:val="00B431D6"/>
    <w:rsid w:val="00B446FB"/>
    <w:rsid w:val="00B44F5F"/>
    <w:rsid w:val="00B45CAC"/>
    <w:rsid w:val="00B460D1"/>
    <w:rsid w:val="00B47CBE"/>
    <w:rsid w:val="00B47EF5"/>
    <w:rsid w:val="00B47FD8"/>
    <w:rsid w:val="00B50796"/>
    <w:rsid w:val="00B50C12"/>
    <w:rsid w:val="00B50DDC"/>
    <w:rsid w:val="00B50F1E"/>
    <w:rsid w:val="00B51E93"/>
    <w:rsid w:val="00B52631"/>
    <w:rsid w:val="00B52F5B"/>
    <w:rsid w:val="00B53706"/>
    <w:rsid w:val="00B5395E"/>
    <w:rsid w:val="00B53E7A"/>
    <w:rsid w:val="00B54553"/>
    <w:rsid w:val="00B547FE"/>
    <w:rsid w:val="00B54C92"/>
    <w:rsid w:val="00B55510"/>
    <w:rsid w:val="00B56039"/>
    <w:rsid w:val="00B56350"/>
    <w:rsid w:val="00B563C1"/>
    <w:rsid w:val="00B5733E"/>
    <w:rsid w:val="00B573EA"/>
    <w:rsid w:val="00B57BD7"/>
    <w:rsid w:val="00B57F17"/>
    <w:rsid w:val="00B57FCF"/>
    <w:rsid w:val="00B62359"/>
    <w:rsid w:val="00B62824"/>
    <w:rsid w:val="00B62D0A"/>
    <w:rsid w:val="00B65BCE"/>
    <w:rsid w:val="00B65C7A"/>
    <w:rsid w:val="00B66A76"/>
    <w:rsid w:val="00B66AB9"/>
    <w:rsid w:val="00B66D1E"/>
    <w:rsid w:val="00B6708A"/>
    <w:rsid w:val="00B678AA"/>
    <w:rsid w:val="00B70033"/>
    <w:rsid w:val="00B7129B"/>
    <w:rsid w:val="00B713AD"/>
    <w:rsid w:val="00B714CB"/>
    <w:rsid w:val="00B71745"/>
    <w:rsid w:val="00B71B6E"/>
    <w:rsid w:val="00B720EE"/>
    <w:rsid w:val="00B7231C"/>
    <w:rsid w:val="00B72855"/>
    <w:rsid w:val="00B732DC"/>
    <w:rsid w:val="00B7339B"/>
    <w:rsid w:val="00B734C5"/>
    <w:rsid w:val="00B735C8"/>
    <w:rsid w:val="00B742E4"/>
    <w:rsid w:val="00B744E4"/>
    <w:rsid w:val="00B74522"/>
    <w:rsid w:val="00B74919"/>
    <w:rsid w:val="00B753AE"/>
    <w:rsid w:val="00B7627B"/>
    <w:rsid w:val="00B76863"/>
    <w:rsid w:val="00B7709F"/>
    <w:rsid w:val="00B779C6"/>
    <w:rsid w:val="00B77D2F"/>
    <w:rsid w:val="00B77DB1"/>
    <w:rsid w:val="00B77F69"/>
    <w:rsid w:val="00B80AC5"/>
    <w:rsid w:val="00B80C31"/>
    <w:rsid w:val="00B811C9"/>
    <w:rsid w:val="00B8150B"/>
    <w:rsid w:val="00B81B69"/>
    <w:rsid w:val="00B824F1"/>
    <w:rsid w:val="00B83222"/>
    <w:rsid w:val="00B83B3F"/>
    <w:rsid w:val="00B83D38"/>
    <w:rsid w:val="00B85CA1"/>
    <w:rsid w:val="00B861F3"/>
    <w:rsid w:val="00B8681D"/>
    <w:rsid w:val="00B86B6C"/>
    <w:rsid w:val="00B878A1"/>
    <w:rsid w:val="00B91453"/>
    <w:rsid w:val="00B91C95"/>
    <w:rsid w:val="00B92C94"/>
    <w:rsid w:val="00B93939"/>
    <w:rsid w:val="00B93A37"/>
    <w:rsid w:val="00B93E52"/>
    <w:rsid w:val="00B9421B"/>
    <w:rsid w:val="00B9444A"/>
    <w:rsid w:val="00B9545B"/>
    <w:rsid w:val="00B956A9"/>
    <w:rsid w:val="00B95CF4"/>
    <w:rsid w:val="00B962B5"/>
    <w:rsid w:val="00B96431"/>
    <w:rsid w:val="00B96968"/>
    <w:rsid w:val="00B96A7E"/>
    <w:rsid w:val="00B96F04"/>
    <w:rsid w:val="00B97897"/>
    <w:rsid w:val="00B97AB2"/>
    <w:rsid w:val="00BA0058"/>
    <w:rsid w:val="00BA0116"/>
    <w:rsid w:val="00BA01A4"/>
    <w:rsid w:val="00BA04C8"/>
    <w:rsid w:val="00BA0FD3"/>
    <w:rsid w:val="00BA1317"/>
    <w:rsid w:val="00BA28FA"/>
    <w:rsid w:val="00BA2E28"/>
    <w:rsid w:val="00BA2F23"/>
    <w:rsid w:val="00BA3248"/>
    <w:rsid w:val="00BA3F31"/>
    <w:rsid w:val="00BA5E14"/>
    <w:rsid w:val="00BA5E46"/>
    <w:rsid w:val="00BA648B"/>
    <w:rsid w:val="00BA68A6"/>
    <w:rsid w:val="00BA6D15"/>
    <w:rsid w:val="00BA718D"/>
    <w:rsid w:val="00BB0766"/>
    <w:rsid w:val="00BB0D0C"/>
    <w:rsid w:val="00BB16A6"/>
    <w:rsid w:val="00BB1FCF"/>
    <w:rsid w:val="00BB4109"/>
    <w:rsid w:val="00BB4EEF"/>
    <w:rsid w:val="00BB66B3"/>
    <w:rsid w:val="00BB69CD"/>
    <w:rsid w:val="00BB6F22"/>
    <w:rsid w:val="00BB78FA"/>
    <w:rsid w:val="00BB7AC1"/>
    <w:rsid w:val="00BC0041"/>
    <w:rsid w:val="00BC1A53"/>
    <w:rsid w:val="00BC1FA3"/>
    <w:rsid w:val="00BC28BB"/>
    <w:rsid w:val="00BC2E31"/>
    <w:rsid w:val="00BC3075"/>
    <w:rsid w:val="00BC30A8"/>
    <w:rsid w:val="00BC3369"/>
    <w:rsid w:val="00BC3E5E"/>
    <w:rsid w:val="00BC476D"/>
    <w:rsid w:val="00BC525A"/>
    <w:rsid w:val="00BC5B2A"/>
    <w:rsid w:val="00BC73C6"/>
    <w:rsid w:val="00BC764B"/>
    <w:rsid w:val="00BC79ED"/>
    <w:rsid w:val="00BC79F5"/>
    <w:rsid w:val="00BC7FDF"/>
    <w:rsid w:val="00BD06DD"/>
    <w:rsid w:val="00BD08D9"/>
    <w:rsid w:val="00BD0D46"/>
    <w:rsid w:val="00BD100A"/>
    <w:rsid w:val="00BD10D1"/>
    <w:rsid w:val="00BD17FA"/>
    <w:rsid w:val="00BD1BDD"/>
    <w:rsid w:val="00BD2099"/>
    <w:rsid w:val="00BD2B61"/>
    <w:rsid w:val="00BD34AA"/>
    <w:rsid w:val="00BD3735"/>
    <w:rsid w:val="00BD42BE"/>
    <w:rsid w:val="00BD4C78"/>
    <w:rsid w:val="00BD54E6"/>
    <w:rsid w:val="00BD56AE"/>
    <w:rsid w:val="00BD5823"/>
    <w:rsid w:val="00BD625D"/>
    <w:rsid w:val="00BD679E"/>
    <w:rsid w:val="00BD6BAD"/>
    <w:rsid w:val="00BD6FF6"/>
    <w:rsid w:val="00BD7150"/>
    <w:rsid w:val="00BE009A"/>
    <w:rsid w:val="00BE02C0"/>
    <w:rsid w:val="00BE0ED0"/>
    <w:rsid w:val="00BE1103"/>
    <w:rsid w:val="00BE12FB"/>
    <w:rsid w:val="00BE1976"/>
    <w:rsid w:val="00BE21B2"/>
    <w:rsid w:val="00BE2218"/>
    <w:rsid w:val="00BE2830"/>
    <w:rsid w:val="00BE287A"/>
    <w:rsid w:val="00BE2B4B"/>
    <w:rsid w:val="00BE3E45"/>
    <w:rsid w:val="00BE40AE"/>
    <w:rsid w:val="00BE4B07"/>
    <w:rsid w:val="00BE57DE"/>
    <w:rsid w:val="00BE6307"/>
    <w:rsid w:val="00BE64BD"/>
    <w:rsid w:val="00BE689A"/>
    <w:rsid w:val="00BE6BC6"/>
    <w:rsid w:val="00BE6FA7"/>
    <w:rsid w:val="00BE7156"/>
    <w:rsid w:val="00BE7974"/>
    <w:rsid w:val="00BE7DAA"/>
    <w:rsid w:val="00BE7FB7"/>
    <w:rsid w:val="00BF0B31"/>
    <w:rsid w:val="00BF0DD1"/>
    <w:rsid w:val="00BF1499"/>
    <w:rsid w:val="00BF1FB6"/>
    <w:rsid w:val="00BF2864"/>
    <w:rsid w:val="00BF32E2"/>
    <w:rsid w:val="00BF347F"/>
    <w:rsid w:val="00BF39E9"/>
    <w:rsid w:val="00BF3B20"/>
    <w:rsid w:val="00BF3B47"/>
    <w:rsid w:val="00BF3C13"/>
    <w:rsid w:val="00BF4C57"/>
    <w:rsid w:val="00BF575A"/>
    <w:rsid w:val="00BF671A"/>
    <w:rsid w:val="00BF7E91"/>
    <w:rsid w:val="00C004DF"/>
    <w:rsid w:val="00C0055F"/>
    <w:rsid w:val="00C0068F"/>
    <w:rsid w:val="00C0075D"/>
    <w:rsid w:val="00C00B4C"/>
    <w:rsid w:val="00C00FC9"/>
    <w:rsid w:val="00C01249"/>
    <w:rsid w:val="00C0195C"/>
    <w:rsid w:val="00C02117"/>
    <w:rsid w:val="00C0297B"/>
    <w:rsid w:val="00C03510"/>
    <w:rsid w:val="00C036F7"/>
    <w:rsid w:val="00C037FA"/>
    <w:rsid w:val="00C039AB"/>
    <w:rsid w:val="00C0526F"/>
    <w:rsid w:val="00C062CB"/>
    <w:rsid w:val="00C069A9"/>
    <w:rsid w:val="00C077E7"/>
    <w:rsid w:val="00C07BF9"/>
    <w:rsid w:val="00C10850"/>
    <w:rsid w:val="00C110FF"/>
    <w:rsid w:val="00C1173C"/>
    <w:rsid w:val="00C117B9"/>
    <w:rsid w:val="00C1237E"/>
    <w:rsid w:val="00C123A1"/>
    <w:rsid w:val="00C1375C"/>
    <w:rsid w:val="00C13987"/>
    <w:rsid w:val="00C14291"/>
    <w:rsid w:val="00C1453C"/>
    <w:rsid w:val="00C162BA"/>
    <w:rsid w:val="00C1799F"/>
    <w:rsid w:val="00C17A8B"/>
    <w:rsid w:val="00C17CDA"/>
    <w:rsid w:val="00C204F9"/>
    <w:rsid w:val="00C20845"/>
    <w:rsid w:val="00C213CC"/>
    <w:rsid w:val="00C22977"/>
    <w:rsid w:val="00C22C5E"/>
    <w:rsid w:val="00C2325F"/>
    <w:rsid w:val="00C2333C"/>
    <w:rsid w:val="00C2382D"/>
    <w:rsid w:val="00C23E1D"/>
    <w:rsid w:val="00C26E3D"/>
    <w:rsid w:val="00C27F77"/>
    <w:rsid w:val="00C30297"/>
    <w:rsid w:val="00C304CC"/>
    <w:rsid w:val="00C30569"/>
    <w:rsid w:val="00C30748"/>
    <w:rsid w:val="00C31B5B"/>
    <w:rsid w:val="00C31C8B"/>
    <w:rsid w:val="00C32495"/>
    <w:rsid w:val="00C32C73"/>
    <w:rsid w:val="00C33345"/>
    <w:rsid w:val="00C3447A"/>
    <w:rsid w:val="00C34E00"/>
    <w:rsid w:val="00C3544A"/>
    <w:rsid w:val="00C354C4"/>
    <w:rsid w:val="00C3632C"/>
    <w:rsid w:val="00C36687"/>
    <w:rsid w:val="00C368FD"/>
    <w:rsid w:val="00C36C4C"/>
    <w:rsid w:val="00C36F44"/>
    <w:rsid w:val="00C37413"/>
    <w:rsid w:val="00C3760B"/>
    <w:rsid w:val="00C378AF"/>
    <w:rsid w:val="00C401F2"/>
    <w:rsid w:val="00C40276"/>
    <w:rsid w:val="00C40B49"/>
    <w:rsid w:val="00C40E02"/>
    <w:rsid w:val="00C415E2"/>
    <w:rsid w:val="00C41794"/>
    <w:rsid w:val="00C41E6A"/>
    <w:rsid w:val="00C420F2"/>
    <w:rsid w:val="00C42CA8"/>
    <w:rsid w:val="00C4364E"/>
    <w:rsid w:val="00C43738"/>
    <w:rsid w:val="00C43BA9"/>
    <w:rsid w:val="00C43D50"/>
    <w:rsid w:val="00C43ED9"/>
    <w:rsid w:val="00C441D2"/>
    <w:rsid w:val="00C446D4"/>
    <w:rsid w:val="00C450EA"/>
    <w:rsid w:val="00C456DC"/>
    <w:rsid w:val="00C45A4C"/>
    <w:rsid w:val="00C462EF"/>
    <w:rsid w:val="00C46532"/>
    <w:rsid w:val="00C46B34"/>
    <w:rsid w:val="00C4706A"/>
    <w:rsid w:val="00C47B2A"/>
    <w:rsid w:val="00C5087E"/>
    <w:rsid w:val="00C50F38"/>
    <w:rsid w:val="00C51CB5"/>
    <w:rsid w:val="00C52061"/>
    <w:rsid w:val="00C523D1"/>
    <w:rsid w:val="00C52607"/>
    <w:rsid w:val="00C52CBD"/>
    <w:rsid w:val="00C530D6"/>
    <w:rsid w:val="00C5317B"/>
    <w:rsid w:val="00C54376"/>
    <w:rsid w:val="00C54B6C"/>
    <w:rsid w:val="00C55298"/>
    <w:rsid w:val="00C55377"/>
    <w:rsid w:val="00C559DF"/>
    <w:rsid w:val="00C55EAD"/>
    <w:rsid w:val="00C562A4"/>
    <w:rsid w:val="00C56635"/>
    <w:rsid w:val="00C576F0"/>
    <w:rsid w:val="00C57C23"/>
    <w:rsid w:val="00C6009D"/>
    <w:rsid w:val="00C62B00"/>
    <w:rsid w:val="00C635F1"/>
    <w:rsid w:val="00C63C7F"/>
    <w:rsid w:val="00C64268"/>
    <w:rsid w:val="00C643F5"/>
    <w:rsid w:val="00C644AA"/>
    <w:rsid w:val="00C648F2"/>
    <w:rsid w:val="00C649D2"/>
    <w:rsid w:val="00C657F6"/>
    <w:rsid w:val="00C65D25"/>
    <w:rsid w:val="00C66296"/>
    <w:rsid w:val="00C66314"/>
    <w:rsid w:val="00C66B26"/>
    <w:rsid w:val="00C66C65"/>
    <w:rsid w:val="00C67826"/>
    <w:rsid w:val="00C67AED"/>
    <w:rsid w:val="00C67ED2"/>
    <w:rsid w:val="00C702B6"/>
    <w:rsid w:val="00C7084C"/>
    <w:rsid w:val="00C709C6"/>
    <w:rsid w:val="00C717D1"/>
    <w:rsid w:val="00C71A57"/>
    <w:rsid w:val="00C724AA"/>
    <w:rsid w:val="00C72A2F"/>
    <w:rsid w:val="00C72EC3"/>
    <w:rsid w:val="00C74A34"/>
    <w:rsid w:val="00C754FD"/>
    <w:rsid w:val="00C755FF"/>
    <w:rsid w:val="00C75659"/>
    <w:rsid w:val="00C75974"/>
    <w:rsid w:val="00C75A04"/>
    <w:rsid w:val="00C75BB9"/>
    <w:rsid w:val="00C76123"/>
    <w:rsid w:val="00C76160"/>
    <w:rsid w:val="00C76207"/>
    <w:rsid w:val="00C7683F"/>
    <w:rsid w:val="00C77254"/>
    <w:rsid w:val="00C7742A"/>
    <w:rsid w:val="00C776E7"/>
    <w:rsid w:val="00C7784E"/>
    <w:rsid w:val="00C77D76"/>
    <w:rsid w:val="00C81065"/>
    <w:rsid w:val="00C824DA"/>
    <w:rsid w:val="00C82648"/>
    <w:rsid w:val="00C83781"/>
    <w:rsid w:val="00C8409B"/>
    <w:rsid w:val="00C84162"/>
    <w:rsid w:val="00C847EE"/>
    <w:rsid w:val="00C84B4E"/>
    <w:rsid w:val="00C8553F"/>
    <w:rsid w:val="00C8620A"/>
    <w:rsid w:val="00C86304"/>
    <w:rsid w:val="00C8651F"/>
    <w:rsid w:val="00C86915"/>
    <w:rsid w:val="00C87D5F"/>
    <w:rsid w:val="00C87D63"/>
    <w:rsid w:val="00C92086"/>
    <w:rsid w:val="00C93E33"/>
    <w:rsid w:val="00C93EF3"/>
    <w:rsid w:val="00C9448D"/>
    <w:rsid w:val="00C9466E"/>
    <w:rsid w:val="00C9479C"/>
    <w:rsid w:val="00C9481F"/>
    <w:rsid w:val="00C94B07"/>
    <w:rsid w:val="00C94D2C"/>
    <w:rsid w:val="00C94E89"/>
    <w:rsid w:val="00C950B9"/>
    <w:rsid w:val="00C95302"/>
    <w:rsid w:val="00C953C2"/>
    <w:rsid w:val="00C957CE"/>
    <w:rsid w:val="00C96411"/>
    <w:rsid w:val="00C9646E"/>
    <w:rsid w:val="00C96959"/>
    <w:rsid w:val="00C96A59"/>
    <w:rsid w:val="00C96FAC"/>
    <w:rsid w:val="00C97540"/>
    <w:rsid w:val="00CA07E0"/>
    <w:rsid w:val="00CA0C0B"/>
    <w:rsid w:val="00CA0CAE"/>
    <w:rsid w:val="00CA1127"/>
    <w:rsid w:val="00CA1169"/>
    <w:rsid w:val="00CA1461"/>
    <w:rsid w:val="00CA1BCC"/>
    <w:rsid w:val="00CA1D4C"/>
    <w:rsid w:val="00CA2057"/>
    <w:rsid w:val="00CA2505"/>
    <w:rsid w:val="00CA2D27"/>
    <w:rsid w:val="00CA3054"/>
    <w:rsid w:val="00CA382C"/>
    <w:rsid w:val="00CA3DD8"/>
    <w:rsid w:val="00CA40AA"/>
    <w:rsid w:val="00CA51C5"/>
    <w:rsid w:val="00CA538D"/>
    <w:rsid w:val="00CA689F"/>
    <w:rsid w:val="00CA7037"/>
    <w:rsid w:val="00CA7087"/>
    <w:rsid w:val="00CA789F"/>
    <w:rsid w:val="00CA7F7F"/>
    <w:rsid w:val="00CB08EE"/>
    <w:rsid w:val="00CB11C2"/>
    <w:rsid w:val="00CB1D47"/>
    <w:rsid w:val="00CB1D51"/>
    <w:rsid w:val="00CB2110"/>
    <w:rsid w:val="00CB29B8"/>
    <w:rsid w:val="00CB3BC2"/>
    <w:rsid w:val="00CB4657"/>
    <w:rsid w:val="00CB46F3"/>
    <w:rsid w:val="00CB482B"/>
    <w:rsid w:val="00CB4DB1"/>
    <w:rsid w:val="00CB4FD0"/>
    <w:rsid w:val="00CB50B3"/>
    <w:rsid w:val="00CB5B33"/>
    <w:rsid w:val="00CB5BB9"/>
    <w:rsid w:val="00CB6384"/>
    <w:rsid w:val="00CB6A51"/>
    <w:rsid w:val="00CB75AF"/>
    <w:rsid w:val="00CB77D0"/>
    <w:rsid w:val="00CC1194"/>
    <w:rsid w:val="00CC15DE"/>
    <w:rsid w:val="00CC210F"/>
    <w:rsid w:val="00CC23C7"/>
    <w:rsid w:val="00CC327E"/>
    <w:rsid w:val="00CC3324"/>
    <w:rsid w:val="00CC34B3"/>
    <w:rsid w:val="00CC3636"/>
    <w:rsid w:val="00CC3A66"/>
    <w:rsid w:val="00CC474D"/>
    <w:rsid w:val="00CC47D0"/>
    <w:rsid w:val="00CC4BF9"/>
    <w:rsid w:val="00CC5171"/>
    <w:rsid w:val="00CC5B57"/>
    <w:rsid w:val="00CC60BF"/>
    <w:rsid w:val="00CC67CC"/>
    <w:rsid w:val="00CC6872"/>
    <w:rsid w:val="00CC6AE4"/>
    <w:rsid w:val="00CC6CD5"/>
    <w:rsid w:val="00CC6EF3"/>
    <w:rsid w:val="00CC70C4"/>
    <w:rsid w:val="00CC74BA"/>
    <w:rsid w:val="00CC7D8B"/>
    <w:rsid w:val="00CD025E"/>
    <w:rsid w:val="00CD0525"/>
    <w:rsid w:val="00CD0CBD"/>
    <w:rsid w:val="00CD0D08"/>
    <w:rsid w:val="00CD13D5"/>
    <w:rsid w:val="00CD14C0"/>
    <w:rsid w:val="00CD16EB"/>
    <w:rsid w:val="00CD18E8"/>
    <w:rsid w:val="00CD1D12"/>
    <w:rsid w:val="00CD26C0"/>
    <w:rsid w:val="00CD287B"/>
    <w:rsid w:val="00CD2A2E"/>
    <w:rsid w:val="00CD2B1B"/>
    <w:rsid w:val="00CD30C5"/>
    <w:rsid w:val="00CD322A"/>
    <w:rsid w:val="00CD330C"/>
    <w:rsid w:val="00CD44D1"/>
    <w:rsid w:val="00CD468F"/>
    <w:rsid w:val="00CD4B40"/>
    <w:rsid w:val="00CD5054"/>
    <w:rsid w:val="00CD5477"/>
    <w:rsid w:val="00CD61BF"/>
    <w:rsid w:val="00CD62E1"/>
    <w:rsid w:val="00CD768F"/>
    <w:rsid w:val="00CD76E4"/>
    <w:rsid w:val="00CD7A59"/>
    <w:rsid w:val="00CD7E64"/>
    <w:rsid w:val="00CE0B1C"/>
    <w:rsid w:val="00CE0F49"/>
    <w:rsid w:val="00CE18E4"/>
    <w:rsid w:val="00CE36BA"/>
    <w:rsid w:val="00CE388B"/>
    <w:rsid w:val="00CE3C4A"/>
    <w:rsid w:val="00CE4136"/>
    <w:rsid w:val="00CE42D8"/>
    <w:rsid w:val="00CE48EF"/>
    <w:rsid w:val="00CE49C0"/>
    <w:rsid w:val="00CE4FB5"/>
    <w:rsid w:val="00CE66F4"/>
    <w:rsid w:val="00CE71C3"/>
    <w:rsid w:val="00CF01CE"/>
    <w:rsid w:val="00CF029B"/>
    <w:rsid w:val="00CF0466"/>
    <w:rsid w:val="00CF0926"/>
    <w:rsid w:val="00CF0989"/>
    <w:rsid w:val="00CF0F0D"/>
    <w:rsid w:val="00CF163F"/>
    <w:rsid w:val="00CF1DAA"/>
    <w:rsid w:val="00CF2686"/>
    <w:rsid w:val="00CF301A"/>
    <w:rsid w:val="00CF3432"/>
    <w:rsid w:val="00CF3514"/>
    <w:rsid w:val="00CF362A"/>
    <w:rsid w:val="00CF3778"/>
    <w:rsid w:val="00CF3BE6"/>
    <w:rsid w:val="00CF3E4E"/>
    <w:rsid w:val="00CF3F56"/>
    <w:rsid w:val="00CF4603"/>
    <w:rsid w:val="00CF5B14"/>
    <w:rsid w:val="00CF60CA"/>
    <w:rsid w:val="00CF6C3C"/>
    <w:rsid w:val="00CF706B"/>
    <w:rsid w:val="00CF7120"/>
    <w:rsid w:val="00D007C3"/>
    <w:rsid w:val="00D018E9"/>
    <w:rsid w:val="00D01C05"/>
    <w:rsid w:val="00D01C3E"/>
    <w:rsid w:val="00D01D6B"/>
    <w:rsid w:val="00D04038"/>
    <w:rsid w:val="00D0414C"/>
    <w:rsid w:val="00D04CCF"/>
    <w:rsid w:val="00D04D1B"/>
    <w:rsid w:val="00D054FA"/>
    <w:rsid w:val="00D05F59"/>
    <w:rsid w:val="00D0631C"/>
    <w:rsid w:val="00D06D27"/>
    <w:rsid w:val="00D07ABC"/>
    <w:rsid w:val="00D127F0"/>
    <w:rsid w:val="00D13195"/>
    <w:rsid w:val="00D13481"/>
    <w:rsid w:val="00D14D23"/>
    <w:rsid w:val="00D15345"/>
    <w:rsid w:val="00D1549D"/>
    <w:rsid w:val="00D15817"/>
    <w:rsid w:val="00D15D04"/>
    <w:rsid w:val="00D165D5"/>
    <w:rsid w:val="00D16932"/>
    <w:rsid w:val="00D169B5"/>
    <w:rsid w:val="00D17C3F"/>
    <w:rsid w:val="00D201F4"/>
    <w:rsid w:val="00D2020E"/>
    <w:rsid w:val="00D21839"/>
    <w:rsid w:val="00D220DC"/>
    <w:rsid w:val="00D223A8"/>
    <w:rsid w:val="00D22831"/>
    <w:rsid w:val="00D22EF9"/>
    <w:rsid w:val="00D23396"/>
    <w:rsid w:val="00D2485C"/>
    <w:rsid w:val="00D2505F"/>
    <w:rsid w:val="00D2564A"/>
    <w:rsid w:val="00D25D44"/>
    <w:rsid w:val="00D26719"/>
    <w:rsid w:val="00D26DA3"/>
    <w:rsid w:val="00D27BED"/>
    <w:rsid w:val="00D27DE1"/>
    <w:rsid w:val="00D30038"/>
    <w:rsid w:val="00D30A74"/>
    <w:rsid w:val="00D30C19"/>
    <w:rsid w:val="00D31039"/>
    <w:rsid w:val="00D3113C"/>
    <w:rsid w:val="00D3144E"/>
    <w:rsid w:val="00D31758"/>
    <w:rsid w:val="00D336E6"/>
    <w:rsid w:val="00D33D10"/>
    <w:rsid w:val="00D34274"/>
    <w:rsid w:val="00D344FB"/>
    <w:rsid w:val="00D34F49"/>
    <w:rsid w:val="00D34F4C"/>
    <w:rsid w:val="00D35518"/>
    <w:rsid w:val="00D35B29"/>
    <w:rsid w:val="00D367C8"/>
    <w:rsid w:val="00D37AE5"/>
    <w:rsid w:val="00D4062F"/>
    <w:rsid w:val="00D40887"/>
    <w:rsid w:val="00D409A4"/>
    <w:rsid w:val="00D40DB0"/>
    <w:rsid w:val="00D41323"/>
    <w:rsid w:val="00D417A1"/>
    <w:rsid w:val="00D42628"/>
    <w:rsid w:val="00D426B1"/>
    <w:rsid w:val="00D426CF"/>
    <w:rsid w:val="00D429F4"/>
    <w:rsid w:val="00D433D9"/>
    <w:rsid w:val="00D44065"/>
    <w:rsid w:val="00D44A6F"/>
    <w:rsid w:val="00D44CD7"/>
    <w:rsid w:val="00D45896"/>
    <w:rsid w:val="00D464BE"/>
    <w:rsid w:val="00D4672E"/>
    <w:rsid w:val="00D46D04"/>
    <w:rsid w:val="00D4712E"/>
    <w:rsid w:val="00D4794F"/>
    <w:rsid w:val="00D501CC"/>
    <w:rsid w:val="00D513C3"/>
    <w:rsid w:val="00D51A8E"/>
    <w:rsid w:val="00D51ADF"/>
    <w:rsid w:val="00D52C44"/>
    <w:rsid w:val="00D53A16"/>
    <w:rsid w:val="00D53C9D"/>
    <w:rsid w:val="00D53D39"/>
    <w:rsid w:val="00D53EB7"/>
    <w:rsid w:val="00D54C08"/>
    <w:rsid w:val="00D54D1B"/>
    <w:rsid w:val="00D554FB"/>
    <w:rsid w:val="00D57563"/>
    <w:rsid w:val="00D57E19"/>
    <w:rsid w:val="00D60383"/>
    <w:rsid w:val="00D60B0A"/>
    <w:rsid w:val="00D61199"/>
    <w:rsid w:val="00D613BF"/>
    <w:rsid w:val="00D613CC"/>
    <w:rsid w:val="00D61773"/>
    <w:rsid w:val="00D620E0"/>
    <w:rsid w:val="00D62E22"/>
    <w:rsid w:val="00D62E68"/>
    <w:rsid w:val="00D63559"/>
    <w:rsid w:val="00D639CA"/>
    <w:rsid w:val="00D642E7"/>
    <w:rsid w:val="00D64C2E"/>
    <w:rsid w:val="00D6538F"/>
    <w:rsid w:val="00D65504"/>
    <w:rsid w:val="00D6636D"/>
    <w:rsid w:val="00D66412"/>
    <w:rsid w:val="00D66A26"/>
    <w:rsid w:val="00D66A39"/>
    <w:rsid w:val="00D67217"/>
    <w:rsid w:val="00D672E8"/>
    <w:rsid w:val="00D674E1"/>
    <w:rsid w:val="00D67CCC"/>
    <w:rsid w:val="00D67CF6"/>
    <w:rsid w:val="00D706E5"/>
    <w:rsid w:val="00D708DF"/>
    <w:rsid w:val="00D71259"/>
    <w:rsid w:val="00D72255"/>
    <w:rsid w:val="00D727D4"/>
    <w:rsid w:val="00D729DF"/>
    <w:rsid w:val="00D72FF1"/>
    <w:rsid w:val="00D73371"/>
    <w:rsid w:val="00D73773"/>
    <w:rsid w:val="00D73AED"/>
    <w:rsid w:val="00D73B96"/>
    <w:rsid w:val="00D75811"/>
    <w:rsid w:val="00D75E3B"/>
    <w:rsid w:val="00D76488"/>
    <w:rsid w:val="00D77932"/>
    <w:rsid w:val="00D77F20"/>
    <w:rsid w:val="00D8032E"/>
    <w:rsid w:val="00D812B0"/>
    <w:rsid w:val="00D81A40"/>
    <w:rsid w:val="00D81B1C"/>
    <w:rsid w:val="00D81D1B"/>
    <w:rsid w:val="00D831C4"/>
    <w:rsid w:val="00D831ED"/>
    <w:rsid w:val="00D83547"/>
    <w:rsid w:val="00D8429D"/>
    <w:rsid w:val="00D84411"/>
    <w:rsid w:val="00D853EC"/>
    <w:rsid w:val="00D867C5"/>
    <w:rsid w:val="00D868C0"/>
    <w:rsid w:val="00D86D18"/>
    <w:rsid w:val="00D871AA"/>
    <w:rsid w:val="00D900D0"/>
    <w:rsid w:val="00D91B62"/>
    <w:rsid w:val="00D91F4F"/>
    <w:rsid w:val="00D93354"/>
    <w:rsid w:val="00D93DAE"/>
    <w:rsid w:val="00D94464"/>
    <w:rsid w:val="00D94BB1"/>
    <w:rsid w:val="00D955D5"/>
    <w:rsid w:val="00D9585E"/>
    <w:rsid w:val="00D95869"/>
    <w:rsid w:val="00D96519"/>
    <w:rsid w:val="00D96850"/>
    <w:rsid w:val="00D96C5D"/>
    <w:rsid w:val="00D96F00"/>
    <w:rsid w:val="00D972DB"/>
    <w:rsid w:val="00D97743"/>
    <w:rsid w:val="00DA0774"/>
    <w:rsid w:val="00DA091C"/>
    <w:rsid w:val="00DA0CD5"/>
    <w:rsid w:val="00DA153D"/>
    <w:rsid w:val="00DA204F"/>
    <w:rsid w:val="00DA312A"/>
    <w:rsid w:val="00DA3EB1"/>
    <w:rsid w:val="00DA3EDD"/>
    <w:rsid w:val="00DA41B0"/>
    <w:rsid w:val="00DA5476"/>
    <w:rsid w:val="00DA5568"/>
    <w:rsid w:val="00DA5AEE"/>
    <w:rsid w:val="00DA5BC3"/>
    <w:rsid w:val="00DA6CE9"/>
    <w:rsid w:val="00DA6FEC"/>
    <w:rsid w:val="00DA79B3"/>
    <w:rsid w:val="00DA7D42"/>
    <w:rsid w:val="00DB0020"/>
    <w:rsid w:val="00DB04FB"/>
    <w:rsid w:val="00DB07AC"/>
    <w:rsid w:val="00DB0FF9"/>
    <w:rsid w:val="00DB1323"/>
    <w:rsid w:val="00DB16CF"/>
    <w:rsid w:val="00DB1F87"/>
    <w:rsid w:val="00DB2B91"/>
    <w:rsid w:val="00DB31B4"/>
    <w:rsid w:val="00DB31D7"/>
    <w:rsid w:val="00DB3C68"/>
    <w:rsid w:val="00DB3E13"/>
    <w:rsid w:val="00DB3E8E"/>
    <w:rsid w:val="00DB4243"/>
    <w:rsid w:val="00DB51B8"/>
    <w:rsid w:val="00DB6179"/>
    <w:rsid w:val="00DB67B8"/>
    <w:rsid w:val="00DB6985"/>
    <w:rsid w:val="00DB797E"/>
    <w:rsid w:val="00DC0451"/>
    <w:rsid w:val="00DC04BD"/>
    <w:rsid w:val="00DC07A6"/>
    <w:rsid w:val="00DC0BEE"/>
    <w:rsid w:val="00DC109C"/>
    <w:rsid w:val="00DC2C4E"/>
    <w:rsid w:val="00DC3B90"/>
    <w:rsid w:val="00DC46AA"/>
    <w:rsid w:val="00DC4961"/>
    <w:rsid w:val="00DC49E7"/>
    <w:rsid w:val="00DC502C"/>
    <w:rsid w:val="00DC5550"/>
    <w:rsid w:val="00DC5B00"/>
    <w:rsid w:val="00DC5C19"/>
    <w:rsid w:val="00DC6935"/>
    <w:rsid w:val="00DC6CEA"/>
    <w:rsid w:val="00DC6ECA"/>
    <w:rsid w:val="00DC7725"/>
    <w:rsid w:val="00DC783F"/>
    <w:rsid w:val="00DC7BCF"/>
    <w:rsid w:val="00DD0AE3"/>
    <w:rsid w:val="00DD1088"/>
    <w:rsid w:val="00DD20FF"/>
    <w:rsid w:val="00DD2F87"/>
    <w:rsid w:val="00DD30DF"/>
    <w:rsid w:val="00DD3E93"/>
    <w:rsid w:val="00DD47AD"/>
    <w:rsid w:val="00DD494A"/>
    <w:rsid w:val="00DD49CF"/>
    <w:rsid w:val="00DD4AC2"/>
    <w:rsid w:val="00DD4B78"/>
    <w:rsid w:val="00DD5006"/>
    <w:rsid w:val="00DD53E3"/>
    <w:rsid w:val="00DD71E8"/>
    <w:rsid w:val="00DD7C85"/>
    <w:rsid w:val="00DE0B3A"/>
    <w:rsid w:val="00DE1A37"/>
    <w:rsid w:val="00DE1D10"/>
    <w:rsid w:val="00DE243E"/>
    <w:rsid w:val="00DE2724"/>
    <w:rsid w:val="00DE2EB4"/>
    <w:rsid w:val="00DE34EF"/>
    <w:rsid w:val="00DE3A00"/>
    <w:rsid w:val="00DE3A44"/>
    <w:rsid w:val="00DE3BCB"/>
    <w:rsid w:val="00DE3BD8"/>
    <w:rsid w:val="00DE3F7A"/>
    <w:rsid w:val="00DE44AF"/>
    <w:rsid w:val="00DE5371"/>
    <w:rsid w:val="00DE55BC"/>
    <w:rsid w:val="00DE591E"/>
    <w:rsid w:val="00DE61AE"/>
    <w:rsid w:val="00DF02F2"/>
    <w:rsid w:val="00DF11B2"/>
    <w:rsid w:val="00DF1963"/>
    <w:rsid w:val="00DF2DFC"/>
    <w:rsid w:val="00DF38D9"/>
    <w:rsid w:val="00DF4250"/>
    <w:rsid w:val="00DF47D2"/>
    <w:rsid w:val="00DF48E2"/>
    <w:rsid w:val="00DF49CD"/>
    <w:rsid w:val="00DF54E9"/>
    <w:rsid w:val="00DF57AB"/>
    <w:rsid w:val="00DF5E68"/>
    <w:rsid w:val="00DF5ED5"/>
    <w:rsid w:val="00DF6384"/>
    <w:rsid w:val="00DF64C9"/>
    <w:rsid w:val="00DF68AC"/>
    <w:rsid w:val="00DF73F9"/>
    <w:rsid w:val="00E0013F"/>
    <w:rsid w:val="00E0062E"/>
    <w:rsid w:val="00E01054"/>
    <w:rsid w:val="00E0185C"/>
    <w:rsid w:val="00E01895"/>
    <w:rsid w:val="00E01A88"/>
    <w:rsid w:val="00E021D2"/>
    <w:rsid w:val="00E02400"/>
    <w:rsid w:val="00E04A3D"/>
    <w:rsid w:val="00E05EE7"/>
    <w:rsid w:val="00E06AB1"/>
    <w:rsid w:val="00E071E1"/>
    <w:rsid w:val="00E112D5"/>
    <w:rsid w:val="00E1146A"/>
    <w:rsid w:val="00E116AA"/>
    <w:rsid w:val="00E11A1C"/>
    <w:rsid w:val="00E11A80"/>
    <w:rsid w:val="00E12233"/>
    <w:rsid w:val="00E12896"/>
    <w:rsid w:val="00E130BF"/>
    <w:rsid w:val="00E1344A"/>
    <w:rsid w:val="00E13ACB"/>
    <w:rsid w:val="00E14078"/>
    <w:rsid w:val="00E140EB"/>
    <w:rsid w:val="00E14B72"/>
    <w:rsid w:val="00E1545D"/>
    <w:rsid w:val="00E15BEE"/>
    <w:rsid w:val="00E163D1"/>
    <w:rsid w:val="00E169DB"/>
    <w:rsid w:val="00E16A94"/>
    <w:rsid w:val="00E16E32"/>
    <w:rsid w:val="00E2063F"/>
    <w:rsid w:val="00E20F49"/>
    <w:rsid w:val="00E21535"/>
    <w:rsid w:val="00E217FB"/>
    <w:rsid w:val="00E218E0"/>
    <w:rsid w:val="00E21BB6"/>
    <w:rsid w:val="00E21FF4"/>
    <w:rsid w:val="00E222A8"/>
    <w:rsid w:val="00E23734"/>
    <w:rsid w:val="00E2398C"/>
    <w:rsid w:val="00E241C0"/>
    <w:rsid w:val="00E2451D"/>
    <w:rsid w:val="00E24613"/>
    <w:rsid w:val="00E24801"/>
    <w:rsid w:val="00E256A6"/>
    <w:rsid w:val="00E25C82"/>
    <w:rsid w:val="00E25F7E"/>
    <w:rsid w:val="00E26535"/>
    <w:rsid w:val="00E26E81"/>
    <w:rsid w:val="00E270C0"/>
    <w:rsid w:val="00E271EF"/>
    <w:rsid w:val="00E2785D"/>
    <w:rsid w:val="00E2798E"/>
    <w:rsid w:val="00E30150"/>
    <w:rsid w:val="00E30BE6"/>
    <w:rsid w:val="00E30C11"/>
    <w:rsid w:val="00E311B7"/>
    <w:rsid w:val="00E33F9B"/>
    <w:rsid w:val="00E341E6"/>
    <w:rsid w:val="00E342FC"/>
    <w:rsid w:val="00E36297"/>
    <w:rsid w:val="00E36884"/>
    <w:rsid w:val="00E36A43"/>
    <w:rsid w:val="00E36A52"/>
    <w:rsid w:val="00E36A5F"/>
    <w:rsid w:val="00E36FEB"/>
    <w:rsid w:val="00E3776B"/>
    <w:rsid w:val="00E4008E"/>
    <w:rsid w:val="00E40731"/>
    <w:rsid w:val="00E407FF"/>
    <w:rsid w:val="00E40830"/>
    <w:rsid w:val="00E40885"/>
    <w:rsid w:val="00E4136F"/>
    <w:rsid w:val="00E41A3B"/>
    <w:rsid w:val="00E42486"/>
    <w:rsid w:val="00E44043"/>
    <w:rsid w:val="00E449ED"/>
    <w:rsid w:val="00E45D0B"/>
    <w:rsid w:val="00E4678B"/>
    <w:rsid w:val="00E46F41"/>
    <w:rsid w:val="00E4711E"/>
    <w:rsid w:val="00E472C0"/>
    <w:rsid w:val="00E47CB7"/>
    <w:rsid w:val="00E47CDA"/>
    <w:rsid w:val="00E50623"/>
    <w:rsid w:val="00E513D4"/>
    <w:rsid w:val="00E514AD"/>
    <w:rsid w:val="00E51D8C"/>
    <w:rsid w:val="00E51E78"/>
    <w:rsid w:val="00E5260B"/>
    <w:rsid w:val="00E52A40"/>
    <w:rsid w:val="00E53505"/>
    <w:rsid w:val="00E535C2"/>
    <w:rsid w:val="00E537CE"/>
    <w:rsid w:val="00E53DF4"/>
    <w:rsid w:val="00E54308"/>
    <w:rsid w:val="00E54748"/>
    <w:rsid w:val="00E55E83"/>
    <w:rsid w:val="00E561DE"/>
    <w:rsid w:val="00E56623"/>
    <w:rsid w:val="00E569C6"/>
    <w:rsid w:val="00E56A9F"/>
    <w:rsid w:val="00E57080"/>
    <w:rsid w:val="00E577CD"/>
    <w:rsid w:val="00E57995"/>
    <w:rsid w:val="00E57B5A"/>
    <w:rsid w:val="00E57FE6"/>
    <w:rsid w:val="00E60E96"/>
    <w:rsid w:val="00E61382"/>
    <w:rsid w:val="00E61BDC"/>
    <w:rsid w:val="00E63154"/>
    <w:rsid w:val="00E6390B"/>
    <w:rsid w:val="00E63C3A"/>
    <w:rsid w:val="00E63FC0"/>
    <w:rsid w:val="00E64607"/>
    <w:rsid w:val="00E6468B"/>
    <w:rsid w:val="00E64836"/>
    <w:rsid w:val="00E65135"/>
    <w:rsid w:val="00E65A5D"/>
    <w:rsid w:val="00E65D4C"/>
    <w:rsid w:val="00E66522"/>
    <w:rsid w:val="00E6671B"/>
    <w:rsid w:val="00E67271"/>
    <w:rsid w:val="00E67C04"/>
    <w:rsid w:val="00E7088A"/>
    <w:rsid w:val="00E7111E"/>
    <w:rsid w:val="00E71664"/>
    <w:rsid w:val="00E717D1"/>
    <w:rsid w:val="00E71E02"/>
    <w:rsid w:val="00E7262B"/>
    <w:rsid w:val="00E729A7"/>
    <w:rsid w:val="00E72AA0"/>
    <w:rsid w:val="00E72CA5"/>
    <w:rsid w:val="00E72D1C"/>
    <w:rsid w:val="00E736C1"/>
    <w:rsid w:val="00E73E37"/>
    <w:rsid w:val="00E7401C"/>
    <w:rsid w:val="00E747E7"/>
    <w:rsid w:val="00E75263"/>
    <w:rsid w:val="00E75DE1"/>
    <w:rsid w:val="00E75E59"/>
    <w:rsid w:val="00E761A3"/>
    <w:rsid w:val="00E765D5"/>
    <w:rsid w:val="00E76C63"/>
    <w:rsid w:val="00E778F2"/>
    <w:rsid w:val="00E77953"/>
    <w:rsid w:val="00E77D04"/>
    <w:rsid w:val="00E817D5"/>
    <w:rsid w:val="00E81ABF"/>
    <w:rsid w:val="00E82E6D"/>
    <w:rsid w:val="00E8313A"/>
    <w:rsid w:val="00E83310"/>
    <w:rsid w:val="00E84A47"/>
    <w:rsid w:val="00E854D7"/>
    <w:rsid w:val="00E85B05"/>
    <w:rsid w:val="00E863E9"/>
    <w:rsid w:val="00E86437"/>
    <w:rsid w:val="00E86903"/>
    <w:rsid w:val="00E86BA9"/>
    <w:rsid w:val="00E87605"/>
    <w:rsid w:val="00E8768B"/>
    <w:rsid w:val="00E87B80"/>
    <w:rsid w:val="00E90832"/>
    <w:rsid w:val="00E90DAA"/>
    <w:rsid w:val="00E91810"/>
    <w:rsid w:val="00E91DCF"/>
    <w:rsid w:val="00E91F69"/>
    <w:rsid w:val="00E922F8"/>
    <w:rsid w:val="00E92A8A"/>
    <w:rsid w:val="00E92E6B"/>
    <w:rsid w:val="00E93280"/>
    <w:rsid w:val="00E9420D"/>
    <w:rsid w:val="00E9431C"/>
    <w:rsid w:val="00E95111"/>
    <w:rsid w:val="00E95C89"/>
    <w:rsid w:val="00E95CCA"/>
    <w:rsid w:val="00E9651E"/>
    <w:rsid w:val="00E96790"/>
    <w:rsid w:val="00E96B0C"/>
    <w:rsid w:val="00E970A3"/>
    <w:rsid w:val="00EA0713"/>
    <w:rsid w:val="00EA0ECF"/>
    <w:rsid w:val="00EA1EA0"/>
    <w:rsid w:val="00EA280C"/>
    <w:rsid w:val="00EA2E6A"/>
    <w:rsid w:val="00EA34D7"/>
    <w:rsid w:val="00EA372E"/>
    <w:rsid w:val="00EA4296"/>
    <w:rsid w:val="00EA43E4"/>
    <w:rsid w:val="00EA53BF"/>
    <w:rsid w:val="00EA67B0"/>
    <w:rsid w:val="00EA70F2"/>
    <w:rsid w:val="00EA73F3"/>
    <w:rsid w:val="00EA7E98"/>
    <w:rsid w:val="00EB0036"/>
    <w:rsid w:val="00EB05E3"/>
    <w:rsid w:val="00EB1375"/>
    <w:rsid w:val="00EB1439"/>
    <w:rsid w:val="00EB1995"/>
    <w:rsid w:val="00EB1A53"/>
    <w:rsid w:val="00EB1DC0"/>
    <w:rsid w:val="00EB211C"/>
    <w:rsid w:val="00EB21E2"/>
    <w:rsid w:val="00EB2852"/>
    <w:rsid w:val="00EB2BA2"/>
    <w:rsid w:val="00EB2FED"/>
    <w:rsid w:val="00EB3331"/>
    <w:rsid w:val="00EB3656"/>
    <w:rsid w:val="00EB39BD"/>
    <w:rsid w:val="00EB3D99"/>
    <w:rsid w:val="00EB3FFA"/>
    <w:rsid w:val="00EB44B8"/>
    <w:rsid w:val="00EB4C34"/>
    <w:rsid w:val="00EB5197"/>
    <w:rsid w:val="00EB5A9E"/>
    <w:rsid w:val="00EB6229"/>
    <w:rsid w:val="00EB6482"/>
    <w:rsid w:val="00EB6B8C"/>
    <w:rsid w:val="00EC05ED"/>
    <w:rsid w:val="00EC0D39"/>
    <w:rsid w:val="00EC0EA0"/>
    <w:rsid w:val="00EC13D4"/>
    <w:rsid w:val="00EC1A2A"/>
    <w:rsid w:val="00EC1F6D"/>
    <w:rsid w:val="00EC200F"/>
    <w:rsid w:val="00EC2E1D"/>
    <w:rsid w:val="00EC3855"/>
    <w:rsid w:val="00EC3884"/>
    <w:rsid w:val="00EC4024"/>
    <w:rsid w:val="00EC4193"/>
    <w:rsid w:val="00EC43FB"/>
    <w:rsid w:val="00EC4929"/>
    <w:rsid w:val="00EC4B4C"/>
    <w:rsid w:val="00EC4B71"/>
    <w:rsid w:val="00EC5CDD"/>
    <w:rsid w:val="00EC6395"/>
    <w:rsid w:val="00EC6540"/>
    <w:rsid w:val="00EC65D5"/>
    <w:rsid w:val="00EC7316"/>
    <w:rsid w:val="00EC7608"/>
    <w:rsid w:val="00EC7BA8"/>
    <w:rsid w:val="00EC7C1B"/>
    <w:rsid w:val="00EC7EC7"/>
    <w:rsid w:val="00ED03D3"/>
    <w:rsid w:val="00ED0662"/>
    <w:rsid w:val="00ED083A"/>
    <w:rsid w:val="00ED0AD9"/>
    <w:rsid w:val="00ED1284"/>
    <w:rsid w:val="00ED1345"/>
    <w:rsid w:val="00ED160A"/>
    <w:rsid w:val="00ED180B"/>
    <w:rsid w:val="00ED180F"/>
    <w:rsid w:val="00ED2332"/>
    <w:rsid w:val="00ED2427"/>
    <w:rsid w:val="00ED2EF0"/>
    <w:rsid w:val="00ED3293"/>
    <w:rsid w:val="00ED3EDB"/>
    <w:rsid w:val="00ED4FD5"/>
    <w:rsid w:val="00ED5265"/>
    <w:rsid w:val="00ED5DFC"/>
    <w:rsid w:val="00ED75AB"/>
    <w:rsid w:val="00ED7778"/>
    <w:rsid w:val="00ED7986"/>
    <w:rsid w:val="00EE0058"/>
    <w:rsid w:val="00EE0323"/>
    <w:rsid w:val="00EE0D4A"/>
    <w:rsid w:val="00EE0DE4"/>
    <w:rsid w:val="00EE1266"/>
    <w:rsid w:val="00EE1434"/>
    <w:rsid w:val="00EE1678"/>
    <w:rsid w:val="00EE1784"/>
    <w:rsid w:val="00EE3676"/>
    <w:rsid w:val="00EE478A"/>
    <w:rsid w:val="00EE4840"/>
    <w:rsid w:val="00EE4DE7"/>
    <w:rsid w:val="00EE4DFC"/>
    <w:rsid w:val="00EE5BDF"/>
    <w:rsid w:val="00EE6BEA"/>
    <w:rsid w:val="00EE6F27"/>
    <w:rsid w:val="00EF0A90"/>
    <w:rsid w:val="00EF0E31"/>
    <w:rsid w:val="00EF1611"/>
    <w:rsid w:val="00EF1D45"/>
    <w:rsid w:val="00EF1F1E"/>
    <w:rsid w:val="00EF2D43"/>
    <w:rsid w:val="00EF3500"/>
    <w:rsid w:val="00EF3B43"/>
    <w:rsid w:val="00EF4227"/>
    <w:rsid w:val="00EF4F4D"/>
    <w:rsid w:val="00EF58B8"/>
    <w:rsid w:val="00EF5F41"/>
    <w:rsid w:val="00EF6ABF"/>
    <w:rsid w:val="00EF6C87"/>
    <w:rsid w:val="00EF724B"/>
    <w:rsid w:val="00EF72BE"/>
    <w:rsid w:val="00EF7F2B"/>
    <w:rsid w:val="00F00A3A"/>
    <w:rsid w:val="00F00AF6"/>
    <w:rsid w:val="00F00EBC"/>
    <w:rsid w:val="00F01F1B"/>
    <w:rsid w:val="00F02673"/>
    <w:rsid w:val="00F02DC3"/>
    <w:rsid w:val="00F02F79"/>
    <w:rsid w:val="00F0300B"/>
    <w:rsid w:val="00F03AA2"/>
    <w:rsid w:val="00F04234"/>
    <w:rsid w:val="00F04ABA"/>
    <w:rsid w:val="00F05F76"/>
    <w:rsid w:val="00F0652F"/>
    <w:rsid w:val="00F06711"/>
    <w:rsid w:val="00F069E7"/>
    <w:rsid w:val="00F072F9"/>
    <w:rsid w:val="00F07368"/>
    <w:rsid w:val="00F10B95"/>
    <w:rsid w:val="00F10BA0"/>
    <w:rsid w:val="00F1101D"/>
    <w:rsid w:val="00F117A1"/>
    <w:rsid w:val="00F11FEF"/>
    <w:rsid w:val="00F120EF"/>
    <w:rsid w:val="00F12772"/>
    <w:rsid w:val="00F12EB8"/>
    <w:rsid w:val="00F12F4B"/>
    <w:rsid w:val="00F135A9"/>
    <w:rsid w:val="00F13701"/>
    <w:rsid w:val="00F1414E"/>
    <w:rsid w:val="00F1468F"/>
    <w:rsid w:val="00F14ADB"/>
    <w:rsid w:val="00F14C26"/>
    <w:rsid w:val="00F16003"/>
    <w:rsid w:val="00F16019"/>
    <w:rsid w:val="00F160D2"/>
    <w:rsid w:val="00F16822"/>
    <w:rsid w:val="00F16CED"/>
    <w:rsid w:val="00F17333"/>
    <w:rsid w:val="00F2011C"/>
    <w:rsid w:val="00F218BA"/>
    <w:rsid w:val="00F222B6"/>
    <w:rsid w:val="00F22867"/>
    <w:rsid w:val="00F230D3"/>
    <w:rsid w:val="00F230DC"/>
    <w:rsid w:val="00F23CA5"/>
    <w:rsid w:val="00F240A2"/>
    <w:rsid w:val="00F241B4"/>
    <w:rsid w:val="00F24480"/>
    <w:rsid w:val="00F24A39"/>
    <w:rsid w:val="00F267F8"/>
    <w:rsid w:val="00F26A09"/>
    <w:rsid w:val="00F26AFB"/>
    <w:rsid w:val="00F26C5F"/>
    <w:rsid w:val="00F271CE"/>
    <w:rsid w:val="00F27250"/>
    <w:rsid w:val="00F3020C"/>
    <w:rsid w:val="00F30D5D"/>
    <w:rsid w:val="00F30D78"/>
    <w:rsid w:val="00F3102A"/>
    <w:rsid w:val="00F31505"/>
    <w:rsid w:val="00F317D9"/>
    <w:rsid w:val="00F32ECA"/>
    <w:rsid w:val="00F33054"/>
    <w:rsid w:val="00F335C7"/>
    <w:rsid w:val="00F344BF"/>
    <w:rsid w:val="00F3497A"/>
    <w:rsid w:val="00F3527B"/>
    <w:rsid w:val="00F359A2"/>
    <w:rsid w:val="00F365AA"/>
    <w:rsid w:val="00F36765"/>
    <w:rsid w:val="00F3710B"/>
    <w:rsid w:val="00F3751F"/>
    <w:rsid w:val="00F37777"/>
    <w:rsid w:val="00F379D1"/>
    <w:rsid w:val="00F404D6"/>
    <w:rsid w:val="00F40C90"/>
    <w:rsid w:val="00F41346"/>
    <w:rsid w:val="00F4172E"/>
    <w:rsid w:val="00F432B5"/>
    <w:rsid w:val="00F4334F"/>
    <w:rsid w:val="00F437B2"/>
    <w:rsid w:val="00F43B0F"/>
    <w:rsid w:val="00F446AB"/>
    <w:rsid w:val="00F44B69"/>
    <w:rsid w:val="00F45222"/>
    <w:rsid w:val="00F4533B"/>
    <w:rsid w:val="00F45348"/>
    <w:rsid w:val="00F4571D"/>
    <w:rsid w:val="00F466A7"/>
    <w:rsid w:val="00F47170"/>
    <w:rsid w:val="00F4734A"/>
    <w:rsid w:val="00F507F1"/>
    <w:rsid w:val="00F50C8D"/>
    <w:rsid w:val="00F51F27"/>
    <w:rsid w:val="00F52123"/>
    <w:rsid w:val="00F5245C"/>
    <w:rsid w:val="00F528C8"/>
    <w:rsid w:val="00F52CAA"/>
    <w:rsid w:val="00F53672"/>
    <w:rsid w:val="00F53C68"/>
    <w:rsid w:val="00F549AF"/>
    <w:rsid w:val="00F55442"/>
    <w:rsid w:val="00F564ED"/>
    <w:rsid w:val="00F568E8"/>
    <w:rsid w:val="00F56A48"/>
    <w:rsid w:val="00F57008"/>
    <w:rsid w:val="00F57049"/>
    <w:rsid w:val="00F57285"/>
    <w:rsid w:val="00F574FD"/>
    <w:rsid w:val="00F60794"/>
    <w:rsid w:val="00F60CEB"/>
    <w:rsid w:val="00F61234"/>
    <w:rsid w:val="00F618E2"/>
    <w:rsid w:val="00F64B22"/>
    <w:rsid w:val="00F64C43"/>
    <w:rsid w:val="00F656BE"/>
    <w:rsid w:val="00F65AAB"/>
    <w:rsid w:val="00F65F0E"/>
    <w:rsid w:val="00F65F33"/>
    <w:rsid w:val="00F66400"/>
    <w:rsid w:val="00F66754"/>
    <w:rsid w:val="00F667EE"/>
    <w:rsid w:val="00F67164"/>
    <w:rsid w:val="00F67673"/>
    <w:rsid w:val="00F7055F"/>
    <w:rsid w:val="00F70901"/>
    <w:rsid w:val="00F7102A"/>
    <w:rsid w:val="00F71AC4"/>
    <w:rsid w:val="00F71B8C"/>
    <w:rsid w:val="00F71BF1"/>
    <w:rsid w:val="00F734FD"/>
    <w:rsid w:val="00F73991"/>
    <w:rsid w:val="00F73CC1"/>
    <w:rsid w:val="00F7497C"/>
    <w:rsid w:val="00F751C0"/>
    <w:rsid w:val="00F7543E"/>
    <w:rsid w:val="00F76084"/>
    <w:rsid w:val="00F765A3"/>
    <w:rsid w:val="00F76F60"/>
    <w:rsid w:val="00F777B4"/>
    <w:rsid w:val="00F80BAC"/>
    <w:rsid w:val="00F80FFD"/>
    <w:rsid w:val="00F816B4"/>
    <w:rsid w:val="00F819E8"/>
    <w:rsid w:val="00F820FD"/>
    <w:rsid w:val="00F8266B"/>
    <w:rsid w:val="00F82D91"/>
    <w:rsid w:val="00F832F2"/>
    <w:rsid w:val="00F8356B"/>
    <w:rsid w:val="00F83A73"/>
    <w:rsid w:val="00F83F6A"/>
    <w:rsid w:val="00F847D7"/>
    <w:rsid w:val="00F84B9D"/>
    <w:rsid w:val="00F84EDD"/>
    <w:rsid w:val="00F85237"/>
    <w:rsid w:val="00F85355"/>
    <w:rsid w:val="00F85E19"/>
    <w:rsid w:val="00F86B39"/>
    <w:rsid w:val="00F8777F"/>
    <w:rsid w:val="00F8784A"/>
    <w:rsid w:val="00F902D1"/>
    <w:rsid w:val="00F90A51"/>
    <w:rsid w:val="00F90B43"/>
    <w:rsid w:val="00F90EAD"/>
    <w:rsid w:val="00F90F43"/>
    <w:rsid w:val="00F911E1"/>
    <w:rsid w:val="00F918D0"/>
    <w:rsid w:val="00F91D67"/>
    <w:rsid w:val="00F9219B"/>
    <w:rsid w:val="00F92446"/>
    <w:rsid w:val="00F926BC"/>
    <w:rsid w:val="00F92A26"/>
    <w:rsid w:val="00F93183"/>
    <w:rsid w:val="00F93488"/>
    <w:rsid w:val="00F93652"/>
    <w:rsid w:val="00F937D3"/>
    <w:rsid w:val="00F93A31"/>
    <w:rsid w:val="00F94AFB"/>
    <w:rsid w:val="00F94B33"/>
    <w:rsid w:val="00F94B8A"/>
    <w:rsid w:val="00F94C12"/>
    <w:rsid w:val="00F9654B"/>
    <w:rsid w:val="00F97712"/>
    <w:rsid w:val="00F9788D"/>
    <w:rsid w:val="00FA00C2"/>
    <w:rsid w:val="00FA0411"/>
    <w:rsid w:val="00FA041A"/>
    <w:rsid w:val="00FA0651"/>
    <w:rsid w:val="00FA07F7"/>
    <w:rsid w:val="00FA0F29"/>
    <w:rsid w:val="00FA163A"/>
    <w:rsid w:val="00FA1FDE"/>
    <w:rsid w:val="00FA2E8D"/>
    <w:rsid w:val="00FA2F6B"/>
    <w:rsid w:val="00FA3A12"/>
    <w:rsid w:val="00FA3A1D"/>
    <w:rsid w:val="00FA443C"/>
    <w:rsid w:val="00FA4931"/>
    <w:rsid w:val="00FA4AA8"/>
    <w:rsid w:val="00FA68B8"/>
    <w:rsid w:val="00FA6D0D"/>
    <w:rsid w:val="00FA6F77"/>
    <w:rsid w:val="00FA70ED"/>
    <w:rsid w:val="00FB0908"/>
    <w:rsid w:val="00FB1173"/>
    <w:rsid w:val="00FB11A3"/>
    <w:rsid w:val="00FB2324"/>
    <w:rsid w:val="00FB3370"/>
    <w:rsid w:val="00FB3ECD"/>
    <w:rsid w:val="00FB409C"/>
    <w:rsid w:val="00FB40B2"/>
    <w:rsid w:val="00FB49E2"/>
    <w:rsid w:val="00FB4D0F"/>
    <w:rsid w:val="00FB5408"/>
    <w:rsid w:val="00FB6AAC"/>
    <w:rsid w:val="00FB6CD1"/>
    <w:rsid w:val="00FB7306"/>
    <w:rsid w:val="00FB7432"/>
    <w:rsid w:val="00FB7AD4"/>
    <w:rsid w:val="00FC04F8"/>
    <w:rsid w:val="00FC1C25"/>
    <w:rsid w:val="00FC291F"/>
    <w:rsid w:val="00FC3E0E"/>
    <w:rsid w:val="00FC48C0"/>
    <w:rsid w:val="00FC5640"/>
    <w:rsid w:val="00FC5CB6"/>
    <w:rsid w:val="00FC6135"/>
    <w:rsid w:val="00FC6225"/>
    <w:rsid w:val="00FC6748"/>
    <w:rsid w:val="00FC6788"/>
    <w:rsid w:val="00FC67C6"/>
    <w:rsid w:val="00FC6D5E"/>
    <w:rsid w:val="00FD0AD1"/>
    <w:rsid w:val="00FD1C83"/>
    <w:rsid w:val="00FD2256"/>
    <w:rsid w:val="00FD271C"/>
    <w:rsid w:val="00FD2D0F"/>
    <w:rsid w:val="00FD321B"/>
    <w:rsid w:val="00FD371E"/>
    <w:rsid w:val="00FD388A"/>
    <w:rsid w:val="00FD3C3F"/>
    <w:rsid w:val="00FD44E1"/>
    <w:rsid w:val="00FD4B00"/>
    <w:rsid w:val="00FD637C"/>
    <w:rsid w:val="00FD6636"/>
    <w:rsid w:val="00FE1095"/>
    <w:rsid w:val="00FE10B4"/>
    <w:rsid w:val="00FE16B9"/>
    <w:rsid w:val="00FE16DC"/>
    <w:rsid w:val="00FE1827"/>
    <w:rsid w:val="00FE1AE4"/>
    <w:rsid w:val="00FE297C"/>
    <w:rsid w:val="00FE29F9"/>
    <w:rsid w:val="00FE2DEC"/>
    <w:rsid w:val="00FE4024"/>
    <w:rsid w:val="00FE559B"/>
    <w:rsid w:val="00FE572B"/>
    <w:rsid w:val="00FE57E2"/>
    <w:rsid w:val="00FE60D0"/>
    <w:rsid w:val="00FE625F"/>
    <w:rsid w:val="00FE64E1"/>
    <w:rsid w:val="00FE6E43"/>
    <w:rsid w:val="00FE7921"/>
    <w:rsid w:val="00FF0058"/>
    <w:rsid w:val="00FF05CA"/>
    <w:rsid w:val="00FF167F"/>
    <w:rsid w:val="00FF16DE"/>
    <w:rsid w:val="00FF1A34"/>
    <w:rsid w:val="00FF1E7E"/>
    <w:rsid w:val="00FF21A8"/>
    <w:rsid w:val="00FF29FA"/>
    <w:rsid w:val="00FF2D48"/>
    <w:rsid w:val="00FF30A7"/>
    <w:rsid w:val="00FF34B1"/>
    <w:rsid w:val="00FF3A6E"/>
    <w:rsid w:val="00FF439A"/>
    <w:rsid w:val="00FF49D4"/>
    <w:rsid w:val="00FF4CE4"/>
    <w:rsid w:val="00FF6BFC"/>
    <w:rsid w:val="00FF6E85"/>
    <w:rsid w:val="00FF6EEA"/>
    <w:rsid w:val="00FF799D"/>
    <w:rsid w:val="00FF7F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010A6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6" w:unhideWhenUsed="1" w:qFormat="1"/>
    <w:lsdException w:name="heading 3" w:semiHidden="1" w:uiPriority="8" w:unhideWhenUsed="1" w:qFormat="1"/>
    <w:lsdException w:name="heading 4" w:semiHidden="1" w:uiPriority="9" w:unhideWhenUsed="1" w:qFormat="1"/>
    <w:lsdException w:name="heading 5" w:uiPriority="9" w:qFormat="1"/>
    <w:lsdException w:name="heading 6" w:semiHidden="1" w:uiPriority="11" w:unhideWhenUsed="1" w:qFormat="1"/>
    <w:lsdException w:name="heading 7" w:semiHidden="1" w:uiPriority="9"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2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722"/>
    <w:pPr>
      <w:spacing w:after="160" w:line="240" w:lineRule="auto"/>
      <w:jc w:val="both"/>
    </w:pPr>
    <w:rPr>
      <w:rFonts w:eastAsia="Times New Roman" w:cs="Times New Roman"/>
      <w:color w:val="000000"/>
      <w:kern w:val="28"/>
      <w:szCs w:val="20"/>
    </w:rPr>
  </w:style>
  <w:style w:type="paragraph" w:styleId="Heading1">
    <w:name w:val="heading 1"/>
    <w:aliases w:val="H1"/>
    <w:basedOn w:val="Normal"/>
    <w:next w:val="Normal"/>
    <w:link w:val="Heading1Char"/>
    <w:uiPriority w:val="4"/>
    <w:qFormat/>
    <w:rsid w:val="002F2F17"/>
    <w:pPr>
      <w:keepNext/>
      <w:keepLines/>
      <w:numPr>
        <w:numId w:val="4"/>
      </w:numPr>
      <w:spacing w:before="240" w:after="120"/>
      <w:outlineLvl w:val="0"/>
    </w:pPr>
    <w:rPr>
      <w:rFonts w:eastAsiaTheme="majorEastAsia" w:cstheme="majorBidi"/>
      <w:b/>
      <w:bCs/>
      <w:color w:val="auto"/>
      <w:sz w:val="32"/>
      <w:szCs w:val="28"/>
    </w:rPr>
  </w:style>
  <w:style w:type="paragraph" w:styleId="Heading2">
    <w:name w:val="heading 2"/>
    <w:aliases w:val="H2"/>
    <w:basedOn w:val="Normal"/>
    <w:next w:val="Normal"/>
    <w:link w:val="Heading2Char"/>
    <w:uiPriority w:val="6"/>
    <w:qFormat/>
    <w:rsid w:val="00713697"/>
    <w:pPr>
      <w:keepNext/>
      <w:keepLines/>
      <w:numPr>
        <w:ilvl w:val="1"/>
        <w:numId w:val="4"/>
      </w:numPr>
      <w:spacing w:before="240"/>
      <w:outlineLvl w:val="1"/>
    </w:pPr>
    <w:rPr>
      <w:rFonts w:eastAsiaTheme="majorEastAsia" w:cstheme="majorBidi"/>
      <w:b/>
      <w:bCs/>
      <w:color w:val="auto"/>
      <w:sz w:val="26"/>
      <w:szCs w:val="26"/>
    </w:rPr>
  </w:style>
  <w:style w:type="paragraph" w:styleId="Heading3">
    <w:name w:val="heading 3"/>
    <w:aliases w:val="H3"/>
    <w:basedOn w:val="Normal"/>
    <w:next w:val="Normal"/>
    <w:link w:val="Heading3Char"/>
    <w:uiPriority w:val="8"/>
    <w:qFormat/>
    <w:rsid w:val="003E0AED"/>
    <w:pPr>
      <w:keepNext/>
      <w:keepLines/>
      <w:numPr>
        <w:ilvl w:val="2"/>
        <w:numId w:val="4"/>
      </w:numPr>
      <w:spacing w:before="200"/>
      <w:outlineLvl w:val="2"/>
    </w:pPr>
    <w:rPr>
      <w:rFonts w:eastAsiaTheme="majorEastAsia" w:cstheme="majorBidi"/>
      <w:b/>
      <w:bCs/>
      <w:i/>
      <w:color w:val="auto"/>
      <w:sz w:val="24"/>
    </w:rPr>
  </w:style>
  <w:style w:type="paragraph" w:styleId="Heading4">
    <w:name w:val="heading 4"/>
    <w:aliases w:val="H4"/>
    <w:basedOn w:val="Normal"/>
    <w:next w:val="Normal"/>
    <w:link w:val="Heading4Char"/>
    <w:uiPriority w:val="9"/>
    <w:qFormat/>
    <w:rsid w:val="0006753F"/>
    <w:pPr>
      <w:keepNext/>
      <w:keepLines/>
      <w:spacing w:before="200"/>
      <w:outlineLvl w:val="3"/>
    </w:pPr>
    <w:rPr>
      <w:rFonts w:eastAsiaTheme="minorHAnsi" w:cstheme="majorBidi"/>
      <w:b/>
      <w:bCs/>
      <w:iCs/>
      <w:color w:val="auto"/>
      <w:kern w:val="0"/>
      <w:szCs w:val="22"/>
      <w:u w:val="single"/>
    </w:rPr>
  </w:style>
  <w:style w:type="paragraph" w:styleId="Heading5">
    <w:name w:val="heading 5"/>
    <w:aliases w:val="H5"/>
    <w:basedOn w:val="Heading4"/>
    <w:next w:val="Normal"/>
    <w:link w:val="Heading5Char"/>
    <w:uiPriority w:val="9"/>
    <w:qFormat/>
    <w:rsid w:val="00383682"/>
    <w:pPr>
      <w:tabs>
        <w:tab w:val="left" w:pos="2552"/>
      </w:tabs>
      <w:outlineLvl w:val="4"/>
    </w:pPr>
    <w:rPr>
      <w:i/>
      <w:u w:val="none"/>
    </w:rPr>
  </w:style>
  <w:style w:type="paragraph" w:styleId="Heading6">
    <w:name w:val="heading 6"/>
    <w:aliases w:val="H6"/>
    <w:basedOn w:val="Normal"/>
    <w:next w:val="Normal"/>
    <w:link w:val="Heading6Char"/>
    <w:uiPriority w:val="11"/>
    <w:semiHidden/>
    <w:unhideWhenUsed/>
    <w:qFormat/>
    <w:rsid w:val="00835E4C"/>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C715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4"/>
    <w:rsid w:val="002F2F17"/>
    <w:rPr>
      <w:rFonts w:eastAsiaTheme="majorEastAsia" w:cstheme="majorBidi"/>
      <w:b/>
      <w:bCs/>
      <w:kern w:val="28"/>
      <w:sz w:val="32"/>
      <w:szCs w:val="28"/>
    </w:rPr>
  </w:style>
  <w:style w:type="character" w:customStyle="1" w:styleId="Heading2Char">
    <w:name w:val="Heading 2 Char"/>
    <w:aliases w:val="H2 Char"/>
    <w:basedOn w:val="DefaultParagraphFont"/>
    <w:link w:val="Heading2"/>
    <w:uiPriority w:val="6"/>
    <w:rsid w:val="00713697"/>
    <w:rPr>
      <w:rFonts w:eastAsiaTheme="majorEastAsia" w:cstheme="majorBidi"/>
      <w:b/>
      <w:bCs/>
      <w:kern w:val="28"/>
      <w:sz w:val="26"/>
      <w:szCs w:val="26"/>
    </w:rPr>
  </w:style>
  <w:style w:type="character" w:customStyle="1" w:styleId="Heading3Char">
    <w:name w:val="Heading 3 Char"/>
    <w:aliases w:val="H3 Char"/>
    <w:basedOn w:val="DefaultParagraphFont"/>
    <w:link w:val="Heading3"/>
    <w:uiPriority w:val="8"/>
    <w:rsid w:val="003E0AED"/>
    <w:rPr>
      <w:rFonts w:eastAsiaTheme="majorEastAsia" w:cstheme="majorBidi"/>
      <w:b/>
      <w:bCs/>
      <w:i/>
      <w:kern w:val="28"/>
      <w:sz w:val="24"/>
      <w:szCs w:val="20"/>
    </w:rPr>
  </w:style>
  <w:style w:type="character" w:customStyle="1" w:styleId="Heading4Char">
    <w:name w:val="Heading 4 Char"/>
    <w:aliases w:val="H4 Char"/>
    <w:basedOn w:val="DefaultParagraphFont"/>
    <w:link w:val="Heading4"/>
    <w:uiPriority w:val="9"/>
    <w:rsid w:val="0006753F"/>
    <w:rPr>
      <w:rFonts w:cstheme="majorBidi"/>
      <w:b/>
      <w:bCs/>
      <w:iCs/>
      <w:u w:val="single"/>
    </w:rPr>
  </w:style>
  <w:style w:type="character" w:customStyle="1" w:styleId="Heading5Char">
    <w:name w:val="Heading 5 Char"/>
    <w:aliases w:val="H5 Char"/>
    <w:basedOn w:val="DefaultParagraphFont"/>
    <w:link w:val="Heading5"/>
    <w:uiPriority w:val="9"/>
    <w:rsid w:val="00383682"/>
    <w:rPr>
      <w:rFonts w:cstheme="majorBidi"/>
      <w:b/>
      <w:bCs/>
      <w:i/>
      <w:iCs/>
    </w:rPr>
  </w:style>
  <w:style w:type="character" w:customStyle="1" w:styleId="Heading6Char">
    <w:name w:val="Heading 6 Char"/>
    <w:aliases w:val="H6 Char"/>
    <w:basedOn w:val="DefaultParagraphFont"/>
    <w:link w:val="Heading6"/>
    <w:uiPriority w:val="11"/>
    <w:semiHidden/>
    <w:rsid w:val="00835E4C"/>
    <w:rPr>
      <w:rFonts w:asciiTheme="majorHAnsi" w:eastAsiaTheme="majorEastAsia" w:hAnsiTheme="majorHAnsi" w:cstheme="majorBidi"/>
      <w:i/>
      <w:iCs/>
      <w:color w:val="243F60" w:themeColor="accent1" w:themeShade="7F"/>
      <w:kern w:val="28"/>
      <w:szCs w:val="20"/>
    </w:rPr>
  </w:style>
  <w:style w:type="character" w:customStyle="1" w:styleId="Heading7Char">
    <w:name w:val="Heading 7 Char"/>
    <w:basedOn w:val="DefaultParagraphFont"/>
    <w:link w:val="Heading7"/>
    <w:uiPriority w:val="9"/>
    <w:semiHidden/>
    <w:rsid w:val="001C7157"/>
    <w:rPr>
      <w:rFonts w:asciiTheme="majorHAnsi" w:eastAsiaTheme="majorEastAsia" w:hAnsiTheme="majorHAnsi" w:cstheme="majorBidi"/>
      <w:i/>
      <w:iCs/>
      <w:color w:val="404040" w:themeColor="text1" w:themeTint="BF"/>
      <w:kern w:val="28"/>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rsid w:val="003E2B6B"/>
    <w:rPr>
      <w:rFonts w:ascii="Tahoma" w:eastAsia="Times New Roman" w:hAnsi="Tahoma" w:cs="Tahoma"/>
      <w:color w:val="000000"/>
      <w:kern w:val="28"/>
      <w:sz w:val="16"/>
      <w:szCs w:val="16"/>
      <w:lang w:val="en-US"/>
    </w:rPr>
  </w:style>
  <w:style w:type="paragraph" w:styleId="ListParagraph">
    <w:name w:val="List Paragraph"/>
    <w:basedOn w:val="Normal"/>
    <w:link w:val="ListParagraphChar"/>
    <w:uiPriority w:val="34"/>
    <w:unhideWhenUsed/>
    <w:qFormat/>
    <w:rsid w:val="007D6129"/>
    <w:pPr>
      <w:numPr>
        <w:numId w:val="6"/>
      </w:numPr>
      <w:contextualSpacing/>
    </w:pPr>
    <w:rPr>
      <w:lang w:eastAsia="en-AU"/>
    </w:rPr>
  </w:style>
  <w:style w:type="character" w:customStyle="1" w:styleId="ListParagraphChar">
    <w:name w:val="List Paragraph Char"/>
    <w:link w:val="ListParagraph"/>
    <w:uiPriority w:val="34"/>
    <w:rsid w:val="007D6129"/>
    <w:rPr>
      <w:rFonts w:eastAsia="Times New Roman" w:cs="Times New Roman"/>
      <w:color w:val="000000"/>
      <w:kern w:val="28"/>
      <w:szCs w:val="20"/>
      <w:lang w:eastAsia="en-AU"/>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paragraph" w:styleId="TOCHeading">
    <w:name w:val="TOC Heading"/>
    <w:basedOn w:val="Heading1"/>
    <w:next w:val="Normal"/>
    <w:uiPriority w:val="39"/>
    <w:unhideWhenUsed/>
    <w:qFormat/>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rsid w:val="006245D7"/>
    <w:pPr>
      <w:spacing w:after="100"/>
    </w:pPr>
    <w:rPr>
      <w:rFonts w:ascii="Calibri" w:hAnsi="Calibri"/>
      <w:b/>
      <w:sz w:val="20"/>
    </w:rPr>
  </w:style>
  <w:style w:type="paragraph" w:styleId="TOC2">
    <w:name w:val="toc 2"/>
    <w:basedOn w:val="Normal"/>
    <w:next w:val="Normal"/>
    <w:autoRedefine/>
    <w:uiPriority w:val="39"/>
    <w:unhideWhenUsed/>
    <w:rsid w:val="00516B56"/>
    <w:pPr>
      <w:tabs>
        <w:tab w:val="left" w:pos="660"/>
        <w:tab w:val="right" w:leader="dot" w:pos="9010"/>
      </w:tabs>
      <w:spacing w:after="100"/>
    </w:pPr>
    <w:rPr>
      <w:rFonts w:ascii="Calibri" w:hAnsi="Calibri"/>
      <w:noProof/>
      <w:sz w:val="20"/>
    </w:rPr>
  </w:style>
  <w:style w:type="paragraph" w:styleId="TOC3">
    <w:name w:val="toc 3"/>
    <w:basedOn w:val="Normal"/>
    <w:next w:val="Normal"/>
    <w:autoRedefine/>
    <w:uiPriority w:val="39"/>
    <w:unhideWhenUsed/>
    <w:rsid w:val="00F73991"/>
    <w:pPr>
      <w:tabs>
        <w:tab w:val="left" w:pos="660"/>
        <w:tab w:val="right" w:leader="dot" w:pos="9010"/>
      </w:tabs>
      <w:spacing w:after="100"/>
    </w:pPr>
    <w:rPr>
      <w:rFonts w:ascii="Calibri" w:hAnsi="Calibri"/>
      <w:i/>
      <w:sz w:val="18"/>
    </w:rPr>
  </w:style>
  <w:style w:type="paragraph" w:styleId="Header">
    <w:name w:val="header"/>
    <w:basedOn w:val="Normal"/>
    <w:link w:val="HeaderChar"/>
    <w:uiPriority w:val="99"/>
    <w:unhideWhenUsed/>
    <w:rsid w:val="00E66522"/>
    <w:pPr>
      <w:tabs>
        <w:tab w:val="center" w:pos="4513"/>
        <w:tab w:val="right" w:pos="9026"/>
      </w:tabs>
    </w:pPr>
  </w:style>
  <w:style w:type="character" w:customStyle="1" w:styleId="HeaderChar">
    <w:name w:val="Header Char"/>
    <w:basedOn w:val="DefaultParagraphFont"/>
    <w:link w:val="Header"/>
    <w:uiPriority w:val="99"/>
    <w:rsid w:val="00325C6C"/>
    <w:rPr>
      <w:rFonts w:eastAsia="Times New Roman" w:cs="Times New Roman"/>
      <w:color w:val="000000"/>
      <w:kern w:val="28"/>
      <w:szCs w:val="20"/>
    </w:rPr>
  </w:style>
  <w:style w:type="paragraph" w:styleId="Footer">
    <w:name w:val="footer"/>
    <w:basedOn w:val="Normal"/>
    <w:link w:val="FooterChar"/>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2E4C58"/>
    <w:pPr>
      <w:spacing w:after="960"/>
    </w:pPr>
    <w:rPr>
      <w:rFonts w:cs="Arial"/>
      <w:b/>
      <w:color w:val="0070C0"/>
      <w:sz w:val="40"/>
      <w:szCs w:val="43"/>
    </w:rPr>
  </w:style>
  <w:style w:type="character" w:customStyle="1" w:styleId="TitleChar">
    <w:name w:val="Title Char"/>
    <w:basedOn w:val="DefaultParagraphFont"/>
    <w:link w:val="Title"/>
    <w:uiPriority w:val="17"/>
    <w:rsid w:val="00325C6C"/>
    <w:rPr>
      <w:rFonts w:eastAsia="Times New Roman" w:cs="Arial"/>
      <w:b/>
      <w:color w:val="0070C0"/>
      <w:kern w:val="28"/>
      <w:sz w:val="40"/>
      <w:szCs w:val="43"/>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paragraph" w:customStyle="1" w:styleId="TableHeading">
    <w:name w:val="TableHeading"/>
    <w:basedOn w:val="Normal"/>
    <w:uiPriority w:val="13"/>
    <w:qFormat/>
    <w:rsid w:val="009C590E"/>
    <w:pPr>
      <w:spacing w:before="40" w:after="40"/>
    </w:pPr>
    <w:rPr>
      <w:rFonts w:cs="Arial"/>
      <w:b/>
      <w:sz w:val="20"/>
      <w:szCs w:val="22"/>
    </w:rPr>
  </w:style>
  <w:style w:type="paragraph" w:customStyle="1" w:styleId="TableText">
    <w:name w:val="TableText"/>
    <w:basedOn w:val="Normal"/>
    <w:next w:val="Normal"/>
    <w:link w:val="TableTextChar"/>
    <w:uiPriority w:val="14"/>
    <w:qFormat/>
    <w:rsid w:val="00A90706"/>
    <w:pPr>
      <w:spacing w:before="40" w:after="40"/>
    </w:pPr>
    <w:rPr>
      <w:rFonts w:eastAsia="Calibri" w:cs="Arial"/>
      <w:sz w:val="20"/>
      <w:szCs w:val="22"/>
    </w:rPr>
  </w:style>
  <w:style w:type="character" w:customStyle="1" w:styleId="TableTextChar">
    <w:name w:val="TableText Char"/>
    <w:basedOn w:val="DefaultParagraphFont"/>
    <w:link w:val="TableText"/>
    <w:uiPriority w:val="14"/>
    <w:rsid w:val="00443EDA"/>
    <w:rPr>
      <w:rFonts w:eastAsia="Calibri" w:cs="Arial"/>
      <w:color w:val="000000"/>
      <w:kern w:val="28"/>
      <w:sz w:val="20"/>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1"/>
    <w:qFormat/>
    <w:rsid w:val="00F60CEB"/>
    <w:rPr>
      <w:b/>
      <w:bCs/>
    </w:rPr>
  </w:style>
  <w:style w:type="paragraph" w:customStyle="1" w:styleId="PrelimHeadings">
    <w:name w:val="PrelimHeadings"/>
    <w:basedOn w:val="Normal"/>
    <w:next w:val="Normal"/>
    <w:uiPriority w:val="99"/>
    <w:rsid w:val="00F60CEB"/>
    <w:pPr>
      <w:spacing w:after="120"/>
    </w:pPr>
    <w:rPr>
      <w:rFonts w:cs="Arial"/>
      <w:b/>
      <w:szCs w:val="22"/>
    </w:rPr>
  </w:style>
  <w:style w:type="paragraph" w:customStyle="1" w:styleId="PrelimText">
    <w:name w:val="PrelimText"/>
    <w:basedOn w:val="Normal"/>
    <w:uiPriority w:val="99"/>
    <w:rsid w:val="00F60CEB"/>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6D31DC"/>
    <w:rPr>
      <w:rFonts w:ascii="Arial Bold" w:hAnsi="Arial Bold"/>
      <w:color w:val="0070C0"/>
      <w:sz w:val="36"/>
    </w:rPr>
  </w:style>
  <w:style w:type="paragraph" w:customStyle="1" w:styleId="Authors">
    <w:name w:val="Authors"/>
    <w:basedOn w:val="Normal"/>
    <w:uiPriority w:val="19"/>
    <w:qFormat/>
    <w:rsid w:val="002E4C58"/>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CF6C3C"/>
    <w:pPr>
      <w:keepLines w:val="0"/>
      <w:numPr>
        <w:numId w:val="0"/>
      </w:numPr>
      <w:spacing w:before="0"/>
      <w:outlineLvl w:val="9"/>
    </w:pPr>
    <w:rPr>
      <w:rFonts w:eastAsia="Times New Roman" w:cs="Arial"/>
      <w:color w:val="000000"/>
      <w:spacing w:val="4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6C3233"/>
    <w:pPr>
      <w:tabs>
        <w:tab w:val="left" w:pos="1080"/>
        <w:tab w:val="right" w:leader="dot" w:pos="9000"/>
      </w:tabs>
      <w:spacing w:after="120"/>
      <w:ind w:left="1038" w:hanging="1038"/>
    </w:pPr>
    <w:rPr>
      <w:kern w:val="0"/>
      <w:sz w:val="20"/>
      <w:lang w:eastAsia="en-AU"/>
    </w:rPr>
  </w:style>
  <w:style w:type="paragraph" w:styleId="ListBullet">
    <w:name w:val="List Bullet"/>
    <w:basedOn w:val="ListParagraph"/>
    <w:link w:val="ListBulletChar"/>
    <w:uiPriority w:val="22"/>
    <w:qFormat/>
    <w:rsid w:val="00835E4C"/>
    <w:pPr>
      <w:numPr>
        <w:numId w:val="1"/>
      </w:numPr>
    </w:pPr>
    <w:rPr>
      <w:rFonts w:cs="Arial"/>
      <w:szCs w:val="22"/>
    </w:rPr>
  </w:style>
  <w:style w:type="character" w:customStyle="1" w:styleId="ListBulletChar">
    <w:name w:val="List Bullet Char"/>
    <w:basedOn w:val="DefaultParagraphFont"/>
    <w:link w:val="ListBullet"/>
    <w:uiPriority w:val="22"/>
    <w:rsid w:val="00443EDA"/>
    <w:rPr>
      <w:rFonts w:eastAsia="Times New Roman" w:cs="Arial"/>
      <w:color w:val="000000"/>
      <w:kern w:val="28"/>
      <w:lang w:eastAsia="en-AU"/>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757B4D"/>
    <w:pPr>
      <w:numPr>
        <w:numId w:val="2"/>
      </w:numPr>
      <w:ind w:left="714" w:hanging="357"/>
    </w:pPr>
    <w:rPr>
      <w:rFonts w:cs="Arial"/>
      <w:szCs w:val="22"/>
    </w:rPr>
  </w:style>
  <w:style w:type="paragraph" w:customStyle="1" w:styleId="TableCaption">
    <w:name w:val="TableCaption"/>
    <w:basedOn w:val="Normal"/>
    <w:next w:val="Normal"/>
    <w:uiPriority w:val="12"/>
    <w:qFormat/>
    <w:rsid w:val="00704F9F"/>
    <w:pPr>
      <w:tabs>
        <w:tab w:val="left" w:pos="993"/>
      </w:tabs>
    </w:pPr>
    <w:rPr>
      <w:b/>
      <w:sz w:val="20"/>
    </w:rPr>
  </w:style>
  <w:style w:type="paragraph" w:customStyle="1" w:styleId="FigureCaption">
    <w:name w:val="FigureCaption"/>
    <w:basedOn w:val="Normal"/>
    <w:uiPriority w:val="15"/>
    <w:qFormat/>
    <w:rsid w:val="00FA4AA8"/>
    <w:pPr>
      <w:tabs>
        <w:tab w:val="left" w:pos="993"/>
      </w:tabs>
    </w:pPr>
    <w:rPr>
      <w:rFonts w:eastAsiaTheme="majorEastAsia"/>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274897"/>
    <w:rPr>
      <w:b/>
      <w:color w:val="0070C0"/>
      <w:sz w:val="28"/>
      <w:szCs w:val="28"/>
    </w:rPr>
  </w:style>
  <w:style w:type="paragraph" w:customStyle="1" w:styleId="Default">
    <w:name w:val="Default"/>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
    <w:qFormat/>
    <w:rsid w:val="00510325"/>
    <w:rPr>
      <w:i/>
      <w:iCs/>
    </w:rPr>
  </w:style>
  <w:style w:type="paragraph" w:customStyle="1" w:styleId="H2anotincinTOC">
    <w:name w:val="H2a not inc. in TOC"/>
    <w:basedOn w:val="Heading2"/>
    <w:uiPriority w:val="7"/>
    <w:rsid w:val="00BA3F31"/>
    <w:pPr>
      <w:numPr>
        <w:ilvl w:val="0"/>
        <w:numId w:val="0"/>
      </w:numPr>
    </w:p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096CF7"/>
    <w:pPr>
      <w:numPr>
        <w:ilvl w:val="0"/>
        <w:numId w:val="0"/>
      </w:numPr>
    </w:pPr>
    <w:rPr>
      <w:sz w:val="32"/>
    </w:r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iPriority w:val="35"/>
    <w:unhideWhenUsed/>
    <w:qFormat/>
    <w:rsid w:val="000C76E0"/>
    <w:pPr>
      <w:spacing w:after="200"/>
    </w:pPr>
    <w:rPr>
      <w:b/>
      <w:bCs/>
      <w:color w:val="auto"/>
      <w:sz w:val="20"/>
      <w:szCs w:val="18"/>
    </w:rPr>
  </w:style>
  <w:style w:type="paragraph" w:styleId="FootnoteText">
    <w:name w:val="footnote text"/>
    <w:basedOn w:val="Normal"/>
    <w:link w:val="FootnoteTextChar"/>
    <w:uiPriority w:val="99"/>
    <w:semiHidden/>
    <w:unhideWhenUsed/>
    <w:rsid w:val="009B6A4E"/>
    <w:pPr>
      <w:spacing w:after="0"/>
    </w:pPr>
    <w:rPr>
      <w:sz w:val="24"/>
      <w:szCs w:val="24"/>
    </w:rPr>
  </w:style>
  <w:style w:type="character" w:customStyle="1" w:styleId="FootnoteTextChar">
    <w:name w:val="Footnote Text Char"/>
    <w:basedOn w:val="DefaultParagraphFont"/>
    <w:link w:val="FootnoteText"/>
    <w:uiPriority w:val="99"/>
    <w:semiHidden/>
    <w:rsid w:val="009B6A4E"/>
    <w:rPr>
      <w:rFonts w:eastAsia="Times New Roman" w:cs="Times New Roman"/>
      <w:color w:val="000000"/>
      <w:kern w:val="28"/>
      <w:sz w:val="24"/>
      <w:szCs w:val="24"/>
    </w:rPr>
  </w:style>
  <w:style w:type="character" w:styleId="FootnoteReference">
    <w:name w:val="footnote reference"/>
    <w:uiPriority w:val="99"/>
    <w:unhideWhenUsed/>
    <w:rsid w:val="009B6A4E"/>
    <w:rPr>
      <w:vertAlign w:val="superscript"/>
    </w:rPr>
  </w:style>
  <w:style w:type="character" w:styleId="FollowedHyperlink">
    <w:name w:val="FollowedHyperlink"/>
    <w:basedOn w:val="DefaultParagraphFont"/>
    <w:uiPriority w:val="99"/>
    <w:semiHidden/>
    <w:unhideWhenUsed/>
    <w:rsid w:val="00CE3C4A"/>
    <w:rPr>
      <w:color w:val="800080" w:themeColor="followedHyperlink"/>
      <w:u w:val="single"/>
    </w:rPr>
  </w:style>
  <w:style w:type="paragraph" w:styleId="DocumentMap">
    <w:name w:val="Document Map"/>
    <w:basedOn w:val="Normal"/>
    <w:link w:val="DocumentMapChar"/>
    <w:uiPriority w:val="99"/>
    <w:semiHidden/>
    <w:unhideWhenUsed/>
    <w:rsid w:val="0054776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54776C"/>
    <w:rPr>
      <w:rFonts w:ascii="Tahoma" w:eastAsia="Times New Roman" w:hAnsi="Tahoma" w:cs="Tahoma"/>
      <w:color w:val="000000"/>
      <w:kern w:val="28"/>
      <w:sz w:val="16"/>
      <w:szCs w:val="16"/>
    </w:rPr>
  </w:style>
  <w:style w:type="table" w:styleId="TableGrid">
    <w:name w:val="Table Grid"/>
    <w:basedOn w:val="TableNormal"/>
    <w:uiPriority w:val="39"/>
    <w:rsid w:val="00383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Heading2"/>
    <w:next w:val="Normal"/>
    <w:link w:val="SubtitleChar"/>
    <w:qFormat/>
    <w:rsid w:val="00231558"/>
    <w:pPr>
      <w:numPr>
        <w:ilvl w:val="0"/>
        <w:numId w:val="0"/>
      </w:numPr>
      <w:spacing w:before="200" w:after="0"/>
      <w:jc w:val="center"/>
    </w:pPr>
    <w:rPr>
      <w:rFonts w:ascii="Century Gothic" w:hAnsi="Century Gothic"/>
      <w:color w:val="1F497D" w:themeColor="text2"/>
      <w:kern w:val="0"/>
      <w:sz w:val="28"/>
    </w:rPr>
  </w:style>
  <w:style w:type="character" w:customStyle="1" w:styleId="SubtitleChar">
    <w:name w:val="Subtitle Char"/>
    <w:basedOn w:val="DefaultParagraphFont"/>
    <w:link w:val="Subtitle"/>
    <w:uiPriority w:val="11"/>
    <w:rsid w:val="00231558"/>
    <w:rPr>
      <w:rFonts w:ascii="Century Gothic" w:eastAsiaTheme="majorEastAsia" w:hAnsi="Century Gothic" w:cstheme="majorBidi"/>
      <w:b/>
      <w:bCs/>
      <w:color w:val="1F497D" w:themeColor="text2"/>
      <w:sz w:val="28"/>
      <w:szCs w:val="26"/>
    </w:rPr>
  </w:style>
  <w:style w:type="paragraph" w:customStyle="1" w:styleId="Para0">
    <w:name w:val="Para 0"/>
    <w:basedOn w:val="Normal"/>
    <w:rsid w:val="008C3B72"/>
    <w:pPr>
      <w:spacing w:after="220" w:line="300" w:lineRule="auto"/>
    </w:pPr>
    <w:rPr>
      <w:rFonts w:ascii="Arial" w:hAnsi="Arial"/>
      <w:kern w:val="0"/>
      <w:sz w:val="20"/>
      <w:lang w:val="en-GB"/>
    </w:rPr>
  </w:style>
  <w:style w:type="paragraph" w:customStyle="1" w:styleId="Para0bullet">
    <w:name w:val="Para 0 bullet"/>
    <w:basedOn w:val="Para0"/>
    <w:link w:val="Para0bulletChar"/>
    <w:rsid w:val="00610A43"/>
    <w:pPr>
      <w:numPr>
        <w:numId w:val="5"/>
      </w:numPr>
      <w:spacing w:after="60"/>
    </w:pPr>
  </w:style>
  <w:style w:type="character" w:customStyle="1" w:styleId="Para0bulletChar">
    <w:name w:val="Para 0 bullet Char"/>
    <w:link w:val="Para0bullet"/>
    <w:rsid w:val="00610A43"/>
    <w:rPr>
      <w:rFonts w:ascii="Arial" w:eastAsia="Times New Roman" w:hAnsi="Arial" w:cs="Times New Roman"/>
      <w:color w:val="000000"/>
      <w:sz w:val="20"/>
      <w:szCs w:val="20"/>
      <w:lang w:val="en-GB"/>
    </w:rPr>
  </w:style>
  <w:style w:type="paragraph" w:styleId="Revision">
    <w:name w:val="Revision"/>
    <w:hidden/>
    <w:uiPriority w:val="99"/>
    <w:semiHidden/>
    <w:rsid w:val="00B52631"/>
    <w:pPr>
      <w:spacing w:after="0" w:line="240" w:lineRule="auto"/>
    </w:pPr>
    <w:rPr>
      <w:rFonts w:eastAsia="Times New Roman" w:cs="Times New Roman"/>
      <w:color w:val="000000"/>
      <w:kern w:val="28"/>
      <w:szCs w:val="20"/>
    </w:rPr>
  </w:style>
  <w:style w:type="paragraph" w:customStyle="1" w:styleId="Reporttext">
    <w:name w:val="Report text"/>
    <w:basedOn w:val="Normal"/>
    <w:rsid w:val="00F83A73"/>
    <w:pPr>
      <w:spacing w:after="170" w:line="260" w:lineRule="atLeast"/>
    </w:pPr>
    <w:rPr>
      <w:rFonts w:ascii="Segoe UI" w:eastAsia="MS Mincho" w:hAnsi="Segoe UI"/>
      <w:color w:val="auto"/>
      <w:kern w:val="0"/>
      <w:sz w:val="18"/>
      <w:szCs w:val="18"/>
      <w:lang w:eastAsia="en-AU"/>
    </w:rPr>
  </w:style>
  <w:style w:type="paragraph" w:customStyle="1" w:styleId="EndNoteBibliography">
    <w:name w:val="EndNote Bibliography"/>
    <w:basedOn w:val="Normal"/>
    <w:link w:val="EndNoteBibliographyChar"/>
    <w:rsid w:val="00786ADE"/>
    <w:pPr>
      <w:spacing w:after="200"/>
    </w:pPr>
    <w:rPr>
      <w:rFonts w:ascii="Calibri" w:eastAsiaTheme="minorHAnsi" w:hAnsi="Calibri" w:cs="Calibri"/>
      <w:noProof/>
      <w:color w:val="auto"/>
      <w:kern w:val="0"/>
      <w:szCs w:val="22"/>
      <w:lang w:val="en-US"/>
    </w:rPr>
  </w:style>
  <w:style w:type="character" w:customStyle="1" w:styleId="EndNoteBibliographyChar">
    <w:name w:val="EndNote Bibliography Char"/>
    <w:basedOn w:val="DefaultParagraphFont"/>
    <w:link w:val="EndNoteBibliography"/>
    <w:rsid w:val="00786ADE"/>
    <w:rPr>
      <w:rFonts w:ascii="Calibri" w:hAnsi="Calibri" w:cs="Calibri"/>
      <w:noProof/>
      <w:lang w:val="en-US"/>
    </w:rPr>
  </w:style>
  <w:style w:type="paragraph" w:customStyle="1" w:styleId="BodyText1">
    <w:name w:val="Body Text1"/>
    <w:basedOn w:val="BodyText"/>
    <w:link w:val="BodytextChar0"/>
    <w:rsid w:val="00534849"/>
    <w:pPr>
      <w:spacing w:before="120" w:after="240"/>
      <w:jc w:val="both"/>
    </w:pPr>
    <w:rPr>
      <w:rFonts w:ascii="Arial" w:eastAsia="Calibri" w:hAnsi="Arial"/>
      <w:color w:val="auto"/>
      <w:kern w:val="0"/>
      <w:sz w:val="20"/>
      <w:szCs w:val="20"/>
      <w:lang w:val="en-AU"/>
    </w:rPr>
  </w:style>
  <w:style w:type="character" w:customStyle="1" w:styleId="BodytextChar0">
    <w:name w:val="Body text Char"/>
    <w:basedOn w:val="DefaultParagraphFont"/>
    <w:link w:val="BodyText1"/>
    <w:locked/>
    <w:rsid w:val="00534849"/>
    <w:rPr>
      <w:rFonts w:ascii="Arial" w:eastAsia="Calibri" w:hAnsi="Arial" w:cs="Times New Roman"/>
      <w:sz w:val="20"/>
      <w:szCs w:val="20"/>
    </w:rPr>
  </w:style>
  <w:style w:type="character" w:customStyle="1" w:styleId="CharChar7">
    <w:name w:val="Char Char7"/>
    <w:uiPriority w:val="99"/>
    <w:locked/>
    <w:rsid w:val="00011BE4"/>
    <w:rPr>
      <w:rFonts w:ascii="Frutiger LT Std 45 Light" w:hAnsi="Frutiger LT Std 45 Light" w:cs="Frutiger LT Std 45 Light"/>
      <w:color w:val="548DD4"/>
      <w:spacing w:val="5"/>
      <w:kern w:val="28"/>
      <w:sz w:val="28"/>
      <w:szCs w:val="28"/>
      <w:lang w:val="en-AU" w:eastAsia="en-US" w:bidi="ar-SA"/>
    </w:rPr>
  </w:style>
  <w:style w:type="paragraph" w:styleId="NormalWeb">
    <w:name w:val="Normal (Web)"/>
    <w:basedOn w:val="Normal"/>
    <w:uiPriority w:val="99"/>
    <w:semiHidden/>
    <w:unhideWhenUsed/>
    <w:rsid w:val="002B581A"/>
    <w:pPr>
      <w:spacing w:before="100" w:beforeAutospacing="1" w:after="100" w:afterAutospacing="1"/>
    </w:pPr>
    <w:rPr>
      <w:rFonts w:ascii="Times New Roman" w:hAnsi="Times New Roman"/>
      <w:color w:val="auto"/>
      <w:kern w:val="0"/>
      <w:sz w:val="24"/>
      <w:szCs w:val="24"/>
      <w:lang w:val="en-US"/>
    </w:rPr>
  </w:style>
  <w:style w:type="paragraph" w:customStyle="1" w:styleId="Style1">
    <w:name w:val="Style1"/>
    <w:basedOn w:val="Heading4"/>
    <w:qFormat/>
    <w:rsid w:val="00443EDA"/>
    <w:rPr>
      <w:i/>
      <w:u w:val="none"/>
    </w:rPr>
  </w:style>
  <w:style w:type="paragraph" w:customStyle="1" w:styleId="Glossary">
    <w:name w:val="Glossary"/>
    <w:basedOn w:val="Normal"/>
    <w:qFormat/>
    <w:rsid w:val="00443EDA"/>
    <w:pPr>
      <w:spacing w:after="0"/>
    </w:pPr>
    <w:rPr>
      <w:rFonts w:ascii="Calibri" w:hAnsi="Calibri" w:cs="Calibri"/>
      <w:b/>
      <w:bCs/>
      <w:color w:val="E46D0A"/>
      <w:lang w:val="en-US"/>
    </w:rPr>
  </w:style>
  <w:style w:type="paragraph" w:styleId="TOC5">
    <w:name w:val="toc 5"/>
    <w:basedOn w:val="Normal"/>
    <w:next w:val="Normal"/>
    <w:autoRedefine/>
    <w:uiPriority w:val="39"/>
    <w:unhideWhenUsed/>
    <w:rsid w:val="00443EDA"/>
    <w:pPr>
      <w:spacing w:after="100" w:line="276" w:lineRule="auto"/>
      <w:ind w:left="880"/>
    </w:pPr>
    <w:rPr>
      <w:rFonts w:eastAsiaTheme="minorEastAsia" w:cstheme="minorBidi"/>
      <w:color w:val="auto"/>
      <w:kern w:val="0"/>
      <w:szCs w:val="22"/>
      <w:lang w:val="en-US"/>
    </w:rPr>
  </w:style>
  <w:style w:type="paragraph" w:styleId="TOC6">
    <w:name w:val="toc 6"/>
    <w:basedOn w:val="Normal"/>
    <w:next w:val="Normal"/>
    <w:autoRedefine/>
    <w:uiPriority w:val="39"/>
    <w:unhideWhenUsed/>
    <w:rsid w:val="00443EDA"/>
    <w:pPr>
      <w:spacing w:after="100" w:line="276" w:lineRule="auto"/>
      <w:ind w:left="1100"/>
    </w:pPr>
    <w:rPr>
      <w:rFonts w:eastAsiaTheme="minorEastAsia" w:cstheme="minorBidi"/>
      <w:color w:val="auto"/>
      <w:kern w:val="0"/>
      <w:szCs w:val="22"/>
      <w:lang w:val="en-US"/>
    </w:rPr>
  </w:style>
  <w:style w:type="paragraph" w:styleId="TOC7">
    <w:name w:val="toc 7"/>
    <w:basedOn w:val="Normal"/>
    <w:next w:val="Normal"/>
    <w:autoRedefine/>
    <w:uiPriority w:val="39"/>
    <w:unhideWhenUsed/>
    <w:rsid w:val="00443EDA"/>
    <w:pPr>
      <w:spacing w:after="100" w:line="276" w:lineRule="auto"/>
      <w:ind w:left="1320"/>
    </w:pPr>
    <w:rPr>
      <w:rFonts w:eastAsiaTheme="minorEastAsia" w:cstheme="minorBidi"/>
      <w:color w:val="auto"/>
      <w:kern w:val="0"/>
      <w:szCs w:val="22"/>
      <w:lang w:val="en-US"/>
    </w:rPr>
  </w:style>
  <w:style w:type="paragraph" w:styleId="TOC8">
    <w:name w:val="toc 8"/>
    <w:basedOn w:val="Normal"/>
    <w:next w:val="Normal"/>
    <w:autoRedefine/>
    <w:uiPriority w:val="39"/>
    <w:unhideWhenUsed/>
    <w:rsid w:val="00443EDA"/>
    <w:pPr>
      <w:spacing w:after="100" w:line="276" w:lineRule="auto"/>
      <w:ind w:left="1540"/>
    </w:pPr>
    <w:rPr>
      <w:rFonts w:eastAsiaTheme="minorEastAsia" w:cstheme="minorBidi"/>
      <w:color w:val="auto"/>
      <w:kern w:val="0"/>
      <w:szCs w:val="22"/>
      <w:lang w:val="en-US"/>
    </w:rPr>
  </w:style>
  <w:style w:type="paragraph" w:styleId="TOC9">
    <w:name w:val="toc 9"/>
    <w:basedOn w:val="Normal"/>
    <w:next w:val="Normal"/>
    <w:autoRedefine/>
    <w:uiPriority w:val="39"/>
    <w:unhideWhenUsed/>
    <w:rsid w:val="00443EDA"/>
    <w:pPr>
      <w:spacing w:after="100" w:line="276" w:lineRule="auto"/>
      <w:ind w:left="1760"/>
    </w:pPr>
    <w:rPr>
      <w:rFonts w:eastAsiaTheme="minorEastAsia" w:cstheme="minorBidi"/>
      <w:color w:val="auto"/>
      <w:kern w:val="0"/>
      <w:szCs w:val="22"/>
      <w:lang w:val="en-US"/>
    </w:rPr>
  </w:style>
  <w:style w:type="paragraph" w:customStyle="1" w:styleId="TableBullet">
    <w:name w:val="Table Bullet"/>
    <w:basedOn w:val="TableText"/>
    <w:link w:val="TableBulletChar"/>
    <w:qFormat/>
    <w:rsid w:val="00443EDA"/>
    <w:pPr>
      <w:ind w:left="284" w:hanging="284"/>
    </w:pPr>
    <w:rPr>
      <w:szCs w:val="20"/>
    </w:rPr>
  </w:style>
  <w:style w:type="character" w:customStyle="1" w:styleId="TableBulletChar">
    <w:name w:val="Table Bullet Char"/>
    <w:basedOn w:val="TableTextChar"/>
    <w:link w:val="TableBullet"/>
    <w:rsid w:val="00443EDA"/>
    <w:rPr>
      <w:rFonts w:eastAsia="Calibri" w:cs="Arial"/>
      <w:color w:val="000000"/>
      <w:kern w:val="28"/>
      <w:sz w:val="20"/>
      <w:szCs w:val="20"/>
    </w:rPr>
  </w:style>
  <w:style w:type="paragraph" w:customStyle="1" w:styleId="TableBullets">
    <w:name w:val="TableBullets"/>
    <w:basedOn w:val="TableText"/>
    <w:qFormat/>
    <w:rsid w:val="008F4F40"/>
    <w:pPr>
      <w:numPr>
        <w:numId w:val="7"/>
      </w:numPr>
    </w:pPr>
    <w:rPr>
      <w:lang w:eastAsia="en-AU"/>
    </w:rPr>
  </w:style>
  <w:style w:type="paragraph" w:styleId="BodyText3">
    <w:name w:val="Body Text 3"/>
    <w:basedOn w:val="Normal"/>
    <w:link w:val="BodyText3Char"/>
    <w:uiPriority w:val="99"/>
    <w:rsid w:val="00977882"/>
    <w:pPr>
      <w:spacing w:after="120"/>
    </w:pPr>
    <w:rPr>
      <w:rFonts w:ascii="Calibri" w:hAnsi="Calibri"/>
      <w:sz w:val="16"/>
      <w:szCs w:val="16"/>
    </w:rPr>
  </w:style>
  <w:style w:type="character" w:customStyle="1" w:styleId="BodyText3Char">
    <w:name w:val="Body Text 3 Char"/>
    <w:basedOn w:val="DefaultParagraphFont"/>
    <w:link w:val="BodyText3"/>
    <w:uiPriority w:val="99"/>
    <w:rsid w:val="00977882"/>
    <w:rPr>
      <w:rFonts w:ascii="Calibri" w:eastAsia="Times New Roman" w:hAnsi="Calibri" w:cs="Times New Roman"/>
      <w:color w:val="000000"/>
      <w:kern w:val="28"/>
      <w:sz w:val="16"/>
      <w:szCs w:val="16"/>
    </w:rPr>
  </w:style>
  <w:style w:type="paragraph" w:customStyle="1" w:styleId="CM6">
    <w:name w:val="CM6"/>
    <w:basedOn w:val="Normal"/>
    <w:next w:val="Normal"/>
    <w:uiPriority w:val="99"/>
    <w:rsid w:val="00E64836"/>
    <w:pPr>
      <w:widowControl w:val="0"/>
      <w:autoSpaceDE w:val="0"/>
      <w:autoSpaceDN w:val="0"/>
      <w:adjustRightInd w:val="0"/>
      <w:spacing w:after="0" w:line="268" w:lineRule="atLeast"/>
    </w:pPr>
    <w:rPr>
      <w:rFonts w:ascii="Calibri,Bold" w:eastAsiaTheme="minorEastAsia" w:hAnsi="Calibri,Bold" w:cstheme="minorBidi"/>
      <w:color w:val="auto"/>
      <w:kern w:val="0"/>
      <w:sz w:val="24"/>
      <w:szCs w:val="24"/>
      <w:lang w:eastAsia="en-AU"/>
    </w:rPr>
  </w:style>
  <w:style w:type="paragraph" w:customStyle="1" w:styleId="CM19">
    <w:name w:val="CM19"/>
    <w:basedOn w:val="Default"/>
    <w:next w:val="Default"/>
    <w:uiPriority w:val="99"/>
    <w:rsid w:val="00E14078"/>
    <w:pPr>
      <w:widowControl w:val="0"/>
    </w:pPr>
    <w:rPr>
      <w:rFonts w:ascii="Calibri,Bold" w:eastAsiaTheme="minorEastAsia" w:hAnsi="Calibri,Bold" w:cstheme="minorBidi"/>
      <w:color w:val="auto"/>
      <w:lang w:eastAsia="en-AU"/>
    </w:rPr>
  </w:style>
  <w:style w:type="paragraph" w:styleId="Bibliography">
    <w:name w:val="Bibliography"/>
    <w:basedOn w:val="Normal"/>
    <w:next w:val="Normal"/>
    <w:uiPriority w:val="37"/>
    <w:semiHidden/>
    <w:unhideWhenUsed/>
    <w:rsid w:val="00336C52"/>
  </w:style>
  <w:style w:type="paragraph" w:customStyle="1" w:styleId="Heading2NotNumbered">
    <w:name w:val="Heading2 NotNumbered"/>
    <w:basedOn w:val="Heading2"/>
    <w:next w:val="Normal"/>
    <w:qFormat/>
    <w:rsid w:val="00336C52"/>
    <w:pPr>
      <w:numPr>
        <w:ilvl w:val="0"/>
        <w:numId w:val="0"/>
      </w:numPr>
    </w:pPr>
    <w:rPr>
      <w:i/>
    </w:rPr>
  </w:style>
  <w:style w:type="paragraph" w:customStyle="1" w:styleId="CM22">
    <w:name w:val="CM22"/>
    <w:basedOn w:val="Normal"/>
    <w:next w:val="Normal"/>
    <w:uiPriority w:val="99"/>
    <w:rsid w:val="00336C52"/>
    <w:pPr>
      <w:widowControl w:val="0"/>
      <w:autoSpaceDE w:val="0"/>
      <w:autoSpaceDN w:val="0"/>
      <w:adjustRightInd w:val="0"/>
      <w:spacing w:after="0"/>
    </w:pPr>
    <w:rPr>
      <w:rFonts w:ascii="Calibri,Bold" w:eastAsiaTheme="minorEastAsia" w:hAnsi="Calibri,Bold" w:cstheme="minorBidi"/>
      <w:color w:val="auto"/>
      <w:kern w:val="0"/>
      <w:sz w:val="24"/>
      <w:szCs w:val="24"/>
      <w:lang w:eastAsia="en-AU"/>
    </w:rPr>
  </w:style>
  <w:style w:type="paragraph" w:customStyle="1" w:styleId="CM1">
    <w:name w:val="CM1"/>
    <w:basedOn w:val="Default"/>
    <w:next w:val="Default"/>
    <w:uiPriority w:val="99"/>
    <w:rsid w:val="00336C52"/>
    <w:pPr>
      <w:widowControl w:val="0"/>
    </w:pPr>
    <w:rPr>
      <w:rFonts w:ascii="Calibri,Bold" w:eastAsiaTheme="minorEastAsia" w:hAnsi="Calibri,Bold" w:cstheme="minorBidi"/>
      <w:color w:val="auto"/>
      <w:lang w:eastAsia="en-AU"/>
    </w:rPr>
  </w:style>
  <w:style w:type="paragraph" w:customStyle="1" w:styleId="CM4">
    <w:name w:val="CM4"/>
    <w:basedOn w:val="Default"/>
    <w:next w:val="Default"/>
    <w:uiPriority w:val="99"/>
    <w:rsid w:val="00336C52"/>
    <w:pPr>
      <w:widowControl w:val="0"/>
      <w:spacing w:line="271" w:lineRule="atLeast"/>
    </w:pPr>
    <w:rPr>
      <w:rFonts w:ascii="Calibri,Bold" w:eastAsiaTheme="minorEastAsia" w:hAnsi="Calibri,Bold" w:cstheme="minorBidi"/>
      <w:color w:val="auto"/>
      <w:lang w:eastAsia="en-AU"/>
    </w:rPr>
  </w:style>
  <w:style w:type="paragraph" w:customStyle="1" w:styleId="CM8">
    <w:name w:val="CM8"/>
    <w:basedOn w:val="Default"/>
    <w:next w:val="Default"/>
    <w:uiPriority w:val="99"/>
    <w:rsid w:val="00336C52"/>
    <w:pPr>
      <w:widowControl w:val="0"/>
      <w:spacing w:line="271" w:lineRule="atLeast"/>
    </w:pPr>
    <w:rPr>
      <w:rFonts w:ascii="Calibri,Bold" w:eastAsiaTheme="minorEastAsia" w:hAnsi="Calibri,Bold" w:cstheme="minorBidi"/>
      <w:color w:val="auto"/>
      <w:lang w:eastAsia="en-AU"/>
    </w:rPr>
  </w:style>
  <w:style w:type="paragraph" w:customStyle="1" w:styleId="CM3">
    <w:name w:val="CM3"/>
    <w:basedOn w:val="Default"/>
    <w:next w:val="Default"/>
    <w:uiPriority w:val="99"/>
    <w:rsid w:val="00336C52"/>
    <w:pPr>
      <w:widowControl w:val="0"/>
      <w:spacing w:line="271" w:lineRule="atLeast"/>
    </w:pPr>
    <w:rPr>
      <w:rFonts w:ascii="Calibri,Bold" w:eastAsiaTheme="minorEastAsia" w:hAnsi="Calibri,Bold" w:cstheme="minorBidi"/>
      <w:color w:val="auto"/>
      <w:lang w:eastAsia="en-AU"/>
    </w:rPr>
  </w:style>
  <w:style w:type="paragraph" w:customStyle="1" w:styleId="CM20">
    <w:name w:val="CM20"/>
    <w:basedOn w:val="Default"/>
    <w:next w:val="Default"/>
    <w:uiPriority w:val="99"/>
    <w:rsid w:val="00336C52"/>
    <w:pPr>
      <w:widowControl w:val="0"/>
    </w:pPr>
    <w:rPr>
      <w:rFonts w:ascii="Calibri,Bold" w:eastAsiaTheme="minorEastAsia" w:hAnsi="Calibri,Bold" w:cstheme="minorBidi"/>
      <w:color w:val="auto"/>
      <w:lang w:eastAsia="en-AU"/>
    </w:rPr>
  </w:style>
  <w:style w:type="paragraph" w:customStyle="1" w:styleId="CM16">
    <w:name w:val="CM16"/>
    <w:basedOn w:val="Default"/>
    <w:next w:val="Default"/>
    <w:uiPriority w:val="99"/>
    <w:rsid w:val="00336C52"/>
    <w:pPr>
      <w:widowControl w:val="0"/>
    </w:pPr>
    <w:rPr>
      <w:rFonts w:ascii="Calibri,Bold" w:eastAsiaTheme="minorEastAsia" w:hAnsi="Calibri,Bold" w:cstheme="minorBidi"/>
      <w:color w:val="auto"/>
      <w:lang w:eastAsia="en-AU"/>
    </w:rPr>
  </w:style>
  <w:style w:type="paragraph" w:customStyle="1" w:styleId="CM23">
    <w:name w:val="CM23"/>
    <w:basedOn w:val="Default"/>
    <w:next w:val="Default"/>
    <w:uiPriority w:val="99"/>
    <w:rsid w:val="00336C52"/>
    <w:pPr>
      <w:widowControl w:val="0"/>
    </w:pPr>
    <w:rPr>
      <w:rFonts w:ascii="Calibri,Bold" w:eastAsiaTheme="minorEastAsia" w:hAnsi="Calibri,Bold" w:cstheme="minorBidi"/>
      <w:color w:val="auto"/>
      <w:lang w:eastAsia="en-AU"/>
    </w:rPr>
  </w:style>
  <w:style w:type="character" w:customStyle="1" w:styleId="hithilite">
    <w:name w:val="hithilite"/>
    <w:basedOn w:val="DefaultParagraphFont"/>
    <w:rsid w:val="00336C52"/>
  </w:style>
  <w:style w:type="numbering" w:customStyle="1" w:styleId="KeyPoints">
    <w:name w:val="Key Points"/>
    <w:basedOn w:val="NoList"/>
    <w:uiPriority w:val="99"/>
    <w:rsid w:val="00336C52"/>
    <w:pPr>
      <w:numPr>
        <w:numId w:val="47"/>
      </w:numPr>
    </w:pPr>
  </w:style>
  <w:style w:type="paragraph" w:customStyle="1" w:styleId="Classification">
    <w:name w:val="Classification"/>
    <w:basedOn w:val="Normal"/>
    <w:uiPriority w:val="10"/>
    <w:qFormat/>
    <w:rsid w:val="00336C52"/>
    <w:pPr>
      <w:tabs>
        <w:tab w:val="center" w:pos="4536"/>
        <w:tab w:val="center" w:pos="4819"/>
        <w:tab w:val="right" w:pos="9356"/>
      </w:tabs>
      <w:spacing w:after="240"/>
      <w:jc w:val="center"/>
    </w:pPr>
    <w:rPr>
      <w:rFonts w:cs="Arial"/>
      <w:color w:val="FF0000"/>
      <w:sz w:val="28"/>
      <w:szCs w:val="28"/>
      <w:lang w:eastAsia="en-AU"/>
    </w:rPr>
  </w:style>
  <w:style w:type="paragraph" w:styleId="ListNumber2">
    <w:name w:val="List Number 2"/>
    <w:basedOn w:val="Normal"/>
    <w:uiPriority w:val="99"/>
    <w:rsid w:val="00336C52"/>
    <w:pPr>
      <w:ind w:left="738" w:hanging="369"/>
    </w:pPr>
  </w:style>
  <w:style w:type="paragraph" w:styleId="ListNumber3">
    <w:name w:val="List Number 3"/>
    <w:basedOn w:val="Normal"/>
    <w:uiPriority w:val="99"/>
    <w:rsid w:val="00336C52"/>
    <w:pPr>
      <w:ind w:left="1107" w:hanging="369"/>
    </w:pPr>
  </w:style>
  <w:style w:type="paragraph" w:styleId="ListNumber4">
    <w:name w:val="List Number 4"/>
    <w:basedOn w:val="Normal"/>
    <w:uiPriority w:val="99"/>
    <w:rsid w:val="00336C52"/>
    <w:pPr>
      <w:ind w:left="1476" w:hanging="369"/>
    </w:pPr>
  </w:style>
  <w:style w:type="paragraph" w:styleId="ListNumber5">
    <w:name w:val="List Number 5"/>
    <w:basedOn w:val="Normal"/>
    <w:uiPriority w:val="99"/>
    <w:rsid w:val="00336C52"/>
    <w:pPr>
      <w:ind w:left="1845" w:hanging="369"/>
    </w:pPr>
  </w:style>
  <w:style w:type="paragraph" w:customStyle="1" w:styleId="Captions">
    <w:name w:val="Captions"/>
    <w:basedOn w:val="Normal"/>
    <w:next w:val="Normal"/>
    <w:autoRedefine/>
    <w:qFormat/>
    <w:rsid w:val="00D426B1"/>
    <w:pPr>
      <w:spacing w:before="120" w:after="240"/>
    </w:pPr>
    <w:rPr>
      <w:rFonts w:ascii="Calibri" w:eastAsia="MS Mincho" w:hAnsi="Calibri" w:cs="Arial"/>
      <w:b/>
      <w:bCs/>
      <w:color w:val="auto"/>
      <w:kern w:val="0"/>
      <w:sz w:val="20"/>
      <w:lang w:val="en-US"/>
    </w:rPr>
  </w:style>
  <w:style w:type="paragraph" w:customStyle="1" w:styleId="dotpoints">
    <w:name w:val="dotpoints"/>
    <w:basedOn w:val="TableText"/>
    <w:link w:val="dotpointsChar"/>
    <w:qFormat/>
    <w:rsid w:val="00053163"/>
    <w:pPr>
      <w:numPr>
        <w:numId w:val="65"/>
      </w:numPr>
      <w:ind w:left="57" w:hanging="57"/>
    </w:pPr>
    <w:rPr>
      <w:szCs w:val="20"/>
    </w:rPr>
  </w:style>
  <w:style w:type="character" w:customStyle="1" w:styleId="dotpointsChar">
    <w:name w:val="dotpoints Char"/>
    <w:basedOn w:val="TableTextChar"/>
    <w:link w:val="dotpoints"/>
    <w:rsid w:val="00053163"/>
    <w:rPr>
      <w:rFonts w:eastAsia="Calibri" w:cs="Arial"/>
      <w:color w:val="000000"/>
      <w:kern w:val="28"/>
      <w:sz w:val="20"/>
      <w:szCs w:val="20"/>
    </w:rPr>
  </w:style>
  <w:style w:type="paragraph" w:customStyle="1" w:styleId="DefaultText">
    <w:name w:val="Default Text"/>
    <w:basedOn w:val="Normal"/>
    <w:rsid w:val="00D75E3B"/>
    <w:pPr>
      <w:spacing w:after="0"/>
      <w:jc w:val="left"/>
    </w:pPr>
    <w:rPr>
      <w:rFonts w:ascii="Times New Roman" w:hAnsi="Times New Roman"/>
      <w:color w:val="auto"/>
      <w:kern w:val="0"/>
      <w:sz w:val="24"/>
      <w:lang w:eastAsia="en-AU"/>
    </w:rPr>
  </w:style>
  <w:style w:type="paragraph" w:styleId="NoSpacing">
    <w:name w:val="No Spacing"/>
    <w:uiPriority w:val="1"/>
    <w:qFormat/>
    <w:rsid w:val="00D2564A"/>
    <w:pPr>
      <w:spacing w:after="0" w:line="240" w:lineRule="auto"/>
    </w:pPr>
    <w:rPr>
      <w:rFonts w:ascii="Arial" w:eastAsia="Times New Roman" w:hAnsi="Arial" w:cs="Times New Roman"/>
      <w:sz w:val="24"/>
      <w:szCs w:val="24"/>
    </w:rPr>
  </w:style>
  <w:style w:type="paragraph" w:customStyle="1" w:styleId="Bullet">
    <w:name w:val="Bullet"/>
    <w:basedOn w:val="Normal"/>
    <w:rsid w:val="000B3EA0"/>
    <w:pPr>
      <w:numPr>
        <w:numId w:val="73"/>
      </w:numPr>
      <w:spacing w:after="120"/>
      <w:jc w:val="left"/>
    </w:pPr>
    <w:rPr>
      <w:rFonts w:ascii="Times New Roman" w:hAnsi="Times New Roman"/>
      <w:color w:val="auto"/>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199176">
      <w:bodyDiv w:val="1"/>
      <w:marLeft w:val="0"/>
      <w:marRight w:val="0"/>
      <w:marTop w:val="0"/>
      <w:marBottom w:val="0"/>
      <w:divBdr>
        <w:top w:val="none" w:sz="0" w:space="0" w:color="auto"/>
        <w:left w:val="none" w:sz="0" w:space="0" w:color="auto"/>
        <w:bottom w:val="none" w:sz="0" w:space="0" w:color="auto"/>
        <w:right w:val="none" w:sz="0" w:space="0" w:color="auto"/>
      </w:divBdr>
    </w:div>
    <w:div w:id="136263667">
      <w:bodyDiv w:val="1"/>
      <w:marLeft w:val="0"/>
      <w:marRight w:val="0"/>
      <w:marTop w:val="0"/>
      <w:marBottom w:val="0"/>
      <w:divBdr>
        <w:top w:val="none" w:sz="0" w:space="0" w:color="auto"/>
        <w:left w:val="none" w:sz="0" w:space="0" w:color="auto"/>
        <w:bottom w:val="none" w:sz="0" w:space="0" w:color="auto"/>
        <w:right w:val="none" w:sz="0" w:space="0" w:color="auto"/>
      </w:divBdr>
    </w:div>
    <w:div w:id="173230080">
      <w:bodyDiv w:val="1"/>
      <w:marLeft w:val="0"/>
      <w:marRight w:val="0"/>
      <w:marTop w:val="0"/>
      <w:marBottom w:val="0"/>
      <w:divBdr>
        <w:top w:val="none" w:sz="0" w:space="0" w:color="auto"/>
        <w:left w:val="none" w:sz="0" w:space="0" w:color="auto"/>
        <w:bottom w:val="none" w:sz="0" w:space="0" w:color="auto"/>
        <w:right w:val="none" w:sz="0" w:space="0" w:color="auto"/>
      </w:divBdr>
    </w:div>
    <w:div w:id="179780817">
      <w:bodyDiv w:val="1"/>
      <w:marLeft w:val="0"/>
      <w:marRight w:val="0"/>
      <w:marTop w:val="0"/>
      <w:marBottom w:val="0"/>
      <w:divBdr>
        <w:top w:val="none" w:sz="0" w:space="0" w:color="auto"/>
        <w:left w:val="none" w:sz="0" w:space="0" w:color="auto"/>
        <w:bottom w:val="none" w:sz="0" w:space="0" w:color="auto"/>
        <w:right w:val="none" w:sz="0" w:space="0" w:color="auto"/>
      </w:divBdr>
    </w:div>
    <w:div w:id="213586874">
      <w:bodyDiv w:val="1"/>
      <w:marLeft w:val="0"/>
      <w:marRight w:val="0"/>
      <w:marTop w:val="0"/>
      <w:marBottom w:val="0"/>
      <w:divBdr>
        <w:top w:val="none" w:sz="0" w:space="0" w:color="auto"/>
        <w:left w:val="none" w:sz="0" w:space="0" w:color="auto"/>
        <w:bottom w:val="none" w:sz="0" w:space="0" w:color="auto"/>
        <w:right w:val="none" w:sz="0" w:space="0" w:color="auto"/>
      </w:divBdr>
    </w:div>
    <w:div w:id="221209588">
      <w:bodyDiv w:val="1"/>
      <w:marLeft w:val="0"/>
      <w:marRight w:val="0"/>
      <w:marTop w:val="0"/>
      <w:marBottom w:val="0"/>
      <w:divBdr>
        <w:top w:val="none" w:sz="0" w:space="0" w:color="auto"/>
        <w:left w:val="none" w:sz="0" w:space="0" w:color="auto"/>
        <w:bottom w:val="none" w:sz="0" w:space="0" w:color="auto"/>
        <w:right w:val="none" w:sz="0" w:space="0" w:color="auto"/>
      </w:divBdr>
    </w:div>
    <w:div w:id="238251633">
      <w:bodyDiv w:val="1"/>
      <w:marLeft w:val="0"/>
      <w:marRight w:val="0"/>
      <w:marTop w:val="0"/>
      <w:marBottom w:val="0"/>
      <w:divBdr>
        <w:top w:val="none" w:sz="0" w:space="0" w:color="auto"/>
        <w:left w:val="none" w:sz="0" w:space="0" w:color="auto"/>
        <w:bottom w:val="none" w:sz="0" w:space="0" w:color="auto"/>
        <w:right w:val="none" w:sz="0" w:space="0" w:color="auto"/>
      </w:divBdr>
    </w:div>
    <w:div w:id="252596453">
      <w:bodyDiv w:val="1"/>
      <w:marLeft w:val="0"/>
      <w:marRight w:val="0"/>
      <w:marTop w:val="0"/>
      <w:marBottom w:val="0"/>
      <w:divBdr>
        <w:top w:val="none" w:sz="0" w:space="0" w:color="auto"/>
        <w:left w:val="none" w:sz="0" w:space="0" w:color="auto"/>
        <w:bottom w:val="none" w:sz="0" w:space="0" w:color="auto"/>
        <w:right w:val="none" w:sz="0" w:space="0" w:color="auto"/>
      </w:divBdr>
    </w:div>
    <w:div w:id="293295581">
      <w:bodyDiv w:val="1"/>
      <w:marLeft w:val="0"/>
      <w:marRight w:val="0"/>
      <w:marTop w:val="0"/>
      <w:marBottom w:val="0"/>
      <w:divBdr>
        <w:top w:val="none" w:sz="0" w:space="0" w:color="auto"/>
        <w:left w:val="none" w:sz="0" w:space="0" w:color="auto"/>
        <w:bottom w:val="none" w:sz="0" w:space="0" w:color="auto"/>
        <w:right w:val="none" w:sz="0" w:space="0" w:color="auto"/>
      </w:divBdr>
    </w:div>
    <w:div w:id="333185903">
      <w:bodyDiv w:val="1"/>
      <w:marLeft w:val="0"/>
      <w:marRight w:val="0"/>
      <w:marTop w:val="0"/>
      <w:marBottom w:val="0"/>
      <w:divBdr>
        <w:top w:val="none" w:sz="0" w:space="0" w:color="auto"/>
        <w:left w:val="none" w:sz="0" w:space="0" w:color="auto"/>
        <w:bottom w:val="none" w:sz="0" w:space="0" w:color="auto"/>
        <w:right w:val="none" w:sz="0" w:space="0" w:color="auto"/>
      </w:divBdr>
    </w:div>
    <w:div w:id="457183386">
      <w:bodyDiv w:val="1"/>
      <w:marLeft w:val="0"/>
      <w:marRight w:val="0"/>
      <w:marTop w:val="0"/>
      <w:marBottom w:val="0"/>
      <w:divBdr>
        <w:top w:val="none" w:sz="0" w:space="0" w:color="auto"/>
        <w:left w:val="none" w:sz="0" w:space="0" w:color="auto"/>
        <w:bottom w:val="none" w:sz="0" w:space="0" w:color="auto"/>
        <w:right w:val="none" w:sz="0" w:space="0" w:color="auto"/>
      </w:divBdr>
    </w:div>
    <w:div w:id="514005817">
      <w:bodyDiv w:val="1"/>
      <w:marLeft w:val="0"/>
      <w:marRight w:val="0"/>
      <w:marTop w:val="0"/>
      <w:marBottom w:val="0"/>
      <w:divBdr>
        <w:top w:val="none" w:sz="0" w:space="0" w:color="auto"/>
        <w:left w:val="none" w:sz="0" w:space="0" w:color="auto"/>
        <w:bottom w:val="none" w:sz="0" w:space="0" w:color="auto"/>
        <w:right w:val="none" w:sz="0" w:space="0" w:color="auto"/>
      </w:divBdr>
    </w:div>
    <w:div w:id="582253727">
      <w:bodyDiv w:val="1"/>
      <w:marLeft w:val="0"/>
      <w:marRight w:val="0"/>
      <w:marTop w:val="0"/>
      <w:marBottom w:val="0"/>
      <w:divBdr>
        <w:top w:val="none" w:sz="0" w:space="0" w:color="auto"/>
        <w:left w:val="none" w:sz="0" w:space="0" w:color="auto"/>
        <w:bottom w:val="none" w:sz="0" w:space="0" w:color="auto"/>
        <w:right w:val="none" w:sz="0" w:space="0" w:color="auto"/>
      </w:divBdr>
    </w:div>
    <w:div w:id="592205259">
      <w:bodyDiv w:val="1"/>
      <w:marLeft w:val="0"/>
      <w:marRight w:val="0"/>
      <w:marTop w:val="0"/>
      <w:marBottom w:val="0"/>
      <w:divBdr>
        <w:top w:val="none" w:sz="0" w:space="0" w:color="auto"/>
        <w:left w:val="none" w:sz="0" w:space="0" w:color="auto"/>
        <w:bottom w:val="none" w:sz="0" w:space="0" w:color="auto"/>
        <w:right w:val="none" w:sz="0" w:space="0" w:color="auto"/>
      </w:divBdr>
    </w:div>
    <w:div w:id="652374749">
      <w:bodyDiv w:val="1"/>
      <w:marLeft w:val="0"/>
      <w:marRight w:val="0"/>
      <w:marTop w:val="0"/>
      <w:marBottom w:val="0"/>
      <w:divBdr>
        <w:top w:val="none" w:sz="0" w:space="0" w:color="auto"/>
        <w:left w:val="none" w:sz="0" w:space="0" w:color="auto"/>
        <w:bottom w:val="none" w:sz="0" w:space="0" w:color="auto"/>
        <w:right w:val="none" w:sz="0" w:space="0" w:color="auto"/>
      </w:divBdr>
    </w:div>
    <w:div w:id="669677466">
      <w:bodyDiv w:val="1"/>
      <w:marLeft w:val="0"/>
      <w:marRight w:val="0"/>
      <w:marTop w:val="0"/>
      <w:marBottom w:val="0"/>
      <w:divBdr>
        <w:top w:val="none" w:sz="0" w:space="0" w:color="auto"/>
        <w:left w:val="none" w:sz="0" w:space="0" w:color="auto"/>
        <w:bottom w:val="none" w:sz="0" w:space="0" w:color="auto"/>
        <w:right w:val="none" w:sz="0" w:space="0" w:color="auto"/>
      </w:divBdr>
    </w:div>
    <w:div w:id="685063939">
      <w:bodyDiv w:val="1"/>
      <w:marLeft w:val="0"/>
      <w:marRight w:val="0"/>
      <w:marTop w:val="0"/>
      <w:marBottom w:val="0"/>
      <w:divBdr>
        <w:top w:val="none" w:sz="0" w:space="0" w:color="auto"/>
        <w:left w:val="none" w:sz="0" w:space="0" w:color="auto"/>
        <w:bottom w:val="none" w:sz="0" w:space="0" w:color="auto"/>
        <w:right w:val="none" w:sz="0" w:space="0" w:color="auto"/>
      </w:divBdr>
    </w:div>
    <w:div w:id="685138627">
      <w:bodyDiv w:val="1"/>
      <w:marLeft w:val="0"/>
      <w:marRight w:val="0"/>
      <w:marTop w:val="0"/>
      <w:marBottom w:val="0"/>
      <w:divBdr>
        <w:top w:val="none" w:sz="0" w:space="0" w:color="auto"/>
        <w:left w:val="none" w:sz="0" w:space="0" w:color="auto"/>
        <w:bottom w:val="none" w:sz="0" w:space="0" w:color="auto"/>
        <w:right w:val="none" w:sz="0" w:space="0" w:color="auto"/>
      </w:divBdr>
    </w:div>
    <w:div w:id="687293420">
      <w:bodyDiv w:val="1"/>
      <w:marLeft w:val="0"/>
      <w:marRight w:val="0"/>
      <w:marTop w:val="0"/>
      <w:marBottom w:val="0"/>
      <w:divBdr>
        <w:top w:val="none" w:sz="0" w:space="0" w:color="auto"/>
        <w:left w:val="none" w:sz="0" w:space="0" w:color="auto"/>
        <w:bottom w:val="none" w:sz="0" w:space="0" w:color="auto"/>
        <w:right w:val="none" w:sz="0" w:space="0" w:color="auto"/>
      </w:divBdr>
    </w:div>
    <w:div w:id="707149360">
      <w:bodyDiv w:val="1"/>
      <w:marLeft w:val="0"/>
      <w:marRight w:val="0"/>
      <w:marTop w:val="0"/>
      <w:marBottom w:val="0"/>
      <w:divBdr>
        <w:top w:val="none" w:sz="0" w:space="0" w:color="auto"/>
        <w:left w:val="none" w:sz="0" w:space="0" w:color="auto"/>
        <w:bottom w:val="none" w:sz="0" w:space="0" w:color="auto"/>
        <w:right w:val="none" w:sz="0" w:space="0" w:color="auto"/>
      </w:divBdr>
    </w:div>
    <w:div w:id="711611967">
      <w:bodyDiv w:val="1"/>
      <w:marLeft w:val="0"/>
      <w:marRight w:val="0"/>
      <w:marTop w:val="0"/>
      <w:marBottom w:val="0"/>
      <w:divBdr>
        <w:top w:val="none" w:sz="0" w:space="0" w:color="auto"/>
        <w:left w:val="none" w:sz="0" w:space="0" w:color="auto"/>
        <w:bottom w:val="none" w:sz="0" w:space="0" w:color="auto"/>
        <w:right w:val="none" w:sz="0" w:space="0" w:color="auto"/>
      </w:divBdr>
    </w:div>
    <w:div w:id="727991917">
      <w:bodyDiv w:val="1"/>
      <w:marLeft w:val="0"/>
      <w:marRight w:val="0"/>
      <w:marTop w:val="0"/>
      <w:marBottom w:val="0"/>
      <w:divBdr>
        <w:top w:val="none" w:sz="0" w:space="0" w:color="auto"/>
        <w:left w:val="none" w:sz="0" w:space="0" w:color="auto"/>
        <w:bottom w:val="none" w:sz="0" w:space="0" w:color="auto"/>
        <w:right w:val="none" w:sz="0" w:space="0" w:color="auto"/>
      </w:divBdr>
    </w:div>
    <w:div w:id="756823009">
      <w:bodyDiv w:val="1"/>
      <w:marLeft w:val="0"/>
      <w:marRight w:val="0"/>
      <w:marTop w:val="0"/>
      <w:marBottom w:val="0"/>
      <w:divBdr>
        <w:top w:val="none" w:sz="0" w:space="0" w:color="auto"/>
        <w:left w:val="none" w:sz="0" w:space="0" w:color="auto"/>
        <w:bottom w:val="none" w:sz="0" w:space="0" w:color="auto"/>
        <w:right w:val="none" w:sz="0" w:space="0" w:color="auto"/>
      </w:divBdr>
    </w:div>
    <w:div w:id="786969818">
      <w:bodyDiv w:val="1"/>
      <w:marLeft w:val="0"/>
      <w:marRight w:val="0"/>
      <w:marTop w:val="0"/>
      <w:marBottom w:val="0"/>
      <w:divBdr>
        <w:top w:val="none" w:sz="0" w:space="0" w:color="auto"/>
        <w:left w:val="none" w:sz="0" w:space="0" w:color="auto"/>
        <w:bottom w:val="none" w:sz="0" w:space="0" w:color="auto"/>
        <w:right w:val="none" w:sz="0" w:space="0" w:color="auto"/>
      </w:divBdr>
      <w:divsChild>
        <w:div w:id="1274903952">
          <w:marLeft w:val="0"/>
          <w:marRight w:val="0"/>
          <w:marTop w:val="0"/>
          <w:marBottom w:val="0"/>
          <w:divBdr>
            <w:top w:val="none" w:sz="0" w:space="0" w:color="auto"/>
            <w:left w:val="none" w:sz="0" w:space="0" w:color="auto"/>
            <w:bottom w:val="none" w:sz="0" w:space="0" w:color="auto"/>
            <w:right w:val="none" w:sz="0" w:space="0" w:color="auto"/>
          </w:divBdr>
          <w:divsChild>
            <w:div w:id="1604804710">
              <w:marLeft w:val="0"/>
              <w:marRight w:val="0"/>
              <w:marTop w:val="0"/>
              <w:marBottom w:val="0"/>
              <w:divBdr>
                <w:top w:val="none" w:sz="0" w:space="0" w:color="auto"/>
                <w:left w:val="none" w:sz="0" w:space="0" w:color="auto"/>
                <w:bottom w:val="none" w:sz="0" w:space="0" w:color="auto"/>
                <w:right w:val="none" w:sz="0" w:space="0" w:color="auto"/>
              </w:divBdr>
              <w:divsChild>
                <w:div w:id="183446403">
                  <w:marLeft w:val="0"/>
                  <w:marRight w:val="0"/>
                  <w:marTop w:val="0"/>
                  <w:marBottom w:val="0"/>
                  <w:divBdr>
                    <w:top w:val="none" w:sz="0" w:space="0" w:color="auto"/>
                    <w:left w:val="none" w:sz="0" w:space="0" w:color="auto"/>
                    <w:bottom w:val="none" w:sz="0" w:space="0" w:color="auto"/>
                    <w:right w:val="none" w:sz="0" w:space="0" w:color="auto"/>
                  </w:divBdr>
                  <w:divsChild>
                    <w:div w:id="754202525">
                      <w:marLeft w:val="150"/>
                      <w:marRight w:val="150"/>
                      <w:marTop w:val="0"/>
                      <w:marBottom w:val="0"/>
                      <w:divBdr>
                        <w:top w:val="none" w:sz="0" w:space="0" w:color="auto"/>
                        <w:left w:val="none" w:sz="0" w:space="0" w:color="auto"/>
                        <w:bottom w:val="none" w:sz="0" w:space="0" w:color="auto"/>
                        <w:right w:val="none" w:sz="0" w:space="0" w:color="auto"/>
                      </w:divBdr>
                      <w:divsChild>
                        <w:div w:id="1553998298">
                          <w:marLeft w:val="0"/>
                          <w:marRight w:val="0"/>
                          <w:marTop w:val="0"/>
                          <w:marBottom w:val="0"/>
                          <w:divBdr>
                            <w:top w:val="none" w:sz="0" w:space="0" w:color="auto"/>
                            <w:left w:val="none" w:sz="0" w:space="0" w:color="auto"/>
                            <w:bottom w:val="none" w:sz="0" w:space="0" w:color="auto"/>
                            <w:right w:val="none" w:sz="0" w:space="0" w:color="auto"/>
                          </w:divBdr>
                          <w:divsChild>
                            <w:div w:id="1459954956">
                              <w:marLeft w:val="0"/>
                              <w:marRight w:val="0"/>
                              <w:marTop w:val="0"/>
                              <w:marBottom w:val="240"/>
                              <w:divBdr>
                                <w:top w:val="none" w:sz="0" w:space="0" w:color="auto"/>
                                <w:left w:val="none" w:sz="0" w:space="0" w:color="auto"/>
                                <w:bottom w:val="none" w:sz="0" w:space="0" w:color="auto"/>
                                <w:right w:val="none" w:sz="0" w:space="0" w:color="auto"/>
                              </w:divBdr>
                              <w:divsChild>
                                <w:div w:id="1281457166">
                                  <w:marLeft w:val="0"/>
                                  <w:marRight w:val="0"/>
                                  <w:marTop w:val="0"/>
                                  <w:marBottom w:val="0"/>
                                  <w:divBdr>
                                    <w:top w:val="none" w:sz="0" w:space="0" w:color="auto"/>
                                    <w:left w:val="none" w:sz="0" w:space="0" w:color="auto"/>
                                    <w:bottom w:val="none" w:sz="0" w:space="0" w:color="auto"/>
                                    <w:right w:val="none" w:sz="0" w:space="0" w:color="auto"/>
                                  </w:divBdr>
                                  <w:divsChild>
                                    <w:div w:id="14310352">
                                      <w:marLeft w:val="0"/>
                                      <w:marRight w:val="0"/>
                                      <w:marTop w:val="0"/>
                                      <w:marBottom w:val="0"/>
                                      <w:divBdr>
                                        <w:top w:val="none" w:sz="0" w:space="0" w:color="auto"/>
                                        <w:left w:val="none" w:sz="0" w:space="0" w:color="auto"/>
                                        <w:bottom w:val="none" w:sz="0" w:space="0" w:color="auto"/>
                                        <w:right w:val="none" w:sz="0" w:space="0" w:color="auto"/>
                                      </w:divBdr>
                                      <w:divsChild>
                                        <w:div w:id="1536845477">
                                          <w:marLeft w:val="0"/>
                                          <w:marRight w:val="0"/>
                                          <w:marTop w:val="0"/>
                                          <w:marBottom w:val="0"/>
                                          <w:divBdr>
                                            <w:top w:val="none" w:sz="0" w:space="0" w:color="auto"/>
                                            <w:left w:val="none" w:sz="0" w:space="0" w:color="auto"/>
                                            <w:bottom w:val="none" w:sz="0" w:space="0" w:color="auto"/>
                                            <w:right w:val="none" w:sz="0" w:space="0" w:color="auto"/>
                                          </w:divBdr>
                                          <w:divsChild>
                                            <w:div w:id="941455894">
                                              <w:marLeft w:val="0"/>
                                              <w:marRight w:val="0"/>
                                              <w:marTop w:val="0"/>
                                              <w:marBottom w:val="0"/>
                                              <w:divBdr>
                                                <w:top w:val="none" w:sz="0" w:space="0" w:color="auto"/>
                                                <w:left w:val="none" w:sz="0" w:space="0" w:color="auto"/>
                                                <w:bottom w:val="none" w:sz="0" w:space="0" w:color="auto"/>
                                                <w:right w:val="none" w:sz="0" w:space="0" w:color="auto"/>
                                              </w:divBdr>
                                              <w:divsChild>
                                                <w:div w:id="83577689">
                                                  <w:marLeft w:val="0"/>
                                                  <w:marRight w:val="0"/>
                                                  <w:marTop w:val="0"/>
                                                  <w:marBottom w:val="0"/>
                                                  <w:divBdr>
                                                    <w:top w:val="none" w:sz="0" w:space="0" w:color="auto"/>
                                                    <w:left w:val="none" w:sz="0" w:space="0" w:color="auto"/>
                                                    <w:bottom w:val="none" w:sz="0" w:space="0" w:color="auto"/>
                                                    <w:right w:val="none" w:sz="0" w:space="0" w:color="auto"/>
                                                  </w:divBdr>
                                                  <w:divsChild>
                                                    <w:div w:id="1574661301">
                                                      <w:marLeft w:val="0"/>
                                                      <w:marRight w:val="0"/>
                                                      <w:marTop w:val="0"/>
                                                      <w:marBottom w:val="0"/>
                                                      <w:divBdr>
                                                        <w:top w:val="none" w:sz="0" w:space="0" w:color="auto"/>
                                                        <w:left w:val="none" w:sz="0" w:space="0" w:color="auto"/>
                                                        <w:bottom w:val="none" w:sz="0" w:space="0" w:color="auto"/>
                                                        <w:right w:val="none" w:sz="0" w:space="0" w:color="auto"/>
                                                      </w:divBdr>
                                                      <w:divsChild>
                                                        <w:div w:id="11791514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9320037">
      <w:bodyDiv w:val="1"/>
      <w:marLeft w:val="0"/>
      <w:marRight w:val="0"/>
      <w:marTop w:val="0"/>
      <w:marBottom w:val="0"/>
      <w:divBdr>
        <w:top w:val="none" w:sz="0" w:space="0" w:color="auto"/>
        <w:left w:val="none" w:sz="0" w:space="0" w:color="auto"/>
        <w:bottom w:val="none" w:sz="0" w:space="0" w:color="auto"/>
        <w:right w:val="none" w:sz="0" w:space="0" w:color="auto"/>
      </w:divBdr>
    </w:div>
    <w:div w:id="800422884">
      <w:bodyDiv w:val="1"/>
      <w:marLeft w:val="0"/>
      <w:marRight w:val="0"/>
      <w:marTop w:val="0"/>
      <w:marBottom w:val="0"/>
      <w:divBdr>
        <w:top w:val="none" w:sz="0" w:space="0" w:color="auto"/>
        <w:left w:val="none" w:sz="0" w:space="0" w:color="auto"/>
        <w:bottom w:val="none" w:sz="0" w:space="0" w:color="auto"/>
        <w:right w:val="none" w:sz="0" w:space="0" w:color="auto"/>
      </w:divBdr>
    </w:div>
    <w:div w:id="824276696">
      <w:bodyDiv w:val="1"/>
      <w:marLeft w:val="0"/>
      <w:marRight w:val="0"/>
      <w:marTop w:val="0"/>
      <w:marBottom w:val="0"/>
      <w:divBdr>
        <w:top w:val="none" w:sz="0" w:space="0" w:color="auto"/>
        <w:left w:val="none" w:sz="0" w:space="0" w:color="auto"/>
        <w:bottom w:val="none" w:sz="0" w:space="0" w:color="auto"/>
        <w:right w:val="none" w:sz="0" w:space="0" w:color="auto"/>
      </w:divBdr>
    </w:div>
    <w:div w:id="873424020">
      <w:bodyDiv w:val="1"/>
      <w:marLeft w:val="0"/>
      <w:marRight w:val="0"/>
      <w:marTop w:val="0"/>
      <w:marBottom w:val="0"/>
      <w:divBdr>
        <w:top w:val="none" w:sz="0" w:space="0" w:color="auto"/>
        <w:left w:val="none" w:sz="0" w:space="0" w:color="auto"/>
        <w:bottom w:val="none" w:sz="0" w:space="0" w:color="auto"/>
        <w:right w:val="none" w:sz="0" w:space="0" w:color="auto"/>
      </w:divBdr>
    </w:div>
    <w:div w:id="890073161">
      <w:bodyDiv w:val="1"/>
      <w:marLeft w:val="0"/>
      <w:marRight w:val="0"/>
      <w:marTop w:val="0"/>
      <w:marBottom w:val="0"/>
      <w:divBdr>
        <w:top w:val="none" w:sz="0" w:space="0" w:color="auto"/>
        <w:left w:val="none" w:sz="0" w:space="0" w:color="auto"/>
        <w:bottom w:val="none" w:sz="0" w:space="0" w:color="auto"/>
        <w:right w:val="none" w:sz="0" w:space="0" w:color="auto"/>
      </w:divBdr>
    </w:div>
    <w:div w:id="926380122">
      <w:bodyDiv w:val="1"/>
      <w:marLeft w:val="0"/>
      <w:marRight w:val="0"/>
      <w:marTop w:val="0"/>
      <w:marBottom w:val="0"/>
      <w:divBdr>
        <w:top w:val="none" w:sz="0" w:space="0" w:color="auto"/>
        <w:left w:val="none" w:sz="0" w:space="0" w:color="auto"/>
        <w:bottom w:val="none" w:sz="0" w:space="0" w:color="auto"/>
        <w:right w:val="none" w:sz="0" w:space="0" w:color="auto"/>
      </w:divBdr>
    </w:div>
    <w:div w:id="942224650">
      <w:bodyDiv w:val="1"/>
      <w:marLeft w:val="0"/>
      <w:marRight w:val="0"/>
      <w:marTop w:val="0"/>
      <w:marBottom w:val="0"/>
      <w:divBdr>
        <w:top w:val="none" w:sz="0" w:space="0" w:color="auto"/>
        <w:left w:val="none" w:sz="0" w:space="0" w:color="auto"/>
        <w:bottom w:val="none" w:sz="0" w:space="0" w:color="auto"/>
        <w:right w:val="none" w:sz="0" w:space="0" w:color="auto"/>
      </w:divBdr>
    </w:div>
    <w:div w:id="977339581">
      <w:bodyDiv w:val="1"/>
      <w:marLeft w:val="0"/>
      <w:marRight w:val="0"/>
      <w:marTop w:val="0"/>
      <w:marBottom w:val="0"/>
      <w:divBdr>
        <w:top w:val="none" w:sz="0" w:space="0" w:color="auto"/>
        <w:left w:val="none" w:sz="0" w:space="0" w:color="auto"/>
        <w:bottom w:val="none" w:sz="0" w:space="0" w:color="auto"/>
        <w:right w:val="none" w:sz="0" w:space="0" w:color="auto"/>
      </w:divBdr>
    </w:div>
    <w:div w:id="1072041991">
      <w:bodyDiv w:val="1"/>
      <w:marLeft w:val="0"/>
      <w:marRight w:val="0"/>
      <w:marTop w:val="0"/>
      <w:marBottom w:val="0"/>
      <w:divBdr>
        <w:top w:val="none" w:sz="0" w:space="0" w:color="auto"/>
        <w:left w:val="none" w:sz="0" w:space="0" w:color="auto"/>
        <w:bottom w:val="none" w:sz="0" w:space="0" w:color="auto"/>
        <w:right w:val="none" w:sz="0" w:space="0" w:color="auto"/>
      </w:divBdr>
    </w:div>
    <w:div w:id="1074816856">
      <w:bodyDiv w:val="1"/>
      <w:marLeft w:val="0"/>
      <w:marRight w:val="0"/>
      <w:marTop w:val="0"/>
      <w:marBottom w:val="0"/>
      <w:divBdr>
        <w:top w:val="none" w:sz="0" w:space="0" w:color="auto"/>
        <w:left w:val="none" w:sz="0" w:space="0" w:color="auto"/>
        <w:bottom w:val="none" w:sz="0" w:space="0" w:color="auto"/>
        <w:right w:val="none" w:sz="0" w:space="0" w:color="auto"/>
      </w:divBdr>
    </w:div>
    <w:div w:id="1077096296">
      <w:bodyDiv w:val="1"/>
      <w:marLeft w:val="0"/>
      <w:marRight w:val="0"/>
      <w:marTop w:val="0"/>
      <w:marBottom w:val="0"/>
      <w:divBdr>
        <w:top w:val="none" w:sz="0" w:space="0" w:color="auto"/>
        <w:left w:val="none" w:sz="0" w:space="0" w:color="auto"/>
        <w:bottom w:val="none" w:sz="0" w:space="0" w:color="auto"/>
        <w:right w:val="none" w:sz="0" w:space="0" w:color="auto"/>
      </w:divBdr>
    </w:div>
    <w:div w:id="1094126717">
      <w:bodyDiv w:val="1"/>
      <w:marLeft w:val="0"/>
      <w:marRight w:val="0"/>
      <w:marTop w:val="0"/>
      <w:marBottom w:val="0"/>
      <w:divBdr>
        <w:top w:val="none" w:sz="0" w:space="0" w:color="auto"/>
        <w:left w:val="none" w:sz="0" w:space="0" w:color="auto"/>
        <w:bottom w:val="none" w:sz="0" w:space="0" w:color="auto"/>
        <w:right w:val="none" w:sz="0" w:space="0" w:color="auto"/>
      </w:divBdr>
    </w:div>
    <w:div w:id="1122267480">
      <w:bodyDiv w:val="1"/>
      <w:marLeft w:val="0"/>
      <w:marRight w:val="0"/>
      <w:marTop w:val="0"/>
      <w:marBottom w:val="0"/>
      <w:divBdr>
        <w:top w:val="none" w:sz="0" w:space="0" w:color="auto"/>
        <w:left w:val="none" w:sz="0" w:space="0" w:color="auto"/>
        <w:bottom w:val="none" w:sz="0" w:space="0" w:color="auto"/>
        <w:right w:val="none" w:sz="0" w:space="0" w:color="auto"/>
      </w:divBdr>
    </w:div>
    <w:div w:id="1124468649">
      <w:bodyDiv w:val="1"/>
      <w:marLeft w:val="0"/>
      <w:marRight w:val="0"/>
      <w:marTop w:val="0"/>
      <w:marBottom w:val="0"/>
      <w:divBdr>
        <w:top w:val="none" w:sz="0" w:space="0" w:color="auto"/>
        <w:left w:val="none" w:sz="0" w:space="0" w:color="auto"/>
        <w:bottom w:val="none" w:sz="0" w:space="0" w:color="auto"/>
        <w:right w:val="none" w:sz="0" w:space="0" w:color="auto"/>
      </w:divBdr>
    </w:div>
    <w:div w:id="1128280749">
      <w:bodyDiv w:val="1"/>
      <w:marLeft w:val="0"/>
      <w:marRight w:val="0"/>
      <w:marTop w:val="0"/>
      <w:marBottom w:val="0"/>
      <w:divBdr>
        <w:top w:val="none" w:sz="0" w:space="0" w:color="auto"/>
        <w:left w:val="none" w:sz="0" w:space="0" w:color="auto"/>
        <w:bottom w:val="none" w:sz="0" w:space="0" w:color="auto"/>
        <w:right w:val="none" w:sz="0" w:space="0" w:color="auto"/>
      </w:divBdr>
    </w:div>
    <w:div w:id="1144811567">
      <w:bodyDiv w:val="1"/>
      <w:marLeft w:val="0"/>
      <w:marRight w:val="0"/>
      <w:marTop w:val="0"/>
      <w:marBottom w:val="0"/>
      <w:divBdr>
        <w:top w:val="none" w:sz="0" w:space="0" w:color="auto"/>
        <w:left w:val="none" w:sz="0" w:space="0" w:color="auto"/>
        <w:bottom w:val="none" w:sz="0" w:space="0" w:color="auto"/>
        <w:right w:val="none" w:sz="0" w:space="0" w:color="auto"/>
      </w:divBdr>
    </w:div>
    <w:div w:id="1160461236">
      <w:bodyDiv w:val="1"/>
      <w:marLeft w:val="0"/>
      <w:marRight w:val="0"/>
      <w:marTop w:val="0"/>
      <w:marBottom w:val="0"/>
      <w:divBdr>
        <w:top w:val="none" w:sz="0" w:space="0" w:color="auto"/>
        <w:left w:val="none" w:sz="0" w:space="0" w:color="auto"/>
        <w:bottom w:val="none" w:sz="0" w:space="0" w:color="auto"/>
        <w:right w:val="none" w:sz="0" w:space="0" w:color="auto"/>
      </w:divBdr>
    </w:div>
    <w:div w:id="1163425349">
      <w:bodyDiv w:val="1"/>
      <w:marLeft w:val="0"/>
      <w:marRight w:val="0"/>
      <w:marTop w:val="0"/>
      <w:marBottom w:val="0"/>
      <w:divBdr>
        <w:top w:val="none" w:sz="0" w:space="0" w:color="auto"/>
        <w:left w:val="none" w:sz="0" w:space="0" w:color="auto"/>
        <w:bottom w:val="none" w:sz="0" w:space="0" w:color="auto"/>
        <w:right w:val="none" w:sz="0" w:space="0" w:color="auto"/>
      </w:divBdr>
    </w:div>
    <w:div w:id="1163551683">
      <w:bodyDiv w:val="1"/>
      <w:marLeft w:val="0"/>
      <w:marRight w:val="0"/>
      <w:marTop w:val="0"/>
      <w:marBottom w:val="0"/>
      <w:divBdr>
        <w:top w:val="none" w:sz="0" w:space="0" w:color="auto"/>
        <w:left w:val="none" w:sz="0" w:space="0" w:color="auto"/>
        <w:bottom w:val="none" w:sz="0" w:space="0" w:color="auto"/>
        <w:right w:val="none" w:sz="0" w:space="0" w:color="auto"/>
      </w:divBdr>
    </w:div>
    <w:div w:id="1181166020">
      <w:bodyDiv w:val="1"/>
      <w:marLeft w:val="0"/>
      <w:marRight w:val="0"/>
      <w:marTop w:val="0"/>
      <w:marBottom w:val="0"/>
      <w:divBdr>
        <w:top w:val="none" w:sz="0" w:space="0" w:color="auto"/>
        <w:left w:val="none" w:sz="0" w:space="0" w:color="auto"/>
        <w:bottom w:val="none" w:sz="0" w:space="0" w:color="auto"/>
        <w:right w:val="none" w:sz="0" w:space="0" w:color="auto"/>
      </w:divBdr>
    </w:div>
    <w:div w:id="1267075252">
      <w:bodyDiv w:val="1"/>
      <w:marLeft w:val="0"/>
      <w:marRight w:val="0"/>
      <w:marTop w:val="0"/>
      <w:marBottom w:val="0"/>
      <w:divBdr>
        <w:top w:val="none" w:sz="0" w:space="0" w:color="auto"/>
        <w:left w:val="none" w:sz="0" w:space="0" w:color="auto"/>
        <w:bottom w:val="none" w:sz="0" w:space="0" w:color="auto"/>
        <w:right w:val="none" w:sz="0" w:space="0" w:color="auto"/>
      </w:divBdr>
    </w:div>
    <w:div w:id="1267540335">
      <w:bodyDiv w:val="1"/>
      <w:marLeft w:val="0"/>
      <w:marRight w:val="0"/>
      <w:marTop w:val="0"/>
      <w:marBottom w:val="0"/>
      <w:divBdr>
        <w:top w:val="none" w:sz="0" w:space="0" w:color="auto"/>
        <w:left w:val="none" w:sz="0" w:space="0" w:color="auto"/>
        <w:bottom w:val="none" w:sz="0" w:space="0" w:color="auto"/>
        <w:right w:val="none" w:sz="0" w:space="0" w:color="auto"/>
      </w:divBdr>
    </w:div>
    <w:div w:id="1279722426">
      <w:bodyDiv w:val="1"/>
      <w:marLeft w:val="0"/>
      <w:marRight w:val="0"/>
      <w:marTop w:val="0"/>
      <w:marBottom w:val="0"/>
      <w:divBdr>
        <w:top w:val="none" w:sz="0" w:space="0" w:color="auto"/>
        <w:left w:val="none" w:sz="0" w:space="0" w:color="auto"/>
        <w:bottom w:val="none" w:sz="0" w:space="0" w:color="auto"/>
        <w:right w:val="none" w:sz="0" w:space="0" w:color="auto"/>
      </w:divBdr>
    </w:div>
    <w:div w:id="1294601667">
      <w:bodyDiv w:val="1"/>
      <w:marLeft w:val="0"/>
      <w:marRight w:val="0"/>
      <w:marTop w:val="0"/>
      <w:marBottom w:val="0"/>
      <w:divBdr>
        <w:top w:val="none" w:sz="0" w:space="0" w:color="auto"/>
        <w:left w:val="none" w:sz="0" w:space="0" w:color="auto"/>
        <w:bottom w:val="none" w:sz="0" w:space="0" w:color="auto"/>
        <w:right w:val="none" w:sz="0" w:space="0" w:color="auto"/>
      </w:divBdr>
    </w:div>
    <w:div w:id="1304188882">
      <w:bodyDiv w:val="1"/>
      <w:marLeft w:val="0"/>
      <w:marRight w:val="0"/>
      <w:marTop w:val="0"/>
      <w:marBottom w:val="0"/>
      <w:divBdr>
        <w:top w:val="none" w:sz="0" w:space="0" w:color="auto"/>
        <w:left w:val="none" w:sz="0" w:space="0" w:color="auto"/>
        <w:bottom w:val="none" w:sz="0" w:space="0" w:color="auto"/>
        <w:right w:val="none" w:sz="0" w:space="0" w:color="auto"/>
      </w:divBdr>
    </w:div>
    <w:div w:id="1310865313">
      <w:bodyDiv w:val="1"/>
      <w:marLeft w:val="0"/>
      <w:marRight w:val="0"/>
      <w:marTop w:val="0"/>
      <w:marBottom w:val="0"/>
      <w:divBdr>
        <w:top w:val="none" w:sz="0" w:space="0" w:color="auto"/>
        <w:left w:val="none" w:sz="0" w:space="0" w:color="auto"/>
        <w:bottom w:val="none" w:sz="0" w:space="0" w:color="auto"/>
        <w:right w:val="none" w:sz="0" w:space="0" w:color="auto"/>
      </w:divBdr>
    </w:div>
    <w:div w:id="1325430310">
      <w:bodyDiv w:val="1"/>
      <w:marLeft w:val="0"/>
      <w:marRight w:val="0"/>
      <w:marTop w:val="0"/>
      <w:marBottom w:val="0"/>
      <w:divBdr>
        <w:top w:val="none" w:sz="0" w:space="0" w:color="auto"/>
        <w:left w:val="none" w:sz="0" w:space="0" w:color="auto"/>
        <w:bottom w:val="none" w:sz="0" w:space="0" w:color="auto"/>
        <w:right w:val="none" w:sz="0" w:space="0" w:color="auto"/>
      </w:divBdr>
    </w:div>
    <w:div w:id="1327320699">
      <w:bodyDiv w:val="1"/>
      <w:marLeft w:val="0"/>
      <w:marRight w:val="0"/>
      <w:marTop w:val="0"/>
      <w:marBottom w:val="0"/>
      <w:divBdr>
        <w:top w:val="none" w:sz="0" w:space="0" w:color="auto"/>
        <w:left w:val="none" w:sz="0" w:space="0" w:color="auto"/>
        <w:bottom w:val="none" w:sz="0" w:space="0" w:color="auto"/>
        <w:right w:val="none" w:sz="0" w:space="0" w:color="auto"/>
      </w:divBdr>
    </w:div>
    <w:div w:id="1337533234">
      <w:bodyDiv w:val="1"/>
      <w:marLeft w:val="0"/>
      <w:marRight w:val="0"/>
      <w:marTop w:val="0"/>
      <w:marBottom w:val="0"/>
      <w:divBdr>
        <w:top w:val="none" w:sz="0" w:space="0" w:color="auto"/>
        <w:left w:val="none" w:sz="0" w:space="0" w:color="auto"/>
        <w:bottom w:val="none" w:sz="0" w:space="0" w:color="auto"/>
        <w:right w:val="none" w:sz="0" w:space="0" w:color="auto"/>
      </w:divBdr>
    </w:div>
    <w:div w:id="1364598729">
      <w:bodyDiv w:val="1"/>
      <w:marLeft w:val="0"/>
      <w:marRight w:val="0"/>
      <w:marTop w:val="0"/>
      <w:marBottom w:val="0"/>
      <w:divBdr>
        <w:top w:val="none" w:sz="0" w:space="0" w:color="auto"/>
        <w:left w:val="none" w:sz="0" w:space="0" w:color="auto"/>
        <w:bottom w:val="none" w:sz="0" w:space="0" w:color="auto"/>
        <w:right w:val="none" w:sz="0" w:space="0" w:color="auto"/>
      </w:divBdr>
    </w:div>
    <w:div w:id="1382945930">
      <w:bodyDiv w:val="1"/>
      <w:marLeft w:val="0"/>
      <w:marRight w:val="0"/>
      <w:marTop w:val="0"/>
      <w:marBottom w:val="0"/>
      <w:divBdr>
        <w:top w:val="none" w:sz="0" w:space="0" w:color="auto"/>
        <w:left w:val="none" w:sz="0" w:space="0" w:color="auto"/>
        <w:bottom w:val="none" w:sz="0" w:space="0" w:color="auto"/>
        <w:right w:val="none" w:sz="0" w:space="0" w:color="auto"/>
      </w:divBdr>
    </w:div>
    <w:div w:id="1422138550">
      <w:bodyDiv w:val="1"/>
      <w:marLeft w:val="0"/>
      <w:marRight w:val="0"/>
      <w:marTop w:val="0"/>
      <w:marBottom w:val="0"/>
      <w:divBdr>
        <w:top w:val="none" w:sz="0" w:space="0" w:color="auto"/>
        <w:left w:val="none" w:sz="0" w:space="0" w:color="auto"/>
        <w:bottom w:val="none" w:sz="0" w:space="0" w:color="auto"/>
        <w:right w:val="none" w:sz="0" w:space="0" w:color="auto"/>
      </w:divBdr>
    </w:div>
    <w:div w:id="1535651208">
      <w:bodyDiv w:val="1"/>
      <w:marLeft w:val="0"/>
      <w:marRight w:val="0"/>
      <w:marTop w:val="0"/>
      <w:marBottom w:val="0"/>
      <w:divBdr>
        <w:top w:val="none" w:sz="0" w:space="0" w:color="auto"/>
        <w:left w:val="none" w:sz="0" w:space="0" w:color="auto"/>
        <w:bottom w:val="none" w:sz="0" w:space="0" w:color="auto"/>
        <w:right w:val="none" w:sz="0" w:space="0" w:color="auto"/>
      </w:divBdr>
    </w:div>
    <w:div w:id="1548492450">
      <w:bodyDiv w:val="1"/>
      <w:marLeft w:val="0"/>
      <w:marRight w:val="0"/>
      <w:marTop w:val="0"/>
      <w:marBottom w:val="0"/>
      <w:divBdr>
        <w:top w:val="none" w:sz="0" w:space="0" w:color="auto"/>
        <w:left w:val="none" w:sz="0" w:space="0" w:color="auto"/>
        <w:bottom w:val="none" w:sz="0" w:space="0" w:color="auto"/>
        <w:right w:val="none" w:sz="0" w:space="0" w:color="auto"/>
      </w:divBdr>
    </w:div>
    <w:div w:id="1554273980">
      <w:bodyDiv w:val="1"/>
      <w:marLeft w:val="0"/>
      <w:marRight w:val="0"/>
      <w:marTop w:val="0"/>
      <w:marBottom w:val="0"/>
      <w:divBdr>
        <w:top w:val="none" w:sz="0" w:space="0" w:color="auto"/>
        <w:left w:val="none" w:sz="0" w:space="0" w:color="auto"/>
        <w:bottom w:val="none" w:sz="0" w:space="0" w:color="auto"/>
        <w:right w:val="none" w:sz="0" w:space="0" w:color="auto"/>
      </w:divBdr>
    </w:div>
    <w:div w:id="1590848846">
      <w:bodyDiv w:val="1"/>
      <w:marLeft w:val="0"/>
      <w:marRight w:val="0"/>
      <w:marTop w:val="0"/>
      <w:marBottom w:val="0"/>
      <w:divBdr>
        <w:top w:val="none" w:sz="0" w:space="0" w:color="auto"/>
        <w:left w:val="none" w:sz="0" w:space="0" w:color="auto"/>
        <w:bottom w:val="none" w:sz="0" w:space="0" w:color="auto"/>
        <w:right w:val="none" w:sz="0" w:space="0" w:color="auto"/>
      </w:divBdr>
    </w:div>
    <w:div w:id="1595168882">
      <w:bodyDiv w:val="1"/>
      <w:marLeft w:val="0"/>
      <w:marRight w:val="0"/>
      <w:marTop w:val="0"/>
      <w:marBottom w:val="0"/>
      <w:divBdr>
        <w:top w:val="none" w:sz="0" w:space="0" w:color="auto"/>
        <w:left w:val="none" w:sz="0" w:space="0" w:color="auto"/>
        <w:bottom w:val="none" w:sz="0" w:space="0" w:color="auto"/>
        <w:right w:val="none" w:sz="0" w:space="0" w:color="auto"/>
      </w:divBdr>
    </w:div>
    <w:div w:id="1634562081">
      <w:bodyDiv w:val="1"/>
      <w:marLeft w:val="0"/>
      <w:marRight w:val="0"/>
      <w:marTop w:val="0"/>
      <w:marBottom w:val="0"/>
      <w:divBdr>
        <w:top w:val="none" w:sz="0" w:space="0" w:color="auto"/>
        <w:left w:val="none" w:sz="0" w:space="0" w:color="auto"/>
        <w:bottom w:val="none" w:sz="0" w:space="0" w:color="auto"/>
        <w:right w:val="none" w:sz="0" w:space="0" w:color="auto"/>
      </w:divBdr>
    </w:div>
    <w:div w:id="1722751061">
      <w:bodyDiv w:val="1"/>
      <w:marLeft w:val="0"/>
      <w:marRight w:val="0"/>
      <w:marTop w:val="0"/>
      <w:marBottom w:val="0"/>
      <w:divBdr>
        <w:top w:val="none" w:sz="0" w:space="0" w:color="auto"/>
        <w:left w:val="none" w:sz="0" w:space="0" w:color="auto"/>
        <w:bottom w:val="none" w:sz="0" w:space="0" w:color="auto"/>
        <w:right w:val="none" w:sz="0" w:space="0" w:color="auto"/>
      </w:divBdr>
    </w:div>
    <w:div w:id="1723090212">
      <w:bodyDiv w:val="1"/>
      <w:marLeft w:val="0"/>
      <w:marRight w:val="0"/>
      <w:marTop w:val="0"/>
      <w:marBottom w:val="0"/>
      <w:divBdr>
        <w:top w:val="none" w:sz="0" w:space="0" w:color="auto"/>
        <w:left w:val="none" w:sz="0" w:space="0" w:color="auto"/>
        <w:bottom w:val="none" w:sz="0" w:space="0" w:color="auto"/>
        <w:right w:val="none" w:sz="0" w:space="0" w:color="auto"/>
      </w:divBdr>
    </w:div>
    <w:div w:id="1729724381">
      <w:bodyDiv w:val="1"/>
      <w:marLeft w:val="0"/>
      <w:marRight w:val="0"/>
      <w:marTop w:val="0"/>
      <w:marBottom w:val="0"/>
      <w:divBdr>
        <w:top w:val="none" w:sz="0" w:space="0" w:color="auto"/>
        <w:left w:val="none" w:sz="0" w:space="0" w:color="auto"/>
        <w:bottom w:val="none" w:sz="0" w:space="0" w:color="auto"/>
        <w:right w:val="none" w:sz="0" w:space="0" w:color="auto"/>
      </w:divBdr>
    </w:div>
    <w:div w:id="1736394722">
      <w:bodyDiv w:val="1"/>
      <w:marLeft w:val="0"/>
      <w:marRight w:val="0"/>
      <w:marTop w:val="0"/>
      <w:marBottom w:val="0"/>
      <w:divBdr>
        <w:top w:val="none" w:sz="0" w:space="0" w:color="auto"/>
        <w:left w:val="none" w:sz="0" w:space="0" w:color="auto"/>
        <w:bottom w:val="none" w:sz="0" w:space="0" w:color="auto"/>
        <w:right w:val="none" w:sz="0" w:space="0" w:color="auto"/>
      </w:divBdr>
    </w:div>
    <w:div w:id="1737360857">
      <w:bodyDiv w:val="1"/>
      <w:marLeft w:val="0"/>
      <w:marRight w:val="0"/>
      <w:marTop w:val="0"/>
      <w:marBottom w:val="0"/>
      <w:divBdr>
        <w:top w:val="none" w:sz="0" w:space="0" w:color="auto"/>
        <w:left w:val="none" w:sz="0" w:space="0" w:color="auto"/>
        <w:bottom w:val="none" w:sz="0" w:space="0" w:color="auto"/>
        <w:right w:val="none" w:sz="0" w:space="0" w:color="auto"/>
      </w:divBdr>
    </w:div>
    <w:div w:id="1743062002">
      <w:bodyDiv w:val="1"/>
      <w:marLeft w:val="0"/>
      <w:marRight w:val="0"/>
      <w:marTop w:val="0"/>
      <w:marBottom w:val="0"/>
      <w:divBdr>
        <w:top w:val="none" w:sz="0" w:space="0" w:color="auto"/>
        <w:left w:val="none" w:sz="0" w:space="0" w:color="auto"/>
        <w:bottom w:val="none" w:sz="0" w:space="0" w:color="auto"/>
        <w:right w:val="none" w:sz="0" w:space="0" w:color="auto"/>
      </w:divBdr>
    </w:div>
    <w:div w:id="1744789975">
      <w:bodyDiv w:val="1"/>
      <w:marLeft w:val="0"/>
      <w:marRight w:val="0"/>
      <w:marTop w:val="0"/>
      <w:marBottom w:val="0"/>
      <w:divBdr>
        <w:top w:val="none" w:sz="0" w:space="0" w:color="auto"/>
        <w:left w:val="none" w:sz="0" w:space="0" w:color="auto"/>
        <w:bottom w:val="none" w:sz="0" w:space="0" w:color="auto"/>
        <w:right w:val="none" w:sz="0" w:space="0" w:color="auto"/>
      </w:divBdr>
    </w:div>
    <w:div w:id="1751585633">
      <w:bodyDiv w:val="1"/>
      <w:marLeft w:val="0"/>
      <w:marRight w:val="0"/>
      <w:marTop w:val="0"/>
      <w:marBottom w:val="0"/>
      <w:divBdr>
        <w:top w:val="none" w:sz="0" w:space="0" w:color="auto"/>
        <w:left w:val="none" w:sz="0" w:space="0" w:color="auto"/>
        <w:bottom w:val="none" w:sz="0" w:space="0" w:color="auto"/>
        <w:right w:val="none" w:sz="0" w:space="0" w:color="auto"/>
      </w:divBdr>
    </w:div>
    <w:div w:id="1755588293">
      <w:bodyDiv w:val="1"/>
      <w:marLeft w:val="0"/>
      <w:marRight w:val="0"/>
      <w:marTop w:val="0"/>
      <w:marBottom w:val="0"/>
      <w:divBdr>
        <w:top w:val="none" w:sz="0" w:space="0" w:color="auto"/>
        <w:left w:val="none" w:sz="0" w:space="0" w:color="auto"/>
        <w:bottom w:val="none" w:sz="0" w:space="0" w:color="auto"/>
        <w:right w:val="none" w:sz="0" w:space="0" w:color="auto"/>
      </w:divBdr>
    </w:div>
    <w:div w:id="1782728276">
      <w:bodyDiv w:val="1"/>
      <w:marLeft w:val="0"/>
      <w:marRight w:val="0"/>
      <w:marTop w:val="0"/>
      <w:marBottom w:val="0"/>
      <w:divBdr>
        <w:top w:val="none" w:sz="0" w:space="0" w:color="auto"/>
        <w:left w:val="none" w:sz="0" w:space="0" w:color="auto"/>
        <w:bottom w:val="none" w:sz="0" w:space="0" w:color="auto"/>
        <w:right w:val="none" w:sz="0" w:space="0" w:color="auto"/>
      </w:divBdr>
    </w:div>
    <w:div w:id="1803768857">
      <w:bodyDiv w:val="1"/>
      <w:marLeft w:val="0"/>
      <w:marRight w:val="0"/>
      <w:marTop w:val="0"/>
      <w:marBottom w:val="0"/>
      <w:divBdr>
        <w:top w:val="none" w:sz="0" w:space="0" w:color="auto"/>
        <w:left w:val="none" w:sz="0" w:space="0" w:color="auto"/>
        <w:bottom w:val="none" w:sz="0" w:space="0" w:color="auto"/>
        <w:right w:val="none" w:sz="0" w:space="0" w:color="auto"/>
      </w:divBdr>
    </w:div>
    <w:div w:id="1893343602">
      <w:bodyDiv w:val="1"/>
      <w:marLeft w:val="0"/>
      <w:marRight w:val="0"/>
      <w:marTop w:val="0"/>
      <w:marBottom w:val="0"/>
      <w:divBdr>
        <w:top w:val="none" w:sz="0" w:space="0" w:color="auto"/>
        <w:left w:val="none" w:sz="0" w:space="0" w:color="auto"/>
        <w:bottom w:val="none" w:sz="0" w:space="0" w:color="auto"/>
        <w:right w:val="none" w:sz="0" w:space="0" w:color="auto"/>
      </w:divBdr>
    </w:div>
    <w:div w:id="1912156472">
      <w:bodyDiv w:val="1"/>
      <w:marLeft w:val="0"/>
      <w:marRight w:val="0"/>
      <w:marTop w:val="0"/>
      <w:marBottom w:val="0"/>
      <w:divBdr>
        <w:top w:val="none" w:sz="0" w:space="0" w:color="auto"/>
        <w:left w:val="none" w:sz="0" w:space="0" w:color="auto"/>
        <w:bottom w:val="none" w:sz="0" w:space="0" w:color="auto"/>
        <w:right w:val="none" w:sz="0" w:space="0" w:color="auto"/>
      </w:divBdr>
      <w:divsChild>
        <w:div w:id="381368664">
          <w:marLeft w:val="0"/>
          <w:marRight w:val="0"/>
          <w:marTop w:val="0"/>
          <w:marBottom w:val="0"/>
          <w:divBdr>
            <w:top w:val="none" w:sz="0" w:space="0" w:color="auto"/>
            <w:left w:val="none" w:sz="0" w:space="0" w:color="auto"/>
            <w:bottom w:val="none" w:sz="0" w:space="0" w:color="auto"/>
            <w:right w:val="none" w:sz="0" w:space="0" w:color="auto"/>
          </w:divBdr>
          <w:divsChild>
            <w:div w:id="929898409">
              <w:marLeft w:val="0"/>
              <w:marRight w:val="0"/>
              <w:marTop w:val="0"/>
              <w:marBottom w:val="0"/>
              <w:divBdr>
                <w:top w:val="none" w:sz="0" w:space="0" w:color="auto"/>
                <w:left w:val="none" w:sz="0" w:space="0" w:color="auto"/>
                <w:bottom w:val="none" w:sz="0" w:space="0" w:color="auto"/>
                <w:right w:val="none" w:sz="0" w:space="0" w:color="auto"/>
              </w:divBdr>
              <w:divsChild>
                <w:div w:id="4610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338836">
      <w:bodyDiv w:val="1"/>
      <w:marLeft w:val="0"/>
      <w:marRight w:val="0"/>
      <w:marTop w:val="0"/>
      <w:marBottom w:val="0"/>
      <w:divBdr>
        <w:top w:val="none" w:sz="0" w:space="0" w:color="auto"/>
        <w:left w:val="none" w:sz="0" w:space="0" w:color="auto"/>
        <w:bottom w:val="none" w:sz="0" w:space="0" w:color="auto"/>
        <w:right w:val="none" w:sz="0" w:space="0" w:color="auto"/>
      </w:divBdr>
    </w:div>
    <w:div w:id="1968777193">
      <w:bodyDiv w:val="1"/>
      <w:marLeft w:val="0"/>
      <w:marRight w:val="0"/>
      <w:marTop w:val="0"/>
      <w:marBottom w:val="0"/>
      <w:divBdr>
        <w:top w:val="none" w:sz="0" w:space="0" w:color="auto"/>
        <w:left w:val="none" w:sz="0" w:space="0" w:color="auto"/>
        <w:bottom w:val="none" w:sz="0" w:space="0" w:color="auto"/>
        <w:right w:val="none" w:sz="0" w:space="0" w:color="auto"/>
      </w:divBdr>
    </w:div>
    <w:div w:id="2001763710">
      <w:bodyDiv w:val="1"/>
      <w:marLeft w:val="0"/>
      <w:marRight w:val="0"/>
      <w:marTop w:val="0"/>
      <w:marBottom w:val="0"/>
      <w:divBdr>
        <w:top w:val="none" w:sz="0" w:space="0" w:color="auto"/>
        <w:left w:val="none" w:sz="0" w:space="0" w:color="auto"/>
        <w:bottom w:val="none" w:sz="0" w:space="0" w:color="auto"/>
        <w:right w:val="none" w:sz="0" w:space="0" w:color="auto"/>
      </w:divBdr>
    </w:div>
    <w:div w:id="2023585105">
      <w:bodyDiv w:val="1"/>
      <w:marLeft w:val="0"/>
      <w:marRight w:val="0"/>
      <w:marTop w:val="0"/>
      <w:marBottom w:val="0"/>
      <w:divBdr>
        <w:top w:val="none" w:sz="0" w:space="0" w:color="auto"/>
        <w:left w:val="none" w:sz="0" w:space="0" w:color="auto"/>
        <w:bottom w:val="none" w:sz="0" w:space="0" w:color="auto"/>
        <w:right w:val="none" w:sz="0" w:space="0" w:color="auto"/>
      </w:divBdr>
    </w:div>
    <w:div w:id="2070491326">
      <w:bodyDiv w:val="1"/>
      <w:marLeft w:val="0"/>
      <w:marRight w:val="0"/>
      <w:marTop w:val="0"/>
      <w:marBottom w:val="0"/>
      <w:divBdr>
        <w:top w:val="none" w:sz="0" w:space="0" w:color="auto"/>
        <w:left w:val="none" w:sz="0" w:space="0" w:color="auto"/>
        <w:bottom w:val="none" w:sz="0" w:space="0" w:color="auto"/>
        <w:right w:val="none" w:sz="0" w:space="0" w:color="auto"/>
      </w:divBdr>
    </w:div>
    <w:div w:id="2088526778">
      <w:bodyDiv w:val="1"/>
      <w:marLeft w:val="0"/>
      <w:marRight w:val="0"/>
      <w:marTop w:val="0"/>
      <w:marBottom w:val="0"/>
      <w:divBdr>
        <w:top w:val="none" w:sz="0" w:space="0" w:color="auto"/>
        <w:left w:val="none" w:sz="0" w:space="0" w:color="auto"/>
        <w:bottom w:val="none" w:sz="0" w:space="0" w:color="auto"/>
        <w:right w:val="none" w:sz="0" w:space="0" w:color="auto"/>
      </w:divBdr>
      <w:divsChild>
        <w:div w:id="277105689">
          <w:marLeft w:val="1166"/>
          <w:marRight w:val="0"/>
          <w:marTop w:val="115"/>
          <w:marBottom w:val="0"/>
          <w:divBdr>
            <w:top w:val="none" w:sz="0" w:space="0" w:color="auto"/>
            <w:left w:val="none" w:sz="0" w:space="0" w:color="auto"/>
            <w:bottom w:val="none" w:sz="0" w:space="0" w:color="auto"/>
            <w:right w:val="none" w:sz="0" w:space="0" w:color="auto"/>
          </w:divBdr>
        </w:div>
        <w:div w:id="488178644">
          <w:marLeft w:val="547"/>
          <w:marRight w:val="0"/>
          <w:marTop w:val="154"/>
          <w:marBottom w:val="0"/>
          <w:divBdr>
            <w:top w:val="none" w:sz="0" w:space="0" w:color="auto"/>
            <w:left w:val="none" w:sz="0" w:space="0" w:color="auto"/>
            <w:bottom w:val="none" w:sz="0" w:space="0" w:color="auto"/>
            <w:right w:val="none" w:sz="0" w:space="0" w:color="auto"/>
          </w:divBdr>
        </w:div>
        <w:div w:id="1151947995">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10.emf"/><Relationship Id="rId39" Type="http://schemas.openxmlformats.org/officeDocument/2006/relationships/hyperlink" Target="http://www.environment.gov.au/water/cewo/publications/cewo-ltim-lower-murray-2018" TargetMode="External"/><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image" Target="media/image23.png"/><Relationship Id="rId47" Type="http://schemas.openxmlformats.org/officeDocument/2006/relationships/image" Target="media/image28.emf"/><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image001.png@01CF3236.F571C350" TargetMode="Externa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hyperlink" Target="http://intranet.pirsa.sa.gov.au/people/pirsafe/whs_a-z/hazard_management" TargetMode="External"/><Relationship Id="rId45" Type="http://schemas.openxmlformats.org/officeDocument/2006/relationships/image" Target="media/image26.emf"/><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hyperlink" Target="http://www.waterconnect.sa.gov.au" TargetMode="External"/><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image" Target="media/image15.emf"/><Relationship Id="rId44" Type="http://schemas.openxmlformats.org/officeDocument/2006/relationships/image" Target="media/image25.emf"/><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creativecommons.org/licenses/by/3.0/au/" TargetMode="Externa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hyperlink" Target="https://doi.org/10.20851/natural-history-cllmm" TargetMode="External"/><Relationship Id="rId46" Type="http://schemas.openxmlformats.org/officeDocument/2006/relationships/image" Target="media/image27.jp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4.jpeg"/><Relationship Id="rId41" Type="http://schemas.openxmlformats.org/officeDocument/2006/relationships/image" Target="media/image22.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D73EF-211C-4EAF-8977-CFF01077B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A90BBE82.dotm</Template>
  <TotalTime>0</TotalTime>
  <Pages>204</Pages>
  <Words>57012</Words>
  <Characters>332953</Characters>
  <Application>Microsoft Office Word</Application>
  <DocSecurity>0</DocSecurity>
  <Lines>10089</Lines>
  <Paragraphs>4755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Lower Murray Monitoring, Evaluation and Research Plan (2019–2022)</dc:title>
  <dc:subject/>
  <dc:creator/>
  <cp:keywords/>
  <dc:description/>
  <cp:lastModifiedBy/>
  <cp:revision>1</cp:revision>
  <dcterms:created xsi:type="dcterms:W3CDTF">2019-10-20T23:08:00Z</dcterms:created>
  <dcterms:modified xsi:type="dcterms:W3CDTF">2019-10-20T23:25:00Z</dcterms:modified>
</cp:coreProperties>
</file>