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EB1" w:rsidRPr="00FF1A1F" w:rsidRDefault="00977EB1" w:rsidP="00977EB1">
      <w:pPr>
        <w:jc w:val="center"/>
      </w:pPr>
      <w:r w:rsidRPr="00FF1A1F">
        <w:rPr>
          <w:noProof/>
          <w:lang w:eastAsia="en-AU"/>
        </w:rPr>
        <w:drawing>
          <wp:anchor distT="0" distB="0" distL="114300" distR="114300" simplePos="0" relativeHeight="251681792" behindDoc="1" locked="0" layoutInCell="1" allowOverlap="1">
            <wp:simplePos x="0" y="0"/>
            <wp:positionH relativeFrom="column">
              <wp:posOffset>-939165</wp:posOffset>
            </wp:positionH>
            <wp:positionV relativeFrom="paragraph">
              <wp:posOffset>-445770</wp:posOffset>
            </wp:positionV>
            <wp:extent cx="8382000" cy="11029950"/>
            <wp:effectExtent l="19050" t="0" r="0" b="0"/>
            <wp:wrapNone/>
            <wp:docPr id="3" name="Picture 0" descr="l Wakool river Calimo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Wakool river Calimo road (1).JPG"/>
                    <pic:cNvPicPr/>
                  </pic:nvPicPr>
                  <pic:blipFill>
                    <a:blip r:embed="rId11" cstate="email"/>
                    <a:srcRect/>
                    <a:stretch>
                      <a:fillRect/>
                    </a:stretch>
                  </pic:blipFill>
                  <pic:spPr>
                    <a:xfrm>
                      <a:off x="0" y="0"/>
                      <a:ext cx="8382000" cy="11029950"/>
                    </a:xfrm>
                    <a:prstGeom prst="rect">
                      <a:avLst/>
                    </a:prstGeom>
                  </pic:spPr>
                </pic:pic>
              </a:graphicData>
            </a:graphic>
          </wp:anchor>
        </w:drawing>
      </w:r>
    </w:p>
    <w:p w:rsidR="00977EB1" w:rsidRPr="00FF1A1F" w:rsidRDefault="00977EB1" w:rsidP="00977EB1">
      <w:pPr>
        <w:jc w:val="center"/>
      </w:pPr>
    </w:p>
    <w:p w:rsidR="00977EB1" w:rsidRPr="00FF1A1F" w:rsidRDefault="00977EB1" w:rsidP="00977EB1">
      <w:pPr>
        <w:jc w:val="center"/>
        <w:rPr>
          <w:b/>
          <w:u w:val="single"/>
        </w:rPr>
      </w:pPr>
    </w:p>
    <w:p w:rsidR="00977EB1" w:rsidRPr="00FF1A1F" w:rsidRDefault="00977EB1" w:rsidP="00977EB1">
      <w:pPr>
        <w:jc w:val="center"/>
        <w:rPr>
          <w:b/>
          <w:sz w:val="22"/>
          <w:szCs w:val="22"/>
        </w:rPr>
      </w:pPr>
    </w:p>
    <w:p w:rsidR="00977EB1" w:rsidRPr="00FF1A1F" w:rsidRDefault="00977EB1" w:rsidP="00977EB1">
      <w:pPr>
        <w:rPr>
          <w:b/>
          <w:sz w:val="22"/>
          <w:szCs w:val="22"/>
        </w:rPr>
      </w:pPr>
    </w:p>
    <w:p w:rsidR="00977EB1" w:rsidRPr="00FF1A1F" w:rsidRDefault="002C1024" w:rsidP="00977EB1">
      <w:pPr>
        <w:tabs>
          <w:tab w:val="left" w:pos="3261"/>
        </w:tabs>
        <w:ind w:left="3261"/>
        <w:rPr>
          <w:b/>
          <w:i/>
          <w:sz w:val="40"/>
          <w:szCs w:val="40"/>
        </w:rPr>
      </w:pPr>
      <w:r w:rsidRPr="002C1024">
        <w:rPr>
          <w:b/>
          <w:noProof/>
          <w:sz w:val="22"/>
          <w:szCs w:val="22"/>
          <w:lang w:eastAsia="en-AU"/>
        </w:rPr>
        <w:pict>
          <v:roundrect id="AutoShape 77" o:spid="_x0000_s1187" style="position:absolute;left:0;text-align:left;margin-left:-95.9pt;margin-top:.1pt;width:547.4pt;height:146.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" fillcolor="white [3212]" stroked="f"/>
        </w:pict>
      </w:r>
    </w:p>
    <w:p w:rsidR="00977EB1" w:rsidRPr="00FF1A1F" w:rsidRDefault="006C41A5" w:rsidP="00977EB1">
      <w:pPr>
        <w:tabs>
          <w:tab w:val="left" w:pos="4253"/>
        </w:tabs>
        <w:ind w:left="-1134"/>
        <w:rPr>
          <w:b/>
          <w:i/>
          <w:sz w:val="40"/>
          <w:szCs w:val="40"/>
        </w:rPr>
      </w:pPr>
      <w:r w:rsidRPr="00FF1A1F">
        <w:rPr>
          <w:b/>
          <w:noProof/>
          <w:sz w:val="28"/>
          <w:szCs w:val="28"/>
          <w:lang w:eastAsia="en-AU"/>
        </w:rPr>
        <w:drawing>
          <wp:anchor distT="0" distB="0" distL="114300" distR="114300" simplePos="0" relativeHeight="251693056" behindDoc="0" locked="0" layoutInCell="1" allowOverlap="1">
            <wp:simplePos x="0" y="0"/>
            <wp:positionH relativeFrom="column">
              <wp:posOffset>-634365</wp:posOffset>
            </wp:positionH>
            <wp:positionV relativeFrom="paragraph">
              <wp:posOffset>15240</wp:posOffset>
            </wp:positionV>
            <wp:extent cx="2507615" cy="1076325"/>
            <wp:effectExtent l="19050" t="0" r="6985" b="0"/>
            <wp:wrapSquare wrapText="bothSides"/>
            <wp:docPr id="6" name="Picture 33" descr="G:\Environment\Environmental Water\CEWH\Templates\CEWO TEMPLATES\Current\AG Crest_CEWO Logo\for Media releases\CEWO_logoStacked_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nvironment\Environmental Water\CEWH\Templates\CEWO TEMPLATES\Current\AG Crest_CEWO Logo\for Media releases\CEWO_logoStacked_MedRes.jpg"/>
                    <pic:cNvPicPr>
                      <a:picLocks noChangeAspect="1" noChangeArrowheads="1"/>
                    </pic:cNvPicPr>
                  </pic:nvPicPr>
                  <pic:blipFill>
                    <a:blip r:embed="rId12" cstate="email"/>
                    <a:srcRect/>
                    <a:stretch>
                      <a:fillRect/>
                    </a:stretch>
                  </pic:blipFill>
                  <pic:spPr bwMode="auto">
                    <a:xfrm>
                      <a:off x="0" y="0"/>
                      <a:ext cx="2507615" cy="1076325"/>
                    </a:xfrm>
                    <a:prstGeom prst="rect">
                      <a:avLst/>
                    </a:prstGeom>
                    <a:noFill/>
                    <a:ln w="9525">
                      <a:noFill/>
                      <a:miter lim="800000"/>
                      <a:headEnd/>
                      <a:tailEnd/>
                    </a:ln>
                  </pic:spPr>
                </pic:pic>
              </a:graphicData>
            </a:graphic>
          </wp:anchor>
        </w:drawing>
      </w:r>
      <w:r w:rsidR="002C1024" w:rsidRPr="002C1024">
        <w:rPr>
          <w:b/>
          <w:noProof/>
          <w:sz w:val="28"/>
          <w:szCs w:val="28"/>
          <w:lang w:eastAsia="en-AU"/>
        </w:rPr>
        <w:pict>
          <v:shapetype id="_x0000_t202" coordsize="21600,21600" o:spt="202" path="m,l,21600r21600,l21600,xe">
            <v:stroke joinstyle="miter"/>
            <v:path gradientshapeok="t" o:connecttype="rect"/>
          </v:shapetype>
          <v:shape id="Text Box 76" o:spid="_x0000_s1186" type="#_x0000_t202" style="position:absolute;left:0;text-align:left;margin-left:-18.7pt;margin-top:39.45pt;width:311pt;height:88.6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Nw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" filled="f" stroked="f">
            <v:textbox style="mso-next-textbox:#Text Box 76">
              <w:txbxContent>
                <w:p w:rsidR="003C1147" w:rsidRPr="00B72B63" w:rsidRDefault="003C1147" w:rsidP="00977EB1">
                  <w:pPr>
                    <w:spacing w:before="80"/>
                    <w:jc w:val="center"/>
                    <w:rPr>
                      <w:rFonts w:ascii="Century Gothic" w:hAnsi="Century Gothic"/>
                      <w:b/>
                      <w:i/>
                      <w:sz w:val="28"/>
                      <w:szCs w:val="28"/>
                    </w:rPr>
                  </w:pPr>
                  <w:r>
                    <w:rPr>
                      <w:rFonts w:ascii="Century Gothic" w:hAnsi="Century Gothic"/>
                      <w:sz w:val="28"/>
                      <w:szCs w:val="28"/>
                    </w:rPr>
                    <w:t xml:space="preserve">             </w:t>
                  </w:r>
                  <w:r w:rsidRPr="00B72B63">
                    <w:rPr>
                      <w:rFonts w:ascii="Century Gothic" w:hAnsi="Century Gothic"/>
                      <w:b/>
                      <w:sz w:val="28"/>
                      <w:szCs w:val="28"/>
                    </w:rPr>
                    <w:t xml:space="preserve">Monitoring, Evaluation, Reporting </w:t>
                  </w:r>
                  <w:r w:rsidRPr="00B72B63">
                    <w:rPr>
                      <w:rFonts w:ascii="Century Gothic" w:hAnsi="Century Gothic"/>
                      <w:b/>
                      <w:sz w:val="28"/>
                      <w:szCs w:val="28"/>
                    </w:rPr>
                    <w:br/>
                    <w:t xml:space="preserve">       and Improvement Framework</w:t>
                  </w:r>
                </w:p>
                <w:p w:rsidR="003C1147" w:rsidRPr="00B72B63" w:rsidRDefault="003C1147" w:rsidP="00977EB1">
                  <w:pPr>
                    <w:spacing w:before="360" w:line="480" w:lineRule="auto"/>
                    <w:jc w:val="right"/>
                    <w:rPr>
                      <w:rFonts w:ascii="Century Gothic" w:hAnsi="Century Gothic"/>
                      <w:szCs w:val="24"/>
                    </w:rPr>
                  </w:pPr>
                  <w:r>
                    <w:rPr>
                      <w:rFonts w:ascii="Century Gothic" w:hAnsi="Century Gothic"/>
                      <w:szCs w:val="24"/>
                    </w:rPr>
                    <w:t>June</w:t>
                  </w:r>
                  <w:r w:rsidRPr="00B72B63">
                    <w:rPr>
                      <w:rFonts w:ascii="Century Gothic" w:hAnsi="Century Gothic"/>
                      <w:szCs w:val="24"/>
                    </w:rPr>
                    <w:t xml:space="preserve"> 201</w:t>
                  </w:r>
                  <w:r>
                    <w:rPr>
                      <w:rFonts w:ascii="Century Gothic" w:hAnsi="Century Gothic"/>
                      <w:szCs w:val="24"/>
                    </w:rPr>
                    <w:t>3</w:t>
                  </w:r>
                  <w:r w:rsidRPr="00B72B63">
                    <w:rPr>
                      <w:rFonts w:ascii="Century Gothic" w:hAnsi="Century Gothic"/>
                      <w:szCs w:val="24"/>
                    </w:rPr>
                    <w:t xml:space="preserve"> V</w:t>
                  </w:r>
                  <w:r>
                    <w:rPr>
                      <w:rFonts w:ascii="Century Gothic" w:hAnsi="Century Gothic"/>
                      <w:szCs w:val="24"/>
                    </w:rPr>
                    <w:t xml:space="preserve">ersion </w:t>
                  </w:r>
                  <w:r w:rsidRPr="00B72B63">
                    <w:rPr>
                      <w:rFonts w:ascii="Century Gothic" w:hAnsi="Century Gothic"/>
                      <w:szCs w:val="24"/>
                    </w:rPr>
                    <w:t xml:space="preserve">2.0 </w:t>
                  </w:r>
                </w:p>
              </w:txbxContent>
            </v:textbox>
          </v:shape>
        </w:pict>
      </w:r>
      <w:r w:rsidR="00977EB1" w:rsidRPr="00FF1A1F">
        <w:rPr>
          <w:b/>
          <w:i/>
          <w:sz w:val="40"/>
          <w:szCs w:val="40"/>
        </w:rPr>
        <w:t xml:space="preserve">    </w:t>
      </w:r>
      <w:r w:rsidR="00977EB1" w:rsidRPr="00FF1A1F">
        <w:rPr>
          <w:b/>
          <w:i/>
          <w:noProof/>
          <w:sz w:val="40"/>
          <w:szCs w:val="40"/>
          <w:lang w:eastAsia="en-AU"/>
        </w:rPr>
        <w:drawing>
          <wp:inline distT="0" distB="0" distL="0" distR="0">
            <wp:extent cx="3305175" cy="476250"/>
            <wp:effectExtent l="19050" t="0" r="9525" b="0"/>
            <wp:docPr id="10" name="Picture 1" descr="G:\Environment\Environmental Water\CEWH\SER Section\Stakeholder Engagement\Color palette\15 OCT\ColorPalette_inline&amp;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Environmental Water\CEWH\SER Section\Stakeholder Engagement\Color palette\15 OCT\ColorPalette_inline&amp;text.jpg"/>
                    <pic:cNvPicPr>
                      <a:picLocks noChangeAspect="1" noChangeArrowheads="1"/>
                    </pic:cNvPicPr>
                  </pic:nvPicPr>
                  <pic:blipFill>
                    <a:blip r:embed="rId13" cstate="email"/>
                    <a:srcRect/>
                    <a:stretch>
                      <a:fillRect/>
                    </a:stretch>
                  </pic:blipFill>
                  <pic:spPr bwMode="auto">
                    <a:xfrm>
                      <a:off x="0" y="0"/>
                      <a:ext cx="3336454" cy="480757"/>
                    </a:xfrm>
                    <a:prstGeom prst="rect">
                      <a:avLst/>
                    </a:prstGeom>
                    <a:noFill/>
                    <a:ln w="9525">
                      <a:noFill/>
                      <a:miter lim="800000"/>
                      <a:headEnd/>
                      <a:tailEnd/>
                    </a:ln>
                  </pic:spPr>
                </pic:pic>
              </a:graphicData>
            </a:graphic>
          </wp:inline>
        </w:drawing>
      </w:r>
      <w:r w:rsidR="00977EB1" w:rsidRPr="00FF1A1F">
        <w:rPr>
          <w:b/>
          <w:i/>
          <w:sz w:val="40"/>
          <w:szCs w:val="40"/>
        </w:rPr>
        <w:br w:type="textWrapping" w:clear="all"/>
      </w:r>
    </w:p>
    <w:p w:rsidR="00977EB1" w:rsidRPr="00FF1A1F" w:rsidRDefault="00977EB1" w:rsidP="00977EB1">
      <w:pPr>
        <w:rPr>
          <w:b/>
          <w:i/>
          <w:sz w:val="40"/>
          <w:szCs w:val="40"/>
        </w:rPr>
      </w:pPr>
    </w:p>
    <w:p w:rsidR="00977EB1" w:rsidRPr="00FF1A1F" w:rsidRDefault="00977EB1" w:rsidP="00977EB1">
      <w:pPr>
        <w:jc w:val="center"/>
        <w:rPr>
          <w:b/>
          <w:sz w:val="28"/>
          <w:szCs w:val="28"/>
        </w:rPr>
      </w:pPr>
    </w:p>
    <w:p w:rsidR="00977EB1" w:rsidRPr="00FF1A1F" w:rsidRDefault="00977EB1" w:rsidP="00977EB1">
      <w:pPr>
        <w:jc w:val="center"/>
        <w:rPr>
          <w:b/>
          <w:sz w:val="28"/>
          <w:szCs w:val="28"/>
        </w:rPr>
      </w:pPr>
    </w:p>
    <w:p w:rsidR="00977EB1" w:rsidRPr="00FF1A1F" w:rsidRDefault="00977EB1" w:rsidP="00977EB1">
      <w:pPr>
        <w:jc w:val="center"/>
        <w:rPr>
          <w:b/>
          <w:i/>
          <w:sz w:val="32"/>
          <w:szCs w:val="32"/>
        </w:rPr>
      </w:pPr>
    </w:p>
    <w:p w:rsidR="00977EB1" w:rsidRPr="00FF1A1F" w:rsidRDefault="00977EB1" w:rsidP="00977EB1">
      <w:pPr>
        <w:jc w:val="center"/>
        <w:rPr>
          <w:sz w:val="22"/>
          <w:szCs w:val="22"/>
        </w:rPr>
      </w:pPr>
    </w:p>
    <w:p w:rsidR="00977EB1" w:rsidRPr="00FF1A1F" w:rsidRDefault="00977EB1" w:rsidP="00977EB1">
      <w:pPr>
        <w:rPr>
          <w:sz w:val="22"/>
          <w:szCs w:val="22"/>
        </w:rPr>
      </w:pPr>
    </w:p>
    <w:p w:rsidR="00977EB1" w:rsidRPr="00FF1A1F" w:rsidRDefault="00977EB1" w:rsidP="00977EB1">
      <w:pPr>
        <w:rPr>
          <w:sz w:val="20"/>
        </w:rPr>
      </w:pPr>
    </w:p>
    <w:p w:rsidR="00977EB1" w:rsidRPr="00FF1A1F" w:rsidRDefault="00977EB1" w:rsidP="00977EB1">
      <w:pPr>
        <w:rPr>
          <w:sz w:val="22"/>
          <w:szCs w:val="22"/>
        </w:rPr>
      </w:pPr>
    </w:p>
    <w:p w:rsidR="00977EB1" w:rsidRPr="00FF1A1F" w:rsidRDefault="00977EB1" w:rsidP="00977EB1">
      <w:pPr>
        <w:spacing w:after="120"/>
        <w:jc w:val="center"/>
        <w:rPr>
          <w:sz w:val="20"/>
        </w:rPr>
      </w:pPr>
      <w:bookmarkStart w:id="0" w:name="_Toc268506474"/>
      <w:bookmarkStart w:id="1" w:name="_Toc268506479"/>
      <w:r w:rsidRPr="00FF1A1F">
        <w:rPr>
          <w:sz w:val="20"/>
        </w:rPr>
        <w:br w:type="page"/>
      </w:r>
    </w:p>
    <w:p w:rsidR="00977EB1" w:rsidRPr="00FF1A1F" w:rsidRDefault="00977EB1" w:rsidP="00977EB1">
      <w:pPr>
        <w:rPr>
          <w:b/>
          <w:color w:val="365F91" w:themeColor="accent1" w:themeShade="BF"/>
          <w:sz w:val="22"/>
          <w:szCs w:val="22"/>
        </w:rPr>
      </w:pPr>
      <w:r w:rsidRPr="00FF1A1F">
        <w:rPr>
          <w:b/>
          <w:color w:val="365F91" w:themeColor="accent1" w:themeShade="BF"/>
          <w:sz w:val="22"/>
          <w:szCs w:val="22"/>
        </w:rPr>
        <w:lastRenderedPageBreak/>
        <w:t>Image Credits</w:t>
      </w:r>
    </w:p>
    <w:p w:rsidR="00977EB1" w:rsidRPr="00FF1A1F" w:rsidRDefault="00977EB1" w:rsidP="00977EB1">
      <w:pPr>
        <w:rPr>
          <w:color w:val="365F91" w:themeColor="accent1" w:themeShade="BF"/>
          <w:sz w:val="22"/>
          <w:szCs w:val="22"/>
        </w:rPr>
      </w:pPr>
      <w:r w:rsidRPr="00FF1A1F">
        <w:rPr>
          <w:color w:val="365F91" w:themeColor="accent1" w:themeShade="BF"/>
          <w:sz w:val="22"/>
          <w:szCs w:val="22"/>
        </w:rPr>
        <w:t xml:space="preserve">Edward-Wakool River System </w:t>
      </w:r>
      <w:r w:rsidRPr="00FF1A1F">
        <w:rPr>
          <w:color w:val="365F91" w:themeColor="accent1" w:themeShade="BF"/>
          <w:sz w:val="22"/>
          <w:szCs w:val="22"/>
        </w:rPr>
        <w:br/>
        <w:t>© SEWPAC, Photographer: Rebecca Gee</w:t>
      </w:r>
    </w:p>
    <w:p w:rsidR="00977EB1" w:rsidRPr="00FF1A1F" w:rsidRDefault="00977EB1" w:rsidP="00977EB1">
      <w:pPr>
        <w:rPr>
          <w:color w:val="365F91" w:themeColor="accent1" w:themeShade="BF"/>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4"/>
          <w:szCs w:val="14"/>
        </w:rPr>
      </w:pPr>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ind w:right="2931"/>
        <w:rPr>
          <w:rFonts w:ascii="AvantGarde-Book" w:hAnsi="AvantGarde-Book"/>
          <w:color w:val="414142"/>
          <w:sz w:val="16"/>
          <w:szCs w:val="16"/>
        </w:rPr>
      </w:pPr>
      <w:r w:rsidRPr="00FF1A1F">
        <w:rPr>
          <w:rFonts w:ascii="AvantGarde-Book" w:hAnsi="AvantGarde-Book"/>
          <w:color w:val="414142"/>
          <w:sz w:val="16"/>
          <w:szCs w:val="16"/>
        </w:rPr>
        <w:t>This report should be cited as ‘</w:t>
      </w:r>
      <w:r w:rsidRPr="00FF1A1F">
        <w:rPr>
          <w:rFonts w:ascii="AvantGarde-Book" w:hAnsi="AvantGarde-Book"/>
          <w:i/>
          <w:iCs/>
          <w:color w:val="414142"/>
          <w:sz w:val="16"/>
          <w:szCs w:val="16"/>
        </w:rPr>
        <w:t>Commonwealth Environmental Water - Monitoring, Evaluation, Reporting and Improvement Framework</w:t>
      </w:r>
      <w:r w:rsidRPr="00FF1A1F">
        <w:rPr>
          <w:rFonts w:ascii="AvantGarde-Book" w:hAnsi="AvantGarde-Book"/>
          <w:color w:val="414142"/>
          <w:sz w:val="16"/>
          <w:szCs w:val="16"/>
        </w:rPr>
        <w:t xml:space="preserve">, Commonwealth Environmental Water, </w:t>
      </w:r>
      <w:r w:rsidR="00F80FBC" w:rsidRPr="00FF1A1F">
        <w:rPr>
          <w:rFonts w:ascii="AvantGarde-Book" w:hAnsi="AvantGarde-Book"/>
          <w:color w:val="414142"/>
          <w:sz w:val="16"/>
          <w:szCs w:val="16"/>
        </w:rPr>
        <w:t>June</w:t>
      </w:r>
      <w:r w:rsidRPr="00FF1A1F">
        <w:rPr>
          <w:rFonts w:ascii="AvantGarde-Book" w:hAnsi="AvantGarde-Book"/>
          <w:color w:val="414142"/>
          <w:sz w:val="16"/>
          <w:szCs w:val="16"/>
        </w:rPr>
        <w:t xml:space="preserve"> 2013 V2.0’. </w:t>
      </w:r>
    </w:p>
    <w:p w:rsidR="00977EB1" w:rsidRPr="00FF1A1F" w:rsidRDefault="00977EB1" w:rsidP="00977EB1">
      <w:pPr>
        <w:rPr>
          <w:rFonts w:ascii="Calibri" w:hAnsi="Calibri"/>
          <w:color w:val="1F497D"/>
          <w:sz w:val="16"/>
          <w:szCs w:val="16"/>
        </w:rPr>
      </w:pP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Published by the Commonwealth Environmental Water Holder for the Australian Government.</w:t>
      </w:r>
      <w:proofErr w:type="gramEnd"/>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 Commonwealth of Australia 2013.</w:t>
      </w:r>
      <w:proofErr w:type="gramEnd"/>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rPr>
          <w:rFonts w:ascii="AvantGarde-Book" w:hAnsi="AvantGarde-Book"/>
          <w:color w:val="414142"/>
          <w:sz w:val="16"/>
          <w:szCs w:val="16"/>
        </w:rPr>
      </w:pPr>
      <w:r w:rsidRPr="00FF1A1F">
        <w:rPr>
          <w:rFonts w:ascii="AvantGarde-Book" w:hAnsi="AvantGarde-Book"/>
          <w:color w:val="414142"/>
          <w:sz w:val="16"/>
          <w:szCs w:val="16"/>
        </w:rPr>
        <w:t xml:space="preserve">This work is copyright. Apart from any use as permitted under the Copyright Act 1968, no part may </w:t>
      </w:r>
      <w:r w:rsidRPr="00FF1A1F">
        <w:rPr>
          <w:rFonts w:ascii="AvantGarde-Book" w:hAnsi="AvantGarde-Book"/>
          <w:color w:val="414142"/>
          <w:sz w:val="16"/>
          <w:szCs w:val="16"/>
        </w:rPr>
        <w:br/>
        <w:t>be reproduced by any process without prior written permission from the Commonwealth. Requests and</w:t>
      </w: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enquiries</w:t>
      </w:r>
      <w:proofErr w:type="gramEnd"/>
      <w:r w:rsidRPr="00FF1A1F">
        <w:rPr>
          <w:rFonts w:ascii="AvantGarde-Book" w:hAnsi="AvantGarde-Book"/>
          <w:color w:val="414142"/>
          <w:sz w:val="16"/>
          <w:szCs w:val="16"/>
        </w:rPr>
        <w:t xml:space="preserve"> concerning reproduction and rights should be addressed to Department of Sustainability,</w:t>
      </w:r>
    </w:p>
    <w:p w:rsidR="00977EB1" w:rsidRPr="00FF1A1F" w:rsidRDefault="00977EB1" w:rsidP="00977EB1">
      <w:pPr>
        <w:autoSpaceDE w:val="0"/>
        <w:autoSpaceDN w:val="0"/>
        <w:rPr>
          <w:rFonts w:ascii="AvantGarde-Book" w:hAnsi="AvantGarde-Book"/>
          <w:color w:val="414142"/>
          <w:sz w:val="16"/>
          <w:szCs w:val="16"/>
        </w:rPr>
      </w:pPr>
      <w:r w:rsidRPr="00FF1A1F">
        <w:rPr>
          <w:rFonts w:ascii="AvantGarde-Book" w:hAnsi="AvantGarde-Book"/>
          <w:color w:val="414142"/>
          <w:sz w:val="16"/>
          <w:szCs w:val="16"/>
        </w:rPr>
        <w:t>Environment, Water, Populations and Communities, Public Affairs, GPO Box 787 Canberra ACT 2601</w:t>
      </w:r>
      <w:r w:rsidRPr="00FF1A1F">
        <w:rPr>
          <w:rFonts w:ascii="AvantGarde-Book" w:hAnsi="AvantGarde-Book"/>
          <w:color w:val="414142"/>
          <w:sz w:val="16"/>
          <w:szCs w:val="16"/>
        </w:rPr>
        <w:br/>
        <w:t xml:space="preserve"> or email </w:t>
      </w:r>
      <w:hyperlink r:id="rId14" w:history="1">
        <w:r w:rsidRPr="00FF1A1F">
          <w:rPr>
            <w:rStyle w:val="Hyperlink"/>
            <w:rFonts w:ascii="AvantGarde-Book" w:hAnsi="AvantGarde-Book"/>
            <w:sz w:val="16"/>
            <w:szCs w:val="16"/>
          </w:rPr>
          <w:t>public.affairs@environment.gov.au</w:t>
        </w:r>
      </w:hyperlink>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rPr>
          <w:rFonts w:ascii="AvantGarde-Book" w:hAnsi="AvantGarde-Book"/>
          <w:color w:val="414142"/>
          <w:sz w:val="16"/>
          <w:szCs w:val="16"/>
        </w:rPr>
      </w:pPr>
      <w:r w:rsidRPr="00FF1A1F">
        <w:rPr>
          <w:rFonts w:ascii="AvantGarde-Book" w:hAnsi="AvantGarde-Book"/>
          <w:color w:val="414142"/>
          <w:sz w:val="16"/>
          <w:szCs w:val="16"/>
        </w:rPr>
        <w:t>Information presented in this document may be copied for personal use or published for education</w:t>
      </w: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purposes</w:t>
      </w:r>
      <w:proofErr w:type="gramEnd"/>
      <w:r w:rsidRPr="00FF1A1F">
        <w:rPr>
          <w:rFonts w:ascii="AvantGarde-Book" w:hAnsi="AvantGarde-Book"/>
          <w:color w:val="414142"/>
          <w:sz w:val="16"/>
          <w:szCs w:val="16"/>
        </w:rPr>
        <w:t>, provided that any extracts are fully acknowledged.</w:t>
      </w:r>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rPr>
          <w:rFonts w:ascii="AvantGarde-Book" w:hAnsi="AvantGarde-Book"/>
          <w:color w:val="414142"/>
          <w:sz w:val="16"/>
          <w:szCs w:val="16"/>
        </w:rPr>
      </w:pPr>
      <w:r w:rsidRPr="00FF1A1F">
        <w:rPr>
          <w:rFonts w:ascii="AvantGarde-Book" w:hAnsi="AvantGarde-Book"/>
          <w:color w:val="414142"/>
          <w:sz w:val="16"/>
          <w:szCs w:val="16"/>
        </w:rPr>
        <w:t>The views and opinions expressed in this publication are those of the authors and do not necessarily</w:t>
      </w: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reflect</w:t>
      </w:r>
      <w:proofErr w:type="gramEnd"/>
      <w:r w:rsidRPr="00FF1A1F">
        <w:rPr>
          <w:rFonts w:ascii="AvantGarde-Book" w:hAnsi="AvantGarde-Book"/>
          <w:color w:val="414142"/>
          <w:sz w:val="16"/>
          <w:szCs w:val="16"/>
        </w:rPr>
        <w:t xml:space="preserve"> those of the Australian Government or the Minister for Sustainability, Environment, Water,</w:t>
      </w: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Population and Communities.</w:t>
      </w:r>
      <w:proofErr w:type="gramEnd"/>
    </w:p>
    <w:p w:rsidR="00977EB1" w:rsidRPr="00FF1A1F" w:rsidRDefault="00977EB1" w:rsidP="00977EB1">
      <w:pPr>
        <w:autoSpaceDE w:val="0"/>
        <w:autoSpaceDN w:val="0"/>
        <w:rPr>
          <w:rFonts w:ascii="AvantGarde-Book" w:hAnsi="AvantGarde-Book"/>
          <w:color w:val="414142"/>
          <w:sz w:val="16"/>
          <w:szCs w:val="16"/>
        </w:rPr>
      </w:pPr>
    </w:p>
    <w:p w:rsidR="00977EB1" w:rsidRPr="00FF1A1F" w:rsidRDefault="00977EB1" w:rsidP="00977EB1">
      <w:pPr>
        <w:autoSpaceDE w:val="0"/>
        <w:autoSpaceDN w:val="0"/>
        <w:rPr>
          <w:rFonts w:ascii="AvantGarde-Book" w:hAnsi="AvantGarde-Book"/>
          <w:color w:val="414142"/>
          <w:sz w:val="16"/>
          <w:szCs w:val="16"/>
        </w:rPr>
      </w:pPr>
      <w:r w:rsidRPr="00FF1A1F">
        <w:rPr>
          <w:rFonts w:ascii="AvantGarde-Book" w:hAnsi="AvantGarde-Book"/>
          <w:color w:val="414142"/>
          <w:sz w:val="16"/>
          <w:szCs w:val="16"/>
        </w:rPr>
        <w:t>While reasonable efforts have been made to ensure that the contents of this publication are factually</w:t>
      </w: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correct</w:t>
      </w:r>
      <w:proofErr w:type="gramEnd"/>
      <w:r w:rsidRPr="00FF1A1F">
        <w:rPr>
          <w:rFonts w:ascii="AvantGarde-Book" w:hAnsi="AvantGarde-Book"/>
          <w:color w:val="414142"/>
          <w:sz w:val="16"/>
          <w:szCs w:val="16"/>
        </w:rPr>
        <w:t>, the Commonwealth does not accept responsibility for the accuracy or completeness of the</w:t>
      </w:r>
    </w:p>
    <w:p w:rsidR="00977EB1" w:rsidRPr="00FF1A1F" w:rsidRDefault="00977EB1" w:rsidP="00977EB1">
      <w:pPr>
        <w:autoSpaceDE w:val="0"/>
        <w:autoSpaceDN w:val="0"/>
        <w:rPr>
          <w:rFonts w:ascii="AvantGarde-Book" w:hAnsi="AvantGarde-Book"/>
          <w:color w:val="414142"/>
          <w:sz w:val="16"/>
          <w:szCs w:val="16"/>
        </w:rPr>
      </w:pPr>
      <w:proofErr w:type="gramStart"/>
      <w:r w:rsidRPr="00FF1A1F">
        <w:rPr>
          <w:rFonts w:ascii="AvantGarde-Book" w:hAnsi="AvantGarde-Book"/>
          <w:color w:val="414142"/>
          <w:sz w:val="16"/>
          <w:szCs w:val="16"/>
        </w:rPr>
        <w:t>contents</w:t>
      </w:r>
      <w:proofErr w:type="gramEnd"/>
      <w:r w:rsidRPr="00FF1A1F">
        <w:rPr>
          <w:rFonts w:ascii="AvantGarde-Book" w:hAnsi="AvantGarde-Book"/>
          <w:color w:val="414142"/>
          <w:sz w:val="16"/>
          <w:szCs w:val="16"/>
        </w:rPr>
        <w:t>, and shall not be liable for any loss or damage that may be occasioned directly or indirectly</w:t>
      </w:r>
    </w:p>
    <w:p w:rsidR="00977EB1" w:rsidRPr="00FF1A1F" w:rsidRDefault="00977EB1" w:rsidP="00977EB1">
      <w:pPr>
        <w:rPr>
          <w:rFonts w:ascii="Calibri" w:hAnsi="Calibri"/>
          <w:color w:val="1F497D"/>
          <w:sz w:val="16"/>
          <w:szCs w:val="16"/>
        </w:rPr>
      </w:pPr>
      <w:proofErr w:type="gramStart"/>
      <w:r w:rsidRPr="00FF1A1F">
        <w:rPr>
          <w:rFonts w:ascii="AvantGarde-Book" w:hAnsi="AvantGarde-Book"/>
          <w:color w:val="414142"/>
          <w:sz w:val="16"/>
          <w:szCs w:val="16"/>
        </w:rPr>
        <w:t>through</w:t>
      </w:r>
      <w:proofErr w:type="gramEnd"/>
      <w:r w:rsidRPr="00FF1A1F">
        <w:rPr>
          <w:rFonts w:ascii="AvantGarde-Book" w:hAnsi="AvantGarde-Book"/>
          <w:color w:val="414142"/>
          <w:sz w:val="16"/>
          <w:szCs w:val="16"/>
        </w:rPr>
        <w:t xml:space="preserve"> the use of, or reliance on, the contents of this publication.</w:t>
      </w:r>
    </w:p>
    <w:p w:rsidR="00977EB1" w:rsidRPr="00FF1A1F" w:rsidRDefault="00977EB1" w:rsidP="00977EB1">
      <w:r w:rsidRPr="00FF1A1F">
        <w:br w:type="page"/>
      </w:r>
    </w:p>
    <w:p w:rsidR="00977EB1" w:rsidRPr="00FF1A1F" w:rsidRDefault="002C1024" w:rsidP="00977EB1">
      <w:pPr>
        <w:spacing w:after="80"/>
        <w:rPr>
          <w:b/>
          <w:sz w:val="28"/>
          <w:szCs w:val="28"/>
        </w:rPr>
      </w:pPr>
      <w:r>
        <w:rPr>
          <w:b/>
          <w:noProof/>
          <w:sz w:val="28"/>
          <w:szCs w:val="28"/>
          <w:lang w:eastAsia="en-AU"/>
        </w:rPr>
        <w:lastRenderedPageBreak/>
        <w:pict>
          <v:roundrect id="AutoShape 78" o:spid="_x0000_s1188" style="position:absolute;margin-left:-23.25pt;margin-top:-4.4pt;width:498pt;height:804.05pt;z-index:251683840;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" filled="f" strokecolor="#365f91 [2404]"/>
        </w:pict>
      </w:r>
      <w:r w:rsidR="00ED1509" w:rsidRPr="00FF1A1F">
        <w:rPr>
          <w:b/>
          <w:noProof/>
          <w:sz w:val="28"/>
          <w:szCs w:val="28"/>
          <w:lang w:eastAsia="en-AU"/>
        </w:rPr>
        <w:t>Executive Summary</w:t>
      </w:r>
    </w:p>
    <w:p w:rsidR="00ED1509" w:rsidRPr="00FF1A1F" w:rsidRDefault="00ED1509" w:rsidP="00ED1509">
      <w:pPr>
        <w:spacing w:after="60"/>
        <w:ind w:left="714"/>
        <w:rPr>
          <w:szCs w:val="24"/>
          <w:lang w:val="en-US" w:eastAsia="ja-JP"/>
        </w:rPr>
      </w:pPr>
    </w:p>
    <w:p w:rsidR="00977EB1" w:rsidRPr="00FF1A1F" w:rsidRDefault="00977EB1" w:rsidP="00977EB1">
      <w:pPr>
        <w:numPr>
          <w:ilvl w:val="0"/>
          <w:numId w:val="13"/>
        </w:numPr>
        <w:spacing w:after="60"/>
        <w:ind w:left="714" w:hanging="357"/>
        <w:rPr>
          <w:szCs w:val="24"/>
          <w:lang w:val="en-US" w:eastAsia="ja-JP"/>
        </w:rPr>
      </w:pPr>
      <w:r w:rsidRPr="00FF1A1F">
        <w:rPr>
          <w:szCs w:val="24"/>
          <w:lang w:val="en-US" w:eastAsia="ja-JP"/>
        </w:rPr>
        <w:t>Monitoring, evaluation, reporting and improvement (MERI) is critical for supporting the efficient and effective use of Commonwealth environmental water, and demonstrating the achievement of environmental objectives.</w:t>
      </w:r>
    </w:p>
    <w:p w:rsidR="001045C0" w:rsidRPr="00FF1A1F" w:rsidRDefault="00FD7D6F" w:rsidP="001045C0">
      <w:pPr>
        <w:numPr>
          <w:ilvl w:val="0"/>
          <w:numId w:val="13"/>
        </w:numPr>
        <w:spacing w:after="60"/>
        <w:ind w:left="714" w:hanging="357"/>
      </w:pPr>
      <w:r w:rsidRPr="00FF1A1F">
        <w:rPr>
          <w:szCs w:val="24"/>
          <w:lang w:val="en-US" w:eastAsia="ja-JP"/>
        </w:rPr>
        <w:t xml:space="preserve">The framework is a high level document that provides overarching guidance for the development and implementation of MERI. As such, it is not intended to provide detail on particular MERI activities which will be the subject of more detailed scoping work. </w:t>
      </w:r>
      <w:r w:rsidR="001045C0" w:rsidRPr="00FF1A1F">
        <w:rPr>
          <w:szCs w:val="24"/>
          <w:lang w:val="en-US" w:eastAsia="ja-JP"/>
        </w:rPr>
        <w:t>Th</w:t>
      </w:r>
      <w:r w:rsidR="00751E3D" w:rsidRPr="00FF1A1F">
        <w:rPr>
          <w:szCs w:val="24"/>
          <w:lang w:val="en-US" w:eastAsia="ja-JP"/>
        </w:rPr>
        <w:t xml:space="preserve">is framework is consistent with, and gives effect to, </w:t>
      </w:r>
      <w:r w:rsidR="001045C0" w:rsidRPr="00FF1A1F">
        <w:rPr>
          <w:szCs w:val="24"/>
          <w:lang w:val="en-US" w:eastAsia="ja-JP"/>
        </w:rPr>
        <w:t>the</w:t>
      </w:r>
      <w:r w:rsidR="00751E3D" w:rsidRPr="00FF1A1F">
        <w:rPr>
          <w:szCs w:val="24"/>
          <w:lang w:val="en-US" w:eastAsia="ja-JP"/>
        </w:rPr>
        <w:t xml:space="preserve"> relevant provisions of the</w:t>
      </w:r>
      <w:r w:rsidR="001045C0" w:rsidRPr="00FF1A1F">
        <w:rPr>
          <w:szCs w:val="24"/>
          <w:lang w:val="en-US" w:eastAsia="ja-JP"/>
        </w:rPr>
        <w:t xml:space="preserve"> Murray-Darling </w:t>
      </w:r>
      <w:r w:rsidR="001045C0" w:rsidRPr="00FF1A1F">
        <w:t>Basin Plan, as made in November 2012.</w:t>
      </w:r>
    </w:p>
    <w:p w:rsidR="00977EB1" w:rsidRPr="00FF1A1F" w:rsidRDefault="00977EB1" w:rsidP="00977EB1">
      <w:pPr>
        <w:numPr>
          <w:ilvl w:val="0"/>
          <w:numId w:val="13"/>
        </w:numPr>
        <w:spacing w:after="60"/>
        <w:ind w:left="714" w:hanging="357"/>
        <w:rPr>
          <w:szCs w:val="24"/>
        </w:rPr>
      </w:pPr>
      <w:r w:rsidRPr="00FF1A1F">
        <w:rPr>
          <w:szCs w:val="24"/>
          <w:lang w:val="en-US" w:eastAsia="ja-JP"/>
        </w:rPr>
        <w:t>This framework outlines an approach to MERI that will:</w:t>
      </w:r>
    </w:p>
    <w:p w:rsidR="00977EB1" w:rsidRPr="00FF1A1F" w:rsidRDefault="00977EB1" w:rsidP="00977EB1">
      <w:pPr>
        <w:numPr>
          <w:ilvl w:val="1"/>
          <w:numId w:val="13"/>
        </w:numPr>
        <w:spacing w:after="60"/>
        <w:rPr>
          <w:szCs w:val="24"/>
        </w:rPr>
      </w:pPr>
      <w:r w:rsidRPr="00FF1A1F">
        <w:rPr>
          <w:szCs w:val="24"/>
        </w:rPr>
        <w:t>support accountability and good governance</w:t>
      </w:r>
    </w:p>
    <w:p w:rsidR="00977EB1" w:rsidRPr="00FF1A1F" w:rsidRDefault="00977EB1" w:rsidP="00977EB1">
      <w:pPr>
        <w:numPr>
          <w:ilvl w:val="1"/>
          <w:numId w:val="13"/>
        </w:numPr>
        <w:spacing w:after="60"/>
        <w:rPr>
          <w:szCs w:val="24"/>
        </w:rPr>
      </w:pPr>
      <w:r w:rsidRPr="00FF1A1F">
        <w:rPr>
          <w:szCs w:val="24"/>
        </w:rPr>
        <w:t>support adaptive management</w:t>
      </w:r>
    </w:p>
    <w:p w:rsidR="00977EB1" w:rsidRPr="00FF1A1F" w:rsidRDefault="00977EB1" w:rsidP="00977EB1">
      <w:pPr>
        <w:numPr>
          <w:ilvl w:val="1"/>
          <w:numId w:val="13"/>
        </w:numPr>
        <w:spacing w:after="60"/>
        <w:rPr>
          <w:szCs w:val="24"/>
          <w:lang w:val="en-US" w:eastAsia="ja-JP"/>
        </w:rPr>
      </w:pPr>
      <w:proofErr w:type="gramStart"/>
      <w:r w:rsidRPr="00FF1A1F">
        <w:rPr>
          <w:szCs w:val="24"/>
        </w:rPr>
        <w:t>help</w:t>
      </w:r>
      <w:proofErr w:type="gramEnd"/>
      <w:r w:rsidRPr="00FF1A1F">
        <w:rPr>
          <w:szCs w:val="24"/>
        </w:rPr>
        <w:t xml:space="preserve"> build foundational knowledge.</w:t>
      </w:r>
    </w:p>
    <w:p w:rsidR="00F80FBC" w:rsidRPr="00FF1A1F" w:rsidRDefault="00977EB1" w:rsidP="00977EB1">
      <w:pPr>
        <w:numPr>
          <w:ilvl w:val="0"/>
          <w:numId w:val="13"/>
        </w:numPr>
        <w:spacing w:after="60"/>
        <w:ind w:left="714" w:hanging="357"/>
        <w:rPr>
          <w:szCs w:val="24"/>
          <w:lang w:val="en-US" w:eastAsia="ja-JP"/>
        </w:rPr>
      </w:pPr>
      <w:r w:rsidRPr="00FF1A1F">
        <w:t xml:space="preserve">MERI </w:t>
      </w:r>
      <w:r w:rsidR="000211CD" w:rsidRPr="00FF1A1F">
        <w:t xml:space="preserve">activities </w:t>
      </w:r>
      <w:r w:rsidRPr="00FF1A1F">
        <w:t>will be implemented to align with the three levels of planning associated with the use of Commonwealth environmental water</w:t>
      </w:r>
      <w:r w:rsidR="00F80FBC" w:rsidRPr="00FF1A1F">
        <w:t>:</w:t>
      </w:r>
    </w:p>
    <w:p w:rsidR="009905CC" w:rsidRPr="00FF1A1F" w:rsidRDefault="00F80FBC">
      <w:pPr>
        <w:numPr>
          <w:ilvl w:val="1"/>
          <w:numId w:val="13"/>
        </w:numPr>
        <w:spacing w:after="60"/>
        <w:rPr>
          <w:szCs w:val="24"/>
          <w:lang w:val="en-US" w:eastAsia="ja-JP"/>
        </w:rPr>
      </w:pPr>
      <w:r w:rsidRPr="00FF1A1F">
        <w:rPr>
          <w:szCs w:val="24"/>
          <w:lang w:val="en-US" w:eastAsia="ja-JP"/>
        </w:rPr>
        <w:t>annual water use options planning</w:t>
      </w:r>
    </w:p>
    <w:p w:rsidR="009905CC" w:rsidRPr="00FF1A1F" w:rsidRDefault="00F80FBC">
      <w:pPr>
        <w:numPr>
          <w:ilvl w:val="1"/>
          <w:numId w:val="13"/>
        </w:numPr>
        <w:spacing w:after="60"/>
        <w:rPr>
          <w:szCs w:val="24"/>
          <w:lang w:val="en-US" w:eastAsia="ja-JP"/>
        </w:rPr>
      </w:pPr>
      <w:r w:rsidRPr="00FF1A1F">
        <w:rPr>
          <w:szCs w:val="24"/>
          <w:lang w:val="en-US" w:eastAsia="ja-JP"/>
        </w:rPr>
        <w:t>five year portfolio management planning</w:t>
      </w:r>
    </w:p>
    <w:p w:rsidR="009905CC" w:rsidRPr="00FF1A1F" w:rsidRDefault="00F80FBC">
      <w:pPr>
        <w:numPr>
          <w:ilvl w:val="1"/>
          <w:numId w:val="13"/>
        </w:numPr>
        <w:spacing w:after="60"/>
        <w:rPr>
          <w:szCs w:val="24"/>
          <w:lang w:val="en-US" w:eastAsia="ja-JP"/>
        </w:rPr>
      </w:pPr>
      <w:proofErr w:type="gramStart"/>
      <w:r w:rsidRPr="00FF1A1F">
        <w:rPr>
          <w:szCs w:val="24"/>
          <w:lang w:val="en-US" w:eastAsia="ja-JP"/>
        </w:rPr>
        <w:t>the</w:t>
      </w:r>
      <w:proofErr w:type="gramEnd"/>
      <w:r w:rsidRPr="00FF1A1F">
        <w:rPr>
          <w:szCs w:val="24"/>
          <w:lang w:val="en-US" w:eastAsia="ja-JP"/>
        </w:rPr>
        <w:t xml:space="preserve"> ten year Basin Plan.</w:t>
      </w:r>
      <w:r w:rsidR="00977EB1" w:rsidRPr="00FF1A1F">
        <w:t xml:space="preserve"> </w:t>
      </w:r>
    </w:p>
    <w:p w:rsidR="00601D50" w:rsidRPr="00FF1A1F" w:rsidRDefault="000211CD" w:rsidP="00601D50">
      <w:pPr>
        <w:numPr>
          <w:ilvl w:val="0"/>
          <w:numId w:val="13"/>
        </w:numPr>
        <w:spacing w:after="60"/>
        <w:rPr>
          <w:szCs w:val="24"/>
          <w:lang w:val="en-US" w:eastAsia="ja-JP"/>
        </w:rPr>
      </w:pPr>
      <w:r w:rsidRPr="00FF1A1F">
        <w:rPr>
          <w:b/>
          <w:szCs w:val="24"/>
          <w:lang w:val="en-US" w:eastAsia="ja-JP"/>
        </w:rPr>
        <w:t xml:space="preserve">Monitoring: </w:t>
      </w:r>
      <w:r w:rsidR="001045C0" w:rsidRPr="00FF1A1F">
        <w:rPr>
          <w:szCs w:val="24"/>
          <w:lang w:val="en-US" w:eastAsia="ja-JP"/>
        </w:rPr>
        <w:t xml:space="preserve">The framework defines three types of monitoring </w:t>
      </w:r>
      <w:r w:rsidR="00601D50" w:rsidRPr="00FF1A1F">
        <w:rPr>
          <w:szCs w:val="24"/>
          <w:lang w:val="en-US" w:eastAsia="ja-JP"/>
        </w:rPr>
        <w:t>relevant to Commonwealth environmental water:</w:t>
      </w:r>
      <w:r w:rsidR="00C15B2A" w:rsidRPr="00FF1A1F">
        <w:rPr>
          <w:szCs w:val="24"/>
          <w:lang w:val="en-US" w:eastAsia="ja-JP"/>
        </w:rPr>
        <w:t xml:space="preserve"> operational; intervention and program monitoring. </w:t>
      </w:r>
      <w:r w:rsidR="00601D50" w:rsidRPr="00FF1A1F">
        <w:rPr>
          <w:szCs w:val="24"/>
          <w:lang w:val="en-US" w:eastAsia="ja-JP"/>
        </w:rPr>
        <w:t>Operational monitoring will be undertaken for all watering actions to ensure water is delivered as planned and to help manage r</w:t>
      </w:r>
      <w:r w:rsidR="006B39B8" w:rsidRPr="00FF1A1F">
        <w:rPr>
          <w:szCs w:val="24"/>
          <w:lang w:val="en-US" w:eastAsia="ja-JP"/>
        </w:rPr>
        <w:t>isks. Intervention monitoring is</w:t>
      </w:r>
      <w:r w:rsidR="00601D50" w:rsidRPr="00FF1A1F">
        <w:rPr>
          <w:szCs w:val="24"/>
          <w:lang w:val="en-US" w:eastAsia="ja-JP"/>
        </w:rPr>
        <w:t xml:space="preserve"> the primary means </w:t>
      </w:r>
      <w:r w:rsidR="00922FD9" w:rsidRPr="00FF1A1F">
        <w:rPr>
          <w:szCs w:val="24"/>
          <w:lang w:val="en-US" w:eastAsia="ja-JP"/>
        </w:rPr>
        <w:t>for understand</w:t>
      </w:r>
      <w:r w:rsidR="00601D50" w:rsidRPr="00FF1A1F">
        <w:rPr>
          <w:szCs w:val="24"/>
          <w:lang w:val="en-US" w:eastAsia="ja-JP"/>
        </w:rPr>
        <w:t xml:space="preserve">ing the outcomes from </w:t>
      </w:r>
      <w:r w:rsidR="006B39B8" w:rsidRPr="00FF1A1F">
        <w:rPr>
          <w:szCs w:val="24"/>
          <w:lang w:val="en-US" w:eastAsia="ja-JP"/>
        </w:rPr>
        <w:t xml:space="preserve">the use of </w:t>
      </w:r>
      <w:r w:rsidR="00601D50" w:rsidRPr="00FF1A1F">
        <w:rPr>
          <w:szCs w:val="24"/>
          <w:lang w:val="en-US" w:eastAsia="ja-JP"/>
        </w:rPr>
        <w:t xml:space="preserve">Commonwealth environmental water. This will be coordinated closely with program monitoring undertaken by the MDBA </w:t>
      </w:r>
      <w:r w:rsidR="00601D50" w:rsidRPr="00FF1A1F">
        <w:t>on the achievement of the environment</w:t>
      </w:r>
      <w:r w:rsidRPr="00FF1A1F">
        <w:t>al objectives of the Basin Plan.</w:t>
      </w:r>
    </w:p>
    <w:p w:rsidR="00C15B2A" w:rsidRPr="00FF1A1F" w:rsidRDefault="000211CD" w:rsidP="00C15B2A">
      <w:pPr>
        <w:numPr>
          <w:ilvl w:val="0"/>
          <w:numId w:val="13"/>
        </w:numPr>
        <w:spacing w:after="60"/>
        <w:rPr>
          <w:szCs w:val="24"/>
          <w:lang w:val="en-US" w:eastAsia="ja-JP"/>
        </w:rPr>
      </w:pPr>
      <w:r w:rsidRPr="00FF1A1F">
        <w:rPr>
          <w:b/>
          <w:szCs w:val="24"/>
          <w:lang w:val="en-US" w:eastAsia="ja-JP"/>
        </w:rPr>
        <w:t>Evaluation:</w:t>
      </w:r>
      <w:r w:rsidRPr="00FF1A1F">
        <w:rPr>
          <w:szCs w:val="24"/>
          <w:lang w:val="en-US" w:eastAsia="ja-JP"/>
        </w:rPr>
        <w:t xml:space="preserve"> </w:t>
      </w:r>
      <w:r w:rsidR="00C15B2A" w:rsidRPr="00FF1A1F">
        <w:rPr>
          <w:szCs w:val="24"/>
          <w:lang w:val="en-US" w:eastAsia="ja-JP"/>
        </w:rPr>
        <w:t xml:space="preserve">Evaluation will be undertaken at timescales that align with planning (&lt;1 year, 1–5 years and &gt;10 years), will be based on the program of monitoring outlined above, and be guided by the reporting requirements set out in Schedule 12 of the Basin Plan. The focus evaluation activity </w:t>
      </w:r>
      <w:r w:rsidR="006B39B8" w:rsidRPr="00FF1A1F">
        <w:rPr>
          <w:szCs w:val="24"/>
          <w:lang w:val="en-US" w:eastAsia="ja-JP"/>
        </w:rPr>
        <w:t>will be</w:t>
      </w:r>
      <w:r w:rsidR="00C15B2A" w:rsidRPr="00FF1A1F">
        <w:rPr>
          <w:szCs w:val="24"/>
          <w:lang w:val="en-US" w:eastAsia="ja-JP"/>
        </w:rPr>
        <w:t>:</w:t>
      </w:r>
    </w:p>
    <w:p w:rsidR="00C15B2A" w:rsidRPr="00FF1A1F" w:rsidRDefault="00C15B2A" w:rsidP="00C15B2A">
      <w:pPr>
        <w:numPr>
          <w:ilvl w:val="1"/>
          <w:numId w:val="13"/>
        </w:numPr>
        <w:spacing w:after="60"/>
        <w:rPr>
          <w:szCs w:val="24"/>
          <w:lang w:val="en-US" w:eastAsia="ja-JP"/>
        </w:rPr>
      </w:pPr>
      <w:r w:rsidRPr="00FF1A1F">
        <w:rPr>
          <w:szCs w:val="24"/>
          <w:lang w:val="en-US" w:eastAsia="ja-JP"/>
        </w:rPr>
        <w:t>demonstrating the outcomes of the use of Commonwealth environmental water and contributions to the</w:t>
      </w:r>
      <w:r w:rsidR="00922FD9" w:rsidRPr="00FF1A1F">
        <w:rPr>
          <w:szCs w:val="24"/>
          <w:lang w:val="en-US" w:eastAsia="ja-JP"/>
        </w:rPr>
        <w:t xml:space="preserve"> environmental</w:t>
      </w:r>
      <w:r w:rsidRPr="00FF1A1F">
        <w:rPr>
          <w:szCs w:val="24"/>
          <w:lang w:val="en-US" w:eastAsia="ja-JP"/>
        </w:rPr>
        <w:t xml:space="preserve"> objectives of the Basin Plan</w:t>
      </w:r>
    </w:p>
    <w:p w:rsidR="00C15B2A" w:rsidRPr="00FF1A1F" w:rsidRDefault="00C15B2A" w:rsidP="00C15B2A">
      <w:pPr>
        <w:numPr>
          <w:ilvl w:val="1"/>
          <w:numId w:val="13"/>
        </w:numPr>
        <w:spacing w:after="60"/>
        <w:rPr>
          <w:szCs w:val="24"/>
          <w:lang w:val="en-US" w:eastAsia="ja-JP"/>
        </w:rPr>
      </w:pPr>
      <w:r w:rsidRPr="00FF1A1F">
        <w:rPr>
          <w:szCs w:val="24"/>
          <w:lang w:val="en-US" w:eastAsia="ja-JP"/>
        </w:rPr>
        <w:t>supporting adaptive management and improvement in the management of Commonwealth environmental water</w:t>
      </w:r>
    </w:p>
    <w:p w:rsidR="00C15B2A" w:rsidRPr="00FF1A1F" w:rsidRDefault="00C15B2A" w:rsidP="00C15B2A">
      <w:pPr>
        <w:numPr>
          <w:ilvl w:val="1"/>
          <w:numId w:val="13"/>
        </w:numPr>
        <w:spacing w:after="60"/>
        <w:rPr>
          <w:szCs w:val="24"/>
          <w:lang w:val="en-US" w:eastAsia="ja-JP"/>
        </w:rPr>
      </w:pPr>
      <w:proofErr w:type="gramStart"/>
      <w:r w:rsidRPr="00FF1A1F">
        <w:rPr>
          <w:szCs w:val="24"/>
          <w:lang w:val="en-US" w:eastAsia="ja-JP"/>
        </w:rPr>
        <w:t>identify</w:t>
      </w:r>
      <w:proofErr w:type="gramEnd"/>
      <w:r w:rsidRPr="00FF1A1F">
        <w:rPr>
          <w:szCs w:val="24"/>
          <w:lang w:val="en-US" w:eastAsia="ja-JP"/>
        </w:rPr>
        <w:t xml:space="preserve"> information gaps to help build new knowledge.</w:t>
      </w:r>
    </w:p>
    <w:p w:rsidR="00601D50" w:rsidRPr="00FF1A1F" w:rsidRDefault="000211CD" w:rsidP="000211CD">
      <w:pPr>
        <w:numPr>
          <w:ilvl w:val="0"/>
          <w:numId w:val="13"/>
        </w:numPr>
        <w:spacing w:after="60"/>
        <w:rPr>
          <w:szCs w:val="24"/>
          <w:lang w:val="en-US" w:eastAsia="ja-JP"/>
        </w:rPr>
      </w:pPr>
      <w:r w:rsidRPr="00FF1A1F">
        <w:rPr>
          <w:b/>
          <w:szCs w:val="24"/>
          <w:lang w:val="en-US" w:eastAsia="ja-JP"/>
        </w:rPr>
        <w:t>Reporting:</w:t>
      </w:r>
      <w:r w:rsidRPr="00FF1A1F">
        <w:rPr>
          <w:szCs w:val="24"/>
          <w:lang w:val="en-US" w:eastAsia="ja-JP"/>
        </w:rPr>
        <w:t xml:space="preserve"> </w:t>
      </w:r>
      <w:r w:rsidR="00FE2328" w:rsidRPr="00FF1A1F">
        <w:rPr>
          <w:szCs w:val="24"/>
          <w:lang w:val="en-US" w:eastAsia="ja-JP"/>
        </w:rPr>
        <w:t>statutory and non-statutory reporting arrangements underpin a</w:t>
      </w:r>
      <w:r w:rsidR="006B39B8" w:rsidRPr="00FF1A1F">
        <w:rPr>
          <w:szCs w:val="24"/>
          <w:lang w:val="en-US" w:eastAsia="ja-JP"/>
        </w:rPr>
        <w:t xml:space="preserve"> high level of commitment to</w:t>
      </w:r>
      <w:r w:rsidRPr="00FF1A1F">
        <w:rPr>
          <w:szCs w:val="24"/>
          <w:lang w:val="en-US" w:eastAsia="ja-JP"/>
        </w:rPr>
        <w:t xml:space="preserve"> </w:t>
      </w:r>
      <w:r w:rsidR="006B39B8" w:rsidRPr="00FF1A1F">
        <w:rPr>
          <w:szCs w:val="24"/>
          <w:lang w:val="en-US" w:eastAsia="ja-JP"/>
        </w:rPr>
        <w:t xml:space="preserve">transparency </w:t>
      </w:r>
      <w:r w:rsidR="00FE2328" w:rsidRPr="00FF1A1F">
        <w:rPr>
          <w:szCs w:val="24"/>
          <w:lang w:val="en-US" w:eastAsia="ja-JP"/>
        </w:rPr>
        <w:t>around the use of Commonwealth environmental water.</w:t>
      </w:r>
      <w:r w:rsidRPr="00FF1A1F">
        <w:rPr>
          <w:szCs w:val="24"/>
          <w:lang w:val="en-US" w:eastAsia="ja-JP"/>
        </w:rPr>
        <w:t xml:space="preserve"> Beyond statutory reporting obligations, there will be regular reporting of Commonwealth environmental water arrangements as part of broader public service obligations of accountability and good governance.</w:t>
      </w:r>
    </w:p>
    <w:p w:rsidR="00751E3D" w:rsidRPr="00FF1A1F" w:rsidRDefault="00C15B2A" w:rsidP="00751E3D">
      <w:pPr>
        <w:numPr>
          <w:ilvl w:val="0"/>
          <w:numId w:val="13"/>
        </w:numPr>
        <w:spacing w:after="60"/>
        <w:rPr>
          <w:szCs w:val="24"/>
          <w:lang w:val="en-US" w:eastAsia="ja-JP"/>
        </w:rPr>
      </w:pPr>
      <w:r w:rsidRPr="00FF1A1F">
        <w:rPr>
          <w:b/>
          <w:szCs w:val="24"/>
          <w:lang w:val="en-US" w:eastAsia="ja-JP"/>
        </w:rPr>
        <w:t>Improvement:</w:t>
      </w:r>
      <w:r w:rsidRPr="00FF1A1F">
        <w:rPr>
          <w:szCs w:val="24"/>
          <w:lang w:val="en-US" w:eastAsia="ja-JP"/>
        </w:rPr>
        <w:t xml:space="preserve"> </w:t>
      </w:r>
      <w:r w:rsidR="00751E3D" w:rsidRPr="00FF1A1F">
        <w:rPr>
          <w:szCs w:val="24"/>
          <w:lang w:val="en-US" w:eastAsia="ja-JP"/>
        </w:rPr>
        <w:t>The improvement process for the use of Commonwealth environmental water will be based on evaluation of the environmental outcomes from the use of water, and the watering actions undertaken. Improvement will be given effect through refinement of:</w:t>
      </w:r>
    </w:p>
    <w:p w:rsidR="00751E3D" w:rsidRPr="00FF1A1F" w:rsidRDefault="00751E3D" w:rsidP="00751E3D">
      <w:pPr>
        <w:numPr>
          <w:ilvl w:val="1"/>
          <w:numId w:val="13"/>
        </w:numPr>
        <w:spacing w:after="60"/>
        <w:rPr>
          <w:szCs w:val="24"/>
          <w:lang w:val="en-US" w:eastAsia="ja-JP"/>
        </w:rPr>
      </w:pPr>
      <w:r w:rsidRPr="00FF1A1F">
        <w:rPr>
          <w:szCs w:val="24"/>
          <w:lang w:val="en-US" w:eastAsia="ja-JP"/>
        </w:rPr>
        <w:t>future watering actions</w:t>
      </w:r>
    </w:p>
    <w:p w:rsidR="00751E3D" w:rsidRPr="00FF1A1F" w:rsidRDefault="00751E3D" w:rsidP="00751E3D">
      <w:pPr>
        <w:numPr>
          <w:ilvl w:val="1"/>
          <w:numId w:val="13"/>
        </w:numPr>
        <w:spacing w:after="60"/>
        <w:rPr>
          <w:szCs w:val="24"/>
          <w:lang w:val="en-US" w:eastAsia="ja-JP"/>
        </w:rPr>
      </w:pPr>
      <w:r w:rsidRPr="00FF1A1F">
        <w:rPr>
          <w:szCs w:val="24"/>
          <w:lang w:val="en-US" w:eastAsia="ja-JP"/>
        </w:rPr>
        <w:t>annual and longer-term portfolio management plans</w:t>
      </w:r>
    </w:p>
    <w:p w:rsidR="00C15B2A" w:rsidRPr="00FF1A1F" w:rsidRDefault="00751E3D" w:rsidP="00751E3D">
      <w:pPr>
        <w:numPr>
          <w:ilvl w:val="1"/>
          <w:numId w:val="13"/>
        </w:numPr>
        <w:spacing w:after="60"/>
        <w:rPr>
          <w:szCs w:val="24"/>
          <w:lang w:val="en-US" w:eastAsia="ja-JP"/>
        </w:rPr>
      </w:pPr>
      <w:proofErr w:type="gramStart"/>
      <w:r w:rsidRPr="00FF1A1F">
        <w:rPr>
          <w:szCs w:val="24"/>
          <w:lang w:val="en-US" w:eastAsia="ja-JP"/>
        </w:rPr>
        <w:t>the</w:t>
      </w:r>
      <w:proofErr w:type="gramEnd"/>
      <w:r w:rsidRPr="00FF1A1F">
        <w:rPr>
          <w:szCs w:val="24"/>
          <w:lang w:val="en-US" w:eastAsia="ja-JP"/>
        </w:rPr>
        <w:t xml:space="preserve"> Basin Plan.</w:t>
      </w:r>
    </w:p>
    <w:p w:rsidR="000211CD" w:rsidRPr="00FF1A1F" w:rsidRDefault="000211CD" w:rsidP="000211CD">
      <w:pPr>
        <w:spacing w:after="60"/>
        <w:rPr>
          <w:szCs w:val="24"/>
          <w:lang w:val="en-US" w:eastAsia="ja-JP"/>
        </w:rPr>
      </w:pPr>
    </w:p>
    <w:p w:rsidR="000211CD" w:rsidRPr="00FF1A1F" w:rsidRDefault="000211CD" w:rsidP="000211CD">
      <w:pPr>
        <w:spacing w:after="60"/>
        <w:rPr>
          <w:szCs w:val="24"/>
          <w:lang w:val="en-US" w:eastAsia="ja-JP"/>
        </w:rPr>
        <w:sectPr w:rsidR="000211CD" w:rsidRPr="00FF1A1F" w:rsidSect="00F80FBC">
          <w:pgSz w:w="11907" w:h="16840" w:code="9"/>
          <w:pgMar w:top="567" w:right="1440" w:bottom="426" w:left="1134" w:header="720" w:footer="720" w:gutter="0"/>
          <w:cols w:space="720"/>
          <w:docGrid w:linePitch="326"/>
        </w:sectPr>
      </w:pPr>
    </w:p>
    <w:p w:rsidR="00977EB1" w:rsidRPr="00FF1A1F" w:rsidRDefault="00977EB1" w:rsidP="00977EB1">
      <w:pPr>
        <w:rPr>
          <w:b/>
          <w:sz w:val="28"/>
          <w:szCs w:val="28"/>
        </w:rPr>
      </w:pPr>
      <w:r w:rsidRPr="00FF1A1F">
        <w:rPr>
          <w:b/>
          <w:sz w:val="28"/>
          <w:szCs w:val="28"/>
        </w:rPr>
        <w:lastRenderedPageBreak/>
        <w:t>Table of Contents</w:t>
      </w:r>
    </w:p>
    <w:p w:rsidR="00977EB1" w:rsidRPr="00FF1A1F" w:rsidRDefault="00977EB1" w:rsidP="00977EB1">
      <w:pPr>
        <w:rPr>
          <w:b/>
          <w:sz w:val="28"/>
          <w:szCs w:val="28"/>
        </w:rPr>
      </w:pPr>
    </w:p>
    <w:p w:rsidR="00FE2328" w:rsidRPr="00FF1A1F" w:rsidRDefault="002C1024">
      <w:pPr>
        <w:pStyle w:val="TOC1"/>
        <w:rPr>
          <w:rFonts w:asciiTheme="minorHAnsi" w:eastAsiaTheme="minorEastAsia" w:hAnsiTheme="minorHAnsi" w:cstheme="minorBidi"/>
          <w:b w:val="0"/>
          <w:sz w:val="22"/>
          <w:szCs w:val="22"/>
          <w:lang w:eastAsia="en-AU"/>
        </w:rPr>
      </w:pPr>
      <w:r w:rsidRPr="002C1024">
        <w:fldChar w:fldCharType="begin"/>
      </w:r>
      <w:r w:rsidR="00977EB1" w:rsidRPr="00FF1A1F">
        <w:instrText xml:space="preserve"> TOC \o "1-3" \h \z \u </w:instrText>
      </w:r>
      <w:r w:rsidRPr="002C1024">
        <w:fldChar w:fldCharType="separate"/>
      </w:r>
      <w:hyperlink w:anchor="_Toc358367128" w:history="1">
        <w:r w:rsidR="00FE2328" w:rsidRPr="00FF1A1F">
          <w:rPr>
            <w:rStyle w:val="Hyperlink"/>
          </w:rPr>
          <w:t>1</w:t>
        </w:r>
        <w:r w:rsidR="00FE2328" w:rsidRPr="00FF1A1F">
          <w:rPr>
            <w:rFonts w:asciiTheme="minorHAnsi" w:eastAsiaTheme="minorEastAsia" w:hAnsiTheme="minorHAnsi" w:cstheme="minorBidi"/>
            <w:b w:val="0"/>
            <w:sz w:val="22"/>
            <w:szCs w:val="22"/>
            <w:lang w:eastAsia="en-AU"/>
          </w:rPr>
          <w:tab/>
        </w:r>
        <w:r w:rsidR="00FE2328" w:rsidRPr="00FF1A1F">
          <w:rPr>
            <w:rStyle w:val="Hyperlink"/>
          </w:rPr>
          <w:t>Introduction</w:t>
        </w:r>
        <w:r w:rsidR="00FE2328" w:rsidRPr="00FF1A1F">
          <w:rPr>
            <w:webHidden/>
          </w:rPr>
          <w:tab/>
        </w:r>
        <w:r w:rsidRPr="00FF1A1F">
          <w:rPr>
            <w:webHidden/>
          </w:rPr>
          <w:fldChar w:fldCharType="begin"/>
        </w:r>
        <w:r w:rsidR="00FE2328" w:rsidRPr="00FF1A1F">
          <w:rPr>
            <w:webHidden/>
          </w:rPr>
          <w:instrText xml:space="preserve"> PAGEREF _Toc358367128 \h </w:instrText>
        </w:r>
        <w:r w:rsidRPr="00FF1A1F">
          <w:rPr>
            <w:webHidden/>
          </w:rPr>
        </w:r>
        <w:r w:rsidRPr="00FF1A1F">
          <w:rPr>
            <w:webHidden/>
          </w:rPr>
          <w:fldChar w:fldCharType="separate"/>
        </w:r>
        <w:r w:rsidR="00FE2328" w:rsidRPr="00FF1A1F">
          <w:rPr>
            <w:webHidden/>
          </w:rPr>
          <w:t>5</w:t>
        </w:r>
        <w:r w:rsidRPr="00FF1A1F">
          <w:rPr>
            <w:webHidden/>
          </w:rPr>
          <w:fldChar w:fldCharType="end"/>
        </w:r>
      </w:hyperlink>
    </w:p>
    <w:p w:rsidR="00FE2328" w:rsidRPr="00FF1A1F" w:rsidRDefault="002C1024">
      <w:pPr>
        <w:pStyle w:val="TOC1"/>
        <w:rPr>
          <w:rFonts w:asciiTheme="minorHAnsi" w:eastAsiaTheme="minorEastAsia" w:hAnsiTheme="minorHAnsi" w:cstheme="minorBidi"/>
          <w:b w:val="0"/>
          <w:sz w:val="22"/>
          <w:szCs w:val="22"/>
          <w:lang w:eastAsia="en-AU"/>
        </w:rPr>
      </w:pPr>
      <w:hyperlink w:anchor="_Toc358367129" w:history="1">
        <w:r w:rsidR="00FE2328" w:rsidRPr="00FF1A1F">
          <w:rPr>
            <w:rStyle w:val="Hyperlink"/>
          </w:rPr>
          <w:t>2</w:t>
        </w:r>
        <w:r w:rsidR="00FE2328" w:rsidRPr="00FF1A1F">
          <w:rPr>
            <w:rFonts w:asciiTheme="minorHAnsi" w:eastAsiaTheme="minorEastAsia" w:hAnsiTheme="minorHAnsi" w:cstheme="minorBidi"/>
            <w:b w:val="0"/>
            <w:sz w:val="22"/>
            <w:szCs w:val="22"/>
            <w:lang w:eastAsia="en-AU"/>
          </w:rPr>
          <w:tab/>
        </w:r>
        <w:r w:rsidR="00FE2328" w:rsidRPr="00FF1A1F">
          <w:rPr>
            <w:rStyle w:val="Hyperlink"/>
          </w:rPr>
          <w:t>Requirements and legislative obligations for the MERI framework</w:t>
        </w:r>
        <w:r w:rsidR="00FE2328" w:rsidRPr="00FF1A1F">
          <w:rPr>
            <w:webHidden/>
          </w:rPr>
          <w:tab/>
        </w:r>
        <w:r w:rsidRPr="00FF1A1F">
          <w:rPr>
            <w:webHidden/>
          </w:rPr>
          <w:fldChar w:fldCharType="begin"/>
        </w:r>
        <w:r w:rsidR="00FE2328" w:rsidRPr="00FF1A1F">
          <w:rPr>
            <w:webHidden/>
          </w:rPr>
          <w:instrText xml:space="preserve"> PAGEREF _Toc358367129 \h </w:instrText>
        </w:r>
        <w:r w:rsidRPr="00FF1A1F">
          <w:rPr>
            <w:webHidden/>
          </w:rPr>
        </w:r>
        <w:r w:rsidRPr="00FF1A1F">
          <w:rPr>
            <w:webHidden/>
          </w:rPr>
          <w:fldChar w:fldCharType="separate"/>
        </w:r>
        <w:r w:rsidR="00FE2328" w:rsidRPr="00FF1A1F">
          <w:rPr>
            <w:webHidden/>
          </w:rPr>
          <w:t>6</w:t>
        </w:r>
        <w:r w:rsidRPr="00FF1A1F">
          <w:rPr>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30" w:history="1">
        <w:r w:rsidR="00FE2328" w:rsidRPr="00FF1A1F">
          <w:rPr>
            <w:rStyle w:val="Hyperlink"/>
            <w:noProof/>
          </w:rPr>
          <w:t>2.1</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Accountability and good governance</w:t>
        </w:r>
        <w:r w:rsidR="00FE2328" w:rsidRPr="00FF1A1F">
          <w:rPr>
            <w:noProof/>
            <w:webHidden/>
          </w:rPr>
          <w:tab/>
        </w:r>
        <w:r w:rsidRPr="00FF1A1F">
          <w:rPr>
            <w:noProof/>
            <w:webHidden/>
          </w:rPr>
          <w:fldChar w:fldCharType="begin"/>
        </w:r>
        <w:r w:rsidR="00FE2328" w:rsidRPr="00FF1A1F">
          <w:rPr>
            <w:noProof/>
            <w:webHidden/>
          </w:rPr>
          <w:instrText xml:space="preserve"> PAGEREF _Toc358367130 \h </w:instrText>
        </w:r>
        <w:r w:rsidRPr="00FF1A1F">
          <w:rPr>
            <w:noProof/>
            <w:webHidden/>
          </w:rPr>
        </w:r>
        <w:r w:rsidRPr="00FF1A1F">
          <w:rPr>
            <w:noProof/>
            <w:webHidden/>
          </w:rPr>
          <w:fldChar w:fldCharType="separate"/>
        </w:r>
        <w:r w:rsidR="00FE2328" w:rsidRPr="00FF1A1F">
          <w:rPr>
            <w:noProof/>
            <w:webHidden/>
          </w:rPr>
          <w:t>6</w:t>
        </w:r>
        <w:r w:rsidRPr="00FF1A1F">
          <w:rPr>
            <w:noProof/>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31" w:history="1">
        <w:r w:rsidR="00FE2328" w:rsidRPr="00FF1A1F">
          <w:rPr>
            <w:rStyle w:val="Hyperlink"/>
            <w:noProof/>
          </w:rPr>
          <w:t>2.2</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Legislative obligations</w:t>
        </w:r>
        <w:r w:rsidR="00FE2328" w:rsidRPr="00FF1A1F">
          <w:rPr>
            <w:noProof/>
            <w:webHidden/>
          </w:rPr>
          <w:tab/>
        </w:r>
        <w:r w:rsidRPr="00FF1A1F">
          <w:rPr>
            <w:noProof/>
            <w:webHidden/>
          </w:rPr>
          <w:fldChar w:fldCharType="begin"/>
        </w:r>
        <w:r w:rsidR="00FE2328" w:rsidRPr="00FF1A1F">
          <w:rPr>
            <w:noProof/>
            <w:webHidden/>
          </w:rPr>
          <w:instrText xml:space="preserve"> PAGEREF _Toc358367131 \h </w:instrText>
        </w:r>
        <w:r w:rsidRPr="00FF1A1F">
          <w:rPr>
            <w:noProof/>
            <w:webHidden/>
          </w:rPr>
        </w:r>
        <w:r w:rsidRPr="00FF1A1F">
          <w:rPr>
            <w:noProof/>
            <w:webHidden/>
          </w:rPr>
          <w:fldChar w:fldCharType="separate"/>
        </w:r>
        <w:r w:rsidR="00FE2328" w:rsidRPr="00FF1A1F">
          <w:rPr>
            <w:noProof/>
            <w:webHidden/>
          </w:rPr>
          <w:t>6</w:t>
        </w:r>
        <w:r w:rsidRPr="00FF1A1F">
          <w:rPr>
            <w:noProof/>
            <w:webHidden/>
          </w:rPr>
          <w:fldChar w:fldCharType="end"/>
        </w:r>
      </w:hyperlink>
    </w:p>
    <w:p w:rsidR="00FE2328" w:rsidRPr="00FF1A1F" w:rsidRDefault="002C1024">
      <w:pPr>
        <w:pStyle w:val="TOC1"/>
        <w:rPr>
          <w:rFonts w:asciiTheme="minorHAnsi" w:eastAsiaTheme="minorEastAsia" w:hAnsiTheme="minorHAnsi" w:cstheme="minorBidi"/>
          <w:b w:val="0"/>
          <w:sz w:val="22"/>
          <w:szCs w:val="22"/>
          <w:lang w:eastAsia="en-AU"/>
        </w:rPr>
      </w:pPr>
      <w:hyperlink w:anchor="_Toc358367132" w:history="1">
        <w:r w:rsidR="00FE2328" w:rsidRPr="00FF1A1F">
          <w:rPr>
            <w:rStyle w:val="Hyperlink"/>
          </w:rPr>
          <w:t>3</w:t>
        </w:r>
        <w:r w:rsidR="00FE2328" w:rsidRPr="00FF1A1F">
          <w:rPr>
            <w:rFonts w:asciiTheme="minorHAnsi" w:eastAsiaTheme="minorEastAsia" w:hAnsiTheme="minorHAnsi" w:cstheme="minorBidi"/>
            <w:b w:val="0"/>
            <w:sz w:val="22"/>
            <w:szCs w:val="22"/>
            <w:lang w:eastAsia="en-AU"/>
          </w:rPr>
          <w:tab/>
        </w:r>
        <w:r w:rsidR="00FE2328" w:rsidRPr="00FF1A1F">
          <w:rPr>
            <w:rStyle w:val="Hyperlink"/>
          </w:rPr>
          <w:t>Approach to MERI for the use of Commonwealth environmental water</w:t>
        </w:r>
        <w:r w:rsidR="00FE2328" w:rsidRPr="00FF1A1F">
          <w:rPr>
            <w:webHidden/>
          </w:rPr>
          <w:tab/>
        </w:r>
        <w:r w:rsidRPr="00FF1A1F">
          <w:rPr>
            <w:webHidden/>
          </w:rPr>
          <w:fldChar w:fldCharType="begin"/>
        </w:r>
        <w:r w:rsidR="00FE2328" w:rsidRPr="00FF1A1F">
          <w:rPr>
            <w:webHidden/>
          </w:rPr>
          <w:instrText xml:space="preserve"> PAGEREF _Toc358367132 \h </w:instrText>
        </w:r>
        <w:r w:rsidRPr="00FF1A1F">
          <w:rPr>
            <w:webHidden/>
          </w:rPr>
        </w:r>
        <w:r w:rsidRPr="00FF1A1F">
          <w:rPr>
            <w:webHidden/>
          </w:rPr>
          <w:fldChar w:fldCharType="separate"/>
        </w:r>
        <w:r w:rsidR="00FE2328" w:rsidRPr="00FF1A1F">
          <w:rPr>
            <w:webHidden/>
          </w:rPr>
          <w:t>8</w:t>
        </w:r>
        <w:r w:rsidRPr="00FF1A1F">
          <w:rPr>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33" w:history="1">
        <w:r w:rsidR="00FE2328" w:rsidRPr="00FF1A1F">
          <w:rPr>
            <w:rStyle w:val="Hyperlink"/>
            <w:noProof/>
          </w:rPr>
          <w:t>3.1</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Guiding principles</w:t>
        </w:r>
        <w:r w:rsidR="00FE2328" w:rsidRPr="00FF1A1F">
          <w:rPr>
            <w:noProof/>
            <w:webHidden/>
          </w:rPr>
          <w:tab/>
        </w:r>
        <w:r w:rsidRPr="00FF1A1F">
          <w:rPr>
            <w:noProof/>
            <w:webHidden/>
          </w:rPr>
          <w:fldChar w:fldCharType="begin"/>
        </w:r>
        <w:r w:rsidR="00FE2328" w:rsidRPr="00FF1A1F">
          <w:rPr>
            <w:noProof/>
            <w:webHidden/>
          </w:rPr>
          <w:instrText xml:space="preserve"> PAGEREF _Toc358367133 \h </w:instrText>
        </w:r>
        <w:r w:rsidRPr="00FF1A1F">
          <w:rPr>
            <w:noProof/>
            <w:webHidden/>
          </w:rPr>
        </w:r>
        <w:r w:rsidRPr="00FF1A1F">
          <w:rPr>
            <w:noProof/>
            <w:webHidden/>
          </w:rPr>
          <w:fldChar w:fldCharType="separate"/>
        </w:r>
        <w:r w:rsidR="00FE2328" w:rsidRPr="00FF1A1F">
          <w:rPr>
            <w:noProof/>
            <w:webHidden/>
          </w:rPr>
          <w:t>10</w:t>
        </w:r>
        <w:r w:rsidRPr="00FF1A1F">
          <w:rPr>
            <w:noProof/>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34" w:history="1">
        <w:r w:rsidR="00FE2328" w:rsidRPr="00FF1A1F">
          <w:rPr>
            <w:rStyle w:val="Hyperlink"/>
            <w:noProof/>
          </w:rPr>
          <w:t>3.2</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Scientific expertise</w:t>
        </w:r>
        <w:r w:rsidR="00FE2328" w:rsidRPr="00FF1A1F">
          <w:rPr>
            <w:noProof/>
            <w:webHidden/>
          </w:rPr>
          <w:tab/>
        </w:r>
        <w:r w:rsidRPr="00FF1A1F">
          <w:rPr>
            <w:noProof/>
            <w:webHidden/>
          </w:rPr>
          <w:fldChar w:fldCharType="begin"/>
        </w:r>
        <w:r w:rsidR="00FE2328" w:rsidRPr="00FF1A1F">
          <w:rPr>
            <w:noProof/>
            <w:webHidden/>
          </w:rPr>
          <w:instrText xml:space="preserve"> PAGEREF _Toc358367134 \h </w:instrText>
        </w:r>
        <w:r w:rsidRPr="00FF1A1F">
          <w:rPr>
            <w:noProof/>
            <w:webHidden/>
          </w:rPr>
        </w:r>
        <w:r w:rsidRPr="00FF1A1F">
          <w:rPr>
            <w:noProof/>
            <w:webHidden/>
          </w:rPr>
          <w:fldChar w:fldCharType="separate"/>
        </w:r>
        <w:r w:rsidR="00FE2328" w:rsidRPr="00FF1A1F">
          <w:rPr>
            <w:noProof/>
            <w:webHidden/>
          </w:rPr>
          <w:t>10</w:t>
        </w:r>
        <w:r w:rsidRPr="00FF1A1F">
          <w:rPr>
            <w:noProof/>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35" w:history="1">
        <w:r w:rsidR="00FE2328" w:rsidRPr="00FF1A1F">
          <w:rPr>
            <w:rStyle w:val="Hyperlink"/>
            <w:noProof/>
          </w:rPr>
          <w:t>3.3</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Working with others</w:t>
        </w:r>
        <w:r w:rsidR="00FE2328" w:rsidRPr="00FF1A1F">
          <w:rPr>
            <w:noProof/>
            <w:webHidden/>
          </w:rPr>
          <w:tab/>
        </w:r>
        <w:r w:rsidRPr="00FF1A1F">
          <w:rPr>
            <w:noProof/>
            <w:webHidden/>
          </w:rPr>
          <w:fldChar w:fldCharType="begin"/>
        </w:r>
        <w:r w:rsidR="00FE2328" w:rsidRPr="00FF1A1F">
          <w:rPr>
            <w:noProof/>
            <w:webHidden/>
          </w:rPr>
          <w:instrText xml:space="preserve"> PAGEREF _Toc358367135 \h </w:instrText>
        </w:r>
        <w:r w:rsidRPr="00FF1A1F">
          <w:rPr>
            <w:noProof/>
            <w:webHidden/>
          </w:rPr>
        </w:r>
        <w:r w:rsidRPr="00FF1A1F">
          <w:rPr>
            <w:noProof/>
            <w:webHidden/>
          </w:rPr>
          <w:fldChar w:fldCharType="separate"/>
        </w:r>
        <w:r w:rsidR="00FE2328" w:rsidRPr="00FF1A1F">
          <w:rPr>
            <w:noProof/>
            <w:webHidden/>
          </w:rPr>
          <w:t>11</w:t>
        </w:r>
        <w:r w:rsidRPr="00FF1A1F">
          <w:rPr>
            <w:noProof/>
            <w:webHidden/>
          </w:rPr>
          <w:fldChar w:fldCharType="end"/>
        </w:r>
      </w:hyperlink>
    </w:p>
    <w:p w:rsidR="00FE2328" w:rsidRPr="00FF1A1F" w:rsidRDefault="002C1024">
      <w:pPr>
        <w:pStyle w:val="TOC1"/>
        <w:rPr>
          <w:rFonts w:asciiTheme="minorHAnsi" w:eastAsiaTheme="minorEastAsia" w:hAnsiTheme="minorHAnsi" w:cstheme="minorBidi"/>
          <w:b w:val="0"/>
          <w:sz w:val="22"/>
          <w:szCs w:val="22"/>
          <w:lang w:eastAsia="en-AU"/>
        </w:rPr>
      </w:pPr>
      <w:hyperlink w:anchor="_Toc358367136" w:history="1">
        <w:r w:rsidR="00FE2328" w:rsidRPr="00FF1A1F">
          <w:rPr>
            <w:rStyle w:val="Hyperlink"/>
          </w:rPr>
          <w:t>4</w:t>
        </w:r>
        <w:r w:rsidR="00FE2328" w:rsidRPr="00FF1A1F">
          <w:rPr>
            <w:rFonts w:asciiTheme="minorHAnsi" w:eastAsiaTheme="minorEastAsia" w:hAnsiTheme="minorHAnsi" w:cstheme="minorBidi"/>
            <w:b w:val="0"/>
            <w:sz w:val="22"/>
            <w:szCs w:val="22"/>
            <w:lang w:eastAsia="en-AU"/>
          </w:rPr>
          <w:tab/>
        </w:r>
        <w:r w:rsidR="00FE2328" w:rsidRPr="00FF1A1F">
          <w:rPr>
            <w:rStyle w:val="Hyperlink"/>
          </w:rPr>
          <w:t>Implementation of MERI for the use of Commonwealth environmental water</w:t>
        </w:r>
        <w:r w:rsidR="00FE2328" w:rsidRPr="00FF1A1F">
          <w:rPr>
            <w:webHidden/>
          </w:rPr>
          <w:tab/>
        </w:r>
        <w:r w:rsidRPr="00FF1A1F">
          <w:rPr>
            <w:webHidden/>
          </w:rPr>
          <w:fldChar w:fldCharType="begin"/>
        </w:r>
        <w:r w:rsidR="00FE2328" w:rsidRPr="00FF1A1F">
          <w:rPr>
            <w:webHidden/>
          </w:rPr>
          <w:instrText xml:space="preserve"> PAGEREF _Toc358367136 \h </w:instrText>
        </w:r>
        <w:r w:rsidRPr="00FF1A1F">
          <w:rPr>
            <w:webHidden/>
          </w:rPr>
        </w:r>
        <w:r w:rsidRPr="00FF1A1F">
          <w:rPr>
            <w:webHidden/>
          </w:rPr>
          <w:fldChar w:fldCharType="separate"/>
        </w:r>
        <w:r w:rsidR="00FE2328" w:rsidRPr="00FF1A1F">
          <w:rPr>
            <w:webHidden/>
          </w:rPr>
          <w:t>13</w:t>
        </w:r>
        <w:r w:rsidRPr="00FF1A1F">
          <w:rPr>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37" w:history="1">
        <w:r w:rsidR="00FE2328" w:rsidRPr="00FF1A1F">
          <w:rPr>
            <w:rStyle w:val="Hyperlink"/>
            <w:noProof/>
          </w:rPr>
          <w:t>4.1</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Planning using program logic</w:t>
        </w:r>
        <w:r w:rsidR="00FE2328" w:rsidRPr="00FF1A1F">
          <w:rPr>
            <w:noProof/>
            <w:webHidden/>
          </w:rPr>
          <w:tab/>
        </w:r>
        <w:r w:rsidRPr="00FF1A1F">
          <w:rPr>
            <w:noProof/>
            <w:webHidden/>
          </w:rPr>
          <w:fldChar w:fldCharType="begin"/>
        </w:r>
        <w:r w:rsidR="00FE2328" w:rsidRPr="00FF1A1F">
          <w:rPr>
            <w:noProof/>
            <w:webHidden/>
          </w:rPr>
          <w:instrText xml:space="preserve"> PAGEREF _Toc358367137 \h </w:instrText>
        </w:r>
        <w:r w:rsidRPr="00FF1A1F">
          <w:rPr>
            <w:noProof/>
            <w:webHidden/>
          </w:rPr>
        </w:r>
        <w:r w:rsidRPr="00FF1A1F">
          <w:rPr>
            <w:noProof/>
            <w:webHidden/>
          </w:rPr>
          <w:fldChar w:fldCharType="separate"/>
        </w:r>
        <w:r w:rsidR="00FE2328" w:rsidRPr="00FF1A1F">
          <w:rPr>
            <w:noProof/>
            <w:webHidden/>
          </w:rPr>
          <w:t>13</w:t>
        </w:r>
        <w:r w:rsidRPr="00FF1A1F">
          <w:rPr>
            <w:noProof/>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38" w:history="1">
        <w:r w:rsidR="00FE2328" w:rsidRPr="00FF1A1F">
          <w:rPr>
            <w:rStyle w:val="Hyperlink"/>
            <w:noProof/>
          </w:rPr>
          <w:t>4.2</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Monitoring</w:t>
        </w:r>
        <w:r w:rsidR="00FE2328" w:rsidRPr="00FF1A1F">
          <w:rPr>
            <w:noProof/>
            <w:webHidden/>
          </w:rPr>
          <w:tab/>
        </w:r>
        <w:r w:rsidRPr="00FF1A1F">
          <w:rPr>
            <w:noProof/>
            <w:webHidden/>
          </w:rPr>
          <w:fldChar w:fldCharType="begin"/>
        </w:r>
        <w:r w:rsidR="00FE2328" w:rsidRPr="00FF1A1F">
          <w:rPr>
            <w:noProof/>
            <w:webHidden/>
          </w:rPr>
          <w:instrText xml:space="preserve"> PAGEREF _Toc358367138 \h </w:instrText>
        </w:r>
        <w:r w:rsidRPr="00FF1A1F">
          <w:rPr>
            <w:noProof/>
            <w:webHidden/>
          </w:rPr>
        </w:r>
        <w:r w:rsidRPr="00FF1A1F">
          <w:rPr>
            <w:noProof/>
            <w:webHidden/>
          </w:rPr>
          <w:fldChar w:fldCharType="separate"/>
        </w:r>
        <w:r w:rsidR="00FE2328" w:rsidRPr="00FF1A1F">
          <w:rPr>
            <w:noProof/>
            <w:webHidden/>
          </w:rPr>
          <w:t>16</w:t>
        </w:r>
        <w:r w:rsidRPr="00FF1A1F">
          <w:rPr>
            <w:noProof/>
            <w:webHidden/>
          </w:rPr>
          <w:fldChar w:fldCharType="end"/>
        </w:r>
      </w:hyperlink>
    </w:p>
    <w:p w:rsidR="00FE2328" w:rsidRPr="00FF1A1F" w:rsidRDefault="002C1024">
      <w:pPr>
        <w:pStyle w:val="TOC3"/>
        <w:rPr>
          <w:rFonts w:asciiTheme="minorHAnsi" w:eastAsiaTheme="minorEastAsia" w:hAnsiTheme="minorHAnsi" w:cstheme="minorBidi"/>
          <w:sz w:val="22"/>
          <w:szCs w:val="22"/>
          <w:lang w:val="en-AU" w:eastAsia="en-AU"/>
        </w:rPr>
      </w:pPr>
      <w:hyperlink w:anchor="_Toc358367139" w:history="1">
        <w:r w:rsidR="00FE2328" w:rsidRPr="00FF1A1F">
          <w:rPr>
            <w:rStyle w:val="Hyperlink"/>
          </w:rPr>
          <w:t>4.2.1</w:t>
        </w:r>
        <w:r w:rsidR="00FE2328" w:rsidRPr="00FF1A1F">
          <w:rPr>
            <w:rFonts w:asciiTheme="minorHAnsi" w:eastAsiaTheme="minorEastAsia" w:hAnsiTheme="minorHAnsi" w:cstheme="minorBidi"/>
            <w:sz w:val="22"/>
            <w:szCs w:val="22"/>
            <w:lang w:val="en-AU" w:eastAsia="en-AU"/>
          </w:rPr>
          <w:tab/>
        </w:r>
        <w:r w:rsidR="00FE2328" w:rsidRPr="00FF1A1F">
          <w:rPr>
            <w:rStyle w:val="Hyperlink"/>
          </w:rPr>
          <w:t>Operational monitoring</w:t>
        </w:r>
        <w:r w:rsidR="00FE2328" w:rsidRPr="00FF1A1F">
          <w:rPr>
            <w:webHidden/>
          </w:rPr>
          <w:tab/>
        </w:r>
        <w:r w:rsidRPr="00FF1A1F">
          <w:rPr>
            <w:webHidden/>
          </w:rPr>
          <w:fldChar w:fldCharType="begin"/>
        </w:r>
        <w:r w:rsidR="00FE2328" w:rsidRPr="00FF1A1F">
          <w:rPr>
            <w:webHidden/>
          </w:rPr>
          <w:instrText xml:space="preserve"> PAGEREF _Toc358367139 \h </w:instrText>
        </w:r>
        <w:r w:rsidRPr="00FF1A1F">
          <w:rPr>
            <w:webHidden/>
          </w:rPr>
        </w:r>
        <w:r w:rsidRPr="00FF1A1F">
          <w:rPr>
            <w:webHidden/>
          </w:rPr>
          <w:fldChar w:fldCharType="separate"/>
        </w:r>
        <w:r w:rsidR="00FE2328" w:rsidRPr="00FF1A1F">
          <w:rPr>
            <w:webHidden/>
          </w:rPr>
          <w:t>17</w:t>
        </w:r>
        <w:r w:rsidRPr="00FF1A1F">
          <w:rPr>
            <w:webHidden/>
          </w:rPr>
          <w:fldChar w:fldCharType="end"/>
        </w:r>
      </w:hyperlink>
    </w:p>
    <w:p w:rsidR="00FE2328" w:rsidRPr="00FF1A1F" w:rsidRDefault="002C1024">
      <w:pPr>
        <w:pStyle w:val="TOC3"/>
        <w:rPr>
          <w:rFonts w:asciiTheme="minorHAnsi" w:eastAsiaTheme="minorEastAsia" w:hAnsiTheme="minorHAnsi" w:cstheme="minorBidi"/>
          <w:sz w:val="22"/>
          <w:szCs w:val="22"/>
          <w:lang w:val="en-AU" w:eastAsia="en-AU"/>
        </w:rPr>
      </w:pPr>
      <w:hyperlink w:anchor="_Toc358367140" w:history="1">
        <w:r w:rsidR="00FE2328" w:rsidRPr="00FF1A1F">
          <w:rPr>
            <w:rStyle w:val="Hyperlink"/>
          </w:rPr>
          <w:t>4.2.2</w:t>
        </w:r>
        <w:r w:rsidR="00FE2328" w:rsidRPr="00FF1A1F">
          <w:rPr>
            <w:rFonts w:asciiTheme="minorHAnsi" w:eastAsiaTheme="minorEastAsia" w:hAnsiTheme="minorHAnsi" w:cstheme="minorBidi"/>
            <w:sz w:val="22"/>
            <w:szCs w:val="22"/>
            <w:lang w:val="en-AU" w:eastAsia="en-AU"/>
          </w:rPr>
          <w:tab/>
        </w:r>
        <w:r w:rsidR="00FE2328" w:rsidRPr="00FF1A1F">
          <w:rPr>
            <w:rStyle w:val="Hyperlink"/>
          </w:rPr>
          <w:t>Intervention monitoring</w:t>
        </w:r>
        <w:r w:rsidR="00FE2328" w:rsidRPr="00FF1A1F">
          <w:rPr>
            <w:webHidden/>
          </w:rPr>
          <w:tab/>
        </w:r>
        <w:r w:rsidRPr="00FF1A1F">
          <w:rPr>
            <w:webHidden/>
          </w:rPr>
          <w:fldChar w:fldCharType="begin"/>
        </w:r>
        <w:r w:rsidR="00FE2328" w:rsidRPr="00FF1A1F">
          <w:rPr>
            <w:webHidden/>
          </w:rPr>
          <w:instrText xml:space="preserve"> PAGEREF _Toc358367140 \h </w:instrText>
        </w:r>
        <w:r w:rsidRPr="00FF1A1F">
          <w:rPr>
            <w:webHidden/>
          </w:rPr>
        </w:r>
        <w:r w:rsidRPr="00FF1A1F">
          <w:rPr>
            <w:webHidden/>
          </w:rPr>
          <w:fldChar w:fldCharType="separate"/>
        </w:r>
        <w:r w:rsidR="00FE2328" w:rsidRPr="00FF1A1F">
          <w:rPr>
            <w:webHidden/>
          </w:rPr>
          <w:t>18</w:t>
        </w:r>
        <w:r w:rsidRPr="00FF1A1F">
          <w:rPr>
            <w:webHidden/>
          </w:rPr>
          <w:fldChar w:fldCharType="end"/>
        </w:r>
      </w:hyperlink>
    </w:p>
    <w:p w:rsidR="00FE2328" w:rsidRPr="00FF1A1F" w:rsidRDefault="002C1024">
      <w:pPr>
        <w:pStyle w:val="TOC3"/>
        <w:rPr>
          <w:rFonts w:asciiTheme="minorHAnsi" w:eastAsiaTheme="minorEastAsia" w:hAnsiTheme="minorHAnsi" w:cstheme="minorBidi"/>
          <w:sz w:val="22"/>
          <w:szCs w:val="22"/>
          <w:lang w:val="en-AU" w:eastAsia="en-AU"/>
        </w:rPr>
      </w:pPr>
      <w:hyperlink w:anchor="_Toc358367141" w:history="1">
        <w:r w:rsidR="00FE2328" w:rsidRPr="00FF1A1F">
          <w:rPr>
            <w:rStyle w:val="Hyperlink"/>
          </w:rPr>
          <w:t>4.2.3</w:t>
        </w:r>
        <w:r w:rsidR="00FE2328" w:rsidRPr="00FF1A1F">
          <w:rPr>
            <w:rFonts w:asciiTheme="minorHAnsi" w:eastAsiaTheme="minorEastAsia" w:hAnsiTheme="minorHAnsi" w:cstheme="minorBidi"/>
            <w:sz w:val="22"/>
            <w:szCs w:val="22"/>
            <w:lang w:val="en-AU" w:eastAsia="en-AU"/>
          </w:rPr>
          <w:tab/>
        </w:r>
        <w:r w:rsidR="00FE2328" w:rsidRPr="00FF1A1F">
          <w:rPr>
            <w:rStyle w:val="Hyperlink"/>
          </w:rPr>
          <w:t>Program monitoring</w:t>
        </w:r>
        <w:r w:rsidR="00FE2328" w:rsidRPr="00FF1A1F">
          <w:rPr>
            <w:webHidden/>
          </w:rPr>
          <w:tab/>
        </w:r>
        <w:r w:rsidRPr="00FF1A1F">
          <w:rPr>
            <w:webHidden/>
          </w:rPr>
          <w:fldChar w:fldCharType="begin"/>
        </w:r>
        <w:r w:rsidR="00FE2328" w:rsidRPr="00FF1A1F">
          <w:rPr>
            <w:webHidden/>
          </w:rPr>
          <w:instrText xml:space="preserve"> PAGEREF _Toc358367141 \h </w:instrText>
        </w:r>
        <w:r w:rsidRPr="00FF1A1F">
          <w:rPr>
            <w:webHidden/>
          </w:rPr>
        </w:r>
        <w:r w:rsidRPr="00FF1A1F">
          <w:rPr>
            <w:webHidden/>
          </w:rPr>
          <w:fldChar w:fldCharType="separate"/>
        </w:r>
        <w:r w:rsidR="00FE2328" w:rsidRPr="00FF1A1F">
          <w:rPr>
            <w:webHidden/>
          </w:rPr>
          <w:t>19</w:t>
        </w:r>
        <w:r w:rsidRPr="00FF1A1F">
          <w:rPr>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42" w:history="1">
        <w:r w:rsidR="00FE2328" w:rsidRPr="00FF1A1F">
          <w:rPr>
            <w:rStyle w:val="Hyperlink"/>
            <w:noProof/>
          </w:rPr>
          <w:t>4.3</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Evaluation</w:t>
        </w:r>
        <w:r w:rsidR="00FE2328" w:rsidRPr="00FF1A1F">
          <w:rPr>
            <w:noProof/>
            <w:webHidden/>
          </w:rPr>
          <w:tab/>
        </w:r>
        <w:r w:rsidRPr="00FF1A1F">
          <w:rPr>
            <w:noProof/>
            <w:webHidden/>
          </w:rPr>
          <w:fldChar w:fldCharType="begin"/>
        </w:r>
        <w:r w:rsidR="00FE2328" w:rsidRPr="00FF1A1F">
          <w:rPr>
            <w:noProof/>
            <w:webHidden/>
          </w:rPr>
          <w:instrText xml:space="preserve"> PAGEREF _Toc358367142 \h </w:instrText>
        </w:r>
        <w:r w:rsidRPr="00FF1A1F">
          <w:rPr>
            <w:noProof/>
            <w:webHidden/>
          </w:rPr>
        </w:r>
        <w:r w:rsidRPr="00FF1A1F">
          <w:rPr>
            <w:noProof/>
            <w:webHidden/>
          </w:rPr>
          <w:fldChar w:fldCharType="separate"/>
        </w:r>
        <w:r w:rsidR="00FE2328" w:rsidRPr="00FF1A1F">
          <w:rPr>
            <w:noProof/>
            <w:webHidden/>
          </w:rPr>
          <w:t>19</w:t>
        </w:r>
        <w:r w:rsidRPr="00FF1A1F">
          <w:rPr>
            <w:noProof/>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43" w:history="1">
        <w:r w:rsidR="00FE2328" w:rsidRPr="00FF1A1F">
          <w:rPr>
            <w:rStyle w:val="Hyperlink"/>
            <w:noProof/>
          </w:rPr>
          <w:t>4.4</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Reporting</w:t>
        </w:r>
        <w:r w:rsidR="00FE2328" w:rsidRPr="00FF1A1F">
          <w:rPr>
            <w:noProof/>
            <w:webHidden/>
          </w:rPr>
          <w:tab/>
        </w:r>
        <w:r w:rsidRPr="00FF1A1F">
          <w:rPr>
            <w:noProof/>
            <w:webHidden/>
          </w:rPr>
          <w:fldChar w:fldCharType="begin"/>
        </w:r>
        <w:r w:rsidR="00FE2328" w:rsidRPr="00FF1A1F">
          <w:rPr>
            <w:noProof/>
            <w:webHidden/>
          </w:rPr>
          <w:instrText xml:space="preserve"> PAGEREF _Toc358367143 \h </w:instrText>
        </w:r>
        <w:r w:rsidRPr="00FF1A1F">
          <w:rPr>
            <w:noProof/>
            <w:webHidden/>
          </w:rPr>
        </w:r>
        <w:r w:rsidRPr="00FF1A1F">
          <w:rPr>
            <w:noProof/>
            <w:webHidden/>
          </w:rPr>
          <w:fldChar w:fldCharType="separate"/>
        </w:r>
        <w:r w:rsidR="00FE2328" w:rsidRPr="00FF1A1F">
          <w:rPr>
            <w:noProof/>
            <w:webHidden/>
          </w:rPr>
          <w:t>20</w:t>
        </w:r>
        <w:r w:rsidRPr="00FF1A1F">
          <w:rPr>
            <w:noProof/>
            <w:webHidden/>
          </w:rPr>
          <w:fldChar w:fldCharType="end"/>
        </w:r>
      </w:hyperlink>
    </w:p>
    <w:p w:rsidR="00FE2328" w:rsidRPr="00FF1A1F" w:rsidRDefault="002C1024">
      <w:pPr>
        <w:pStyle w:val="TOC2"/>
        <w:rPr>
          <w:rFonts w:asciiTheme="minorHAnsi" w:eastAsiaTheme="minorEastAsia" w:hAnsiTheme="minorHAnsi" w:cstheme="minorBidi"/>
          <w:noProof/>
          <w:sz w:val="22"/>
          <w:szCs w:val="22"/>
          <w:lang w:eastAsia="en-AU"/>
        </w:rPr>
      </w:pPr>
      <w:hyperlink w:anchor="_Toc358367144" w:history="1">
        <w:r w:rsidR="00FE2328" w:rsidRPr="00FF1A1F">
          <w:rPr>
            <w:rStyle w:val="Hyperlink"/>
            <w:noProof/>
          </w:rPr>
          <w:t>4.5</w:t>
        </w:r>
        <w:r w:rsidR="00FE2328" w:rsidRPr="00FF1A1F">
          <w:rPr>
            <w:rFonts w:asciiTheme="minorHAnsi" w:eastAsiaTheme="minorEastAsia" w:hAnsiTheme="minorHAnsi" w:cstheme="minorBidi"/>
            <w:noProof/>
            <w:sz w:val="22"/>
            <w:szCs w:val="22"/>
            <w:lang w:eastAsia="en-AU"/>
          </w:rPr>
          <w:tab/>
        </w:r>
        <w:r w:rsidR="00FE2328" w:rsidRPr="00FF1A1F">
          <w:rPr>
            <w:rStyle w:val="Hyperlink"/>
            <w:noProof/>
          </w:rPr>
          <w:t>Improvement</w:t>
        </w:r>
        <w:r w:rsidR="00FE2328" w:rsidRPr="00FF1A1F">
          <w:rPr>
            <w:noProof/>
            <w:webHidden/>
          </w:rPr>
          <w:tab/>
        </w:r>
        <w:r w:rsidRPr="00FF1A1F">
          <w:rPr>
            <w:noProof/>
            <w:webHidden/>
          </w:rPr>
          <w:fldChar w:fldCharType="begin"/>
        </w:r>
        <w:r w:rsidR="00FE2328" w:rsidRPr="00FF1A1F">
          <w:rPr>
            <w:noProof/>
            <w:webHidden/>
          </w:rPr>
          <w:instrText xml:space="preserve"> PAGEREF _Toc358367144 \h </w:instrText>
        </w:r>
        <w:r w:rsidRPr="00FF1A1F">
          <w:rPr>
            <w:noProof/>
            <w:webHidden/>
          </w:rPr>
        </w:r>
        <w:r w:rsidRPr="00FF1A1F">
          <w:rPr>
            <w:noProof/>
            <w:webHidden/>
          </w:rPr>
          <w:fldChar w:fldCharType="separate"/>
        </w:r>
        <w:r w:rsidR="00FE2328" w:rsidRPr="00FF1A1F">
          <w:rPr>
            <w:noProof/>
            <w:webHidden/>
          </w:rPr>
          <w:t>20</w:t>
        </w:r>
        <w:r w:rsidRPr="00FF1A1F">
          <w:rPr>
            <w:noProof/>
            <w:webHidden/>
          </w:rPr>
          <w:fldChar w:fldCharType="end"/>
        </w:r>
      </w:hyperlink>
    </w:p>
    <w:p w:rsidR="00FE2328" w:rsidRPr="00FF1A1F" w:rsidRDefault="002C1024">
      <w:pPr>
        <w:pStyle w:val="TOC1"/>
        <w:rPr>
          <w:rFonts w:asciiTheme="minorHAnsi" w:eastAsiaTheme="minorEastAsia" w:hAnsiTheme="minorHAnsi" w:cstheme="minorBidi"/>
          <w:b w:val="0"/>
          <w:sz w:val="22"/>
          <w:szCs w:val="22"/>
          <w:lang w:eastAsia="en-AU"/>
        </w:rPr>
      </w:pPr>
      <w:hyperlink w:anchor="_Toc358367145" w:history="1">
        <w:r w:rsidR="00FE2328" w:rsidRPr="00FF1A1F">
          <w:rPr>
            <w:rStyle w:val="Hyperlink"/>
          </w:rPr>
          <w:t>Attachment A</w:t>
        </w:r>
        <w:r w:rsidR="00FE2328" w:rsidRPr="00FF1A1F">
          <w:rPr>
            <w:webHidden/>
          </w:rPr>
          <w:tab/>
        </w:r>
        <w:r w:rsidRPr="00FF1A1F">
          <w:rPr>
            <w:webHidden/>
          </w:rPr>
          <w:fldChar w:fldCharType="begin"/>
        </w:r>
        <w:r w:rsidR="00FE2328" w:rsidRPr="00FF1A1F">
          <w:rPr>
            <w:webHidden/>
          </w:rPr>
          <w:instrText xml:space="preserve"> PAGEREF _Toc358367145 \h </w:instrText>
        </w:r>
        <w:r w:rsidRPr="00FF1A1F">
          <w:rPr>
            <w:webHidden/>
          </w:rPr>
        </w:r>
        <w:r w:rsidRPr="00FF1A1F">
          <w:rPr>
            <w:webHidden/>
          </w:rPr>
          <w:fldChar w:fldCharType="separate"/>
        </w:r>
        <w:r w:rsidR="00FE2328" w:rsidRPr="00FF1A1F">
          <w:rPr>
            <w:webHidden/>
          </w:rPr>
          <w:t>21</w:t>
        </w:r>
        <w:r w:rsidRPr="00FF1A1F">
          <w:rPr>
            <w:webHidden/>
          </w:rPr>
          <w:fldChar w:fldCharType="end"/>
        </w:r>
      </w:hyperlink>
    </w:p>
    <w:p w:rsidR="00977EB1" w:rsidRPr="00FF1A1F" w:rsidRDefault="002C1024" w:rsidP="00977EB1">
      <w:r w:rsidRPr="00FF1A1F">
        <w:fldChar w:fldCharType="end"/>
      </w:r>
    </w:p>
    <w:p w:rsidR="00977EB1" w:rsidRPr="00FF1A1F" w:rsidRDefault="00977EB1" w:rsidP="00977EB1">
      <w:pPr>
        <w:pStyle w:val="Heading1"/>
      </w:pPr>
      <w:r w:rsidRPr="00FF1A1F">
        <w:rPr>
          <w:rStyle w:val="Heading1Char"/>
          <w:i/>
          <w:szCs w:val="28"/>
        </w:rPr>
        <w:br w:type="page"/>
      </w:r>
      <w:bookmarkStart w:id="2" w:name="_Toc358367128"/>
      <w:bookmarkStart w:id="3" w:name="_Toc268506475"/>
      <w:bookmarkStart w:id="4" w:name="_Toc286053520"/>
      <w:bookmarkStart w:id="5" w:name="_Toc286053809"/>
      <w:bookmarkEnd w:id="0"/>
      <w:r w:rsidRPr="00FF1A1F">
        <w:lastRenderedPageBreak/>
        <w:t>Introduction</w:t>
      </w:r>
      <w:bookmarkEnd w:id="2"/>
    </w:p>
    <w:p w:rsidR="00977EB1" w:rsidRPr="00FF1A1F" w:rsidRDefault="00977EB1" w:rsidP="00977EB1"/>
    <w:p w:rsidR="00977EB1" w:rsidRPr="00FF1A1F" w:rsidRDefault="00977EB1" w:rsidP="00977EB1">
      <w:pPr>
        <w:spacing w:after="120"/>
        <w:rPr>
          <w:szCs w:val="24"/>
          <w:lang w:val="en-US" w:eastAsia="ja-JP"/>
        </w:rPr>
      </w:pPr>
      <w:r w:rsidRPr="00FF1A1F">
        <w:t xml:space="preserve">The Commonwealth Environmental Water Holder (CEWH) is an independent statutory position created by the Commonwealth </w:t>
      </w:r>
      <w:r w:rsidRPr="00FF1A1F">
        <w:rPr>
          <w:i/>
          <w:iCs/>
        </w:rPr>
        <w:t>Water Act 2007</w:t>
      </w:r>
      <w:r w:rsidRPr="00FF1A1F">
        <w:t xml:space="preserve"> (the Water Act) to manage Commonwealth environmental water holdings. Commonwealth environmental water must be managed to meet the requirements of the Water Act</w:t>
      </w:r>
      <w:r w:rsidRPr="00FF1A1F">
        <w:rPr>
          <w:iCs/>
        </w:rPr>
        <w:t>:</w:t>
      </w:r>
      <w:r w:rsidRPr="00FF1A1F">
        <w:rPr>
          <w:i/>
          <w:iCs/>
        </w:rPr>
        <w:t xml:space="preserve"> </w:t>
      </w:r>
      <w:r w:rsidRPr="00FF1A1F">
        <w:t>to protect or restore environmental assets within the Murray-Darling Basin (the Basin). The Commonwealth Environmental Water Office (CEWO) supports the Commonwealth Environmental Water Holder in performing its functions.</w:t>
      </w:r>
    </w:p>
    <w:p w:rsidR="00977EB1" w:rsidRPr="00FF1A1F" w:rsidRDefault="00977EB1" w:rsidP="00977EB1">
      <w:pPr>
        <w:spacing w:after="120"/>
        <w:rPr>
          <w:szCs w:val="24"/>
          <w:lang w:val="en-US" w:eastAsia="ja-JP"/>
        </w:rPr>
      </w:pPr>
      <w:r w:rsidRPr="00FF1A1F">
        <w:rPr>
          <w:szCs w:val="24"/>
          <w:lang w:val="en-US" w:eastAsia="ja-JP"/>
        </w:rPr>
        <w:t xml:space="preserve">Monitoring, evaluation, reporting and improvement (MERI) are critical components of natural resource management programs, particularly in highly variable natural systems where the outcomes from actions can be uncertain. MERI activities support the efficient and </w:t>
      </w:r>
      <w:r w:rsidR="006B39B8" w:rsidRPr="00FF1A1F">
        <w:rPr>
          <w:szCs w:val="24"/>
          <w:lang w:val="en-US" w:eastAsia="ja-JP"/>
        </w:rPr>
        <w:t xml:space="preserve">effective use of resources, </w:t>
      </w:r>
      <w:r w:rsidRPr="00FF1A1F">
        <w:rPr>
          <w:szCs w:val="24"/>
          <w:lang w:val="en-US" w:eastAsia="ja-JP"/>
        </w:rPr>
        <w:t>promote accountability</w:t>
      </w:r>
      <w:r w:rsidR="006B39B8" w:rsidRPr="00FF1A1F">
        <w:rPr>
          <w:szCs w:val="24"/>
          <w:lang w:val="en-US" w:eastAsia="ja-JP"/>
        </w:rPr>
        <w:t xml:space="preserve"> support adaptive management</w:t>
      </w:r>
      <w:r w:rsidRPr="00FF1A1F">
        <w:rPr>
          <w:szCs w:val="24"/>
          <w:lang w:val="en-US" w:eastAsia="ja-JP"/>
        </w:rPr>
        <w:t>.</w:t>
      </w:r>
      <w:r w:rsidRPr="00FF1A1F">
        <w:rPr>
          <w:color w:val="FF0000"/>
          <w:szCs w:val="24"/>
          <w:lang w:val="en-US" w:eastAsia="ja-JP"/>
        </w:rPr>
        <w:t xml:space="preserve"> </w:t>
      </w:r>
    </w:p>
    <w:p w:rsidR="00977EB1" w:rsidRPr="00FF1A1F" w:rsidRDefault="00977EB1" w:rsidP="00977EB1">
      <w:pPr>
        <w:spacing w:after="120"/>
        <w:rPr>
          <w:szCs w:val="24"/>
          <w:lang w:val="en-US" w:eastAsia="ja-JP"/>
        </w:rPr>
      </w:pPr>
      <w:r w:rsidRPr="00FF1A1F">
        <w:rPr>
          <w:szCs w:val="24"/>
          <w:lang w:val="en-US" w:eastAsia="ja-JP"/>
        </w:rPr>
        <w:t>The key components of a MERI framework are:</w:t>
      </w:r>
    </w:p>
    <w:p w:rsidR="00977EB1" w:rsidRPr="00FF1A1F" w:rsidRDefault="00977EB1" w:rsidP="00977EB1">
      <w:pPr>
        <w:numPr>
          <w:ilvl w:val="0"/>
          <w:numId w:val="14"/>
        </w:numPr>
        <w:rPr>
          <w:szCs w:val="24"/>
          <w:lang w:val="en-US" w:eastAsia="ja-JP"/>
        </w:rPr>
      </w:pPr>
      <w:r w:rsidRPr="00FF1A1F">
        <w:rPr>
          <w:szCs w:val="24"/>
          <w:lang w:val="en-US" w:eastAsia="ja-JP"/>
        </w:rPr>
        <w:t xml:space="preserve">monitoring - the measurement of indicators specifically selected to measure progress towards achieving program objectives </w:t>
      </w:r>
    </w:p>
    <w:p w:rsidR="00977EB1" w:rsidRPr="00FF1A1F" w:rsidRDefault="00977EB1" w:rsidP="00977EB1">
      <w:pPr>
        <w:numPr>
          <w:ilvl w:val="0"/>
          <w:numId w:val="14"/>
        </w:numPr>
        <w:rPr>
          <w:szCs w:val="24"/>
          <w:lang w:val="en-US" w:eastAsia="ja-JP"/>
        </w:rPr>
      </w:pPr>
      <w:r w:rsidRPr="00FF1A1F">
        <w:rPr>
          <w:szCs w:val="24"/>
          <w:lang w:val="en-US" w:eastAsia="ja-JP"/>
        </w:rPr>
        <w:t xml:space="preserve">evaluation - the assessment of the monitoring results against the objectives to determine whether progress is being made, and whether the selected indicators are appropriate measures </w:t>
      </w:r>
    </w:p>
    <w:p w:rsidR="00977EB1" w:rsidRPr="00FF1A1F" w:rsidRDefault="00977EB1" w:rsidP="00977EB1">
      <w:pPr>
        <w:numPr>
          <w:ilvl w:val="0"/>
          <w:numId w:val="14"/>
        </w:numPr>
        <w:rPr>
          <w:szCs w:val="24"/>
          <w:lang w:val="en-US" w:eastAsia="ja-JP"/>
        </w:rPr>
      </w:pPr>
      <w:r w:rsidRPr="00FF1A1F">
        <w:rPr>
          <w:szCs w:val="24"/>
          <w:lang w:val="en-US" w:eastAsia="ja-JP"/>
        </w:rPr>
        <w:t>reporting - communication of the results of the program</w:t>
      </w:r>
    </w:p>
    <w:p w:rsidR="00977EB1" w:rsidRPr="00FF1A1F" w:rsidRDefault="00977EB1" w:rsidP="00977EB1">
      <w:pPr>
        <w:numPr>
          <w:ilvl w:val="0"/>
          <w:numId w:val="14"/>
        </w:numPr>
        <w:rPr>
          <w:szCs w:val="24"/>
          <w:lang w:val="en-US" w:eastAsia="ja-JP"/>
        </w:rPr>
      </w:pPr>
      <w:proofErr w:type="gramStart"/>
      <w:r w:rsidRPr="00FF1A1F">
        <w:rPr>
          <w:szCs w:val="24"/>
          <w:lang w:val="en-US" w:eastAsia="ja-JP"/>
        </w:rPr>
        <w:t>improvement</w:t>
      </w:r>
      <w:proofErr w:type="gramEnd"/>
      <w:r w:rsidRPr="00FF1A1F">
        <w:rPr>
          <w:szCs w:val="24"/>
          <w:lang w:val="en-US" w:eastAsia="ja-JP"/>
        </w:rPr>
        <w:t xml:space="preserve"> - a feedback loop to planning and decision making to ensure that outcomes from the evaluation are used to continuously improve program delivery. </w:t>
      </w:r>
    </w:p>
    <w:p w:rsidR="00977EB1" w:rsidRPr="00FF1A1F" w:rsidRDefault="00977EB1" w:rsidP="00977EB1">
      <w:pPr>
        <w:spacing w:before="240" w:after="120"/>
      </w:pPr>
      <w:r w:rsidRPr="00FF1A1F">
        <w:t>Over the longer term, MERI will inform:</w:t>
      </w:r>
    </w:p>
    <w:p w:rsidR="00977EB1" w:rsidRPr="00FF1A1F" w:rsidRDefault="00977EB1" w:rsidP="00977EB1">
      <w:pPr>
        <w:numPr>
          <w:ilvl w:val="0"/>
          <w:numId w:val="11"/>
        </w:numPr>
      </w:pPr>
      <w:r w:rsidRPr="00FF1A1F">
        <w:t>the criteria and methods by which Commonwealth environmental water use is prioritised</w:t>
      </w:r>
    </w:p>
    <w:p w:rsidR="00977EB1" w:rsidRPr="00FF1A1F" w:rsidRDefault="00977EB1" w:rsidP="00977EB1">
      <w:pPr>
        <w:numPr>
          <w:ilvl w:val="0"/>
          <w:numId w:val="11"/>
        </w:numPr>
      </w:pPr>
      <w:r w:rsidRPr="00FF1A1F">
        <w:t xml:space="preserve">the development and refinement of the predictive models of ecosystem response against which environmental watering will be assessed </w:t>
      </w:r>
    </w:p>
    <w:p w:rsidR="00977EB1" w:rsidRPr="00FF1A1F" w:rsidRDefault="00977EB1" w:rsidP="00977EB1">
      <w:pPr>
        <w:numPr>
          <w:ilvl w:val="0"/>
          <w:numId w:val="11"/>
        </w:numPr>
      </w:pPr>
      <w:proofErr w:type="gramStart"/>
      <w:r w:rsidRPr="00FF1A1F">
        <w:t>the</w:t>
      </w:r>
      <w:proofErr w:type="gramEnd"/>
      <w:r w:rsidRPr="00FF1A1F">
        <w:t xml:space="preserve"> identification of areas where further scientific or other knowledge may be required to advance program planning and implementation. </w:t>
      </w:r>
    </w:p>
    <w:p w:rsidR="00977EB1" w:rsidRPr="00FF1A1F" w:rsidRDefault="00977EB1" w:rsidP="00977EB1">
      <w:pPr>
        <w:rPr>
          <w:szCs w:val="24"/>
          <w:lang w:val="en-US" w:eastAsia="ja-JP"/>
        </w:rPr>
      </w:pPr>
    </w:p>
    <w:p w:rsidR="00BF626A" w:rsidRPr="00FF1A1F" w:rsidRDefault="00977EB1" w:rsidP="00977EB1">
      <w:pPr>
        <w:rPr>
          <w:szCs w:val="24"/>
          <w:lang w:val="en-US" w:eastAsia="ja-JP"/>
        </w:rPr>
      </w:pPr>
      <w:r w:rsidRPr="00FF1A1F">
        <w:rPr>
          <w:szCs w:val="24"/>
          <w:lang w:val="en-US" w:eastAsia="ja-JP"/>
        </w:rPr>
        <w:t>This framework articulates the approach to MERI for the use of Commonwealth environmental water. It has been informed by the Australian Government’s best practice Natural Resource Management MERI Framework guidelines and has been improved to take into account the comments of stakeholders provided following the release of a discussion p</w:t>
      </w:r>
      <w:r w:rsidR="00BF626A" w:rsidRPr="00FF1A1F">
        <w:rPr>
          <w:szCs w:val="24"/>
          <w:lang w:val="en-US" w:eastAsia="ja-JP"/>
        </w:rPr>
        <w:t>aper in June 2011. V</w:t>
      </w:r>
      <w:r w:rsidRPr="00FF1A1F">
        <w:rPr>
          <w:szCs w:val="24"/>
          <w:lang w:val="en-US" w:eastAsia="ja-JP"/>
        </w:rPr>
        <w:t xml:space="preserve">ersion </w:t>
      </w:r>
      <w:r w:rsidR="00BF626A" w:rsidRPr="00FF1A1F">
        <w:rPr>
          <w:szCs w:val="24"/>
          <w:lang w:val="en-US" w:eastAsia="ja-JP"/>
        </w:rPr>
        <w:t xml:space="preserve">1.0 </w:t>
      </w:r>
      <w:r w:rsidRPr="00FF1A1F">
        <w:rPr>
          <w:szCs w:val="24"/>
          <w:lang w:val="en-US" w:eastAsia="ja-JP"/>
        </w:rPr>
        <w:t xml:space="preserve">of this framework was published in May 2012. </w:t>
      </w:r>
      <w:r w:rsidR="00BF626A" w:rsidRPr="00FF1A1F">
        <w:rPr>
          <w:szCs w:val="24"/>
          <w:lang w:val="en-US" w:eastAsia="ja-JP"/>
        </w:rPr>
        <w:t xml:space="preserve">This version (Version 2.0) is consistent with, and gives effect to, the relevant provisions of the Murray-Darling </w:t>
      </w:r>
      <w:r w:rsidR="00BF626A" w:rsidRPr="00FF1A1F">
        <w:t>Basin Plan, as made in November 2012.</w:t>
      </w:r>
    </w:p>
    <w:p w:rsidR="00977EB1" w:rsidRPr="00FF1A1F" w:rsidRDefault="00977EB1" w:rsidP="00977EB1">
      <w:pPr>
        <w:rPr>
          <w:szCs w:val="24"/>
          <w:lang w:val="en-US" w:eastAsia="ja-JP"/>
        </w:rPr>
      </w:pPr>
    </w:p>
    <w:p w:rsidR="00977EB1" w:rsidRPr="00FF1A1F" w:rsidRDefault="00977EB1" w:rsidP="00977EB1">
      <w:pPr>
        <w:pStyle w:val="Heading1"/>
      </w:pPr>
      <w:bookmarkStart w:id="6" w:name="_Toc268506487"/>
      <w:bookmarkStart w:id="7" w:name="_Toc286053527"/>
      <w:bookmarkStart w:id="8" w:name="_Toc286053816"/>
      <w:bookmarkStart w:id="9" w:name="_Toc268506489"/>
      <w:bookmarkEnd w:id="3"/>
      <w:bookmarkEnd w:id="4"/>
      <w:bookmarkEnd w:id="5"/>
      <w:r w:rsidRPr="00FF1A1F">
        <w:br w:type="page"/>
      </w:r>
      <w:bookmarkStart w:id="10" w:name="_Toc358367129"/>
      <w:r w:rsidRPr="00FF1A1F">
        <w:lastRenderedPageBreak/>
        <w:t>Requirements and legislative obligations for the MERI framework</w:t>
      </w:r>
      <w:bookmarkEnd w:id="10"/>
      <w:r w:rsidRPr="00FF1A1F">
        <w:t xml:space="preserve"> </w:t>
      </w:r>
      <w:bookmarkEnd w:id="6"/>
      <w:bookmarkEnd w:id="7"/>
      <w:bookmarkEnd w:id="8"/>
    </w:p>
    <w:p w:rsidR="00977EB1" w:rsidRPr="00FF1A1F" w:rsidRDefault="00977EB1" w:rsidP="00977EB1"/>
    <w:p w:rsidR="00977EB1" w:rsidRPr="00FF1A1F" w:rsidRDefault="00977EB1" w:rsidP="00977EB1">
      <w:pPr>
        <w:spacing w:after="120"/>
      </w:pPr>
      <w:r w:rsidRPr="00FF1A1F">
        <w:t>The implementation of MERI is critical for supporting the efficient and effective use of Commonwealth environmental water, and demonstrating the achievement of environmental objectives. This framework proposes an approach to MERI that will:</w:t>
      </w:r>
    </w:p>
    <w:p w:rsidR="00977EB1" w:rsidRPr="00FF1A1F" w:rsidRDefault="00977EB1" w:rsidP="00977EB1">
      <w:pPr>
        <w:numPr>
          <w:ilvl w:val="0"/>
          <w:numId w:val="8"/>
        </w:numPr>
      </w:pPr>
      <w:r w:rsidRPr="00FF1A1F">
        <w:t>support accountability and good governance</w:t>
      </w:r>
    </w:p>
    <w:p w:rsidR="00977EB1" w:rsidRPr="00FF1A1F" w:rsidRDefault="00977EB1" w:rsidP="00977EB1">
      <w:pPr>
        <w:numPr>
          <w:ilvl w:val="0"/>
          <w:numId w:val="8"/>
        </w:numPr>
      </w:pPr>
      <w:r w:rsidRPr="00FF1A1F">
        <w:t>support adaptive management</w:t>
      </w:r>
    </w:p>
    <w:p w:rsidR="00977EB1" w:rsidRPr="00FF1A1F" w:rsidRDefault="00977EB1" w:rsidP="00977EB1">
      <w:pPr>
        <w:numPr>
          <w:ilvl w:val="0"/>
          <w:numId w:val="8"/>
        </w:numPr>
      </w:pPr>
      <w:proofErr w:type="gramStart"/>
      <w:r w:rsidRPr="00FF1A1F">
        <w:t>help</w:t>
      </w:r>
      <w:proofErr w:type="gramEnd"/>
      <w:r w:rsidRPr="00FF1A1F">
        <w:t xml:space="preserve"> build foundational knowledge.</w:t>
      </w:r>
    </w:p>
    <w:p w:rsidR="00977EB1" w:rsidRPr="00FF1A1F" w:rsidRDefault="00977EB1" w:rsidP="00977EB1">
      <w:pPr>
        <w:ind w:left="720"/>
      </w:pPr>
    </w:p>
    <w:p w:rsidR="00977EB1" w:rsidRPr="00FF1A1F" w:rsidRDefault="00977EB1" w:rsidP="00977EB1">
      <w:r w:rsidRPr="00FF1A1F">
        <w:t>The MERI framework will support the CEWH in meeting a number of specific obligations as outlined below.</w:t>
      </w:r>
    </w:p>
    <w:p w:rsidR="00977EB1" w:rsidRPr="00FF1A1F" w:rsidRDefault="00977EB1" w:rsidP="00977EB1">
      <w:pPr>
        <w:keepNext/>
      </w:pPr>
    </w:p>
    <w:p w:rsidR="00977EB1" w:rsidRPr="00FF1A1F" w:rsidRDefault="00977EB1" w:rsidP="00977EB1">
      <w:pPr>
        <w:pStyle w:val="Heading2"/>
        <w:rPr>
          <w:color w:val="auto"/>
        </w:rPr>
      </w:pPr>
      <w:bookmarkStart w:id="11" w:name="_Toc358367130"/>
      <w:r w:rsidRPr="00FF1A1F">
        <w:t>A</w:t>
      </w:r>
      <w:r w:rsidRPr="00FF1A1F">
        <w:rPr>
          <w:color w:val="auto"/>
        </w:rPr>
        <w:t>ccountability and good governance</w:t>
      </w:r>
      <w:bookmarkEnd w:id="11"/>
      <w:r w:rsidRPr="00FF1A1F">
        <w:rPr>
          <w:color w:val="auto"/>
        </w:rPr>
        <w:t xml:space="preserve"> </w:t>
      </w:r>
    </w:p>
    <w:p w:rsidR="00977EB1" w:rsidRPr="00FF1A1F" w:rsidRDefault="00977EB1" w:rsidP="00977EB1"/>
    <w:p w:rsidR="00977EB1" w:rsidRPr="00FF1A1F" w:rsidRDefault="00977EB1" w:rsidP="00977EB1">
      <w:r w:rsidRPr="00FF1A1F">
        <w:t xml:space="preserve">The CEWH must comply with the specific requirements and standards of Commonwealth legal and policy frameworks such as the </w:t>
      </w:r>
      <w:r w:rsidRPr="00FF1A1F">
        <w:rPr>
          <w:i/>
        </w:rPr>
        <w:t>Financial Management and Accountability Act</w:t>
      </w:r>
      <w:r w:rsidRPr="00FF1A1F">
        <w:t xml:space="preserve"> </w:t>
      </w:r>
      <w:r w:rsidRPr="00FF1A1F">
        <w:rPr>
          <w:i/>
        </w:rPr>
        <w:t>1997</w:t>
      </w:r>
      <w:r w:rsidRPr="00FF1A1F">
        <w:t xml:space="preserve"> and the </w:t>
      </w:r>
      <w:r w:rsidRPr="00FF1A1F">
        <w:rPr>
          <w:i/>
        </w:rPr>
        <w:t>Public Service Act</w:t>
      </w:r>
      <w:r w:rsidRPr="00FF1A1F">
        <w:t xml:space="preserve"> </w:t>
      </w:r>
      <w:r w:rsidRPr="00FF1A1F">
        <w:rPr>
          <w:i/>
        </w:rPr>
        <w:t>1999</w:t>
      </w:r>
      <w:r w:rsidRPr="00FF1A1F">
        <w:t>. The MERI framework will contribute to the capacity of the CEWH to uphold high standards of public sector governance, including accountability, transparency, integrity, stewardship and efficiency. This will be demonstrated through transparent management of watering activities including publication of results.</w:t>
      </w:r>
    </w:p>
    <w:p w:rsidR="00977EB1" w:rsidRPr="00FF1A1F" w:rsidRDefault="00977EB1" w:rsidP="00977EB1"/>
    <w:p w:rsidR="00977EB1" w:rsidRPr="00FF1A1F" w:rsidRDefault="00977EB1" w:rsidP="00977EB1">
      <w:pPr>
        <w:pStyle w:val="Heading2"/>
      </w:pPr>
      <w:bookmarkStart w:id="12" w:name="_Toc358367131"/>
      <w:r w:rsidRPr="00FF1A1F">
        <w:t>Legislative obligations</w:t>
      </w:r>
      <w:bookmarkEnd w:id="12"/>
    </w:p>
    <w:p w:rsidR="00977EB1" w:rsidRPr="00FF1A1F" w:rsidRDefault="00977EB1" w:rsidP="00977EB1"/>
    <w:p w:rsidR="00977EB1" w:rsidRPr="00FF1A1F" w:rsidRDefault="00977EB1" w:rsidP="00977EB1">
      <w:pPr>
        <w:autoSpaceDE w:val="0"/>
        <w:autoSpaceDN w:val="0"/>
        <w:adjustRightInd w:val="0"/>
        <w:spacing w:after="120"/>
        <w:rPr>
          <w:i/>
          <w:iCs/>
        </w:rPr>
      </w:pPr>
      <w:r w:rsidRPr="00FF1A1F">
        <w:rPr>
          <w:i/>
          <w:iCs/>
        </w:rPr>
        <w:t>Provisions under the Water Act and Basin Plan relating to MERI for Commonwealth environmental water are as follows:</w:t>
      </w:r>
    </w:p>
    <w:p w:rsidR="00977EB1" w:rsidRPr="00FF1A1F" w:rsidRDefault="00977EB1" w:rsidP="00977EB1">
      <w:pPr>
        <w:autoSpaceDE w:val="0"/>
        <w:autoSpaceDN w:val="0"/>
        <w:adjustRightInd w:val="0"/>
        <w:spacing w:after="120"/>
      </w:pPr>
      <w:r w:rsidRPr="00FF1A1F">
        <w:rPr>
          <w:iCs/>
        </w:rPr>
        <w:t>The Water Act requires a</w:t>
      </w:r>
      <w:r w:rsidRPr="00FF1A1F">
        <w:t xml:space="preserve">n annual report on the management of Commonwealth environmental water be provided to the Commonwealth Water Minister, to be tabled in each House of Parliament and given to relevant State Ministers for each of the Basin States (section 114(1)). The report must include information on achievements against the objectives of the Basin Plan’s Environmental Watering Plan (section 114(2a)). </w:t>
      </w:r>
    </w:p>
    <w:p w:rsidR="00977EB1" w:rsidRPr="00FF1A1F" w:rsidRDefault="00977EB1" w:rsidP="00977EB1">
      <w:pPr>
        <w:spacing w:after="120"/>
      </w:pPr>
      <w:r w:rsidRPr="00FF1A1F">
        <w:t>The Water Act also requires the CEWH to provide water information relating to the held entitlements and trade to the Commonwealth Bureau of Meteorology (Water Act s126).</w:t>
      </w:r>
    </w:p>
    <w:p w:rsidR="00977EB1" w:rsidRPr="00FF1A1F" w:rsidRDefault="00977EB1" w:rsidP="00977EB1">
      <w:pPr>
        <w:autoSpaceDE w:val="0"/>
        <w:autoSpaceDN w:val="0"/>
        <w:adjustRightInd w:val="0"/>
        <w:spacing w:after="120"/>
      </w:pPr>
      <w:r w:rsidRPr="00FF1A1F">
        <w:t xml:space="preserve">The Basin Plan places a number of obligations on </w:t>
      </w:r>
      <w:r w:rsidRPr="00FF1A1F">
        <w:rPr>
          <w:iCs/>
        </w:rPr>
        <w:t>monitoring, evaluating and reporting on the use of Commonwealth environmental water.</w:t>
      </w:r>
      <w:r w:rsidR="00FC2DBE" w:rsidRPr="00FF1A1F">
        <w:t xml:space="preserve"> </w:t>
      </w:r>
      <w:r w:rsidRPr="00FF1A1F">
        <w:t xml:space="preserve">These </w:t>
      </w:r>
      <w:r w:rsidR="00FC2DBE" w:rsidRPr="00FF1A1F">
        <w:t>are to</w:t>
      </w:r>
      <w:r w:rsidRPr="00FF1A1F">
        <w:t>:</w:t>
      </w:r>
    </w:p>
    <w:p w:rsidR="00977EB1" w:rsidRPr="00FF1A1F" w:rsidRDefault="00977EB1" w:rsidP="00977EB1">
      <w:pPr>
        <w:numPr>
          <w:ilvl w:val="0"/>
          <w:numId w:val="8"/>
        </w:numPr>
        <w:spacing w:after="120"/>
      </w:pPr>
      <w:proofErr w:type="gramStart"/>
      <w:r w:rsidRPr="00FF1A1F">
        <w:t>provi</w:t>
      </w:r>
      <w:r w:rsidR="00FC2DBE" w:rsidRPr="00FF1A1F">
        <w:t>de</w:t>
      </w:r>
      <w:proofErr w:type="gramEnd"/>
      <w:r w:rsidRPr="00FF1A1F">
        <w:t xml:space="preserve"> the Murray-Darling Basin Authority with a statement of reasons for any Commonwealth environmental watering that is not in accordance with the Basin annual environmental watering priorities. This statement must be provided as soon as practicable and within four months after the end of the water accounting period in which the environmental watering was undertaken (Basin Plan s8.44)</w:t>
      </w:r>
    </w:p>
    <w:p w:rsidR="00977EB1" w:rsidRPr="00FF1A1F" w:rsidRDefault="00977EB1" w:rsidP="00977EB1">
      <w:pPr>
        <w:numPr>
          <w:ilvl w:val="0"/>
          <w:numId w:val="8"/>
        </w:numPr>
        <w:spacing w:after="120"/>
      </w:pPr>
      <w:r w:rsidRPr="00FF1A1F">
        <w:t>apply the principles for monitoring and evaluating the effectiveness of the Basin Plan, as outlined in section 13.04 of the Basin Plan (</w:t>
      </w:r>
      <w:r w:rsidR="00FC2DBE" w:rsidRPr="00FF1A1F">
        <w:rPr>
          <w:u w:val="single"/>
        </w:rPr>
        <w:t>Attachment A</w:t>
      </w:r>
      <w:r w:rsidRPr="00FF1A1F">
        <w:t>)</w:t>
      </w:r>
    </w:p>
    <w:p w:rsidR="00977EB1" w:rsidRPr="00FF1A1F" w:rsidRDefault="00977EB1" w:rsidP="00977EB1">
      <w:pPr>
        <w:numPr>
          <w:ilvl w:val="0"/>
          <w:numId w:val="8"/>
        </w:numPr>
        <w:spacing w:after="120"/>
      </w:pPr>
      <w:r w:rsidRPr="00FF1A1F">
        <w:t>report annually to the Murray-Darling Basin Authority on the following matters:</w:t>
      </w:r>
    </w:p>
    <w:p w:rsidR="00977EB1" w:rsidRPr="00FF1A1F" w:rsidRDefault="00977EB1" w:rsidP="00977EB1">
      <w:pPr>
        <w:numPr>
          <w:ilvl w:val="1"/>
          <w:numId w:val="8"/>
        </w:numPr>
        <w:spacing w:after="120"/>
      </w:pPr>
      <w:r w:rsidRPr="00FF1A1F">
        <w:t>the extent to which local knowledge and solutions inform the implementation of the Basin Plan (Basin Plan Schedule 12, item 6)</w:t>
      </w:r>
    </w:p>
    <w:p w:rsidR="00977EB1" w:rsidRPr="00FF1A1F" w:rsidRDefault="00977EB1" w:rsidP="00977EB1">
      <w:pPr>
        <w:numPr>
          <w:ilvl w:val="1"/>
          <w:numId w:val="8"/>
        </w:numPr>
        <w:spacing w:after="120"/>
      </w:pPr>
      <w:r w:rsidRPr="00FF1A1F">
        <w:t>the identification of environmental water and the monitoring of its use (Basin Plan Schedule 12, item 9)</w:t>
      </w:r>
    </w:p>
    <w:p w:rsidR="00977EB1" w:rsidRPr="00FF1A1F" w:rsidRDefault="00977EB1" w:rsidP="00977EB1">
      <w:pPr>
        <w:numPr>
          <w:ilvl w:val="1"/>
          <w:numId w:val="8"/>
        </w:numPr>
        <w:spacing w:after="120"/>
      </w:pPr>
      <w:r w:rsidRPr="00FF1A1F">
        <w:lastRenderedPageBreak/>
        <w:t xml:space="preserve">the implementation of the environmental management framework (which includes the Basin-wide environmental watering strategy, the development of Basin annual environmental watering priorities, and the </w:t>
      </w:r>
      <w:r w:rsidRPr="00FF1A1F">
        <w:rPr>
          <w:i/>
        </w:rPr>
        <w:t>Principles to be applied to environmental watering</w:t>
      </w:r>
      <w:r w:rsidRPr="00FF1A1F">
        <w:t>) (Basin Plan Schedule 12, item 10)</w:t>
      </w:r>
    </w:p>
    <w:p w:rsidR="00977EB1" w:rsidRPr="00FF1A1F" w:rsidRDefault="00977EB1" w:rsidP="00977EB1">
      <w:pPr>
        <w:numPr>
          <w:ilvl w:val="1"/>
          <w:numId w:val="8"/>
        </w:numPr>
        <w:spacing w:after="120"/>
      </w:pPr>
      <w:r w:rsidRPr="00FF1A1F">
        <w:t xml:space="preserve">the implementation of the water quality and salinity management plan, including the extent to which regard is </w:t>
      </w:r>
      <w:proofErr w:type="spellStart"/>
      <w:r w:rsidRPr="00FF1A1F">
        <w:t>had</w:t>
      </w:r>
      <w:proofErr w:type="spellEnd"/>
      <w:r w:rsidRPr="00FF1A1F">
        <w:t xml:space="preserve"> to the targets in Chapter 9 when making flow management decisions (Basin Plan Schedule 12, item 14)</w:t>
      </w:r>
    </w:p>
    <w:p w:rsidR="00977EB1" w:rsidRPr="00FF1A1F" w:rsidRDefault="00977EB1" w:rsidP="00977EB1">
      <w:pPr>
        <w:numPr>
          <w:ilvl w:val="0"/>
          <w:numId w:val="8"/>
        </w:numPr>
        <w:spacing w:after="120"/>
      </w:pPr>
      <w:proofErr w:type="gramStart"/>
      <w:r w:rsidRPr="00FF1A1F">
        <w:t>report</w:t>
      </w:r>
      <w:proofErr w:type="gramEnd"/>
      <w:r w:rsidRPr="00FF1A1F">
        <w:t xml:space="preserve"> every five years to the Murray-Darling Basin Authority on the achievement of environmental outcomes at a Basin</w:t>
      </w:r>
      <w:r w:rsidRPr="00FF1A1F">
        <w:rPr>
          <w:szCs w:val="24"/>
        </w:rPr>
        <w:t xml:space="preserve"> scale, by reference to the targets to measure progress towards the environmental objectives in Schedule 7 (Basin Plan Schedule 12, item 7 ).</w:t>
      </w:r>
      <w:r w:rsidRPr="00FF1A1F">
        <w:t xml:space="preserve"> </w:t>
      </w:r>
    </w:p>
    <w:p w:rsidR="00977EB1" w:rsidRPr="00FF1A1F" w:rsidRDefault="00977EB1" w:rsidP="00977EB1">
      <w:pPr>
        <w:ind w:left="1440"/>
      </w:pPr>
    </w:p>
    <w:bookmarkEnd w:id="9"/>
    <w:p w:rsidR="00977EB1" w:rsidRPr="00FF1A1F" w:rsidRDefault="00977EB1" w:rsidP="00977EB1">
      <w:pPr>
        <w:pStyle w:val="Heading1"/>
      </w:pPr>
      <w:r w:rsidRPr="00FF1A1F">
        <w:br w:type="page"/>
      </w:r>
      <w:bookmarkStart w:id="13" w:name="_Toc358367132"/>
      <w:r w:rsidRPr="00FF1A1F">
        <w:lastRenderedPageBreak/>
        <w:t>Approach to MERI for the use of Commonwealth environmental water</w:t>
      </w:r>
      <w:bookmarkEnd w:id="13"/>
    </w:p>
    <w:p w:rsidR="00977EB1" w:rsidRPr="00FF1A1F" w:rsidRDefault="00977EB1" w:rsidP="00977EB1">
      <w:pPr>
        <w:pStyle w:val="Default"/>
        <w:rPr>
          <w:rFonts w:ascii="Times New Roman" w:hAnsi="Times New Roman" w:cs="Times New Roman"/>
        </w:rPr>
      </w:pPr>
    </w:p>
    <w:p w:rsidR="00977EB1" w:rsidRPr="00FF1A1F" w:rsidRDefault="00977EB1" w:rsidP="00977EB1">
      <w:pPr>
        <w:pStyle w:val="Default"/>
        <w:rPr>
          <w:rFonts w:ascii="Times New Roman" w:hAnsi="Times New Roman" w:cs="Times New Roman"/>
        </w:rPr>
      </w:pPr>
      <w:r w:rsidRPr="00FF1A1F">
        <w:rPr>
          <w:rFonts w:ascii="Times New Roman" w:hAnsi="Times New Roman" w:cs="Times New Roman"/>
        </w:rPr>
        <w:t xml:space="preserve">MERI will be implemented in accordance with the Australian Government’s </w:t>
      </w:r>
      <w:r w:rsidRPr="00FF1A1F">
        <w:rPr>
          <w:rFonts w:ascii="Times New Roman" w:hAnsi="Times New Roman" w:cs="Times New Roman"/>
          <w:i/>
        </w:rPr>
        <w:t>Natural Resource Management MERI Framework</w:t>
      </w:r>
      <w:r w:rsidRPr="00FF1A1F">
        <w:rPr>
          <w:rFonts w:ascii="Times New Roman" w:hAnsi="Times New Roman" w:cs="Times New Roman"/>
        </w:rPr>
        <w:t xml:space="preserve"> (the Australian Government’s MERI framework), and support the evaluation of progress towards achieving the objectives for the use of Commonwealth environmental water. A systematic approach, at the immediate, intermediate and long-term time scales will be applied. </w:t>
      </w:r>
    </w:p>
    <w:p w:rsidR="00977EB1" w:rsidRPr="00FF1A1F" w:rsidRDefault="00977EB1" w:rsidP="00977EB1">
      <w:pPr>
        <w:ind w:left="720"/>
        <w:rPr>
          <w:color w:val="000000"/>
        </w:rPr>
      </w:pPr>
    </w:p>
    <w:p w:rsidR="00977EB1" w:rsidRPr="00FF1A1F" w:rsidRDefault="00977EB1" w:rsidP="00977EB1">
      <w:pPr>
        <w:spacing w:after="120"/>
        <w:rPr>
          <w:szCs w:val="24"/>
          <w:lang w:val="en-US" w:eastAsia="ja-JP"/>
        </w:rPr>
      </w:pPr>
      <w:r w:rsidRPr="00FF1A1F">
        <w:rPr>
          <w:szCs w:val="24"/>
          <w:lang w:val="en-US" w:eastAsia="ja-JP"/>
        </w:rPr>
        <w:t>The Australian Government MERI framework</w:t>
      </w:r>
      <w:r w:rsidR="0048340C" w:rsidRPr="00FF1A1F">
        <w:rPr>
          <w:szCs w:val="24"/>
          <w:lang w:val="en-US" w:eastAsia="ja-JP"/>
        </w:rPr>
        <w:t xml:space="preserve"> (</w:t>
      </w:r>
      <w:proofErr w:type="spellStart"/>
      <w:r w:rsidR="0048340C" w:rsidRPr="00FF1A1F">
        <w:rPr>
          <w:szCs w:val="24"/>
          <w:lang w:val="en-US" w:eastAsia="ja-JP"/>
        </w:rPr>
        <w:t>sFigure</w:t>
      </w:r>
      <w:proofErr w:type="spellEnd"/>
      <w:r w:rsidR="0048340C" w:rsidRPr="00FF1A1F">
        <w:rPr>
          <w:szCs w:val="24"/>
          <w:lang w:val="en-US" w:eastAsia="ja-JP"/>
        </w:rPr>
        <w:t xml:space="preserve"> 1</w:t>
      </w:r>
      <w:r w:rsidRPr="00FF1A1F">
        <w:rPr>
          <w:szCs w:val="24"/>
          <w:lang w:val="en-US" w:eastAsia="ja-JP"/>
        </w:rPr>
        <w:t>) describes MERI as:</w:t>
      </w:r>
    </w:p>
    <w:p w:rsidR="00977EB1" w:rsidRPr="00FF1A1F" w:rsidRDefault="00977EB1" w:rsidP="00977EB1">
      <w:pPr>
        <w:rPr>
          <w:szCs w:val="24"/>
          <w:lang w:val="en-US" w:eastAsia="ja-JP"/>
        </w:rPr>
      </w:pPr>
      <w:r w:rsidRPr="00FF1A1F">
        <w:rPr>
          <w:szCs w:val="24"/>
          <w:lang w:val="en-US" w:eastAsia="ja-JP"/>
        </w:rPr>
        <w:t xml:space="preserve"> “</w:t>
      </w:r>
      <w:proofErr w:type="gramStart"/>
      <w:r w:rsidRPr="00FF1A1F">
        <w:rPr>
          <w:i/>
          <w:szCs w:val="24"/>
          <w:lang w:val="en-US" w:eastAsia="ja-JP"/>
        </w:rPr>
        <w:t>a</w:t>
      </w:r>
      <w:proofErr w:type="gramEnd"/>
      <w:r w:rsidRPr="00FF1A1F">
        <w:rPr>
          <w:i/>
          <w:szCs w:val="24"/>
          <w:lang w:val="en-US" w:eastAsia="ja-JP"/>
        </w:rPr>
        <w:t xml:space="preserve"> continuous cycle of participation and communication rather than as a single evaluation event. MERI promotes learning and adaptive management in response to progressive monitoring and evaluation which enables improvement in program design and achievement of desired outcomes</w:t>
      </w:r>
      <w:r w:rsidRPr="00FF1A1F">
        <w:rPr>
          <w:szCs w:val="24"/>
          <w:lang w:val="en-US" w:eastAsia="ja-JP"/>
        </w:rPr>
        <w:t xml:space="preserve">”. </w:t>
      </w:r>
    </w:p>
    <w:p w:rsidR="00977EB1" w:rsidRPr="00FF1A1F" w:rsidRDefault="00977EB1" w:rsidP="00977EB1">
      <w:pPr>
        <w:rPr>
          <w:szCs w:val="24"/>
          <w:lang w:val="en-US" w:eastAsia="ja-JP"/>
        </w:rPr>
      </w:pPr>
    </w:p>
    <w:p w:rsidR="00A27563" w:rsidRPr="00FF1A1F" w:rsidRDefault="00A27563" w:rsidP="00977EB1">
      <w:pPr>
        <w:rPr>
          <w:szCs w:val="24"/>
          <w:lang w:val="en-US" w:eastAsia="ja-JP"/>
        </w:rPr>
      </w:pPr>
      <w:r w:rsidRPr="00FF1A1F">
        <w:rPr>
          <w:szCs w:val="24"/>
          <w:lang w:val="en-US" w:eastAsia="ja-JP"/>
        </w:rPr>
        <w:t>This framework is intended to support adaptive management around the use of Commonwealth environmental water. There are also a range of m</w:t>
      </w:r>
      <w:r w:rsidR="005E285F" w:rsidRPr="00FF1A1F">
        <w:rPr>
          <w:szCs w:val="24"/>
          <w:lang w:val="en-US" w:eastAsia="ja-JP"/>
        </w:rPr>
        <w:t xml:space="preserve">echanisms under the Basin Plan </w:t>
      </w:r>
      <w:r w:rsidRPr="00FF1A1F">
        <w:rPr>
          <w:szCs w:val="24"/>
          <w:lang w:val="en-US" w:eastAsia="ja-JP"/>
        </w:rPr>
        <w:t>that support adaptive management, including:</w:t>
      </w:r>
    </w:p>
    <w:p w:rsidR="00A27563" w:rsidRPr="00FF1A1F" w:rsidRDefault="005E285F" w:rsidP="00A27563">
      <w:pPr>
        <w:numPr>
          <w:ilvl w:val="0"/>
          <w:numId w:val="8"/>
        </w:numPr>
      </w:pPr>
      <w:r w:rsidRPr="00FF1A1F">
        <w:t>Basin-wide environmental watering strategy</w:t>
      </w:r>
      <w:r w:rsidR="0048340C" w:rsidRPr="00FF1A1F">
        <w:t xml:space="preserve"> and annual watering priorities</w:t>
      </w:r>
      <w:r w:rsidRPr="00FF1A1F">
        <w:t xml:space="preserve"> to be prepared by the MDBA</w:t>
      </w:r>
      <w:r w:rsidR="0048340C" w:rsidRPr="00FF1A1F">
        <w:t xml:space="preserve"> (Chapter 8, Division 2 and 5 respectively)</w:t>
      </w:r>
    </w:p>
    <w:p w:rsidR="005E285F" w:rsidRPr="00FF1A1F" w:rsidRDefault="005E285F" w:rsidP="00A27563">
      <w:pPr>
        <w:numPr>
          <w:ilvl w:val="0"/>
          <w:numId w:val="8"/>
        </w:numPr>
      </w:pPr>
      <w:r w:rsidRPr="00FF1A1F">
        <w:t xml:space="preserve">long term watering plans to be prepared by states (Chapter 8, Division </w:t>
      </w:r>
      <w:r w:rsidR="0048340C" w:rsidRPr="00FF1A1F">
        <w:t>3)</w:t>
      </w:r>
    </w:p>
    <w:p w:rsidR="005E285F" w:rsidRPr="00FF1A1F" w:rsidRDefault="005E285F" w:rsidP="00A27563">
      <w:pPr>
        <w:numPr>
          <w:ilvl w:val="0"/>
          <w:numId w:val="8"/>
        </w:numPr>
      </w:pPr>
      <w:r w:rsidRPr="00FF1A1F">
        <w:t>the principles to be applied in environmental watering (Chapter 8, Division 6)</w:t>
      </w:r>
    </w:p>
    <w:p w:rsidR="005E285F" w:rsidRPr="00FF1A1F" w:rsidRDefault="005E285F" w:rsidP="00A27563">
      <w:pPr>
        <w:numPr>
          <w:ilvl w:val="0"/>
          <w:numId w:val="8"/>
        </w:numPr>
      </w:pPr>
      <w:proofErr w:type="gramStart"/>
      <w:r w:rsidRPr="00FF1A1F">
        <w:t>the</w:t>
      </w:r>
      <w:proofErr w:type="gramEnd"/>
      <w:r w:rsidRPr="00FF1A1F">
        <w:t xml:space="preserve"> program for monitoring and evaluating the effectiveness of the Basin Plan (Chapter 13)</w:t>
      </w:r>
      <w:r w:rsidR="0048340C" w:rsidRPr="00FF1A1F">
        <w:t>.</w:t>
      </w:r>
    </w:p>
    <w:p w:rsidR="0048340C" w:rsidRPr="00FF1A1F" w:rsidRDefault="0048340C" w:rsidP="0048340C"/>
    <w:p w:rsidR="0048340C" w:rsidRPr="00FF1A1F" w:rsidRDefault="002C1024" w:rsidP="0048340C">
      <w:r>
        <w:pict>
          <v:group id="_x0000_s1199" style="width:327.4pt;height:310.25pt;mso-position-horizontal-relative:char;mso-position-vertical-relative:line" coordorigin="2998,5866" coordsize="6548,6205">
            <v:shapetype id="_x0000_t32" coordsize="21600,21600" o:spt="32" o:oned="t" path="m,l21600,21600e" filled="f">
              <v:path arrowok="t" fillok="f" o:connecttype="none"/>
              <o:lock v:ext="edit" shapetype="t"/>
            </v:shapetype>
            <v:shape id="AutoShape 49" o:spid="_x0000_s1200" type="#_x0000_t32" style="position:absolute;left:5970;top:11323;width:546;height:1;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" strokecolor="#152a31" strokeweight="4.5pt">
              <v:stroke endarrow="block"/>
            </v:shape>
            <v:shape id="AutoShape 50" o:spid="_x0000_s1201" type="#_x0000_t32" style="position:absolute;left:4312;top:10351;width:674;height:775;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" strokecolor="#152a31" strokeweight="4.5pt">
              <v:stroke endarrow="block"/>
            </v:shape>
            <v:shape id="AutoShape 51" o:spid="_x0000_s1202" type="#_x0000_t32" style="position:absolute;left:7872;top:9672;width:656;height:1079;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" strokecolor="#152a31" strokeweight="4.5pt">
              <v:stroke endarrow="block"/>
            </v:shape>
            <v:shape id="AutoShape 52" o:spid="_x0000_s1203" type="#_x0000_t32" style="position:absolute;left:8392;top:8283;width:136;height: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" strokecolor="#152a31" strokeweight="4.5pt">
              <v:stroke endarrow="block"/>
            </v:shape>
            <v:shape id="AutoShape 53" o:spid="_x0000_s1204" type="#_x0000_t32" style="position:absolute;left:6771;top:6766;width:681;height: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" strokecolor="#152a31" strokeweight="4.5pt">
              <v:stroke endarrow="block"/>
            </v:shape>
            <v:shape id="AutoShape 54" o:spid="_x0000_s1205" type="#_x0000_t32" style="position:absolute;left:4986;top:6864;width:420;height:254;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" strokecolor="#152a31" strokeweight="4.5pt">
              <v:stroke endarrow="block"/>
            </v:shape>
            <v:shape id="AutoShape 55" o:spid="_x0000_s1206" type="#_x0000_t32" style="position:absolute;left:3860;top:8371;width:181;height:731;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" strokecolor="#152a31" strokeweight="4.5pt">
              <v:stroke endarrow="block"/>
            </v:shape>
            <v:group id="Group 56" o:spid="_x0000_s1207" style="position:absolute;left:3051;top:5866;width:6270;height:6205" coordorigin="3090,9060" coordsize="5745,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">
              <v:oval id="Oval 57" o:spid="_x0000_s1208" style="position:absolute;left:5190;top:9060;width:157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zpcQA&#10;AADbAAAADwAAAGRycy9kb3ducmV2LnhtbESPwWrCQBCG7wXfYRmht7ppD7VEV6mCKNRLo6Ueh+yY&#10;DWZnQ3bV5O2dQ6HH4Z//m2/my9436kZdrAMbeJ1koIjLYGuuDBwPm5cPUDEhW2wCk4GBIiwXo6c5&#10;5jbc+ZtuRaqUQDjmaMCl1OZax9KRxzgJLbFk59B5TDJ2lbYd3gXuG/2WZe/aY81ywWFLa0flpbh6&#10;0fhdHXj7s9+W+9Xu6r5OwxB8YczzuP+cgUrUp//lv/bOGpiKrPwi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M6XEAAAA2wAAAA8AAAAAAAAAAAAAAAAAmAIAAGRycy9k&#10;b3ducmV2LnhtbFBLBQYAAAAABAAEAPUAAACJAwAAAAA=&#10;" fillcolor="#34697c" stroked="f"/>
              <v:oval id="Oval 58" o:spid="_x0000_s1209" style="position:absolute;left:6855;top:9885;width:157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WPsUA&#10;AADbAAAADwAAAGRycy9kb3ducmV2LnhtbESPQWvCQBCF70L/wzKF3nTTHqyNbkItiEK9mFT0OGSn&#10;2dDsbMiumvz7bqHg8fHmfW/eKh9sK67U+8axgudZAoK4crrhWsFXuZkuQPiArLF1TApG8pBnD5MV&#10;ptrd+EDXItQiQtinqMCE0KVS+sqQRT9zHXH0vl1vMUTZ11L3eItw28qXJJlLiw3HBoMdfRiqfoqL&#10;jW+c1iVvj/tttV/vLubzPI7OFko9PQ7vSxCBhnA//k/vtILXN/jbEgE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ZY+xQAAANsAAAAPAAAAAAAAAAAAAAAAAJgCAABkcnMv&#10;ZG93bnJldi54bWxQSwUGAAAAAAQABAD1AAAAigMAAAAA&#10;" fillcolor="#34697c" stroked="f"/>
              <v:oval id="Oval 59" o:spid="_x0000_s1210" style="position:absolute;left:7260;top:11700;width:157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PhMMA&#10;AADbAAAADwAAAGRycy9kb3ducmV2LnhtbESPwWrCQBCG70LfYRmhN93YQ5HUVbRQFOql0aLHITtm&#10;Q7OzIbtq8vadg+Bx+Of/5pvFqveNulEX68AGZtMMFHEZbM2VgePhazIHFROyxSYwGRgowmr5Mlpg&#10;bsOdf+hWpEoJhGOOBlxKba51LB15jNPQEkt2CZ3HJGNXadvhXeC+0W9Z9q491iwXHLb06aj8K65e&#10;NE6bA29/99tyv9ld3fd5GIIvjHkd9+sPUIn69Fx+tHfWwFzs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PhMMAAADbAAAADwAAAAAAAAAAAAAAAACYAgAAZHJzL2Rv&#10;d25yZXYueG1sUEsFBgAAAAAEAAQA9QAAAIgDAAAAAA==&#10;" fillcolor="#34697c" stroked="f"/>
              <v:oval id="Oval 60" o:spid="_x0000_s1211" style="position:absolute;left:6090;top:13170;width:157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qH8MA&#10;AADbAAAADwAAAGRycy9kb3ducmV2LnhtbESPQYvCMBCF78L+hzALe9NUDyJdo6ggCnrZ6qLHoRmb&#10;YjMpTartv98sCB4fb9735s2Xna3EgxpfOlYwHiUgiHOnSy4UnE/b4QyED8gaK8ekoCcPy8XHYI6p&#10;dk/+oUcWChEh7FNUYEKoUyl9bsiiH7maOHo311gMUTaF1A0+I9xWcpIkU2mx5NhgsKaNofyetTa+&#10;cVmfePd73OXH9b41h2vfO5sp9fXZrb5BBOrC+/iV3msFszH8b4kA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LqH8MAAADbAAAADwAAAAAAAAAAAAAAAACYAgAAZHJzL2Rv&#10;d25yZXYueG1sUEsFBgAAAAAEAAQA9QAAAIgDAAAAAA==&#10;" fillcolor="#34697c" stroked="f"/>
              <v:oval id="Oval 61" o:spid="_x0000_s1212" style="position:absolute;left:4245;top:13170;width:157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0aMQA&#10;AADbAAAADwAAAGRycy9kb3ducmV2LnhtbESPzWrDMBCE74W+g9hAbrWcHEpwrISmUBJoLnES2uNi&#10;bS1Ta2UsxT9vHwUKPQ6z881Ovh1tI3rqfO1YwSJJQRCXTtdcKbicP15WIHxA1tg4JgUTedhunp9y&#10;zLQb+ER9ESoRIewzVGBCaDMpfWnIok9cSxy9H9dZDFF2ldQdDhFuG7lM01dpsebYYLCld0Plb3Gz&#10;8Y2v3Zn31+O+PO4ON/P5PU3OFkrNZ+PbGkSgMfwf/6UPWsFqCY8tEQB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dGjEAAAA2wAAAA8AAAAAAAAAAAAAAAAAmAIAAGRycy9k&#10;b3ducmV2LnhtbFBLBQYAAAAABAAEAPUAAACJAwAAAAA=&#10;" fillcolor="#34697c" stroked="f"/>
              <v:oval id="Oval 62" o:spid="_x0000_s1213" style="position:absolute;left:3090;top:11700;width:157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R88QA&#10;AADbAAAADwAAAGRycy9kb3ducmV2LnhtbESPwWrDMBBE74H+g9hCb4ncFkJwo4QmEGxoLnFS2uNi&#10;bS1Ta2Us2bH/PgoUehxm583OejvaRgzU+dqxgudFAoK4dLrmSsHlfJivQPiArLFxTAom8rDdPMzW&#10;mGp35RMNRahEhLBPUYEJoU2l9KUhi37hWuLo/bjOYoiyq6Tu8BrhtpEvSbKUFmuODQZb2hsqf4ve&#10;xje+dmfOPo9Zedzlvfn4niZnC6WeHsf3NxCBxvB//JfOtYLVK9y3RAD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0fPEAAAA2wAAAA8AAAAAAAAAAAAAAAAAmAIAAGRycy9k&#10;b3ducmV2LnhtbFBLBQYAAAAABAAEAPUAAACJAwAAAAA=&#10;" fillcolor="#34697c" stroked="f"/>
              <v:oval id="Oval 63" o:spid="_x0000_s1214" style="position:absolute;left:3480;top:9885;width:157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Jh8QA&#10;AADbAAAADwAAAGRycy9kb3ducmV2LnhtbESPwWrDMBBE74H+g9hCb4ncUkJwo4QmEGxoLnFS2uNi&#10;bS1Ta2Us2bH/PgoUehxm583OejvaRgzU+dqxgudFAoK4dLrmSsHlfJivQPiArLFxTAom8rDdPMzW&#10;mGp35RMNRahEhLBPUYEJoU2l9KUhi37hWuLo/bjOYoiyq6Tu8BrhtpEvSbKUFmuODQZb2hsqf4ve&#10;xje+dmfOPo9Zedzlvfn4niZnC6WeHsf3NxCBxvB//JfOtYLVK9y3RAD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SYfEAAAA2wAAAA8AAAAAAAAAAAAAAAAAmAIAAGRycy9k&#10;b3ducmV2LnhtbFBLBQYAAAAABAAEAPUAAACJAwAAAAA=&#10;" fillcolor="#34697c" stroked="f"/>
            </v:group>
            <v:shape id="Text Box 79" o:spid="_x0000_s1215" type="#_x0000_t202" style="position:absolute;left:4419;top:10736;width:1481;height:9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0kugIAAME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" filled="f" stroked="f">
              <v:textbox style="mso-next-textbox:#Text Box 79;mso-fit-shape-to-text:t">
                <w:txbxContent>
                  <w:p w:rsidR="003C1147" w:rsidRPr="00E563BB" w:rsidRDefault="003C1147" w:rsidP="0048340C">
                    <w:pPr>
                      <w:jc w:val="center"/>
                      <w:rPr>
                        <w:color w:val="FFFFFF" w:themeColor="background1"/>
                        <w:sz w:val="18"/>
                        <w:szCs w:val="18"/>
                      </w:rPr>
                    </w:pPr>
                    <w:r w:rsidRPr="00B811EE">
                      <w:rPr>
                        <w:rFonts w:ascii="Arial" w:hAnsi="Arial" w:cs="Arial"/>
                        <w:b/>
                        <w:color w:val="FFFFFF" w:themeColor="background1"/>
                        <w:sz w:val="18"/>
                        <w:szCs w:val="18"/>
                      </w:rPr>
                      <w:t>REPORT</w:t>
                    </w:r>
                    <w:r w:rsidRPr="00B811EE">
                      <w:rPr>
                        <w:rFonts w:ascii="Arial" w:hAnsi="Arial" w:cs="Arial"/>
                        <w:color w:val="FFFFFF" w:themeColor="background1"/>
                        <w:sz w:val="18"/>
                        <w:szCs w:val="18"/>
                      </w:rPr>
                      <w:t xml:space="preserve"> on</w:t>
                    </w:r>
                    <w:r w:rsidRPr="00B811EE">
                      <w:rPr>
                        <w:rFonts w:ascii="Arial" w:hAnsi="Arial" w:cs="Arial"/>
                        <w:color w:val="FFFFFF" w:themeColor="background1"/>
                        <w:sz w:val="18"/>
                        <w:szCs w:val="18"/>
                      </w:rPr>
                      <w:br/>
                      <w:t>outcomes and</w:t>
                    </w:r>
                    <w:r w:rsidRPr="00B811EE">
                      <w:rPr>
                        <w:rFonts w:ascii="Arial" w:hAnsi="Arial" w:cs="Arial"/>
                        <w:color w:val="FFFFFF" w:themeColor="background1"/>
                        <w:sz w:val="18"/>
                        <w:szCs w:val="18"/>
                      </w:rPr>
                      <w:br/>
                      <w:t>communicate</w:t>
                    </w:r>
                    <w:r w:rsidRPr="00B811EE">
                      <w:rPr>
                        <w:rFonts w:ascii="Arial" w:hAnsi="Arial" w:cs="Arial"/>
                        <w:color w:val="FFFFFF" w:themeColor="background1"/>
                        <w:sz w:val="18"/>
                        <w:szCs w:val="18"/>
                      </w:rPr>
                      <w:br/>
                      <w:t>learning</w:t>
                    </w:r>
                  </w:p>
                </w:txbxContent>
              </v:textbox>
            </v:shape>
            <v:shape id="Text Box 80" o:spid="_x0000_s1216" type="#_x0000_t202" style="position:absolute;left:2998;top:8980;width:1793;height:11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" filled="f" stroked="f">
              <v:textbox style="mso-next-textbox:#Text Box 80;mso-fit-shape-to-text:t">
                <w:txbxContent>
                  <w:p w:rsidR="003C1147" w:rsidRPr="00DD556C" w:rsidRDefault="003C1147" w:rsidP="0048340C">
                    <w:pPr>
                      <w:jc w:val="center"/>
                      <w:rPr>
                        <w:b/>
                        <w:color w:val="FFFFFF" w:themeColor="background1"/>
                        <w:sz w:val="18"/>
                        <w:szCs w:val="18"/>
                      </w:rPr>
                    </w:pPr>
                    <w:r w:rsidRPr="00B811EE">
                      <w:rPr>
                        <w:rFonts w:ascii="Arial" w:hAnsi="Arial" w:cs="Arial"/>
                        <w:color w:val="FFFFFF" w:themeColor="background1"/>
                        <w:sz w:val="18"/>
                        <w:szCs w:val="18"/>
                      </w:rPr>
                      <w:t xml:space="preserve">Adapt strategy accordingly and apply to next program phase for </w:t>
                    </w:r>
                    <w:r w:rsidRPr="00B811EE">
                      <w:rPr>
                        <w:rFonts w:ascii="Arial" w:hAnsi="Arial" w:cs="Arial"/>
                        <w:b/>
                        <w:color w:val="FFFFFF" w:themeColor="background1"/>
                        <w:sz w:val="18"/>
                        <w:szCs w:val="18"/>
                      </w:rPr>
                      <w:t>IMPROVEMENT</w:t>
                    </w:r>
                  </w:p>
                </w:txbxContent>
              </v:textbox>
            </v:shape>
            <v:shape id="Text Box 81" o:spid="_x0000_s1217" type="#_x0000_t202" style="position:absolute;left:3445;top:7013;width:1778;height:11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zg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" filled="f" stroked="f">
              <v:textbox style="mso-next-textbox:#Text Box 81;mso-fit-shape-to-text:t">
                <w:txbxContent>
                  <w:p w:rsidR="003C1147" w:rsidRPr="00B811EE" w:rsidRDefault="003C1147" w:rsidP="0048340C">
                    <w:pPr>
                      <w:jc w:val="center"/>
                      <w:rPr>
                        <w:rFonts w:ascii="Arial" w:hAnsi="Arial" w:cs="Arial"/>
                        <w:color w:val="FFFFFF" w:themeColor="background1"/>
                        <w:sz w:val="18"/>
                        <w:szCs w:val="18"/>
                      </w:rPr>
                    </w:pPr>
                    <w:r w:rsidRPr="00985B00">
                      <w:rPr>
                        <w:rFonts w:ascii="Arial" w:hAnsi="Arial" w:cs="Arial"/>
                        <w:b/>
                        <w:color w:val="FFFFFF" w:themeColor="background1"/>
                        <w:sz w:val="18"/>
                        <w:szCs w:val="18"/>
                      </w:rPr>
                      <w:t>START</w:t>
                    </w:r>
                    <w:r>
                      <w:rPr>
                        <w:rFonts w:ascii="Arial" w:hAnsi="Arial" w:cs="Arial"/>
                        <w:b/>
                        <w:color w:val="FFFFFF" w:themeColor="background1"/>
                        <w:sz w:val="18"/>
                        <w:szCs w:val="18"/>
                      </w:rPr>
                      <w:br/>
                    </w:r>
                    <w:r w:rsidRPr="00985B00">
                      <w:rPr>
                        <w:rFonts w:ascii="Arial" w:hAnsi="Arial" w:cs="Arial"/>
                        <w:b/>
                        <w:color w:val="FFFFFF" w:themeColor="background1"/>
                        <w:sz w:val="18"/>
                        <w:szCs w:val="18"/>
                      </w:rPr>
                      <w:t xml:space="preserve"> Identify</w:t>
                    </w:r>
                    <w:r w:rsidRPr="00B811EE">
                      <w:rPr>
                        <w:rFonts w:ascii="Arial" w:hAnsi="Arial" w:cs="Arial"/>
                        <w:color w:val="FFFFFF" w:themeColor="background1"/>
                        <w:sz w:val="18"/>
                        <w:szCs w:val="18"/>
                      </w:rPr>
                      <w:t xml:space="preserve"> priority assets, desired outcome</w:t>
                    </w:r>
                    <w:r>
                      <w:rPr>
                        <w:rFonts w:ascii="Arial" w:hAnsi="Arial" w:cs="Arial"/>
                        <w:color w:val="FFFFFF" w:themeColor="background1"/>
                        <w:sz w:val="18"/>
                        <w:szCs w:val="18"/>
                      </w:rPr>
                      <w:t>s and program</w:t>
                    </w:r>
                    <w:r w:rsidRPr="00B811EE">
                      <w:rPr>
                        <w:rFonts w:ascii="Arial" w:hAnsi="Arial" w:cs="Arial"/>
                        <w:color w:val="FFFFFF" w:themeColor="background1"/>
                        <w:sz w:val="18"/>
                        <w:szCs w:val="18"/>
                      </w:rPr>
                      <w:t xml:space="preserve"> logic</w:t>
                    </w:r>
                  </w:p>
                </w:txbxContent>
              </v:textbox>
            </v:shape>
            <v:shape id="Text Box 82" o:spid="_x0000_s1218" type="#_x0000_t202" style="position:absolute;left:4646;top:8532;width:3091;height:9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L8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" filled="f" stroked="f">
              <v:textbox style="mso-next-textbox:#Text Box 82;mso-fit-shape-to-text:t">
                <w:txbxContent>
                  <w:p w:rsidR="003C1147" w:rsidRPr="00FF1A17" w:rsidRDefault="003C1147" w:rsidP="0048340C">
                    <w:pPr>
                      <w:jc w:val="center"/>
                      <w:rPr>
                        <w:rFonts w:ascii="Arial" w:hAnsi="Arial" w:cs="Arial"/>
                        <w:b/>
                        <w:szCs w:val="24"/>
                      </w:rPr>
                    </w:pPr>
                    <w:r w:rsidRPr="00FF1A17">
                      <w:rPr>
                        <w:rFonts w:ascii="Arial" w:hAnsi="Arial" w:cs="Arial"/>
                        <w:b/>
                        <w:szCs w:val="24"/>
                      </w:rPr>
                      <w:t xml:space="preserve">CONTINUOUS </w:t>
                    </w:r>
                    <w:r w:rsidRPr="00FF1A17">
                      <w:rPr>
                        <w:rFonts w:ascii="Arial" w:hAnsi="Arial" w:cs="Arial"/>
                        <w:b/>
                        <w:szCs w:val="24"/>
                      </w:rPr>
                      <w:br/>
                      <w:t>PARTICIPATION AND COMMUNICATION</w:t>
                    </w:r>
                  </w:p>
                </w:txbxContent>
              </v:textbox>
            </v:shape>
            <v:shape id="Text Box 83" o:spid="_x0000_s1219" type="#_x0000_t202" style="position:absolute;left:5267;top:6236;width:1894;height: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N5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" filled="f" stroked="f">
              <v:textbox style="mso-next-textbox:#Text Box 83">
                <w:txbxContent>
                  <w:p w:rsidR="003C1147" w:rsidRPr="00B811EE" w:rsidRDefault="003C1147" w:rsidP="0048340C">
                    <w:pPr>
                      <w:pStyle w:val="ListNumber"/>
                      <w:numPr>
                        <w:ilvl w:val="0"/>
                        <w:numId w:val="0"/>
                      </w:numPr>
                      <w:jc w:val="center"/>
                      <w:rPr>
                        <w:rFonts w:ascii="Arial" w:hAnsi="Arial" w:cs="Arial"/>
                        <w:color w:val="FFFFFF" w:themeColor="background1"/>
                        <w:sz w:val="18"/>
                        <w:szCs w:val="18"/>
                      </w:rPr>
                    </w:pPr>
                    <w:r w:rsidRPr="00B811EE">
                      <w:rPr>
                        <w:rFonts w:ascii="Arial" w:hAnsi="Arial" w:cs="Arial"/>
                        <w:b/>
                        <w:bCs/>
                        <w:color w:val="FFFFFF" w:themeColor="background1"/>
                        <w:sz w:val="18"/>
                        <w:szCs w:val="18"/>
                      </w:rPr>
                      <w:t>Design</w:t>
                    </w:r>
                    <w:r w:rsidRPr="00B811EE">
                      <w:rPr>
                        <w:rFonts w:ascii="Arial" w:hAnsi="Arial" w:cs="Arial"/>
                        <w:color w:val="FFFFFF" w:themeColor="background1"/>
                        <w:sz w:val="18"/>
                        <w:szCs w:val="18"/>
                      </w:rPr>
                      <w:t xml:space="preserve"> </w:t>
                    </w:r>
                    <w:r>
                      <w:rPr>
                        <w:rFonts w:ascii="Arial" w:hAnsi="Arial" w:cs="Arial"/>
                        <w:color w:val="FFFFFF" w:themeColor="background1"/>
                        <w:sz w:val="18"/>
                        <w:szCs w:val="18"/>
                      </w:rPr>
                      <w:br/>
                    </w:r>
                    <w:r w:rsidRPr="00B811EE">
                      <w:rPr>
                        <w:rFonts w:ascii="Arial" w:hAnsi="Arial" w:cs="Arial"/>
                        <w:color w:val="FFFFFF" w:themeColor="background1"/>
                        <w:sz w:val="18"/>
                        <w:szCs w:val="18"/>
                      </w:rPr>
                      <w:t xml:space="preserve">program </w:t>
                    </w:r>
                    <w:r>
                      <w:rPr>
                        <w:rFonts w:ascii="Arial" w:hAnsi="Arial" w:cs="Arial"/>
                        <w:color w:val="FFFFFF" w:themeColor="background1"/>
                        <w:sz w:val="18"/>
                        <w:szCs w:val="18"/>
                      </w:rPr>
                      <w:br/>
                    </w:r>
                    <w:r w:rsidRPr="00B811EE">
                      <w:rPr>
                        <w:rFonts w:ascii="Arial" w:hAnsi="Arial" w:cs="Arial"/>
                        <w:color w:val="FFFFFF" w:themeColor="background1"/>
                        <w:sz w:val="18"/>
                        <w:szCs w:val="18"/>
                      </w:rPr>
                      <w:t xml:space="preserve">including </w:t>
                    </w:r>
                    <w:r w:rsidRPr="00B811EE">
                      <w:rPr>
                        <w:rFonts w:ascii="Arial" w:hAnsi="Arial" w:cs="Arial"/>
                        <w:b/>
                        <w:bCs/>
                        <w:color w:val="FFFFFF" w:themeColor="background1"/>
                        <w:sz w:val="18"/>
                        <w:szCs w:val="18"/>
                      </w:rPr>
                      <w:t>MERI</w:t>
                    </w:r>
                    <w:r w:rsidRPr="00B811EE">
                      <w:rPr>
                        <w:rFonts w:ascii="Arial" w:hAnsi="Arial" w:cs="Arial"/>
                        <w:color w:val="FFFFFF" w:themeColor="background1"/>
                        <w:sz w:val="18"/>
                        <w:szCs w:val="18"/>
                      </w:rPr>
                      <w:t xml:space="preserve"> </w:t>
                    </w:r>
                    <w:r>
                      <w:rPr>
                        <w:rFonts w:ascii="Arial" w:hAnsi="Arial" w:cs="Arial"/>
                        <w:color w:val="FFFFFF" w:themeColor="background1"/>
                        <w:sz w:val="18"/>
                        <w:szCs w:val="18"/>
                      </w:rPr>
                      <w:br/>
                    </w:r>
                    <w:r w:rsidRPr="00B811EE">
                      <w:rPr>
                        <w:rFonts w:ascii="Arial" w:hAnsi="Arial" w:cs="Arial"/>
                        <w:color w:val="FFFFFF" w:themeColor="background1"/>
                        <w:sz w:val="18"/>
                        <w:szCs w:val="18"/>
                      </w:rPr>
                      <w:t>Strategy</w:t>
                    </w:r>
                  </w:p>
                  <w:p w:rsidR="003C1147" w:rsidRPr="00023033" w:rsidRDefault="003C1147" w:rsidP="0048340C">
                    <w:pPr>
                      <w:jc w:val="center"/>
                      <w:rPr>
                        <w:color w:val="FFFFFF" w:themeColor="background1"/>
                        <w:sz w:val="18"/>
                        <w:szCs w:val="18"/>
                      </w:rPr>
                    </w:pPr>
                  </w:p>
                </w:txbxContent>
              </v:textbox>
            </v:shape>
            <v:shape id="Text Box 84" o:spid="_x0000_s1220" type="#_x0000_t202" style="position:absolute;left:7086;top:7235;width:1815;height: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" filled="f" stroked="f">
              <v:textbox style="mso-next-textbox:#Text Box 84">
                <w:txbxContent>
                  <w:p w:rsidR="003C1147" w:rsidRPr="00B811EE" w:rsidRDefault="003C1147" w:rsidP="0048340C">
                    <w:pPr>
                      <w:pStyle w:val="ListBullet"/>
                      <w:jc w:val="center"/>
                      <w:rPr>
                        <w:rFonts w:ascii="Arial" w:hAnsi="Arial" w:cs="Arial"/>
                        <w:noProof/>
                        <w:color w:val="FFFFFF" w:themeColor="background1"/>
                        <w:sz w:val="18"/>
                        <w:szCs w:val="18"/>
                        <w:lang w:eastAsia="en-AU"/>
                      </w:rPr>
                    </w:pPr>
                    <w:r w:rsidRPr="00B811EE">
                      <w:rPr>
                        <w:rFonts w:ascii="Arial" w:hAnsi="Arial" w:cs="Arial"/>
                        <w:noProof/>
                        <w:color w:val="FFFFFF" w:themeColor="background1"/>
                        <w:sz w:val="18"/>
                        <w:szCs w:val="18"/>
                        <w:lang w:eastAsia="en-AU"/>
                      </w:rPr>
                      <w:t xml:space="preserve">Implement program and </w:t>
                    </w:r>
                    <w:r w:rsidRPr="00B811EE">
                      <w:rPr>
                        <w:rFonts w:ascii="Arial" w:hAnsi="Arial" w:cs="Arial"/>
                        <w:b/>
                        <w:bCs/>
                        <w:noProof/>
                        <w:color w:val="FFFFFF" w:themeColor="background1"/>
                        <w:sz w:val="18"/>
                        <w:szCs w:val="18"/>
                        <w:lang w:eastAsia="en-AU"/>
                      </w:rPr>
                      <w:t>MONITOR</w:t>
                    </w:r>
                  </w:p>
                  <w:p w:rsidR="003C1147" w:rsidRDefault="003C1147" w:rsidP="0048340C">
                    <w:pPr>
                      <w:jc w:val="center"/>
                    </w:pPr>
                  </w:p>
                </w:txbxContent>
              </v:textbox>
            </v:shape>
            <v:shape id="Text Box 85" o:spid="_x0000_s1221" type="#_x0000_t202" style="position:absolute;left:6687;top:8922;width:2859;height:1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" filled="f" stroked="f">
              <v:textbox style="mso-next-textbox:#Text Box 85">
                <w:txbxContent>
                  <w:p w:rsidR="003C1147" w:rsidRPr="00B811EE" w:rsidRDefault="003C1147" w:rsidP="0048340C">
                    <w:pPr>
                      <w:numPr>
                        <w:ilvl w:val="0"/>
                        <w:numId w:val="46"/>
                      </w:numPr>
                      <w:spacing w:after="200"/>
                      <w:ind w:left="714" w:hanging="357"/>
                      <w:jc w:val="center"/>
                      <w:rPr>
                        <w:rFonts w:ascii="Arial" w:hAnsi="Arial" w:cs="Arial"/>
                        <w:color w:val="FFFFFF" w:themeColor="background1"/>
                        <w:sz w:val="18"/>
                        <w:szCs w:val="18"/>
                      </w:rPr>
                    </w:pPr>
                    <w:r w:rsidRPr="00B811EE">
                      <w:rPr>
                        <w:rFonts w:ascii="Arial" w:hAnsi="Arial" w:cs="Arial"/>
                        <w:b/>
                        <w:bCs/>
                        <w:color w:val="FFFFFF" w:themeColor="background1"/>
                        <w:sz w:val="18"/>
                        <w:szCs w:val="18"/>
                      </w:rPr>
                      <w:t>EVALUATE</w:t>
                    </w:r>
                    <w:r w:rsidRPr="00B811EE">
                      <w:rPr>
                        <w:rFonts w:ascii="Arial" w:hAnsi="Arial" w:cs="Arial"/>
                        <w:color w:val="FFFFFF" w:themeColor="background1"/>
                        <w:sz w:val="18"/>
                        <w:szCs w:val="18"/>
                      </w:rPr>
                      <w:t xml:space="preserve"> appropriateness</w:t>
                    </w:r>
                    <w:r w:rsidRPr="00B811EE">
                      <w:rPr>
                        <w:rFonts w:ascii="Arial" w:hAnsi="Arial" w:cs="Arial"/>
                        <w:color w:val="FFFFFF" w:themeColor="background1"/>
                        <w:sz w:val="18"/>
                        <w:szCs w:val="18"/>
                      </w:rPr>
                      <w:br/>
                      <w:t xml:space="preserve"> impact</w:t>
                    </w:r>
                    <w:r w:rsidRPr="00B811EE">
                      <w:rPr>
                        <w:rFonts w:ascii="Arial" w:hAnsi="Arial" w:cs="Arial"/>
                        <w:color w:val="FFFFFF" w:themeColor="background1"/>
                        <w:sz w:val="18"/>
                        <w:szCs w:val="18"/>
                      </w:rPr>
                      <w:br/>
                      <w:t xml:space="preserve"> effectiveness, </w:t>
                    </w:r>
                    <w:r w:rsidRPr="00B811EE">
                      <w:rPr>
                        <w:rFonts w:ascii="Arial" w:hAnsi="Arial" w:cs="Arial"/>
                        <w:color w:val="FFFFFF" w:themeColor="background1"/>
                        <w:sz w:val="18"/>
                        <w:szCs w:val="18"/>
                      </w:rPr>
                      <w:br/>
                      <w:t xml:space="preserve">efficiency and </w:t>
                    </w:r>
                    <w:r w:rsidRPr="00B811EE">
                      <w:rPr>
                        <w:rFonts w:ascii="Arial" w:hAnsi="Arial" w:cs="Arial"/>
                        <w:color w:val="FFFFFF" w:themeColor="background1"/>
                        <w:sz w:val="18"/>
                        <w:szCs w:val="18"/>
                      </w:rPr>
                      <w:br/>
                      <w:t>legacy</w:t>
                    </w:r>
                  </w:p>
                  <w:p w:rsidR="003C1147" w:rsidRDefault="003C1147" w:rsidP="0048340C"/>
                </w:txbxContent>
              </v:textbox>
            </v:shape>
            <v:shape id="Text Box 86" o:spid="_x0000_s1222" type="#_x0000_t202" style="position:absolute;left:6171;top:10601;width:2008;height:1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Tr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" filled="f" stroked="f">
              <v:textbox style="mso-next-textbox:#Text Box 86">
                <w:txbxContent>
                  <w:p w:rsidR="003C1147" w:rsidRPr="00B811EE" w:rsidRDefault="003C1147" w:rsidP="0048340C">
                    <w:pPr>
                      <w:jc w:val="center"/>
                      <w:rPr>
                        <w:rFonts w:ascii="Arial" w:hAnsi="Arial" w:cs="Arial"/>
                        <w:color w:val="FFFFFF" w:themeColor="background1"/>
                        <w:sz w:val="18"/>
                        <w:szCs w:val="18"/>
                      </w:rPr>
                    </w:pPr>
                    <w:r>
                      <w:rPr>
                        <w:rFonts w:ascii="Arial" w:hAnsi="Arial" w:cs="Arial"/>
                        <w:b/>
                        <w:color w:val="FFFFFF" w:themeColor="background1"/>
                        <w:sz w:val="18"/>
                        <w:szCs w:val="18"/>
                      </w:rPr>
                      <w:t>Reflect</w:t>
                    </w:r>
                    <w:r w:rsidRPr="00B811EE">
                      <w:rPr>
                        <w:rFonts w:ascii="Arial" w:hAnsi="Arial" w:cs="Arial"/>
                        <w:color w:val="FFFFFF" w:themeColor="background1"/>
                        <w:sz w:val="18"/>
                        <w:szCs w:val="18"/>
                      </w:rPr>
                      <w:br/>
                      <w:t xml:space="preserve">on what’s </w:t>
                    </w:r>
                    <w:r w:rsidRPr="00B811EE">
                      <w:rPr>
                        <w:rFonts w:ascii="Arial" w:hAnsi="Arial" w:cs="Arial"/>
                        <w:color w:val="FFFFFF" w:themeColor="background1"/>
                        <w:sz w:val="18"/>
                        <w:szCs w:val="18"/>
                      </w:rPr>
                      <w:br/>
                      <w:t>working,</w:t>
                    </w:r>
                    <w:r w:rsidRPr="00B811EE">
                      <w:rPr>
                        <w:rFonts w:ascii="Arial" w:hAnsi="Arial" w:cs="Arial"/>
                        <w:color w:val="FFFFFF" w:themeColor="background1"/>
                        <w:sz w:val="18"/>
                        <w:szCs w:val="18"/>
                      </w:rPr>
                      <w:br/>
                      <w:t xml:space="preserve"> what’s not </w:t>
                    </w:r>
                    <w:r w:rsidRPr="00B811EE">
                      <w:rPr>
                        <w:rFonts w:ascii="Arial" w:hAnsi="Arial" w:cs="Arial"/>
                        <w:color w:val="FFFFFF" w:themeColor="background1"/>
                        <w:sz w:val="18"/>
                        <w:szCs w:val="18"/>
                      </w:rPr>
                      <w:br/>
                      <w:t>and why</w:t>
                    </w:r>
                  </w:p>
                </w:txbxContent>
              </v:textbox>
            </v:shape>
            <w10:wrap type="none"/>
            <w10:anchorlock/>
          </v:group>
        </w:pict>
      </w:r>
    </w:p>
    <w:p w:rsidR="0048340C" w:rsidRPr="00FF1A1F" w:rsidRDefault="0048340C" w:rsidP="0048340C"/>
    <w:p w:rsidR="0048340C" w:rsidRPr="00FF1A1F" w:rsidRDefault="0048340C" w:rsidP="0048340C"/>
    <w:p w:rsidR="0048340C" w:rsidRPr="00FF1A1F" w:rsidRDefault="0048340C" w:rsidP="0048340C">
      <w:pPr>
        <w:tabs>
          <w:tab w:val="left" w:pos="851"/>
        </w:tabs>
        <w:autoSpaceDE w:val="0"/>
        <w:autoSpaceDN w:val="0"/>
        <w:adjustRightInd w:val="0"/>
        <w:ind w:left="851" w:hanging="851"/>
        <w:rPr>
          <w:sz w:val="20"/>
        </w:rPr>
      </w:pPr>
      <w:proofErr w:type="gramStart"/>
      <w:r w:rsidRPr="00FF1A1F">
        <w:rPr>
          <w:b/>
          <w:sz w:val="20"/>
        </w:rPr>
        <w:t>Figure 1.</w:t>
      </w:r>
      <w:proofErr w:type="gramEnd"/>
      <w:r w:rsidRPr="00FF1A1F">
        <w:rPr>
          <w:b/>
          <w:sz w:val="20"/>
        </w:rPr>
        <w:t xml:space="preserve"> </w:t>
      </w:r>
      <w:proofErr w:type="gramStart"/>
      <w:r w:rsidRPr="00FF1A1F">
        <w:rPr>
          <w:sz w:val="20"/>
        </w:rPr>
        <w:t>Conceptual diagram of MERI cycle (Australian Government, 2009).</w:t>
      </w:r>
      <w:proofErr w:type="gramEnd"/>
    </w:p>
    <w:p w:rsidR="0048340C" w:rsidRPr="00FF1A1F" w:rsidRDefault="0048340C" w:rsidP="0048340C">
      <w:pPr>
        <w:tabs>
          <w:tab w:val="left" w:pos="709"/>
        </w:tabs>
        <w:autoSpaceDE w:val="0"/>
        <w:autoSpaceDN w:val="0"/>
        <w:adjustRightInd w:val="0"/>
        <w:ind w:left="851" w:hanging="851"/>
        <w:rPr>
          <w:b/>
          <w:sz w:val="20"/>
        </w:rPr>
      </w:pPr>
    </w:p>
    <w:p w:rsidR="0048340C" w:rsidRPr="00FF1A1F" w:rsidRDefault="0048340C" w:rsidP="0048340C"/>
    <w:p w:rsidR="00A27563" w:rsidRPr="00FF1A1F" w:rsidRDefault="00A27563" w:rsidP="00977EB1">
      <w:pPr>
        <w:keepNext/>
        <w:spacing w:after="120"/>
        <w:rPr>
          <w:color w:val="000000"/>
        </w:rPr>
      </w:pPr>
    </w:p>
    <w:p w:rsidR="00A27563" w:rsidRPr="00FF1A1F" w:rsidRDefault="00A27563" w:rsidP="00977EB1">
      <w:pPr>
        <w:keepNext/>
        <w:spacing w:after="120"/>
        <w:rPr>
          <w:color w:val="000000"/>
        </w:rPr>
      </w:pPr>
    </w:p>
    <w:p w:rsidR="00977EB1" w:rsidRPr="00FF1A1F" w:rsidRDefault="00977EB1" w:rsidP="00977EB1">
      <w:pPr>
        <w:keepNext/>
        <w:spacing w:after="120"/>
        <w:rPr>
          <w:color w:val="000000"/>
        </w:rPr>
      </w:pPr>
      <w:r w:rsidRPr="00FF1A1F">
        <w:rPr>
          <w:color w:val="000000"/>
        </w:rPr>
        <w:t>The Australian Gover</w:t>
      </w:r>
      <w:r w:rsidR="0048340C" w:rsidRPr="00FF1A1F">
        <w:rPr>
          <w:color w:val="000000"/>
        </w:rPr>
        <w:t xml:space="preserve">nment’s MERI framework </w:t>
      </w:r>
      <w:proofErr w:type="gramStart"/>
      <w:r w:rsidR="0048340C" w:rsidRPr="00FF1A1F">
        <w:rPr>
          <w:color w:val="000000"/>
        </w:rPr>
        <w:t>(</w:t>
      </w:r>
      <w:r w:rsidRPr="00FF1A1F">
        <w:rPr>
          <w:color w:val="000000"/>
        </w:rPr>
        <w:t xml:space="preserve"> Table</w:t>
      </w:r>
      <w:proofErr w:type="gramEnd"/>
      <w:r w:rsidRPr="00FF1A1F">
        <w:rPr>
          <w:color w:val="000000"/>
        </w:rPr>
        <w:t xml:space="preserve"> 1) sets out four key concepts, which are reflected in the approach taken here:</w:t>
      </w:r>
    </w:p>
    <w:p w:rsidR="00977EB1" w:rsidRPr="00FF1A1F" w:rsidRDefault="00977EB1" w:rsidP="00977EB1">
      <w:pPr>
        <w:keepNext/>
        <w:numPr>
          <w:ilvl w:val="0"/>
          <w:numId w:val="15"/>
        </w:numPr>
        <w:rPr>
          <w:color w:val="000000"/>
        </w:rPr>
      </w:pPr>
      <w:r w:rsidRPr="00FF1A1F">
        <w:rPr>
          <w:color w:val="000000"/>
        </w:rPr>
        <w:t xml:space="preserve">an </w:t>
      </w:r>
      <w:r w:rsidRPr="00FF1A1F">
        <w:rPr>
          <w:b/>
          <w:color w:val="000000"/>
        </w:rPr>
        <w:t>integrated approach</w:t>
      </w:r>
      <w:r w:rsidRPr="00FF1A1F">
        <w:rPr>
          <w:color w:val="000000"/>
        </w:rPr>
        <w:t xml:space="preserve"> to investment and program design, the planning process, evaluation and adaptive program management involving partners across jurisdictions</w:t>
      </w:r>
    </w:p>
    <w:p w:rsidR="00977EB1" w:rsidRPr="00FF1A1F" w:rsidRDefault="00977EB1" w:rsidP="00977EB1">
      <w:pPr>
        <w:keepNext/>
        <w:numPr>
          <w:ilvl w:val="0"/>
          <w:numId w:val="15"/>
        </w:numPr>
        <w:rPr>
          <w:color w:val="000000"/>
        </w:rPr>
      </w:pPr>
      <w:r w:rsidRPr="00FF1A1F">
        <w:rPr>
          <w:color w:val="000000"/>
        </w:rPr>
        <w:t xml:space="preserve">an </w:t>
      </w:r>
      <w:r w:rsidRPr="00FF1A1F">
        <w:rPr>
          <w:b/>
          <w:color w:val="000000"/>
        </w:rPr>
        <w:t>asset-based approach</w:t>
      </w:r>
      <w:r w:rsidRPr="00FF1A1F">
        <w:rPr>
          <w:color w:val="000000"/>
        </w:rPr>
        <w:t xml:space="preserve"> to evaluation that promotes target setting for the key asset classes that contribute to sustainable natural resource management</w:t>
      </w:r>
    </w:p>
    <w:p w:rsidR="00977EB1" w:rsidRPr="00FF1A1F" w:rsidRDefault="00977EB1" w:rsidP="00977EB1">
      <w:pPr>
        <w:keepNext/>
        <w:numPr>
          <w:ilvl w:val="0"/>
          <w:numId w:val="15"/>
        </w:numPr>
        <w:rPr>
          <w:color w:val="000000"/>
        </w:rPr>
      </w:pPr>
      <w:r w:rsidRPr="00FF1A1F">
        <w:rPr>
          <w:color w:val="000000"/>
        </w:rPr>
        <w:t xml:space="preserve">monitoring </w:t>
      </w:r>
      <w:r w:rsidRPr="00FF1A1F">
        <w:rPr>
          <w:b/>
          <w:color w:val="000000"/>
        </w:rPr>
        <w:t>program performance</w:t>
      </w:r>
      <w:r w:rsidRPr="00FF1A1F">
        <w:rPr>
          <w:color w:val="000000"/>
        </w:rPr>
        <w:t xml:space="preserve"> in addition to the state of and change over time in the condition of assets</w:t>
      </w:r>
    </w:p>
    <w:p w:rsidR="00977EB1" w:rsidRPr="00FF1A1F" w:rsidRDefault="00977EB1" w:rsidP="00977EB1">
      <w:pPr>
        <w:keepNext/>
        <w:numPr>
          <w:ilvl w:val="0"/>
          <w:numId w:val="15"/>
        </w:numPr>
        <w:rPr>
          <w:color w:val="000000"/>
        </w:rPr>
      </w:pPr>
      <w:proofErr w:type="gramStart"/>
      <w:r w:rsidRPr="00FF1A1F">
        <w:rPr>
          <w:color w:val="000000"/>
        </w:rPr>
        <w:t>reporting</w:t>
      </w:r>
      <w:proofErr w:type="gramEnd"/>
      <w:r w:rsidRPr="00FF1A1F">
        <w:rPr>
          <w:color w:val="000000"/>
        </w:rPr>
        <w:t xml:space="preserve"> with an emphasis on </w:t>
      </w:r>
      <w:r w:rsidRPr="00FF1A1F">
        <w:rPr>
          <w:b/>
          <w:color w:val="000000"/>
        </w:rPr>
        <w:t>outcomes and impacts</w:t>
      </w:r>
      <w:r w:rsidRPr="00FF1A1F">
        <w:rPr>
          <w:color w:val="000000"/>
        </w:rPr>
        <w:t xml:space="preserve">, including at an intermediate outcome stage. </w:t>
      </w:r>
    </w:p>
    <w:p w:rsidR="006B39B8" w:rsidRPr="00FF1A1F" w:rsidRDefault="006B39B8" w:rsidP="006B39B8">
      <w:pPr>
        <w:keepNext/>
        <w:rPr>
          <w:color w:val="000000"/>
        </w:rPr>
      </w:pPr>
    </w:p>
    <w:p w:rsidR="00977EB1" w:rsidRPr="00FF1A1F" w:rsidRDefault="00977EB1" w:rsidP="00977EB1">
      <w:pPr>
        <w:jc w:val="center"/>
      </w:pPr>
    </w:p>
    <w:p w:rsidR="00977EB1" w:rsidRPr="00FF1A1F" w:rsidRDefault="00977EB1" w:rsidP="00977EB1">
      <w:pPr>
        <w:tabs>
          <w:tab w:val="left" w:pos="709"/>
        </w:tabs>
        <w:autoSpaceDE w:val="0"/>
        <w:autoSpaceDN w:val="0"/>
        <w:adjustRightInd w:val="0"/>
        <w:ind w:left="851" w:hanging="851"/>
        <w:rPr>
          <w:sz w:val="20"/>
        </w:rPr>
      </w:pPr>
      <w:proofErr w:type="gramStart"/>
      <w:r w:rsidRPr="00FF1A1F">
        <w:rPr>
          <w:b/>
          <w:sz w:val="20"/>
        </w:rPr>
        <w:t>Table 1.</w:t>
      </w:r>
      <w:proofErr w:type="gramEnd"/>
      <w:r w:rsidRPr="00FF1A1F">
        <w:rPr>
          <w:b/>
          <w:sz w:val="20"/>
        </w:rPr>
        <w:tab/>
        <w:t xml:space="preserve"> </w:t>
      </w:r>
      <w:r w:rsidRPr="00FF1A1F">
        <w:rPr>
          <w:sz w:val="20"/>
        </w:rPr>
        <w:t>Key steps in developing MERI (adapted from Australian Government, 2009).</w:t>
      </w:r>
    </w:p>
    <w:tbl>
      <w:tblPr>
        <w:tblW w:w="5000" w:type="pct"/>
        <w:tblCellMar>
          <w:left w:w="0" w:type="dxa"/>
          <w:right w:w="0" w:type="dxa"/>
        </w:tblCellMar>
        <w:tblLook w:val="0000"/>
      </w:tblPr>
      <w:tblGrid>
        <w:gridCol w:w="2528"/>
        <w:gridCol w:w="6613"/>
      </w:tblGrid>
      <w:tr w:rsidR="00977EB1" w:rsidRPr="00FF1A1F" w:rsidTr="00F80FBC">
        <w:trPr>
          <w:trHeight w:val="60"/>
        </w:trPr>
        <w:tc>
          <w:tcPr>
            <w:tcW w:w="1383" w:type="pct"/>
            <w:tcBorders>
              <w:top w:val="single" w:sz="6" w:space="0" w:color="auto"/>
              <w:left w:val="single" w:sz="6" w:space="0" w:color="auto"/>
              <w:bottom w:val="single" w:sz="4" w:space="0" w:color="000000"/>
              <w:right w:val="single" w:sz="6" w:space="0" w:color="auto"/>
            </w:tcBorders>
            <w:shd w:val="clear" w:color="2D7994" w:fill="auto"/>
            <w:tcMar>
              <w:top w:w="113" w:type="dxa"/>
              <w:left w:w="57" w:type="dxa"/>
              <w:bottom w:w="113" w:type="dxa"/>
              <w:right w:w="57" w:type="dxa"/>
            </w:tcMar>
            <w:vAlign w:val="center"/>
          </w:tcPr>
          <w:p w:rsidR="00977EB1" w:rsidRPr="00FF1A1F" w:rsidRDefault="00977EB1" w:rsidP="00F80FBC">
            <w:pPr>
              <w:pStyle w:val="body"/>
              <w:jc w:val="center"/>
              <w:rPr>
                <w:rFonts w:ascii="Times New Roman" w:hAnsi="Times New Roman" w:cs="Times New Roman"/>
                <w:sz w:val="20"/>
                <w:szCs w:val="20"/>
              </w:rPr>
            </w:pPr>
            <w:r w:rsidRPr="00FF1A1F">
              <w:rPr>
                <w:rFonts w:ascii="Times New Roman" w:hAnsi="Times New Roman" w:cs="Times New Roman"/>
                <w:b/>
                <w:bCs/>
                <w:sz w:val="20"/>
                <w:szCs w:val="20"/>
              </w:rPr>
              <w:t>Key steps</w:t>
            </w:r>
          </w:p>
        </w:tc>
        <w:tc>
          <w:tcPr>
            <w:tcW w:w="3617" w:type="pct"/>
            <w:tcBorders>
              <w:top w:val="single" w:sz="6" w:space="0" w:color="auto"/>
              <w:left w:val="single" w:sz="6" w:space="0" w:color="auto"/>
              <w:bottom w:val="single" w:sz="4" w:space="0" w:color="000000"/>
              <w:right w:val="single" w:sz="6" w:space="0" w:color="auto"/>
            </w:tcBorders>
            <w:shd w:val="clear" w:color="2D7994" w:fill="auto"/>
            <w:tcMar>
              <w:top w:w="113" w:type="dxa"/>
              <w:left w:w="57" w:type="dxa"/>
              <w:bottom w:w="113" w:type="dxa"/>
              <w:right w:w="57" w:type="dxa"/>
            </w:tcMar>
            <w:vAlign w:val="center"/>
          </w:tcPr>
          <w:p w:rsidR="00977EB1" w:rsidRPr="00FF1A1F" w:rsidRDefault="00977EB1" w:rsidP="00F80FBC">
            <w:pPr>
              <w:pStyle w:val="body"/>
              <w:jc w:val="center"/>
              <w:rPr>
                <w:rFonts w:ascii="Times New Roman" w:hAnsi="Times New Roman" w:cs="Times New Roman"/>
                <w:sz w:val="20"/>
                <w:szCs w:val="20"/>
              </w:rPr>
            </w:pPr>
            <w:r w:rsidRPr="00FF1A1F">
              <w:rPr>
                <w:rFonts w:ascii="Times New Roman" w:hAnsi="Times New Roman" w:cs="Times New Roman"/>
                <w:b/>
                <w:bCs/>
                <w:sz w:val="20"/>
                <w:szCs w:val="20"/>
              </w:rPr>
              <w:t>Outputs</w:t>
            </w:r>
          </w:p>
        </w:tc>
      </w:tr>
      <w:tr w:rsidR="00977EB1" w:rsidRPr="00FF1A1F" w:rsidTr="00F80FBC">
        <w:trPr>
          <w:trHeight w:val="1909"/>
        </w:trPr>
        <w:tc>
          <w:tcPr>
            <w:tcW w:w="1383" w:type="pct"/>
            <w:tcBorders>
              <w:top w:val="single" w:sz="4" w:space="0" w:color="000000"/>
              <w:left w:val="single" w:sz="6" w:space="0" w:color="000000"/>
              <w:bottom w:val="single" w:sz="2" w:space="0" w:color="000000"/>
              <w:right w:val="single" w:sz="6" w:space="0" w:color="000000"/>
            </w:tcBorders>
            <w:tcMar>
              <w:top w:w="113" w:type="dxa"/>
              <w:left w:w="57" w:type="dxa"/>
              <w:bottom w:w="113" w:type="dxa"/>
              <w:right w:w="57" w:type="dxa"/>
            </w:tcMar>
          </w:tcPr>
          <w:p w:rsidR="00977EB1" w:rsidRPr="00FF1A1F" w:rsidRDefault="00977EB1" w:rsidP="00F80FBC">
            <w:pPr>
              <w:pStyle w:val="body"/>
              <w:rPr>
                <w:rFonts w:ascii="Times New Roman" w:hAnsi="Times New Roman" w:cs="Times New Roman"/>
                <w:sz w:val="20"/>
                <w:szCs w:val="20"/>
              </w:rPr>
            </w:pPr>
            <w:r w:rsidRPr="00FF1A1F">
              <w:rPr>
                <w:rFonts w:ascii="Times New Roman" w:hAnsi="Times New Roman" w:cs="Times New Roman"/>
                <w:sz w:val="20"/>
                <w:szCs w:val="20"/>
              </w:rPr>
              <w:t>Planning through program logic</w:t>
            </w:r>
          </w:p>
          <w:p w:rsidR="00977EB1" w:rsidRPr="00FF1A1F" w:rsidRDefault="00977EB1" w:rsidP="00F80FBC">
            <w:pPr>
              <w:pStyle w:val="body"/>
              <w:rPr>
                <w:rFonts w:ascii="Times New Roman" w:hAnsi="Times New Roman" w:cs="Times New Roman"/>
                <w:sz w:val="20"/>
                <w:szCs w:val="20"/>
              </w:rPr>
            </w:pPr>
          </w:p>
        </w:tc>
        <w:tc>
          <w:tcPr>
            <w:tcW w:w="3617" w:type="pct"/>
            <w:tcBorders>
              <w:top w:val="single" w:sz="4" w:space="0" w:color="000000"/>
              <w:left w:val="single" w:sz="6" w:space="0" w:color="000000"/>
              <w:bottom w:val="single" w:sz="2" w:space="0" w:color="000000"/>
              <w:right w:val="single" w:sz="6" w:space="0" w:color="000000"/>
            </w:tcBorders>
            <w:tcMar>
              <w:top w:w="113" w:type="dxa"/>
              <w:left w:w="57" w:type="dxa"/>
              <w:bottom w:w="113" w:type="dxa"/>
              <w:right w:w="57" w:type="dxa"/>
            </w:tcMar>
          </w:tcPr>
          <w:p w:rsidR="00977EB1" w:rsidRPr="00FF1A1F" w:rsidRDefault="00977EB1" w:rsidP="00F80FBC">
            <w:pPr>
              <w:pStyle w:val="Dotpoint"/>
              <w:numPr>
                <w:ilvl w:val="0"/>
                <w:numId w:val="17"/>
              </w:numPr>
              <w:spacing w:after="0"/>
              <w:rPr>
                <w:rFonts w:ascii="Times New Roman" w:hAnsi="Times New Roman" w:cs="Times New Roman"/>
                <w:sz w:val="20"/>
                <w:szCs w:val="20"/>
              </w:rPr>
            </w:pPr>
            <w:r w:rsidRPr="00FF1A1F">
              <w:rPr>
                <w:rFonts w:ascii="Times New Roman" w:hAnsi="Times New Roman" w:cs="Times New Roman"/>
                <w:sz w:val="20"/>
                <w:szCs w:val="20"/>
              </w:rPr>
              <w:t xml:space="preserve">Desired changes, and the types and extent of changes expected </w:t>
            </w:r>
            <w:r w:rsidRPr="00FF1A1F">
              <w:rPr>
                <w:rFonts w:ascii="Times New Roman" w:hAnsi="Times New Roman" w:cs="Times New Roman"/>
                <w:sz w:val="20"/>
                <w:szCs w:val="20"/>
              </w:rPr>
              <w:br/>
              <w:t>at different temporal and spatial scales</w:t>
            </w:r>
          </w:p>
          <w:p w:rsidR="00977EB1" w:rsidRPr="00FF1A1F" w:rsidRDefault="00977EB1" w:rsidP="00F80FBC">
            <w:pPr>
              <w:pStyle w:val="Dotpoint"/>
              <w:numPr>
                <w:ilvl w:val="0"/>
                <w:numId w:val="17"/>
              </w:numPr>
              <w:spacing w:after="0"/>
              <w:rPr>
                <w:rFonts w:ascii="Times New Roman" w:hAnsi="Times New Roman" w:cs="Times New Roman"/>
                <w:sz w:val="20"/>
                <w:szCs w:val="20"/>
              </w:rPr>
            </w:pPr>
            <w:r w:rsidRPr="00FF1A1F">
              <w:rPr>
                <w:rFonts w:ascii="Times New Roman" w:hAnsi="Times New Roman" w:cs="Times New Roman"/>
                <w:sz w:val="20"/>
                <w:szCs w:val="20"/>
              </w:rPr>
              <w:t>Key assumptions about how change will occur</w:t>
            </w:r>
          </w:p>
          <w:p w:rsidR="00977EB1" w:rsidRPr="00FF1A1F" w:rsidRDefault="00977EB1" w:rsidP="00F80FBC">
            <w:pPr>
              <w:pStyle w:val="Dotpoint"/>
              <w:numPr>
                <w:ilvl w:val="0"/>
                <w:numId w:val="17"/>
              </w:numPr>
              <w:spacing w:after="0"/>
              <w:rPr>
                <w:rFonts w:ascii="Times New Roman" w:hAnsi="Times New Roman" w:cs="Times New Roman"/>
                <w:sz w:val="20"/>
                <w:szCs w:val="20"/>
              </w:rPr>
            </w:pPr>
            <w:r w:rsidRPr="00FF1A1F">
              <w:rPr>
                <w:rFonts w:ascii="Times New Roman" w:hAnsi="Times New Roman" w:cs="Times New Roman"/>
                <w:sz w:val="20"/>
                <w:szCs w:val="20"/>
              </w:rPr>
              <w:t>Anticipated outputs and outcomes at each scale</w:t>
            </w:r>
          </w:p>
          <w:p w:rsidR="00977EB1" w:rsidRPr="00FF1A1F" w:rsidRDefault="00977EB1" w:rsidP="00F80FBC">
            <w:pPr>
              <w:pStyle w:val="Dotpoint"/>
              <w:numPr>
                <w:ilvl w:val="0"/>
                <w:numId w:val="17"/>
              </w:numPr>
              <w:spacing w:after="0"/>
              <w:rPr>
                <w:rFonts w:ascii="Times New Roman" w:hAnsi="Times New Roman" w:cs="Times New Roman"/>
                <w:sz w:val="20"/>
                <w:szCs w:val="20"/>
              </w:rPr>
            </w:pPr>
            <w:r w:rsidRPr="00FF1A1F">
              <w:rPr>
                <w:rFonts w:ascii="Times New Roman" w:hAnsi="Times New Roman" w:cs="Times New Roman"/>
                <w:sz w:val="20"/>
                <w:szCs w:val="20"/>
              </w:rPr>
              <w:t>Key evaluation questions and methods to enable demonstration of progress through time</w:t>
            </w:r>
          </w:p>
          <w:p w:rsidR="00977EB1" w:rsidRPr="00FF1A1F" w:rsidRDefault="00977EB1" w:rsidP="00F80FBC">
            <w:pPr>
              <w:pStyle w:val="Dotpoint"/>
              <w:numPr>
                <w:ilvl w:val="0"/>
                <w:numId w:val="17"/>
              </w:numPr>
              <w:spacing w:after="0"/>
              <w:rPr>
                <w:rFonts w:ascii="Times New Roman" w:hAnsi="Times New Roman" w:cs="Times New Roman"/>
                <w:sz w:val="20"/>
                <w:szCs w:val="20"/>
              </w:rPr>
            </w:pPr>
            <w:r w:rsidRPr="00FF1A1F">
              <w:rPr>
                <w:rFonts w:ascii="Times New Roman" w:hAnsi="Times New Roman" w:cs="Times New Roman"/>
                <w:sz w:val="20"/>
                <w:szCs w:val="20"/>
              </w:rPr>
              <w:t>Specified targets for outcomes</w:t>
            </w:r>
          </w:p>
          <w:p w:rsidR="00977EB1" w:rsidRPr="00FF1A1F" w:rsidRDefault="00977EB1" w:rsidP="00F80FBC">
            <w:pPr>
              <w:pStyle w:val="Dotpoint"/>
              <w:numPr>
                <w:ilvl w:val="0"/>
                <w:numId w:val="17"/>
              </w:numPr>
              <w:spacing w:after="0"/>
              <w:rPr>
                <w:rFonts w:ascii="Times New Roman" w:hAnsi="Times New Roman" w:cs="Times New Roman"/>
                <w:sz w:val="20"/>
                <w:szCs w:val="20"/>
              </w:rPr>
            </w:pPr>
            <w:r w:rsidRPr="00FF1A1F">
              <w:rPr>
                <w:rFonts w:ascii="Times New Roman" w:hAnsi="Times New Roman" w:cs="Times New Roman"/>
                <w:sz w:val="20"/>
                <w:szCs w:val="20"/>
              </w:rPr>
              <w:t>Indicators, both qualitative and quantitative to enable assessment of actual outcomes relative to expected outcomes.</w:t>
            </w:r>
          </w:p>
        </w:tc>
      </w:tr>
      <w:tr w:rsidR="00977EB1" w:rsidRPr="00FF1A1F" w:rsidTr="00F80FBC">
        <w:trPr>
          <w:trHeight w:val="60"/>
        </w:trPr>
        <w:tc>
          <w:tcPr>
            <w:tcW w:w="1383" w:type="pct"/>
            <w:tcBorders>
              <w:top w:val="single" w:sz="2" w:space="0" w:color="000000"/>
              <w:left w:val="single" w:sz="6" w:space="0" w:color="000000"/>
              <w:bottom w:val="single" w:sz="2" w:space="0" w:color="000000"/>
              <w:right w:val="single" w:sz="6" w:space="0" w:color="000000"/>
            </w:tcBorders>
            <w:tcMar>
              <w:top w:w="113" w:type="dxa"/>
              <w:left w:w="57" w:type="dxa"/>
              <w:bottom w:w="113" w:type="dxa"/>
              <w:right w:w="57" w:type="dxa"/>
            </w:tcMar>
          </w:tcPr>
          <w:p w:rsidR="00977EB1" w:rsidRPr="00FF1A1F" w:rsidRDefault="00977EB1" w:rsidP="00F80FBC">
            <w:pPr>
              <w:pStyle w:val="body"/>
              <w:rPr>
                <w:rFonts w:ascii="Times New Roman" w:hAnsi="Times New Roman" w:cs="Times New Roman"/>
                <w:sz w:val="20"/>
                <w:szCs w:val="20"/>
              </w:rPr>
            </w:pPr>
            <w:r w:rsidRPr="00FF1A1F">
              <w:rPr>
                <w:rFonts w:ascii="Times New Roman" w:hAnsi="Times New Roman" w:cs="Times New Roman"/>
                <w:sz w:val="20"/>
                <w:szCs w:val="20"/>
              </w:rPr>
              <w:t>Monitoring</w:t>
            </w:r>
          </w:p>
        </w:tc>
        <w:tc>
          <w:tcPr>
            <w:tcW w:w="3617" w:type="pct"/>
            <w:tcBorders>
              <w:top w:val="single" w:sz="2" w:space="0" w:color="000000"/>
              <w:left w:val="single" w:sz="6" w:space="0" w:color="000000"/>
              <w:bottom w:val="single" w:sz="2" w:space="0" w:color="000000"/>
              <w:right w:val="single" w:sz="6" w:space="0" w:color="000000"/>
            </w:tcBorders>
            <w:tcMar>
              <w:top w:w="113" w:type="dxa"/>
              <w:left w:w="57" w:type="dxa"/>
              <w:bottom w:w="113" w:type="dxa"/>
              <w:right w:w="57" w:type="dxa"/>
            </w:tcMar>
          </w:tcPr>
          <w:p w:rsidR="00977EB1" w:rsidRPr="00FF1A1F" w:rsidRDefault="00977EB1" w:rsidP="00F80FBC">
            <w:pPr>
              <w:pStyle w:val="Dotpoint"/>
              <w:numPr>
                <w:ilvl w:val="0"/>
                <w:numId w:val="18"/>
              </w:numPr>
              <w:spacing w:after="0"/>
              <w:rPr>
                <w:rFonts w:ascii="Times New Roman" w:hAnsi="Times New Roman" w:cs="Times New Roman"/>
                <w:sz w:val="20"/>
                <w:szCs w:val="20"/>
              </w:rPr>
            </w:pPr>
            <w:r w:rsidRPr="00FF1A1F">
              <w:rPr>
                <w:rFonts w:ascii="Times New Roman" w:hAnsi="Times New Roman" w:cs="Times New Roman"/>
                <w:sz w:val="20"/>
                <w:szCs w:val="20"/>
              </w:rPr>
              <w:t>Relevant data</w:t>
            </w:r>
          </w:p>
          <w:p w:rsidR="00977EB1" w:rsidRPr="00FF1A1F" w:rsidRDefault="00977EB1" w:rsidP="00F80FBC">
            <w:pPr>
              <w:pStyle w:val="Dotpoint"/>
              <w:numPr>
                <w:ilvl w:val="0"/>
                <w:numId w:val="18"/>
              </w:numPr>
              <w:spacing w:after="0"/>
              <w:rPr>
                <w:rFonts w:ascii="Times New Roman" w:hAnsi="Times New Roman" w:cs="Times New Roman"/>
                <w:sz w:val="20"/>
                <w:szCs w:val="20"/>
              </w:rPr>
            </w:pPr>
            <w:r w:rsidRPr="00FF1A1F">
              <w:rPr>
                <w:rFonts w:ascii="Times New Roman" w:hAnsi="Times New Roman" w:cs="Times New Roman"/>
                <w:sz w:val="20"/>
                <w:szCs w:val="20"/>
              </w:rPr>
              <w:t>Reflection on results of monitoring</w:t>
            </w:r>
          </w:p>
          <w:p w:rsidR="00977EB1" w:rsidRPr="00FF1A1F" w:rsidRDefault="00977EB1" w:rsidP="00F80FBC">
            <w:pPr>
              <w:pStyle w:val="Dotpoint"/>
              <w:numPr>
                <w:ilvl w:val="0"/>
                <w:numId w:val="18"/>
              </w:numPr>
              <w:spacing w:after="0"/>
              <w:rPr>
                <w:rFonts w:ascii="Times New Roman" w:hAnsi="Times New Roman" w:cs="Times New Roman"/>
                <w:sz w:val="20"/>
                <w:szCs w:val="20"/>
              </w:rPr>
            </w:pPr>
            <w:r w:rsidRPr="00FF1A1F">
              <w:rPr>
                <w:rFonts w:ascii="Times New Roman" w:hAnsi="Times New Roman" w:cs="Times New Roman"/>
                <w:sz w:val="20"/>
                <w:szCs w:val="20"/>
              </w:rPr>
              <w:t>Strategies for program improvement</w:t>
            </w:r>
          </w:p>
        </w:tc>
      </w:tr>
      <w:tr w:rsidR="00977EB1" w:rsidRPr="00FF1A1F" w:rsidTr="00F80FBC">
        <w:trPr>
          <w:trHeight w:val="60"/>
        </w:trPr>
        <w:tc>
          <w:tcPr>
            <w:tcW w:w="1383" w:type="pct"/>
            <w:tcBorders>
              <w:top w:val="single" w:sz="2" w:space="0" w:color="000000"/>
              <w:left w:val="single" w:sz="6" w:space="0" w:color="000000"/>
              <w:bottom w:val="single" w:sz="2" w:space="0" w:color="000000"/>
              <w:right w:val="single" w:sz="6" w:space="0" w:color="000000"/>
            </w:tcBorders>
            <w:tcMar>
              <w:top w:w="113" w:type="dxa"/>
              <w:left w:w="57" w:type="dxa"/>
              <w:bottom w:w="113" w:type="dxa"/>
              <w:right w:w="57" w:type="dxa"/>
            </w:tcMar>
          </w:tcPr>
          <w:p w:rsidR="00977EB1" w:rsidRPr="00FF1A1F" w:rsidRDefault="00977EB1" w:rsidP="00F80FBC">
            <w:pPr>
              <w:pStyle w:val="body"/>
              <w:rPr>
                <w:rFonts w:ascii="Times New Roman" w:hAnsi="Times New Roman" w:cs="Times New Roman"/>
                <w:sz w:val="20"/>
                <w:szCs w:val="20"/>
              </w:rPr>
            </w:pPr>
            <w:r w:rsidRPr="00FF1A1F">
              <w:rPr>
                <w:rFonts w:ascii="Times New Roman" w:hAnsi="Times New Roman" w:cs="Times New Roman"/>
                <w:sz w:val="20"/>
                <w:szCs w:val="20"/>
              </w:rPr>
              <w:t>Evaluation and reporting</w:t>
            </w:r>
          </w:p>
          <w:p w:rsidR="00977EB1" w:rsidRPr="00FF1A1F" w:rsidRDefault="00977EB1" w:rsidP="00F80FBC">
            <w:pPr>
              <w:pStyle w:val="body"/>
              <w:rPr>
                <w:rFonts w:ascii="Times New Roman" w:hAnsi="Times New Roman" w:cs="Times New Roman"/>
                <w:sz w:val="20"/>
                <w:szCs w:val="20"/>
              </w:rPr>
            </w:pPr>
          </w:p>
        </w:tc>
        <w:tc>
          <w:tcPr>
            <w:tcW w:w="3617" w:type="pct"/>
            <w:tcBorders>
              <w:top w:val="single" w:sz="2" w:space="0" w:color="000000"/>
              <w:left w:val="single" w:sz="6" w:space="0" w:color="000000"/>
              <w:bottom w:val="single" w:sz="2" w:space="0" w:color="000000"/>
              <w:right w:val="single" w:sz="6" w:space="0" w:color="000000"/>
            </w:tcBorders>
            <w:tcMar>
              <w:top w:w="113" w:type="dxa"/>
              <w:left w:w="57" w:type="dxa"/>
              <w:bottom w:w="113" w:type="dxa"/>
              <w:right w:w="57" w:type="dxa"/>
            </w:tcMar>
          </w:tcPr>
          <w:p w:rsidR="00977EB1" w:rsidRPr="00FF1A1F" w:rsidRDefault="00977EB1" w:rsidP="00F80FBC">
            <w:pPr>
              <w:pStyle w:val="Dotpoint"/>
              <w:numPr>
                <w:ilvl w:val="0"/>
                <w:numId w:val="19"/>
              </w:numPr>
              <w:spacing w:after="0"/>
              <w:rPr>
                <w:rFonts w:ascii="Times New Roman" w:hAnsi="Times New Roman" w:cs="Times New Roman"/>
                <w:sz w:val="20"/>
                <w:szCs w:val="20"/>
              </w:rPr>
            </w:pPr>
            <w:r w:rsidRPr="00FF1A1F">
              <w:rPr>
                <w:rFonts w:ascii="Times New Roman" w:hAnsi="Times New Roman" w:cs="Times New Roman"/>
                <w:sz w:val="20"/>
                <w:szCs w:val="20"/>
              </w:rPr>
              <w:t>Impact appropriateness, effectiveness, efficiency and legacy assessed at different stages of the program to determine immediate, intermediate and longer-term outcomes</w:t>
            </w:r>
          </w:p>
          <w:p w:rsidR="00977EB1" w:rsidRPr="00FF1A1F" w:rsidRDefault="00977EB1" w:rsidP="00F80FBC">
            <w:pPr>
              <w:pStyle w:val="Dotpoint"/>
              <w:numPr>
                <w:ilvl w:val="0"/>
                <w:numId w:val="19"/>
              </w:numPr>
              <w:spacing w:after="0"/>
              <w:rPr>
                <w:rFonts w:ascii="Times New Roman" w:hAnsi="Times New Roman" w:cs="Times New Roman"/>
                <w:sz w:val="20"/>
                <w:szCs w:val="20"/>
              </w:rPr>
            </w:pPr>
            <w:r w:rsidRPr="00FF1A1F">
              <w:rPr>
                <w:rFonts w:ascii="Times New Roman" w:hAnsi="Times New Roman" w:cs="Times New Roman"/>
                <w:sz w:val="20"/>
                <w:szCs w:val="20"/>
              </w:rPr>
              <w:t>Output reports</w:t>
            </w:r>
          </w:p>
          <w:p w:rsidR="00977EB1" w:rsidRPr="00FF1A1F" w:rsidRDefault="00977EB1" w:rsidP="00F80FBC">
            <w:pPr>
              <w:pStyle w:val="Dotpoint"/>
              <w:numPr>
                <w:ilvl w:val="0"/>
                <w:numId w:val="19"/>
              </w:numPr>
              <w:spacing w:after="0"/>
              <w:rPr>
                <w:rFonts w:ascii="Times New Roman" w:hAnsi="Times New Roman" w:cs="Times New Roman"/>
                <w:sz w:val="20"/>
                <w:szCs w:val="20"/>
              </w:rPr>
            </w:pPr>
            <w:r w:rsidRPr="00FF1A1F">
              <w:rPr>
                <w:rFonts w:ascii="Times New Roman" w:hAnsi="Times New Roman" w:cs="Times New Roman"/>
                <w:sz w:val="20"/>
                <w:szCs w:val="20"/>
              </w:rPr>
              <w:t xml:space="preserve">Financial reports </w:t>
            </w:r>
          </w:p>
          <w:p w:rsidR="00977EB1" w:rsidRPr="00FF1A1F" w:rsidRDefault="00977EB1" w:rsidP="00F80FBC">
            <w:pPr>
              <w:pStyle w:val="Dotpoint"/>
              <w:numPr>
                <w:ilvl w:val="0"/>
                <w:numId w:val="19"/>
              </w:numPr>
              <w:spacing w:after="0"/>
              <w:rPr>
                <w:rFonts w:ascii="Times New Roman" w:hAnsi="Times New Roman" w:cs="Times New Roman"/>
                <w:sz w:val="20"/>
                <w:szCs w:val="20"/>
              </w:rPr>
            </w:pPr>
            <w:r w:rsidRPr="00FF1A1F">
              <w:rPr>
                <w:rFonts w:ascii="Times New Roman" w:hAnsi="Times New Roman" w:cs="Times New Roman"/>
                <w:sz w:val="20"/>
                <w:szCs w:val="20"/>
              </w:rPr>
              <w:t>Outcome reports</w:t>
            </w:r>
          </w:p>
          <w:p w:rsidR="00977EB1" w:rsidRPr="00FF1A1F" w:rsidRDefault="00977EB1" w:rsidP="00F80FBC">
            <w:pPr>
              <w:pStyle w:val="Dotpoint"/>
              <w:numPr>
                <w:ilvl w:val="0"/>
                <w:numId w:val="19"/>
              </w:numPr>
              <w:spacing w:after="0"/>
              <w:rPr>
                <w:rFonts w:ascii="Times New Roman" w:hAnsi="Times New Roman" w:cs="Times New Roman"/>
                <w:sz w:val="20"/>
                <w:szCs w:val="20"/>
              </w:rPr>
            </w:pPr>
            <w:r w:rsidRPr="00FF1A1F">
              <w:rPr>
                <w:rFonts w:ascii="Times New Roman" w:hAnsi="Times New Roman" w:cs="Times New Roman"/>
                <w:sz w:val="20"/>
                <w:szCs w:val="20"/>
              </w:rPr>
              <w:t xml:space="preserve">Communications and reports on evaluation results as required </w:t>
            </w:r>
            <w:r w:rsidRPr="00FF1A1F">
              <w:rPr>
                <w:rFonts w:ascii="Times New Roman" w:hAnsi="Times New Roman" w:cs="Times New Roman"/>
                <w:sz w:val="20"/>
                <w:szCs w:val="20"/>
              </w:rPr>
              <w:br/>
              <w:t>to internal stakeholders and key external stakeholders</w:t>
            </w:r>
          </w:p>
        </w:tc>
      </w:tr>
      <w:tr w:rsidR="00977EB1" w:rsidRPr="00FF1A1F" w:rsidTr="00F80FBC">
        <w:trPr>
          <w:trHeight w:val="60"/>
        </w:trPr>
        <w:tc>
          <w:tcPr>
            <w:tcW w:w="1383" w:type="pct"/>
            <w:tcBorders>
              <w:top w:val="single" w:sz="2" w:space="0" w:color="000000"/>
              <w:left w:val="single" w:sz="6" w:space="0" w:color="000000"/>
              <w:bottom w:val="single" w:sz="4" w:space="0" w:color="000000"/>
              <w:right w:val="single" w:sz="6" w:space="0" w:color="000000"/>
            </w:tcBorders>
            <w:tcMar>
              <w:top w:w="113" w:type="dxa"/>
              <w:left w:w="57" w:type="dxa"/>
              <w:bottom w:w="113" w:type="dxa"/>
              <w:right w:w="57" w:type="dxa"/>
            </w:tcMar>
          </w:tcPr>
          <w:p w:rsidR="00977EB1" w:rsidRPr="00FF1A1F" w:rsidRDefault="00977EB1" w:rsidP="00F80FBC">
            <w:pPr>
              <w:pStyle w:val="body"/>
              <w:rPr>
                <w:rFonts w:ascii="Times New Roman" w:hAnsi="Times New Roman" w:cs="Times New Roman"/>
                <w:sz w:val="20"/>
                <w:szCs w:val="20"/>
              </w:rPr>
            </w:pPr>
            <w:r w:rsidRPr="00FF1A1F">
              <w:rPr>
                <w:rFonts w:ascii="Times New Roman" w:hAnsi="Times New Roman" w:cs="Times New Roman"/>
                <w:sz w:val="20"/>
                <w:szCs w:val="20"/>
              </w:rPr>
              <w:t>Improvement and adaptive management</w:t>
            </w:r>
          </w:p>
        </w:tc>
        <w:tc>
          <w:tcPr>
            <w:tcW w:w="3617" w:type="pct"/>
            <w:tcBorders>
              <w:top w:val="single" w:sz="2" w:space="0" w:color="000000"/>
              <w:left w:val="single" w:sz="6" w:space="0" w:color="000000"/>
              <w:bottom w:val="single" w:sz="4" w:space="0" w:color="000000"/>
              <w:right w:val="single" w:sz="6" w:space="0" w:color="000000"/>
            </w:tcBorders>
            <w:tcMar>
              <w:top w:w="113" w:type="dxa"/>
              <w:left w:w="57" w:type="dxa"/>
              <w:bottom w:w="113" w:type="dxa"/>
              <w:right w:w="57" w:type="dxa"/>
            </w:tcMar>
          </w:tcPr>
          <w:p w:rsidR="00977EB1" w:rsidRPr="00FF1A1F" w:rsidRDefault="00977EB1" w:rsidP="00F80FBC">
            <w:pPr>
              <w:pStyle w:val="Dotpoint"/>
              <w:numPr>
                <w:ilvl w:val="0"/>
                <w:numId w:val="20"/>
              </w:numPr>
              <w:spacing w:after="0"/>
              <w:rPr>
                <w:rFonts w:ascii="Times New Roman" w:hAnsi="Times New Roman" w:cs="Times New Roman"/>
                <w:sz w:val="20"/>
                <w:szCs w:val="20"/>
              </w:rPr>
            </w:pPr>
            <w:r w:rsidRPr="00FF1A1F">
              <w:rPr>
                <w:rFonts w:ascii="Times New Roman" w:hAnsi="Times New Roman" w:cs="Times New Roman"/>
                <w:sz w:val="20"/>
                <w:szCs w:val="20"/>
              </w:rPr>
              <w:t xml:space="preserve">Reflection on what is working and what is not working based </w:t>
            </w:r>
            <w:r w:rsidRPr="00FF1A1F">
              <w:rPr>
                <w:rFonts w:ascii="Times New Roman" w:hAnsi="Times New Roman" w:cs="Times New Roman"/>
                <w:sz w:val="20"/>
                <w:szCs w:val="20"/>
              </w:rPr>
              <w:br/>
              <w:t>on monitoring data and evaluation reports</w:t>
            </w:r>
          </w:p>
          <w:p w:rsidR="00977EB1" w:rsidRPr="00FF1A1F" w:rsidRDefault="00977EB1" w:rsidP="00F80FBC">
            <w:pPr>
              <w:pStyle w:val="Dotpoint"/>
              <w:numPr>
                <w:ilvl w:val="0"/>
                <w:numId w:val="20"/>
              </w:numPr>
              <w:spacing w:after="0"/>
              <w:rPr>
                <w:rFonts w:ascii="Times New Roman" w:hAnsi="Times New Roman" w:cs="Times New Roman"/>
                <w:sz w:val="20"/>
                <w:szCs w:val="20"/>
              </w:rPr>
            </w:pPr>
            <w:r w:rsidRPr="00FF1A1F">
              <w:rPr>
                <w:rFonts w:ascii="Times New Roman" w:hAnsi="Times New Roman" w:cs="Times New Roman"/>
                <w:sz w:val="20"/>
                <w:szCs w:val="20"/>
              </w:rPr>
              <w:t xml:space="preserve">Changes to program direction or arrangements based on reflection on monitoring results and outcome reports </w:t>
            </w:r>
          </w:p>
        </w:tc>
      </w:tr>
    </w:tbl>
    <w:p w:rsidR="00977EB1" w:rsidRPr="00FF1A1F" w:rsidRDefault="00977EB1" w:rsidP="00977EB1">
      <w:pPr>
        <w:pStyle w:val="Heading2"/>
        <w:numPr>
          <w:ilvl w:val="0"/>
          <w:numId w:val="0"/>
        </w:numPr>
        <w:ind w:left="576"/>
      </w:pPr>
    </w:p>
    <w:p w:rsidR="000B1B33" w:rsidRPr="00FF1A1F" w:rsidRDefault="000B1B33">
      <w:pPr>
        <w:rPr>
          <w:b/>
          <w:color w:val="000000"/>
        </w:rPr>
      </w:pPr>
      <w:r w:rsidRPr="00FF1A1F">
        <w:br w:type="page"/>
      </w:r>
    </w:p>
    <w:p w:rsidR="00977EB1" w:rsidRPr="00FF1A1F" w:rsidRDefault="00977EB1" w:rsidP="00977EB1">
      <w:pPr>
        <w:pStyle w:val="Heading2"/>
        <w:spacing w:before="120"/>
      </w:pPr>
      <w:bookmarkStart w:id="14" w:name="_Toc358367133"/>
      <w:r w:rsidRPr="00FF1A1F">
        <w:lastRenderedPageBreak/>
        <w:t>Guiding principles</w:t>
      </w:r>
      <w:bookmarkEnd w:id="14"/>
    </w:p>
    <w:p w:rsidR="00977EB1" w:rsidRPr="00FF1A1F" w:rsidRDefault="00977EB1" w:rsidP="00977EB1">
      <w:pPr>
        <w:keepNext/>
      </w:pPr>
    </w:p>
    <w:p w:rsidR="002B099D" w:rsidRPr="00FF1A1F" w:rsidRDefault="002B099D" w:rsidP="00977EB1">
      <w:pPr>
        <w:widowControl w:val="0"/>
      </w:pPr>
      <w:r w:rsidRPr="00FF1A1F">
        <w:t>T</w:t>
      </w:r>
      <w:r w:rsidR="00977EB1" w:rsidRPr="00FF1A1F">
        <w:t>he</w:t>
      </w:r>
      <w:r w:rsidRPr="00FF1A1F">
        <w:t xml:space="preserve"> CEWO will</w:t>
      </w:r>
      <w:r w:rsidR="00977EB1" w:rsidRPr="00FF1A1F">
        <w:t xml:space="preserve"> </w:t>
      </w:r>
      <w:r w:rsidRPr="00FF1A1F">
        <w:t>apply the</w:t>
      </w:r>
      <w:r w:rsidR="00977EB1" w:rsidRPr="00FF1A1F">
        <w:t xml:space="preserve"> principles </w:t>
      </w:r>
      <w:r w:rsidR="004603D6" w:rsidRPr="00FF1A1F">
        <w:t xml:space="preserve">set out in </w:t>
      </w:r>
      <w:r w:rsidRPr="00FF1A1F">
        <w:t xml:space="preserve">Chapter 13 of the Basin Plan </w:t>
      </w:r>
      <w:r w:rsidR="00A267B5" w:rsidRPr="00FF1A1F">
        <w:t>(</w:t>
      </w:r>
      <w:r w:rsidR="00A267B5" w:rsidRPr="00FF1A1F">
        <w:rPr>
          <w:u w:val="single"/>
        </w:rPr>
        <w:t>Attachment A</w:t>
      </w:r>
      <w:r w:rsidR="00A267B5" w:rsidRPr="00FF1A1F">
        <w:t xml:space="preserve">) </w:t>
      </w:r>
      <w:r w:rsidRPr="00FF1A1F">
        <w:t>in implementing monitoring</w:t>
      </w:r>
      <w:r w:rsidR="00977EB1" w:rsidRPr="00FF1A1F">
        <w:t xml:space="preserve"> and evaluation </w:t>
      </w:r>
      <w:r w:rsidRPr="00FF1A1F">
        <w:t>for</w:t>
      </w:r>
      <w:r w:rsidR="00977EB1" w:rsidRPr="00FF1A1F">
        <w:t xml:space="preserve"> Commonwealth environmental water</w:t>
      </w:r>
      <w:r w:rsidRPr="00FF1A1F">
        <w:t xml:space="preserve">. In addition, </w:t>
      </w:r>
      <w:r w:rsidR="00A267B5" w:rsidRPr="00FF1A1F">
        <w:t xml:space="preserve">the </w:t>
      </w:r>
      <w:r w:rsidR="00977EB1" w:rsidRPr="00FF1A1F">
        <w:t xml:space="preserve">following principles will be applied in </w:t>
      </w:r>
      <w:r w:rsidRPr="00FF1A1F">
        <w:t xml:space="preserve">working with states, the MDBA and others </w:t>
      </w:r>
      <w:r w:rsidR="00A267B5" w:rsidRPr="00FF1A1F">
        <w:t>in working towards coherent and complementary MERI activities within the Basin</w:t>
      </w:r>
      <w:r w:rsidR="009245AA" w:rsidRPr="00FF1A1F">
        <w:t>.</w:t>
      </w:r>
    </w:p>
    <w:p w:rsidR="00977EB1" w:rsidRPr="00FF1A1F" w:rsidRDefault="00977EB1" w:rsidP="00977EB1">
      <w:pPr>
        <w:widowControl w:val="0"/>
      </w:pPr>
    </w:p>
    <w:p w:rsidR="00977EB1" w:rsidRPr="00FF1A1F" w:rsidRDefault="00977EB1" w:rsidP="00977EB1">
      <w:pPr>
        <w:tabs>
          <w:tab w:val="num" w:pos="360"/>
        </w:tabs>
        <w:spacing w:after="120"/>
        <w:rPr>
          <w:b/>
        </w:rPr>
      </w:pPr>
      <w:r w:rsidRPr="00FF1A1F">
        <w:rPr>
          <w:b/>
        </w:rPr>
        <w:t>Principle 1</w:t>
      </w:r>
    </w:p>
    <w:p w:rsidR="00977EB1" w:rsidRPr="00FF1A1F" w:rsidRDefault="00977EB1" w:rsidP="00977EB1">
      <w:pPr>
        <w:tabs>
          <w:tab w:val="num" w:pos="360"/>
        </w:tabs>
        <w:rPr>
          <w:sz w:val="20"/>
        </w:rPr>
      </w:pPr>
      <w:r w:rsidRPr="00FF1A1F">
        <w:t>Monitoring, evaluation and reporting activities for the use of Commonwealth environmental water will complement, not duplicate or replace, existing and planned monitoring, evaluation and reporting activities.</w:t>
      </w:r>
    </w:p>
    <w:p w:rsidR="000B1B33" w:rsidRPr="00FF1A1F" w:rsidRDefault="000B1B33" w:rsidP="000B1B33">
      <w:pPr>
        <w:rPr>
          <w:b/>
        </w:rPr>
      </w:pPr>
    </w:p>
    <w:p w:rsidR="00977EB1" w:rsidRPr="00FF1A1F" w:rsidRDefault="00977EB1" w:rsidP="000B1B33">
      <w:pPr>
        <w:rPr>
          <w:b/>
        </w:rPr>
      </w:pPr>
      <w:r w:rsidRPr="00FF1A1F">
        <w:rPr>
          <w:b/>
        </w:rPr>
        <w:t xml:space="preserve">Principle </w:t>
      </w:r>
      <w:r w:rsidR="00A267B5" w:rsidRPr="00FF1A1F">
        <w:rPr>
          <w:b/>
        </w:rPr>
        <w:t>2</w:t>
      </w:r>
    </w:p>
    <w:p w:rsidR="00977EB1" w:rsidRPr="00FF1A1F" w:rsidRDefault="00977EB1" w:rsidP="00977EB1">
      <w:pPr>
        <w:keepNext/>
        <w:tabs>
          <w:tab w:val="num" w:pos="360"/>
        </w:tabs>
        <w:spacing w:after="120"/>
      </w:pPr>
      <w:r w:rsidRPr="00FF1A1F">
        <w:t xml:space="preserve">Monitoring, evaluation and reporting programs will be based on shared responsibility with partners in areas of common interest. </w:t>
      </w:r>
    </w:p>
    <w:p w:rsidR="00977EB1" w:rsidRPr="00FF1A1F" w:rsidRDefault="00977EB1" w:rsidP="000B1B33">
      <w:pPr>
        <w:keepNext/>
        <w:tabs>
          <w:tab w:val="num" w:pos="1560"/>
        </w:tabs>
        <w:spacing w:after="120"/>
        <w:ind w:left="839" w:hanging="839"/>
        <w:rPr>
          <w:sz w:val="20"/>
        </w:rPr>
      </w:pPr>
      <w:r w:rsidRPr="00FF1A1F">
        <w:tab/>
      </w:r>
      <w:r w:rsidRPr="00FF1A1F">
        <w:rPr>
          <w:sz w:val="20"/>
        </w:rPr>
        <w:t>“Partners” means any group or individual who has a participatory interest in the monitoring and evaluation of Commonwealth environmental water. This includes other environmental water managers, local groups, landholders, catchment management authorities, state agencies, environmental water advisory groups, river operators and scientific organisations.</w:t>
      </w:r>
      <w:r w:rsidR="000B1B33" w:rsidRPr="00FF1A1F">
        <w:rPr>
          <w:sz w:val="20"/>
        </w:rPr>
        <w:t xml:space="preserve"> </w:t>
      </w:r>
      <w:r w:rsidRPr="00FF1A1F">
        <w:rPr>
          <w:sz w:val="20"/>
        </w:rPr>
        <w:t>Where there is common interest, cost sharing principles described in the Commonwealth Environmental Water Business Plan will guide negotiation of costs on a case-by-case basis.</w:t>
      </w:r>
    </w:p>
    <w:p w:rsidR="00977EB1" w:rsidRPr="00FF1A1F" w:rsidRDefault="00977EB1" w:rsidP="00977EB1">
      <w:pPr>
        <w:rPr>
          <w:b/>
        </w:rPr>
      </w:pPr>
    </w:p>
    <w:p w:rsidR="00977EB1" w:rsidRPr="00FF1A1F" w:rsidRDefault="00977EB1" w:rsidP="00977EB1">
      <w:pPr>
        <w:tabs>
          <w:tab w:val="num" w:pos="360"/>
        </w:tabs>
        <w:spacing w:after="120"/>
        <w:rPr>
          <w:b/>
        </w:rPr>
      </w:pPr>
      <w:r w:rsidRPr="00FF1A1F">
        <w:rPr>
          <w:b/>
        </w:rPr>
        <w:t xml:space="preserve">Principle </w:t>
      </w:r>
      <w:r w:rsidR="00A267B5" w:rsidRPr="00FF1A1F">
        <w:rPr>
          <w:b/>
        </w:rPr>
        <w:t>3</w:t>
      </w:r>
    </w:p>
    <w:p w:rsidR="00977EB1" w:rsidRPr="00FF1A1F" w:rsidRDefault="00977EB1" w:rsidP="00977EB1">
      <w:pPr>
        <w:tabs>
          <w:tab w:val="num" w:pos="360"/>
        </w:tabs>
      </w:pPr>
      <w:r w:rsidRPr="00FF1A1F">
        <w:t>Consistent monitoring, evaluation, reporting and improvement systems will be adopted in the management of Commonwealth environmental water</w:t>
      </w:r>
      <w:r w:rsidR="00A267B5" w:rsidRPr="00FF1A1F">
        <w:t>,</w:t>
      </w:r>
      <w:r w:rsidRPr="00FF1A1F">
        <w:t xml:space="preserve"> and progress towards consistent and comparable monitoring, evaluation and reporting across the Murray-Darling Basin will be encouraged and supported.</w:t>
      </w:r>
    </w:p>
    <w:p w:rsidR="00977EB1" w:rsidRPr="00FF1A1F" w:rsidRDefault="00977EB1" w:rsidP="00977EB1">
      <w:pPr>
        <w:tabs>
          <w:tab w:val="num" w:pos="360"/>
        </w:tabs>
      </w:pPr>
    </w:p>
    <w:p w:rsidR="00977EB1" w:rsidRPr="00FF1A1F" w:rsidRDefault="00977EB1" w:rsidP="00977EB1">
      <w:pPr>
        <w:pStyle w:val="Heading2"/>
      </w:pPr>
      <w:bookmarkStart w:id="15" w:name="_Toc358367134"/>
      <w:r w:rsidRPr="00FF1A1F">
        <w:t>Scientific expertise</w:t>
      </w:r>
      <w:bookmarkEnd w:id="15"/>
    </w:p>
    <w:p w:rsidR="00977EB1" w:rsidRPr="00FF1A1F" w:rsidRDefault="00977EB1" w:rsidP="00977EB1"/>
    <w:p w:rsidR="00977EB1" w:rsidRPr="00FF1A1F" w:rsidRDefault="00977EB1" w:rsidP="00977EB1">
      <w:pPr>
        <w:pStyle w:val="Default"/>
        <w:rPr>
          <w:rFonts w:ascii="Times New Roman" w:eastAsia="Times New Roman" w:hAnsi="Times New Roman" w:cs="Times New Roman"/>
          <w:color w:val="auto"/>
          <w:szCs w:val="20"/>
        </w:rPr>
      </w:pPr>
      <w:r w:rsidRPr="00FF1A1F">
        <w:rPr>
          <w:rFonts w:ascii="Times New Roman" w:hAnsi="Times New Roman" w:cs="Times New Roman"/>
        </w:rPr>
        <w:t xml:space="preserve">Consistent with Principle </w:t>
      </w:r>
      <w:r w:rsidR="00AF73CA" w:rsidRPr="00FF1A1F">
        <w:rPr>
          <w:rFonts w:ascii="Times New Roman" w:hAnsi="Times New Roman" w:cs="Times New Roman"/>
        </w:rPr>
        <w:t>7</w:t>
      </w:r>
      <w:r w:rsidR="004603D6" w:rsidRPr="00FF1A1F">
        <w:rPr>
          <w:rFonts w:ascii="Times New Roman" w:hAnsi="Times New Roman" w:cs="Times New Roman"/>
        </w:rPr>
        <w:t xml:space="preserve"> of Chapter 13 of the Basin Plan</w:t>
      </w:r>
      <w:r w:rsidR="00AF73CA" w:rsidRPr="00FF1A1F">
        <w:rPr>
          <w:rFonts w:ascii="Times New Roman" w:hAnsi="Times New Roman" w:cs="Times New Roman"/>
        </w:rPr>
        <w:t xml:space="preserve"> (</w:t>
      </w:r>
      <w:r w:rsidR="00AF73CA" w:rsidRPr="00FF1A1F">
        <w:rPr>
          <w:rFonts w:ascii="Times New Roman" w:hAnsi="Times New Roman" w:cs="Times New Roman"/>
          <w:u w:val="single"/>
        </w:rPr>
        <w:t>Attachment A</w:t>
      </w:r>
      <w:r w:rsidR="00AF73CA" w:rsidRPr="00FF1A1F">
        <w:rPr>
          <w:rFonts w:ascii="Times New Roman" w:hAnsi="Times New Roman" w:cs="Times New Roman"/>
        </w:rPr>
        <w:t>)</w:t>
      </w:r>
      <w:r w:rsidRPr="00FF1A1F">
        <w:rPr>
          <w:rFonts w:ascii="Times New Roman" w:hAnsi="Times New Roman" w:cs="Times New Roman"/>
        </w:rPr>
        <w:t xml:space="preserve">, the </w:t>
      </w:r>
      <w:r w:rsidR="00AF73CA" w:rsidRPr="00FF1A1F">
        <w:rPr>
          <w:rFonts w:ascii="Times New Roman" w:hAnsi="Times New Roman" w:cs="Times New Roman"/>
        </w:rPr>
        <w:t>CEWO</w:t>
      </w:r>
      <w:r w:rsidRPr="00FF1A1F">
        <w:rPr>
          <w:rFonts w:ascii="Times New Roman" w:hAnsi="Times New Roman" w:cs="Times New Roman"/>
        </w:rPr>
        <w:t xml:space="preserve"> will draw on scientific advice in relation to MERI through our Environmental Water Scientific Advisory Panel (EWSAP). In addition, and where necessary, we will draw on external expertise, including from partners to design the approach to MERI implementation. </w:t>
      </w:r>
      <w:r w:rsidRPr="00FF1A1F">
        <w:rPr>
          <w:rFonts w:ascii="Times New Roman" w:eastAsia="Times New Roman" w:hAnsi="Times New Roman" w:cs="Times New Roman"/>
          <w:color w:val="auto"/>
          <w:szCs w:val="20"/>
        </w:rPr>
        <w:t xml:space="preserve">This approach will extend from planning through to </w:t>
      </w:r>
      <w:r w:rsidRPr="00FF1A1F">
        <w:rPr>
          <w:rFonts w:ascii="Times New Roman" w:hAnsi="Times New Roman" w:cs="Times New Roman"/>
        </w:rPr>
        <w:t>detailed MERI design, as well as evaluation and improvement.</w:t>
      </w:r>
      <w:r w:rsidRPr="00FF1A1F">
        <w:rPr>
          <w:rFonts w:ascii="Times New Roman" w:hAnsi="Times New Roman" w:cs="Times New Roman"/>
        </w:rPr>
        <w:tab/>
      </w:r>
    </w:p>
    <w:p w:rsidR="00977EB1" w:rsidRPr="00FF1A1F" w:rsidRDefault="00977EB1" w:rsidP="00977EB1"/>
    <w:p w:rsidR="004603D6" w:rsidRPr="00FF1A1F" w:rsidRDefault="004603D6">
      <w:pPr>
        <w:rPr>
          <w:b/>
          <w:color w:val="000000"/>
        </w:rPr>
      </w:pPr>
      <w:r w:rsidRPr="00FF1A1F">
        <w:br w:type="page"/>
      </w:r>
    </w:p>
    <w:p w:rsidR="00977EB1" w:rsidRPr="00FF1A1F" w:rsidRDefault="00977EB1" w:rsidP="00977EB1">
      <w:pPr>
        <w:pStyle w:val="Heading2"/>
      </w:pPr>
      <w:bookmarkStart w:id="16" w:name="_Toc358367135"/>
      <w:r w:rsidRPr="00FF1A1F">
        <w:lastRenderedPageBreak/>
        <w:t>Working with others</w:t>
      </w:r>
      <w:bookmarkEnd w:id="16"/>
    </w:p>
    <w:p w:rsidR="00977EB1" w:rsidRPr="00FF1A1F" w:rsidRDefault="00977EB1" w:rsidP="00977EB1">
      <w:pPr>
        <w:pStyle w:val="Heading2"/>
        <w:numPr>
          <w:ilvl w:val="0"/>
          <w:numId w:val="0"/>
        </w:numPr>
        <w:ind w:left="576"/>
      </w:pPr>
    </w:p>
    <w:p w:rsidR="00AC5DD6" w:rsidRPr="00FF1A1F" w:rsidRDefault="00AC5DD6" w:rsidP="00AC5DD6">
      <w:pPr>
        <w:rPr>
          <w:color w:val="000000"/>
        </w:rPr>
      </w:pPr>
      <w:r w:rsidRPr="00FF1A1F">
        <w:rPr>
          <w:color w:val="000000"/>
        </w:rPr>
        <w:t xml:space="preserve">The Basin Plan sets out reporting obligations and principles for undertaking monitoring and evaluation for state and Commonwealth agencies. When viewed together, these provisions broadly confer the following responsibilities: </w:t>
      </w:r>
    </w:p>
    <w:p w:rsidR="00AC5DD6" w:rsidRPr="00FF1A1F" w:rsidRDefault="00AC5DD6" w:rsidP="00AC5DD6">
      <w:pPr>
        <w:rPr>
          <w:color w:val="000000"/>
        </w:rPr>
      </w:pPr>
    </w:p>
    <w:p w:rsidR="00AC5DD6" w:rsidRPr="00FF1A1F" w:rsidRDefault="00AC5DD6" w:rsidP="00AC5DD6">
      <w:pPr>
        <w:numPr>
          <w:ilvl w:val="0"/>
          <w:numId w:val="8"/>
        </w:numPr>
        <w:spacing w:after="120"/>
      </w:pPr>
      <w:r w:rsidRPr="00FF1A1F">
        <w:t>Murray-Darling Basin Authority is responsible for reporting on the achievement of the environmental objectives of the Basin Plan at a Basin scale</w:t>
      </w:r>
    </w:p>
    <w:p w:rsidR="00AC5DD6" w:rsidRPr="00FF1A1F" w:rsidRDefault="00AC5DD6" w:rsidP="00AC5DD6">
      <w:pPr>
        <w:numPr>
          <w:ilvl w:val="0"/>
          <w:numId w:val="8"/>
        </w:numPr>
        <w:spacing w:after="120"/>
      </w:pPr>
      <w:r w:rsidRPr="00FF1A1F">
        <w:t>Basin States are responsible for reporting on the achievement of environmental objectives of the Basin Plan at an asset scale (via long-term environmental watering plans)</w:t>
      </w:r>
    </w:p>
    <w:p w:rsidR="00AC5DD6" w:rsidRPr="00FF1A1F" w:rsidRDefault="00AC5DD6" w:rsidP="00AC5DD6">
      <w:pPr>
        <w:numPr>
          <w:ilvl w:val="0"/>
          <w:numId w:val="8"/>
        </w:numPr>
        <w:spacing w:after="120"/>
      </w:pPr>
      <w:r w:rsidRPr="00FF1A1F">
        <w:t>Commonwealth Environmental Water Holder is responsible for reporting on the contribution of Commonwealth environmental water to the environmental objectives of the Basin Plan.</w:t>
      </w:r>
    </w:p>
    <w:p w:rsidR="00977EB1" w:rsidRPr="00FF1A1F" w:rsidRDefault="00977EB1" w:rsidP="00977EB1"/>
    <w:p w:rsidR="00977EB1" w:rsidRPr="00FF1A1F" w:rsidRDefault="004551C1" w:rsidP="00977EB1">
      <w:pPr>
        <w:rPr>
          <w:color w:val="000000"/>
        </w:rPr>
      </w:pPr>
      <w:r w:rsidRPr="00FF1A1F">
        <w:rPr>
          <w:color w:val="000000"/>
        </w:rPr>
        <w:t xml:space="preserve">The MDBA, </w:t>
      </w:r>
      <w:r w:rsidR="00977EB1" w:rsidRPr="00FF1A1F">
        <w:rPr>
          <w:color w:val="000000"/>
        </w:rPr>
        <w:t>Basin States, the scientific community, local groups and others have existing environmental water and aquatic health monitoring and evaluation programs and strategies in place.</w:t>
      </w:r>
      <w:r w:rsidR="001D27CA" w:rsidRPr="00FF1A1F">
        <w:rPr>
          <w:color w:val="000000"/>
        </w:rPr>
        <w:t xml:space="preserve"> Of relevance to monitoring </w:t>
      </w:r>
      <w:r w:rsidR="00943571" w:rsidRPr="00FF1A1F">
        <w:rPr>
          <w:color w:val="000000"/>
        </w:rPr>
        <w:t>and</w:t>
      </w:r>
      <w:r w:rsidR="001D27CA" w:rsidRPr="00FF1A1F">
        <w:rPr>
          <w:color w:val="000000"/>
        </w:rPr>
        <w:t xml:space="preserve"> evaluation under the Basin Plan, these include:</w:t>
      </w:r>
    </w:p>
    <w:p w:rsidR="004551C1" w:rsidRPr="00FF1A1F" w:rsidRDefault="004551C1" w:rsidP="00977EB1">
      <w:pPr>
        <w:rPr>
          <w:color w:val="000000"/>
        </w:rPr>
      </w:pPr>
    </w:p>
    <w:p w:rsidR="00977EB1" w:rsidRPr="00FF1A1F" w:rsidRDefault="00977EB1" w:rsidP="004551C1">
      <w:pPr>
        <w:numPr>
          <w:ilvl w:val="0"/>
          <w:numId w:val="8"/>
        </w:numPr>
        <w:spacing w:after="120"/>
      </w:pPr>
      <w:r w:rsidRPr="00FF1A1F">
        <w:t>Basin States are responsible for MERI activities associated with achieving the objectives set out in long-term watering plans. Together with regional natural resource management agencies the States have valuable on-ground knowledge and experience of particular ecosystem characteristics as well as the capacity to deliver, monitor and evaluate watering events efficiently and effectively.</w:t>
      </w:r>
    </w:p>
    <w:p w:rsidR="001D27CA" w:rsidRPr="00FF1A1F" w:rsidRDefault="00977EB1" w:rsidP="00977EB1">
      <w:pPr>
        <w:numPr>
          <w:ilvl w:val="0"/>
          <w:numId w:val="8"/>
        </w:numPr>
        <w:spacing w:after="120"/>
      </w:pPr>
      <w:r w:rsidRPr="00FF1A1F">
        <w:t>The Living Murray (TLM) program is administered by the MDBA and involves the delivery of TLM water, and associated monitoring and evaluation, to six sites in the southern Murray-Darling Basin. Monitoring and evaluation requirements for TLM are included under Items 7, 9, 10 and 14 of Schedule 12 of the Basin Plan.</w:t>
      </w:r>
    </w:p>
    <w:p w:rsidR="00977EB1" w:rsidRPr="00FF1A1F" w:rsidRDefault="001D27CA" w:rsidP="001D27CA">
      <w:pPr>
        <w:numPr>
          <w:ilvl w:val="0"/>
          <w:numId w:val="8"/>
        </w:numPr>
        <w:spacing w:after="120"/>
      </w:pPr>
      <w:r w:rsidRPr="00FF1A1F">
        <w:t xml:space="preserve">The Murray-Darling Basin Authority (MDBA) is responsible for monitoring and evaluating the effectiveness of the Basin Plan. As reflected in the Basin Plan principles at </w:t>
      </w:r>
      <w:r w:rsidRPr="00FF1A1F">
        <w:rPr>
          <w:u w:val="single"/>
        </w:rPr>
        <w:t>Attachment A</w:t>
      </w:r>
      <w:r w:rsidRPr="00FF1A1F">
        <w:t>, this means that the MDBA has a key role in coordinating MERI activities across the Basin.</w:t>
      </w:r>
    </w:p>
    <w:p w:rsidR="00977EB1" w:rsidRPr="00FF1A1F" w:rsidRDefault="00977EB1" w:rsidP="00977EB1">
      <w:pPr>
        <w:rPr>
          <w:color w:val="000000"/>
        </w:rPr>
      </w:pPr>
    </w:p>
    <w:p w:rsidR="00977EB1" w:rsidRPr="00FF1A1F" w:rsidRDefault="001D27CA" w:rsidP="00977EB1">
      <w:pPr>
        <w:rPr>
          <w:color w:val="000000"/>
        </w:rPr>
      </w:pPr>
      <w:r w:rsidRPr="00FF1A1F">
        <w:rPr>
          <w:color w:val="000000"/>
        </w:rPr>
        <w:t>There</w:t>
      </w:r>
      <w:r w:rsidR="00977EB1" w:rsidRPr="00FF1A1F">
        <w:rPr>
          <w:color w:val="000000"/>
        </w:rPr>
        <w:t xml:space="preserve"> are clear benefits to working cooperatively on MERI and aligning the MERI activities at the Basin, regional and local levels. It will be important to ensure that the maximum value from existing monitoring and evaluation programs is maintained, and the historical results of these programs are used effectively. </w:t>
      </w:r>
      <w:r w:rsidRPr="00FF1A1F">
        <w:rPr>
          <w:color w:val="000000"/>
        </w:rPr>
        <w:t>As the Basin Plan is implemented, there will be a need to integrate with broader jurisdictional frameworks for natural resource management.</w:t>
      </w:r>
    </w:p>
    <w:p w:rsidR="00977EB1" w:rsidRPr="00FF1A1F" w:rsidRDefault="00977EB1" w:rsidP="00977EB1">
      <w:pPr>
        <w:rPr>
          <w:color w:val="000000"/>
        </w:rPr>
      </w:pPr>
    </w:p>
    <w:p w:rsidR="003C1147" w:rsidRPr="00FF1A1F" w:rsidRDefault="006D7F8D" w:rsidP="00977EB1">
      <w:pPr>
        <w:pStyle w:val="ColorfulList-Accent11"/>
        <w:tabs>
          <w:tab w:val="left" w:pos="426"/>
        </w:tabs>
        <w:spacing w:after="120"/>
        <w:ind w:left="0"/>
        <w:contextualSpacing w:val="0"/>
        <w:rPr>
          <w:color w:val="000000"/>
        </w:rPr>
      </w:pPr>
      <w:r w:rsidRPr="00FF1A1F">
        <w:t>As summarised in Figure 2, t</w:t>
      </w:r>
      <w:r w:rsidR="00977EB1" w:rsidRPr="00FF1A1F">
        <w:t xml:space="preserve">he CEWO </w:t>
      </w:r>
      <w:r w:rsidR="00977EB1" w:rsidRPr="00FF1A1F">
        <w:rPr>
          <w:color w:val="000000"/>
        </w:rPr>
        <w:t xml:space="preserve">will continue to work with the MDBA, </w:t>
      </w:r>
      <w:r w:rsidR="003C1147" w:rsidRPr="00FF1A1F">
        <w:rPr>
          <w:color w:val="000000"/>
        </w:rPr>
        <w:t xml:space="preserve">research organisations, </w:t>
      </w:r>
      <w:r w:rsidR="00977EB1" w:rsidRPr="00FF1A1F">
        <w:rPr>
          <w:color w:val="000000"/>
        </w:rPr>
        <w:t xml:space="preserve">state agencies, regional organisations, local groups and others, such as </w:t>
      </w:r>
      <w:r w:rsidR="003C1147" w:rsidRPr="00FF1A1F">
        <w:rPr>
          <w:color w:val="000000"/>
        </w:rPr>
        <w:t>landholders (monitoring and evaluation providers)</w:t>
      </w:r>
      <w:r w:rsidR="00977EB1" w:rsidRPr="00FF1A1F">
        <w:rPr>
          <w:color w:val="000000"/>
        </w:rPr>
        <w:t xml:space="preserve">, to collect and collate relevant monitoring information that facilitates evaluation and reporting of the use of water. </w:t>
      </w:r>
    </w:p>
    <w:p w:rsidR="003C1147" w:rsidRPr="00FF1A1F" w:rsidRDefault="003C1147" w:rsidP="00977EB1">
      <w:pPr>
        <w:pStyle w:val="ColorfulList-Accent11"/>
        <w:tabs>
          <w:tab w:val="left" w:pos="426"/>
        </w:tabs>
        <w:spacing w:after="120"/>
        <w:ind w:left="0"/>
        <w:contextualSpacing w:val="0"/>
        <w:rPr>
          <w:color w:val="000000"/>
        </w:rPr>
      </w:pPr>
    </w:p>
    <w:p w:rsidR="003C1147" w:rsidRPr="00FF1A1F" w:rsidRDefault="003C1147" w:rsidP="00977EB1">
      <w:pPr>
        <w:pStyle w:val="ColorfulList-Accent11"/>
        <w:tabs>
          <w:tab w:val="left" w:pos="426"/>
        </w:tabs>
        <w:spacing w:after="120"/>
        <w:ind w:left="0"/>
        <w:contextualSpacing w:val="0"/>
        <w:rPr>
          <w:color w:val="000000"/>
        </w:rPr>
      </w:pPr>
    </w:p>
    <w:p w:rsidR="00977EB1" w:rsidRPr="00FF1A1F" w:rsidRDefault="00977EB1" w:rsidP="00977EB1">
      <w:pPr>
        <w:pStyle w:val="ColorfulList-Accent11"/>
        <w:tabs>
          <w:tab w:val="left" w:pos="426"/>
        </w:tabs>
        <w:spacing w:after="120"/>
        <w:ind w:left="0"/>
        <w:contextualSpacing w:val="0"/>
      </w:pPr>
      <w:r w:rsidRPr="00FF1A1F">
        <w:rPr>
          <w:color w:val="231F20"/>
          <w:szCs w:val="23"/>
        </w:rPr>
        <w:lastRenderedPageBreak/>
        <w:t xml:space="preserve">We will seek </w:t>
      </w:r>
      <w:r w:rsidRPr="00FF1A1F">
        <w:t>to:</w:t>
      </w:r>
    </w:p>
    <w:p w:rsidR="00977EB1" w:rsidRPr="00FF1A1F" w:rsidRDefault="00977EB1" w:rsidP="00977EB1">
      <w:pPr>
        <w:pStyle w:val="ColorfulList-Accent11"/>
        <w:numPr>
          <w:ilvl w:val="0"/>
          <w:numId w:val="7"/>
        </w:numPr>
        <w:ind w:left="714" w:hanging="357"/>
        <w:rPr>
          <w:color w:val="231F20"/>
          <w:szCs w:val="23"/>
        </w:rPr>
      </w:pPr>
      <w:r w:rsidRPr="00FF1A1F">
        <w:rPr>
          <w:color w:val="231F20"/>
          <w:szCs w:val="23"/>
        </w:rPr>
        <w:t xml:space="preserve">refine common methods and processes for monitoring, evaluation and reporting activities to reduce the risk of duplication </w:t>
      </w:r>
    </w:p>
    <w:p w:rsidR="00977EB1" w:rsidRPr="00FF1A1F" w:rsidRDefault="00977EB1" w:rsidP="00977EB1">
      <w:pPr>
        <w:pStyle w:val="ColorfulList-Accent11"/>
        <w:numPr>
          <w:ilvl w:val="0"/>
          <w:numId w:val="7"/>
        </w:numPr>
        <w:ind w:left="714" w:hanging="357"/>
        <w:rPr>
          <w:color w:val="231F20"/>
          <w:szCs w:val="23"/>
        </w:rPr>
      </w:pPr>
      <w:r w:rsidRPr="00FF1A1F">
        <w:rPr>
          <w:color w:val="231F20"/>
          <w:szCs w:val="23"/>
        </w:rPr>
        <w:t xml:space="preserve">ensure that best placed organisations will be undertaking monitoring, evaluation and reporting to support </w:t>
      </w:r>
      <w:r w:rsidRPr="00FF1A1F">
        <w:t xml:space="preserve">the CEWO </w:t>
      </w:r>
      <w:r w:rsidRPr="00FF1A1F">
        <w:rPr>
          <w:color w:val="231F20"/>
          <w:szCs w:val="23"/>
        </w:rPr>
        <w:t>program</w:t>
      </w:r>
    </w:p>
    <w:p w:rsidR="00977EB1" w:rsidRPr="00FF1A1F" w:rsidRDefault="00977EB1" w:rsidP="00977EB1">
      <w:pPr>
        <w:pStyle w:val="ColorfulList-Accent11"/>
        <w:numPr>
          <w:ilvl w:val="0"/>
          <w:numId w:val="7"/>
        </w:numPr>
        <w:ind w:left="714" w:hanging="357"/>
        <w:rPr>
          <w:color w:val="231F20"/>
          <w:szCs w:val="23"/>
        </w:rPr>
      </w:pPr>
      <w:r w:rsidRPr="00FF1A1F">
        <w:rPr>
          <w:color w:val="231F20"/>
          <w:szCs w:val="23"/>
        </w:rPr>
        <w:t xml:space="preserve">coordinate </w:t>
      </w:r>
      <w:r w:rsidRPr="00FF1A1F">
        <w:t xml:space="preserve">the CEWO’s </w:t>
      </w:r>
      <w:r w:rsidRPr="00FF1A1F">
        <w:rPr>
          <w:color w:val="231F20"/>
          <w:szCs w:val="23"/>
        </w:rPr>
        <w:t>MERI activities to ensure the best possible information is collected in a cost-effective way</w:t>
      </w:r>
    </w:p>
    <w:p w:rsidR="00977EB1" w:rsidRPr="00FF1A1F" w:rsidRDefault="00977EB1" w:rsidP="00977EB1">
      <w:pPr>
        <w:pStyle w:val="ColorfulList-Accent11"/>
        <w:numPr>
          <w:ilvl w:val="0"/>
          <w:numId w:val="7"/>
        </w:numPr>
        <w:ind w:left="714" w:hanging="357"/>
        <w:rPr>
          <w:color w:val="231F20"/>
          <w:szCs w:val="23"/>
        </w:rPr>
      </w:pPr>
      <w:r w:rsidRPr="00FF1A1F">
        <w:rPr>
          <w:color w:val="231F20"/>
          <w:szCs w:val="23"/>
        </w:rPr>
        <w:t>establish standards for collecting, managing and using information</w:t>
      </w:r>
    </w:p>
    <w:p w:rsidR="003C1147" w:rsidRPr="00FF1A1F" w:rsidRDefault="00977EB1" w:rsidP="00977EB1">
      <w:pPr>
        <w:pStyle w:val="ColorfulList-Accent11"/>
        <w:numPr>
          <w:ilvl w:val="0"/>
          <w:numId w:val="7"/>
        </w:numPr>
        <w:ind w:left="714" w:hanging="357"/>
        <w:rPr>
          <w:szCs w:val="23"/>
        </w:rPr>
      </w:pPr>
      <w:proofErr w:type="gramStart"/>
      <w:r w:rsidRPr="00FF1A1F">
        <w:rPr>
          <w:szCs w:val="23"/>
        </w:rPr>
        <w:t>establish</w:t>
      </w:r>
      <w:proofErr w:type="gramEnd"/>
      <w:r w:rsidRPr="00FF1A1F">
        <w:rPr>
          <w:szCs w:val="23"/>
        </w:rPr>
        <w:t xml:space="preserve"> methods for timely communication and reporting of all monitoring results.</w:t>
      </w:r>
    </w:p>
    <w:p w:rsidR="003C1147" w:rsidRPr="00FF1A1F" w:rsidRDefault="003C1147" w:rsidP="003C1147">
      <w:pPr>
        <w:pStyle w:val="ColorfulList-Accent11"/>
        <w:ind w:left="0"/>
        <w:rPr>
          <w:szCs w:val="23"/>
        </w:rPr>
      </w:pPr>
    </w:p>
    <w:p w:rsidR="003C1147" w:rsidRPr="00FF1A1F" w:rsidRDefault="003C1147" w:rsidP="003C1147">
      <w:pPr>
        <w:pStyle w:val="ColorfulList-Accent11"/>
        <w:ind w:left="0"/>
        <w:rPr>
          <w:szCs w:val="23"/>
        </w:rPr>
      </w:pPr>
    </w:p>
    <w:p w:rsidR="00977EB1" w:rsidRPr="00FF1A1F" w:rsidRDefault="003C1147" w:rsidP="003C1147">
      <w:pPr>
        <w:pStyle w:val="ColorfulList-Accent11"/>
        <w:ind w:left="0"/>
        <w:rPr>
          <w:szCs w:val="23"/>
        </w:rPr>
      </w:pPr>
      <w:r w:rsidRPr="00FF1A1F">
        <w:rPr>
          <w:noProof/>
          <w:szCs w:val="23"/>
          <w:lang w:eastAsia="en-AU"/>
        </w:rPr>
        <w:drawing>
          <wp:inline distT="0" distB="0" distL="0" distR="0">
            <wp:extent cx="5732145" cy="4505582"/>
            <wp:effectExtent l="19050" t="0" r="1905"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32979" cy="4663442"/>
                      <a:chOff x="460375" y="2171700"/>
                      <a:chExt cx="5932979" cy="4663442"/>
                    </a:xfrm>
                  </a:grpSpPr>
                  <a:grpSp>
                    <a:nvGrpSpPr>
                      <a:cNvPr id="2068" name="Group 117"/>
                      <a:cNvGrpSpPr>
                        <a:grpSpLocks/>
                      </a:cNvGrpSpPr>
                    </a:nvGrpSpPr>
                    <a:grpSpPr bwMode="auto">
                      <a:xfrm>
                        <a:off x="460375" y="2171700"/>
                        <a:ext cx="5932979" cy="4663442"/>
                        <a:chOff x="442913" y="2171700"/>
                        <a:chExt cx="5938838" cy="4664480"/>
                      </a:xfrm>
                    </a:grpSpPr>
                    <a:cxnSp>
                      <a:nvCxnSpPr>
                        <a:cNvPr id="79" name="Elbow Connector 78"/>
                        <a:cNvCxnSpPr/>
                      </a:nvCxnSpPr>
                      <a:spPr>
                        <a:xfrm flipV="1">
                          <a:off x="1699866" y="2568663"/>
                          <a:ext cx="1077388" cy="916192"/>
                        </a:xfrm>
                        <a:prstGeom prst="bentConnector3">
                          <a:avLst>
                            <a:gd name="adj1" fmla="val 51740"/>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72" name="Elbow Connector 71"/>
                        <a:cNvCxnSpPr/>
                      </a:nvCxnSpPr>
                      <a:spPr>
                        <a:xfrm>
                          <a:off x="1699866" y="3486443"/>
                          <a:ext cx="993167" cy="838387"/>
                        </a:xfrm>
                        <a:prstGeom prst="bentConnector3">
                          <a:avLst>
                            <a:gd name="adj1" fmla="val 55527"/>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85" name="Straight Arrow Connector 84"/>
                        <a:cNvCxnSpPr/>
                      </a:nvCxnSpPr>
                      <a:spPr>
                        <a:xfrm rot="16200000" flipH="1">
                          <a:off x="3319429" y="3864352"/>
                          <a:ext cx="793927" cy="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80" name="Straight Arrow Connector 79"/>
                        <a:cNvCxnSpPr/>
                      </a:nvCxnSpPr>
                      <a:spPr>
                        <a:xfrm rot="5400000" flipH="1" flipV="1">
                          <a:off x="2744187" y="3864352"/>
                          <a:ext cx="793927" cy="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grpSp>
                      <a:nvGrpSpPr>
                        <a:cNvPr id="7" name="Group 41"/>
                        <a:cNvGrpSpPr>
                          <a:grpSpLocks/>
                        </a:cNvGrpSpPr>
                      </a:nvGrpSpPr>
                      <a:grpSpPr bwMode="auto">
                        <a:xfrm>
                          <a:off x="442913" y="2171700"/>
                          <a:ext cx="5938838" cy="3265488"/>
                          <a:chOff x="665" y="1368"/>
                          <a:chExt cx="3741" cy="1800"/>
                        </a:xfrm>
                      </a:grpSpPr>
                      <a:sp>
                        <a:nvSpPr>
                          <a:cNvPr id="2" name="Rectangle 18"/>
                          <a:cNvSpPr>
                            <a:spLocks noChangeArrowheads="1"/>
                          </a:cNvSpPr>
                        </a:nvSpPr>
                        <a:spPr bwMode="auto">
                          <a:xfrm>
                            <a:off x="665" y="1897"/>
                            <a:ext cx="792" cy="358"/>
                          </a:xfrm>
                          <a:prstGeom prst="roundRect">
                            <a:avLst>
                              <a:gd name="adj" fmla="val 9374"/>
                            </a:avLst>
                          </a:prstGeom>
                          <a:solidFill>
                            <a:srgbClr val="B7C4DB"/>
                          </a:solidFill>
                          <a:ln w="9525">
                            <a:noFill/>
                            <a:miter lim="800000"/>
                            <a:headEnd/>
                            <a:tailEnd/>
                          </a:ln>
                          <a:effectLst/>
                          <a:scene3d>
                            <a:camera prst="orthographicFront">
                              <a:rot lat="0" lon="0" rev="0"/>
                            </a:camera>
                            <a:lightRig rig="contrasting" dir="t">
                              <a:rot lat="0" lon="0" rev="7800000"/>
                            </a:lightRig>
                          </a:scene3d>
                          <a:sp3d>
                            <a:bevelT w="139700" h="139700"/>
                          </a:sp3d>
                        </a:spPr>
                        <a:txSp>
                          <a:txBody>
                            <a:bodyPr lIns="0" tIns="3600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defRPr/>
                              </a:pPr>
                              <a:r>
                                <a:rPr lang="en-US" sz="900" b="1" dirty="0">
                                  <a:solidFill>
                                    <a:srgbClr val="000000"/>
                                  </a:solidFill>
                                  <a:cs typeface="Times New Roman" charset="0"/>
                                </a:rPr>
                                <a:t>Commonwealth</a:t>
                              </a:r>
                              <a:br>
                                <a:rPr lang="en-US" sz="900" b="1" dirty="0">
                                  <a:solidFill>
                                    <a:srgbClr val="000000"/>
                                  </a:solidFill>
                                  <a:cs typeface="Times New Roman" charset="0"/>
                                </a:rPr>
                              </a:br>
                              <a:r>
                                <a:rPr lang="en-US" sz="900" b="1" dirty="0">
                                  <a:solidFill>
                                    <a:srgbClr val="000000"/>
                                  </a:solidFill>
                                  <a:cs typeface="Times New Roman" charset="0"/>
                                </a:rPr>
                                <a:t>Environmental </a:t>
                              </a:r>
                              <a:r>
                                <a:rPr lang="en-US" sz="900" b="1" dirty="0">
                                  <a:solidFill>
                                    <a:srgbClr val="000000"/>
                                  </a:solidFill>
                                  <a:cs typeface="Times New Roman" charset="0"/>
                                </a:rPr>
                                <a:t>Water</a:t>
                              </a:r>
                            </a:p>
                            <a:p>
                              <a:pPr algn="ctr" defTabSz="914400">
                                <a:defRPr/>
                              </a:pPr>
                              <a:r>
                                <a:rPr lang="en-US" sz="900" b="1" dirty="0">
                                  <a:solidFill>
                                    <a:srgbClr val="000000"/>
                                  </a:solidFill>
                                  <a:cs typeface="Times New Roman" charset="0"/>
                                </a:rPr>
                                <a:t>Scientific Advisory Panel </a:t>
                              </a:r>
                            </a:p>
                          </a:txBody>
                          <a:useSpRect/>
                        </a:txSp>
                      </a:sp>
                      <a:sp>
                        <a:nvSpPr>
                          <a:cNvPr id="2083" name="Text Box 23"/>
                          <a:cNvSpPr txBox="1">
                            <a:spLocks noChangeArrowheads="1"/>
                          </a:cNvSpPr>
                        </a:nvSpPr>
                        <a:spPr bwMode="auto">
                          <a:xfrm>
                            <a:off x="2136" y="1368"/>
                            <a:ext cx="792" cy="714"/>
                          </a:xfrm>
                          <a:prstGeom prst="roundRect">
                            <a:avLst>
                              <a:gd name="adj" fmla="val 8326"/>
                            </a:avLst>
                          </a:prstGeom>
                          <a:solidFill>
                            <a:srgbClr val="76AC97"/>
                          </a:solidFill>
                          <a:ln w="9525">
                            <a:noFill/>
                            <a:miter lim="800000"/>
                            <a:headEnd/>
                            <a:tailEnd/>
                          </a:ln>
                          <a:effectLst/>
                          <a:scene3d>
                            <a:camera prst="orthographicFront">
                              <a:rot lat="0" lon="0" rev="0"/>
                            </a:camera>
                            <a:lightRig rig="contrasting" dir="t">
                              <a:rot lat="0" lon="0" rev="7800000"/>
                            </a:lightRig>
                          </a:scene3d>
                          <a:sp3d>
                            <a:bevelT w="139700" h="139700"/>
                          </a:sp3d>
                        </a:spPr>
                        <a:txSp>
                          <a:txBody>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defRPr/>
                              </a:pPr>
                              <a:r>
                                <a:rPr lang="en-US" sz="900" b="1" dirty="0">
                                  <a:solidFill>
                                    <a:srgbClr val="000000"/>
                                  </a:solidFill>
                                  <a:cs typeface="Times New Roman" charset="0"/>
                                </a:rPr>
                                <a:t>Commonwealth Environmental Water Holder</a:t>
                              </a:r>
                              <a:endParaRPr lang="en-US" sz="1200" dirty="0">
                                <a:latin typeface="Times New Roman" charset="0"/>
                                <a:cs typeface="Times New Roman" charset="0"/>
                              </a:endParaRPr>
                            </a:p>
                            <a:p>
                              <a:pPr algn="ctr" defTabSz="914400">
                                <a:defRPr/>
                              </a:pPr>
                              <a:endParaRPr lang="en-US" sz="900" dirty="0">
                                <a:latin typeface="Times New Roman" charset="0"/>
                                <a:cs typeface="Times New Roman" charset="0"/>
                              </a:endParaRPr>
                            </a:p>
                            <a:p>
                              <a:pPr algn="ctr" defTabSz="914400">
                                <a:defRPr/>
                              </a:pPr>
                              <a:r>
                                <a:rPr lang="en-US" sz="800" dirty="0">
                                  <a:solidFill>
                                    <a:srgbClr val="000000"/>
                                  </a:solidFill>
                                  <a:cs typeface="Times New Roman" charset="0"/>
                                </a:rPr>
                                <a:t>Decisions </a:t>
                              </a:r>
                              <a:r>
                                <a:rPr lang="en-US" sz="800" dirty="0" smtClean="0">
                                  <a:solidFill>
                                    <a:srgbClr val="000000"/>
                                  </a:solidFill>
                                  <a:cs typeface="Times New Roman" charset="0"/>
                                </a:rPr>
                                <a:t>on implementing MERI</a:t>
                              </a:r>
                              <a:endParaRPr lang="en-US" sz="800" dirty="0">
                                <a:latin typeface="Times New Roman" charset="0"/>
                                <a:cs typeface="Times New Roman" charset="0"/>
                              </a:endParaRPr>
                            </a:p>
                            <a:p>
                              <a:pPr defTabSz="914400">
                                <a:defRPr/>
                              </a:pPr>
                              <a:endParaRPr lang="en-US" sz="1200" dirty="0">
                                <a:latin typeface="Times New Roman" charset="0"/>
                                <a:cs typeface="Times New Roman" charset="0"/>
                              </a:endParaRPr>
                            </a:p>
                          </a:txBody>
                          <a:useSpRect/>
                        </a:txSp>
                      </a:sp>
                      <a:sp>
                        <a:nvSpPr>
                          <a:cNvPr id="2084" name="Text Box 24"/>
                          <a:cNvSpPr txBox="1">
                            <a:spLocks noChangeArrowheads="1"/>
                          </a:cNvSpPr>
                        </a:nvSpPr>
                        <a:spPr bwMode="auto">
                          <a:xfrm>
                            <a:off x="3614" y="1487"/>
                            <a:ext cx="792" cy="410"/>
                          </a:xfrm>
                          <a:prstGeom prst="roundRect">
                            <a:avLst>
                              <a:gd name="adj" fmla="val 7702"/>
                            </a:avLst>
                          </a:prstGeom>
                          <a:solidFill>
                            <a:srgbClr val="D29184"/>
                          </a:solidFill>
                          <a:ln w="9525">
                            <a:noFill/>
                            <a:miter lim="800000"/>
                            <a:headEnd/>
                            <a:tailEnd/>
                          </a:ln>
                          <a:effectLst/>
                          <a:scene3d>
                            <a:camera prst="orthographicFront">
                              <a:rot lat="0" lon="0" rev="0"/>
                            </a:camera>
                            <a:lightRig rig="contrasting" dir="t">
                              <a:rot lat="0" lon="0" rev="7800000"/>
                            </a:lightRig>
                          </a:scene3d>
                          <a:sp3d>
                            <a:bevelT w="139700" h="139700"/>
                          </a:sp3d>
                        </a:spPr>
                        <a:txSp>
                          <a:txBody>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defRPr/>
                              </a:pPr>
                              <a:r>
                                <a:rPr lang="en-US" sz="900" b="1" dirty="0">
                                  <a:solidFill>
                                    <a:srgbClr val="000000"/>
                                  </a:solidFill>
                                  <a:cs typeface="Times New Roman" charset="0"/>
                                </a:rPr>
                                <a:t>Murray-Darling Basin Authority</a:t>
                              </a:r>
                              <a:endParaRPr lang="en-US" sz="1200" dirty="0">
                                <a:latin typeface="Times New Roman" charset="0"/>
                                <a:cs typeface="Times New Roman" charset="0"/>
                              </a:endParaRPr>
                            </a:p>
                            <a:p>
                              <a:pPr algn="ctr" defTabSz="914400">
                                <a:defRPr/>
                              </a:pPr>
                              <a:endParaRPr lang="en-US" sz="900" dirty="0">
                                <a:latin typeface="Times New Roman" charset="0"/>
                                <a:cs typeface="Times New Roman" charset="0"/>
                              </a:endParaRPr>
                            </a:p>
                            <a:p>
                              <a:pPr algn="ctr" defTabSz="914400">
                                <a:defRPr/>
                              </a:pPr>
                              <a:r>
                                <a:rPr lang="en-US" sz="800" dirty="0">
                                  <a:solidFill>
                                    <a:srgbClr val="000000"/>
                                  </a:solidFill>
                                  <a:cs typeface="Times New Roman" charset="0"/>
                                </a:rPr>
                                <a:t>Basin Plan</a:t>
                              </a:r>
                              <a:endParaRPr lang="en-US" sz="800" dirty="0">
                                <a:latin typeface="Times New Roman" charset="0"/>
                                <a:cs typeface="Times New Roman" charset="0"/>
                              </a:endParaRPr>
                            </a:p>
                            <a:p>
                              <a:pPr defTabSz="914400">
                                <a:defRPr/>
                              </a:pPr>
                              <a:endParaRPr lang="en-US" sz="1200" dirty="0">
                                <a:latin typeface="Times New Roman" charset="0"/>
                                <a:cs typeface="Times New Roman" charset="0"/>
                              </a:endParaRPr>
                            </a:p>
                          </a:txBody>
                          <a:useSpRect/>
                        </a:txSp>
                      </a:sp>
                      <a:sp>
                        <a:nvSpPr>
                          <a:cNvPr id="4" name="Text Box 26"/>
                          <a:cNvSpPr txBox="1">
                            <a:spLocks noChangeArrowheads="1"/>
                          </a:cNvSpPr>
                        </a:nvSpPr>
                        <a:spPr bwMode="auto">
                          <a:xfrm>
                            <a:off x="2083" y="2520"/>
                            <a:ext cx="955" cy="648"/>
                          </a:xfrm>
                          <a:prstGeom prst="roundRect">
                            <a:avLst>
                              <a:gd name="adj" fmla="val 3702"/>
                            </a:avLst>
                          </a:prstGeom>
                          <a:solidFill>
                            <a:srgbClr val="A9CBBE"/>
                          </a:solidFill>
                          <a:ln w="9525">
                            <a:noFill/>
                            <a:miter lim="800000"/>
                            <a:headEnd/>
                            <a:tailEnd/>
                          </a:ln>
                          <a:effectLst/>
                          <a:scene3d>
                            <a:camera prst="orthographicFront">
                              <a:rot lat="0" lon="0" rev="0"/>
                            </a:camera>
                            <a:lightRig rig="contrasting" dir="t">
                              <a:rot lat="0" lon="0" rev="7800000"/>
                            </a:lightRig>
                          </a:scene3d>
                          <a:sp3d>
                            <a:bevelT w="139700" h="139700"/>
                          </a:sp3d>
                        </a:spPr>
                        <a:txSp>
                          <a:txBody>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defRPr/>
                              </a:pPr>
                              <a:r>
                                <a:rPr lang="en-US" sz="900" b="1" dirty="0">
                                  <a:solidFill>
                                    <a:srgbClr val="000000"/>
                                  </a:solidFill>
                                  <a:cs typeface="Times New Roman" charset="0"/>
                                </a:rPr>
                                <a:t>Commonwealth Environmental Water Office</a:t>
                              </a:r>
                            </a:p>
                            <a:p>
                              <a:pPr algn="ctr" defTabSz="914400">
                                <a:defRPr/>
                              </a:pPr>
                              <a:endParaRPr lang="en-US" sz="900" b="1" dirty="0">
                                <a:solidFill>
                                  <a:srgbClr val="000000"/>
                                </a:solidFill>
                                <a:cs typeface="Times New Roman" charset="0"/>
                              </a:endParaRPr>
                            </a:p>
                            <a:p>
                              <a:pPr algn="ctr" defTabSz="914400">
                                <a:defRPr/>
                              </a:pPr>
                              <a:r>
                                <a:rPr lang="en-US" sz="800" dirty="0">
                                  <a:solidFill>
                                    <a:srgbClr val="000000"/>
                                  </a:solidFill>
                                  <a:cs typeface="Times New Roman" charset="0"/>
                                </a:rPr>
                                <a:t>Provides advice and </a:t>
                              </a:r>
                              <a:r>
                                <a:rPr lang="en-US" sz="800" dirty="0">
                                  <a:solidFill>
                                    <a:srgbClr val="000000"/>
                                  </a:solidFill>
                                  <a:cs typeface="Times New Roman" charset="0"/>
                                </a:rPr>
                                <a:t/>
                              </a:r>
                              <a:br>
                                <a:rPr lang="en-US" sz="800" dirty="0">
                                  <a:solidFill>
                                    <a:srgbClr val="000000"/>
                                  </a:solidFill>
                                  <a:cs typeface="Times New Roman" charset="0"/>
                                </a:rPr>
                              </a:br>
                              <a:r>
                                <a:rPr lang="en-US" sz="800" dirty="0">
                                  <a:solidFill>
                                    <a:srgbClr val="000000"/>
                                  </a:solidFill>
                                  <a:cs typeface="Times New Roman" charset="0"/>
                                </a:rPr>
                                <a:t>support to Commonwealth Environmental Water Holder </a:t>
                              </a:r>
                              <a:r>
                                <a:rPr lang="en-US" sz="800" dirty="0">
                                  <a:solidFill>
                                    <a:srgbClr val="000000"/>
                                  </a:solidFill>
                                  <a:cs typeface="Times New Roman" charset="0"/>
                                </a:rPr>
                                <a:t>and implements decisions</a:t>
                              </a:r>
                            </a:p>
                            <a:p>
                              <a:pPr algn="ctr" defTabSz="914400">
                                <a:defRPr/>
                              </a:pPr>
                              <a:endParaRPr lang="en-US" sz="1200" dirty="0">
                                <a:latin typeface="Times New Roman" charset="0"/>
                                <a:cs typeface="Times New Roman" charset="0"/>
                              </a:endParaRPr>
                            </a:p>
                          </a:txBody>
                          <a:useSpRect/>
                        </a:txSp>
                      </a:sp>
                      <a:sp>
                        <a:nvSpPr>
                          <a:cNvPr id="2102" name="Rectangle 21"/>
                          <a:cNvSpPr>
                            <a:spLocks noChangeArrowheads="1"/>
                          </a:cNvSpPr>
                        </a:nvSpPr>
                        <a:spPr bwMode="auto">
                          <a:xfrm>
                            <a:off x="1642" y="2037"/>
                            <a:ext cx="360" cy="178"/>
                          </a:xfrm>
                          <a:prstGeom prst="rect">
                            <a:avLst/>
                          </a:prstGeom>
                          <a:solidFill>
                            <a:srgbClr val="FFFFFF"/>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solidFill>
                                    <a:srgbClr val="000000"/>
                                  </a:solidFill>
                                  <a:cs typeface="Times New Roman" charset="0"/>
                                </a:rPr>
                                <a:t>Independent</a:t>
                              </a:r>
                            </a:p>
                            <a:p>
                              <a:pPr algn="ctr" defTabSz="914400"/>
                              <a:r>
                                <a:rPr lang="en-US" sz="700">
                                  <a:solidFill>
                                    <a:srgbClr val="000000"/>
                                  </a:solidFill>
                                  <a:cs typeface="Times New Roman" charset="0"/>
                                </a:rPr>
                                <a:t>scientific advice</a:t>
                              </a:r>
                            </a:p>
                          </a:txBody>
                          <a:useSpRect/>
                        </a:txSp>
                      </a:sp>
                      <a:sp>
                        <a:nvSpPr>
                          <a:cNvPr id="2103" name="Rectangle 28"/>
                          <a:cNvSpPr>
                            <a:spLocks noChangeArrowheads="1"/>
                          </a:cNvSpPr>
                        </a:nvSpPr>
                        <a:spPr bwMode="auto">
                          <a:xfrm>
                            <a:off x="2037" y="2255"/>
                            <a:ext cx="544" cy="137"/>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smtClean="0">
                                  <a:solidFill>
                                    <a:srgbClr val="000000"/>
                                  </a:solidFill>
                                  <a:cs typeface="Times New Roman" charset="0"/>
                                </a:rPr>
                                <a:t>Recommendations </a:t>
                              </a:r>
                              <a:r>
                                <a:rPr lang="en-US" sz="700" dirty="0">
                                  <a:solidFill>
                                    <a:srgbClr val="000000"/>
                                  </a:solidFill>
                                  <a:cs typeface="Times New Roman" charset="0"/>
                                </a:rPr>
                                <a:t>on </a:t>
                              </a:r>
                              <a:r>
                                <a:rPr lang="en-US" sz="700" dirty="0" smtClean="0">
                                  <a:solidFill>
                                    <a:srgbClr val="000000"/>
                                  </a:solidFill>
                                  <a:cs typeface="Times New Roman" charset="0"/>
                                </a:rPr>
                                <a:t>MERI activities</a:t>
                              </a:r>
                              <a:endParaRPr lang="en-US" sz="1200" dirty="0">
                                <a:latin typeface="Times New Roman" charset="0"/>
                                <a:cs typeface="Times New Roman" charset="0"/>
                              </a:endParaRPr>
                            </a:p>
                          </a:txBody>
                          <a:useSpRect/>
                        </a:txSp>
                      </a:sp>
                      <a:sp>
                        <a:nvSpPr>
                          <a:cNvPr id="2104" name="Rectangle 28"/>
                          <a:cNvSpPr>
                            <a:spLocks noChangeArrowheads="1"/>
                          </a:cNvSpPr>
                        </a:nvSpPr>
                        <a:spPr bwMode="auto">
                          <a:xfrm>
                            <a:off x="2628" y="2255"/>
                            <a:ext cx="408" cy="120"/>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a:solidFill>
                                    <a:srgbClr val="000000"/>
                                  </a:solidFill>
                                  <a:cs typeface="Times New Roman" charset="0"/>
                                </a:rPr>
                                <a:t>Decisions for implementation</a:t>
                              </a:r>
                              <a:endParaRPr lang="en-US" sz="1200" dirty="0">
                                <a:latin typeface="Times New Roman" charset="0"/>
                                <a:cs typeface="Times New Roman" charset="0"/>
                              </a:endParaRPr>
                            </a:p>
                          </a:txBody>
                          <a:useSpRect/>
                        </a:txSp>
                      </a:sp>
                    </a:grpSp>
                    <a:sp>
                      <a:nvSpPr>
                        <a:cNvPr id="2072" name="TextBox 68"/>
                        <a:cNvSpPr txBox="1">
                          <a:spLocks noChangeArrowheads="1"/>
                        </a:cNvSpPr>
                      </a:nvSpPr>
                      <a:spPr bwMode="auto">
                        <a:xfrm>
                          <a:off x="2800352" y="6303674"/>
                          <a:ext cx="1257298" cy="532506"/>
                        </a:xfrm>
                        <a:prstGeom prst="roundRect">
                          <a:avLst>
                            <a:gd name="adj" fmla="val 8675"/>
                          </a:avLst>
                        </a:prstGeom>
                        <a:solidFill>
                          <a:srgbClr val="C0DAD0"/>
                        </a:solidFill>
                        <a:ln w="9525">
                          <a:noFill/>
                          <a:miter lim="800000"/>
                          <a:headEnd/>
                          <a:tailEnd/>
                        </a:ln>
                        <a:effectLst/>
                        <a:scene3d>
                          <a:camera prst="orthographicFront">
                            <a:rot lat="0" lon="0" rev="0"/>
                          </a:camera>
                          <a:lightRig rig="contrasting" dir="t">
                            <a:rot lat="0" lon="0" rev="7800000"/>
                          </a:lightRig>
                        </a:scene3d>
                        <a:sp3d>
                          <a:bevelT w="139700" h="139700"/>
                        </a:sp3d>
                      </a:spPr>
                      <a:txSp>
                        <a:txBody>
                          <a:bodyPr>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a:defRPr/>
                            </a:pPr>
                            <a:r>
                              <a:rPr lang="en-AU" sz="900" b="1" dirty="0" smtClean="0"/>
                              <a:t>Monitoring and Evaluation Providers</a:t>
                            </a:r>
                            <a:endParaRPr lang="en-AU" sz="900" b="1" dirty="0"/>
                          </a:p>
                        </a:txBody>
                        <a:useSpRect/>
                      </a:txSp>
                    </a:sp>
                    <a:cxnSp>
                      <a:nvCxnSpPr>
                        <a:cNvPr id="98" name="Straight Arrow Connector 97"/>
                        <a:cNvCxnSpPr/>
                      </a:nvCxnSpPr>
                      <a:spPr>
                        <a:xfrm rot="10800000" flipV="1">
                          <a:off x="4038974" y="3048195"/>
                          <a:ext cx="1085333" cy="11115"/>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sp>
                      <a:nvSpPr>
                        <a:cNvPr id="2080" name="Rectangle 21"/>
                        <a:cNvSpPr>
                          <a:spLocks noChangeArrowheads="1"/>
                        </a:cNvSpPr>
                      </a:nvSpPr>
                      <a:spPr bwMode="auto">
                        <a:xfrm>
                          <a:off x="4297363" y="2915982"/>
                          <a:ext cx="571500" cy="390525"/>
                        </a:xfrm>
                        <a:prstGeom prst="rect">
                          <a:avLst/>
                        </a:prstGeom>
                        <a:solidFill>
                          <a:srgbClr val="FFFFFF"/>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smtClean="0">
                                <a:solidFill>
                                  <a:srgbClr val="000000"/>
                                </a:solidFill>
                                <a:cs typeface="Times New Roman" charset="0"/>
                              </a:rPr>
                              <a:t>Adaptive management provisions of the Basin Plan </a:t>
                            </a:r>
                            <a:endParaRPr lang="en-US" sz="700" dirty="0">
                              <a:solidFill>
                                <a:srgbClr val="000000"/>
                              </a:solidFill>
                              <a:cs typeface="Times New Roman" charset="0"/>
                            </a:endParaRPr>
                          </a:p>
                        </a:txBody>
                        <a:useSpRect/>
                      </a:txSp>
                    </a:sp>
                    <a:cxnSp>
                      <a:nvCxnSpPr>
                        <a:cNvPr id="117" name="Elbow Connector 116"/>
                        <a:cNvCxnSpPr/>
                      </a:nvCxnSpPr>
                      <a:spPr>
                        <a:xfrm flipV="1">
                          <a:off x="4038974" y="2771909"/>
                          <a:ext cx="1085333" cy="0"/>
                        </a:xfrm>
                        <a:prstGeom prst="bentConnector3">
                          <a:avLst>
                            <a:gd name="adj1" fmla="val 50000"/>
                          </a:avLst>
                        </a:prstGeom>
                        <a:ln w="22225">
                          <a:miter lim="800000"/>
                          <a:tailEnd type="triangle"/>
                        </a:ln>
                      </a:spPr>
                      <a:style>
                        <a:lnRef idx="2">
                          <a:schemeClr val="dk1"/>
                        </a:lnRef>
                        <a:fillRef idx="0">
                          <a:schemeClr val="dk1"/>
                        </a:fillRef>
                        <a:effectRef idx="1">
                          <a:schemeClr val="dk1"/>
                        </a:effectRef>
                        <a:fontRef idx="minor">
                          <a:schemeClr val="tx1"/>
                        </a:fontRef>
                      </a:style>
                    </a:cxnSp>
                    <a:sp>
                      <a:nvSpPr>
                        <a:cNvPr id="2082" name="Rectangle 21"/>
                        <a:cNvSpPr>
                          <a:spLocks noChangeArrowheads="1"/>
                        </a:cNvSpPr>
                      </a:nvSpPr>
                      <a:spPr bwMode="auto">
                        <a:xfrm>
                          <a:off x="4297363" y="2719983"/>
                          <a:ext cx="571500" cy="123975"/>
                        </a:xfrm>
                        <a:prstGeom prst="rect">
                          <a:avLst/>
                        </a:prstGeom>
                        <a:solidFill>
                          <a:srgbClr val="FFFFFF"/>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smtClean="0">
                                <a:solidFill>
                                  <a:srgbClr val="000000"/>
                                </a:solidFill>
                                <a:cs typeface="Times New Roman" charset="0"/>
                              </a:rPr>
                              <a:t>Reporting</a:t>
                            </a:r>
                            <a:endParaRPr lang="en-US" sz="700" dirty="0">
                              <a:solidFill>
                                <a:srgbClr val="000000"/>
                              </a:solidFill>
                              <a:cs typeface="Times New Roman" charset="0"/>
                            </a:endParaRPr>
                          </a:p>
                        </a:txBody>
                        <a:useSpRect/>
                      </a:txSp>
                    </a:sp>
                    <a:cxnSp>
                      <a:nvCxnSpPr>
                        <a:cNvPr id="162" name="Straight Arrow Connector 161"/>
                        <a:cNvCxnSpPr/>
                      </a:nvCxnSpPr>
                      <a:spPr>
                        <a:xfrm rot="5400000" flipH="1" flipV="1">
                          <a:off x="2708460" y="5870605"/>
                          <a:ext cx="866968" cy="159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165" name="Straight Arrow Connector 164"/>
                        <a:cNvCxnSpPr/>
                      </a:nvCxnSpPr>
                      <a:spPr>
                        <a:xfrm rot="16200000" flipH="1">
                          <a:off x="3282908" y="5871399"/>
                          <a:ext cx="866968" cy="0"/>
                        </a:xfrm>
                        <a:prstGeom prst="straightConnector1">
                          <a:avLst/>
                        </a:prstGeom>
                        <a:ln w="22225">
                          <a:miter lim="800000"/>
                          <a:headEnd type="triangle"/>
                          <a:tailEnd type="triangle"/>
                        </a:ln>
                      </a:spPr>
                      <a:style>
                        <a:lnRef idx="2">
                          <a:schemeClr val="dk1"/>
                        </a:lnRef>
                        <a:fillRef idx="0">
                          <a:schemeClr val="dk1"/>
                        </a:fillRef>
                        <a:effectRef idx="1">
                          <a:schemeClr val="dk1"/>
                        </a:effectRef>
                        <a:fontRef idx="minor">
                          <a:schemeClr val="tx1"/>
                        </a:fontRef>
                      </a:style>
                    </a:cxnSp>
                    <a:sp>
                      <a:nvSpPr>
                        <a:cNvPr id="2085" name="Rectangle 28"/>
                        <a:cNvSpPr>
                          <a:spLocks noChangeArrowheads="1"/>
                        </a:cNvSpPr>
                      </a:nvSpPr>
                      <a:spPr bwMode="auto">
                        <a:xfrm>
                          <a:off x="2800350" y="5655592"/>
                          <a:ext cx="628650" cy="428576"/>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endParaRPr lang="en-US" sz="700" dirty="0">
                              <a:solidFill>
                                <a:srgbClr val="000000"/>
                              </a:solidFill>
                              <a:cs typeface="Times New Roman" charset="0"/>
                            </a:endParaRPr>
                          </a:p>
                          <a:p>
                            <a:pPr algn="ctr" defTabSz="914400"/>
                            <a:r>
                              <a:rPr lang="en-US" sz="700" dirty="0" smtClean="0">
                                <a:solidFill>
                                  <a:srgbClr val="000000"/>
                                </a:solidFill>
                                <a:cs typeface="Times New Roman" charset="0"/>
                              </a:rPr>
                              <a:t>Expertise </a:t>
                            </a:r>
                            <a:r>
                              <a:rPr lang="en-US" sz="700" dirty="0">
                                <a:solidFill>
                                  <a:srgbClr val="000000"/>
                                </a:solidFill>
                                <a:cs typeface="Times New Roman" charset="0"/>
                              </a:rPr>
                              <a:t>on </a:t>
                            </a:r>
                            <a:r>
                              <a:rPr lang="en-US" sz="700" dirty="0" smtClean="0">
                                <a:solidFill>
                                  <a:srgbClr val="000000"/>
                                </a:solidFill>
                                <a:cs typeface="Times New Roman" charset="0"/>
                              </a:rPr>
                              <a:t>MERI activities</a:t>
                            </a:r>
                            <a:endParaRPr lang="en-US" sz="1200" dirty="0">
                              <a:latin typeface="Times New Roman" charset="0"/>
                              <a:cs typeface="Times New Roman" charset="0"/>
                            </a:endParaRPr>
                          </a:p>
                        </a:txBody>
                        <a:useSpRect/>
                      </a:txSp>
                    </a:sp>
                    <a:sp>
                      <a:nvSpPr>
                        <a:cNvPr id="2086" name="Rectangle 28"/>
                        <a:cNvSpPr>
                          <a:spLocks noChangeArrowheads="1"/>
                        </a:cNvSpPr>
                      </a:nvSpPr>
                      <a:spPr bwMode="auto">
                        <a:xfrm>
                          <a:off x="3486549" y="5719476"/>
                          <a:ext cx="628650" cy="365562"/>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a:solidFill>
                                  <a:srgbClr val="000000"/>
                                </a:solidFill>
                                <a:cs typeface="Times New Roman" charset="0"/>
                              </a:rPr>
                              <a:t>Work together to implement  </a:t>
                            </a:r>
                            <a:r>
                              <a:rPr lang="en-US" sz="700" dirty="0" smtClean="0">
                                <a:solidFill>
                                  <a:srgbClr val="000000"/>
                                </a:solidFill>
                                <a:cs typeface="Times New Roman" charset="0"/>
                              </a:rPr>
                              <a:t>MERI activities</a:t>
                            </a:r>
                            <a:endParaRPr lang="en-US" sz="1200" dirty="0">
                              <a:latin typeface="Times New Roman" charset="0"/>
                              <a:cs typeface="Times New Roman" charset="0"/>
                            </a:endParaRPr>
                          </a:p>
                        </a:txBody>
                        <a:useSpRect/>
                      </a:txSp>
                    </a:sp>
                  </a:grpSp>
                </lc:lockedCanvas>
              </a:graphicData>
            </a:graphic>
          </wp:inline>
        </w:drawing>
      </w:r>
      <w:r w:rsidR="00977EB1" w:rsidRPr="00FF1A1F">
        <w:rPr>
          <w:szCs w:val="23"/>
        </w:rPr>
        <w:t xml:space="preserve"> </w:t>
      </w:r>
    </w:p>
    <w:p w:rsidR="003C1147" w:rsidRPr="00FF1A1F" w:rsidRDefault="003C1147" w:rsidP="003C1147">
      <w:pPr>
        <w:pStyle w:val="ColorfulList-Accent11"/>
        <w:rPr>
          <w:szCs w:val="23"/>
        </w:rPr>
      </w:pPr>
    </w:p>
    <w:p w:rsidR="003C1147" w:rsidRPr="00FF1A1F" w:rsidRDefault="003C1147" w:rsidP="003C1147">
      <w:pPr>
        <w:tabs>
          <w:tab w:val="left" w:pos="851"/>
        </w:tabs>
        <w:autoSpaceDE w:val="0"/>
        <w:autoSpaceDN w:val="0"/>
        <w:adjustRightInd w:val="0"/>
        <w:ind w:left="851" w:hanging="851"/>
        <w:rPr>
          <w:sz w:val="20"/>
        </w:rPr>
        <w:sectPr w:rsidR="003C1147" w:rsidRPr="00FF1A1F" w:rsidSect="002508CC">
          <w:headerReference w:type="default" r:id="rId15"/>
          <w:footerReference w:type="even" r:id="rId16"/>
          <w:footerReference w:type="default" r:id="rId17"/>
          <w:pgSz w:w="11907" w:h="16840" w:code="9"/>
          <w:pgMar w:top="1440" w:right="1440" w:bottom="1440" w:left="1440" w:header="720" w:footer="720" w:gutter="0"/>
          <w:cols w:space="720"/>
          <w:docGrid w:linePitch="326"/>
        </w:sectPr>
      </w:pPr>
      <w:proofErr w:type="gramStart"/>
      <w:r w:rsidRPr="00FF1A1F">
        <w:rPr>
          <w:b/>
          <w:sz w:val="20"/>
        </w:rPr>
        <w:t>Figure 2.</w:t>
      </w:r>
      <w:proofErr w:type="gramEnd"/>
      <w:r w:rsidRPr="00FF1A1F">
        <w:rPr>
          <w:b/>
          <w:sz w:val="20"/>
        </w:rPr>
        <w:t xml:space="preserve"> </w:t>
      </w:r>
      <w:proofErr w:type="gramStart"/>
      <w:r w:rsidRPr="00FF1A1F">
        <w:rPr>
          <w:sz w:val="20"/>
        </w:rPr>
        <w:t>The key relationships that support MERI activities.</w:t>
      </w:r>
      <w:proofErr w:type="gramEnd"/>
      <w:r w:rsidRPr="00FF1A1F">
        <w:rPr>
          <w:sz w:val="20"/>
        </w:rPr>
        <w:t xml:space="preserve"> Monitoring and evaluation providers may include research organisations, state agencies, regional organisations, local groups and others, such as landholders.</w:t>
      </w:r>
    </w:p>
    <w:p w:rsidR="00977EB1" w:rsidRPr="00FF1A1F" w:rsidRDefault="00977EB1" w:rsidP="00977EB1">
      <w:pPr>
        <w:pStyle w:val="Heading1"/>
      </w:pPr>
      <w:bookmarkStart w:id="17" w:name="_Toc358367136"/>
      <w:r w:rsidRPr="00FF1A1F">
        <w:lastRenderedPageBreak/>
        <w:t>Implementation of MERI for the use of Commonwealth environmental water</w:t>
      </w:r>
      <w:bookmarkEnd w:id="17"/>
    </w:p>
    <w:p w:rsidR="00977EB1" w:rsidRPr="00FF1A1F" w:rsidRDefault="00977EB1" w:rsidP="00977EB1"/>
    <w:p w:rsidR="00977EB1" w:rsidRPr="00FF1A1F" w:rsidRDefault="00977EB1" w:rsidP="00977EB1"/>
    <w:p w:rsidR="00977EB1" w:rsidRPr="00FF1A1F" w:rsidRDefault="00977EB1" w:rsidP="00977EB1">
      <w:pPr>
        <w:pStyle w:val="Heading2"/>
      </w:pPr>
      <w:bookmarkStart w:id="18" w:name="_Toc358367137"/>
      <w:r w:rsidRPr="00FF1A1F">
        <w:t>Planning using program logic</w:t>
      </w:r>
      <w:bookmarkEnd w:id="18"/>
    </w:p>
    <w:p w:rsidR="00977EB1" w:rsidRPr="00FF1A1F" w:rsidRDefault="00977EB1" w:rsidP="00977EB1">
      <w:pPr>
        <w:rPr>
          <w:color w:val="FF0000"/>
        </w:rPr>
      </w:pPr>
    </w:p>
    <w:p w:rsidR="00FD7D6F" w:rsidRPr="00FF1A1F" w:rsidRDefault="00977EB1" w:rsidP="001045C0">
      <w:r w:rsidRPr="00FF1A1F">
        <w:t xml:space="preserve">Consistent with the Australian Government MERI framework, planning using a program logic approach (as outlined in section 3) will be central to implementing this MERI framework. </w:t>
      </w:r>
      <w:r w:rsidR="00FD7D6F" w:rsidRPr="00FF1A1F">
        <w:t>Program logic is a mechanism that helps to determine when and what to evaluate so that resources can be used efficiently and effectively. It is an approach to planning that provides a rationale for how Commonwealth environmental watering contributes to long-term outcomes under the Basin Plan. It will set out immediate and intermediate-term outcomes to define progress over time, and include the activities required to achieve them. A program logic approach:</w:t>
      </w:r>
    </w:p>
    <w:p w:rsidR="00FD7D6F" w:rsidRPr="00FF1A1F" w:rsidRDefault="00FD7D6F" w:rsidP="001045C0">
      <w:pPr>
        <w:numPr>
          <w:ilvl w:val="0"/>
          <w:numId w:val="12"/>
        </w:numPr>
        <w:rPr>
          <w:color w:val="000000"/>
        </w:rPr>
      </w:pPr>
      <w:r w:rsidRPr="00FF1A1F">
        <w:rPr>
          <w:color w:val="000000"/>
        </w:rPr>
        <w:t xml:space="preserve">provides the basis for planning and decision-making </w:t>
      </w:r>
    </w:p>
    <w:p w:rsidR="00FD7D6F" w:rsidRPr="00FF1A1F" w:rsidRDefault="00FD7D6F" w:rsidP="001045C0">
      <w:pPr>
        <w:numPr>
          <w:ilvl w:val="0"/>
          <w:numId w:val="12"/>
        </w:numPr>
        <w:rPr>
          <w:color w:val="000000"/>
        </w:rPr>
      </w:pPr>
      <w:r w:rsidRPr="00FF1A1F">
        <w:rPr>
          <w:color w:val="000000"/>
        </w:rPr>
        <w:t>promotes efficient and effective monitoring and evaluation of the ecological response to environmental water</w:t>
      </w:r>
    </w:p>
    <w:p w:rsidR="00FD7D6F" w:rsidRPr="00FF1A1F" w:rsidRDefault="00FD7D6F" w:rsidP="001045C0">
      <w:pPr>
        <w:numPr>
          <w:ilvl w:val="0"/>
          <w:numId w:val="12"/>
        </w:numPr>
        <w:rPr>
          <w:color w:val="000000"/>
        </w:rPr>
      </w:pPr>
      <w:r w:rsidRPr="00FF1A1F">
        <w:rPr>
          <w:color w:val="000000"/>
        </w:rPr>
        <w:t>guides adaptive management of watering activities to better meet the environmental objectives set out in Basin Plan’s environmental watering plan</w:t>
      </w:r>
    </w:p>
    <w:p w:rsidR="00FD7D6F" w:rsidRPr="00FF1A1F" w:rsidRDefault="00FD7D6F" w:rsidP="001045C0">
      <w:pPr>
        <w:numPr>
          <w:ilvl w:val="0"/>
          <w:numId w:val="12"/>
        </w:numPr>
        <w:rPr>
          <w:color w:val="000000"/>
        </w:rPr>
      </w:pPr>
      <w:proofErr w:type="gramStart"/>
      <w:r w:rsidRPr="00FF1A1F">
        <w:rPr>
          <w:color w:val="000000"/>
        </w:rPr>
        <w:t>promotes</w:t>
      </w:r>
      <w:proofErr w:type="gramEnd"/>
      <w:r w:rsidRPr="00FF1A1F">
        <w:rPr>
          <w:color w:val="000000"/>
        </w:rPr>
        <w:t xml:space="preserve"> a shared understanding of the program both internally and externally.</w:t>
      </w:r>
    </w:p>
    <w:p w:rsidR="00977EB1" w:rsidRPr="00FF1A1F" w:rsidRDefault="00977EB1" w:rsidP="00977EB1"/>
    <w:p w:rsidR="00943571" w:rsidRPr="00FF1A1F" w:rsidRDefault="00977EB1" w:rsidP="00977EB1">
      <w:r w:rsidRPr="00FF1A1F">
        <w:t>The approach to Commonwealth environmental watering will be adapted and improved over time with experience and new knowledge</w:t>
      </w:r>
      <w:r w:rsidR="009245AA" w:rsidRPr="00FF1A1F">
        <w:t>. A</w:t>
      </w:r>
      <w:r w:rsidRPr="00FF1A1F">
        <w:t xml:space="preserve"> program logic approach is being implemented through the relevant planning documents that guide use of Commonwealth environmental water. An outline of this approach is shown in Figure 3. It sets out how outcomes over the immediate, intermediate and long-terms will be established through planning, to contribute to the goal of protecting and restoring environmental assets of the Murray-Darling Basin. </w:t>
      </w:r>
      <w:r w:rsidR="009245AA" w:rsidRPr="00FF1A1F">
        <w:t xml:space="preserve">The program logic for Commonwealth environmental water is summarised as expected outcomes in the annual water use options at: </w:t>
      </w:r>
      <w:r w:rsidR="00943571" w:rsidRPr="00FF1A1F">
        <w:t>www.environment.gov.au/ewater/publications/index.html</w:t>
      </w:r>
    </w:p>
    <w:p w:rsidR="00977EB1" w:rsidRPr="00FF1A1F" w:rsidRDefault="00977EB1" w:rsidP="00977EB1"/>
    <w:p w:rsidR="00977EB1" w:rsidRPr="00FF1A1F" w:rsidRDefault="00977EB1" w:rsidP="00977EB1">
      <w:r w:rsidRPr="00FF1A1F">
        <w:t>The relevant planning documents (annual watering options; long-term portfolio management strategies; and the Basin Plan’s environmental watering plan) will be developed and improved over time and will:</w:t>
      </w:r>
    </w:p>
    <w:p w:rsidR="00977EB1" w:rsidRPr="00FF1A1F" w:rsidRDefault="00977EB1" w:rsidP="00977EB1">
      <w:pPr>
        <w:numPr>
          <w:ilvl w:val="0"/>
          <w:numId w:val="12"/>
        </w:numPr>
        <w:rPr>
          <w:color w:val="000000"/>
        </w:rPr>
      </w:pPr>
      <w:r w:rsidRPr="00FF1A1F">
        <w:rPr>
          <w:color w:val="000000"/>
        </w:rPr>
        <w:t>identify immediate and intermediate-term outcomes to define progress over time, and include the activities required to achieve them</w:t>
      </w:r>
    </w:p>
    <w:p w:rsidR="00977EB1" w:rsidRPr="00FF1A1F" w:rsidRDefault="00977EB1" w:rsidP="00977EB1">
      <w:pPr>
        <w:numPr>
          <w:ilvl w:val="0"/>
          <w:numId w:val="12"/>
        </w:numPr>
        <w:rPr>
          <w:color w:val="000000"/>
        </w:rPr>
      </w:pPr>
      <w:r w:rsidRPr="00FF1A1F">
        <w:rPr>
          <w:color w:val="000000"/>
        </w:rPr>
        <w:t>define targets to enable monitoring and evaluation of progress over a range of timeframes and spatial scales</w:t>
      </w:r>
    </w:p>
    <w:p w:rsidR="00977EB1" w:rsidRPr="00FF1A1F" w:rsidRDefault="00977EB1" w:rsidP="00977EB1">
      <w:pPr>
        <w:numPr>
          <w:ilvl w:val="0"/>
          <w:numId w:val="12"/>
        </w:numPr>
        <w:rPr>
          <w:color w:val="000000"/>
        </w:rPr>
      </w:pPr>
      <w:proofErr w:type="gramStart"/>
      <w:r w:rsidRPr="00FF1A1F">
        <w:t>identify</w:t>
      </w:r>
      <w:proofErr w:type="gramEnd"/>
      <w:r w:rsidRPr="00FF1A1F">
        <w:t xml:space="preserve"> knowledge gaps relating to Commonwealth environmental watering and consideration of foundational activities and processes to fill these. </w:t>
      </w:r>
    </w:p>
    <w:p w:rsidR="00977EB1" w:rsidRPr="00FF1A1F" w:rsidRDefault="00977EB1" w:rsidP="00977EB1">
      <w:pPr>
        <w:ind w:left="720"/>
        <w:rPr>
          <w:color w:val="000000"/>
        </w:rPr>
      </w:pPr>
    </w:p>
    <w:p w:rsidR="00977EB1" w:rsidRPr="00FF1A1F" w:rsidRDefault="00977EB1" w:rsidP="00977EB1">
      <w:r w:rsidRPr="00FF1A1F">
        <w:t xml:space="preserve">The CEWO already develops, in conjunction with delivery partners, watering options for every catchment where water is held. These are considered in the context of wider portfolio management strategies. The alignment of the relevant planning documents and MERI activities with the immediate, intermediate and long term timeframes is summarised in Table 2.  </w:t>
      </w:r>
    </w:p>
    <w:p w:rsidR="00977EB1" w:rsidRPr="00FF1A1F" w:rsidRDefault="00977EB1" w:rsidP="00977EB1">
      <w:pPr>
        <w:jc w:val="both"/>
        <w:rPr>
          <w:b/>
        </w:rPr>
      </w:pPr>
      <w:r w:rsidRPr="00FF1A1F">
        <w:rPr>
          <w:b/>
        </w:rPr>
        <w:br w:type="page"/>
      </w:r>
    </w:p>
    <w:p w:rsidR="00977EB1" w:rsidRPr="00FF1A1F" w:rsidRDefault="00977EB1" w:rsidP="00977EB1">
      <w:pPr>
        <w:jc w:val="both"/>
        <w:rPr>
          <w:b/>
        </w:rPr>
      </w:pPr>
    </w:p>
    <w:p w:rsidR="00977EB1" w:rsidRPr="00FF1A1F" w:rsidRDefault="002C1024" w:rsidP="00977EB1">
      <w:pPr>
        <w:jc w:val="both"/>
        <w:rPr>
          <w:b/>
          <w:szCs w:val="24"/>
        </w:rPr>
      </w:pPr>
      <w:r w:rsidRPr="002C1024">
        <w:rPr>
          <w:noProof/>
          <w:szCs w:val="24"/>
          <w:lang w:eastAsia="en-AU"/>
        </w:rPr>
        <w:pict>
          <v:roundrect id="AutoShape 65" o:spid="_x0000_s1175" style="position:absolute;left:0;text-align:left;margin-left:98pt;margin-top:3pt;width:35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" fillcolor="#fde9d9 [665]" strokecolor="#e36c0a [2409]" strokeweight="1pt">
            <v:textbox>
              <w:txbxContent>
                <w:p w:rsidR="003C1147" w:rsidRDefault="003C1147" w:rsidP="00977EB1">
                  <w:pPr>
                    <w:jc w:val="both"/>
                    <w:rPr>
                      <w:sz w:val="20"/>
                    </w:rPr>
                  </w:pPr>
                  <w:proofErr w:type="gramStart"/>
                  <w:r>
                    <w:rPr>
                      <w:sz w:val="20"/>
                    </w:rPr>
                    <w:t>To protect and restore the environmental assets of the Murray-Darling Basin.</w:t>
                  </w:r>
                  <w:proofErr w:type="gramEnd"/>
                  <w:r>
                    <w:rPr>
                      <w:sz w:val="20"/>
                    </w:rPr>
                    <w:t xml:space="preserve"> </w:t>
                  </w:r>
                </w:p>
              </w:txbxContent>
            </v:textbox>
          </v:roundrect>
        </w:pict>
      </w:r>
      <w:r w:rsidR="00977EB1" w:rsidRPr="00FF1A1F">
        <w:rPr>
          <w:b/>
          <w:szCs w:val="24"/>
        </w:rPr>
        <w:t>Goal</w:t>
      </w:r>
    </w:p>
    <w:p w:rsidR="00977EB1" w:rsidRPr="00FF1A1F" w:rsidRDefault="00977EB1" w:rsidP="00977EB1">
      <w:pPr>
        <w:jc w:val="both"/>
        <w:rPr>
          <w:b/>
          <w:szCs w:val="24"/>
        </w:rPr>
      </w:pPr>
      <w:r w:rsidRPr="00FF1A1F">
        <w:rPr>
          <w:b/>
          <w:szCs w:val="24"/>
        </w:rPr>
        <w:tab/>
      </w:r>
      <w:r w:rsidRPr="00FF1A1F">
        <w:rPr>
          <w:b/>
          <w:szCs w:val="24"/>
        </w:rPr>
        <w:tab/>
      </w:r>
      <w:r w:rsidRPr="00FF1A1F">
        <w:rPr>
          <w:b/>
          <w:szCs w:val="24"/>
        </w:rPr>
        <w:tab/>
      </w:r>
    </w:p>
    <w:p w:rsidR="00977EB1" w:rsidRPr="00FF1A1F" w:rsidRDefault="002C1024" w:rsidP="00977EB1">
      <w:pPr>
        <w:jc w:val="both"/>
        <w:rPr>
          <w:b/>
          <w:szCs w:val="24"/>
        </w:rPr>
      </w:pPr>
      <w:r w:rsidRPr="002C1024">
        <w:rPr>
          <w:noProof/>
          <w:szCs w:val="24"/>
          <w:lang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0" o:spid="_x0000_s1180" type="#_x0000_t68" style="position:absolute;left:0;text-align:left;margin-left:261.95pt;margin-top:4.7pt;width:18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" fillcolor="#fabf8f [1945]" strokecolor="#f79646 [3209]" strokeweight="1pt">
            <v:fill color2="#f79646 [3209]" focus="50%" type="gradient"/>
            <v:shadow on="t" color="#974706 [1609]" offset="1pt"/>
          </v:shape>
        </w:pict>
      </w:r>
    </w:p>
    <w:p w:rsidR="00977EB1" w:rsidRPr="00FF1A1F" w:rsidRDefault="00977EB1" w:rsidP="00977EB1">
      <w:pPr>
        <w:jc w:val="both"/>
        <w:rPr>
          <w:b/>
          <w:szCs w:val="24"/>
        </w:rPr>
      </w:pPr>
    </w:p>
    <w:p w:rsidR="00977EB1" w:rsidRPr="00FF1A1F" w:rsidRDefault="002C1024" w:rsidP="00977EB1">
      <w:pPr>
        <w:jc w:val="both"/>
        <w:rPr>
          <w:b/>
          <w:szCs w:val="24"/>
        </w:rPr>
      </w:pPr>
      <w:r w:rsidRPr="002C1024">
        <w:rPr>
          <w:noProof/>
          <w:szCs w:val="24"/>
          <w:lang w:eastAsia="en-AU"/>
        </w:rPr>
        <w:pict>
          <v:roundrect id="AutoShape 66" o:spid="_x0000_s1176" style="position:absolute;left:0;text-align:left;margin-left:100.4pt;margin-top:5.65pt;width:349.6pt;height:8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" fillcolor="#fde9d9 [665]" strokecolor="#e36c0a [2409]" strokeweight="1pt">
            <v:textbox>
              <w:txbxContent>
                <w:p w:rsidR="003C1147" w:rsidRDefault="003C1147" w:rsidP="00977EB1">
                  <w:pPr>
                    <w:jc w:val="both"/>
                    <w:rPr>
                      <w:sz w:val="20"/>
                    </w:rPr>
                  </w:pPr>
                  <w:r>
                    <w:rPr>
                      <w:sz w:val="20"/>
                    </w:rPr>
                    <w:t>The outcomes over the long-term are contributions to the objectives of the Basin Plan - Environmental Watering Plan to:</w:t>
                  </w:r>
                </w:p>
                <w:p w:rsidR="003C1147" w:rsidRDefault="003C1147" w:rsidP="00977EB1">
                  <w:pPr>
                    <w:numPr>
                      <w:ilvl w:val="0"/>
                      <w:numId w:val="42"/>
                    </w:numPr>
                    <w:tabs>
                      <w:tab w:val="clear" w:pos="720"/>
                      <w:tab w:val="num" w:pos="0"/>
                    </w:tabs>
                    <w:ind w:left="180" w:hanging="180"/>
                    <w:jc w:val="both"/>
                    <w:rPr>
                      <w:sz w:val="20"/>
                    </w:rPr>
                  </w:pPr>
                  <w:r>
                    <w:rPr>
                      <w:sz w:val="20"/>
                    </w:rPr>
                    <w:t>protect and restore water-dependent ecosystems of the Murray-Darling Basin</w:t>
                  </w:r>
                </w:p>
                <w:p w:rsidR="003C1147" w:rsidRDefault="003C1147" w:rsidP="00977EB1">
                  <w:pPr>
                    <w:numPr>
                      <w:ilvl w:val="0"/>
                      <w:numId w:val="42"/>
                    </w:numPr>
                    <w:tabs>
                      <w:tab w:val="clear" w:pos="720"/>
                      <w:tab w:val="num" w:pos="0"/>
                    </w:tabs>
                    <w:ind w:left="180" w:hanging="180"/>
                    <w:jc w:val="both"/>
                    <w:rPr>
                      <w:sz w:val="20"/>
                    </w:rPr>
                  </w:pPr>
                  <w:r>
                    <w:rPr>
                      <w:sz w:val="20"/>
                    </w:rPr>
                    <w:t>protect and restore the ecosystem functions of water-dependent ecosystems</w:t>
                  </w:r>
                </w:p>
                <w:p w:rsidR="003C1147" w:rsidRDefault="003C1147" w:rsidP="00977EB1">
                  <w:pPr>
                    <w:numPr>
                      <w:ilvl w:val="0"/>
                      <w:numId w:val="42"/>
                    </w:numPr>
                    <w:tabs>
                      <w:tab w:val="clear" w:pos="720"/>
                      <w:tab w:val="num" w:pos="0"/>
                    </w:tabs>
                    <w:ind w:left="180" w:hanging="180"/>
                    <w:jc w:val="both"/>
                    <w:rPr>
                      <w:sz w:val="20"/>
                    </w:rPr>
                  </w:pPr>
                  <w:proofErr w:type="gramStart"/>
                  <w:r>
                    <w:rPr>
                      <w:sz w:val="20"/>
                    </w:rPr>
                    <w:t>ensure</w:t>
                  </w:r>
                  <w:proofErr w:type="gramEnd"/>
                  <w:r>
                    <w:rPr>
                      <w:sz w:val="20"/>
                    </w:rPr>
                    <w:t xml:space="preserve"> that water-dependent ecosystems are resilient to climate change and other risks and threats.</w:t>
                  </w:r>
                </w:p>
              </w:txbxContent>
            </v:textbox>
          </v:roundrect>
        </w:pict>
      </w:r>
      <w:r w:rsidR="00977EB1" w:rsidRPr="00FF1A1F">
        <w:rPr>
          <w:b/>
          <w:szCs w:val="24"/>
        </w:rPr>
        <w:t xml:space="preserve">Longer-Term </w:t>
      </w:r>
    </w:p>
    <w:p w:rsidR="00977EB1" w:rsidRPr="00FF1A1F" w:rsidRDefault="00977EB1" w:rsidP="00977EB1">
      <w:pPr>
        <w:jc w:val="both"/>
        <w:rPr>
          <w:b/>
          <w:szCs w:val="24"/>
        </w:rPr>
      </w:pPr>
      <w:r w:rsidRPr="00FF1A1F">
        <w:rPr>
          <w:b/>
          <w:szCs w:val="24"/>
        </w:rPr>
        <w:t>Outcomes</w:t>
      </w:r>
    </w:p>
    <w:p w:rsidR="00977EB1" w:rsidRPr="00FF1A1F" w:rsidRDefault="00977EB1" w:rsidP="00977EB1">
      <w:pPr>
        <w:jc w:val="both"/>
        <w:rPr>
          <w:b/>
          <w:szCs w:val="24"/>
        </w:rPr>
      </w:pPr>
      <w:r w:rsidRPr="00FF1A1F">
        <w:rPr>
          <w:b/>
          <w:szCs w:val="24"/>
        </w:rPr>
        <w:t>(&gt;</w:t>
      </w:r>
      <w:r w:rsidR="001045C0" w:rsidRPr="00FF1A1F">
        <w:rPr>
          <w:b/>
          <w:szCs w:val="24"/>
        </w:rPr>
        <w:t>10</w:t>
      </w:r>
      <w:r w:rsidRPr="00FF1A1F">
        <w:rPr>
          <w:b/>
          <w:szCs w:val="24"/>
        </w:rPr>
        <w:t xml:space="preserve"> years)</w:t>
      </w:r>
    </w:p>
    <w:p w:rsidR="00977EB1" w:rsidRPr="00FF1A1F" w:rsidRDefault="00977EB1" w:rsidP="00977EB1">
      <w:pPr>
        <w:jc w:val="both"/>
        <w:rPr>
          <w:b/>
          <w:szCs w:val="24"/>
        </w:rPr>
      </w:pPr>
    </w:p>
    <w:p w:rsidR="00977EB1" w:rsidRPr="00FF1A1F" w:rsidRDefault="00977EB1" w:rsidP="00977EB1">
      <w:pPr>
        <w:jc w:val="both"/>
        <w:rPr>
          <w:b/>
          <w:szCs w:val="24"/>
        </w:rPr>
      </w:pPr>
    </w:p>
    <w:p w:rsidR="00977EB1" w:rsidRPr="00FF1A1F" w:rsidRDefault="00977EB1" w:rsidP="00977EB1">
      <w:pPr>
        <w:jc w:val="both"/>
        <w:rPr>
          <w:b/>
          <w:szCs w:val="24"/>
        </w:rPr>
      </w:pPr>
    </w:p>
    <w:p w:rsidR="00977EB1" w:rsidRPr="00FF1A1F" w:rsidRDefault="002C1024" w:rsidP="00977EB1">
      <w:pPr>
        <w:jc w:val="both"/>
        <w:rPr>
          <w:b/>
          <w:szCs w:val="24"/>
        </w:rPr>
      </w:pPr>
      <w:r w:rsidRPr="002C1024">
        <w:rPr>
          <w:noProof/>
          <w:szCs w:val="24"/>
          <w:lang w:eastAsia="en-AU"/>
        </w:rPr>
        <w:pict>
          <v:shape id="AutoShape 73" o:spid="_x0000_s1183" type="#_x0000_t68" style="position:absolute;left:0;text-align:left;margin-left:262.75pt;margin-top:8.6pt;width:18pt;height:1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" fillcolor="#fabf8f [1945]" strokecolor="#f79646 [3209]" strokeweight="1pt">
            <v:fill color2="#f79646 [3209]" focus="50%" type="gradient"/>
            <v:shadow on="t" color="#974706 [1609]" offset="1pt"/>
          </v:shape>
        </w:pict>
      </w:r>
    </w:p>
    <w:p w:rsidR="00977EB1" w:rsidRPr="00FF1A1F" w:rsidRDefault="00977EB1" w:rsidP="00977EB1">
      <w:pPr>
        <w:jc w:val="both"/>
        <w:rPr>
          <w:b/>
          <w:szCs w:val="24"/>
        </w:rPr>
      </w:pPr>
    </w:p>
    <w:p w:rsidR="00977EB1" w:rsidRPr="00FF1A1F" w:rsidRDefault="002C1024" w:rsidP="00977EB1">
      <w:pPr>
        <w:jc w:val="both"/>
        <w:rPr>
          <w:b/>
          <w:szCs w:val="24"/>
        </w:rPr>
      </w:pPr>
      <w:r w:rsidRPr="002C1024">
        <w:rPr>
          <w:noProof/>
          <w:szCs w:val="24"/>
          <w:lang w:eastAsia="en-AU"/>
        </w:rPr>
        <w:pict>
          <v:roundrect id="AutoShape 64" o:spid="_x0000_s1174" style="position:absolute;left:0;text-align:left;margin-left:98.8pt;margin-top:-.05pt;width:349.6pt;height:4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" fillcolor="#fde9d9 [665]" strokecolor="#e36c0a [2409]" strokeweight="1pt">
            <v:textbox>
              <w:txbxContent>
                <w:p w:rsidR="003C1147" w:rsidRDefault="003C1147" w:rsidP="00977EB1">
                  <w:pPr>
                    <w:jc w:val="both"/>
                    <w:rPr>
                      <w:sz w:val="20"/>
                    </w:rPr>
                  </w:pPr>
                  <w:r>
                    <w:rPr>
                      <w:sz w:val="20"/>
                    </w:rPr>
                    <w:t>The outcomes over the intermediate term define progressive achievement towards long term outcomes and are defined in annual water use options and wider portfolio management strategies.</w:t>
                  </w:r>
                </w:p>
                <w:p w:rsidR="003C1147" w:rsidRDefault="003C1147" w:rsidP="00977EB1"/>
              </w:txbxContent>
            </v:textbox>
          </v:roundrect>
        </w:pict>
      </w:r>
      <w:r w:rsidR="00977EB1" w:rsidRPr="00FF1A1F">
        <w:rPr>
          <w:b/>
          <w:szCs w:val="24"/>
        </w:rPr>
        <w:t xml:space="preserve">Intermediate </w:t>
      </w:r>
    </w:p>
    <w:p w:rsidR="00977EB1" w:rsidRPr="00FF1A1F" w:rsidRDefault="00977EB1" w:rsidP="00977EB1">
      <w:pPr>
        <w:jc w:val="both"/>
        <w:rPr>
          <w:b/>
          <w:szCs w:val="24"/>
        </w:rPr>
      </w:pPr>
      <w:r w:rsidRPr="00FF1A1F">
        <w:rPr>
          <w:b/>
          <w:szCs w:val="24"/>
        </w:rPr>
        <w:t>Outcomes</w:t>
      </w:r>
    </w:p>
    <w:p w:rsidR="00977EB1" w:rsidRPr="00FF1A1F" w:rsidRDefault="00977EB1" w:rsidP="00977EB1">
      <w:pPr>
        <w:jc w:val="both"/>
        <w:rPr>
          <w:b/>
          <w:szCs w:val="24"/>
        </w:rPr>
      </w:pPr>
      <w:r w:rsidRPr="00FF1A1F">
        <w:rPr>
          <w:b/>
          <w:szCs w:val="24"/>
        </w:rPr>
        <w:t>(1-5 years)</w:t>
      </w:r>
    </w:p>
    <w:p w:rsidR="00977EB1" w:rsidRPr="00FF1A1F" w:rsidRDefault="002C1024" w:rsidP="00977EB1">
      <w:pPr>
        <w:jc w:val="both"/>
        <w:rPr>
          <w:b/>
          <w:szCs w:val="24"/>
        </w:rPr>
      </w:pPr>
      <w:r w:rsidRPr="002C1024">
        <w:rPr>
          <w:noProof/>
          <w:szCs w:val="24"/>
          <w:lang w:eastAsia="en-AU"/>
        </w:rPr>
        <w:pict>
          <v:shape id="AutoShape 74" o:spid="_x0000_s1184" type="#_x0000_t68" style="position:absolute;left:0;text-align:left;margin-left:263.55pt;margin-top:5pt;width:1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" fillcolor="#fabf8f [1945]" strokecolor="#f79646 [3209]" strokeweight="1pt">
            <v:fill color2="#f79646 [3209]" focus="50%" type="gradient"/>
            <v:shadow on="t" color="#974706 [1609]" offset="1pt"/>
          </v:shape>
        </w:pict>
      </w:r>
    </w:p>
    <w:p w:rsidR="00977EB1" w:rsidRPr="00FF1A1F" w:rsidRDefault="00977EB1" w:rsidP="00977EB1">
      <w:pPr>
        <w:jc w:val="both"/>
        <w:rPr>
          <w:b/>
          <w:szCs w:val="24"/>
        </w:rPr>
      </w:pPr>
    </w:p>
    <w:p w:rsidR="00977EB1" w:rsidRPr="00FF1A1F" w:rsidRDefault="002C1024" w:rsidP="00977EB1">
      <w:pPr>
        <w:jc w:val="both"/>
        <w:rPr>
          <w:b/>
          <w:szCs w:val="24"/>
        </w:rPr>
      </w:pPr>
      <w:r w:rsidRPr="002C1024">
        <w:rPr>
          <w:noProof/>
          <w:szCs w:val="24"/>
          <w:lang w:eastAsia="en-AU"/>
        </w:rPr>
        <w:pict>
          <v:roundrect id="AutoShape 68" o:spid="_x0000_s1178" style="position:absolute;left:0;text-align:left;margin-left:96.4pt;margin-top:8.5pt;width:353.6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" fillcolor="#fde9d9 [665]" strokecolor="#e36c0a [2409]" strokeweight="1pt">
            <v:textbox>
              <w:txbxContent>
                <w:p w:rsidR="003C1147" w:rsidRDefault="003C1147" w:rsidP="00977EB1">
                  <w:pPr>
                    <w:jc w:val="both"/>
                    <w:rPr>
                      <w:sz w:val="20"/>
                    </w:rPr>
                  </w:pPr>
                  <w:r>
                    <w:rPr>
                      <w:sz w:val="20"/>
                    </w:rPr>
                    <w:t>Immediate outcomes are defined in annual water use options, which have been developed for every catchment where water is held, and will be reviewed annually. Immediate outcomes are also reflected in water use decisions.</w:t>
                  </w:r>
                </w:p>
              </w:txbxContent>
            </v:textbox>
          </v:roundrect>
        </w:pict>
      </w:r>
      <w:r w:rsidR="00977EB1" w:rsidRPr="00FF1A1F">
        <w:rPr>
          <w:b/>
          <w:szCs w:val="24"/>
        </w:rPr>
        <w:t xml:space="preserve">Immediate </w:t>
      </w:r>
    </w:p>
    <w:p w:rsidR="00977EB1" w:rsidRPr="00FF1A1F" w:rsidRDefault="00977EB1" w:rsidP="00977EB1">
      <w:pPr>
        <w:jc w:val="both"/>
        <w:rPr>
          <w:b/>
          <w:szCs w:val="24"/>
        </w:rPr>
      </w:pPr>
      <w:r w:rsidRPr="00FF1A1F">
        <w:rPr>
          <w:b/>
          <w:szCs w:val="24"/>
        </w:rPr>
        <w:t>Outcomes</w:t>
      </w:r>
    </w:p>
    <w:p w:rsidR="00977EB1" w:rsidRPr="00FF1A1F" w:rsidRDefault="00977EB1" w:rsidP="00977EB1">
      <w:pPr>
        <w:jc w:val="both"/>
        <w:rPr>
          <w:b/>
          <w:szCs w:val="24"/>
        </w:rPr>
      </w:pPr>
      <w:r w:rsidRPr="00FF1A1F">
        <w:rPr>
          <w:b/>
          <w:szCs w:val="24"/>
        </w:rPr>
        <w:t>(&lt;1 year)</w:t>
      </w:r>
    </w:p>
    <w:p w:rsidR="00977EB1" w:rsidRPr="00FF1A1F" w:rsidRDefault="00977EB1" w:rsidP="00977EB1">
      <w:pPr>
        <w:jc w:val="both"/>
        <w:rPr>
          <w:b/>
          <w:szCs w:val="24"/>
        </w:rPr>
      </w:pPr>
    </w:p>
    <w:p w:rsidR="00977EB1" w:rsidRPr="00FF1A1F" w:rsidRDefault="002C1024" w:rsidP="00977EB1">
      <w:pPr>
        <w:jc w:val="both"/>
        <w:rPr>
          <w:b/>
          <w:szCs w:val="24"/>
        </w:rPr>
      </w:pPr>
      <w:r w:rsidRPr="002C1024">
        <w:rPr>
          <w:noProof/>
          <w:szCs w:val="24"/>
          <w:lang w:eastAsia="en-AU"/>
        </w:rPr>
        <w:pict>
          <v:shape id="AutoShape 75" o:spid="_x0000_s1185" type="#_x0000_t68" style="position:absolute;left:0;text-align:left;margin-left:265.15pt;margin-top:8.35pt;width:18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" fillcolor="#fabf8f [1945]" strokecolor="#f79646 [3209]" strokeweight="1pt">
            <v:fill color2="#f79646 [3209]" focus="50%" type="gradient"/>
            <v:shadow on="t" color="#974706 [1609]" offset="1pt"/>
          </v:shape>
        </w:pict>
      </w:r>
    </w:p>
    <w:p w:rsidR="00977EB1" w:rsidRPr="00FF1A1F" w:rsidRDefault="00977EB1" w:rsidP="00977EB1">
      <w:pPr>
        <w:jc w:val="both"/>
        <w:rPr>
          <w:b/>
          <w:szCs w:val="24"/>
        </w:rPr>
      </w:pPr>
    </w:p>
    <w:p w:rsidR="00977EB1" w:rsidRPr="00FF1A1F" w:rsidRDefault="00977EB1" w:rsidP="00977EB1">
      <w:pPr>
        <w:jc w:val="both"/>
        <w:rPr>
          <w:szCs w:val="24"/>
        </w:rPr>
      </w:pPr>
    </w:p>
    <w:p w:rsidR="00977EB1" w:rsidRPr="00FF1A1F" w:rsidRDefault="002C1024" w:rsidP="00977EB1">
      <w:pPr>
        <w:jc w:val="both"/>
        <w:rPr>
          <w:b/>
          <w:szCs w:val="24"/>
        </w:rPr>
      </w:pPr>
      <w:r>
        <w:rPr>
          <w:b/>
          <w:noProof/>
          <w:szCs w:val="24"/>
          <w:lang w:eastAsia="en-AU"/>
        </w:rPr>
        <w:pict>
          <v:roundrect id="AutoShape 67" o:spid="_x0000_s1177" style="position:absolute;left:0;text-align:left;margin-left:96.4pt;margin-top:3.9pt;width:353.6pt;height:15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" fillcolor="#fde9d9 [665]" strokecolor="#e36c0a [2409]" strokeweight="1pt">
            <v:textbox>
              <w:txbxContent>
                <w:p w:rsidR="003C1147" w:rsidRDefault="003C1147" w:rsidP="00977EB1">
                  <w:pPr>
                    <w:jc w:val="both"/>
                    <w:rPr>
                      <w:sz w:val="20"/>
                    </w:rPr>
                  </w:pPr>
                  <w:r>
                    <w:rPr>
                      <w:sz w:val="20"/>
                    </w:rPr>
                    <w:t>Activities include:</w:t>
                  </w:r>
                </w:p>
                <w:p w:rsidR="003C1147" w:rsidRDefault="003C1147" w:rsidP="00977EB1">
                  <w:pPr>
                    <w:numPr>
                      <w:ilvl w:val="0"/>
                      <w:numId w:val="42"/>
                    </w:numPr>
                    <w:tabs>
                      <w:tab w:val="clear" w:pos="720"/>
                      <w:tab w:val="num" w:pos="0"/>
                    </w:tabs>
                    <w:ind w:left="180" w:hanging="180"/>
                    <w:jc w:val="both"/>
                    <w:rPr>
                      <w:sz w:val="20"/>
                    </w:rPr>
                  </w:pPr>
                  <w:r>
                    <w:rPr>
                      <w:sz w:val="20"/>
                    </w:rPr>
                    <w:t xml:space="preserve">Manage the Commonwealth environmental water holdings, including agreeing use of available water </w:t>
                  </w:r>
                </w:p>
                <w:p w:rsidR="003C1147" w:rsidRDefault="003C1147" w:rsidP="00977EB1">
                  <w:pPr>
                    <w:numPr>
                      <w:ilvl w:val="0"/>
                      <w:numId w:val="42"/>
                    </w:numPr>
                    <w:tabs>
                      <w:tab w:val="clear" w:pos="720"/>
                      <w:tab w:val="num" w:pos="0"/>
                    </w:tabs>
                    <w:ind w:left="180" w:hanging="180"/>
                    <w:jc w:val="both"/>
                    <w:rPr>
                      <w:sz w:val="20"/>
                    </w:rPr>
                  </w:pPr>
                  <w:r>
                    <w:rPr>
                      <w:sz w:val="20"/>
                    </w:rPr>
                    <w:t xml:space="preserve">Work with others to identify and assess watering proposals, deliver water  and undertake monitoring and evaluation </w:t>
                  </w:r>
                </w:p>
                <w:p w:rsidR="003C1147" w:rsidRDefault="003C1147" w:rsidP="00977EB1">
                  <w:pPr>
                    <w:numPr>
                      <w:ilvl w:val="0"/>
                      <w:numId w:val="42"/>
                    </w:numPr>
                    <w:tabs>
                      <w:tab w:val="clear" w:pos="720"/>
                      <w:tab w:val="num" w:pos="0"/>
                    </w:tabs>
                    <w:ind w:left="180" w:hanging="180"/>
                    <w:jc w:val="both"/>
                    <w:rPr>
                      <w:sz w:val="20"/>
                    </w:rPr>
                  </w:pPr>
                  <w:r>
                    <w:rPr>
                      <w:sz w:val="20"/>
                    </w:rPr>
                    <w:t>Advocate the objective of maximising the environmental benefits from  the use of available environmental water</w:t>
                  </w:r>
                </w:p>
                <w:p w:rsidR="003C1147" w:rsidRPr="00124686" w:rsidRDefault="003C1147" w:rsidP="00977EB1">
                  <w:pPr>
                    <w:numPr>
                      <w:ilvl w:val="0"/>
                      <w:numId w:val="42"/>
                    </w:numPr>
                    <w:tabs>
                      <w:tab w:val="clear" w:pos="720"/>
                      <w:tab w:val="num" w:pos="0"/>
                    </w:tabs>
                    <w:ind w:left="180" w:hanging="180"/>
                    <w:jc w:val="both"/>
                    <w:rPr>
                      <w:sz w:val="20"/>
                    </w:rPr>
                  </w:pPr>
                  <w:r>
                    <w:rPr>
                      <w:sz w:val="20"/>
                    </w:rPr>
                    <w:t xml:space="preserve">Develop policy and decision frameworks to support the efficient and effective use of the Commonwealth environmental water holdings </w:t>
                  </w:r>
                </w:p>
                <w:p w:rsidR="003C1147" w:rsidRDefault="003C1147" w:rsidP="00977EB1">
                  <w:pPr>
                    <w:numPr>
                      <w:ilvl w:val="0"/>
                      <w:numId w:val="42"/>
                    </w:numPr>
                    <w:tabs>
                      <w:tab w:val="clear" w:pos="720"/>
                      <w:tab w:val="num" w:pos="0"/>
                    </w:tabs>
                    <w:ind w:left="180" w:hanging="180"/>
                    <w:jc w:val="both"/>
                    <w:rPr>
                      <w:sz w:val="20"/>
                    </w:rPr>
                  </w:pPr>
                  <w:r w:rsidRPr="00C1570E">
                    <w:rPr>
                      <w:sz w:val="20"/>
                    </w:rPr>
                    <w:t>Collect</w:t>
                  </w:r>
                  <w:r>
                    <w:rPr>
                      <w:sz w:val="20"/>
                    </w:rPr>
                    <w:t xml:space="preserve"> </w:t>
                  </w:r>
                  <w:r w:rsidRPr="00C1570E">
                    <w:rPr>
                      <w:sz w:val="20"/>
                    </w:rPr>
                    <w:t xml:space="preserve">new knowledge to </w:t>
                  </w:r>
                  <w:r>
                    <w:rPr>
                      <w:sz w:val="20"/>
                    </w:rPr>
                    <w:t>improve watering activities</w:t>
                  </w:r>
                </w:p>
                <w:p w:rsidR="003C1147" w:rsidRPr="00124686" w:rsidRDefault="003C1147" w:rsidP="00977EB1">
                  <w:pPr>
                    <w:numPr>
                      <w:ilvl w:val="0"/>
                      <w:numId w:val="42"/>
                    </w:numPr>
                    <w:tabs>
                      <w:tab w:val="clear" w:pos="720"/>
                      <w:tab w:val="num" w:pos="0"/>
                    </w:tabs>
                    <w:ind w:left="180" w:hanging="180"/>
                    <w:jc w:val="both"/>
                    <w:rPr>
                      <w:sz w:val="20"/>
                    </w:rPr>
                  </w:pPr>
                  <w:r>
                    <w:rPr>
                      <w:sz w:val="20"/>
                    </w:rPr>
                    <w:t xml:space="preserve">Administer available funding </w:t>
                  </w:r>
                </w:p>
              </w:txbxContent>
            </v:textbox>
          </v:roundrect>
        </w:pict>
      </w:r>
      <w:r w:rsidR="00977EB1" w:rsidRPr="00FF1A1F">
        <w:rPr>
          <w:b/>
          <w:szCs w:val="24"/>
        </w:rPr>
        <w:t xml:space="preserve"> Activities</w:t>
      </w:r>
    </w:p>
    <w:p w:rsidR="00977EB1" w:rsidRPr="00FF1A1F" w:rsidRDefault="002C1024" w:rsidP="00977EB1">
      <w:pPr>
        <w:jc w:val="both"/>
        <w:rPr>
          <w:szCs w:val="24"/>
        </w:rPr>
      </w:pPr>
      <w:r>
        <w:rPr>
          <w:noProof/>
          <w:szCs w:val="24"/>
          <w:lang w:eastAsia="en-A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2" o:spid="_x0000_s1182" type="#_x0000_t69" style="position:absolute;left:0;text-align:left;margin-left:-18pt;margin-top:479.95pt;width:95.6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">
            <v:stroke dashstyle="1 1"/>
          </v:shape>
        </w:pict>
      </w:r>
      <w:r>
        <w:rPr>
          <w:noProof/>
          <w:szCs w:val="24"/>
          <w:lang w:eastAsia="en-AU"/>
        </w:rPr>
        <w:pict>
          <v:shape id="AutoShape 71" o:spid="_x0000_s1181" type="#_x0000_t69" style="position:absolute;left:0;text-align:left;margin-left:117pt;margin-top:677.95pt;width:95.6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">
            <v:stroke dashstyle="1 1"/>
          </v:shape>
        </w:pict>
      </w:r>
      <w:r>
        <w:rPr>
          <w:noProof/>
          <w:szCs w:val="24"/>
          <w:lang w:eastAsia="en-AU"/>
        </w:rPr>
        <w:pict>
          <v:shape id="AutoShape 69" o:spid="_x0000_s1179" type="#_x0000_t68" style="position:absolute;left:0;text-align:left;margin-left:45pt;margin-top:677.95pt;width:38.25pt;height:7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">
            <v:stroke dashstyle="1 1"/>
          </v:shape>
        </w:pict>
      </w:r>
    </w:p>
    <w:p w:rsidR="00977EB1" w:rsidRPr="00FF1A1F" w:rsidRDefault="00977EB1" w:rsidP="00977EB1">
      <w:pPr>
        <w:pStyle w:val="Heading2"/>
        <w:numPr>
          <w:ilvl w:val="0"/>
          <w:numId w:val="0"/>
        </w:numPr>
        <w:jc w:val="both"/>
        <w:rPr>
          <w:color w:val="auto"/>
          <w:szCs w:val="24"/>
        </w:rPr>
      </w:pPr>
    </w:p>
    <w:p w:rsidR="00977EB1" w:rsidRPr="00FF1A1F" w:rsidRDefault="00977EB1" w:rsidP="00977EB1">
      <w:pPr>
        <w:pStyle w:val="Heading2"/>
        <w:numPr>
          <w:ilvl w:val="0"/>
          <w:numId w:val="0"/>
        </w:numPr>
        <w:jc w:val="both"/>
        <w:rPr>
          <w:color w:val="auto"/>
          <w:szCs w:val="24"/>
        </w:rPr>
      </w:pPr>
    </w:p>
    <w:p w:rsidR="00977EB1" w:rsidRPr="00FF1A1F" w:rsidRDefault="00977EB1" w:rsidP="00977EB1">
      <w:pPr>
        <w:jc w:val="both"/>
        <w:rPr>
          <w:b/>
          <w:szCs w:val="24"/>
        </w:rPr>
      </w:pPr>
    </w:p>
    <w:p w:rsidR="00977EB1" w:rsidRPr="00FF1A1F" w:rsidRDefault="00977EB1" w:rsidP="00977EB1">
      <w:pPr>
        <w:rPr>
          <w:szCs w:val="24"/>
        </w:rPr>
      </w:pPr>
    </w:p>
    <w:p w:rsidR="00977EB1" w:rsidRPr="00FF1A1F" w:rsidRDefault="00977EB1" w:rsidP="00977EB1">
      <w:pPr>
        <w:rPr>
          <w:szCs w:val="24"/>
        </w:rPr>
      </w:pPr>
    </w:p>
    <w:p w:rsidR="00977EB1" w:rsidRPr="00FF1A1F" w:rsidRDefault="00977EB1" w:rsidP="00977EB1">
      <w:pPr>
        <w:tabs>
          <w:tab w:val="left" w:pos="2410"/>
          <w:tab w:val="left" w:pos="2552"/>
        </w:tabs>
        <w:autoSpaceDE w:val="0"/>
        <w:autoSpaceDN w:val="0"/>
        <w:adjustRightInd w:val="0"/>
        <w:ind w:left="851" w:hanging="851"/>
        <w:rPr>
          <w:b/>
          <w:szCs w:val="24"/>
        </w:rPr>
      </w:pPr>
    </w:p>
    <w:p w:rsidR="00977EB1" w:rsidRPr="00FF1A1F" w:rsidRDefault="00977EB1" w:rsidP="00977EB1">
      <w:pPr>
        <w:tabs>
          <w:tab w:val="left" w:pos="2410"/>
          <w:tab w:val="left" w:pos="2552"/>
        </w:tabs>
        <w:autoSpaceDE w:val="0"/>
        <w:autoSpaceDN w:val="0"/>
        <w:adjustRightInd w:val="0"/>
        <w:ind w:left="851" w:hanging="851"/>
        <w:rPr>
          <w:b/>
          <w:szCs w:val="24"/>
        </w:rPr>
      </w:pPr>
    </w:p>
    <w:p w:rsidR="00977EB1" w:rsidRPr="00FF1A1F" w:rsidRDefault="00977EB1" w:rsidP="00977EB1">
      <w:pPr>
        <w:tabs>
          <w:tab w:val="left" w:pos="2410"/>
          <w:tab w:val="left" w:pos="2552"/>
        </w:tabs>
        <w:autoSpaceDE w:val="0"/>
        <w:autoSpaceDN w:val="0"/>
        <w:adjustRightInd w:val="0"/>
        <w:ind w:left="851" w:hanging="851"/>
        <w:rPr>
          <w:b/>
          <w:szCs w:val="24"/>
        </w:rPr>
      </w:pPr>
    </w:p>
    <w:p w:rsidR="00977EB1" w:rsidRPr="00FF1A1F" w:rsidRDefault="00977EB1" w:rsidP="00977EB1">
      <w:pPr>
        <w:tabs>
          <w:tab w:val="left" w:pos="2410"/>
          <w:tab w:val="left" w:pos="2552"/>
        </w:tabs>
        <w:autoSpaceDE w:val="0"/>
        <w:autoSpaceDN w:val="0"/>
        <w:adjustRightInd w:val="0"/>
        <w:ind w:left="851" w:hanging="851"/>
        <w:rPr>
          <w:b/>
          <w:szCs w:val="24"/>
        </w:rPr>
      </w:pPr>
    </w:p>
    <w:p w:rsidR="00977EB1" w:rsidRPr="00FF1A1F" w:rsidRDefault="00977EB1" w:rsidP="00977EB1">
      <w:pPr>
        <w:tabs>
          <w:tab w:val="left" w:pos="2410"/>
          <w:tab w:val="left" w:pos="2552"/>
        </w:tabs>
        <w:autoSpaceDE w:val="0"/>
        <w:autoSpaceDN w:val="0"/>
        <w:adjustRightInd w:val="0"/>
        <w:ind w:left="851" w:hanging="851"/>
        <w:rPr>
          <w:b/>
          <w:szCs w:val="24"/>
        </w:rPr>
      </w:pPr>
    </w:p>
    <w:p w:rsidR="00977EB1" w:rsidRPr="00FF1A1F" w:rsidRDefault="00977EB1" w:rsidP="00977EB1">
      <w:pPr>
        <w:tabs>
          <w:tab w:val="left" w:pos="2410"/>
          <w:tab w:val="left" w:pos="2552"/>
        </w:tabs>
        <w:autoSpaceDE w:val="0"/>
        <w:autoSpaceDN w:val="0"/>
        <w:adjustRightInd w:val="0"/>
        <w:ind w:left="851" w:hanging="851"/>
        <w:rPr>
          <w:b/>
          <w:szCs w:val="24"/>
        </w:rPr>
      </w:pPr>
    </w:p>
    <w:p w:rsidR="00977EB1" w:rsidRPr="00FF1A1F" w:rsidRDefault="00977EB1" w:rsidP="00977EB1">
      <w:pPr>
        <w:ind w:left="851" w:hanging="851"/>
        <w:rPr>
          <w:sz w:val="20"/>
        </w:rPr>
      </w:pPr>
      <w:proofErr w:type="gramStart"/>
      <w:r w:rsidRPr="00FF1A1F">
        <w:rPr>
          <w:b/>
          <w:sz w:val="20"/>
        </w:rPr>
        <w:t>Figure 3.</w:t>
      </w:r>
      <w:proofErr w:type="gramEnd"/>
      <w:r w:rsidRPr="00FF1A1F">
        <w:rPr>
          <w:sz w:val="20"/>
        </w:rPr>
        <w:t xml:space="preserve">  An outline of how a program logic approach will be implemented through planning for the use of Commonwealth environmental water.</w:t>
      </w:r>
    </w:p>
    <w:p w:rsidR="00977EB1" w:rsidRPr="00FF1A1F" w:rsidRDefault="00977EB1" w:rsidP="00977EB1">
      <w:pPr>
        <w:rPr>
          <w:rFonts w:ascii="Arial" w:hAnsi="Arial" w:cs="Arial"/>
          <w:szCs w:val="24"/>
        </w:rPr>
      </w:pPr>
      <w:r w:rsidRPr="00FF1A1F">
        <w:rPr>
          <w:rFonts w:ascii="Arial" w:hAnsi="Arial" w:cs="Arial"/>
          <w:szCs w:val="24"/>
        </w:rPr>
        <w:t xml:space="preserve">  </w:t>
      </w:r>
    </w:p>
    <w:p w:rsidR="00977EB1" w:rsidRPr="00FF1A1F" w:rsidRDefault="00977EB1" w:rsidP="00977EB1">
      <w:pPr>
        <w:rPr>
          <w:rFonts w:ascii="Arial" w:hAnsi="Arial" w:cs="Arial"/>
          <w:szCs w:val="24"/>
        </w:rPr>
      </w:pPr>
    </w:p>
    <w:p w:rsidR="00977EB1" w:rsidRPr="00FF1A1F" w:rsidRDefault="00977EB1" w:rsidP="00977EB1">
      <w:pPr>
        <w:rPr>
          <w:rFonts w:ascii="Arial" w:hAnsi="Arial" w:cs="Arial"/>
          <w:szCs w:val="24"/>
        </w:rPr>
        <w:sectPr w:rsidR="00977EB1" w:rsidRPr="00FF1A1F" w:rsidSect="00BE613C">
          <w:pgSz w:w="11907" w:h="16840" w:code="9"/>
          <w:pgMar w:top="1440" w:right="1440" w:bottom="1440" w:left="1440" w:header="720" w:footer="126" w:gutter="0"/>
          <w:cols w:space="720"/>
          <w:docGrid w:linePitch="326"/>
        </w:sectPr>
      </w:pPr>
    </w:p>
    <w:p w:rsidR="00977EB1" w:rsidRPr="00FF1A1F" w:rsidRDefault="00977EB1" w:rsidP="00977EB1">
      <w:pPr>
        <w:ind w:left="284" w:hanging="851"/>
        <w:rPr>
          <w:sz w:val="20"/>
        </w:rPr>
      </w:pPr>
      <w:proofErr w:type="gramStart"/>
      <w:r w:rsidRPr="00FF1A1F">
        <w:rPr>
          <w:b/>
          <w:sz w:val="20"/>
        </w:rPr>
        <w:lastRenderedPageBreak/>
        <w:t>Table 2.</w:t>
      </w:r>
      <w:proofErr w:type="gramEnd"/>
      <w:r w:rsidRPr="00FF1A1F">
        <w:rPr>
          <w:b/>
          <w:sz w:val="20"/>
        </w:rPr>
        <w:t xml:space="preserve">   </w:t>
      </w:r>
      <w:r w:rsidRPr="00FF1A1F">
        <w:rPr>
          <w:sz w:val="20"/>
        </w:rPr>
        <w:t>The alignment of planning and MERI activities with the timeframes set out under the program logic approach. Primary agencies responsible for these activities are also identified (MDBA – Murray-Darling Basin Authority).</w:t>
      </w:r>
    </w:p>
    <w:p w:rsidR="00977EB1" w:rsidRPr="00FF1A1F" w:rsidRDefault="00977EB1" w:rsidP="00977EB1">
      <w:pPr>
        <w:rPr>
          <w:rFonts w:ascii="Arial" w:hAnsi="Arial" w:cs="Arial"/>
          <w:szCs w:val="24"/>
        </w:rPr>
      </w:pPr>
    </w:p>
    <w:p w:rsidR="00977EB1" w:rsidRPr="00FF1A1F" w:rsidRDefault="00977EB1" w:rsidP="00977EB1">
      <w:pPr>
        <w:rPr>
          <w:rFonts w:ascii="Arial" w:hAnsi="Arial" w:cs="Arial"/>
          <w:szCs w:val="24"/>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2415"/>
        <w:gridCol w:w="2982"/>
        <w:gridCol w:w="2552"/>
        <w:gridCol w:w="2587"/>
        <w:gridCol w:w="3083"/>
      </w:tblGrid>
      <w:tr w:rsidR="00977EB1" w:rsidRPr="00FF1A1F" w:rsidTr="00F80FBC">
        <w:tc>
          <w:tcPr>
            <w:tcW w:w="0" w:type="auto"/>
          </w:tcPr>
          <w:p w:rsidR="00977EB1" w:rsidRPr="00FF1A1F" w:rsidRDefault="00977EB1" w:rsidP="00F80FBC">
            <w:pPr>
              <w:rPr>
                <w:b/>
                <w:sz w:val="20"/>
              </w:rPr>
            </w:pPr>
            <w:r w:rsidRPr="00FF1A1F">
              <w:rPr>
                <w:b/>
                <w:sz w:val="20"/>
              </w:rPr>
              <w:t>Timeframe</w:t>
            </w:r>
          </w:p>
        </w:tc>
        <w:tc>
          <w:tcPr>
            <w:tcW w:w="2415" w:type="dxa"/>
          </w:tcPr>
          <w:p w:rsidR="00977EB1" w:rsidRPr="00FF1A1F" w:rsidRDefault="00977EB1" w:rsidP="00F80FBC">
            <w:pPr>
              <w:rPr>
                <w:b/>
                <w:sz w:val="20"/>
              </w:rPr>
            </w:pPr>
            <w:r w:rsidRPr="00FF1A1F">
              <w:rPr>
                <w:b/>
                <w:sz w:val="20"/>
              </w:rPr>
              <w:t xml:space="preserve">Relevant planning document guiding the use of Commonwealth environmental water </w:t>
            </w:r>
          </w:p>
        </w:tc>
        <w:tc>
          <w:tcPr>
            <w:tcW w:w="2982" w:type="dxa"/>
          </w:tcPr>
          <w:p w:rsidR="00977EB1" w:rsidRPr="00FF1A1F" w:rsidRDefault="00977EB1" w:rsidP="00F80FBC">
            <w:pPr>
              <w:rPr>
                <w:b/>
                <w:sz w:val="20"/>
              </w:rPr>
            </w:pPr>
            <w:r w:rsidRPr="00FF1A1F">
              <w:rPr>
                <w:b/>
                <w:sz w:val="20"/>
              </w:rPr>
              <w:t>Monitoring activities</w:t>
            </w:r>
          </w:p>
        </w:tc>
        <w:tc>
          <w:tcPr>
            <w:tcW w:w="2552" w:type="dxa"/>
          </w:tcPr>
          <w:p w:rsidR="00977EB1" w:rsidRPr="00FF1A1F" w:rsidRDefault="00977EB1" w:rsidP="00F80FBC">
            <w:pPr>
              <w:tabs>
                <w:tab w:val="left" w:pos="1015"/>
              </w:tabs>
              <w:rPr>
                <w:b/>
                <w:sz w:val="20"/>
              </w:rPr>
            </w:pPr>
            <w:r w:rsidRPr="00FF1A1F">
              <w:rPr>
                <w:b/>
                <w:sz w:val="20"/>
              </w:rPr>
              <w:t>Key issue to be addressed through evaluation and review</w:t>
            </w:r>
          </w:p>
          <w:p w:rsidR="00977EB1" w:rsidRPr="00FF1A1F" w:rsidRDefault="00977EB1" w:rsidP="00F80FBC">
            <w:pPr>
              <w:rPr>
                <w:b/>
                <w:sz w:val="20"/>
              </w:rPr>
            </w:pPr>
          </w:p>
        </w:tc>
        <w:tc>
          <w:tcPr>
            <w:tcW w:w="2587" w:type="dxa"/>
          </w:tcPr>
          <w:p w:rsidR="00977EB1" w:rsidRPr="00FF1A1F" w:rsidRDefault="00977EB1" w:rsidP="00F80FBC">
            <w:pPr>
              <w:rPr>
                <w:b/>
                <w:sz w:val="20"/>
              </w:rPr>
            </w:pPr>
            <w:r w:rsidRPr="00FF1A1F">
              <w:rPr>
                <w:b/>
                <w:sz w:val="20"/>
              </w:rPr>
              <w:t>Key reporting activities</w:t>
            </w:r>
          </w:p>
        </w:tc>
        <w:tc>
          <w:tcPr>
            <w:tcW w:w="3083" w:type="dxa"/>
          </w:tcPr>
          <w:p w:rsidR="00977EB1" w:rsidRPr="00FF1A1F" w:rsidRDefault="00977EB1" w:rsidP="00F80FBC">
            <w:pPr>
              <w:rPr>
                <w:b/>
                <w:sz w:val="20"/>
              </w:rPr>
            </w:pPr>
            <w:r w:rsidRPr="00FF1A1F">
              <w:rPr>
                <w:b/>
                <w:sz w:val="20"/>
              </w:rPr>
              <w:t>Key improvement activities</w:t>
            </w:r>
          </w:p>
        </w:tc>
      </w:tr>
      <w:tr w:rsidR="00977EB1" w:rsidRPr="00FF1A1F" w:rsidTr="00F80FBC">
        <w:tc>
          <w:tcPr>
            <w:tcW w:w="0" w:type="auto"/>
          </w:tcPr>
          <w:p w:rsidR="00977EB1" w:rsidRPr="00FF1A1F" w:rsidRDefault="00977EB1" w:rsidP="00F80FBC">
            <w:pPr>
              <w:rPr>
                <w:sz w:val="20"/>
              </w:rPr>
            </w:pPr>
            <w:r w:rsidRPr="00FF1A1F">
              <w:rPr>
                <w:sz w:val="20"/>
              </w:rPr>
              <w:t>Long-term</w:t>
            </w:r>
          </w:p>
          <w:p w:rsidR="00977EB1" w:rsidRPr="00FF1A1F" w:rsidRDefault="00977EB1" w:rsidP="00F80FBC">
            <w:pPr>
              <w:rPr>
                <w:sz w:val="20"/>
              </w:rPr>
            </w:pPr>
            <w:r w:rsidRPr="00FF1A1F">
              <w:rPr>
                <w:sz w:val="20"/>
              </w:rPr>
              <w:t xml:space="preserve">(Greater than </w:t>
            </w:r>
            <w:r w:rsidR="001045C0" w:rsidRPr="00FF1A1F">
              <w:rPr>
                <w:sz w:val="20"/>
              </w:rPr>
              <w:t>10</w:t>
            </w:r>
            <w:r w:rsidRPr="00FF1A1F">
              <w:rPr>
                <w:sz w:val="20"/>
              </w:rPr>
              <w:t xml:space="preserve"> years)</w:t>
            </w:r>
          </w:p>
        </w:tc>
        <w:tc>
          <w:tcPr>
            <w:tcW w:w="2415" w:type="dxa"/>
          </w:tcPr>
          <w:p w:rsidR="00977EB1" w:rsidRPr="00FF1A1F" w:rsidRDefault="00977EB1" w:rsidP="00F80FBC">
            <w:pPr>
              <w:pStyle w:val="ListBullet"/>
              <w:rPr>
                <w:b/>
                <w:sz w:val="20"/>
              </w:rPr>
            </w:pPr>
            <w:r w:rsidRPr="00FF1A1F">
              <w:rPr>
                <w:b/>
                <w:sz w:val="20"/>
              </w:rPr>
              <w:t>Basin Plan’s environmental watering plan (‘the EWP’)</w:t>
            </w:r>
          </w:p>
          <w:p w:rsidR="00977EB1" w:rsidRPr="00FF1A1F" w:rsidRDefault="00977EB1" w:rsidP="00F80FBC">
            <w:pPr>
              <w:pStyle w:val="ListBullet"/>
              <w:rPr>
                <w:b/>
                <w:sz w:val="20"/>
              </w:rPr>
            </w:pPr>
            <w:r w:rsidRPr="00FF1A1F">
              <w:rPr>
                <w:b/>
                <w:sz w:val="20"/>
              </w:rPr>
              <w:t>(MDBA)</w:t>
            </w:r>
          </w:p>
        </w:tc>
        <w:tc>
          <w:tcPr>
            <w:tcW w:w="2982" w:type="dxa"/>
          </w:tcPr>
          <w:p w:rsidR="00977EB1" w:rsidRPr="00FF1A1F" w:rsidRDefault="00977EB1" w:rsidP="00F80FBC">
            <w:pPr>
              <w:pStyle w:val="ListBullet"/>
              <w:rPr>
                <w:sz w:val="20"/>
              </w:rPr>
            </w:pPr>
            <w:r w:rsidRPr="00FF1A1F">
              <w:rPr>
                <w:b/>
                <w:sz w:val="20"/>
              </w:rPr>
              <w:t>Program</w:t>
            </w:r>
            <w:r w:rsidRPr="00FF1A1F">
              <w:rPr>
                <w:sz w:val="20"/>
              </w:rPr>
              <w:t xml:space="preserve"> monitoring of the effectiveness of the EWP (MDBA)</w:t>
            </w:r>
          </w:p>
        </w:tc>
        <w:tc>
          <w:tcPr>
            <w:tcW w:w="2552" w:type="dxa"/>
          </w:tcPr>
          <w:p w:rsidR="00977EB1" w:rsidRPr="00FF1A1F" w:rsidRDefault="00977EB1" w:rsidP="00F80FBC">
            <w:pPr>
              <w:pStyle w:val="ListBullet"/>
              <w:rPr>
                <w:sz w:val="20"/>
              </w:rPr>
            </w:pPr>
            <w:r w:rsidRPr="00FF1A1F">
              <w:rPr>
                <w:sz w:val="20"/>
              </w:rPr>
              <w:t xml:space="preserve">Environmental outcomes  and effectiveness of the EWP </w:t>
            </w:r>
          </w:p>
          <w:p w:rsidR="00977EB1" w:rsidRPr="00FF1A1F" w:rsidRDefault="00977EB1" w:rsidP="00F80FBC">
            <w:pPr>
              <w:pStyle w:val="ListBullet"/>
              <w:ind w:left="360"/>
              <w:rPr>
                <w:sz w:val="20"/>
              </w:rPr>
            </w:pPr>
          </w:p>
        </w:tc>
        <w:tc>
          <w:tcPr>
            <w:tcW w:w="2587" w:type="dxa"/>
          </w:tcPr>
          <w:p w:rsidR="00977EB1" w:rsidRPr="00FF1A1F" w:rsidRDefault="00977EB1" w:rsidP="00F80FBC">
            <w:pPr>
              <w:pStyle w:val="ListBullet"/>
              <w:rPr>
                <w:sz w:val="20"/>
              </w:rPr>
            </w:pPr>
            <w:r w:rsidRPr="00FF1A1F">
              <w:rPr>
                <w:sz w:val="20"/>
              </w:rPr>
              <w:t>Basin Plan Schedule 12 (Item 7)</w:t>
            </w:r>
          </w:p>
        </w:tc>
        <w:tc>
          <w:tcPr>
            <w:tcW w:w="3083" w:type="dxa"/>
          </w:tcPr>
          <w:p w:rsidR="00977EB1" w:rsidRPr="00FF1A1F" w:rsidRDefault="00977EB1" w:rsidP="00F80FBC">
            <w:pPr>
              <w:pStyle w:val="ListBullet"/>
              <w:rPr>
                <w:sz w:val="20"/>
              </w:rPr>
            </w:pPr>
            <w:r w:rsidRPr="00FF1A1F">
              <w:rPr>
                <w:sz w:val="20"/>
              </w:rPr>
              <w:t>Refinement of Basin Plan’s EWP</w:t>
            </w:r>
          </w:p>
          <w:p w:rsidR="00977EB1" w:rsidRPr="00FF1A1F" w:rsidRDefault="00977EB1" w:rsidP="00F80FBC">
            <w:pPr>
              <w:pStyle w:val="ListBullet"/>
              <w:rPr>
                <w:sz w:val="20"/>
              </w:rPr>
            </w:pPr>
          </w:p>
        </w:tc>
      </w:tr>
      <w:tr w:rsidR="00977EB1" w:rsidRPr="00FF1A1F" w:rsidTr="00F80FBC">
        <w:tc>
          <w:tcPr>
            <w:tcW w:w="0" w:type="auto"/>
          </w:tcPr>
          <w:p w:rsidR="00977EB1" w:rsidRPr="00FF1A1F" w:rsidRDefault="00977EB1" w:rsidP="00F80FBC">
            <w:pPr>
              <w:rPr>
                <w:sz w:val="20"/>
              </w:rPr>
            </w:pPr>
            <w:r w:rsidRPr="00FF1A1F">
              <w:rPr>
                <w:sz w:val="20"/>
              </w:rPr>
              <w:t>Intermediate</w:t>
            </w:r>
          </w:p>
          <w:p w:rsidR="00977EB1" w:rsidRPr="00FF1A1F" w:rsidRDefault="00977EB1" w:rsidP="00F80FBC">
            <w:pPr>
              <w:rPr>
                <w:sz w:val="20"/>
              </w:rPr>
            </w:pPr>
            <w:r w:rsidRPr="00FF1A1F">
              <w:rPr>
                <w:sz w:val="20"/>
              </w:rPr>
              <w:t>(1–5 years)</w:t>
            </w:r>
          </w:p>
        </w:tc>
        <w:tc>
          <w:tcPr>
            <w:tcW w:w="2415" w:type="dxa"/>
          </w:tcPr>
          <w:p w:rsidR="00977EB1" w:rsidRPr="00FF1A1F" w:rsidRDefault="00977EB1" w:rsidP="00F80FBC">
            <w:pPr>
              <w:pStyle w:val="ListBullet"/>
              <w:rPr>
                <w:b/>
                <w:sz w:val="20"/>
              </w:rPr>
            </w:pPr>
            <w:r w:rsidRPr="00FF1A1F">
              <w:rPr>
                <w:b/>
                <w:sz w:val="20"/>
              </w:rPr>
              <w:t>Long-term portfolio management strategies</w:t>
            </w:r>
          </w:p>
        </w:tc>
        <w:tc>
          <w:tcPr>
            <w:tcW w:w="2982" w:type="dxa"/>
          </w:tcPr>
          <w:p w:rsidR="00977EB1" w:rsidRPr="00FF1A1F" w:rsidRDefault="00751E3D" w:rsidP="00F80FBC">
            <w:pPr>
              <w:pStyle w:val="ListBullet"/>
              <w:rPr>
                <w:sz w:val="20"/>
              </w:rPr>
            </w:pPr>
            <w:r w:rsidRPr="00FF1A1F">
              <w:rPr>
                <w:sz w:val="20"/>
              </w:rPr>
              <w:t xml:space="preserve">Long-term </w:t>
            </w:r>
            <w:r w:rsidR="00977EB1" w:rsidRPr="00FF1A1F">
              <w:rPr>
                <w:b/>
                <w:sz w:val="20"/>
              </w:rPr>
              <w:t xml:space="preserve">intervention </w:t>
            </w:r>
            <w:r w:rsidR="00977EB1" w:rsidRPr="00FF1A1F">
              <w:rPr>
                <w:sz w:val="20"/>
              </w:rPr>
              <w:t xml:space="preserve">monitoring of selected areas Commonwealth environmental water is delivered </w:t>
            </w:r>
          </w:p>
        </w:tc>
        <w:tc>
          <w:tcPr>
            <w:tcW w:w="2552" w:type="dxa"/>
          </w:tcPr>
          <w:p w:rsidR="00977EB1" w:rsidRPr="00FF1A1F" w:rsidRDefault="00977EB1" w:rsidP="00F80FBC">
            <w:pPr>
              <w:pStyle w:val="ListBullet"/>
              <w:rPr>
                <w:sz w:val="20"/>
              </w:rPr>
            </w:pPr>
            <w:r w:rsidRPr="00FF1A1F">
              <w:rPr>
                <w:sz w:val="20"/>
              </w:rPr>
              <w:t>Environmental outcomes of Commonwealth environmental watering</w:t>
            </w:r>
          </w:p>
        </w:tc>
        <w:tc>
          <w:tcPr>
            <w:tcW w:w="2587" w:type="dxa"/>
          </w:tcPr>
          <w:p w:rsidR="00977EB1" w:rsidRPr="00FF1A1F" w:rsidRDefault="00977EB1" w:rsidP="00F80FBC">
            <w:pPr>
              <w:pStyle w:val="ListBullet"/>
              <w:rPr>
                <w:sz w:val="20"/>
              </w:rPr>
            </w:pPr>
            <w:r w:rsidRPr="00FF1A1F">
              <w:rPr>
                <w:sz w:val="20"/>
              </w:rPr>
              <w:t>Basin Plan Schedule 12 (Item 7)</w:t>
            </w:r>
          </w:p>
        </w:tc>
        <w:tc>
          <w:tcPr>
            <w:tcW w:w="3083" w:type="dxa"/>
          </w:tcPr>
          <w:p w:rsidR="00977EB1" w:rsidRPr="00FF1A1F" w:rsidRDefault="00977EB1" w:rsidP="00F80FBC">
            <w:pPr>
              <w:pStyle w:val="ListBullet"/>
              <w:rPr>
                <w:sz w:val="20"/>
              </w:rPr>
            </w:pPr>
            <w:r w:rsidRPr="00FF1A1F">
              <w:rPr>
                <w:sz w:val="20"/>
              </w:rPr>
              <w:t>Refinement of long-term portfolio management strategies</w:t>
            </w:r>
          </w:p>
        </w:tc>
      </w:tr>
      <w:tr w:rsidR="00977EB1" w:rsidRPr="00FF1A1F" w:rsidTr="00F80FBC">
        <w:tc>
          <w:tcPr>
            <w:tcW w:w="0" w:type="auto"/>
          </w:tcPr>
          <w:p w:rsidR="00977EB1" w:rsidRPr="00FF1A1F" w:rsidRDefault="00977EB1" w:rsidP="00F80FBC">
            <w:pPr>
              <w:rPr>
                <w:sz w:val="20"/>
              </w:rPr>
            </w:pPr>
            <w:r w:rsidRPr="00FF1A1F">
              <w:rPr>
                <w:sz w:val="20"/>
              </w:rPr>
              <w:t xml:space="preserve">Immediate </w:t>
            </w:r>
          </w:p>
          <w:p w:rsidR="00977EB1" w:rsidRPr="00FF1A1F" w:rsidRDefault="00977EB1" w:rsidP="00F80FBC">
            <w:pPr>
              <w:rPr>
                <w:sz w:val="20"/>
              </w:rPr>
            </w:pPr>
            <w:r w:rsidRPr="00FF1A1F">
              <w:rPr>
                <w:sz w:val="20"/>
              </w:rPr>
              <w:t>(Up to 1 year)</w:t>
            </w:r>
          </w:p>
        </w:tc>
        <w:tc>
          <w:tcPr>
            <w:tcW w:w="2415" w:type="dxa"/>
          </w:tcPr>
          <w:p w:rsidR="00977EB1" w:rsidRPr="00FF1A1F" w:rsidRDefault="00943571" w:rsidP="00F80FBC">
            <w:pPr>
              <w:pStyle w:val="ListBullet"/>
              <w:rPr>
                <w:b/>
                <w:sz w:val="20"/>
              </w:rPr>
            </w:pPr>
            <w:r w:rsidRPr="00FF1A1F">
              <w:rPr>
                <w:b/>
                <w:sz w:val="20"/>
              </w:rPr>
              <w:t>A</w:t>
            </w:r>
            <w:r w:rsidR="00977EB1" w:rsidRPr="00FF1A1F">
              <w:rPr>
                <w:b/>
                <w:sz w:val="20"/>
              </w:rPr>
              <w:t>nnual water</w:t>
            </w:r>
            <w:r w:rsidRPr="00FF1A1F">
              <w:rPr>
                <w:b/>
                <w:sz w:val="20"/>
              </w:rPr>
              <w:t xml:space="preserve"> use</w:t>
            </w:r>
            <w:r w:rsidR="00977EB1" w:rsidRPr="00FF1A1F">
              <w:rPr>
                <w:b/>
                <w:sz w:val="20"/>
              </w:rPr>
              <w:t xml:space="preserve"> options </w:t>
            </w:r>
          </w:p>
          <w:p w:rsidR="00977EB1" w:rsidRPr="00FF1A1F" w:rsidRDefault="00977EB1" w:rsidP="00F80FBC">
            <w:pPr>
              <w:pStyle w:val="ListBullet"/>
              <w:rPr>
                <w:b/>
                <w:sz w:val="20"/>
              </w:rPr>
            </w:pPr>
            <w:r w:rsidRPr="00FF1A1F">
              <w:rPr>
                <w:b/>
                <w:sz w:val="20"/>
              </w:rPr>
              <w:t xml:space="preserve">Watering decisions </w:t>
            </w:r>
          </w:p>
        </w:tc>
        <w:tc>
          <w:tcPr>
            <w:tcW w:w="2982" w:type="dxa"/>
          </w:tcPr>
          <w:p w:rsidR="00977EB1" w:rsidRPr="00FF1A1F" w:rsidRDefault="00977EB1" w:rsidP="00F80FBC">
            <w:pPr>
              <w:pStyle w:val="ListBullet"/>
              <w:rPr>
                <w:sz w:val="20"/>
              </w:rPr>
            </w:pPr>
            <w:r w:rsidRPr="00FF1A1F">
              <w:rPr>
                <w:sz w:val="20"/>
              </w:rPr>
              <w:t>Targeted</w:t>
            </w:r>
            <w:r w:rsidRPr="00FF1A1F">
              <w:rPr>
                <w:b/>
                <w:sz w:val="20"/>
              </w:rPr>
              <w:t xml:space="preserve"> intervention</w:t>
            </w:r>
            <w:r w:rsidRPr="00FF1A1F">
              <w:rPr>
                <w:sz w:val="20"/>
              </w:rPr>
              <w:t xml:space="preserve"> monitoring of selected watering actions </w:t>
            </w:r>
          </w:p>
          <w:p w:rsidR="00977EB1" w:rsidRPr="00FF1A1F" w:rsidRDefault="00977EB1" w:rsidP="00F80FBC">
            <w:pPr>
              <w:pStyle w:val="ListBullet"/>
              <w:rPr>
                <w:sz w:val="20"/>
              </w:rPr>
            </w:pPr>
            <w:r w:rsidRPr="00FF1A1F">
              <w:rPr>
                <w:b/>
                <w:sz w:val="20"/>
              </w:rPr>
              <w:t xml:space="preserve">Operational </w:t>
            </w:r>
            <w:r w:rsidRPr="00FF1A1F">
              <w:rPr>
                <w:sz w:val="20"/>
              </w:rPr>
              <w:t>monitoring</w:t>
            </w:r>
            <w:r w:rsidRPr="00FF1A1F">
              <w:rPr>
                <w:b/>
                <w:sz w:val="20"/>
              </w:rPr>
              <w:t xml:space="preserve"> </w:t>
            </w:r>
            <w:r w:rsidRPr="00FF1A1F">
              <w:rPr>
                <w:sz w:val="20"/>
              </w:rPr>
              <w:t>to ensure water is delivered as planned and without unintended consequences (delivery partners)</w:t>
            </w:r>
          </w:p>
        </w:tc>
        <w:tc>
          <w:tcPr>
            <w:tcW w:w="2552" w:type="dxa"/>
          </w:tcPr>
          <w:p w:rsidR="00977EB1" w:rsidRPr="00FF1A1F" w:rsidRDefault="00977EB1" w:rsidP="00F80FBC">
            <w:pPr>
              <w:pStyle w:val="ListBullet"/>
              <w:rPr>
                <w:sz w:val="20"/>
              </w:rPr>
            </w:pPr>
            <w:r w:rsidRPr="00FF1A1F">
              <w:rPr>
                <w:sz w:val="20"/>
              </w:rPr>
              <w:t>Environmental outcomes of Commonwealth environmental watering</w:t>
            </w:r>
          </w:p>
          <w:p w:rsidR="00977EB1" w:rsidRPr="00FF1A1F" w:rsidRDefault="00977EB1" w:rsidP="00F80FBC">
            <w:pPr>
              <w:pStyle w:val="ListBullet"/>
              <w:rPr>
                <w:sz w:val="20"/>
              </w:rPr>
            </w:pPr>
            <w:r w:rsidRPr="00FF1A1F">
              <w:rPr>
                <w:sz w:val="20"/>
              </w:rPr>
              <w:t>Effectiveness of water delivery</w:t>
            </w:r>
          </w:p>
        </w:tc>
        <w:tc>
          <w:tcPr>
            <w:tcW w:w="2587" w:type="dxa"/>
          </w:tcPr>
          <w:p w:rsidR="00977EB1" w:rsidRPr="00FF1A1F" w:rsidRDefault="00977EB1" w:rsidP="00F80FBC">
            <w:pPr>
              <w:pStyle w:val="ListBullet"/>
              <w:rPr>
                <w:sz w:val="20"/>
              </w:rPr>
            </w:pPr>
            <w:r w:rsidRPr="00FF1A1F">
              <w:rPr>
                <w:sz w:val="20"/>
              </w:rPr>
              <w:t>Annual Report to Parliament</w:t>
            </w:r>
          </w:p>
          <w:p w:rsidR="00977EB1" w:rsidRPr="00FF1A1F" w:rsidRDefault="00977EB1" w:rsidP="00F80FBC">
            <w:pPr>
              <w:pStyle w:val="ListBullet"/>
              <w:rPr>
                <w:sz w:val="20"/>
              </w:rPr>
            </w:pPr>
            <w:r w:rsidRPr="00FF1A1F">
              <w:rPr>
                <w:sz w:val="20"/>
              </w:rPr>
              <w:t>Annual Outcomes report</w:t>
            </w:r>
          </w:p>
          <w:p w:rsidR="00977EB1" w:rsidRPr="00FF1A1F" w:rsidRDefault="00977EB1" w:rsidP="00F80FBC">
            <w:pPr>
              <w:pStyle w:val="ListBullet"/>
              <w:rPr>
                <w:sz w:val="20"/>
              </w:rPr>
            </w:pPr>
            <w:r w:rsidRPr="00FF1A1F">
              <w:rPr>
                <w:sz w:val="20"/>
              </w:rPr>
              <w:t>Published results from all monitoring</w:t>
            </w:r>
          </w:p>
          <w:p w:rsidR="00977EB1" w:rsidRPr="00FF1A1F" w:rsidRDefault="00977EB1" w:rsidP="00F80FBC">
            <w:pPr>
              <w:pStyle w:val="ListBullet"/>
              <w:rPr>
                <w:sz w:val="20"/>
              </w:rPr>
            </w:pPr>
            <w:r w:rsidRPr="00FF1A1F">
              <w:rPr>
                <w:sz w:val="20"/>
              </w:rPr>
              <w:t>Basin Plan Schedule 12 (Items 6, 9, 10, 14)</w:t>
            </w:r>
          </w:p>
        </w:tc>
        <w:tc>
          <w:tcPr>
            <w:tcW w:w="3083" w:type="dxa"/>
          </w:tcPr>
          <w:p w:rsidR="00977EB1" w:rsidRPr="00FF1A1F" w:rsidRDefault="00977EB1" w:rsidP="00F80FBC">
            <w:pPr>
              <w:pStyle w:val="ListBullet"/>
              <w:rPr>
                <w:sz w:val="20"/>
              </w:rPr>
            </w:pPr>
            <w:r w:rsidRPr="00FF1A1F">
              <w:rPr>
                <w:sz w:val="20"/>
              </w:rPr>
              <w:t>Refinement of annual and future water use options</w:t>
            </w:r>
          </w:p>
        </w:tc>
      </w:tr>
    </w:tbl>
    <w:p w:rsidR="00977EB1" w:rsidRPr="00FF1A1F" w:rsidRDefault="00977EB1" w:rsidP="00977EB1">
      <w:pPr>
        <w:rPr>
          <w:rFonts w:ascii="Arial" w:hAnsi="Arial" w:cs="Arial"/>
          <w:szCs w:val="24"/>
        </w:rPr>
      </w:pPr>
    </w:p>
    <w:p w:rsidR="00977EB1" w:rsidRPr="00FF1A1F" w:rsidRDefault="00977EB1" w:rsidP="00977EB1">
      <w:pPr>
        <w:rPr>
          <w:rFonts w:ascii="Arial" w:hAnsi="Arial" w:cs="Arial"/>
          <w:szCs w:val="24"/>
        </w:rPr>
      </w:pPr>
    </w:p>
    <w:p w:rsidR="00977EB1" w:rsidRPr="00FF1A1F" w:rsidRDefault="00977EB1" w:rsidP="00977EB1">
      <w:pPr>
        <w:rPr>
          <w:rFonts w:ascii="Arial" w:hAnsi="Arial" w:cs="Arial"/>
          <w:szCs w:val="24"/>
        </w:rPr>
      </w:pPr>
    </w:p>
    <w:p w:rsidR="00977EB1" w:rsidRPr="00FF1A1F" w:rsidRDefault="00977EB1" w:rsidP="00977EB1">
      <w:pPr>
        <w:pStyle w:val="Heading2"/>
        <w:sectPr w:rsidR="00977EB1" w:rsidRPr="00FF1A1F" w:rsidSect="00551C46">
          <w:footerReference w:type="even" r:id="rId18"/>
          <w:footerReference w:type="default" r:id="rId19"/>
          <w:pgSz w:w="16840" w:h="11907" w:orient="landscape" w:code="9"/>
          <w:pgMar w:top="1440" w:right="1440" w:bottom="1440" w:left="1440" w:header="720" w:footer="720" w:gutter="0"/>
          <w:cols w:space="720"/>
          <w:docGrid w:linePitch="326"/>
        </w:sectPr>
      </w:pPr>
    </w:p>
    <w:p w:rsidR="00977EB1" w:rsidRPr="00FF1A1F" w:rsidRDefault="00977EB1" w:rsidP="00977EB1">
      <w:pPr>
        <w:pStyle w:val="Heading2"/>
      </w:pPr>
      <w:bookmarkStart w:id="19" w:name="_Toc358367138"/>
      <w:r w:rsidRPr="00FF1A1F">
        <w:lastRenderedPageBreak/>
        <w:t>Monitoring</w:t>
      </w:r>
      <w:bookmarkEnd w:id="19"/>
    </w:p>
    <w:p w:rsidR="00977EB1" w:rsidRPr="00FF1A1F" w:rsidRDefault="00977EB1" w:rsidP="00977EB1"/>
    <w:p w:rsidR="00977EB1" w:rsidRPr="00FF1A1F" w:rsidRDefault="000211CD" w:rsidP="00977EB1">
      <w:pPr>
        <w:pStyle w:val="ColorfulList-Accent11"/>
        <w:spacing w:after="120"/>
        <w:ind w:left="0"/>
      </w:pPr>
      <w:r w:rsidRPr="00FF1A1F">
        <w:t>Three types of monitoring</w:t>
      </w:r>
      <w:r w:rsidR="008F7075" w:rsidRPr="00FF1A1F">
        <w:t xml:space="preserve"> (Figure 4)</w:t>
      </w:r>
      <w:r w:rsidRPr="00FF1A1F">
        <w:t xml:space="preserve"> will be undertaken</w:t>
      </w:r>
      <w:r w:rsidR="00977EB1" w:rsidRPr="00FF1A1F">
        <w:t xml:space="preserve"> across a range of spatial scales to align with the program logic hierarchy set out in Table 2:</w:t>
      </w:r>
    </w:p>
    <w:p w:rsidR="00977EB1" w:rsidRPr="00FF1A1F" w:rsidRDefault="00977EB1" w:rsidP="00977EB1">
      <w:pPr>
        <w:numPr>
          <w:ilvl w:val="0"/>
          <w:numId w:val="8"/>
        </w:numPr>
      </w:pPr>
      <w:r w:rsidRPr="00FF1A1F">
        <w:t xml:space="preserve">operational </w:t>
      </w:r>
      <w:r w:rsidR="000211CD" w:rsidRPr="00FF1A1F">
        <w:t>monitoring</w:t>
      </w:r>
      <w:r w:rsidRPr="00FF1A1F">
        <w:t xml:space="preserve"> - measures whether water is being delivered in a manner consistent with the stated water action objectives and without unintended consequences</w:t>
      </w:r>
    </w:p>
    <w:p w:rsidR="00977EB1" w:rsidRPr="00FF1A1F" w:rsidRDefault="00977EB1" w:rsidP="00977EB1">
      <w:pPr>
        <w:numPr>
          <w:ilvl w:val="0"/>
          <w:numId w:val="8"/>
        </w:numPr>
      </w:pPr>
      <w:r w:rsidRPr="00FF1A1F">
        <w:t xml:space="preserve">intervention </w:t>
      </w:r>
      <w:r w:rsidR="000211CD" w:rsidRPr="00FF1A1F">
        <w:t>monitoring</w:t>
      </w:r>
      <w:r w:rsidRPr="00FF1A1F">
        <w:t xml:space="preserve"> - measures ecological response to watering activities at an environmental asset scale level</w:t>
      </w:r>
    </w:p>
    <w:p w:rsidR="00977EB1" w:rsidRPr="00FF1A1F" w:rsidRDefault="00977EB1" w:rsidP="00977EB1">
      <w:pPr>
        <w:numPr>
          <w:ilvl w:val="0"/>
          <w:numId w:val="8"/>
        </w:numPr>
      </w:pPr>
      <w:r w:rsidRPr="00FF1A1F">
        <w:t xml:space="preserve">program </w:t>
      </w:r>
      <w:r w:rsidR="000211CD" w:rsidRPr="00FF1A1F">
        <w:t xml:space="preserve">monitoring </w:t>
      </w:r>
      <w:r w:rsidRPr="00FF1A1F">
        <w:t>- measures ecological condition at the Basin-scale and trends over the long term</w:t>
      </w:r>
    </w:p>
    <w:p w:rsidR="00977EB1" w:rsidRPr="00FF1A1F" w:rsidRDefault="00977EB1" w:rsidP="00977EB1">
      <w:pPr>
        <w:ind w:left="720"/>
      </w:pPr>
    </w:p>
    <w:p w:rsidR="00977EB1" w:rsidRPr="00FF1A1F" w:rsidRDefault="00977EB1" w:rsidP="00977EB1">
      <w:r w:rsidRPr="00FF1A1F">
        <w:t xml:space="preserve">Each type of monitoring needs to be designed to fit together to provide a coherent overall picture of the outcomes from environmental watering, and the contribution of environmental water to the objectives of the Basin Plan’s environmental watering plan. </w:t>
      </w:r>
    </w:p>
    <w:p w:rsidR="008F7075" w:rsidRPr="00FF1A1F" w:rsidRDefault="008F7075" w:rsidP="00977EB1"/>
    <w:p w:rsidR="008F7075" w:rsidRPr="00FF1A1F" w:rsidRDefault="008F7075" w:rsidP="008F7075">
      <w:pPr>
        <w:ind w:left="851" w:hanging="851"/>
        <w:rPr>
          <w:sz w:val="20"/>
        </w:rPr>
      </w:pPr>
      <w:proofErr w:type="gramStart"/>
      <w:r w:rsidRPr="00FF1A1F">
        <w:rPr>
          <w:b/>
          <w:sz w:val="20"/>
        </w:rPr>
        <w:t>Figure 4.</w:t>
      </w:r>
      <w:proofErr w:type="gramEnd"/>
      <w:r w:rsidRPr="00FF1A1F">
        <w:rPr>
          <w:sz w:val="20"/>
        </w:rPr>
        <w:t xml:space="preserve">  </w:t>
      </w:r>
      <w:proofErr w:type="gramStart"/>
      <w:r w:rsidRPr="00FF1A1F">
        <w:rPr>
          <w:sz w:val="20"/>
        </w:rPr>
        <w:t>A summary of the three types of monitoring relevant to Co</w:t>
      </w:r>
      <w:r w:rsidR="00943571" w:rsidRPr="00FF1A1F">
        <w:rPr>
          <w:sz w:val="20"/>
        </w:rPr>
        <w:t>mmonwealth environmental water (operational,</w:t>
      </w:r>
      <w:r w:rsidRPr="00FF1A1F">
        <w:rPr>
          <w:sz w:val="20"/>
        </w:rPr>
        <w:t xml:space="preserve"> intervention and program monitoring</w:t>
      </w:r>
      <w:r w:rsidR="00943571" w:rsidRPr="00FF1A1F">
        <w:rPr>
          <w:sz w:val="20"/>
        </w:rPr>
        <w:t>) and the alignment with planning.</w:t>
      </w:r>
      <w:proofErr w:type="gramEnd"/>
    </w:p>
    <w:p w:rsidR="008F7075" w:rsidRPr="00FF1A1F" w:rsidRDefault="008F7075" w:rsidP="00977EB1"/>
    <w:p w:rsidR="008F7075" w:rsidRPr="00FF1A1F" w:rsidRDefault="008F7075" w:rsidP="00977EB1"/>
    <w:p w:rsidR="008F7075" w:rsidRPr="00FF1A1F" w:rsidRDefault="008F7075" w:rsidP="00977EB1">
      <w:r w:rsidRPr="00FF1A1F">
        <w:rPr>
          <w:noProof/>
          <w:lang w:eastAsia="en-AU"/>
        </w:rPr>
        <w:drawing>
          <wp:inline distT="0" distB="0" distL="0" distR="0">
            <wp:extent cx="5467350" cy="3448050"/>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21080" cy="6499304"/>
                      <a:chOff x="179512" y="179348"/>
                      <a:chExt cx="9721080" cy="6499304"/>
                    </a:xfrm>
                  </a:grpSpPr>
                  <a:grpSp>
                    <a:nvGrpSpPr>
                      <a:cNvPr id="2" name="Group 24"/>
                      <a:cNvGrpSpPr/>
                    </a:nvGrpSpPr>
                    <a:grpSpPr>
                      <a:xfrm>
                        <a:off x="1547664" y="838453"/>
                        <a:ext cx="6912768" cy="5840199"/>
                        <a:chOff x="467544" y="838453"/>
                        <a:chExt cx="6912768" cy="5840199"/>
                      </a:xfrm>
                    </a:grpSpPr>
                    <a:cxnSp>
                      <a:nvCxnSpPr>
                        <a:cNvPr id="5" name="Straight Arrow Connector 4"/>
                        <a:cNvCxnSpPr/>
                      </a:nvCxnSpPr>
                      <a:spPr>
                        <a:xfrm>
                          <a:off x="827584" y="6237312"/>
                          <a:ext cx="6480720" cy="0"/>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sp>
                      <a:nvSpPr>
                        <a:cNvPr id="6" name="Rectangle 5"/>
                        <a:cNvSpPr/>
                      </a:nvSpPr>
                      <a:spPr>
                        <a:xfrm>
                          <a:off x="1475656" y="5867980"/>
                          <a:ext cx="5094312"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fontAlgn="base">
                              <a:spcBef>
                                <a:spcPct val="0"/>
                              </a:spcBef>
                              <a:spcAft>
                                <a:spcPts val="1000"/>
                              </a:spcAft>
                            </a:pPr>
                            <a:r>
                              <a:rPr kumimoji="0" lang="en-AU" b="1" i="0" u="none" strike="noStrike" cap="none" normalizeH="0" baseline="0" dirty="0" smtClean="0">
                                <a:ln>
                                  <a:noFill/>
                                </a:ln>
                                <a:solidFill>
                                  <a:schemeClr val="tx1"/>
                                </a:solidFill>
                                <a:effectLst/>
                                <a:latin typeface="Calibri" pitchFamily="34" charset="0"/>
                                <a:cs typeface="Arial" pitchFamily="34" charset="0"/>
                              </a:rPr>
                              <a:t>Timeframe of</a:t>
                            </a:r>
                            <a:r>
                              <a:rPr kumimoji="0" lang="en-AU" b="1" i="0" u="none" strike="noStrike" cap="none" normalizeH="0" dirty="0" smtClean="0">
                                <a:ln>
                                  <a:noFill/>
                                </a:ln>
                                <a:solidFill>
                                  <a:schemeClr val="tx1"/>
                                </a:solidFill>
                                <a:effectLst/>
                                <a:latin typeface="Calibri" pitchFamily="34" charset="0"/>
                                <a:cs typeface="Arial" pitchFamily="34" charset="0"/>
                              </a:rPr>
                              <a:t> ecological response</a:t>
                            </a:r>
                            <a:r>
                              <a:rPr kumimoji="0" lang="en-AU" b="1" i="0" u="none" strike="noStrike" cap="none" normalizeH="0" baseline="0" dirty="0" smtClean="0">
                                <a:ln>
                                  <a:noFill/>
                                </a:ln>
                                <a:solidFill>
                                  <a:schemeClr val="tx1"/>
                                </a:solidFill>
                                <a:effectLst/>
                                <a:latin typeface="Calibri" pitchFamily="34" charset="0"/>
                                <a:cs typeface="Arial" pitchFamily="34" charset="0"/>
                              </a:rPr>
                              <a:t>  </a:t>
                            </a:r>
                          </a:p>
                        </a:txBody>
                        <a:useSpRect/>
                      </a:txSp>
                    </a:sp>
                    <a:sp>
                      <a:nvSpPr>
                        <a:cNvPr id="9" name="TextBox 8"/>
                        <a:cNvSpPr txBox="1"/>
                      </a:nvSpPr>
                      <a:spPr>
                        <a:xfrm>
                          <a:off x="611560" y="838453"/>
                          <a:ext cx="1368152" cy="646331"/>
                        </a:xfrm>
                        <a:prstGeom prst="rect">
                          <a:avLst/>
                        </a:prstGeom>
                        <a:solidFill>
                          <a:schemeClr val="accent2">
                            <a:lumMod val="60000"/>
                            <a:lumOff val="40000"/>
                          </a:schemeClr>
                        </a:solidFill>
                        <a:ln>
                          <a:noFill/>
                        </a:ln>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AU" b="1" dirty="0" smtClean="0"/>
                              <a:t>Operational monitoring</a:t>
                            </a:r>
                            <a:endParaRPr lang="en-AU" b="1" dirty="0"/>
                          </a:p>
                        </a:txBody>
                        <a:useSpRect/>
                      </a:txSp>
                      <a:style>
                        <a:lnRef idx="2">
                          <a:schemeClr val="accent2"/>
                        </a:lnRef>
                        <a:fillRef idx="1">
                          <a:schemeClr val="lt1"/>
                        </a:fillRef>
                        <a:effectRef idx="0">
                          <a:schemeClr val="accent2"/>
                        </a:effectRef>
                        <a:fontRef idx="minor">
                          <a:schemeClr val="dk1"/>
                        </a:fontRef>
                      </a:style>
                    </a:sp>
                    <a:sp>
                      <a:nvSpPr>
                        <a:cNvPr id="11" name="Rectangle 10"/>
                        <a:cNvSpPr/>
                      </a:nvSpPr>
                      <a:spPr>
                        <a:xfrm>
                          <a:off x="467544" y="6309320"/>
                          <a:ext cx="1997968"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fontAlgn="base">
                              <a:spcBef>
                                <a:spcPct val="0"/>
                              </a:spcBef>
                              <a:spcAft>
                                <a:spcPts val="1000"/>
                              </a:spcAft>
                            </a:pPr>
                            <a:r>
                              <a:rPr kumimoji="0" lang="en-AU" b="1" i="0" u="none" strike="noStrike" cap="none" normalizeH="0" baseline="0" dirty="0" smtClean="0">
                                <a:ln>
                                  <a:noFill/>
                                </a:ln>
                                <a:solidFill>
                                  <a:schemeClr val="tx1"/>
                                </a:solidFill>
                                <a:effectLst/>
                                <a:latin typeface="Calibri" pitchFamily="34" charset="0"/>
                                <a:cs typeface="Arial" pitchFamily="34" charset="0"/>
                              </a:rPr>
                              <a:t>Less than 1 yr</a:t>
                            </a:r>
                          </a:p>
                        </a:txBody>
                        <a:useSpRect/>
                      </a:txSp>
                    </a:sp>
                    <a:sp>
                      <a:nvSpPr>
                        <a:cNvPr id="12" name="Rectangle 11"/>
                        <a:cNvSpPr/>
                      </a:nvSpPr>
                      <a:spPr>
                        <a:xfrm>
                          <a:off x="5220072" y="6309320"/>
                          <a:ext cx="1997968"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fontAlgn="base">
                              <a:spcBef>
                                <a:spcPct val="0"/>
                              </a:spcBef>
                              <a:spcAft>
                                <a:spcPts val="1000"/>
                              </a:spcAft>
                            </a:pPr>
                            <a:r>
                              <a:rPr lang="en-AU" b="1" dirty="0" smtClean="0">
                                <a:latin typeface="Calibri" pitchFamily="34" charset="0"/>
                                <a:cs typeface="Arial" pitchFamily="34" charset="0"/>
                              </a:rPr>
                              <a:t>More than 5 yrs</a:t>
                            </a:r>
                            <a:endParaRPr kumimoji="0" lang="en-AU" b="1" i="0" u="none" strike="noStrike" cap="none" normalizeH="0" baseline="0" dirty="0" smtClean="0">
                              <a:ln>
                                <a:noFill/>
                              </a:ln>
                              <a:solidFill>
                                <a:schemeClr val="tx1"/>
                              </a:solidFill>
                              <a:effectLst/>
                              <a:latin typeface="Calibri" pitchFamily="34" charset="0"/>
                              <a:cs typeface="Arial" pitchFamily="34" charset="0"/>
                            </a:endParaRPr>
                          </a:p>
                        </a:txBody>
                        <a:useSpRect/>
                      </a:txSp>
                    </a:sp>
                    <a:sp>
                      <a:nvSpPr>
                        <a:cNvPr id="17" name="TextBox 16"/>
                        <a:cNvSpPr txBox="1"/>
                      </a:nvSpPr>
                      <a:spPr>
                        <a:xfrm>
                          <a:off x="611560" y="1713582"/>
                          <a:ext cx="3456384" cy="92333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alpha val="0"/>
                              </a:schemeClr>
                            </a:gs>
                          </a:gsLst>
                          <a:lin ang="0" scaled="1"/>
                          <a:tileRect/>
                        </a:gradFill>
                        <a:ln>
                          <a:noFill/>
                        </a:ln>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AU" b="1" dirty="0" smtClean="0"/>
                              <a:t>Intervention monitoring: </a:t>
                            </a:r>
                            <a:r>
                              <a:rPr lang="en-AU" dirty="0"/>
                              <a:t>e</a:t>
                            </a:r>
                            <a:r>
                              <a:rPr lang="en-AU" dirty="0" smtClean="0"/>
                              <a:t>cological monitoring of selected watering actions</a:t>
                            </a:r>
                            <a:endParaRPr lang="en-AU" dirty="0"/>
                          </a:p>
                        </a:txBody>
                        <a:useSpRect/>
                      </a:txSp>
                      <a:style>
                        <a:lnRef idx="2">
                          <a:schemeClr val="accent1"/>
                        </a:lnRef>
                        <a:fillRef idx="1">
                          <a:schemeClr val="lt1"/>
                        </a:fillRef>
                        <a:effectRef idx="0">
                          <a:schemeClr val="accent1"/>
                        </a:effectRef>
                        <a:fontRef idx="minor">
                          <a:schemeClr val="dk1"/>
                        </a:fontRef>
                      </a:style>
                    </a:sp>
                    <a:sp>
                      <a:nvSpPr>
                        <a:cNvPr id="18" name="TextBox 17"/>
                        <a:cNvSpPr txBox="1"/>
                      </a:nvSpPr>
                      <a:spPr>
                        <a:xfrm>
                          <a:off x="2843808" y="2937718"/>
                          <a:ext cx="4464496" cy="92333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alpha val="0"/>
                              </a:schemeClr>
                            </a:gs>
                          </a:gsLst>
                          <a:lin ang="10800000" scaled="1"/>
                          <a:tileRect/>
                        </a:gradFill>
                        <a:ln>
                          <a:noFill/>
                        </a:ln>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r"/>
                            <a:r>
                              <a:rPr lang="en-AU" b="1" dirty="0" smtClean="0"/>
                              <a:t>Intervention monitoring: </a:t>
                            </a:r>
                            <a:r>
                              <a:rPr lang="en-AU" dirty="0"/>
                              <a:t>l</a:t>
                            </a:r>
                            <a:r>
                              <a:rPr lang="en-AU" dirty="0" smtClean="0"/>
                              <a:t>ong-term ecological monitoring of selected areas where water is delivered (including actions)</a:t>
                            </a:r>
                            <a:endParaRPr lang="en-AU" dirty="0"/>
                          </a:p>
                        </a:txBody>
                        <a:useSpRect/>
                      </a:txSp>
                      <a:style>
                        <a:lnRef idx="2">
                          <a:schemeClr val="accent1"/>
                        </a:lnRef>
                        <a:fillRef idx="1">
                          <a:schemeClr val="lt1"/>
                        </a:fillRef>
                        <a:effectRef idx="0">
                          <a:schemeClr val="accent1"/>
                        </a:effectRef>
                        <a:fontRef idx="minor">
                          <a:schemeClr val="dk1"/>
                        </a:fontRef>
                      </a:style>
                    </a:sp>
                    <a:sp>
                      <a:nvSpPr>
                        <a:cNvPr id="19" name="TextBox 18"/>
                        <a:cNvSpPr txBox="1"/>
                      </a:nvSpPr>
                      <a:spPr>
                        <a:xfrm>
                          <a:off x="2843808" y="3934797"/>
                          <a:ext cx="4464496" cy="646331"/>
                        </a:xfrm>
                        <a:prstGeom prst="rect">
                          <a:avLst/>
                        </a:prstGeom>
                        <a:gradFill flip="none" rotWithShape="1">
                          <a:gsLst>
                            <a:gs pos="0">
                              <a:srgbClr val="DDEBCF">
                                <a:alpha val="0"/>
                              </a:srgbClr>
                            </a:gs>
                            <a:gs pos="50000">
                              <a:srgbClr val="9CB86E"/>
                            </a:gs>
                            <a:gs pos="100000">
                              <a:srgbClr val="156B13"/>
                            </a:gs>
                          </a:gsLst>
                          <a:lin ang="0" scaled="0"/>
                          <a:tileRect/>
                        </a:gradFill>
                        <a:ln>
                          <a:noFill/>
                        </a:ln>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r"/>
                            <a:r>
                              <a:rPr lang="en-AU" b="1" dirty="0" smtClean="0"/>
                              <a:t>TLM monitoring: </a:t>
                            </a:r>
                            <a:r>
                              <a:rPr lang="en-AU" dirty="0"/>
                              <a:t>l</a:t>
                            </a:r>
                            <a:r>
                              <a:rPr lang="en-AU" dirty="0" smtClean="0"/>
                              <a:t>ong-term ecological monitoring at Icon Sites</a:t>
                            </a:r>
                            <a:endParaRPr lang="en-AU" dirty="0"/>
                          </a:p>
                        </a:txBody>
                        <a:useSpRect/>
                      </a:txSp>
                      <a:style>
                        <a:lnRef idx="2">
                          <a:schemeClr val="accent1"/>
                        </a:lnRef>
                        <a:fillRef idx="1">
                          <a:schemeClr val="lt1"/>
                        </a:fillRef>
                        <a:effectRef idx="0">
                          <a:schemeClr val="accent1"/>
                        </a:effectRef>
                        <a:fontRef idx="minor">
                          <a:schemeClr val="dk1"/>
                        </a:fontRef>
                      </a:style>
                    </a:sp>
                    <a:sp>
                      <a:nvSpPr>
                        <a:cNvPr id="20" name="TextBox 19"/>
                        <a:cNvSpPr txBox="1"/>
                      </a:nvSpPr>
                      <a:spPr>
                        <a:xfrm>
                          <a:off x="4499992" y="4881934"/>
                          <a:ext cx="2808312" cy="923330"/>
                        </a:xfrm>
                        <a:prstGeom prst="rect">
                          <a:avLst/>
                        </a:prstGeom>
                        <a:gradFill flip="none" rotWithShape="1">
                          <a:gsLst>
                            <a:gs pos="0">
                              <a:srgbClr val="DDEBCF">
                                <a:alpha val="0"/>
                              </a:srgbClr>
                            </a:gs>
                            <a:gs pos="50000">
                              <a:srgbClr val="9CB86E"/>
                            </a:gs>
                            <a:gs pos="100000">
                              <a:srgbClr val="156B13"/>
                            </a:gs>
                          </a:gsLst>
                          <a:lin ang="0" scaled="0"/>
                          <a:tileRect/>
                        </a:gradFill>
                        <a:ln>
                          <a:noFill/>
                        </a:ln>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r"/>
                            <a:r>
                              <a:rPr lang="en-AU" b="1" dirty="0" smtClean="0"/>
                              <a:t>Program monitoring: </a:t>
                            </a:r>
                            <a:r>
                              <a:rPr lang="en-AU" dirty="0" smtClean="0"/>
                              <a:t>broad scale ecological monitoring across the </a:t>
                            </a:r>
                            <a:r>
                              <a:rPr lang="en-AU" dirty="0" smtClean="0"/>
                              <a:t>Basin</a:t>
                            </a:r>
                            <a:endParaRPr lang="en-AU" dirty="0"/>
                          </a:p>
                        </a:txBody>
                        <a:useSpRect/>
                      </a:txSp>
                      <a:style>
                        <a:lnRef idx="2">
                          <a:schemeClr val="accent1"/>
                        </a:lnRef>
                        <a:fillRef idx="1">
                          <a:schemeClr val="lt1"/>
                        </a:fillRef>
                        <a:effectRef idx="0">
                          <a:schemeClr val="accent1"/>
                        </a:effectRef>
                        <a:fontRef idx="minor">
                          <a:schemeClr val="dk1"/>
                        </a:fontRef>
                      </a:style>
                    </a:sp>
                    <a:sp>
                      <a:nvSpPr>
                        <a:cNvPr id="14" name="Rectangle 13"/>
                        <a:cNvSpPr/>
                      </a:nvSpPr>
                      <a:spPr>
                        <a:xfrm>
                          <a:off x="2627784" y="2852936"/>
                          <a:ext cx="4752528" cy="1800200"/>
                        </a:xfrm>
                        <a:prstGeom prst="rect">
                          <a:avLst/>
                        </a:prstGeom>
                        <a:no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1403648" y="3553271"/>
                          <a:ext cx="2160240" cy="307777"/>
                        </a:xfrm>
                        <a:prstGeom prst="rect">
                          <a:avLst/>
                        </a:prstGeom>
                        <a:noFill/>
                        <a:scene3d>
                          <a:camera prst="orthographicFront">
                            <a:rot lat="0" lon="0" rev="5400000"/>
                          </a:camera>
                          <a:lightRig rig="threePt" dir="t"/>
                        </a:scene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400" b="1" dirty="0" smtClean="0">
                                <a:solidFill>
                                  <a:srgbClr val="FFC000"/>
                                </a:solidFill>
                              </a:rPr>
                              <a:t>Complementary</a:t>
                            </a:r>
                            <a:endParaRPr lang="en-AU" sz="1400" b="1" dirty="0">
                              <a:solidFill>
                                <a:srgbClr val="FFC000"/>
                              </a:solidFill>
                            </a:endParaRPr>
                          </a:p>
                        </a:txBody>
                        <a:useSpRect/>
                      </a:txSp>
                    </a:sp>
                    <a:cxnSp>
                      <a:nvCxnSpPr>
                        <a:cNvPr id="29" name="Straight Arrow Connector 28"/>
                        <a:cNvCxnSpPr/>
                      </a:nvCxnSpPr>
                      <a:spPr>
                        <a:xfrm>
                          <a:off x="3203848" y="2636912"/>
                          <a:ext cx="0" cy="216024"/>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nvCxnSpPr>
                      <a:spPr>
                        <a:xfrm>
                          <a:off x="5868144" y="4653136"/>
                          <a:ext cx="0" cy="216024"/>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a:off x="1259632" y="1484784"/>
                          <a:ext cx="0" cy="216024"/>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65" name="TextBox 64"/>
                      <a:cNvSpPr txBox="1"/>
                    </a:nvSpPr>
                    <a:spPr>
                      <a:xfrm>
                        <a:off x="1115616" y="179348"/>
                        <a:ext cx="712879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b="1" dirty="0" smtClean="0">
                              <a:solidFill>
                                <a:schemeClr val="tx2">
                                  <a:lumMod val="60000"/>
                                  <a:lumOff val="40000"/>
                                </a:schemeClr>
                              </a:solidFill>
                            </a:rPr>
                            <a:t>Monitoring </a:t>
                          </a:r>
                          <a:r>
                            <a:rPr lang="en-AU" b="1" dirty="0" smtClean="0">
                              <a:solidFill>
                                <a:schemeClr val="tx2">
                                  <a:lumMod val="60000"/>
                                  <a:lumOff val="40000"/>
                                </a:schemeClr>
                              </a:solidFill>
                            </a:rPr>
                            <a:t>a</a:t>
                          </a:r>
                          <a:r>
                            <a:rPr lang="en-AU" b="1" dirty="0" smtClean="0">
                              <a:solidFill>
                                <a:schemeClr val="tx2">
                                  <a:lumMod val="60000"/>
                                  <a:lumOff val="40000"/>
                                </a:schemeClr>
                              </a:solidFill>
                            </a:rPr>
                            <a:t>ctivities</a:t>
                          </a:r>
                          <a:endParaRPr lang="en-AU" b="1" dirty="0">
                            <a:solidFill>
                              <a:schemeClr val="tx2">
                                <a:lumMod val="60000"/>
                                <a:lumOff val="40000"/>
                              </a:schemeClr>
                            </a:solidFill>
                          </a:endParaRPr>
                        </a:p>
                      </a:txBody>
                      <a:useSpRect/>
                    </a:txSp>
                  </a:sp>
                  <a:cxnSp>
                    <a:nvCxnSpPr>
                      <a:cNvPr id="27" name="Straight Connector 26"/>
                      <a:cNvCxnSpPr/>
                    </a:nvCxnSpPr>
                    <a:spPr>
                      <a:xfrm>
                        <a:off x="251520" y="2780928"/>
                        <a:ext cx="8352928" cy="0"/>
                      </a:xfrm>
                      <a:prstGeom prst="line">
                        <a:avLst/>
                      </a:prstGeom>
                      <a:ln w="1905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251520" y="4797152"/>
                        <a:ext cx="8352928" cy="0"/>
                      </a:xfrm>
                      <a:prstGeom prst="line">
                        <a:avLst/>
                      </a:prstGeom>
                      <a:ln w="1905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a:off x="1547664" y="188640"/>
                        <a:ext cx="0" cy="5832648"/>
                      </a:xfrm>
                      <a:prstGeom prst="line">
                        <a:avLst/>
                      </a:prstGeom>
                      <a:ln w="1905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38" name="Rectangle 37"/>
                      <a:cNvSpPr/>
                    </a:nvSpPr>
                    <a:spPr>
                      <a:xfrm>
                        <a:off x="179512" y="4869160"/>
                        <a:ext cx="1368152" cy="1051570"/>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ts val="1000"/>
                            </a:spcAft>
                          </a:pPr>
                          <a:r>
                            <a:rPr kumimoji="0" lang="en-AU" b="1" i="0" u="none" strike="noStrike" cap="none" normalizeH="0" baseline="0" dirty="0" smtClean="0">
                              <a:ln>
                                <a:noFill/>
                              </a:ln>
                              <a:solidFill>
                                <a:schemeClr val="tx1"/>
                              </a:solidFill>
                              <a:effectLst/>
                              <a:latin typeface="Calibri" pitchFamily="34" charset="0"/>
                              <a:cs typeface="Arial" pitchFamily="34" charset="0"/>
                            </a:rPr>
                            <a:t>Basin</a:t>
                          </a:r>
                          <a:r>
                            <a:rPr kumimoji="0" lang="en-AU" b="1" i="0" u="none" strike="noStrike" cap="none" normalizeH="0" dirty="0" smtClean="0">
                              <a:ln>
                                <a:noFill/>
                              </a:ln>
                              <a:solidFill>
                                <a:schemeClr val="tx1"/>
                              </a:solidFill>
                              <a:effectLst/>
                              <a:latin typeface="Calibri" pitchFamily="34" charset="0"/>
                              <a:cs typeface="Arial" pitchFamily="34" charset="0"/>
                            </a:rPr>
                            <a:t> Plan (10 yr)</a:t>
                          </a:r>
                        </a:p>
                        <a:p>
                          <a:pPr lvl="0" fontAlgn="base">
                            <a:spcBef>
                              <a:spcPct val="0"/>
                            </a:spcBef>
                            <a:spcAft>
                              <a:spcPts val="1000"/>
                            </a:spcAft>
                          </a:pPr>
                          <a:endParaRPr kumimoji="0" lang="en-AU" b="1" i="0" u="none" strike="noStrike" cap="none" normalizeH="0" baseline="0" dirty="0" smtClean="0">
                            <a:ln>
                              <a:noFill/>
                            </a:ln>
                            <a:solidFill>
                              <a:schemeClr val="tx1"/>
                            </a:solidFill>
                            <a:effectLst/>
                            <a:latin typeface="Calibri" pitchFamily="34" charset="0"/>
                            <a:cs typeface="Arial" pitchFamily="34" charset="0"/>
                          </a:endParaRPr>
                        </a:p>
                      </a:txBody>
                      <a:useSpRect/>
                    </a:txSp>
                  </a:sp>
                  <a:sp>
                    <a:nvSpPr>
                      <a:cNvPr id="39" name="Rectangle 38"/>
                      <a:cNvSpPr/>
                    </a:nvSpPr>
                    <a:spPr>
                      <a:xfrm>
                        <a:off x="179512" y="2852936"/>
                        <a:ext cx="1440160" cy="160556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ts val="1000"/>
                            </a:spcAft>
                          </a:pPr>
                          <a:r>
                            <a:rPr lang="en-AU" b="1" dirty="0" smtClean="0">
                              <a:latin typeface="Calibri" pitchFamily="34" charset="0"/>
                              <a:cs typeface="Arial" pitchFamily="34" charset="0"/>
                            </a:rPr>
                            <a:t>Portfolio management strategy (5 yr planning)</a:t>
                          </a:r>
                        </a:p>
                        <a:p>
                          <a:pPr lvl="0" fontAlgn="base">
                            <a:spcBef>
                              <a:spcPct val="0"/>
                            </a:spcBef>
                            <a:spcAft>
                              <a:spcPts val="1000"/>
                            </a:spcAft>
                          </a:pPr>
                          <a:endParaRPr kumimoji="0" lang="en-AU" b="1" i="0" u="none" strike="noStrike" cap="none" normalizeH="0" baseline="0" dirty="0" smtClean="0">
                            <a:ln>
                              <a:noFill/>
                            </a:ln>
                            <a:solidFill>
                              <a:schemeClr val="tx1"/>
                            </a:solidFill>
                            <a:effectLst/>
                            <a:latin typeface="Calibri" pitchFamily="34" charset="0"/>
                            <a:cs typeface="Arial" pitchFamily="34" charset="0"/>
                          </a:endParaRPr>
                        </a:p>
                      </a:txBody>
                      <a:useSpRect/>
                    </a:txSp>
                  </a:sp>
                  <a:sp>
                    <a:nvSpPr>
                      <a:cNvPr id="40" name="Rectangle 39"/>
                      <a:cNvSpPr/>
                    </a:nvSpPr>
                    <a:spPr>
                      <a:xfrm>
                        <a:off x="179512" y="836712"/>
                        <a:ext cx="1440160" cy="2159566"/>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ts val="1000"/>
                            </a:spcAft>
                          </a:pPr>
                          <a:r>
                            <a:rPr lang="en-AU" b="1" dirty="0" smtClean="0">
                              <a:latin typeface="Calibri" pitchFamily="34" charset="0"/>
                              <a:cs typeface="Arial" pitchFamily="34" charset="0"/>
                            </a:rPr>
                            <a:t>Annual water use, carryover and trade options (1 yr)</a:t>
                          </a:r>
                        </a:p>
                        <a:p>
                          <a:pPr lvl="0" fontAlgn="base">
                            <a:spcBef>
                              <a:spcPct val="0"/>
                            </a:spcBef>
                            <a:spcAft>
                              <a:spcPts val="1000"/>
                            </a:spcAft>
                          </a:pPr>
                          <a:endParaRPr kumimoji="0" lang="en-AU" b="1" i="0" u="none" strike="noStrike" cap="none" normalizeH="0" baseline="0" dirty="0" smtClean="0">
                            <a:ln>
                              <a:noFill/>
                            </a:ln>
                            <a:solidFill>
                              <a:schemeClr val="tx1"/>
                            </a:solidFill>
                            <a:effectLst/>
                            <a:latin typeface="Calibri" pitchFamily="34" charset="0"/>
                            <a:cs typeface="Arial" pitchFamily="34" charset="0"/>
                          </a:endParaRPr>
                        </a:p>
                      </a:txBody>
                      <a:useSpRect/>
                    </a:txSp>
                  </a:sp>
                  <a:grpSp>
                    <a:nvGrpSpPr>
                      <a:cNvPr id="3" name="Group 46"/>
                      <a:cNvGrpSpPr/>
                    </a:nvGrpSpPr>
                    <a:grpSpPr>
                      <a:xfrm>
                        <a:off x="7668344" y="960983"/>
                        <a:ext cx="2232248" cy="3980185"/>
                        <a:chOff x="-828600" y="960983"/>
                        <a:chExt cx="2232248" cy="3980185"/>
                      </a:xfrm>
                    </a:grpSpPr>
                    <a:sp>
                      <a:nvSpPr>
                        <a:cNvPr id="44" name="TextBox 43"/>
                        <a:cNvSpPr txBox="1"/>
                      </a:nvSpPr>
                      <a:spPr>
                        <a:xfrm>
                          <a:off x="-756592" y="2545740"/>
                          <a:ext cx="2160240" cy="523220"/>
                        </a:xfrm>
                        <a:prstGeom prst="rect">
                          <a:avLst/>
                        </a:prstGeom>
                        <a:noFill/>
                        <a:scene3d>
                          <a:camera prst="orthographicFront">
                            <a:rot lat="0" lon="0" rev="5400000"/>
                          </a:camera>
                          <a:lightRig rig="threePt" dir="t"/>
                        </a:scene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400" b="1" dirty="0" smtClean="0">
                                <a:solidFill>
                                  <a:schemeClr val="accent1">
                                    <a:lumMod val="75000"/>
                                  </a:schemeClr>
                                </a:solidFill>
                              </a:rPr>
                              <a:t>Commonwealth Environmental Water</a:t>
                            </a:r>
                            <a:endParaRPr lang="en-AU" sz="1400" b="1" dirty="0">
                              <a:solidFill>
                                <a:schemeClr val="accent1">
                                  <a:lumMod val="75000"/>
                                </a:schemeClr>
                              </a:solidFill>
                            </a:endParaRPr>
                          </a:p>
                        </a:txBody>
                        <a:useSpRect/>
                      </a:txSp>
                    </a:sp>
                    <a:sp>
                      <a:nvSpPr>
                        <a:cNvPr id="45" name="TextBox 44"/>
                        <a:cNvSpPr txBox="1"/>
                      </a:nvSpPr>
                      <a:spPr>
                        <a:xfrm>
                          <a:off x="-828600" y="4633391"/>
                          <a:ext cx="2160240" cy="307777"/>
                        </a:xfrm>
                        <a:prstGeom prst="rect">
                          <a:avLst/>
                        </a:prstGeom>
                        <a:noFill/>
                        <a:scene3d>
                          <a:camera prst="orthographicFront">
                            <a:rot lat="0" lon="0" rev="5400000"/>
                          </a:camera>
                          <a:lightRig rig="threePt" dir="t"/>
                        </a:scene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400" b="1" dirty="0" smtClean="0">
                                <a:solidFill>
                                  <a:srgbClr val="3A9436"/>
                                </a:solidFill>
                              </a:rPr>
                              <a:t>MDBA</a:t>
                            </a:r>
                            <a:endParaRPr lang="en-AU" sz="1400" b="1" dirty="0">
                              <a:solidFill>
                                <a:srgbClr val="3A9436"/>
                              </a:solidFill>
                            </a:endParaRPr>
                          </a:p>
                        </a:txBody>
                        <a:useSpRect/>
                      </a:txSp>
                    </a:sp>
                    <a:sp>
                      <a:nvSpPr>
                        <a:cNvPr id="46" name="TextBox 45"/>
                        <a:cNvSpPr txBox="1"/>
                      </a:nvSpPr>
                      <a:spPr>
                        <a:xfrm>
                          <a:off x="-828600" y="960983"/>
                          <a:ext cx="2160240" cy="307777"/>
                        </a:xfrm>
                        <a:prstGeom prst="rect">
                          <a:avLst/>
                        </a:prstGeom>
                        <a:noFill/>
                        <a:scene3d>
                          <a:camera prst="orthographicFront">
                            <a:rot lat="0" lon="0" rev="5400000"/>
                          </a:camera>
                          <a:lightRig rig="threePt" dir="t"/>
                        </a:scene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400" b="1" dirty="0" smtClean="0">
                                <a:solidFill>
                                  <a:srgbClr val="BC607A"/>
                                </a:solidFill>
                              </a:rPr>
                              <a:t>Delivery Partner</a:t>
                            </a:r>
                            <a:endParaRPr lang="en-AU" sz="1400" b="1" dirty="0">
                              <a:solidFill>
                                <a:srgbClr val="BC607A"/>
                              </a:solidFill>
                            </a:endParaRPr>
                          </a:p>
                        </a:txBody>
                        <a:useSpRect/>
                      </a:txSp>
                    </a:sp>
                  </a:grpSp>
                  <a:cxnSp>
                    <a:nvCxnSpPr>
                      <a:cNvPr id="34" name="Straight Connector 33"/>
                      <a:cNvCxnSpPr/>
                    </a:nvCxnSpPr>
                    <a:spPr>
                      <a:xfrm>
                        <a:off x="0" y="692696"/>
                        <a:ext cx="8352928" cy="0"/>
                      </a:xfrm>
                      <a:prstGeom prst="line">
                        <a:avLst/>
                      </a:prstGeom>
                      <a:ln w="19050">
                        <a:solidFill>
                          <a:schemeClr val="tx1"/>
                        </a:solidFill>
                        <a:prstDash val="sysDash"/>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77EB1" w:rsidRPr="00FF1A1F" w:rsidRDefault="00977EB1" w:rsidP="00977EB1">
      <w:pPr>
        <w:pStyle w:val="Heading3"/>
      </w:pPr>
      <w:bookmarkStart w:id="20" w:name="_Toc319074041"/>
      <w:bookmarkStart w:id="21" w:name="_Toc358367139"/>
      <w:r w:rsidRPr="00FF1A1F">
        <w:lastRenderedPageBreak/>
        <w:t>Operational monitoring</w:t>
      </w:r>
      <w:bookmarkEnd w:id="20"/>
      <w:bookmarkEnd w:id="21"/>
    </w:p>
    <w:p w:rsidR="00977EB1" w:rsidRPr="00FF1A1F" w:rsidRDefault="00977EB1" w:rsidP="00977EB1">
      <w:pPr>
        <w:pStyle w:val="ColorfulList-Accent11"/>
        <w:keepNext/>
        <w:spacing w:after="200"/>
        <w:ind w:left="0"/>
      </w:pPr>
    </w:p>
    <w:p w:rsidR="00977EB1" w:rsidRPr="00FF1A1F" w:rsidRDefault="00977EB1" w:rsidP="00977EB1">
      <w:pPr>
        <w:pStyle w:val="ColorfulList-Accent11"/>
        <w:keepNext/>
        <w:spacing w:after="200"/>
        <w:ind w:left="0"/>
      </w:pPr>
      <w:r w:rsidRPr="00FF1A1F">
        <w:t>Operational monitoring will assess whether water has been delivered as planned and at a high level will monitor immediate environmental response.  It will provide information to report annually (consistent with Item 9 of Schedule 12 of the Basin Plan) on the use of held environmental water to achieve environmental outcomes (</w:t>
      </w:r>
      <w:r w:rsidRPr="00FF1A1F">
        <w:rPr>
          <w:rFonts w:eastAsia="Calibri"/>
          <w:szCs w:val="24"/>
        </w:rPr>
        <w:t xml:space="preserve">including the volumes, timing (frequency and duration), location and flow rates of that water). </w:t>
      </w:r>
    </w:p>
    <w:p w:rsidR="00977EB1" w:rsidRPr="00FF1A1F" w:rsidRDefault="00977EB1" w:rsidP="00977EB1">
      <w:pPr>
        <w:pStyle w:val="ColorfulList-Accent11"/>
        <w:keepNext/>
        <w:spacing w:after="200"/>
        <w:ind w:left="0"/>
      </w:pPr>
      <w:r w:rsidRPr="00FF1A1F">
        <w:t xml:space="preserve"> </w:t>
      </w:r>
    </w:p>
    <w:p w:rsidR="00977EB1" w:rsidRPr="00FF1A1F" w:rsidRDefault="00977EB1" w:rsidP="00977EB1">
      <w:pPr>
        <w:pStyle w:val="ColorfulList-Accent11"/>
        <w:ind w:left="0"/>
        <w:contextualSpacing w:val="0"/>
        <w:rPr>
          <w:lang w:val="en-US" w:eastAsia="ja-JP"/>
        </w:rPr>
      </w:pPr>
      <w:r w:rsidRPr="00FF1A1F">
        <w:t>Operational monitoring will continue to be undertaken for every Commonwealth environmental watering action and will be a component of any arrangement for the use of Commonwealth environmental water.</w:t>
      </w:r>
      <w:r w:rsidRPr="00FF1A1F">
        <w:rPr>
          <w:lang w:val="en-US" w:eastAsia="ja-JP"/>
        </w:rPr>
        <w:t xml:space="preserve"> </w:t>
      </w:r>
      <w:r w:rsidRPr="00FF1A1F">
        <w:t>Standards for content and timelines for reporting</w:t>
      </w:r>
      <w:r w:rsidRPr="00FF1A1F">
        <w:rPr>
          <w:lang w:val="en-US" w:eastAsia="ja-JP"/>
        </w:rPr>
        <w:t xml:space="preserve"> will continue to be refined to support good governance in managing watering actions.</w:t>
      </w:r>
    </w:p>
    <w:p w:rsidR="00977EB1" w:rsidRPr="00FF1A1F" w:rsidRDefault="00977EB1" w:rsidP="00977EB1">
      <w:pPr>
        <w:pStyle w:val="ColorfulList-Accent11"/>
        <w:ind w:left="0"/>
        <w:contextualSpacing w:val="0"/>
        <w:rPr>
          <w:lang w:val="en-US" w:eastAsia="ja-JP"/>
        </w:rPr>
      </w:pPr>
    </w:p>
    <w:p w:rsidR="00977EB1" w:rsidRPr="00FF1A1F" w:rsidRDefault="00977EB1" w:rsidP="00977EB1">
      <w:pPr>
        <w:pStyle w:val="ColorfulList-Accent11"/>
        <w:spacing w:after="120" w:line="276" w:lineRule="auto"/>
        <w:ind w:left="0"/>
        <w:contextualSpacing w:val="0"/>
        <w:rPr>
          <w:rStyle w:val="InstructionText"/>
          <w:rFonts w:cs="Arial"/>
          <w:i w:val="0"/>
          <w:color w:val="auto"/>
        </w:rPr>
      </w:pPr>
      <w:r w:rsidRPr="00FF1A1F">
        <w:rPr>
          <w:rStyle w:val="InstructionText"/>
          <w:rFonts w:cs="Arial"/>
          <w:i w:val="0"/>
          <w:color w:val="auto"/>
        </w:rPr>
        <w:t>Details of operational monitoring will be agreed with delivery partners and may include:</w:t>
      </w:r>
    </w:p>
    <w:p w:rsidR="00977EB1" w:rsidRPr="00FF1A1F" w:rsidRDefault="00977EB1" w:rsidP="00977EB1">
      <w:pPr>
        <w:pStyle w:val="ColorfulList-Accent11"/>
        <w:numPr>
          <w:ilvl w:val="0"/>
          <w:numId w:val="5"/>
        </w:numPr>
        <w:shd w:val="clear" w:color="auto" w:fill="FFFFFF"/>
        <w:spacing w:before="120"/>
        <w:ind w:left="714" w:hanging="357"/>
      </w:pPr>
      <w:r w:rsidRPr="00FF1A1F">
        <w:t>hydrologic monitoring of the primary components of the flow regime relevant to the expected ecological response (e.g. timing, frequency, duration, variability) to identify whether the water was delivered in the agreed volumes, at the agreed times and using the agreed delivery methods and guide improvements in delivery</w:t>
      </w:r>
    </w:p>
    <w:p w:rsidR="00977EB1" w:rsidRPr="00FF1A1F" w:rsidRDefault="00977EB1" w:rsidP="00977EB1">
      <w:pPr>
        <w:pStyle w:val="ColorfulList-Accent11"/>
        <w:numPr>
          <w:ilvl w:val="0"/>
          <w:numId w:val="5"/>
        </w:numPr>
        <w:shd w:val="clear" w:color="auto" w:fill="FFFFFF"/>
        <w:spacing w:before="120"/>
        <w:ind w:left="714" w:hanging="357"/>
      </w:pPr>
      <w:r w:rsidRPr="00FF1A1F">
        <w:t xml:space="preserve">inundation extent and depth </w:t>
      </w:r>
    </w:p>
    <w:p w:rsidR="00977EB1" w:rsidRPr="00FF1A1F" w:rsidRDefault="00977EB1" w:rsidP="00977EB1">
      <w:pPr>
        <w:pStyle w:val="ColorfulList-Accent11"/>
        <w:numPr>
          <w:ilvl w:val="0"/>
          <w:numId w:val="5"/>
        </w:numPr>
        <w:shd w:val="clear" w:color="auto" w:fill="FFFFFF"/>
        <w:spacing w:before="120"/>
        <w:ind w:left="714" w:hanging="357"/>
      </w:pPr>
      <w:r w:rsidRPr="00FF1A1F">
        <w:t xml:space="preserve">changes in connectivity among and between environmental assets </w:t>
      </w:r>
    </w:p>
    <w:p w:rsidR="00977EB1" w:rsidRPr="00FF1A1F" w:rsidRDefault="00977EB1" w:rsidP="00977EB1">
      <w:pPr>
        <w:pStyle w:val="ColorfulList-Accent11"/>
        <w:numPr>
          <w:ilvl w:val="0"/>
          <w:numId w:val="5"/>
        </w:numPr>
        <w:shd w:val="clear" w:color="auto" w:fill="FFFFFF"/>
        <w:spacing w:before="120"/>
        <w:ind w:left="714" w:hanging="357"/>
      </w:pPr>
      <w:r w:rsidRPr="00FF1A1F">
        <w:t xml:space="preserve">monitoring indicators of operational risk, such as water quality (e.g. excessive nutrients and toxic algal blooms, fluctuations in dissolved oxygen and </w:t>
      </w:r>
      <w:proofErr w:type="spellStart"/>
      <w:r w:rsidRPr="00FF1A1F">
        <w:t>blackwater</w:t>
      </w:r>
      <w:proofErr w:type="spellEnd"/>
      <w:r w:rsidRPr="00FF1A1F">
        <w:t xml:space="preserve"> events, acid sulphate mobilisation, </w:t>
      </w:r>
      <w:proofErr w:type="spellStart"/>
      <w:r w:rsidRPr="00FF1A1F">
        <w:t>salinisation</w:t>
      </w:r>
      <w:proofErr w:type="spellEnd"/>
      <w:r w:rsidRPr="00FF1A1F">
        <w:t>, turbidity and sedimentation) for the purpose of managing those risks</w:t>
      </w:r>
    </w:p>
    <w:p w:rsidR="00977EB1" w:rsidRPr="00FF1A1F" w:rsidRDefault="00977EB1" w:rsidP="00977EB1">
      <w:pPr>
        <w:pStyle w:val="ColorfulList-Accent11"/>
        <w:numPr>
          <w:ilvl w:val="0"/>
          <w:numId w:val="5"/>
        </w:numPr>
        <w:shd w:val="clear" w:color="auto" w:fill="FFFFFF"/>
        <w:spacing w:before="120"/>
        <w:ind w:left="714" w:hanging="357"/>
      </w:pPr>
      <w:r w:rsidRPr="00FF1A1F">
        <w:t>monitoring indicators in relation to the Basin Plan’s water quality and salinity targets for managing flows</w:t>
      </w:r>
    </w:p>
    <w:p w:rsidR="00977EB1" w:rsidRPr="00FF1A1F" w:rsidRDefault="00977EB1" w:rsidP="00977EB1">
      <w:pPr>
        <w:pStyle w:val="ColorfulList-Accent11"/>
        <w:numPr>
          <w:ilvl w:val="0"/>
          <w:numId w:val="5"/>
        </w:numPr>
        <w:shd w:val="clear" w:color="auto" w:fill="FFFFFF"/>
        <w:spacing w:before="120"/>
        <w:ind w:left="714" w:hanging="357"/>
      </w:pPr>
      <w:proofErr w:type="gramStart"/>
      <w:r w:rsidRPr="00FF1A1F">
        <w:t>observations</w:t>
      </w:r>
      <w:proofErr w:type="gramEnd"/>
      <w:r w:rsidRPr="00FF1A1F">
        <w:t xml:space="preserve"> about the immediate environmental responses to watering.</w:t>
      </w:r>
    </w:p>
    <w:p w:rsidR="00977EB1" w:rsidRPr="00FF1A1F" w:rsidRDefault="00977EB1" w:rsidP="00977EB1">
      <w:pPr>
        <w:rPr>
          <w:lang w:val="en-US" w:eastAsia="ja-JP"/>
        </w:rPr>
      </w:pPr>
    </w:p>
    <w:p w:rsidR="00977EB1" w:rsidRPr="00FF1A1F" w:rsidRDefault="00977EB1" w:rsidP="00977EB1">
      <w:r w:rsidRPr="00FF1A1F">
        <w:rPr>
          <w:lang w:val="en-US" w:eastAsia="ja-JP"/>
        </w:rPr>
        <w:t xml:space="preserve">Tools to assist in this monitoring may include photo-point monitoring (before, during and after a watering event), gauging and remote sensing. </w:t>
      </w:r>
    </w:p>
    <w:p w:rsidR="00977EB1" w:rsidRPr="00FF1A1F" w:rsidRDefault="00977EB1" w:rsidP="00977EB1">
      <w:pPr>
        <w:rPr>
          <w:lang w:val="en-US" w:eastAsia="ja-JP"/>
        </w:rPr>
      </w:pPr>
    </w:p>
    <w:p w:rsidR="00977EB1" w:rsidRPr="00FF1A1F" w:rsidRDefault="00977EB1" w:rsidP="00977EB1">
      <w:pPr>
        <w:rPr>
          <w:lang w:val="en-US" w:eastAsia="ja-JP"/>
        </w:rPr>
      </w:pPr>
      <w:r w:rsidRPr="00FF1A1F">
        <w:rPr>
          <w:lang w:val="en-US" w:eastAsia="ja-JP"/>
        </w:rPr>
        <w:br w:type="page"/>
      </w:r>
      <w:r w:rsidRPr="00FF1A1F">
        <w:rPr>
          <w:lang w:val="en-US" w:eastAsia="ja-JP"/>
        </w:rPr>
        <w:lastRenderedPageBreak/>
        <w:t xml:space="preserve">Like the delivery of Commonwealth environmental water itself, operational level monitoring is generally best implemented by local delivery partners. Whether these are local groups or state agencies, they will be well placed to undertake operational monitoring to adaptively manage watering actions. </w:t>
      </w:r>
    </w:p>
    <w:p w:rsidR="00977EB1" w:rsidRPr="00FF1A1F" w:rsidRDefault="00977EB1" w:rsidP="00977EB1">
      <w:pPr>
        <w:pStyle w:val="Heading3"/>
      </w:pPr>
      <w:bookmarkStart w:id="22" w:name="_Toc319074042"/>
      <w:bookmarkStart w:id="23" w:name="_Toc358367140"/>
      <w:r w:rsidRPr="00FF1A1F">
        <w:t>Intervention monitoring</w:t>
      </w:r>
      <w:bookmarkEnd w:id="22"/>
      <w:bookmarkEnd w:id="23"/>
    </w:p>
    <w:p w:rsidR="00977EB1" w:rsidRPr="00FF1A1F" w:rsidRDefault="00977EB1" w:rsidP="00977EB1">
      <w:pPr>
        <w:rPr>
          <w:szCs w:val="24"/>
        </w:rPr>
      </w:pPr>
    </w:p>
    <w:p w:rsidR="00977EB1" w:rsidRPr="00FF1A1F" w:rsidRDefault="00977EB1" w:rsidP="00977EB1">
      <w:pPr>
        <w:rPr>
          <w:szCs w:val="24"/>
        </w:rPr>
      </w:pPr>
      <w:r w:rsidRPr="00FF1A1F">
        <w:rPr>
          <w:szCs w:val="24"/>
        </w:rPr>
        <w:t>Intervention monitoring will focus on understanding the ecological response to Commonwealth environmental water at the catchment and environmental asset scales.  Two types of complementary intervention monitoring will be supported to assess outcomes associated with the use of Commonwealth environmental water.</w:t>
      </w:r>
    </w:p>
    <w:p w:rsidR="00977EB1" w:rsidRPr="00FF1A1F" w:rsidRDefault="00977EB1" w:rsidP="00977EB1">
      <w:pPr>
        <w:rPr>
          <w:i/>
          <w:szCs w:val="24"/>
        </w:rPr>
      </w:pPr>
    </w:p>
    <w:p w:rsidR="00977EB1" w:rsidRPr="00FF1A1F" w:rsidRDefault="00977EB1" w:rsidP="00977EB1">
      <w:pPr>
        <w:rPr>
          <w:i/>
          <w:szCs w:val="24"/>
        </w:rPr>
      </w:pPr>
      <w:r w:rsidRPr="00FF1A1F">
        <w:rPr>
          <w:i/>
          <w:szCs w:val="24"/>
        </w:rPr>
        <w:t>Targeted intervention monitoring of selected actions</w:t>
      </w:r>
    </w:p>
    <w:p w:rsidR="00977EB1" w:rsidRPr="00FF1A1F" w:rsidRDefault="00977EB1" w:rsidP="00977EB1">
      <w:pPr>
        <w:rPr>
          <w:i/>
          <w:szCs w:val="24"/>
        </w:rPr>
      </w:pPr>
    </w:p>
    <w:p w:rsidR="00977EB1" w:rsidRPr="00FF1A1F" w:rsidRDefault="00977EB1" w:rsidP="00977EB1">
      <w:pPr>
        <w:keepLines/>
        <w:rPr>
          <w:szCs w:val="24"/>
        </w:rPr>
      </w:pPr>
      <w:r w:rsidRPr="00FF1A1F">
        <w:rPr>
          <w:szCs w:val="24"/>
        </w:rPr>
        <w:t>Targeted intervention monitoring will be undertaken for selected Commonwealth environmental watering actions. It will include detailed monitoring of key indicators and enable:</w:t>
      </w:r>
    </w:p>
    <w:p w:rsidR="00977EB1" w:rsidRPr="00FF1A1F" w:rsidRDefault="00977EB1" w:rsidP="00977EB1">
      <w:pPr>
        <w:numPr>
          <w:ilvl w:val="0"/>
          <w:numId w:val="5"/>
        </w:numPr>
        <w:shd w:val="clear" w:color="auto" w:fill="FFFFFF"/>
        <w:spacing w:before="120"/>
        <w:ind w:left="714" w:hanging="357"/>
        <w:contextualSpacing/>
      </w:pPr>
      <w:r w:rsidRPr="00FF1A1F">
        <w:t xml:space="preserve">environmental outcomes to be linked specifically to the delivery of water </w:t>
      </w:r>
    </w:p>
    <w:p w:rsidR="00977EB1" w:rsidRPr="00FF1A1F" w:rsidRDefault="00977EB1" w:rsidP="00977EB1">
      <w:pPr>
        <w:numPr>
          <w:ilvl w:val="0"/>
          <w:numId w:val="5"/>
        </w:numPr>
        <w:shd w:val="clear" w:color="auto" w:fill="FFFFFF"/>
        <w:spacing w:before="120"/>
        <w:ind w:left="714" w:hanging="357"/>
        <w:contextualSpacing/>
      </w:pPr>
      <w:r w:rsidRPr="00FF1A1F">
        <w:t xml:space="preserve">differentiation of Commonwealth environmental water outcomes relative to other water (and external influences) </w:t>
      </w:r>
    </w:p>
    <w:p w:rsidR="00977EB1" w:rsidRPr="00FF1A1F" w:rsidRDefault="00977EB1" w:rsidP="00977EB1">
      <w:pPr>
        <w:numPr>
          <w:ilvl w:val="0"/>
          <w:numId w:val="5"/>
        </w:numPr>
        <w:shd w:val="clear" w:color="auto" w:fill="FFFFFF"/>
        <w:spacing w:before="120"/>
        <w:ind w:left="714" w:hanging="357"/>
        <w:contextualSpacing/>
      </w:pPr>
      <w:proofErr w:type="gramStart"/>
      <w:r w:rsidRPr="00FF1A1F">
        <w:t>assessment</w:t>
      </w:r>
      <w:proofErr w:type="gramEnd"/>
      <w:r w:rsidRPr="00FF1A1F">
        <w:t xml:space="preserve"> of actions where there may be variance in outcomes.</w:t>
      </w:r>
    </w:p>
    <w:p w:rsidR="00977EB1" w:rsidRPr="00FF1A1F" w:rsidRDefault="00977EB1" w:rsidP="00977EB1">
      <w:pPr>
        <w:keepLines/>
      </w:pPr>
    </w:p>
    <w:p w:rsidR="00977EB1" w:rsidRPr="00FF1A1F" w:rsidRDefault="00977EB1" w:rsidP="00977EB1">
      <w:pPr>
        <w:keepNext/>
        <w:keepLines/>
      </w:pPr>
      <w:r w:rsidRPr="00FF1A1F">
        <w:t xml:space="preserve">The CEWO will arrange monitoring of this type in select cases. It will inform annual planning and </w:t>
      </w:r>
      <w:r w:rsidR="00751E3D" w:rsidRPr="00FF1A1F">
        <w:t>long-term</w:t>
      </w:r>
      <w:r w:rsidRPr="00FF1A1F">
        <w:t xml:space="preserve"> intervention monitoring of selected areas.</w:t>
      </w:r>
    </w:p>
    <w:p w:rsidR="00977EB1" w:rsidRPr="00FF1A1F" w:rsidRDefault="00977EB1" w:rsidP="00977EB1">
      <w:pPr>
        <w:pStyle w:val="ColorfulList-Accent11"/>
        <w:ind w:left="0"/>
      </w:pPr>
    </w:p>
    <w:p w:rsidR="00977EB1" w:rsidRPr="00FF1A1F" w:rsidRDefault="00751E3D" w:rsidP="00977EB1">
      <w:pPr>
        <w:rPr>
          <w:i/>
          <w:lang w:val="en-US" w:eastAsia="ja-JP"/>
        </w:rPr>
      </w:pPr>
      <w:r w:rsidRPr="00FF1A1F">
        <w:rPr>
          <w:i/>
          <w:lang w:val="en-US" w:eastAsia="ja-JP"/>
        </w:rPr>
        <w:t xml:space="preserve">Long-term </w:t>
      </w:r>
      <w:r w:rsidR="00977EB1" w:rsidRPr="00FF1A1F">
        <w:rPr>
          <w:i/>
          <w:lang w:val="en-US" w:eastAsia="ja-JP"/>
        </w:rPr>
        <w:t xml:space="preserve">intervention monitoring of selected areas </w:t>
      </w:r>
    </w:p>
    <w:p w:rsidR="00977EB1" w:rsidRPr="00FF1A1F" w:rsidRDefault="00977EB1" w:rsidP="00977EB1">
      <w:pPr>
        <w:rPr>
          <w:lang w:val="en-US" w:eastAsia="ja-JP"/>
        </w:rPr>
      </w:pPr>
    </w:p>
    <w:p w:rsidR="00977EB1" w:rsidRPr="00FF1A1F" w:rsidRDefault="00751E3D" w:rsidP="00977EB1">
      <w:pPr>
        <w:keepLines/>
        <w:rPr>
          <w:szCs w:val="24"/>
        </w:rPr>
      </w:pPr>
      <w:r w:rsidRPr="00FF1A1F">
        <w:rPr>
          <w:szCs w:val="24"/>
        </w:rPr>
        <w:t xml:space="preserve">Long-term </w:t>
      </w:r>
      <w:r w:rsidR="00977EB1" w:rsidRPr="00FF1A1F">
        <w:rPr>
          <w:szCs w:val="24"/>
        </w:rPr>
        <w:t>intervention monitoring in selected areas will include detailed monitoring of indicators at a few representative sites across the Basin. It will enable:</w:t>
      </w:r>
    </w:p>
    <w:p w:rsidR="00977EB1" w:rsidRPr="00FF1A1F" w:rsidRDefault="00977EB1" w:rsidP="00977EB1">
      <w:pPr>
        <w:numPr>
          <w:ilvl w:val="0"/>
          <w:numId w:val="5"/>
        </w:numPr>
        <w:shd w:val="clear" w:color="auto" w:fill="FFFFFF"/>
        <w:spacing w:before="120"/>
        <w:contextualSpacing/>
      </w:pPr>
      <w:r w:rsidRPr="00FF1A1F">
        <w:t>assessment of ecological responses to the use of environmental water over the intermediate to long-term</w:t>
      </w:r>
    </w:p>
    <w:p w:rsidR="00977EB1" w:rsidRPr="00FF1A1F" w:rsidRDefault="00977EB1" w:rsidP="00977EB1">
      <w:pPr>
        <w:numPr>
          <w:ilvl w:val="0"/>
          <w:numId w:val="5"/>
        </w:numPr>
        <w:shd w:val="clear" w:color="auto" w:fill="FFFFFF"/>
        <w:spacing w:before="120"/>
        <w:contextualSpacing/>
      </w:pPr>
      <w:r w:rsidRPr="00FF1A1F">
        <w:t>development / refinement of predictive models relating flow regime to ecological response</w:t>
      </w:r>
    </w:p>
    <w:p w:rsidR="00977EB1" w:rsidRPr="00FF1A1F" w:rsidRDefault="00977EB1" w:rsidP="00977EB1">
      <w:pPr>
        <w:numPr>
          <w:ilvl w:val="0"/>
          <w:numId w:val="5"/>
        </w:numPr>
        <w:shd w:val="clear" w:color="auto" w:fill="FFFFFF"/>
        <w:spacing w:before="120"/>
        <w:contextualSpacing/>
      </w:pPr>
      <w:proofErr w:type="gramStart"/>
      <w:r w:rsidRPr="00FF1A1F">
        <w:t>future</w:t>
      </w:r>
      <w:proofErr w:type="gramEnd"/>
      <w:r w:rsidRPr="00FF1A1F">
        <w:t xml:space="preserve"> cost effective monitoring across the Basin through extrapolation of results, with the aid of predictive models, to similar types of sites/species in other areas of the Basin not monitored intensively. </w:t>
      </w:r>
    </w:p>
    <w:p w:rsidR="00977EB1" w:rsidRPr="00FF1A1F" w:rsidRDefault="00977EB1" w:rsidP="00977EB1">
      <w:pPr>
        <w:pStyle w:val="ListBullet"/>
        <w:ind w:left="360"/>
      </w:pPr>
    </w:p>
    <w:p w:rsidR="00977EB1" w:rsidRPr="00FF1A1F" w:rsidRDefault="00751E3D" w:rsidP="00977EB1">
      <w:pPr>
        <w:keepLines/>
        <w:rPr>
          <w:szCs w:val="24"/>
        </w:rPr>
      </w:pPr>
      <w:r w:rsidRPr="00FF1A1F">
        <w:rPr>
          <w:szCs w:val="24"/>
        </w:rPr>
        <w:t xml:space="preserve">Long-term </w:t>
      </w:r>
      <w:r w:rsidR="00977EB1" w:rsidRPr="00FF1A1F">
        <w:rPr>
          <w:szCs w:val="24"/>
        </w:rPr>
        <w:t>monitoring of selected areas will be guided by:</w:t>
      </w:r>
    </w:p>
    <w:p w:rsidR="00977EB1" w:rsidRPr="00FF1A1F" w:rsidRDefault="00977EB1" w:rsidP="00977EB1">
      <w:pPr>
        <w:numPr>
          <w:ilvl w:val="0"/>
          <w:numId w:val="5"/>
        </w:numPr>
        <w:shd w:val="clear" w:color="auto" w:fill="FFFFFF"/>
        <w:spacing w:before="120"/>
        <w:contextualSpacing/>
      </w:pPr>
      <w:r w:rsidRPr="00FF1A1F">
        <w:t>representativeness of Commonwealth watering actions across different types of environmental assets of the Basin</w:t>
      </w:r>
    </w:p>
    <w:p w:rsidR="00977EB1" w:rsidRPr="00FF1A1F" w:rsidRDefault="00977EB1" w:rsidP="00977EB1">
      <w:pPr>
        <w:numPr>
          <w:ilvl w:val="0"/>
          <w:numId w:val="5"/>
        </w:numPr>
        <w:shd w:val="clear" w:color="auto" w:fill="FFFFFF"/>
        <w:spacing w:before="120"/>
        <w:contextualSpacing/>
      </w:pPr>
      <w:r w:rsidRPr="00FF1A1F">
        <w:t xml:space="preserve">likelihood of receiving periodic application of Commonwealth environmental water in the future </w:t>
      </w:r>
    </w:p>
    <w:p w:rsidR="00977EB1" w:rsidRPr="00FF1A1F" w:rsidRDefault="00977EB1" w:rsidP="00977EB1">
      <w:pPr>
        <w:numPr>
          <w:ilvl w:val="0"/>
          <w:numId w:val="5"/>
        </w:numPr>
        <w:shd w:val="clear" w:color="auto" w:fill="FFFFFF"/>
        <w:spacing w:before="120"/>
        <w:contextualSpacing/>
      </w:pPr>
      <w:r w:rsidRPr="00FF1A1F">
        <w:t xml:space="preserve">cost-effectiveness of hydrological, biological and physiochemical monitoring </w:t>
      </w:r>
    </w:p>
    <w:p w:rsidR="00977EB1" w:rsidRPr="00FF1A1F" w:rsidRDefault="00977EB1" w:rsidP="00977EB1">
      <w:pPr>
        <w:numPr>
          <w:ilvl w:val="0"/>
          <w:numId w:val="5"/>
        </w:numPr>
        <w:shd w:val="clear" w:color="auto" w:fill="FFFFFF"/>
        <w:spacing w:before="120"/>
        <w:contextualSpacing/>
      </w:pPr>
      <w:proofErr w:type="gramStart"/>
      <w:r w:rsidRPr="00FF1A1F">
        <w:t>existence</w:t>
      </w:r>
      <w:proofErr w:type="gramEnd"/>
      <w:r w:rsidRPr="00FF1A1F">
        <w:t xml:space="preserve"> of appropriate management arrangements and assurance that the monitoring activities are sustainable. </w:t>
      </w:r>
    </w:p>
    <w:p w:rsidR="00977EB1" w:rsidRPr="00FF1A1F" w:rsidRDefault="00977EB1" w:rsidP="00977EB1">
      <w:pPr>
        <w:pStyle w:val="ColorfulList-Accent11"/>
        <w:shd w:val="clear" w:color="auto" w:fill="FFFFFF"/>
      </w:pPr>
    </w:p>
    <w:p w:rsidR="00977EB1" w:rsidRPr="00FF1A1F" w:rsidRDefault="00977EB1" w:rsidP="00977EB1">
      <w:pPr>
        <w:pStyle w:val="ColorfulList-Accent11"/>
        <w:shd w:val="clear" w:color="auto" w:fill="FFFFFF"/>
        <w:ind w:left="0"/>
      </w:pPr>
      <w:r w:rsidRPr="00FF1A1F">
        <w:t>Where needs overlap with The Living Murray Icon Sites or other sites that have adequate existing monitoring in place, the CEWO may invest to fill gaps.</w:t>
      </w:r>
    </w:p>
    <w:p w:rsidR="00977EB1" w:rsidRPr="00FF1A1F" w:rsidRDefault="00977EB1" w:rsidP="00977EB1">
      <w:pPr>
        <w:pStyle w:val="ColorfulList-Accent11"/>
        <w:shd w:val="clear" w:color="auto" w:fill="FFFFFF"/>
      </w:pPr>
    </w:p>
    <w:p w:rsidR="00977EB1" w:rsidRPr="00FF1A1F" w:rsidRDefault="00977EB1" w:rsidP="00977EB1">
      <w:pPr>
        <w:pStyle w:val="ColorfulList-Accent11"/>
        <w:ind w:left="0"/>
      </w:pPr>
      <w:r w:rsidRPr="00FF1A1F">
        <w:lastRenderedPageBreak/>
        <w:t xml:space="preserve">Monitoring (and evaluation) of indicator sites will be at a frequency required to establish confidence in the achievement of objectives at each planning scale. The intention is to enter into longer term arrangements in most cases so that there is assurance about the availability of results into the future. The specific design of the </w:t>
      </w:r>
      <w:r w:rsidR="00751E3D" w:rsidRPr="00FF1A1F">
        <w:t xml:space="preserve">long-term intervention </w:t>
      </w:r>
      <w:r w:rsidRPr="00FF1A1F">
        <w:t>monitoring program, including site selection and development of predictive models, will be developed following the program logic-based planning process, which will establish objectives and causal relationships.</w:t>
      </w:r>
    </w:p>
    <w:p w:rsidR="00977EB1" w:rsidRPr="00FF1A1F" w:rsidRDefault="00977EB1" w:rsidP="00977EB1">
      <w:pPr>
        <w:rPr>
          <w:lang w:val="en-US" w:eastAsia="ja-JP"/>
        </w:rPr>
      </w:pPr>
    </w:p>
    <w:p w:rsidR="00977EB1" w:rsidRPr="00FF1A1F" w:rsidRDefault="00751E3D" w:rsidP="00977EB1">
      <w:r w:rsidRPr="00FF1A1F">
        <w:t xml:space="preserve">Long-term intervention </w:t>
      </w:r>
      <w:r w:rsidR="00977EB1" w:rsidRPr="00FF1A1F">
        <w:t xml:space="preserve">monitoring will allow assessment of sequences of watering events over a number of years relative to the objectives and enable reporting of progress towards achieving the environmental objectives of the environmental watering plan. Informed by the targeted monitoring, it is anticipated that </w:t>
      </w:r>
      <w:r w:rsidRPr="00FF1A1F">
        <w:t xml:space="preserve">long-term intervention </w:t>
      </w:r>
      <w:r w:rsidR="00977EB1" w:rsidRPr="00FF1A1F">
        <w:t xml:space="preserve">monitoring will be the key input for reporting under the Basin Plan on the use and environmental outcomes of Commonwealth environmental water (Items 7 and 9 of Schedule 12 of the Basin Plan). </w:t>
      </w:r>
    </w:p>
    <w:p w:rsidR="00977EB1" w:rsidRPr="00FF1A1F" w:rsidRDefault="00977EB1" w:rsidP="00977EB1">
      <w:pPr>
        <w:pStyle w:val="Heading3"/>
      </w:pPr>
      <w:bookmarkStart w:id="24" w:name="_Toc358367141"/>
      <w:r w:rsidRPr="00FF1A1F">
        <w:t>Program monitoring</w:t>
      </w:r>
      <w:bookmarkEnd w:id="24"/>
    </w:p>
    <w:p w:rsidR="00977EB1" w:rsidRPr="00FF1A1F" w:rsidRDefault="00977EB1" w:rsidP="00977EB1">
      <w:pPr>
        <w:rPr>
          <w:i/>
        </w:rPr>
      </w:pPr>
    </w:p>
    <w:p w:rsidR="00977EB1" w:rsidRPr="00FF1A1F" w:rsidRDefault="00977EB1" w:rsidP="00977EB1">
      <w:pPr>
        <w:shd w:val="clear" w:color="auto" w:fill="FFFFFF"/>
        <w:contextualSpacing/>
      </w:pPr>
      <w:r w:rsidRPr="00FF1A1F">
        <w:t>Program level monitoring will also be used to assess Basin-wide outcomes from the use of environmental water and will likely include:</w:t>
      </w:r>
    </w:p>
    <w:p w:rsidR="00977EB1" w:rsidRPr="00FF1A1F" w:rsidRDefault="00977EB1" w:rsidP="00977EB1">
      <w:pPr>
        <w:numPr>
          <w:ilvl w:val="0"/>
          <w:numId w:val="5"/>
        </w:numPr>
        <w:shd w:val="clear" w:color="auto" w:fill="FFFFFF"/>
        <w:spacing w:before="120"/>
        <w:contextualSpacing/>
      </w:pPr>
      <w:r w:rsidRPr="00FF1A1F">
        <w:t xml:space="preserve">low intensity (broad scale) monitoring of key ecological indicators at randomly selected sites to validate </w:t>
      </w:r>
      <w:r w:rsidR="00751E3D" w:rsidRPr="00FF1A1F">
        <w:t xml:space="preserve">intervention </w:t>
      </w:r>
      <w:r w:rsidRPr="00FF1A1F">
        <w:t>monitoring</w:t>
      </w:r>
    </w:p>
    <w:p w:rsidR="00977EB1" w:rsidRPr="00FF1A1F" w:rsidRDefault="00977EB1" w:rsidP="00977EB1">
      <w:pPr>
        <w:numPr>
          <w:ilvl w:val="0"/>
          <w:numId w:val="5"/>
        </w:numPr>
        <w:shd w:val="clear" w:color="auto" w:fill="FFFFFF"/>
        <w:spacing w:before="120"/>
        <w:contextualSpacing/>
      </w:pPr>
      <w:r w:rsidRPr="00FF1A1F">
        <w:t>monitoring of larger scale responses associated with environmental watering such as broad scale longitudinal and lateral connectivity and broad-scale vegetative response</w:t>
      </w:r>
    </w:p>
    <w:p w:rsidR="00977EB1" w:rsidRPr="00FF1A1F" w:rsidRDefault="00977EB1" w:rsidP="00977EB1">
      <w:pPr>
        <w:shd w:val="clear" w:color="auto" w:fill="FFFFFF"/>
        <w:spacing w:before="120"/>
        <w:ind w:left="720"/>
        <w:contextualSpacing/>
      </w:pPr>
      <w:proofErr w:type="gramStart"/>
      <w:r w:rsidRPr="00FF1A1F">
        <w:t>monitoring</w:t>
      </w:r>
      <w:proofErr w:type="gramEnd"/>
      <w:r w:rsidRPr="00FF1A1F">
        <w:t xml:space="preserve"> of mobile species (e.g. birds).</w:t>
      </w:r>
    </w:p>
    <w:p w:rsidR="00977EB1" w:rsidRPr="00FF1A1F" w:rsidRDefault="00977EB1" w:rsidP="00977EB1">
      <w:pPr>
        <w:shd w:val="clear" w:color="auto" w:fill="FFFFFF"/>
        <w:spacing w:before="120"/>
        <w:ind w:left="720"/>
        <w:contextualSpacing/>
      </w:pPr>
    </w:p>
    <w:p w:rsidR="00977EB1" w:rsidRPr="00FF1A1F" w:rsidRDefault="00977EB1" w:rsidP="00977EB1">
      <w:pPr>
        <w:shd w:val="clear" w:color="auto" w:fill="FFFFFF"/>
        <w:contextualSpacing/>
      </w:pPr>
      <w:r w:rsidRPr="00FF1A1F">
        <w:t>This broad scale monitoring will enable:</w:t>
      </w:r>
    </w:p>
    <w:p w:rsidR="00977EB1" w:rsidRPr="00FF1A1F" w:rsidRDefault="00977EB1" w:rsidP="00977EB1">
      <w:pPr>
        <w:numPr>
          <w:ilvl w:val="0"/>
          <w:numId w:val="5"/>
        </w:numPr>
        <w:shd w:val="clear" w:color="auto" w:fill="FFFFFF"/>
        <w:spacing w:before="120"/>
        <w:contextualSpacing/>
      </w:pPr>
      <w:r w:rsidRPr="00FF1A1F">
        <w:t>monitoring of ecological response to environmental watering at the Basin scale</w:t>
      </w:r>
    </w:p>
    <w:p w:rsidR="00977EB1" w:rsidRPr="00FF1A1F" w:rsidRDefault="00977EB1" w:rsidP="00977EB1">
      <w:pPr>
        <w:numPr>
          <w:ilvl w:val="0"/>
          <w:numId w:val="5"/>
        </w:numPr>
        <w:shd w:val="clear" w:color="auto" w:fill="FFFFFF"/>
        <w:spacing w:before="120"/>
        <w:contextualSpacing/>
      </w:pPr>
      <w:proofErr w:type="gramStart"/>
      <w:r w:rsidRPr="00FF1A1F">
        <w:t>assessment</w:t>
      </w:r>
      <w:proofErr w:type="gramEnd"/>
      <w:r w:rsidRPr="00FF1A1F">
        <w:t xml:space="preserve"> of the effects of environmental watering on mobile species.</w:t>
      </w:r>
    </w:p>
    <w:p w:rsidR="00977EB1" w:rsidRPr="00FF1A1F" w:rsidRDefault="00977EB1" w:rsidP="00977EB1">
      <w:pPr>
        <w:pStyle w:val="ColorfulList-Accent11"/>
        <w:spacing w:after="200"/>
        <w:ind w:left="0"/>
      </w:pPr>
    </w:p>
    <w:p w:rsidR="00977EB1" w:rsidRPr="00FF1A1F" w:rsidRDefault="00977EB1" w:rsidP="00977EB1">
      <w:pPr>
        <w:pStyle w:val="ColorfulList-Accent11"/>
        <w:spacing w:after="200"/>
        <w:ind w:left="0"/>
      </w:pPr>
      <w:r w:rsidRPr="00FF1A1F">
        <w:t>It is anticipated that the MDBA will take the lead on the program level monitoring although input from environmental water managers will be an important contribution to this work. The CEWO will link our intervention monitoring activities with program level monitoring undertaken by the MDBA to contribute to assessing the environmental outcomes and effectiveness of the Environmental Watering Plan (Item 7of Schedule 12 of the Basin Plan).</w:t>
      </w:r>
    </w:p>
    <w:p w:rsidR="00977EB1" w:rsidRPr="00FF1A1F" w:rsidRDefault="00977EB1" w:rsidP="00977EB1">
      <w:pPr>
        <w:pStyle w:val="Heading2"/>
      </w:pPr>
      <w:bookmarkStart w:id="25" w:name="_Toc358367142"/>
      <w:r w:rsidRPr="00FF1A1F">
        <w:t>Evaluation</w:t>
      </w:r>
      <w:bookmarkEnd w:id="25"/>
    </w:p>
    <w:p w:rsidR="00977EB1" w:rsidRPr="00FF1A1F" w:rsidRDefault="00977EB1" w:rsidP="00977EB1">
      <w:pPr>
        <w:keepNext/>
      </w:pPr>
    </w:p>
    <w:p w:rsidR="00FD7D6F" w:rsidRPr="00FF1A1F" w:rsidRDefault="00FD7D6F" w:rsidP="000211CD">
      <w:pPr>
        <w:shd w:val="clear" w:color="auto" w:fill="FFFFFF"/>
        <w:contextualSpacing/>
      </w:pPr>
      <w:r w:rsidRPr="00FF1A1F">
        <w:t>Evaluation is a systematic, evidence-based review of the efficiency and effectiveness of the use of Commonwealth environmental water. Evaluation should align with the program logic and seek to explain why a particular outcome has occurred, how well an activity was undertaken, whether it was a good thing to do, and what should be done in the future in light of the evaluation findings.</w:t>
      </w:r>
    </w:p>
    <w:p w:rsidR="00FD7D6F" w:rsidRPr="00FF1A1F" w:rsidRDefault="00FD7D6F" w:rsidP="00977EB1">
      <w:pPr>
        <w:shd w:val="clear" w:color="auto" w:fill="FFFFFF"/>
        <w:contextualSpacing/>
      </w:pPr>
    </w:p>
    <w:p w:rsidR="00977EB1" w:rsidRPr="00FF1A1F" w:rsidRDefault="00977EB1" w:rsidP="00977EB1">
      <w:pPr>
        <w:shd w:val="clear" w:color="auto" w:fill="FFFFFF"/>
        <w:contextualSpacing/>
      </w:pPr>
      <w:r w:rsidRPr="00FF1A1F">
        <w:t xml:space="preserve">Evaluation will be undertaken at timescales that align with </w:t>
      </w:r>
      <w:r w:rsidR="000B1B33" w:rsidRPr="00FF1A1F">
        <w:t>the program logic hierarchy (&lt;1 </w:t>
      </w:r>
      <w:r w:rsidRPr="00FF1A1F">
        <w:t>year, 1–5 years and &gt;</w:t>
      </w:r>
      <w:r w:rsidR="000211CD" w:rsidRPr="00FF1A1F">
        <w:t>10</w:t>
      </w:r>
      <w:r w:rsidRPr="00FF1A1F">
        <w:t xml:space="preserve"> years), will be based on the program of monitoring outlined above, and be guided by the reporting requirements set out in Schedule 12 of the Basin Plan. </w:t>
      </w:r>
    </w:p>
    <w:p w:rsidR="00977EB1" w:rsidRPr="00FF1A1F" w:rsidRDefault="00977EB1" w:rsidP="00977EB1">
      <w:pPr>
        <w:shd w:val="clear" w:color="auto" w:fill="FFFFFF"/>
        <w:contextualSpacing/>
      </w:pPr>
    </w:p>
    <w:p w:rsidR="000B1B33" w:rsidRPr="00FF1A1F" w:rsidRDefault="000B1B33">
      <w:r w:rsidRPr="00FF1A1F">
        <w:br w:type="page"/>
      </w:r>
    </w:p>
    <w:p w:rsidR="00977EB1" w:rsidRPr="00FF1A1F" w:rsidRDefault="00977EB1" w:rsidP="00977EB1">
      <w:pPr>
        <w:shd w:val="clear" w:color="auto" w:fill="FFFFFF"/>
        <w:contextualSpacing/>
      </w:pPr>
      <w:r w:rsidRPr="00FF1A1F">
        <w:lastRenderedPageBreak/>
        <w:t>The CEWO will aggregate the results of monitoring and, where appropriate, incorporate contextual information provided at a catchment and Basin scale to:</w:t>
      </w:r>
    </w:p>
    <w:p w:rsidR="00977EB1" w:rsidRPr="00FF1A1F" w:rsidRDefault="00977EB1" w:rsidP="000211CD">
      <w:pPr>
        <w:numPr>
          <w:ilvl w:val="0"/>
          <w:numId w:val="5"/>
        </w:numPr>
        <w:shd w:val="clear" w:color="auto" w:fill="FFFFFF"/>
        <w:spacing w:before="120"/>
        <w:contextualSpacing/>
      </w:pPr>
      <w:r w:rsidRPr="00FF1A1F">
        <w:t>demonstrate the outcomes of the use of Commonwealth environmental water and how it has contributed to achieving the environmental objectives (with reference to the targets for measuring progress) of the environmental watering plan (section 114 of the Water Act and items 7 and 9 of Schedule 12 of the Basin Plan)</w:t>
      </w:r>
    </w:p>
    <w:p w:rsidR="00977EB1" w:rsidRPr="00FF1A1F" w:rsidRDefault="00977EB1" w:rsidP="000211CD">
      <w:pPr>
        <w:numPr>
          <w:ilvl w:val="0"/>
          <w:numId w:val="5"/>
        </w:numPr>
        <w:shd w:val="clear" w:color="auto" w:fill="FFFFFF"/>
        <w:spacing w:before="120"/>
        <w:contextualSpacing/>
      </w:pPr>
      <w:r w:rsidRPr="00FF1A1F">
        <w:t>support adaptive management and improvement in the management of Commonwealth environmental water to meet environmental objectives</w:t>
      </w:r>
    </w:p>
    <w:p w:rsidR="00977EB1" w:rsidRPr="00FF1A1F" w:rsidRDefault="00977EB1" w:rsidP="000211CD">
      <w:pPr>
        <w:numPr>
          <w:ilvl w:val="0"/>
          <w:numId w:val="5"/>
        </w:numPr>
        <w:shd w:val="clear" w:color="auto" w:fill="FFFFFF"/>
        <w:spacing w:before="120"/>
        <w:contextualSpacing/>
      </w:pPr>
      <w:proofErr w:type="gramStart"/>
      <w:r w:rsidRPr="00FF1A1F">
        <w:t>identify</w:t>
      </w:r>
      <w:proofErr w:type="gramEnd"/>
      <w:r w:rsidRPr="00FF1A1F">
        <w:t xml:space="preserve"> information gaps to help build new knowledge. </w:t>
      </w:r>
    </w:p>
    <w:p w:rsidR="00977EB1" w:rsidRPr="00FF1A1F" w:rsidRDefault="00977EB1" w:rsidP="00977EB1">
      <w:pPr>
        <w:pStyle w:val="ListBullet"/>
        <w:ind w:left="720"/>
      </w:pPr>
    </w:p>
    <w:p w:rsidR="00977EB1" w:rsidRPr="00FF1A1F" w:rsidRDefault="00977EB1" w:rsidP="00977EB1">
      <w:r w:rsidRPr="00FF1A1F">
        <w:t xml:space="preserve">The MDBA will be responsible for aggregating the results of monitoring undertaken by all jurisdictions to evaluate the environmental outcomes and effectiveness of the environmental watering plan (Items 7–10 of Schedule 12 of the Basin Plan). </w:t>
      </w:r>
    </w:p>
    <w:p w:rsidR="00977EB1" w:rsidRPr="00FF1A1F" w:rsidRDefault="00977EB1" w:rsidP="00977EB1">
      <w:pPr>
        <w:rPr>
          <w:color w:val="000000"/>
        </w:rPr>
      </w:pPr>
    </w:p>
    <w:p w:rsidR="00977EB1" w:rsidRPr="00FF1A1F" w:rsidRDefault="00977EB1" w:rsidP="00977EB1">
      <w:pPr>
        <w:pStyle w:val="Heading2"/>
      </w:pPr>
      <w:bookmarkStart w:id="26" w:name="_Toc358367143"/>
      <w:r w:rsidRPr="00FF1A1F">
        <w:t>Reporting</w:t>
      </w:r>
      <w:bookmarkEnd w:id="26"/>
    </w:p>
    <w:p w:rsidR="00977EB1" w:rsidRPr="00FF1A1F" w:rsidRDefault="00977EB1" w:rsidP="00977EB1">
      <w:pPr>
        <w:rPr>
          <w:b/>
        </w:rPr>
      </w:pPr>
    </w:p>
    <w:p w:rsidR="00977EB1" w:rsidRPr="00FF1A1F" w:rsidRDefault="00977EB1" w:rsidP="000B1B33">
      <w:r w:rsidRPr="00FF1A1F">
        <w:t>The CEWO is committed to having a high level of transparency about its operations and this is underpinned by statutory and non-statutory reporting arrangements.</w:t>
      </w:r>
      <w:r w:rsidR="000B1B33" w:rsidRPr="00FF1A1F">
        <w:t xml:space="preserve"> </w:t>
      </w:r>
      <w:r w:rsidRPr="00FF1A1F">
        <w:t>Beyond statutory reporting obligations set out in section 2 of this document, there will be regular reporting of Commonwealth environmental water arrangements as part of broader public service obligations of accountability and good governance. The CEWO will:</w:t>
      </w:r>
    </w:p>
    <w:p w:rsidR="00977EB1" w:rsidRPr="00FF1A1F" w:rsidRDefault="00977EB1" w:rsidP="00977EB1">
      <w:pPr>
        <w:numPr>
          <w:ilvl w:val="0"/>
          <w:numId w:val="5"/>
        </w:numPr>
        <w:shd w:val="clear" w:color="auto" w:fill="FFFFFF"/>
        <w:spacing w:before="120"/>
        <w:contextualSpacing/>
      </w:pPr>
      <w:r w:rsidRPr="00FF1A1F">
        <w:t>publish results from all monitoring and evaluation work that we commission</w:t>
      </w:r>
    </w:p>
    <w:p w:rsidR="00977EB1" w:rsidRPr="00FF1A1F" w:rsidRDefault="00977EB1" w:rsidP="00977EB1">
      <w:pPr>
        <w:numPr>
          <w:ilvl w:val="0"/>
          <w:numId w:val="5"/>
        </w:numPr>
        <w:shd w:val="clear" w:color="auto" w:fill="FFFFFF"/>
        <w:spacing w:before="120"/>
        <w:contextualSpacing/>
      </w:pPr>
      <w:proofErr w:type="gramStart"/>
      <w:r w:rsidRPr="00FF1A1F">
        <w:t>continue</w:t>
      </w:r>
      <w:proofErr w:type="gramEnd"/>
      <w:r w:rsidRPr="00FF1A1F">
        <w:t xml:space="preserve"> to produce an annual environmental water outcomes report, which will summarise overall environmental outcomes.</w:t>
      </w:r>
    </w:p>
    <w:p w:rsidR="00977EB1" w:rsidRPr="00FF1A1F" w:rsidRDefault="00977EB1" w:rsidP="00977EB1">
      <w:pPr>
        <w:keepNext/>
      </w:pPr>
    </w:p>
    <w:p w:rsidR="00977EB1" w:rsidRPr="00FF1A1F" w:rsidRDefault="00977EB1" w:rsidP="00977EB1">
      <w:pPr>
        <w:pStyle w:val="Heading2"/>
      </w:pPr>
      <w:bookmarkStart w:id="27" w:name="_Toc358367144"/>
      <w:r w:rsidRPr="00FF1A1F">
        <w:t>Improvement</w:t>
      </w:r>
      <w:bookmarkEnd w:id="27"/>
      <w:r w:rsidRPr="00FF1A1F">
        <w:t xml:space="preserve"> </w:t>
      </w:r>
    </w:p>
    <w:p w:rsidR="00977EB1" w:rsidRPr="00FF1A1F" w:rsidRDefault="00977EB1" w:rsidP="00977EB1">
      <w:pPr>
        <w:pStyle w:val="Heading2"/>
        <w:numPr>
          <w:ilvl w:val="0"/>
          <w:numId w:val="0"/>
        </w:numPr>
        <w:ind w:left="576"/>
      </w:pPr>
    </w:p>
    <w:p w:rsidR="00977EB1" w:rsidRPr="00FF1A1F" w:rsidRDefault="00977EB1" w:rsidP="00977EB1">
      <w:r w:rsidRPr="00FF1A1F">
        <w:t>Adaptive management based on the monitoring and evaluation process is critical to improvement in the management of Commonwealth environmental water. This will be based on the results of monitoring and evaluation undertaken by the CEWO and other groups including research institutions.</w:t>
      </w:r>
      <w:r w:rsidR="000B1B33" w:rsidRPr="00FF1A1F">
        <w:t xml:space="preserve"> </w:t>
      </w:r>
      <w:r w:rsidRPr="00FF1A1F">
        <w:t>The improvement process for the use of Commonwealth environmental water will be based on evaluation of the environmenta</w:t>
      </w:r>
      <w:r w:rsidRPr="00FF1A1F">
        <w:rPr>
          <w:szCs w:val="23"/>
        </w:rPr>
        <w:t>l outcomes from the use of water, and the watering actions undertaken. Improvement will be given effect through</w:t>
      </w:r>
      <w:r w:rsidRPr="00FF1A1F">
        <w:rPr>
          <w:color w:val="231F20"/>
          <w:szCs w:val="23"/>
        </w:rPr>
        <w:t xml:space="preserve"> </w:t>
      </w:r>
      <w:r w:rsidRPr="00FF1A1F">
        <w:t>refinement of:</w:t>
      </w:r>
    </w:p>
    <w:p w:rsidR="00977EB1" w:rsidRPr="00FF1A1F" w:rsidRDefault="00977EB1" w:rsidP="00977EB1">
      <w:pPr>
        <w:numPr>
          <w:ilvl w:val="0"/>
          <w:numId w:val="5"/>
        </w:numPr>
        <w:shd w:val="clear" w:color="auto" w:fill="FFFFFF"/>
        <w:spacing w:before="120"/>
        <w:contextualSpacing/>
      </w:pPr>
      <w:r w:rsidRPr="00FF1A1F">
        <w:t>future watering actions</w:t>
      </w:r>
    </w:p>
    <w:p w:rsidR="00977EB1" w:rsidRPr="00FF1A1F" w:rsidRDefault="00977EB1" w:rsidP="00977EB1">
      <w:pPr>
        <w:numPr>
          <w:ilvl w:val="0"/>
          <w:numId w:val="5"/>
        </w:numPr>
        <w:shd w:val="clear" w:color="auto" w:fill="FFFFFF"/>
        <w:spacing w:before="120"/>
        <w:contextualSpacing/>
      </w:pPr>
      <w:r w:rsidRPr="00FF1A1F">
        <w:t>annual and longer-term portfolio management plans</w:t>
      </w:r>
    </w:p>
    <w:p w:rsidR="00977EB1" w:rsidRPr="00FF1A1F" w:rsidRDefault="00977EB1" w:rsidP="00977EB1">
      <w:pPr>
        <w:numPr>
          <w:ilvl w:val="0"/>
          <w:numId w:val="5"/>
        </w:numPr>
        <w:shd w:val="clear" w:color="auto" w:fill="FFFFFF"/>
        <w:spacing w:before="120"/>
        <w:contextualSpacing/>
      </w:pPr>
      <w:proofErr w:type="gramStart"/>
      <w:r w:rsidRPr="00FF1A1F">
        <w:t>the</w:t>
      </w:r>
      <w:proofErr w:type="gramEnd"/>
      <w:r w:rsidRPr="00FF1A1F">
        <w:t xml:space="preserve"> Basin Plan (to be undertaken by the MDBA through reviews including under section 50 of the Water Act and Chapter 13 of the Basin Plan).</w:t>
      </w:r>
    </w:p>
    <w:p w:rsidR="00977EB1" w:rsidRPr="00FF1A1F" w:rsidRDefault="00977EB1" w:rsidP="00977EB1">
      <w:pPr>
        <w:pStyle w:val="ListBullet"/>
        <w:ind w:left="369" w:hanging="369"/>
      </w:pPr>
    </w:p>
    <w:p w:rsidR="00977EB1" w:rsidRPr="00FF1A1F" w:rsidRDefault="00977EB1" w:rsidP="00977EB1">
      <w:r w:rsidRPr="00FF1A1F">
        <w:t>The improvement process will include:</w:t>
      </w:r>
    </w:p>
    <w:p w:rsidR="00977EB1" w:rsidRPr="00FF1A1F" w:rsidRDefault="00977EB1" w:rsidP="00977EB1">
      <w:pPr>
        <w:pStyle w:val="ColorfulList-Accent11"/>
        <w:numPr>
          <w:ilvl w:val="0"/>
          <w:numId w:val="7"/>
        </w:numPr>
        <w:spacing w:after="120"/>
        <w:ind w:left="714" w:hanging="357"/>
        <w:rPr>
          <w:color w:val="231F20"/>
          <w:szCs w:val="23"/>
        </w:rPr>
      </w:pPr>
      <w:r w:rsidRPr="00FF1A1F">
        <w:rPr>
          <w:color w:val="231F20"/>
          <w:szCs w:val="23"/>
        </w:rPr>
        <w:t xml:space="preserve">mechanisms for incorporating learning and new knowledge into planning, management and decision making </w:t>
      </w:r>
    </w:p>
    <w:p w:rsidR="00977EB1" w:rsidRPr="00FF1A1F" w:rsidRDefault="00977EB1" w:rsidP="00977EB1">
      <w:pPr>
        <w:pStyle w:val="ColorfulList-Accent11"/>
        <w:numPr>
          <w:ilvl w:val="0"/>
          <w:numId w:val="7"/>
        </w:numPr>
        <w:spacing w:after="120"/>
        <w:ind w:left="714" w:hanging="357"/>
        <w:rPr>
          <w:color w:val="231F20"/>
          <w:szCs w:val="23"/>
        </w:rPr>
      </w:pPr>
      <w:r w:rsidRPr="00FF1A1F">
        <w:rPr>
          <w:color w:val="231F20"/>
          <w:szCs w:val="23"/>
        </w:rPr>
        <w:t>selection of management activities that are specifically designed to test hypotheses (predictive models) through ecosystem-scale experiments</w:t>
      </w:r>
    </w:p>
    <w:p w:rsidR="00977EB1" w:rsidRPr="00FF1A1F" w:rsidRDefault="00977EB1" w:rsidP="00977EB1">
      <w:pPr>
        <w:pStyle w:val="ColorfulList-Accent11"/>
        <w:numPr>
          <w:ilvl w:val="0"/>
          <w:numId w:val="7"/>
        </w:numPr>
        <w:spacing w:after="120"/>
        <w:ind w:left="714" w:hanging="357"/>
        <w:rPr>
          <w:color w:val="231F20"/>
          <w:szCs w:val="23"/>
        </w:rPr>
      </w:pPr>
      <w:proofErr w:type="gramStart"/>
      <w:r w:rsidRPr="00FF1A1F">
        <w:rPr>
          <w:color w:val="231F20"/>
          <w:szCs w:val="23"/>
        </w:rPr>
        <w:t>review</w:t>
      </w:r>
      <w:proofErr w:type="gramEnd"/>
      <w:r w:rsidRPr="00FF1A1F">
        <w:rPr>
          <w:color w:val="231F20"/>
          <w:szCs w:val="23"/>
        </w:rPr>
        <w:t xml:space="preserve"> of mechanisms for multi-disciplinary and multi-stakeholder involvement, with a focus on collaborative and participatory learning.</w:t>
      </w:r>
    </w:p>
    <w:p w:rsidR="000B1B33" w:rsidRPr="00FF1A1F" w:rsidRDefault="000B1B33" w:rsidP="00977EB1">
      <w:pPr>
        <w:pStyle w:val="ColorfulList-Accent11"/>
        <w:ind w:left="0"/>
      </w:pPr>
    </w:p>
    <w:p w:rsidR="00977EB1" w:rsidRPr="00FF1A1F" w:rsidRDefault="00977EB1" w:rsidP="00977EB1">
      <w:pPr>
        <w:pStyle w:val="ColorfulList-Accent11"/>
        <w:ind w:left="0"/>
        <w:rPr>
          <w:szCs w:val="23"/>
        </w:rPr>
      </w:pPr>
      <w:r w:rsidRPr="00FF1A1F">
        <w:t>A detailed approach to adaptive management will be the subject of future work</w:t>
      </w:r>
      <w:r w:rsidRPr="00FF1A1F">
        <w:rPr>
          <w:szCs w:val="23"/>
        </w:rPr>
        <w:t xml:space="preserve"> in developing the plans noted above.</w:t>
      </w:r>
    </w:p>
    <w:p w:rsidR="0072042A" w:rsidRPr="00FF1A1F" w:rsidRDefault="00FC2DBE" w:rsidP="00FE2328">
      <w:pPr>
        <w:pStyle w:val="Heading1"/>
        <w:numPr>
          <w:ilvl w:val="0"/>
          <w:numId w:val="0"/>
        </w:numPr>
        <w:ind w:left="432" w:hanging="432"/>
      </w:pPr>
      <w:bookmarkStart w:id="28" w:name="_Toc358367145"/>
      <w:bookmarkEnd w:id="1"/>
      <w:r w:rsidRPr="00FF1A1F">
        <w:lastRenderedPageBreak/>
        <w:t>Attachment A</w:t>
      </w:r>
      <w:bookmarkEnd w:id="28"/>
    </w:p>
    <w:p w:rsidR="00853595" w:rsidRPr="00FF1A1F" w:rsidRDefault="00853595" w:rsidP="00977EB1"/>
    <w:p w:rsidR="00FC2DBE" w:rsidRPr="00FF1A1F" w:rsidRDefault="00FC2DBE" w:rsidP="00853595">
      <w:pPr>
        <w:pStyle w:val="sectionheading0"/>
        <w:spacing w:before="0" w:beforeAutospacing="0" w:after="0" w:afterAutospacing="0"/>
        <w:ind w:left="850" w:hanging="850"/>
        <w:rPr>
          <w:b/>
        </w:rPr>
      </w:pPr>
      <w:bookmarkStart w:id="29" w:name="_Toc300170160"/>
      <w:bookmarkStart w:id="30" w:name="_Toc305585518"/>
      <w:bookmarkStart w:id="31" w:name="_Toc340830155"/>
      <w:bookmarkStart w:id="32" w:name="_Toc340830604"/>
      <w:bookmarkStart w:id="33" w:name="_Toc340835096"/>
      <w:bookmarkStart w:id="34" w:name="_Toc341249310"/>
      <w:bookmarkStart w:id="35" w:name="_Toc297737556"/>
      <w:bookmarkEnd w:id="29"/>
      <w:bookmarkEnd w:id="30"/>
      <w:bookmarkEnd w:id="31"/>
      <w:bookmarkEnd w:id="32"/>
      <w:bookmarkEnd w:id="33"/>
      <w:bookmarkEnd w:id="34"/>
      <w:r w:rsidRPr="00FF1A1F">
        <w:rPr>
          <w:b/>
        </w:rPr>
        <w:t>13.03    Principles of responsibility for monitoring and evaluating the effectiveness of the Basin Plan</w:t>
      </w:r>
      <w:bookmarkEnd w:id="35"/>
    </w:p>
    <w:p w:rsidR="00853595" w:rsidRPr="00FF1A1F" w:rsidRDefault="00853595" w:rsidP="00853595">
      <w:pPr>
        <w:pStyle w:val="sectionheading0"/>
        <w:spacing w:before="0" w:beforeAutospacing="0" w:after="0" w:afterAutospacing="0"/>
        <w:ind w:left="850" w:hanging="850"/>
      </w:pPr>
    </w:p>
    <w:p w:rsidR="00FC2DBE" w:rsidRPr="00FF1A1F" w:rsidRDefault="00FC2DBE" w:rsidP="00853595">
      <w:pPr>
        <w:pStyle w:val="subsectionheading0"/>
        <w:spacing w:before="0" w:beforeAutospacing="0" w:after="0" w:afterAutospacing="0"/>
        <w:rPr>
          <w:b/>
        </w:rPr>
      </w:pPr>
      <w:r w:rsidRPr="00FF1A1F">
        <w:rPr>
          <w:b/>
        </w:rPr>
        <w:t>Principle 1</w:t>
      </w:r>
    </w:p>
    <w:p w:rsidR="00FC2DBE" w:rsidRPr="00FF1A1F" w:rsidRDefault="00FC2DBE" w:rsidP="00853595">
      <w:pPr>
        <w:pStyle w:val="subsectiontext0"/>
        <w:spacing w:before="0" w:beforeAutospacing="0" w:after="0" w:afterAutospacing="0"/>
        <w:ind w:left="1417" w:hanging="567"/>
      </w:pPr>
      <w:r w:rsidRPr="00FF1A1F">
        <w:t>(1)     The Authority is responsible for leading monitoring at the Basin scale, having regard to the desirability of:</w:t>
      </w:r>
    </w:p>
    <w:p w:rsidR="00FC2DBE" w:rsidRPr="00FF1A1F" w:rsidRDefault="00FC2DBE" w:rsidP="00853595">
      <w:pPr>
        <w:pStyle w:val="paragraphtext0"/>
        <w:spacing w:before="0" w:beforeAutospacing="0" w:after="0" w:afterAutospacing="0"/>
        <w:ind w:left="1984" w:hanging="567"/>
      </w:pPr>
      <w:r w:rsidRPr="00FF1A1F">
        <w:t xml:space="preserve">(a)     </w:t>
      </w:r>
      <w:proofErr w:type="gramStart"/>
      <w:r w:rsidRPr="00FF1A1F">
        <w:t>collecting</w:t>
      </w:r>
      <w:proofErr w:type="gramEnd"/>
      <w:r w:rsidRPr="00FF1A1F">
        <w:t xml:space="preserve"> information in an efficient way; and</w:t>
      </w:r>
    </w:p>
    <w:p w:rsidR="00FC2DBE" w:rsidRPr="00FF1A1F" w:rsidRDefault="00FC2DBE" w:rsidP="00853595">
      <w:pPr>
        <w:pStyle w:val="paragraphtext0"/>
        <w:spacing w:before="0" w:beforeAutospacing="0" w:after="0" w:afterAutospacing="0"/>
        <w:ind w:left="1984" w:hanging="567"/>
      </w:pPr>
      <w:r w:rsidRPr="00FF1A1F">
        <w:t xml:space="preserve">(b)     </w:t>
      </w:r>
      <w:proofErr w:type="gramStart"/>
      <w:r w:rsidRPr="00FF1A1F">
        <w:t>providing</w:t>
      </w:r>
      <w:proofErr w:type="gramEnd"/>
      <w:r w:rsidRPr="00FF1A1F">
        <w:t xml:space="preserve"> open access to information collected or used in, or generated by, monitoring; and</w:t>
      </w:r>
    </w:p>
    <w:p w:rsidR="00FC2DBE" w:rsidRPr="00FF1A1F" w:rsidRDefault="00FC2DBE" w:rsidP="00853595">
      <w:pPr>
        <w:pStyle w:val="paragraphtext0"/>
        <w:spacing w:before="0" w:beforeAutospacing="0" w:after="0" w:afterAutospacing="0"/>
        <w:ind w:left="1984" w:hanging="567"/>
      </w:pPr>
      <w:r w:rsidRPr="00FF1A1F">
        <w:t xml:space="preserve">(c)     </w:t>
      </w:r>
      <w:proofErr w:type="gramStart"/>
      <w:r w:rsidRPr="00FF1A1F">
        <w:t>harnessing</w:t>
      </w:r>
      <w:proofErr w:type="gramEnd"/>
      <w:r w:rsidRPr="00FF1A1F">
        <w:t xml:space="preserve"> existing monitoring capabilities where possible, rather than creating new monitoring capabilities; and</w:t>
      </w:r>
    </w:p>
    <w:p w:rsidR="00FC2DBE" w:rsidRPr="00FF1A1F" w:rsidRDefault="00FC2DBE" w:rsidP="00853595">
      <w:pPr>
        <w:pStyle w:val="paragraphtext0"/>
        <w:spacing w:before="0" w:beforeAutospacing="0" w:after="0" w:afterAutospacing="0"/>
        <w:ind w:left="1984" w:hanging="567"/>
      </w:pPr>
      <w:r w:rsidRPr="00FF1A1F">
        <w:t xml:space="preserve">(d)     </w:t>
      </w:r>
      <w:proofErr w:type="gramStart"/>
      <w:r w:rsidRPr="00FF1A1F">
        <w:t>building</w:t>
      </w:r>
      <w:proofErr w:type="gramEnd"/>
      <w:r w:rsidRPr="00FF1A1F">
        <w:t xml:space="preserve"> upon existing information and data supply arrangements where possible, rather than establishing new arrangements; and</w:t>
      </w:r>
    </w:p>
    <w:p w:rsidR="00FC2DBE" w:rsidRPr="00FF1A1F" w:rsidRDefault="00FC2DBE" w:rsidP="00853595">
      <w:pPr>
        <w:pStyle w:val="paragraphtext0"/>
        <w:spacing w:before="0" w:beforeAutospacing="0" w:after="0" w:afterAutospacing="0"/>
        <w:ind w:left="1984" w:hanging="567"/>
      </w:pPr>
      <w:r w:rsidRPr="00FF1A1F">
        <w:t xml:space="preserve">(e)     </w:t>
      </w:r>
      <w:proofErr w:type="gramStart"/>
      <w:r w:rsidRPr="00FF1A1F">
        <w:t>using</w:t>
      </w:r>
      <w:proofErr w:type="gramEnd"/>
      <w:r w:rsidRPr="00FF1A1F">
        <w:t xml:space="preserve"> an adaptive approach to test and improve monitoring capabilities; and</w:t>
      </w:r>
    </w:p>
    <w:p w:rsidR="00FC2DBE" w:rsidRPr="00FF1A1F" w:rsidRDefault="00FC2DBE" w:rsidP="00853595">
      <w:pPr>
        <w:pStyle w:val="paragraphtext0"/>
        <w:spacing w:before="0" w:beforeAutospacing="0" w:after="0" w:afterAutospacing="0"/>
        <w:ind w:left="1984" w:hanging="567"/>
      </w:pPr>
      <w:r w:rsidRPr="00FF1A1F">
        <w:t xml:space="preserve">(f)      </w:t>
      </w:r>
      <w:proofErr w:type="gramStart"/>
      <w:r w:rsidRPr="00FF1A1F">
        <w:t>eliminating</w:t>
      </w:r>
      <w:proofErr w:type="gramEnd"/>
      <w:r w:rsidRPr="00FF1A1F">
        <w:t xml:space="preserve"> duplication and fragmentation of monitoring processes where possible; and</w:t>
      </w:r>
    </w:p>
    <w:p w:rsidR="00FC2DBE" w:rsidRPr="00FF1A1F" w:rsidRDefault="00FC2DBE" w:rsidP="00853595">
      <w:pPr>
        <w:pStyle w:val="paragraphtext0"/>
        <w:spacing w:before="0" w:beforeAutospacing="0" w:after="0" w:afterAutospacing="0"/>
        <w:ind w:left="1984" w:hanging="567"/>
      </w:pPr>
      <w:r w:rsidRPr="00FF1A1F">
        <w:t xml:space="preserve">(g)     </w:t>
      </w:r>
      <w:proofErr w:type="gramStart"/>
      <w:r w:rsidRPr="00FF1A1F">
        <w:t>there</w:t>
      </w:r>
      <w:proofErr w:type="gramEnd"/>
      <w:r w:rsidRPr="00FF1A1F">
        <w:t xml:space="preserve"> being no net reduction in existing monitoring efforts.</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2</w:t>
      </w:r>
    </w:p>
    <w:p w:rsidR="00FC2DBE" w:rsidRPr="00FF1A1F" w:rsidRDefault="00FC2DBE" w:rsidP="00853595">
      <w:pPr>
        <w:pStyle w:val="subsectiontext0"/>
        <w:spacing w:before="0" w:beforeAutospacing="0" w:after="0" w:afterAutospacing="0"/>
        <w:ind w:left="1417" w:hanging="567"/>
      </w:pPr>
      <w:r w:rsidRPr="00FF1A1F">
        <w:t>(2)     The Authority is responsible for leading all evaluations of the effectiveness of the Basin Plan, with Basin States, the Commonwealth Environmental Water Holder and the Department enabling evaluations by collecting, analysing and reporting information (including data) in a fit for purpose manner.</w:t>
      </w:r>
    </w:p>
    <w:p w:rsidR="00853595" w:rsidRPr="00FF1A1F" w:rsidRDefault="00853595" w:rsidP="00853595">
      <w:pPr>
        <w:pStyle w:val="sectionheading0"/>
        <w:spacing w:before="0" w:beforeAutospacing="0" w:after="0" w:afterAutospacing="0"/>
        <w:ind w:left="850" w:hanging="850"/>
      </w:pPr>
      <w:bookmarkStart w:id="36" w:name="_Toc340830605"/>
      <w:bookmarkStart w:id="37" w:name="_Toc340835097"/>
      <w:bookmarkStart w:id="38" w:name="_Toc341249311"/>
      <w:bookmarkStart w:id="39" w:name="_Toc340830156"/>
      <w:bookmarkEnd w:id="36"/>
      <w:bookmarkEnd w:id="37"/>
      <w:bookmarkEnd w:id="38"/>
    </w:p>
    <w:p w:rsidR="00FC2DBE" w:rsidRPr="00FF1A1F" w:rsidRDefault="00FC2DBE" w:rsidP="00853595">
      <w:pPr>
        <w:pStyle w:val="sectionheading0"/>
        <w:spacing w:before="0" w:beforeAutospacing="0" w:after="0" w:afterAutospacing="0"/>
        <w:ind w:left="850" w:hanging="850"/>
        <w:rPr>
          <w:b/>
        </w:rPr>
      </w:pPr>
      <w:r w:rsidRPr="00FF1A1F">
        <w:rPr>
          <w:b/>
        </w:rPr>
        <w:t>13.04    Other principles to be applied in monitoring and evaluating the effectiveness of the Basin Plan</w:t>
      </w:r>
      <w:bookmarkEnd w:id="39"/>
    </w:p>
    <w:p w:rsidR="00853595" w:rsidRPr="00FF1A1F" w:rsidRDefault="00853595" w:rsidP="00853595">
      <w:pPr>
        <w:pStyle w:val="sectionheading0"/>
        <w:spacing w:before="0" w:beforeAutospacing="0" w:after="0" w:afterAutospacing="0"/>
        <w:ind w:left="850" w:hanging="850"/>
        <w:rPr>
          <w:b/>
        </w:rPr>
      </w:pPr>
    </w:p>
    <w:p w:rsidR="00FC2DBE" w:rsidRPr="00FF1A1F" w:rsidRDefault="00FC2DBE" w:rsidP="00853595">
      <w:pPr>
        <w:pStyle w:val="subsectiontext0"/>
        <w:spacing w:before="0" w:beforeAutospacing="0" w:after="0" w:afterAutospacing="0"/>
        <w:ind w:left="1417" w:hanging="567"/>
      </w:pPr>
      <w:r w:rsidRPr="00FF1A1F">
        <w:t>(1)     The principles in this section must be applied by:</w:t>
      </w:r>
    </w:p>
    <w:p w:rsidR="00FC2DBE" w:rsidRPr="00FF1A1F" w:rsidRDefault="00FC2DBE" w:rsidP="00853595">
      <w:pPr>
        <w:pStyle w:val="paragraphtext0"/>
        <w:spacing w:before="0" w:beforeAutospacing="0" w:after="0" w:afterAutospacing="0"/>
        <w:ind w:left="1984" w:hanging="567"/>
      </w:pPr>
      <w:r w:rsidRPr="00FF1A1F">
        <w:t xml:space="preserve">(a)     </w:t>
      </w:r>
      <w:proofErr w:type="gramStart"/>
      <w:r w:rsidRPr="00FF1A1F">
        <w:t>the</w:t>
      </w:r>
      <w:proofErr w:type="gramEnd"/>
      <w:r w:rsidRPr="00FF1A1F">
        <w:t xml:space="preserve"> Authority, when monitoring the effectiveness of the Basin Plan and conducting evaluations and reviews under Part 3; and</w:t>
      </w:r>
    </w:p>
    <w:p w:rsidR="00FC2DBE" w:rsidRPr="00FF1A1F" w:rsidRDefault="00FC2DBE" w:rsidP="00853595">
      <w:pPr>
        <w:pStyle w:val="paragraphtext0"/>
        <w:spacing w:before="0" w:beforeAutospacing="0" w:after="0" w:afterAutospacing="0"/>
        <w:ind w:left="1984" w:hanging="567"/>
      </w:pPr>
      <w:r w:rsidRPr="00FF1A1F">
        <w:t xml:space="preserve">(b)     the Basin States, the </w:t>
      </w:r>
      <w:r w:rsidRPr="00FF1A1F">
        <w:rPr>
          <w:b/>
        </w:rPr>
        <w:t>Commonwealth Environmental Water Holder</w:t>
      </w:r>
      <w:r w:rsidRPr="00FF1A1F">
        <w:t xml:space="preserve"> and the Department, when monitoring and evaluating for the purpose of meeting the reporting requirements in Part 4.</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3</w:t>
      </w:r>
    </w:p>
    <w:p w:rsidR="00FC2DBE" w:rsidRPr="00FF1A1F" w:rsidRDefault="00FC2DBE" w:rsidP="00853595">
      <w:pPr>
        <w:pStyle w:val="subsectiontext0"/>
        <w:spacing w:before="0" w:beforeAutospacing="0" w:after="0" w:afterAutospacing="0"/>
        <w:ind w:left="1417" w:hanging="567"/>
      </w:pPr>
      <w:r w:rsidRPr="00FF1A1F">
        <w:t>(2)     Commonwealth agencies and Basin States should report against matters in a manner which reflects the degree to which they are responsible for those matters.</w:t>
      </w:r>
    </w:p>
    <w:p w:rsidR="00853595" w:rsidRPr="00FF1A1F" w:rsidRDefault="00853595" w:rsidP="00853595">
      <w:pPr>
        <w:pStyle w:val="subsectiontext0"/>
        <w:spacing w:before="0" w:beforeAutospacing="0" w:after="0" w:afterAutospacing="0"/>
        <w:ind w:left="1417" w:hanging="567"/>
      </w:pPr>
    </w:p>
    <w:p w:rsidR="00FC2DBE" w:rsidRPr="00FF1A1F" w:rsidRDefault="00FC2DBE" w:rsidP="00853595">
      <w:pPr>
        <w:pStyle w:val="subsectionnote0"/>
        <w:spacing w:before="0" w:beforeAutospacing="0" w:after="0" w:afterAutospacing="0"/>
      </w:pPr>
      <w:r w:rsidRPr="00FF1A1F">
        <w:t>Note:      For example, the Commonwealth Environmental Water Holder is responsible for reporting on matters only to the extent that the matters relate to its responsibilities.</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4</w:t>
      </w:r>
    </w:p>
    <w:p w:rsidR="00FC2DBE" w:rsidRPr="00FF1A1F" w:rsidRDefault="00FC2DBE" w:rsidP="00853595">
      <w:pPr>
        <w:pStyle w:val="subsectiontext0"/>
        <w:spacing w:before="0" w:beforeAutospacing="0" w:after="0" w:afterAutospacing="0"/>
        <w:ind w:left="1417" w:hanging="567"/>
      </w:pPr>
      <w:r w:rsidRPr="00FF1A1F">
        <w:t>(3)     Monitoring and evaluation should be undertaken within the conceptual framework of program logic.</w:t>
      </w:r>
    </w:p>
    <w:p w:rsidR="00853595" w:rsidRPr="00FF1A1F" w:rsidRDefault="00853595" w:rsidP="00853595">
      <w:pPr>
        <w:pStyle w:val="subsectiontext0"/>
        <w:spacing w:before="0" w:beforeAutospacing="0" w:after="0" w:afterAutospacing="0"/>
        <w:ind w:left="1417" w:hanging="567"/>
      </w:pPr>
    </w:p>
    <w:p w:rsidR="00FC2DBE" w:rsidRPr="00FF1A1F" w:rsidRDefault="00FC2DBE" w:rsidP="00853595">
      <w:pPr>
        <w:pStyle w:val="subsectionnote0"/>
        <w:spacing w:before="0" w:beforeAutospacing="0" w:after="0" w:afterAutospacing="0"/>
      </w:pPr>
      <w:r w:rsidRPr="00FF1A1F">
        <w:lastRenderedPageBreak/>
        <w:t xml:space="preserve">Note:      Program logic is a mechanism that helps to determine when and what to evaluate so that resources can be used effectively and efficiently: see the Australian Government’s </w:t>
      </w:r>
      <w:r w:rsidRPr="00FF1A1F">
        <w:rPr>
          <w:i/>
          <w:iCs/>
        </w:rPr>
        <w:t>NRM MERI Framework</w:t>
      </w:r>
      <w:r w:rsidRPr="00FF1A1F">
        <w:t>.</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5</w:t>
      </w:r>
    </w:p>
    <w:p w:rsidR="00FC2DBE" w:rsidRPr="00FF1A1F" w:rsidRDefault="00FC2DBE" w:rsidP="00853595">
      <w:pPr>
        <w:pStyle w:val="subsectiontext0"/>
        <w:keepNext/>
        <w:spacing w:before="0" w:beforeAutospacing="0" w:after="0" w:afterAutospacing="0"/>
        <w:ind w:left="1417" w:hanging="567"/>
      </w:pPr>
      <w:r w:rsidRPr="00FF1A1F">
        <w:t>(4)     Monitoring and evaluation findings, including in respect of progress towards meeting targets and trends in the condition and availability of the Basin water resources, should enable decision-makers to use adaptive management.</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6</w:t>
      </w:r>
    </w:p>
    <w:p w:rsidR="00FC2DBE" w:rsidRPr="00FF1A1F" w:rsidRDefault="00FC2DBE" w:rsidP="00853595">
      <w:pPr>
        <w:pStyle w:val="subsectiontext0"/>
        <w:spacing w:before="0" w:beforeAutospacing="0" w:after="0" w:afterAutospacing="0"/>
        <w:ind w:left="1417" w:hanging="567"/>
      </w:pPr>
      <w:r w:rsidRPr="00FF1A1F">
        <w:t xml:space="preserve">(5)     Monitoring and evaluation should harness the monitoring capabilities of existing Basin State and Commonwealth programs (including jointly funded programs), provided that the programs are consistent with the principles in this Part, with a view to aligning and improving these programs over time. </w:t>
      </w:r>
    </w:p>
    <w:p w:rsidR="00853595" w:rsidRPr="00FF1A1F" w:rsidRDefault="00853595" w:rsidP="00853595">
      <w:pPr>
        <w:pStyle w:val="subsectiontext0"/>
        <w:spacing w:before="0" w:beforeAutospacing="0" w:after="0" w:afterAutospacing="0"/>
        <w:ind w:left="1417" w:hanging="567"/>
      </w:pPr>
    </w:p>
    <w:p w:rsidR="00FC2DBE" w:rsidRPr="00FF1A1F" w:rsidRDefault="00FC2DBE" w:rsidP="00853595">
      <w:pPr>
        <w:pStyle w:val="subsectionnote0"/>
        <w:spacing w:before="0" w:beforeAutospacing="0" w:after="0" w:afterAutospacing="0"/>
      </w:pPr>
      <w:r w:rsidRPr="00FF1A1F">
        <w:t>Note:      For example, water information provided by Basin States to the Bureau of Meteorology under Part 7 of the Act may be used, where possible, for monitoring and evaluation under this Chapter to avoid duplication in the sourcing of that information.</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7</w:t>
      </w:r>
    </w:p>
    <w:p w:rsidR="00FC2DBE" w:rsidRPr="00FF1A1F" w:rsidRDefault="00FC2DBE" w:rsidP="00853595">
      <w:pPr>
        <w:pStyle w:val="subsectiontext0"/>
        <w:spacing w:before="0" w:beforeAutospacing="0" w:after="0" w:afterAutospacing="0"/>
        <w:ind w:left="1417" w:hanging="567"/>
      </w:pPr>
      <w:r w:rsidRPr="00FF1A1F">
        <w:t>(6)     The best available knowledge (including scientific, local and cultural knowledge), evidence and analysis should be used where practicable to ensure credibility, transparency and usefulness of monitoring and evaluation findings.</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8</w:t>
      </w:r>
    </w:p>
    <w:p w:rsidR="00FC2DBE" w:rsidRPr="00FF1A1F" w:rsidRDefault="00FC2DBE" w:rsidP="00853595">
      <w:pPr>
        <w:pStyle w:val="subsectiontext0"/>
        <w:spacing w:before="0" w:beforeAutospacing="0" w:after="0" w:afterAutospacing="0"/>
        <w:ind w:left="1417" w:hanging="567"/>
      </w:pPr>
      <w:r w:rsidRPr="00FF1A1F">
        <w:t>(7)     Basin States and the Commonwealth should collaborate on the technical and operational elements of monitoring and evaluation in order to build engagement and ownership.</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9</w:t>
      </w:r>
    </w:p>
    <w:p w:rsidR="00FC2DBE" w:rsidRPr="00FF1A1F" w:rsidRDefault="00FC2DBE" w:rsidP="00853595">
      <w:pPr>
        <w:pStyle w:val="subsectiontext0"/>
        <w:spacing w:before="0" w:beforeAutospacing="0" w:after="0" w:afterAutospacing="0"/>
        <w:ind w:left="1417" w:hanging="567"/>
      </w:pPr>
      <w:r w:rsidRPr="00FF1A1F">
        <w:t>(8)     A risk-based approach should be used for investment in monitoring and evaluation.</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10</w:t>
      </w:r>
    </w:p>
    <w:p w:rsidR="00FC2DBE" w:rsidRPr="00FF1A1F" w:rsidRDefault="00FC2DBE" w:rsidP="00853595">
      <w:pPr>
        <w:pStyle w:val="subsectiontext0"/>
        <w:spacing w:before="0" w:beforeAutospacing="0" w:after="0" w:afterAutospacing="0"/>
        <w:ind w:left="1417" w:hanging="567"/>
      </w:pPr>
      <w:r w:rsidRPr="00FF1A1F">
        <w:t>(9)     Monitoring and reporting should be timely, efficient, cost-effective and consistent, and should supply the information needed for evaluation.</w:t>
      </w:r>
    </w:p>
    <w:p w:rsidR="00853595" w:rsidRPr="00FF1A1F" w:rsidRDefault="00853595" w:rsidP="00853595">
      <w:pPr>
        <w:pStyle w:val="subsectionheading0"/>
        <w:spacing w:before="0" w:beforeAutospacing="0" w:after="0" w:afterAutospacing="0"/>
        <w:rPr>
          <w:b/>
        </w:rPr>
      </w:pPr>
    </w:p>
    <w:p w:rsidR="00FC2DBE" w:rsidRPr="00FF1A1F" w:rsidRDefault="00FC2DBE" w:rsidP="00853595">
      <w:pPr>
        <w:pStyle w:val="subsectionheading0"/>
        <w:spacing w:before="0" w:beforeAutospacing="0" w:after="0" w:afterAutospacing="0"/>
        <w:rPr>
          <w:b/>
        </w:rPr>
      </w:pPr>
      <w:r w:rsidRPr="00FF1A1F">
        <w:rPr>
          <w:b/>
        </w:rPr>
        <w:t>Principle 11</w:t>
      </w:r>
    </w:p>
    <w:p w:rsidR="00FC2DBE" w:rsidRPr="00853595" w:rsidRDefault="00FC2DBE" w:rsidP="00853595">
      <w:pPr>
        <w:pStyle w:val="subsectiontext0"/>
        <w:spacing w:before="0" w:beforeAutospacing="0" w:after="0" w:afterAutospacing="0"/>
        <w:ind w:left="1417" w:hanging="567"/>
      </w:pPr>
      <w:r w:rsidRPr="00FF1A1F">
        <w:t>(10)   To the extent possible, there should be open access to information collected or used in, or generated by, monitoring and evaluation.</w:t>
      </w:r>
    </w:p>
    <w:p w:rsidR="00FC2DBE" w:rsidRPr="00853595" w:rsidRDefault="00FC2DBE" w:rsidP="00853595">
      <w:pPr>
        <w:rPr>
          <w:szCs w:val="24"/>
        </w:rPr>
      </w:pPr>
    </w:p>
    <w:sectPr w:rsidR="00FC2DBE" w:rsidRPr="00853595" w:rsidSect="002508CC">
      <w:footerReference w:type="even" r:id="rId20"/>
      <w:footerReference w:type="default" r:id="rId21"/>
      <w:pgSz w:w="11907" w:h="16840" w:code="9"/>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147" w:rsidRDefault="003C1147">
      <w:r>
        <w:separator/>
      </w:r>
    </w:p>
  </w:endnote>
  <w:endnote w:type="continuationSeparator" w:id="0">
    <w:p w:rsidR="003C1147" w:rsidRDefault="003C11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MyriaMM">
    <w:altName w:val="MyriaM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Swiss721BT-Light">
    <w:altName w:val="Swis721 Lt BT"/>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Garde-Book">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47" w:rsidRDefault="002C1024">
    <w:pPr>
      <w:pStyle w:val="Footer"/>
      <w:framePr w:wrap="around" w:vAnchor="text" w:hAnchor="margin" w:xAlign="center" w:y="1"/>
      <w:rPr>
        <w:rStyle w:val="PageNumber"/>
      </w:rPr>
    </w:pPr>
    <w:r>
      <w:rPr>
        <w:rStyle w:val="PageNumber"/>
      </w:rPr>
      <w:fldChar w:fldCharType="begin"/>
    </w:r>
    <w:r w:rsidR="003C1147">
      <w:rPr>
        <w:rStyle w:val="PageNumber"/>
      </w:rPr>
      <w:instrText xml:space="preserve">PAGE  </w:instrText>
    </w:r>
    <w:r>
      <w:rPr>
        <w:rStyle w:val="PageNumber"/>
      </w:rPr>
      <w:fldChar w:fldCharType="end"/>
    </w:r>
  </w:p>
  <w:p w:rsidR="003C1147" w:rsidRDefault="003C114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47" w:rsidRDefault="002C1024">
    <w:pPr>
      <w:pStyle w:val="Footer"/>
      <w:jc w:val="right"/>
    </w:pPr>
    <w:fldSimple w:instr=" PAGE   \* MERGEFORMAT ">
      <w:r w:rsidR="00485A8A">
        <w:rPr>
          <w:noProof/>
        </w:rPr>
        <w:t>14</w:t>
      </w:r>
    </w:fldSimple>
  </w:p>
  <w:p w:rsidR="003C1147" w:rsidRDefault="003C114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47" w:rsidRDefault="002C1024">
    <w:pPr>
      <w:pStyle w:val="Footer"/>
      <w:framePr w:wrap="around" w:vAnchor="text" w:hAnchor="margin" w:xAlign="center" w:y="1"/>
      <w:rPr>
        <w:rStyle w:val="PageNumber"/>
      </w:rPr>
    </w:pPr>
    <w:r>
      <w:rPr>
        <w:rStyle w:val="PageNumber"/>
      </w:rPr>
      <w:fldChar w:fldCharType="begin"/>
    </w:r>
    <w:r w:rsidR="003C1147">
      <w:rPr>
        <w:rStyle w:val="PageNumber"/>
      </w:rPr>
      <w:instrText xml:space="preserve">PAGE  </w:instrText>
    </w:r>
    <w:r>
      <w:rPr>
        <w:rStyle w:val="PageNumber"/>
      </w:rPr>
      <w:fldChar w:fldCharType="end"/>
    </w:r>
  </w:p>
  <w:p w:rsidR="003C1147" w:rsidRDefault="003C114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47" w:rsidRDefault="002C1024">
    <w:pPr>
      <w:pStyle w:val="Footer"/>
      <w:jc w:val="right"/>
    </w:pPr>
    <w:fldSimple w:instr=" PAGE   \* MERGEFORMAT ">
      <w:r w:rsidR="00485A8A">
        <w:rPr>
          <w:noProof/>
        </w:rPr>
        <w:t>15</w:t>
      </w:r>
    </w:fldSimple>
  </w:p>
  <w:p w:rsidR="003C1147" w:rsidRDefault="003C1147">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47" w:rsidRDefault="002C1024">
    <w:pPr>
      <w:pStyle w:val="Footer"/>
      <w:framePr w:wrap="around" w:vAnchor="text" w:hAnchor="margin" w:xAlign="center" w:y="1"/>
      <w:rPr>
        <w:rStyle w:val="PageNumber"/>
      </w:rPr>
    </w:pPr>
    <w:r>
      <w:rPr>
        <w:rStyle w:val="PageNumber"/>
      </w:rPr>
      <w:fldChar w:fldCharType="begin"/>
    </w:r>
    <w:r w:rsidR="003C1147">
      <w:rPr>
        <w:rStyle w:val="PageNumber"/>
      </w:rPr>
      <w:instrText xml:space="preserve">PAGE  </w:instrText>
    </w:r>
    <w:r>
      <w:rPr>
        <w:rStyle w:val="PageNumber"/>
      </w:rPr>
      <w:fldChar w:fldCharType="end"/>
    </w:r>
  </w:p>
  <w:p w:rsidR="003C1147" w:rsidRDefault="003C1147">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47" w:rsidRDefault="002C1024">
    <w:pPr>
      <w:pStyle w:val="Footer"/>
      <w:jc w:val="right"/>
    </w:pPr>
    <w:fldSimple w:instr=" PAGE   \* MERGEFORMAT ">
      <w:r w:rsidR="00485A8A">
        <w:rPr>
          <w:noProof/>
        </w:rPr>
        <w:t>22</w:t>
      </w:r>
    </w:fldSimple>
  </w:p>
  <w:p w:rsidR="003C1147" w:rsidRDefault="003C114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147" w:rsidRDefault="003C1147">
      <w:r>
        <w:separator/>
      </w:r>
    </w:p>
  </w:footnote>
  <w:footnote w:type="continuationSeparator" w:id="0">
    <w:p w:rsidR="003C1147" w:rsidRDefault="003C11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47" w:rsidRDefault="003C11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F200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35987CF0"/>
    <w:lvl w:ilvl="0">
      <w:start w:val="1"/>
      <w:numFmt w:val="decimal"/>
      <w:pStyle w:val="ListNumber"/>
      <w:lvlText w:val="%1."/>
      <w:lvlJc w:val="left"/>
      <w:pPr>
        <w:tabs>
          <w:tab w:val="num" w:pos="360"/>
        </w:tabs>
        <w:ind w:left="360" w:hanging="360"/>
      </w:pPr>
    </w:lvl>
  </w:abstractNum>
  <w:abstractNum w:abstractNumId="2">
    <w:nsid w:val="FFFFFF89"/>
    <w:multiLevelType w:val="singleLevel"/>
    <w:tmpl w:val="648E21D6"/>
    <w:lvl w:ilvl="0">
      <w:numFmt w:val="bullet"/>
      <w:lvlText w:val="-"/>
      <w:lvlJc w:val="left"/>
      <w:pPr>
        <w:ind w:left="360" w:hanging="360"/>
      </w:pPr>
      <w:rPr>
        <w:rFonts w:ascii="Arial" w:eastAsia="Times New Roman" w:hAnsi="Arial" w:cs="Arial" w:hint="default"/>
      </w:rPr>
    </w:lvl>
  </w:abstractNum>
  <w:abstractNum w:abstractNumId="3">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nsid w:val="01ED1426"/>
    <w:multiLevelType w:val="hybridMultilevel"/>
    <w:tmpl w:val="51742D6A"/>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
    <w:nsid w:val="06330D09"/>
    <w:multiLevelType w:val="hybridMultilevel"/>
    <w:tmpl w:val="791C9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405C45"/>
    <w:multiLevelType w:val="hybridMultilevel"/>
    <w:tmpl w:val="18A86110"/>
    <w:lvl w:ilvl="0" w:tplc="2C0633D6">
      <w:start w:val="1"/>
      <w:numFmt w:val="bullet"/>
      <w:lvlText w:val=""/>
      <w:lvlJc w:val="left"/>
      <w:pPr>
        <w:ind w:left="720" w:hanging="360"/>
      </w:pPr>
      <w:rPr>
        <w:rFonts w:ascii="Symbol" w:hAnsi="Symbol" w:hint="default"/>
        <w:sz w:val="17"/>
        <w:szCs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B03986"/>
    <w:multiLevelType w:val="hybridMultilevel"/>
    <w:tmpl w:val="0E5C2BF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C5E24FC"/>
    <w:multiLevelType w:val="hybridMultilevel"/>
    <w:tmpl w:val="1A98B84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9">
    <w:nsid w:val="0D8E23B6"/>
    <w:multiLevelType w:val="hybridMultilevel"/>
    <w:tmpl w:val="80C0B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454DD3"/>
    <w:multiLevelType w:val="multilevel"/>
    <w:tmpl w:val="97CCDFB6"/>
    <w:lvl w:ilvl="0">
      <w:start w:val="1"/>
      <w:numFmt w:val="bullet"/>
      <w:pStyle w:val="ChapterHeading"/>
      <w:lvlText w:val=""/>
      <w:lvlJc w:val="left"/>
      <w:pPr>
        <w:tabs>
          <w:tab w:val="num" w:pos="720"/>
        </w:tabs>
        <w:ind w:left="720" w:hanging="360"/>
      </w:pPr>
      <w:rPr>
        <w:rFonts w:ascii="Symbol" w:hAnsi="Symbol" w:hint="default"/>
        <w:sz w:val="20"/>
      </w:rPr>
    </w:lvl>
    <w:lvl w:ilvl="1" w:tentative="1">
      <w:start w:val="1"/>
      <w:numFmt w:val="bullet"/>
      <w:pStyle w:val="PartHeading"/>
      <w:lvlText w:val="o"/>
      <w:lvlJc w:val="left"/>
      <w:pPr>
        <w:tabs>
          <w:tab w:val="num" w:pos="1440"/>
        </w:tabs>
        <w:ind w:left="1440" w:hanging="360"/>
      </w:pPr>
      <w:rPr>
        <w:rFonts w:ascii="Courier New" w:hAnsi="Courier New" w:hint="default"/>
        <w:sz w:val="20"/>
      </w:rPr>
    </w:lvl>
    <w:lvl w:ilvl="2" w:tentative="1">
      <w:start w:val="1"/>
      <w:numFmt w:val="bullet"/>
      <w:pStyle w:val="DivisionHeading"/>
      <w:lvlText w:val=""/>
      <w:lvlJc w:val="left"/>
      <w:pPr>
        <w:tabs>
          <w:tab w:val="num" w:pos="2160"/>
        </w:tabs>
        <w:ind w:left="2160" w:hanging="360"/>
      </w:pPr>
      <w:rPr>
        <w:rFonts w:ascii="Wingdings" w:hAnsi="Wingdings" w:hint="default"/>
        <w:sz w:val="20"/>
      </w:rPr>
    </w:lvl>
    <w:lvl w:ilvl="3" w:tentative="1">
      <w:start w:val="1"/>
      <w:numFmt w:val="bullet"/>
      <w:pStyle w:val="SubdivisionHeading"/>
      <w:lvlText w:val=""/>
      <w:lvlJc w:val="left"/>
      <w:pPr>
        <w:tabs>
          <w:tab w:val="num" w:pos="2880"/>
        </w:tabs>
        <w:ind w:left="2880" w:hanging="360"/>
      </w:pPr>
      <w:rPr>
        <w:rFonts w:ascii="Wingdings" w:hAnsi="Wingdings" w:hint="default"/>
        <w:sz w:val="20"/>
      </w:rPr>
    </w:lvl>
    <w:lvl w:ilvl="4">
      <w:start w:val="1"/>
      <w:numFmt w:val="bullet"/>
      <w:pStyle w:val="SectionHeading"/>
      <w:lvlText w:val=""/>
      <w:lvlJc w:val="left"/>
      <w:pPr>
        <w:tabs>
          <w:tab w:val="num" w:pos="3600"/>
        </w:tabs>
        <w:ind w:left="3600" w:hanging="360"/>
      </w:pPr>
      <w:rPr>
        <w:rFonts w:ascii="Wingdings" w:hAnsi="Wingdings" w:hint="default"/>
        <w:sz w:val="20"/>
      </w:rPr>
    </w:lvl>
    <w:lvl w:ilvl="5">
      <w:start w:val="1"/>
      <w:numFmt w:val="bullet"/>
      <w:pStyle w:val="SubSectionText"/>
      <w:lvlText w:val=""/>
      <w:lvlJc w:val="left"/>
      <w:pPr>
        <w:tabs>
          <w:tab w:val="num" w:pos="4320"/>
        </w:tabs>
        <w:ind w:left="4320" w:hanging="360"/>
      </w:pPr>
      <w:rPr>
        <w:rFonts w:ascii="Wingdings" w:hAnsi="Wingdings" w:hint="default"/>
        <w:sz w:val="20"/>
      </w:rPr>
    </w:lvl>
    <w:lvl w:ilvl="6" w:tentative="1">
      <w:start w:val="1"/>
      <w:numFmt w:val="bullet"/>
      <w:pStyle w:val="ParagraphText"/>
      <w:lvlText w:val=""/>
      <w:lvlJc w:val="left"/>
      <w:pPr>
        <w:tabs>
          <w:tab w:val="num" w:pos="5040"/>
        </w:tabs>
        <w:ind w:left="5040" w:hanging="360"/>
      </w:pPr>
      <w:rPr>
        <w:rFonts w:ascii="Wingdings" w:hAnsi="Wingdings" w:hint="default"/>
        <w:sz w:val="20"/>
      </w:rPr>
    </w:lvl>
    <w:lvl w:ilvl="7" w:tentative="1">
      <w:start w:val="1"/>
      <w:numFmt w:val="bullet"/>
      <w:pStyle w:val="SubParagraphTex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B43277"/>
    <w:multiLevelType w:val="hybridMultilevel"/>
    <w:tmpl w:val="7946FE74"/>
    <w:lvl w:ilvl="0" w:tplc="2C7AACB6">
      <w:start w:val="1"/>
      <w:numFmt w:val="bullet"/>
      <w:lvlText w:val=""/>
      <w:lvlJc w:val="left"/>
      <w:pPr>
        <w:ind w:left="720" w:hanging="360"/>
      </w:pPr>
      <w:rPr>
        <w:rFonts w:ascii="Symbol" w:hAnsi="Symbol" w:hint="default"/>
      </w:rPr>
    </w:lvl>
    <w:lvl w:ilvl="1" w:tplc="4F76E802">
      <w:start w:val="1"/>
      <w:numFmt w:val="bullet"/>
      <w:lvlText w:val="o"/>
      <w:lvlJc w:val="left"/>
      <w:pPr>
        <w:ind w:left="1440" w:hanging="360"/>
      </w:pPr>
      <w:rPr>
        <w:rFonts w:ascii="Courier New" w:hAnsi="Courier New" w:cs="Courier New" w:hint="default"/>
      </w:rPr>
    </w:lvl>
    <w:lvl w:ilvl="2" w:tplc="342022E0" w:tentative="1">
      <w:start w:val="1"/>
      <w:numFmt w:val="bullet"/>
      <w:lvlText w:val=""/>
      <w:lvlJc w:val="left"/>
      <w:pPr>
        <w:ind w:left="2160" w:hanging="360"/>
      </w:pPr>
      <w:rPr>
        <w:rFonts w:ascii="Wingdings" w:hAnsi="Wingdings" w:hint="default"/>
      </w:rPr>
    </w:lvl>
    <w:lvl w:ilvl="3" w:tplc="5CC0ADF8" w:tentative="1">
      <w:start w:val="1"/>
      <w:numFmt w:val="bullet"/>
      <w:lvlText w:val=""/>
      <w:lvlJc w:val="left"/>
      <w:pPr>
        <w:ind w:left="2880" w:hanging="360"/>
      </w:pPr>
      <w:rPr>
        <w:rFonts w:ascii="Symbol" w:hAnsi="Symbol" w:hint="default"/>
      </w:rPr>
    </w:lvl>
    <w:lvl w:ilvl="4" w:tplc="AEE0431A" w:tentative="1">
      <w:start w:val="1"/>
      <w:numFmt w:val="bullet"/>
      <w:lvlText w:val="o"/>
      <w:lvlJc w:val="left"/>
      <w:pPr>
        <w:ind w:left="3600" w:hanging="360"/>
      </w:pPr>
      <w:rPr>
        <w:rFonts w:ascii="Courier New" w:hAnsi="Courier New" w:cs="Courier New" w:hint="default"/>
      </w:rPr>
    </w:lvl>
    <w:lvl w:ilvl="5" w:tplc="AC663404" w:tentative="1">
      <w:start w:val="1"/>
      <w:numFmt w:val="bullet"/>
      <w:lvlText w:val=""/>
      <w:lvlJc w:val="left"/>
      <w:pPr>
        <w:ind w:left="4320" w:hanging="360"/>
      </w:pPr>
      <w:rPr>
        <w:rFonts w:ascii="Wingdings" w:hAnsi="Wingdings" w:hint="default"/>
      </w:rPr>
    </w:lvl>
    <w:lvl w:ilvl="6" w:tplc="D71A97EA" w:tentative="1">
      <w:start w:val="1"/>
      <w:numFmt w:val="bullet"/>
      <w:lvlText w:val=""/>
      <w:lvlJc w:val="left"/>
      <w:pPr>
        <w:ind w:left="5040" w:hanging="360"/>
      </w:pPr>
      <w:rPr>
        <w:rFonts w:ascii="Symbol" w:hAnsi="Symbol" w:hint="default"/>
      </w:rPr>
    </w:lvl>
    <w:lvl w:ilvl="7" w:tplc="70445248" w:tentative="1">
      <w:start w:val="1"/>
      <w:numFmt w:val="bullet"/>
      <w:lvlText w:val="o"/>
      <w:lvlJc w:val="left"/>
      <w:pPr>
        <w:ind w:left="5760" w:hanging="360"/>
      </w:pPr>
      <w:rPr>
        <w:rFonts w:ascii="Courier New" w:hAnsi="Courier New" w:cs="Courier New" w:hint="default"/>
      </w:rPr>
    </w:lvl>
    <w:lvl w:ilvl="8" w:tplc="10AA8B7E" w:tentative="1">
      <w:start w:val="1"/>
      <w:numFmt w:val="bullet"/>
      <w:lvlText w:val=""/>
      <w:lvlJc w:val="left"/>
      <w:pPr>
        <w:ind w:left="6480" w:hanging="360"/>
      </w:pPr>
      <w:rPr>
        <w:rFonts w:ascii="Wingdings" w:hAnsi="Wingdings" w:hint="default"/>
      </w:rPr>
    </w:lvl>
  </w:abstractNum>
  <w:abstractNum w:abstractNumId="12">
    <w:nsid w:val="27CF6C5E"/>
    <w:multiLevelType w:val="hybridMultilevel"/>
    <w:tmpl w:val="AD2AA8BE"/>
    <w:lvl w:ilvl="0" w:tplc="0C090001">
      <w:start w:val="1"/>
      <w:numFmt w:val="bullet"/>
      <w:lvlText w:val=""/>
      <w:lvlJc w:val="left"/>
      <w:pPr>
        <w:ind w:left="1081" w:hanging="360"/>
      </w:pPr>
      <w:rPr>
        <w:rFonts w:ascii="Symbol" w:hAnsi="Symbol" w:hint="default"/>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13">
    <w:nsid w:val="2BA05C21"/>
    <w:multiLevelType w:val="hybridMultilevel"/>
    <w:tmpl w:val="1332AEF0"/>
    <w:lvl w:ilvl="0" w:tplc="05C0D736">
      <w:start w:val="1"/>
      <w:numFmt w:val="bullet"/>
      <w:lvlText w:val=""/>
      <w:lvlJc w:val="left"/>
      <w:pPr>
        <w:ind w:left="720" w:hanging="360"/>
      </w:pPr>
      <w:rPr>
        <w:rFonts w:ascii="Symbol" w:hAnsi="Symbol" w:hint="default"/>
      </w:rPr>
    </w:lvl>
    <w:lvl w:ilvl="1" w:tplc="E528C6F6">
      <w:start w:val="1"/>
      <w:numFmt w:val="bullet"/>
      <w:lvlText w:val="o"/>
      <w:lvlJc w:val="left"/>
      <w:pPr>
        <w:ind w:left="1440" w:hanging="360"/>
      </w:pPr>
      <w:rPr>
        <w:rFonts w:ascii="Courier New" w:hAnsi="Courier New" w:cs="Courier New" w:hint="default"/>
      </w:rPr>
    </w:lvl>
    <w:lvl w:ilvl="2" w:tplc="569C0E2C" w:tentative="1">
      <w:start w:val="1"/>
      <w:numFmt w:val="bullet"/>
      <w:lvlText w:val=""/>
      <w:lvlJc w:val="left"/>
      <w:pPr>
        <w:ind w:left="2160" w:hanging="360"/>
      </w:pPr>
      <w:rPr>
        <w:rFonts w:ascii="Wingdings" w:hAnsi="Wingdings" w:hint="default"/>
      </w:rPr>
    </w:lvl>
    <w:lvl w:ilvl="3" w:tplc="04AA5338" w:tentative="1">
      <w:start w:val="1"/>
      <w:numFmt w:val="bullet"/>
      <w:lvlText w:val=""/>
      <w:lvlJc w:val="left"/>
      <w:pPr>
        <w:ind w:left="2880" w:hanging="360"/>
      </w:pPr>
      <w:rPr>
        <w:rFonts w:ascii="Symbol" w:hAnsi="Symbol" w:hint="default"/>
      </w:rPr>
    </w:lvl>
    <w:lvl w:ilvl="4" w:tplc="06426B14" w:tentative="1">
      <w:start w:val="1"/>
      <w:numFmt w:val="bullet"/>
      <w:lvlText w:val="o"/>
      <w:lvlJc w:val="left"/>
      <w:pPr>
        <w:ind w:left="3600" w:hanging="360"/>
      </w:pPr>
      <w:rPr>
        <w:rFonts w:ascii="Courier New" w:hAnsi="Courier New" w:cs="Courier New" w:hint="default"/>
      </w:rPr>
    </w:lvl>
    <w:lvl w:ilvl="5" w:tplc="55783466" w:tentative="1">
      <w:start w:val="1"/>
      <w:numFmt w:val="bullet"/>
      <w:lvlText w:val=""/>
      <w:lvlJc w:val="left"/>
      <w:pPr>
        <w:ind w:left="4320" w:hanging="360"/>
      </w:pPr>
      <w:rPr>
        <w:rFonts w:ascii="Wingdings" w:hAnsi="Wingdings" w:hint="default"/>
      </w:rPr>
    </w:lvl>
    <w:lvl w:ilvl="6" w:tplc="913ACE4A" w:tentative="1">
      <w:start w:val="1"/>
      <w:numFmt w:val="bullet"/>
      <w:lvlText w:val=""/>
      <w:lvlJc w:val="left"/>
      <w:pPr>
        <w:ind w:left="5040" w:hanging="360"/>
      </w:pPr>
      <w:rPr>
        <w:rFonts w:ascii="Symbol" w:hAnsi="Symbol" w:hint="default"/>
      </w:rPr>
    </w:lvl>
    <w:lvl w:ilvl="7" w:tplc="8B64216E" w:tentative="1">
      <w:start w:val="1"/>
      <w:numFmt w:val="bullet"/>
      <w:lvlText w:val="o"/>
      <w:lvlJc w:val="left"/>
      <w:pPr>
        <w:ind w:left="5760" w:hanging="360"/>
      </w:pPr>
      <w:rPr>
        <w:rFonts w:ascii="Courier New" w:hAnsi="Courier New" w:cs="Courier New" w:hint="default"/>
      </w:rPr>
    </w:lvl>
    <w:lvl w:ilvl="8" w:tplc="F37A51CE" w:tentative="1">
      <w:start w:val="1"/>
      <w:numFmt w:val="bullet"/>
      <w:lvlText w:val=""/>
      <w:lvlJc w:val="left"/>
      <w:pPr>
        <w:ind w:left="6480" w:hanging="360"/>
      </w:pPr>
      <w:rPr>
        <w:rFonts w:ascii="Wingdings" w:hAnsi="Wingdings" w:hint="default"/>
      </w:rPr>
    </w:lvl>
  </w:abstractNum>
  <w:abstractNum w:abstractNumId="14">
    <w:nsid w:val="2C725944"/>
    <w:multiLevelType w:val="hybridMultilevel"/>
    <w:tmpl w:val="9D5A2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C46EEE"/>
    <w:multiLevelType w:val="hybridMultilevel"/>
    <w:tmpl w:val="6F686FF2"/>
    <w:lvl w:ilvl="0" w:tplc="B40A65C8">
      <w:start w:val="1"/>
      <w:numFmt w:val="decimal"/>
      <w:lvlText w:val="%1."/>
      <w:lvlJc w:val="left"/>
      <w:pPr>
        <w:ind w:left="720" w:hanging="360"/>
      </w:pPr>
      <w:rPr>
        <w:rFonts w:hint="default"/>
      </w:rPr>
    </w:lvl>
    <w:lvl w:ilvl="1" w:tplc="07DCDF2C" w:tentative="1">
      <w:start w:val="1"/>
      <w:numFmt w:val="lowerLetter"/>
      <w:lvlText w:val="%2."/>
      <w:lvlJc w:val="left"/>
      <w:pPr>
        <w:ind w:left="1440" w:hanging="360"/>
      </w:pPr>
    </w:lvl>
    <w:lvl w:ilvl="2" w:tplc="1B8E61FA" w:tentative="1">
      <w:start w:val="1"/>
      <w:numFmt w:val="lowerRoman"/>
      <w:lvlText w:val="%3."/>
      <w:lvlJc w:val="right"/>
      <w:pPr>
        <w:ind w:left="2160" w:hanging="180"/>
      </w:pPr>
    </w:lvl>
    <w:lvl w:ilvl="3" w:tplc="0C3483B0" w:tentative="1">
      <w:start w:val="1"/>
      <w:numFmt w:val="decimal"/>
      <w:lvlText w:val="%4."/>
      <w:lvlJc w:val="left"/>
      <w:pPr>
        <w:ind w:left="2880" w:hanging="360"/>
      </w:pPr>
    </w:lvl>
    <w:lvl w:ilvl="4" w:tplc="62BA136C" w:tentative="1">
      <w:start w:val="1"/>
      <w:numFmt w:val="lowerLetter"/>
      <w:lvlText w:val="%5."/>
      <w:lvlJc w:val="left"/>
      <w:pPr>
        <w:ind w:left="3600" w:hanging="360"/>
      </w:pPr>
    </w:lvl>
    <w:lvl w:ilvl="5" w:tplc="82580AAE" w:tentative="1">
      <w:start w:val="1"/>
      <w:numFmt w:val="lowerRoman"/>
      <w:lvlText w:val="%6."/>
      <w:lvlJc w:val="right"/>
      <w:pPr>
        <w:ind w:left="4320" w:hanging="180"/>
      </w:pPr>
    </w:lvl>
    <w:lvl w:ilvl="6" w:tplc="144644F6" w:tentative="1">
      <w:start w:val="1"/>
      <w:numFmt w:val="decimal"/>
      <w:lvlText w:val="%7."/>
      <w:lvlJc w:val="left"/>
      <w:pPr>
        <w:ind w:left="5040" w:hanging="360"/>
      </w:pPr>
    </w:lvl>
    <w:lvl w:ilvl="7" w:tplc="E2824B0E" w:tentative="1">
      <w:start w:val="1"/>
      <w:numFmt w:val="lowerLetter"/>
      <w:lvlText w:val="%8."/>
      <w:lvlJc w:val="left"/>
      <w:pPr>
        <w:ind w:left="5760" w:hanging="360"/>
      </w:pPr>
    </w:lvl>
    <w:lvl w:ilvl="8" w:tplc="C37CE4A2" w:tentative="1">
      <w:start w:val="1"/>
      <w:numFmt w:val="lowerRoman"/>
      <w:lvlText w:val="%9."/>
      <w:lvlJc w:val="right"/>
      <w:pPr>
        <w:ind w:left="6480" w:hanging="180"/>
      </w:pPr>
    </w:lvl>
  </w:abstractNum>
  <w:abstractNum w:abstractNumId="16">
    <w:nsid w:val="2F3534CF"/>
    <w:multiLevelType w:val="multilevel"/>
    <w:tmpl w:val="17E03F5A"/>
    <w:lvl w:ilvl="0">
      <w:start w:val="1"/>
      <w:numFmt w:val="lowerLetter"/>
      <w:pStyle w:val="NumberedLista"/>
      <w:lvlText w:val="%1)"/>
      <w:lvlJc w:val="left"/>
      <w:pPr>
        <w:tabs>
          <w:tab w:val="num" w:pos="850"/>
        </w:tabs>
        <w:ind w:left="850" w:hanging="425"/>
      </w:pPr>
    </w:lvl>
    <w:lvl w:ilvl="1">
      <w:start w:val="1"/>
      <w:numFmt w:val="lowerLetter"/>
      <w:pStyle w:val="NumberedLista1"/>
      <w:lvlText w:val="%2)"/>
      <w:lvlJc w:val="left"/>
      <w:pPr>
        <w:tabs>
          <w:tab w:val="num" w:pos="850"/>
        </w:tabs>
        <w:ind w:left="850" w:hanging="425"/>
      </w:pPr>
    </w:lvl>
    <w:lvl w:ilvl="2">
      <w:start w:val="1"/>
      <w:numFmt w:val="lowerLetter"/>
      <w:pStyle w:val="NumberedLista2"/>
      <w:lvlText w:val="%3)"/>
      <w:lvlJc w:val="left"/>
      <w:pPr>
        <w:tabs>
          <w:tab w:val="num" w:pos="1276"/>
        </w:tabs>
        <w:ind w:left="1276" w:hanging="426"/>
      </w:pPr>
    </w:lvl>
    <w:lvl w:ilvl="3">
      <w:start w:val="1"/>
      <w:numFmt w:val="lowerLetter"/>
      <w:pStyle w:val="NumberedLista3"/>
      <w:lvlText w:val="%4)"/>
      <w:lvlJc w:val="left"/>
      <w:pPr>
        <w:tabs>
          <w:tab w:val="num" w:pos="1701"/>
        </w:tabs>
        <w:ind w:left="1701" w:hanging="425"/>
      </w:pPr>
    </w:lvl>
    <w:lvl w:ilvl="4">
      <w:start w:val="1"/>
      <w:numFmt w:val="lowerLetter"/>
      <w:pStyle w:val="NumberedLista4"/>
      <w:lvlText w:val="%5)"/>
      <w:lvlJc w:val="left"/>
      <w:pPr>
        <w:tabs>
          <w:tab w:val="num" w:pos="2126"/>
        </w:tabs>
        <w:ind w:left="2126" w:hanging="425"/>
      </w:pPr>
    </w:lvl>
    <w:lvl w:ilvl="5">
      <w:start w:val="1"/>
      <w:numFmt w:val="lowerLetter"/>
      <w:pStyle w:val="NumberedLista5"/>
      <w:lvlText w:val="%6)"/>
      <w:lvlJc w:val="left"/>
      <w:pPr>
        <w:tabs>
          <w:tab w:val="num" w:pos="2551"/>
        </w:tabs>
        <w:ind w:left="2551" w:hanging="425"/>
      </w:pPr>
    </w:lvl>
    <w:lvl w:ilvl="6">
      <w:start w:val="1"/>
      <w:numFmt w:val="lowerLetter"/>
      <w:pStyle w:val="NumberedLista6"/>
      <w:lvlText w:val="%7)"/>
      <w:lvlJc w:val="left"/>
      <w:pPr>
        <w:tabs>
          <w:tab w:val="num" w:pos="2976"/>
        </w:tabs>
        <w:ind w:left="2976" w:hanging="425"/>
      </w:pPr>
    </w:lvl>
    <w:lvl w:ilvl="7">
      <w:start w:val="1"/>
      <w:numFmt w:val="lowerLetter"/>
      <w:pStyle w:val="NumberedLista7"/>
      <w:lvlText w:val="%8)"/>
      <w:lvlJc w:val="left"/>
      <w:pPr>
        <w:tabs>
          <w:tab w:val="num" w:pos="3402"/>
        </w:tabs>
        <w:ind w:left="3402" w:hanging="426"/>
      </w:pPr>
    </w:lvl>
    <w:lvl w:ilvl="8">
      <w:start w:val="1"/>
      <w:numFmt w:val="lowerLetter"/>
      <w:pStyle w:val="NumberedLista8"/>
      <w:lvlText w:val="%9)"/>
      <w:lvlJc w:val="left"/>
      <w:pPr>
        <w:tabs>
          <w:tab w:val="num" w:pos="3827"/>
        </w:tabs>
        <w:ind w:left="3827" w:hanging="425"/>
      </w:pPr>
    </w:lvl>
  </w:abstractNum>
  <w:abstractNum w:abstractNumId="17">
    <w:nsid w:val="379B78D3"/>
    <w:multiLevelType w:val="hybridMultilevel"/>
    <w:tmpl w:val="153E5764"/>
    <w:lvl w:ilvl="0" w:tplc="0C09000F">
      <w:start w:val="1"/>
      <w:numFmt w:val="decimal"/>
      <w:lvlText w:val="%1."/>
      <w:lvlJc w:val="left"/>
      <w:pPr>
        <w:ind w:left="1125" w:hanging="360"/>
      </w:pPr>
      <w:rPr>
        <w:rFonts w:hint="default"/>
      </w:rPr>
    </w:lvl>
    <w:lvl w:ilvl="1" w:tplc="0C090019">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18">
    <w:nsid w:val="4255018A"/>
    <w:multiLevelType w:val="hybridMultilevel"/>
    <w:tmpl w:val="5AFE4CFC"/>
    <w:lvl w:ilvl="0" w:tplc="A04028AC">
      <w:start w:val="1"/>
      <w:numFmt w:val="bullet"/>
      <w:lvlText w:val=""/>
      <w:lvlJc w:val="left"/>
      <w:pPr>
        <w:ind w:left="1037" w:hanging="360"/>
      </w:pPr>
      <w:rPr>
        <w:rFonts w:ascii="Symbol" w:hAnsi="Symbol" w:hint="default"/>
      </w:rPr>
    </w:lvl>
    <w:lvl w:ilvl="1" w:tplc="C1708FBE" w:tentative="1">
      <w:start w:val="1"/>
      <w:numFmt w:val="bullet"/>
      <w:lvlText w:val="o"/>
      <w:lvlJc w:val="left"/>
      <w:pPr>
        <w:ind w:left="1757" w:hanging="360"/>
      </w:pPr>
      <w:rPr>
        <w:rFonts w:ascii="Courier New" w:hAnsi="Courier New" w:hint="default"/>
      </w:rPr>
    </w:lvl>
    <w:lvl w:ilvl="2" w:tplc="D04C6B0C" w:tentative="1">
      <w:start w:val="1"/>
      <w:numFmt w:val="bullet"/>
      <w:lvlText w:val=""/>
      <w:lvlJc w:val="left"/>
      <w:pPr>
        <w:ind w:left="2477" w:hanging="360"/>
      </w:pPr>
      <w:rPr>
        <w:rFonts w:ascii="Wingdings" w:hAnsi="Wingdings" w:hint="default"/>
      </w:rPr>
    </w:lvl>
    <w:lvl w:ilvl="3" w:tplc="123CD25C" w:tentative="1">
      <w:start w:val="1"/>
      <w:numFmt w:val="bullet"/>
      <w:lvlText w:val=""/>
      <w:lvlJc w:val="left"/>
      <w:pPr>
        <w:ind w:left="3197" w:hanging="360"/>
      </w:pPr>
      <w:rPr>
        <w:rFonts w:ascii="Symbol" w:hAnsi="Symbol" w:hint="default"/>
      </w:rPr>
    </w:lvl>
    <w:lvl w:ilvl="4" w:tplc="C73CEA88" w:tentative="1">
      <w:start w:val="1"/>
      <w:numFmt w:val="bullet"/>
      <w:lvlText w:val="o"/>
      <w:lvlJc w:val="left"/>
      <w:pPr>
        <w:ind w:left="3917" w:hanging="360"/>
      </w:pPr>
      <w:rPr>
        <w:rFonts w:ascii="Courier New" w:hAnsi="Courier New" w:hint="default"/>
      </w:rPr>
    </w:lvl>
    <w:lvl w:ilvl="5" w:tplc="25962EF6" w:tentative="1">
      <w:start w:val="1"/>
      <w:numFmt w:val="bullet"/>
      <w:lvlText w:val=""/>
      <w:lvlJc w:val="left"/>
      <w:pPr>
        <w:ind w:left="4637" w:hanging="360"/>
      </w:pPr>
      <w:rPr>
        <w:rFonts w:ascii="Wingdings" w:hAnsi="Wingdings" w:hint="default"/>
      </w:rPr>
    </w:lvl>
    <w:lvl w:ilvl="6" w:tplc="F6CE05D8" w:tentative="1">
      <w:start w:val="1"/>
      <w:numFmt w:val="bullet"/>
      <w:lvlText w:val=""/>
      <w:lvlJc w:val="left"/>
      <w:pPr>
        <w:ind w:left="5357" w:hanging="360"/>
      </w:pPr>
      <w:rPr>
        <w:rFonts w:ascii="Symbol" w:hAnsi="Symbol" w:hint="default"/>
      </w:rPr>
    </w:lvl>
    <w:lvl w:ilvl="7" w:tplc="8A9058F6" w:tentative="1">
      <w:start w:val="1"/>
      <w:numFmt w:val="bullet"/>
      <w:lvlText w:val="o"/>
      <w:lvlJc w:val="left"/>
      <w:pPr>
        <w:ind w:left="6077" w:hanging="360"/>
      </w:pPr>
      <w:rPr>
        <w:rFonts w:ascii="Courier New" w:hAnsi="Courier New" w:hint="default"/>
      </w:rPr>
    </w:lvl>
    <w:lvl w:ilvl="8" w:tplc="71BEF958" w:tentative="1">
      <w:start w:val="1"/>
      <w:numFmt w:val="bullet"/>
      <w:lvlText w:val=""/>
      <w:lvlJc w:val="left"/>
      <w:pPr>
        <w:ind w:left="6797" w:hanging="360"/>
      </w:pPr>
      <w:rPr>
        <w:rFonts w:ascii="Wingdings" w:hAnsi="Wingdings" w:hint="default"/>
      </w:rPr>
    </w:lvl>
  </w:abstractNum>
  <w:abstractNum w:abstractNumId="19">
    <w:nsid w:val="42A86151"/>
    <w:multiLevelType w:val="hybridMultilevel"/>
    <w:tmpl w:val="3744A466"/>
    <w:lvl w:ilvl="0" w:tplc="0C090001">
      <w:start w:val="1"/>
      <w:numFmt w:val="bullet"/>
      <w:lvlText w:val=""/>
      <w:lvlJc w:val="left"/>
      <w:pPr>
        <w:ind w:left="720" w:hanging="360"/>
      </w:pPr>
      <w:rPr>
        <w:rFonts w:ascii="Symbol" w:hAnsi="Symbol" w:hint="default"/>
        <w:sz w:val="17"/>
        <w:szCs w:val="17"/>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1640B9"/>
    <w:multiLevelType w:val="hybridMultilevel"/>
    <w:tmpl w:val="6F686FF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4D963A39"/>
    <w:multiLevelType w:val="hybridMultilevel"/>
    <w:tmpl w:val="9F5ADBFC"/>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22">
    <w:nsid w:val="51986EEE"/>
    <w:multiLevelType w:val="hybridMultilevel"/>
    <w:tmpl w:val="3B90763E"/>
    <w:lvl w:ilvl="0" w:tplc="BD4C8F8A">
      <w:start w:val="2"/>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nsid w:val="56FE1A32"/>
    <w:multiLevelType w:val="hybridMultilevel"/>
    <w:tmpl w:val="47BC599C"/>
    <w:lvl w:ilvl="0" w:tplc="5A887B9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nsid w:val="57967060"/>
    <w:multiLevelType w:val="hybridMultilevel"/>
    <w:tmpl w:val="FDD6A738"/>
    <w:lvl w:ilvl="0" w:tplc="04090001">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125551"/>
    <w:multiLevelType w:val="multilevel"/>
    <w:tmpl w:val="5F72F960"/>
    <w:lvl w:ilvl="0">
      <w:start w:val="1"/>
      <w:numFmt w:val="decimal"/>
      <w:lvlText w:val="%1. "/>
      <w:lvlJc w:val="left"/>
      <w:pPr>
        <w:tabs>
          <w:tab w:val="num" w:pos="0"/>
        </w:tabs>
      </w:pPr>
      <w:rPr>
        <w:rFonts w:cs="Times New Roman" w:hint="default"/>
      </w:rPr>
    </w:lvl>
    <w:lvl w:ilvl="1">
      <w:start w:val="1"/>
      <w:numFmt w:val="decimal"/>
      <w:pStyle w:val="Style1"/>
      <w:lvlText w:val="%1.%2 "/>
      <w:lvlJc w:val="left"/>
      <w:pPr>
        <w:tabs>
          <w:tab w:val="num" w:pos="0"/>
        </w:tabs>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5CA61F4B"/>
    <w:multiLevelType w:val="singleLevel"/>
    <w:tmpl w:val="00B46D04"/>
    <w:lvl w:ilvl="0">
      <w:start w:val="1"/>
      <w:numFmt w:val="bullet"/>
      <w:pStyle w:val="QTBDot"/>
      <w:lvlText w:val=""/>
      <w:lvlJc w:val="left"/>
      <w:pPr>
        <w:tabs>
          <w:tab w:val="num" w:pos="567"/>
        </w:tabs>
        <w:ind w:left="567" w:hanging="567"/>
      </w:pPr>
      <w:rPr>
        <w:rFonts w:ascii="Symbol" w:hAnsi="Symbol" w:hint="default"/>
        <w:sz w:val="16"/>
      </w:rPr>
    </w:lvl>
  </w:abstractNum>
  <w:abstractNum w:abstractNumId="27">
    <w:nsid w:val="5D362F14"/>
    <w:multiLevelType w:val="multilevel"/>
    <w:tmpl w:val="9C5E515E"/>
    <w:lvl w:ilvl="0">
      <w:start w:val="1"/>
      <w:numFmt w:val="decimal"/>
      <w:lvlText w:val="%1. "/>
      <w:lvlJc w:val="left"/>
      <w:pPr>
        <w:tabs>
          <w:tab w:val="num" w:pos="0"/>
        </w:tabs>
      </w:pPr>
      <w:rPr>
        <w:rFonts w:cs="Times New Roman" w:hint="default"/>
      </w:rPr>
    </w:lvl>
    <w:lvl w:ilvl="1">
      <w:start w:val="1"/>
      <w:numFmt w:val="decimal"/>
      <w:pStyle w:val="StyleHeading2Auto"/>
      <w:lvlText w:val="%1.%2 "/>
      <w:lvlJc w:val="left"/>
      <w:pPr>
        <w:tabs>
          <w:tab w:val="num" w:pos="0"/>
        </w:tabs>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5F964FF3"/>
    <w:multiLevelType w:val="hybridMultilevel"/>
    <w:tmpl w:val="DDB06950"/>
    <w:lvl w:ilvl="0" w:tplc="7C3CA552">
      <w:start w:val="1"/>
      <w:numFmt w:val="bullet"/>
      <w:lvlText w:val=""/>
      <w:lvlJc w:val="left"/>
      <w:pPr>
        <w:ind w:left="720" w:hanging="360"/>
      </w:pPr>
      <w:rPr>
        <w:rFonts w:ascii="Symbol" w:hAnsi="Symbol" w:hint="default"/>
        <w:sz w:val="17"/>
        <w:szCs w:val="17"/>
      </w:rPr>
    </w:lvl>
    <w:lvl w:ilvl="1" w:tplc="A2B6BF62" w:tentative="1">
      <w:start w:val="1"/>
      <w:numFmt w:val="bullet"/>
      <w:lvlText w:val="o"/>
      <w:lvlJc w:val="left"/>
      <w:pPr>
        <w:ind w:left="1440" w:hanging="360"/>
      </w:pPr>
      <w:rPr>
        <w:rFonts w:ascii="Courier New" w:hAnsi="Courier New" w:hint="default"/>
      </w:rPr>
    </w:lvl>
    <w:lvl w:ilvl="2" w:tplc="9194521C" w:tentative="1">
      <w:start w:val="1"/>
      <w:numFmt w:val="bullet"/>
      <w:lvlText w:val=""/>
      <w:lvlJc w:val="left"/>
      <w:pPr>
        <w:ind w:left="2160" w:hanging="360"/>
      </w:pPr>
      <w:rPr>
        <w:rFonts w:ascii="Wingdings" w:hAnsi="Wingdings" w:hint="default"/>
      </w:rPr>
    </w:lvl>
    <w:lvl w:ilvl="3" w:tplc="8D3E089C" w:tentative="1">
      <w:start w:val="1"/>
      <w:numFmt w:val="bullet"/>
      <w:lvlText w:val=""/>
      <w:lvlJc w:val="left"/>
      <w:pPr>
        <w:ind w:left="2880" w:hanging="360"/>
      </w:pPr>
      <w:rPr>
        <w:rFonts w:ascii="Symbol" w:hAnsi="Symbol" w:hint="default"/>
      </w:rPr>
    </w:lvl>
    <w:lvl w:ilvl="4" w:tplc="8FC4F512" w:tentative="1">
      <w:start w:val="1"/>
      <w:numFmt w:val="bullet"/>
      <w:lvlText w:val="o"/>
      <w:lvlJc w:val="left"/>
      <w:pPr>
        <w:ind w:left="3600" w:hanging="360"/>
      </w:pPr>
      <w:rPr>
        <w:rFonts w:ascii="Courier New" w:hAnsi="Courier New" w:hint="default"/>
      </w:rPr>
    </w:lvl>
    <w:lvl w:ilvl="5" w:tplc="6FFC9BF6" w:tentative="1">
      <w:start w:val="1"/>
      <w:numFmt w:val="bullet"/>
      <w:lvlText w:val=""/>
      <w:lvlJc w:val="left"/>
      <w:pPr>
        <w:ind w:left="4320" w:hanging="360"/>
      </w:pPr>
      <w:rPr>
        <w:rFonts w:ascii="Wingdings" w:hAnsi="Wingdings" w:hint="default"/>
      </w:rPr>
    </w:lvl>
    <w:lvl w:ilvl="6" w:tplc="AE463E28" w:tentative="1">
      <w:start w:val="1"/>
      <w:numFmt w:val="bullet"/>
      <w:lvlText w:val=""/>
      <w:lvlJc w:val="left"/>
      <w:pPr>
        <w:ind w:left="5040" w:hanging="360"/>
      </w:pPr>
      <w:rPr>
        <w:rFonts w:ascii="Symbol" w:hAnsi="Symbol" w:hint="default"/>
      </w:rPr>
    </w:lvl>
    <w:lvl w:ilvl="7" w:tplc="E11C7336" w:tentative="1">
      <w:start w:val="1"/>
      <w:numFmt w:val="bullet"/>
      <w:lvlText w:val="o"/>
      <w:lvlJc w:val="left"/>
      <w:pPr>
        <w:ind w:left="5760" w:hanging="360"/>
      </w:pPr>
      <w:rPr>
        <w:rFonts w:ascii="Courier New" w:hAnsi="Courier New" w:hint="default"/>
      </w:rPr>
    </w:lvl>
    <w:lvl w:ilvl="8" w:tplc="715C593A" w:tentative="1">
      <w:start w:val="1"/>
      <w:numFmt w:val="bullet"/>
      <w:lvlText w:val=""/>
      <w:lvlJc w:val="left"/>
      <w:pPr>
        <w:ind w:left="6480" w:hanging="360"/>
      </w:pPr>
      <w:rPr>
        <w:rFonts w:ascii="Wingdings" w:hAnsi="Wingdings" w:hint="default"/>
      </w:rPr>
    </w:lvl>
  </w:abstractNum>
  <w:abstractNum w:abstractNumId="29">
    <w:nsid w:val="621219F5"/>
    <w:multiLevelType w:val="hybridMultilevel"/>
    <w:tmpl w:val="0F4A0F9C"/>
    <w:lvl w:ilvl="0" w:tplc="8BAA9870">
      <w:start w:val="1"/>
      <w:numFmt w:val="bullet"/>
      <w:lvlText w:val=""/>
      <w:lvlJc w:val="left"/>
      <w:pPr>
        <w:ind w:left="720" w:hanging="360"/>
      </w:pPr>
      <w:rPr>
        <w:rFonts w:ascii="Symbol" w:hAnsi="Symbol" w:hint="default"/>
      </w:rPr>
    </w:lvl>
    <w:lvl w:ilvl="1" w:tplc="AF18C5FE" w:tentative="1">
      <w:start w:val="1"/>
      <w:numFmt w:val="bullet"/>
      <w:lvlText w:val="o"/>
      <w:lvlJc w:val="left"/>
      <w:pPr>
        <w:ind w:left="1440" w:hanging="360"/>
      </w:pPr>
      <w:rPr>
        <w:rFonts w:ascii="Courier New" w:hAnsi="Courier New" w:cs="Courier New" w:hint="default"/>
      </w:rPr>
    </w:lvl>
    <w:lvl w:ilvl="2" w:tplc="1B143488" w:tentative="1">
      <w:start w:val="1"/>
      <w:numFmt w:val="bullet"/>
      <w:lvlText w:val=""/>
      <w:lvlJc w:val="left"/>
      <w:pPr>
        <w:ind w:left="2160" w:hanging="360"/>
      </w:pPr>
      <w:rPr>
        <w:rFonts w:ascii="Wingdings" w:hAnsi="Wingdings" w:hint="default"/>
      </w:rPr>
    </w:lvl>
    <w:lvl w:ilvl="3" w:tplc="C2C46F18" w:tentative="1">
      <w:start w:val="1"/>
      <w:numFmt w:val="bullet"/>
      <w:lvlText w:val=""/>
      <w:lvlJc w:val="left"/>
      <w:pPr>
        <w:ind w:left="2880" w:hanging="360"/>
      </w:pPr>
      <w:rPr>
        <w:rFonts w:ascii="Symbol" w:hAnsi="Symbol" w:hint="default"/>
      </w:rPr>
    </w:lvl>
    <w:lvl w:ilvl="4" w:tplc="83FE150E" w:tentative="1">
      <w:start w:val="1"/>
      <w:numFmt w:val="bullet"/>
      <w:lvlText w:val="o"/>
      <w:lvlJc w:val="left"/>
      <w:pPr>
        <w:ind w:left="3600" w:hanging="360"/>
      </w:pPr>
      <w:rPr>
        <w:rFonts w:ascii="Courier New" w:hAnsi="Courier New" w:cs="Courier New" w:hint="default"/>
      </w:rPr>
    </w:lvl>
    <w:lvl w:ilvl="5" w:tplc="338E2594" w:tentative="1">
      <w:start w:val="1"/>
      <w:numFmt w:val="bullet"/>
      <w:lvlText w:val=""/>
      <w:lvlJc w:val="left"/>
      <w:pPr>
        <w:ind w:left="4320" w:hanging="360"/>
      </w:pPr>
      <w:rPr>
        <w:rFonts w:ascii="Wingdings" w:hAnsi="Wingdings" w:hint="default"/>
      </w:rPr>
    </w:lvl>
    <w:lvl w:ilvl="6" w:tplc="0DAA73F8" w:tentative="1">
      <w:start w:val="1"/>
      <w:numFmt w:val="bullet"/>
      <w:lvlText w:val=""/>
      <w:lvlJc w:val="left"/>
      <w:pPr>
        <w:ind w:left="5040" w:hanging="360"/>
      </w:pPr>
      <w:rPr>
        <w:rFonts w:ascii="Symbol" w:hAnsi="Symbol" w:hint="default"/>
      </w:rPr>
    </w:lvl>
    <w:lvl w:ilvl="7" w:tplc="873C924A" w:tentative="1">
      <w:start w:val="1"/>
      <w:numFmt w:val="bullet"/>
      <w:lvlText w:val="o"/>
      <w:lvlJc w:val="left"/>
      <w:pPr>
        <w:ind w:left="5760" w:hanging="360"/>
      </w:pPr>
      <w:rPr>
        <w:rFonts w:ascii="Courier New" w:hAnsi="Courier New" w:cs="Courier New" w:hint="default"/>
      </w:rPr>
    </w:lvl>
    <w:lvl w:ilvl="8" w:tplc="8CCCE794" w:tentative="1">
      <w:start w:val="1"/>
      <w:numFmt w:val="bullet"/>
      <w:lvlText w:val=""/>
      <w:lvlJc w:val="left"/>
      <w:pPr>
        <w:ind w:left="6480" w:hanging="360"/>
      </w:pPr>
      <w:rPr>
        <w:rFonts w:ascii="Wingdings" w:hAnsi="Wingdings" w:hint="default"/>
      </w:rPr>
    </w:lvl>
  </w:abstractNum>
  <w:abstractNum w:abstractNumId="30">
    <w:nsid w:val="63796B55"/>
    <w:multiLevelType w:val="hybridMultilevel"/>
    <w:tmpl w:val="B64E8208"/>
    <w:lvl w:ilvl="0" w:tplc="0C090001">
      <w:start w:val="1"/>
      <w:numFmt w:val="decimal"/>
      <w:lvlText w:val="%1."/>
      <w:lvlJc w:val="left"/>
      <w:pPr>
        <w:ind w:left="1074" w:hanging="360"/>
      </w:pPr>
      <w:rPr>
        <w:rFonts w:hint="default"/>
        <w:b w:val="0"/>
        <w:sz w:val="24"/>
        <w:szCs w:val="24"/>
      </w:rPr>
    </w:lvl>
    <w:lvl w:ilvl="1" w:tplc="0C090003" w:tentative="1">
      <w:start w:val="1"/>
      <w:numFmt w:val="lowerLetter"/>
      <w:lvlText w:val="%2."/>
      <w:lvlJc w:val="left"/>
      <w:pPr>
        <w:ind w:left="1794" w:hanging="360"/>
      </w:pPr>
    </w:lvl>
    <w:lvl w:ilvl="2" w:tplc="0C090005" w:tentative="1">
      <w:start w:val="1"/>
      <w:numFmt w:val="lowerRoman"/>
      <w:lvlText w:val="%3."/>
      <w:lvlJc w:val="right"/>
      <w:pPr>
        <w:ind w:left="2514" w:hanging="180"/>
      </w:pPr>
    </w:lvl>
    <w:lvl w:ilvl="3" w:tplc="0C090001" w:tentative="1">
      <w:start w:val="1"/>
      <w:numFmt w:val="decimal"/>
      <w:lvlText w:val="%4."/>
      <w:lvlJc w:val="left"/>
      <w:pPr>
        <w:ind w:left="3234" w:hanging="360"/>
      </w:pPr>
    </w:lvl>
    <w:lvl w:ilvl="4" w:tplc="0C090003" w:tentative="1">
      <w:start w:val="1"/>
      <w:numFmt w:val="lowerLetter"/>
      <w:lvlText w:val="%5."/>
      <w:lvlJc w:val="left"/>
      <w:pPr>
        <w:ind w:left="3954" w:hanging="360"/>
      </w:pPr>
    </w:lvl>
    <w:lvl w:ilvl="5" w:tplc="0C090005" w:tentative="1">
      <w:start w:val="1"/>
      <w:numFmt w:val="lowerRoman"/>
      <w:lvlText w:val="%6."/>
      <w:lvlJc w:val="right"/>
      <w:pPr>
        <w:ind w:left="4674" w:hanging="180"/>
      </w:pPr>
    </w:lvl>
    <w:lvl w:ilvl="6" w:tplc="0C090001" w:tentative="1">
      <w:start w:val="1"/>
      <w:numFmt w:val="decimal"/>
      <w:lvlText w:val="%7."/>
      <w:lvlJc w:val="left"/>
      <w:pPr>
        <w:ind w:left="5394" w:hanging="360"/>
      </w:pPr>
    </w:lvl>
    <w:lvl w:ilvl="7" w:tplc="0C090003" w:tentative="1">
      <w:start w:val="1"/>
      <w:numFmt w:val="lowerLetter"/>
      <w:lvlText w:val="%8."/>
      <w:lvlJc w:val="left"/>
      <w:pPr>
        <w:ind w:left="6114" w:hanging="360"/>
      </w:pPr>
    </w:lvl>
    <w:lvl w:ilvl="8" w:tplc="0C090005" w:tentative="1">
      <w:start w:val="1"/>
      <w:numFmt w:val="lowerRoman"/>
      <w:lvlText w:val="%9."/>
      <w:lvlJc w:val="right"/>
      <w:pPr>
        <w:ind w:left="6834" w:hanging="180"/>
      </w:pPr>
    </w:lvl>
  </w:abstractNum>
  <w:abstractNum w:abstractNumId="31">
    <w:nsid w:val="64AB3450"/>
    <w:multiLevelType w:val="hybridMultilevel"/>
    <w:tmpl w:val="4CFCDDF6"/>
    <w:lvl w:ilvl="0" w:tplc="AE0C8A8C">
      <w:start w:val="1"/>
      <w:numFmt w:val="bullet"/>
      <w:lvlText w:val="•"/>
      <w:lvlJc w:val="left"/>
      <w:pPr>
        <w:tabs>
          <w:tab w:val="num" w:pos="720"/>
        </w:tabs>
        <w:ind w:left="720" w:hanging="360"/>
      </w:pPr>
      <w:rPr>
        <w:rFonts w:ascii="Times New Roman" w:hAnsi="Times New Roman" w:hint="default"/>
      </w:rPr>
    </w:lvl>
    <w:lvl w:ilvl="1" w:tplc="9BF4840E" w:tentative="1">
      <w:start w:val="1"/>
      <w:numFmt w:val="bullet"/>
      <w:lvlText w:val="•"/>
      <w:lvlJc w:val="left"/>
      <w:pPr>
        <w:tabs>
          <w:tab w:val="num" w:pos="1440"/>
        </w:tabs>
        <w:ind w:left="1440" w:hanging="360"/>
      </w:pPr>
      <w:rPr>
        <w:rFonts w:ascii="Times New Roman" w:hAnsi="Times New Roman" w:hint="default"/>
      </w:rPr>
    </w:lvl>
    <w:lvl w:ilvl="2" w:tplc="A58802FE" w:tentative="1">
      <w:start w:val="1"/>
      <w:numFmt w:val="bullet"/>
      <w:lvlText w:val="•"/>
      <w:lvlJc w:val="left"/>
      <w:pPr>
        <w:tabs>
          <w:tab w:val="num" w:pos="2160"/>
        </w:tabs>
        <w:ind w:left="2160" w:hanging="360"/>
      </w:pPr>
      <w:rPr>
        <w:rFonts w:ascii="Times New Roman" w:hAnsi="Times New Roman" w:hint="default"/>
      </w:rPr>
    </w:lvl>
    <w:lvl w:ilvl="3" w:tplc="45AE9F4A" w:tentative="1">
      <w:start w:val="1"/>
      <w:numFmt w:val="bullet"/>
      <w:lvlText w:val="•"/>
      <w:lvlJc w:val="left"/>
      <w:pPr>
        <w:tabs>
          <w:tab w:val="num" w:pos="2880"/>
        </w:tabs>
        <w:ind w:left="2880" w:hanging="360"/>
      </w:pPr>
      <w:rPr>
        <w:rFonts w:ascii="Times New Roman" w:hAnsi="Times New Roman" w:hint="default"/>
      </w:rPr>
    </w:lvl>
    <w:lvl w:ilvl="4" w:tplc="79FAFECC" w:tentative="1">
      <w:start w:val="1"/>
      <w:numFmt w:val="bullet"/>
      <w:lvlText w:val="•"/>
      <w:lvlJc w:val="left"/>
      <w:pPr>
        <w:tabs>
          <w:tab w:val="num" w:pos="3600"/>
        </w:tabs>
        <w:ind w:left="3600" w:hanging="360"/>
      </w:pPr>
      <w:rPr>
        <w:rFonts w:ascii="Times New Roman" w:hAnsi="Times New Roman" w:hint="default"/>
      </w:rPr>
    </w:lvl>
    <w:lvl w:ilvl="5" w:tplc="8B70E0A0" w:tentative="1">
      <w:start w:val="1"/>
      <w:numFmt w:val="bullet"/>
      <w:lvlText w:val="•"/>
      <w:lvlJc w:val="left"/>
      <w:pPr>
        <w:tabs>
          <w:tab w:val="num" w:pos="4320"/>
        </w:tabs>
        <w:ind w:left="4320" w:hanging="360"/>
      </w:pPr>
      <w:rPr>
        <w:rFonts w:ascii="Times New Roman" w:hAnsi="Times New Roman" w:hint="default"/>
      </w:rPr>
    </w:lvl>
    <w:lvl w:ilvl="6" w:tplc="0FA2374C" w:tentative="1">
      <w:start w:val="1"/>
      <w:numFmt w:val="bullet"/>
      <w:lvlText w:val="•"/>
      <w:lvlJc w:val="left"/>
      <w:pPr>
        <w:tabs>
          <w:tab w:val="num" w:pos="5040"/>
        </w:tabs>
        <w:ind w:left="5040" w:hanging="360"/>
      </w:pPr>
      <w:rPr>
        <w:rFonts w:ascii="Times New Roman" w:hAnsi="Times New Roman" w:hint="default"/>
      </w:rPr>
    </w:lvl>
    <w:lvl w:ilvl="7" w:tplc="D604CF1A" w:tentative="1">
      <w:start w:val="1"/>
      <w:numFmt w:val="bullet"/>
      <w:lvlText w:val="•"/>
      <w:lvlJc w:val="left"/>
      <w:pPr>
        <w:tabs>
          <w:tab w:val="num" w:pos="5760"/>
        </w:tabs>
        <w:ind w:left="5760" w:hanging="360"/>
      </w:pPr>
      <w:rPr>
        <w:rFonts w:ascii="Times New Roman" w:hAnsi="Times New Roman" w:hint="default"/>
      </w:rPr>
    </w:lvl>
    <w:lvl w:ilvl="8" w:tplc="CE8AFDF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7C3D6F"/>
    <w:multiLevelType w:val="hybridMultilevel"/>
    <w:tmpl w:val="755A8C8A"/>
    <w:lvl w:ilvl="0" w:tplc="BF442FA8">
      <w:start w:val="1"/>
      <w:numFmt w:val="bullet"/>
      <w:lvlText w:val=""/>
      <w:lvlJc w:val="left"/>
      <w:pPr>
        <w:tabs>
          <w:tab w:val="num" w:pos="720"/>
        </w:tabs>
        <w:ind w:left="720" w:hanging="360"/>
      </w:pPr>
      <w:rPr>
        <w:rFonts w:ascii="Symbol" w:hAnsi="Symbol" w:hint="default"/>
      </w:rPr>
    </w:lvl>
    <w:lvl w:ilvl="1" w:tplc="B06CA218">
      <w:start w:val="4"/>
      <w:numFmt w:val="bullet"/>
      <w:lvlText w:val="-"/>
      <w:lvlJc w:val="left"/>
      <w:pPr>
        <w:tabs>
          <w:tab w:val="num" w:pos="1440"/>
        </w:tabs>
        <w:ind w:left="1440" w:hanging="360"/>
      </w:pPr>
      <w:rPr>
        <w:rFonts w:ascii="Times New Roman" w:eastAsia="Times New Roman" w:hAnsi="Times New Roman" w:hint="default"/>
      </w:rPr>
    </w:lvl>
    <w:lvl w:ilvl="2" w:tplc="11289090" w:tentative="1">
      <w:start w:val="1"/>
      <w:numFmt w:val="bullet"/>
      <w:lvlText w:val=""/>
      <w:lvlJc w:val="left"/>
      <w:pPr>
        <w:tabs>
          <w:tab w:val="num" w:pos="2160"/>
        </w:tabs>
        <w:ind w:left="2160" w:hanging="360"/>
      </w:pPr>
      <w:rPr>
        <w:rFonts w:ascii="Wingdings" w:hAnsi="Wingdings" w:hint="default"/>
      </w:rPr>
    </w:lvl>
    <w:lvl w:ilvl="3" w:tplc="551228BA" w:tentative="1">
      <w:start w:val="1"/>
      <w:numFmt w:val="bullet"/>
      <w:lvlText w:val=""/>
      <w:lvlJc w:val="left"/>
      <w:pPr>
        <w:tabs>
          <w:tab w:val="num" w:pos="2880"/>
        </w:tabs>
        <w:ind w:left="2880" w:hanging="360"/>
      </w:pPr>
      <w:rPr>
        <w:rFonts w:ascii="Symbol" w:hAnsi="Symbol" w:hint="default"/>
      </w:rPr>
    </w:lvl>
    <w:lvl w:ilvl="4" w:tplc="B6AC9DE0" w:tentative="1">
      <w:start w:val="1"/>
      <w:numFmt w:val="bullet"/>
      <w:lvlText w:val="o"/>
      <w:lvlJc w:val="left"/>
      <w:pPr>
        <w:tabs>
          <w:tab w:val="num" w:pos="3600"/>
        </w:tabs>
        <w:ind w:left="3600" w:hanging="360"/>
      </w:pPr>
      <w:rPr>
        <w:rFonts w:ascii="Courier New" w:hAnsi="Courier New" w:hint="default"/>
      </w:rPr>
    </w:lvl>
    <w:lvl w:ilvl="5" w:tplc="11A40D5C" w:tentative="1">
      <w:start w:val="1"/>
      <w:numFmt w:val="bullet"/>
      <w:lvlText w:val=""/>
      <w:lvlJc w:val="left"/>
      <w:pPr>
        <w:tabs>
          <w:tab w:val="num" w:pos="4320"/>
        </w:tabs>
        <w:ind w:left="4320" w:hanging="360"/>
      </w:pPr>
      <w:rPr>
        <w:rFonts w:ascii="Wingdings" w:hAnsi="Wingdings" w:hint="default"/>
      </w:rPr>
    </w:lvl>
    <w:lvl w:ilvl="6" w:tplc="EE467D18" w:tentative="1">
      <w:start w:val="1"/>
      <w:numFmt w:val="bullet"/>
      <w:lvlText w:val=""/>
      <w:lvlJc w:val="left"/>
      <w:pPr>
        <w:tabs>
          <w:tab w:val="num" w:pos="5040"/>
        </w:tabs>
        <w:ind w:left="5040" w:hanging="360"/>
      </w:pPr>
      <w:rPr>
        <w:rFonts w:ascii="Symbol" w:hAnsi="Symbol" w:hint="default"/>
      </w:rPr>
    </w:lvl>
    <w:lvl w:ilvl="7" w:tplc="72245622" w:tentative="1">
      <w:start w:val="1"/>
      <w:numFmt w:val="bullet"/>
      <w:lvlText w:val="o"/>
      <w:lvlJc w:val="left"/>
      <w:pPr>
        <w:tabs>
          <w:tab w:val="num" w:pos="5760"/>
        </w:tabs>
        <w:ind w:left="5760" w:hanging="360"/>
      </w:pPr>
      <w:rPr>
        <w:rFonts w:ascii="Courier New" w:hAnsi="Courier New" w:hint="default"/>
      </w:rPr>
    </w:lvl>
    <w:lvl w:ilvl="8" w:tplc="C4F6CA20" w:tentative="1">
      <w:start w:val="1"/>
      <w:numFmt w:val="bullet"/>
      <w:lvlText w:val=""/>
      <w:lvlJc w:val="left"/>
      <w:pPr>
        <w:tabs>
          <w:tab w:val="num" w:pos="6480"/>
        </w:tabs>
        <w:ind w:left="6480" w:hanging="360"/>
      </w:pPr>
      <w:rPr>
        <w:rFonts w:ascii="Wingdings" w:hAnsi="Wingdings" w:hint="default"/>
      </w:rPr>
    </w:lvl>
  </w:abstractNum>
  <w:abstractNum w:abstractNumId="33">
    <w:nsid w:val="6C7C2138"/>
    <w:multiLevelType w:val="hybridMultilevel"/>
    <w:tmpl w:val="394679F0"/>
    <w:lvl w:ilvl="0" w:tplc="6BD64D5E">
      <w:start w:val="1"/>
      <w:numFmt w:val="bullet"/>
      <w:lvlText w:val=""/>
      <w:lvlJc w:val="left"/>
      <w:pPr>
        <w:ind w:left="720" w:hanging="360"/>
      </w:pPr>
      <w:rPr>
        <w:rFonts w:ascii="Symbol" w:hAnsi="Symbol" w:hint="default"/>
      </w:rPr>
    </w:lvl>
    <w:lvl w:ilvl="1" w:tplc="705E49BA" w:tentative="1">
      <w:start w:val="1"/>
      <w:numFmt w:val="bullet"/>
      <w:lvlText w:val="o"/>
      <w:lvlJc w:val="left"/>
      <w:pPr>
        <w:ind w:left="1440" w:hanging="360"/>
      </w:pPr>
      <w:rPr>
        <w:rFonts w:ascii="Courier New" w:hAnsi="Courier New" w:cs="Courier New" w:hint="default"/>
      </w:rPr>
    </w:lvl>
    <w:lvl w:ilvl="2" w:tplc="E59AD988" w:tentative="1">
      <w:start w:val="1"/>
      <w:numFmt w:val="bullet"/>
      <w:lvlText w:val=""/>
      <w:lvlJc w:val="left"/>
      <w:pPr>
        <w:ind w:left="2160" w:hanging="360"/>
      </w:pPr>
      <w:rPr>
        <w:rFonts w:ascii="Wingdings" w:hAnsi="Wingdings" w:hint="default"/>
      </w:rPr>
    </w:lvl>
    <w:lvl w:ilvl="3" w:tplc="C038BD9A" w:tentative="1">
      <w:start w:val="1"/>
      <w:numFmt w:val="bullet"/>
      <w:lvlText w:val=""/>
      <w:lvlJc w:val="left"/>
      <w:pPr>
        <w:ind w:left="2880" w:hanging="360"/>
      </w:pPr>
      <w:rPr>
        <w:rFonts w:ascii="Symbol" w:hAnsi="Symbol" w:hint="default"/>
      </w:rPr>
    </w:lvl>
    <w:lvl w:ilvl="4" w:tplc="6D3AE280" w:tentative="1">
      <w:start w:val="1"/>
      <w:numFmt w:val="bullet"/>
      <w:lvlText w:val="o"/>
      <w:lvlJc w:val="left"/>
      <w:pPr>
        <w:ind w:left="3600" w:hanging="360"/>
      </w:pPr>
      <w:rPr>
        <w:rFonts w:ascii="Courier New" w:hAnsi="Courier New" w:cs="Courier New" w:hint="default"/>
      </w:rPr>
    </w:lvl>
    <w:lvl w:ilvl="5" w:tplc="C6565D6C" w:tentative="1">
      <w:start w:val="1"/>
      <w:numFmt w:val="bullet"/>
      <w:lvlText w:val=""/>
      <w:lvlJc w:val="left"/>
      <w:pPr>
        <w:ind w:left="4320" w:hanging="360"/>
      </w:pPr>
      <w:rPr>
        <w:rFonts w:ascii="Wingdings" w:hAnsi="Wingdings" w:hint="default"/>
      </w:rPr>
    </w:lvl>
    <w:lvl w:ilvl="6" w:tplc="650882CC" w:tentative="1">
      <w:start w:val="1"/>
      <w:numFmt w:val="bullet"/>
      <w:lvlText w:val=""/>
      <w:lvlJc w:val="left"/>
      <w:pPr>
        <w:ind w:left="5040" w:hanging="360"/>
      </w:pPr>
      <w:rPr>
        <w:rFonts w:ascii="Symbol" w:hAnsi="Symbol" w:hint="default"/>
      </w:rPr>
    </w:lvl>
    <w:lvl w:ilvl="7" w:tplc="5D4C8C08" w:tentative="1">
      <w:start w:val="1"/>
      <w:numFmt w:val="bullet"/>
      <w:lvlText w:val="o"/>
      <w:lvlJc w:val="left"/>
      <w:pPr>
        <w:ind w:left="5760" w:hanging="360"/>
      </w:pPr>
      <w:rPr>
        <w:rFonts w:ascii="Courier New" w:hAnsi="Courier New" w:cs="Courier New" w:hint="default"/>
      </w:rPr>
    </w:lvl>
    <w:lvl w:ilvl="8" w:tplc="7916CF78" w:tentative="1">
      <w:start w:val="1"/>
      <w:numFmt w:val="bullet"/>
      <w:lvlText w:val=""/>
      <w:lvlJc w:val="left"/>
      <w:pPr>
        <w:ind w:left="6480" w:hanging="360"/>
      </w:pPr>
      <w:rPr>
        <w:rFonts w:ascii="Wingdings" w:hAnsi="Wingdings" w:hint="default"/>
      </w:rPr>
    </w:lvl>
  </w:abstractNum>
  <w:abstractNum w:abstractNumId="34">
    <w:nsid w:val="75727494"/>
    <w:multiLevelType w:val="multilevel"/>
    <w:tmpl w:val="29B44C28"/>
    <w:lvl w:ilvl="0">
      <w:start w:val="1"/>
      <w:numFmt w:val="decimal"/>
      <w:pStyle w:val="Heading1"/>
      <w:lvlText w:val="%1"/>
      <w:lvlJc w:val="left"/>
      <w:pPr>
        <w:ind w:left="432" w:hanging="432"/>
      </w:pPr>
      <w:rPr>
        <w:rFonts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1145" w:hanging="720"/>
      </w:pPr>
      <w:rPr>
        <w:rFonts w:ascii="Times New Roman" w:hAnsi="Times New Roman" w:cs="Times New Roman" w:hint="default"/>
        <w:color w:val="auto"/>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5">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6">
    <w:nsid w:val="78E81FDC"/>
    <w:multiLevelType w:val="hybridMultilevel"/>
    <w:tmpl w:val="04EC0ECC"/>
    <w:lvl w:ilvl="0" w:tplc="0C090001">
      <w:start w:val="1"/>
      <w:numFmt w:val="bullet"/>
      <w:pStyle w:val="Bullet0"/>
      <w:lvlText w:val="•"/>
      <w:lvlJc w:val="left"/>
      <w:pPr>
        <w:tabs>
          <w:tab w:val="num" w:pos="360"/>
        </w:tabs>
        <w:ind w:left="360" w:hanging="360"/>
      </w:pPr>
      <w:rPr>
        <w:rFonts w:ascii="Symbol" w:hAnsi="Symbol" w:hint="default"/>
      </w:rPr>
    </w:lvl>
    <w:lvl w:ilvl="1" w:tplc="227C6432">
      <w:start w:val="1"/>
      <w:numFmt w:val="bullet"/>
      <w:lvlText w:val="o"/>
      <w:lvlJc w:val="left"/>
      <w:pPr>
        <w:tabs>
          <w:tab w:val="num" w:pos="1440"/>
        </w:tabs>
        <w:ind w:left="1440" w:hanging="360"/>
      </w:pPr>
      <w:rPr>
        <w:rFonts w:ascii="Courier New" w:hAnsi="Courier New"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9D24CD1"/>
    <w:multiLevelType w:val="hybridMultilevel"/>
    <w:tmpl w:val="6F686FF2"/>
    <w:lvl w:ilvl="0" w:tplc="F5009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BE671AF"/>
    <w:multiLevelType w:val="hybridMultilevel"/>
    <w:tmpl w:val="F3A4A63C"/>
    <w:lvl w:ilvl="0" w:tplc="CD78F1E6">
      <w:start w:val="1"/>
      <w:numFmt w:val="bullet"/>
      <w:lvlText w:val=""/>
      <w:lvlJc w:val="left"/>
      <w:pPr>
        <w:ind w:left="720" w:hanging="360"/>
      </w:pPr>
      <w:rPr>
        <w:rFonts w:ascii="Symbol" w:hAnsi="Symbol" w:hint="default"/>
        <w:sz w:val="17"/>
        <w:szCs w:val="17"/>
      </w:rPr>
    </w:lvl>
    <w:lvl w:ilvl="1" w:tplc="96D617C4" w:tentative="1">
      <w:start w:val="1"/>
      <w:numFmt w:val="bullet"/>
      <w:lvlText w:val="o"/>
      <w:lvlJc w:val="left"/>
      <w:pPr>
        <w:ind w:left="1440" w:hanging="360"/>
      </w:pPr>
      <w:rPr>
        <w:rFonts w:ascii="Courier New" w:hAnsi="Courier New" w:hint="default"/>
      </w:rPr>
    </w:lvl>
    <w:lvl w:ilvl="2" w:tplc="20583F3E" w:tentative="1">
      <w:start w:val="1"/>
      <w:numFmt w:val="bullet"/>
      <w:lvlText w:val=""/>
      <w:lvlJc w:val="left"/>
      <w:pPr>
        <w:ind w:left="2160" w:hanging="360"/>
      </w:pPr>
      <w:rPr>
        <w:rFonts w:ascii="Wingdings" w:hAnsi="Wingdings" w:hint="default"/>
      </w:rPr>
    </w:lvl>
    <w:lvl w:ilvl="3" w:tplc="A17EEC1E" w:tentative="1">
      <w:start w:val="1"/>
      <w:numFmt w:val="bullet"/>
      <w:lvlText w:val=""/>
      <w:lvlJc w:val="left"/>
      <w:pPr>
        <w:ind w:left="2880" w:hanging="360"/>
      </w:pPr>
      <w:rPr>
        <w:rFonts w:ascii="Symbol" w:hAnsi="Symbol" w:hint="default"/>
      </w:rPr>
    </w:lvl>
    <w:lvl w:ilvl="4" w:tplc="0054023C" w:tentative="1">
      <w:start w:val="1"/>
      <w:numFmt w:val="bullet"/>
      <w:lvlText w:val="o"/>
      <w:lvlJc w:val="left"/>
      <w:pPr>
        <w:ind w:left="3600" w:hanging="360"/>
      </w:pPr>
      <w:rPr>
        <w:rFonts w:ascii="Courier New" w:hAnsi="Courier New" w:hint="default"/>
      </w:rPr>
    </w:lvl>
    <w:lvl w:ilvl="5" w:tplc="0E4A8002" w:tentative="1">
      <w:start w:val="1"/>
      <w:numFmt w:val="bullet"/>
      <w:lvlText w:val=""/>
      <w:lvlJc w:val="left"/>
      <w:pPr>
        <w:ind w:left="4320" w:hanging="360"/>
      </w:pPr>
      <w:rPr>
        <w:rFonts w:ascii="Wingdings" w:hAnsi="Wingdings" w:hint="default"/>
      </w:rPr>
    </w:lvl>
    <w:lvl w:ilvl="6" w:tplc="35CE87C0" w:tentative="1">
      <w:start w:val="1"/>
      <w:numFmt w:val="bullet"/>
      <w:lvlText w:val=""/>
      <w:lvlJc w:val="left"/>
      <w:pPr>
        <w:ind w:left="5040" w:hanging="360"/>
      </w:pPr>
      <w:rPr>
        <w:rFonts w:ascii="Symbol" w:hAnsi="Symbol" w:hint="default"/>
      </w:rPr>
    </w:lvl>
    <w:lvl w:ilvl="7" w:tplc="40381DAA" w:tentative="1">
      <w:start w:val="1"/>
      <w:numFmt w:val="bullet"/>
      <w:lvlText w:val="o"/>
      <w:lvlJc w:val="left"/>
      <w:pPr>
        <w:ind w:left="5760" w:hanging="360"/>
      </w:pPr>
      <w:rPr>
        <w:rFonts w:ascii="Courier New" w:hAnsi="Courier New" w:hint="default"/>
      </w:rPr>
    </w:lvl>
    <w:lvl w:ilvl="8" w:tplc="4B6E3C58"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36"/>
  </w:num>
  <w:num w:numId="4">
    <w:abstractNumId w:val="26"/>
  </w:num>
  <w:num w:numId="5">
    <w:abstractNumId w:val="13"/>
  </w:num>
  <w:num w:numId="6">
    <w:abstractNumId w:val="34"/>
  </w:num>
  <w:num w:numId="7">
    <w:abstractNumId w:val="14"/>
  </w:num>
  <w:num w:numId="8">
    <w:abstractNumId w:val="4"/>
  </w:num>
  <w:num w:numId="9">
    <w:abstractNumId w:val="16"/>
  </w:num>
  <w:num w:numId="10">
    <w:abstractNumId w:val="10"/>
  </w:num>
  <w:num w:numId="11">
    <w:abstractNumId w:val="33"/>
  </w:num>
  <w:num w:numId="12">
    <w:abstractNumId w:val="11"/>
  </w:num>
  <w:num w:numId="13">
    <w:abstractNumId w:val="24"/>
  </w:num>
  <w:num w:numId="14">
    <w:abstractNumId w:val="5"/>
  </w:num>
  <w:num w:numId="15">
    <w:abstractNumId w:val="9"/>
  </w:num>
  <w:num w:numId="16">
    <w:abstractNumId w:val="29"/>
  </w:num>
  <w:num w:numId="17">
    <w:abstractNumId w:val="38"/>
  </w:num>
  <w:num w:numId="18">
    <w:abstractNumId w:val="6"/>
  </w:num>
  <w:num w:numId="19">
    <w:abstractNumId w:val="19"/>
  </w:num>
  <w:num w:numId="20">
    <w:abstractNumId w:val="28"/>
  </w:num>
  <w:num w:numId="21">
    <w:abstractNumId w:val="23"/>
  </w:num>
  <w:num w:numId="22">
    <w:abstractNumId w:val="30"/>
  </w:num>
  <w:num w:numId="23">
    <w:abstractNumId w:val="2"/>
  </w:num>
  <w:num w:numId="24">
    <w:abstractNumId w:val="17"/>
  </w:num>
  <w:num w:numId="25">
    <w:abstractNumId w:val="1"/>
  </w:num>
  <w:num w:numId="26">
    <w:abstractNumId w:val="20"/>
  </w:num>
  <w:num w:numId="27">
    <w:abstractNumId w:val="15"/>
  </w:num>
  <w:num w:numId="28">
    <w:abstractNumId w:val="37"/>
  </w:num>
  <w:num w:numId="29">
    <w:abstractNumId w:val="18"/>
  </w:num>
  <w:num w:numId="30">
    <w:abstractNumId w:val="21"/>
  </w:num>
  <w:num w:numId="31">
    <w:abstractNumId w:val="8"/>
  </w:num>
  <w:num w:numId="32">
    <w:abstractNumId w:val="0"/>
  </w:num>
  <w:num w:numId="33">
    <w:abstractNumId w:val="7"/>
  </w:num>
  <w:num w:numId="34">
    <w:abstractNumId w:val="2"/>
  </w:num>
  <w:num w:numId="35">
    <w:abstractNumId w:val="2"/>
  </w:num>
  <w:num w:numId="36">
    <w:abstractNumId w:val="34"/>
  </w:num>
  <w:num w:numId="37">
    <w:abstractNumId w:val="34"/>
  </w:num>
  <w:num w:numId="38">
    <w:abstractNumId w:val="34"/>
  </w:num>
  <w:num w:numId="39">
    <w:abstractNumId w:val="34"/>
  </w:num>
  <w:num w:numId="40">
    <w:abstractNumId w:val="34"/>
  </w:num>
  <w:num w:numId="41">
    <w:abstractNumId w:val="34"/>
  </w:num>
  <w:num w:numId="42">
    <w:abstractNumId w:val="32"/>
  </w:num>
  <w:num w:numId="43">
    <w:abstractNumId w:val="2"/>
  </w:num>
  <w:num w:numId="44">
    <w:abstractNumId w:val="35"/>
  </w:num>
  <w:num w:numId="45">
    <w:abstractNumId w:val="3"/>
  </w:num>
  <w:num w:numId="46">
    <w:abstractNumId w:val="31"/>
  </w:num>
  <w:num w:numId="47">
    <w:abstractNumId w:val="12"/>
  </w:num>
  <w:num w:numId="48">
    <w:abstractNumId w:val="22"/>
  </w:num>
  <w:num w:numId="49">
    <w:abstractNumId w:val="3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hideSpellingErrors/>
  <w:hideGrammaticalErrors/>
  <w:proofState w:spelling="clean" w:grammar="clean"/>
  <w:stylePaneFormatFilter w:val="3F01"/>
  <w:defaultTabStop w:val="720"/>
  <w:drawingGridHorizontalSpacing w:val="120"/>
  <w:drawingGridVerticalSpacing w:val="181"/>
  <w:displayHorizontalDrawingGridEvery w:val="2"/>
  <w:characterSpacingControl w:val="doNotCompress"/>
  <w:footnotePr>
    <w:footnote w:id="-1"/>
    <w:footnote w:id="0"/>
  </w:footnotePr>
  <w:endnotePr>
    <w:endnote w:id="-1"/>
    <w:endnote w:id="0"/>
  </w:endnotePr>
  <w:compat/>
  <w:rsids>
    <w:rsidRoot w:val="00A414C1"/>
    <w:rsid w:val="00000036"/>
    <w:rsid w:val="000007E7"/>
    <w:rsid w:val="0000090D"/>
    <w:rsid w:val="00001ADB"/>
    <w:rsid w:val="00001FB4"/>
    <w:rsid w:val="00002569"/>
    <w:rsid w:val="000045D2"/>
    <w:rsid w:val="0000520B"/>
    <w:rsid w:val="00006C4F"/>
    <w:rsid w:val="00006F26"/>
    <w:rsid w:val="00007B6E"/>
    <w:rsid w:val="000105F7"/>
    <w:rsid w:val="000125E3"/>
    <w:rsid w:val="0001615D"/>
    <w:rsid w:val="000211CD"/>
    <w:rsid w:val="00023237"/>
    <w:rsid w:val="000233F9"/>
    <w:rsid w:val="000256B8"/>
    <w:rsid w:val="000259C5"/>
    <w:rsid w:val="00025AA0"/>
    <w:rsid w:val="00025D61"/>
    <w:rsid w:val="00027382"/>
    <w:rsid w:val="00030CCA"/>
    <w:rsid w:val="000322C3"/>
    <w:rsid w:val="00032CA2"/>
    <w:rsid w:val="00033DB3"/>
    <w:rsid w:val="000344CF"/>
    <w:rsid w:val="00035EC1"/>
    <w:rsid w:val="00036775"/>
    <w:rsid w:val="000367DA"/>
    <w:rsid w:val="000369E1"/>
    <w:rsid w:val="00036FA3"/>
    <w:rsid w:val="000372E2"/>
    <w:rsid w:val="00040036"/>
    <w:rsid w:val="0004056C"/>
    <w:rsid w:val="00041DE8"/>
    <w:rsid w:val="00042C5C"/>
    <w:rsid w:val="00044BAB"/>
    <w:rsid w:val="00046AAA"/>
    <w:rsid w:val="00047625"/>
    <w:rsid w:val="00047712"/>
    <w:rsid w:val="0005019F"/>
    <w:rsid w:val="000503D5"/>
    <w:rsid w:val="00050491"/>
    <w:rsid w:val="00050D46"/>
    <w:rsid w:val="000510D0"/>
    <w:rsid w:val="0005167F"/>
    <w:rsid w:val="00051994"/>
    <w:rsid w:val="000539EC"/>
    <w:rsid w:val="00055795"/>
    <w:rsid w:val="00056409"/>
    <w:rsid w:val="000565BA"/>
    <w:rsid w:val="00056924"/>
    <w:rsid w:val="00057A52"/>
    <w:rsid w:val="00060B10"/>
    <w:rsid w:val="00061B56"/>
    <w:rsid w:val="00064376"/>
    <w:rsid w:val="00064B00"/>
    <w:rsid w:val="00065C2C"/>
    <w:rsid w:val="000660BA"/>
    <w:rsid w:val="00067AAE"/>
    <w:rsid w:val="000714AA"/>
    <w:rsid w:val="000729CF"/>
    <w:rsid w:val="00073466"/>
    <w:rsid w:val="00075AE7"/>
    <w:rsid w:val="00076021"/>
    <w:rsid w:val="00076893"/>
    <w:rsid w:val="0007753F"/>
    <w:rsid w:val="000814A2"/>
    <w:rsid w:val="00081BA6"/>
    <w:rsid w:val="000826E8"/>
    <w:rsid w:val="00082DDD"/>
    <w:rsid w:val="000858BD"/>
    <w:rsid w:val="000868D4"/>
    <w:rsid w:val="00090539"/>
    <w:rsid w:val="000921E0"/>
    <w:rsid w:val="000924DB"/>
    <w:rsid w:val="000932A3"/>
    <w:rsid w:val="000933BF"/>
    <w:rsid w:val="00093A8C"/>
    <w:rsid w:val="00094FF5"/>
    <w:rsid w:val="0009651A"/>
    <w:rsid w:val="00096CC6"/>
    <w:rsid w:val="00097860"/>
    <w:rsid w:val="000A04EA"/>
    <w:rsid w:val="000A3176"/>
    <w:rsid w:val="000A4BE5"/>
    <w:rsid w:val="000A5064"/>
    <w:rsid w:val="000A64BF"/>
    <w:rsid w:val="000A6BF8"/>
    <w:rsid w:val="000A6C61"/>
    <w:rsid w:val="000A7EAC"/>
    <w:rsid w:val="000B1B33"/>
    <w:rsid w:val="000B4231"/>
    <w:rsid w:val="000B4427"/>
    <w:rsid w:val="000B4E83"/>
    <w:rsid w:val="000B5525"/>
    <w:rsid w:val="000B5F81"/>
    <w:rsid w:val="000B7A6C"/>
    <w:rsid w:val="000C0064"/>
    <w:rsid w:val="000C010E"/>
    <w:rsid w:val="000C035D"/>
    <w:rsid w:val="000C08B4"/>
    <w:rsid w:val="000C12D1"/>
    <w:rsid w:val="000C451E"/>
    <w:rsid w:val="000C4522"/>
    <w:rsid w:val="000C4563"/>
    <w:rsid w:val="000C47D1"/>
    <w:rsid w:val="000C54EB"/>
    <w:rsid w:val="000C5E5B"/>
    <w:rsid w:val="000C6BF0"/>
    <w:rsid w:val="000C77B0"/>
    <w:rsid w:val="000D1764"/>
    <w:rsid w:val="000D18A5"/>
    <w:rsid w:val="000D19FE"/>
    <w:rsid w:val="000D2714"/>
    <w:rsid w:val="000D2926"/>
    <w:rsid w:val="000D2BE0"/>
    <w:rsid w:val="000D5423"/>
    <w:rsid w:val="000D5C8B"/>
    <w:rsid w:val="000D655D"/>
    <w:rsid w:val="000D6AEA"/>
    <w:rsid w:val="000D7EFB"/>
    <w:rsid w:val="000E12A7"/>
    <w:rsid w:val="000E2567"/>
    <w:rsid w:val="000E3B29"/>
    <w:rsid w:val="000E6E07"/>
    <w:rsid w:val="000E6E6D"/>
    <w:rsid w:val="000E7640"/>
    <w:rsid w:val="000F02C1"/>
    <w:rsid w:val="000F183B"/>
    <w:rsid w:val="000F32FF"/>
    <w:rsid w:val="000F385A"/>
    <w:rsid w:val="000F4567"/>
    <w:rsid w:val="000F4A5D"/>
    <w:rsid w:val="000F4D6E"/>
    <w:rsid w:val="000F5567"/>
    <w:rsid w:val="000F75A1"/>
    <w:rsid w:val="0010133D"/>
    <w:rsid w:val="00101EA0"/>
    <w:rsid w:val="00101F13"/>
    <w:rsid w:val="001029BB"/>
    <w:rsid w:val="001045C0"/>
    <w:rsid w:val="00105F83"/>
    <w:rsid w:val="00106638"/>
    <w:rsid w:val="00107FEB"/>
    <w:rsid w:val="00112062"/>
    <w:rsid w:val="00114BF3"/>
    <w:rsid w:val="00115683"/>
    <w:rsid w:val="00115895"/>
    <w:rsid w:val="001207EE"/>
    <w:rsid w:val="00122539"/>
    <w:rsid w:val="00124686"/>
    <w:rsid w:val="00124B81"/>
    <w:rsid w:val="00124FDA"/>
    <w:rsid w:val="001253EE"/>
    <w:rsid w:val="00125B7F"/>
    <w:rsid w:val="001265E6"/>
    <w:rsid w:val="00126FF0"/>
    <w:rsid w:val="0012782A"/>
    <w:rsid w:val="0013000B"/>
    <w:rsid w:val="00131937"/>
    <w:rsid w:val="001349DC"/>
    <w:rsid w:val="001349EC"/>
    <w:rsid w:val="0013592D"/>
    <w:rsid w:val="00140015"/>
    <w:rsid w:val="001402B8"/>
    <w:rsid w:val="001409EC"/>
    <w:rsid w:val="0014232B"/>
    <w:rsid w:val="00142A76"/>
    <w:rsid w:val="00142EFE"/>
    <w:rsid w:val="00143FEA"/>
    <w:rsid w:val="00145457"/>
    <w:rsid w:val="00147D3C"/>
    <w:rsid w:val="001508B9"/>
    <w:rsid w:val="00150CEA"/>
    <w:rsid w:val="00155E88"/>
    <w:rsid w:val="00156723"/>
    <w:rsid w:val="00156C14"/>
    <w:rsid w:val="00157277"/>
    <w:rsid w:val="00157F21"/>
    <w:rsid w:val="001602DA"/>
    <w:rsid w:val="001617FA"/>
    <w:rsid w:val="001677D8"/>
    <w:rsid w:val="00171485"/>
    <w:rsid w:val="00172BB0"/>
    <w:rsid w:val="00174C57"/>
    <w:rsid w:val="00174DCE"/>
    <w:rsid w:val="001753BC"/>
    <w:rsid w:val="001753CF"/>
    <w:rsid w:val="00176797"/>
    <w:rsid w:val="00176A55"/>
    <w:rsid w:val="001770EA"/>
    <w:rsid w:val="00180532"/>
    <w:rsid w:val="0018087B"/>
    <w:rsid w:val="001813DE"/>
    <w:rsid w:val="00182BCB"/>
    <w:rsid w:val="00182F9B"/>
    <w:rsid w:val="00185FF4"/>
    <w:rsid w:val="00187F64"/>
    <w:rsid w:val="00190C0D"/>
    <w:rsid w:val="00190C5B"/>
    <w:rsid w:val="00191724"/>
    <w:rsid w:val="00191ABD"/>
    <w:rsid w:val="00193712"/>
    <w:rsid w:val="00194408"/>
    <w:rsid w:val="00195769"/>
    <w:rsid w:val="001969BF"/>
    <w:rsid w:val="001A095B"/>
    <w:rsid w:val="001A10D7"/>
    <w:rsid w:val="001A14F1"/>
    <w:rsid w:val="001A2450"/>
    <w:rsid w:val="001A35F6"/>
    <w:rsid w:val="001A3C2B"/>
    <w:rsid w:val="001A3E62"/>
    <w:rsid w:val="001A4614"/>
    <w:rsid w:val="001A4672"/>
    <w:rsid w:val="001A4D4A"/>
    <w:rsid w:val="001A4F1E"/>
    <w:rsid w:val="001B1680"/>
    <w:rsid w:val="001B18A8"/>
    <w:rsid w:val="001B3307"/>
    <w:rsid w:val="001B3A09"/>
    <w:rsid w:val="001B42B9"/>
    <w:rsid w:val="001B4430"/>
    <w:rsid w:val="001B52ED"/>
    <w:rsid w:val="001B659E"/>
    <w:rsid w:val="001C0028"/>
    <w:rsid w:val="001C02E3"/>
    <w:rsid w:val="001C0337"/>
    <w:rsid w:val="001C09C9"/>
    <w:rsid w:val="001C0D2E"/>
    <w:rsid w:val="001C0DE6"/>
    <w:rsid w:val="001C1AA5"/>
    <w:rsid w:val="001C2033"/>
    <w:rsid w:val="001C2240"/>
    <w:rsid w:val="001C2674"/>
    <w:rsid w:val="001C3231"/>
    <w:rsid w:val="001C4DFC"/>
    <w:rsid w:val="001C5366"/>
    <w:rsid w:val="001C6024"/>
    <w:rsid w:val="001C68A1"/>
    <w:rsid w:val="001C6E66"/>
    <w:rsid w:val="001D0C35"/>
    <w:rsid w:val="001D17C9"/>
    <w:rsid w:val="001D199F"/>
    <w:rsid w:val="001D2426"/>
    <w:rsid w:val="001D277A"/>
    <w:rsid w:val="001D27CA"/>
    <w:rsid w:val="001D4A1E"/>
    <w:rsid w:val="001D526A"/>
    <w:rsid w:val="001D5872"/>
    <w:rsid w:val="001D5AE7"/>
    <w:rsid w:val="001D5CA1"/>
    <w:rsid w:val="001D7916"/>
    <w:rsid w:val="001D7F5A"/>
    <w:rsid w:val="001E0058"/>
    <w:rsid w:val="001E0E39"/>
    <w:rsid w:val="001E4F45"/>
    <w:rsid w:val="001E5537"/>
    <w:rsid w:val="001E5C75"/>
    <w:rsid w:val="001E6143"/>
    <w:rsid w:val="001E64EF"/>
    <w:rsid w:val="001E7517"/>
    <w:rsid w:val="001F0813"/>
    <w:rsid w:val="001F1939"/>
    <w:rsid w:val="001F41DB"/>
    <w:rsid w:val="001F41E0"/>
    <w:rsid w:val="001F4492"/>
    <w:rsid w:val="001F4E25"/>
    <w:rsid w:val="001F6094"/>
    <w:rsid w:val="001F7277"/>
    <w:rsid w:val="001F7430"/>
    <w:rsid w:val="002005CA"/>
    <w:rsid w:val="00200D95"/>
    <w:rsid w:val="00200E6C"/>
    <w:rsid w:val="00201958"/>
    <w:rsid w:val="00201CB8"/>
    <w:rsid w:val="00202090"/>
    <w:rsid w:val="00202730"/>
    <w:rsid w:val="0020366D"/>
    <w:rsid w:val="00205AB0"/>
    <w:rsid w:val="002069AF"/>
    <w:rsid w:val="00210D49"/>
    <w:rsid w:val="00214B85"/>
    <w:rsid w:val="00215037"/>
    <w:rsid w:val="002157BC"/>
    <w:rsid w:val="002157E7"/>
    <w:rsid w:val="00217A09"/>
    <w:rsid w:val="0022140A"/>
    <w:rsid w:val="002232A7"/>
    <w:rsid w:val="00223D4A"/>
    <w:rsid w:val="002241A9"/>
    <w:rsid w:val="00230A25"/>
    <w:rsid w:val="00230DBA"/>
    <w:rsid w:val="002316BF"/>
    <w:rsid w:val="002338BD"/>
    <w:rsid w:val="002342A5"/>
    <w:rsid w:val="00234588"/>
    <w:rsid w:val="00234C6F"/>
    <w:rsid w:val="0023514E"/>
    <w:rsid w:val="00235D5E"/>
    <w:rsid w:val="00236DE0"/>
    <w:rsid w:val="00236E1C"/>
    <w:rsid w:val="00236F68"/>
    <w:rsid w:val="00240739"/>
    <w:rsid w:val="00241629"/>
    <w:rsid w:val="00242571"/>
    <w:rsid w:val="00243119"/>
    <w:rsid w:val="00244AB4"/>
    <w:rsid w:val="002458C6"/>
    <w:rsid w:val="00246E16"/>
    <w:rsid w:val="0024746D"/>
    <w:rsid w:val="00247571"/>
    <w:rsid w:val="00247A63"/>
    <w:rsid w:val="002502ED"/>
    <w:rsid w:val="002508CC"/>
    <w:rsid w:val="00253F0B"/>
    <w:rsid w:val="00257765"/>
    <w:rsid w:val="002610D0"/>
    <w:rsid w:val="0026214E"/>
    <w:rsid w:val="00262848"/>
    <w:rsid w:val="0026422B"/>
    <w:rsid w:val="00264EB7"/>
    <w:rsid w:val="00267BF2"/>
    <w:rsid w:val="0027083D"/>
    <w:rsid w:val="00270C50"/>
    <w:rsid w:val="002712D4"/>
    <w:rsid w:val="00274CD2"/>
    <w:rsid w:val="002752CF"/>
    <w:rsid w:val="0027551E"/>
    <w:rsid w:val="00275C55"/>
    <w:rsid w:val="00277083"/>
    <w:rsid w:val="0028166E"/>
    <w:rsid w:val="002823F0"/>
    <w:rsid w:val="00282699"/>
    <w:rsid w:val="00283653"/>
    <w:rsid w:val="00283AD2"/>
    <w:rsid w:val="00286BDA"/>
    <w:rsid w:val="00294107"/>
    <w:rsid w:val="002948CD"/>
    <w:rsid w:val="0029691A"/>
    <w:rsid w:val="00297EC7"/>
    <w:rsid w:val="002A1242"/>
    <w:rsid w:val="002A1C0E"/>
    <w:rsid w:val="002A259E"/>
    <w:rsid w:val="002A3906"/>
    <w:rsid w:val="002A3CFB"/>
    <w:rsid w:val="002A44EE"/>
    <w:rsid w:val="002A460E"/>
    <w:rsid w:val="002A4D1E"/>
    <w:rsid w:val="002A5AE1"/>
    <w:rsid w:val="002A619E"/>
    <w:rsid w:val="002A6B76"/>
    <w:rsid w:val="002A7E59"/>
    <w:rsid w:val="002B06AB"/>
    <w:rsid w:val="002B099D"/>
    <w:rsid w:val="002B16B5"/>
    <w:rsid w:val="002B1F1B"/>
    <w:rsid w:val="002B48C9"/>
    <w:rsid w:val="002B4AE5"/>
    <w:rsid w:val="002B4C09"/>
    <w:rsid w:val="002B5E0C"/>
    <w:rsid w:val="002B7EAA"/>
    <w:rsid w:val="002C0C7D"/>
    <w:rsid w:val="002C0F8D"/>
    <w:rsid w:val="002C1024"/>
    <w:rsid w:val="002C2947"/>
    <w:rsid w:val="002C2D1D"/>
    <w:rsid w:val="002C3884"/>
    <w:rsid w:val="002C58A3"/>
    <w:rsid w:val="002C622C"/>
    <w:rsid w:val="002D0382"/>
    <w:rsid w:val="002D1681"/>
    <w:rsid w:val="002D36E0"/>
    <w:rsid w:val="002D48A8"/>
    <w:rsid w:val="002D4C9C"/>
    <w:rsid w:val="002D5478"/>
    <w:rsid w:val="002D7765"/>
    <w:rsid w:val="002E0E85"/>
    <w:rsid w:val="002E28A3"/>
    <w:rsid w:val="002E6CEE"/>
    <w:rsid w:val="002F4F4B"/>
    <w:rsid w:val="002F6117"/>
    <w:rsid w:val="002F6729"/>
    <w:rsid w:val="00300BF3"/>
    <w:rsid w:val="003015E7"/>
    <w:rsid w:val="0030383E"/>
    <w:rsid w:val="00303EAC"/>
    <w:rsid w:val="003052FF"/>
    <w:rsid w:val="0030580A"/>
    <w:rsid w:val="00305FB0"/>
    <w:rsid w:val="00306119"/>
    <w:rsid w:val="00306A46"/>
    <w:rsid w:val="00306D86"/>
    <w:rsid w:val="00310EB9"/>
    <w:rsid w:val="00311644"/>
    <w:rsid w:val="003116B3"/>
    <w:rsid w:val="00311B62"/>
    <w:rsid w:val="00312981"/>
    <w:rsid w:val="003133D3"/>
    <w:rsid w:val="00314439"/>
    <w:rsid w:val="00314CF4"/>
    <w:rsid w:val="00315F5E"/>
    <w:rsid w:val="003167C8"/>
    <w:rsid w:val="0032027D"/>
    <w:rsid w:val="00320963"/>
    <w:rsid w:val="00322198"/>
    <w:rsid w:val="00323523"/>
    <w:rsid w:val="003241ED"/>
    <w:rsid w:val="0032423E"/>
    <w:rsid w:val="00324856"/>
    <w:rsid w:val="003256E2"/>
    <w:rsid w:val="00326941"/>
    <w:rsid w:val="00330DB7"/>
    <w:rsid w:val="0033216D"/>
    <w:rsid w:val="0033419F"/>
    <w:rsid w:val="003352B0"/>
    <w:rsid w:val="0033537A"/>
    <w:rsid w:val="00336A16"/>
    <w:rsid w:val="00337D30"/>
    <w:rsid w:val="00341217"/>
    <w:rsid w:val="0034155F"/>
    <w:rsid w:val="00341EB3"/>
    <w:rsid w:val="00341FFE"/>
    <w:rsid w:val="0034218F"/>
    <w:rsid w:val="003445D5"/>
    <w:rsid w:val="00344C81"/>
    <w:rsid w:val="00344F27"/>
    <w:rsid w:val="00345097"/>
    <w:rsid w:val="00346849"/>
    <w:rsid w:val="003505B9"/>
    <w:rsid w:val="003509AA"/>
    <w:rsid w:val="00352B50"/>
    <w:rsid w:val="003541AB"/>
    <w:rsid w:val="00355059"/>
    <w:rsid w:val="0035544A"/>
    <w:rsid w:val="00357551"/>
    <w:rsid w:val="0036225C"/>
    <w:rsid w:val="00362921"/>
    <w:rsid w:val="00363551"/>
    <w:rsid w:val="003654A2"/>
    <w:rsid w:val="00366CF8"/>
    <w:rsid w:val="0036728F"/>
    <w:rsid w:val="003672CC"/>
    <w:rsid w:val="003675A1"/>
    <w:rsid w:val="00370075"/>
    <w:rsid w:val="00370A69"/>
    <w:rsid w:val="00371317"/>
    <w:rsid w:val="003735AB"/>
    <w:rsid w:val="003736D6"/>
    <w:rsid w:val="00373BAB"/>
    <w:rsid w:val="00374B36"/>
    <w:rsid w:val="00375332"/>
    <w:rsid w:val="0038213B"/>
    <w:rsid w:val="00382FF8"/>
    <w:rsid w:val="00383616"/>
    <w:rsid w:val="00384231"/>
    <w:rsid w:val="00386F70"/>
    <w:rsid w:val="0039160A"/>
    <w:rsid w:val="003916DF"/>
    <w:rsid w:val="003939A1"/>
    <w:rsid w:val="00394755"/>
    <w:rsid w:val="00395B5C"/>
    <w:rsid w:val="0039612D"/>
    <w:rsid w:val="003A0BC8"/>
    <w:rsid w:val="003A2D1D"/>
    <w:rsid w:val="003A6300"/>
    <w:rsid w:val="003A6CDA"/>
    <w:rsid w:val="003B0368"/>
    <w:rsid w:val="003B1B27"/>
    <w:rsid w:val="003B21BC"/>
    <w:rsid w:val="003B2840"/>
    <w:rsid w:val="003B2BFC"/>
    <w:rsid w:val="003B4BD7"/>
    <w:rsid w:val="003B6788"/>
    <w:rsid w:val="003B7275"/>
    <w:rsid w:val="003C04F1"/>
    <w:rsid w:val="003C1147"/>
    <w:rsid w:val="003C135E"/>
    <w:rsid w:val="003C176A"/>
    <w:rsid w:val="003C1BE9"/>
    <w:rsid w:val="003C2BEA"/>
    <w:rsid w:val="003C4123"/>
    <w:rsid w:val="003C4303"/>
    <w:rsid w:val="003C4D1E"/>
    <w:rsid w:val="003C71F5"/>
    <w:rsid w:val="003C77D5"/>
    <w:rsid w:val="003D225E"/>
    <w:rsid w:val="003D2DED"/>
    <w:rsid w:val="003D3A5C"/>
    <w:rsid w:val="003D4054"/>
    <w:rsid w:val="003D45C7"/>
    <w:rsid w:val="003D4EC1"/>
    <w:rsid w:val="003D63A2"/>
    <w:rsid w:val="003D6BBA"/>
    <w:rsid w:val="003D7083"/>
    <w:rsid w:val="003E0746"/>
    <w:rsid w:val="003E356D"/>
    <w:rsid w:val="003E3B7C"/>
    <w:rsid w:val="003E4864"/>
    <w:rsid w:val="003E6967"/>
    <w:rsid w:val="003E7A25"/>
    <w:rsid w:val="003E7E2B"/>
    <w:rsid w:val="003F0360"/>
    <w:rsid w:val="003F0634"/>
    <w:rsid w:val="003F066A"/>
    <w:rsid w:val="003F0889"/>
    <w:rsid w:val="003F0CF2"/>
    <w:rsid w:val="003F0F62"/>
    <w:rsid w:val="003F1B66"/>
    <w:rsid w:val="003F33DC"/>
    <w:rsid w:val="003F38ED"/>
    <w:rsid w:val="003F46CE"/>
    <w:rsid w:val="003F6933"/>
    <w:rsid w:val="003F7580"/>
    <w:rsid w:val="003F78E6"/>
    <w:rsid w:val="003F7B2A"/>
    <w:rsid w:val="00400623"/>
    <w:rsid w:val="00400C9F"/>
    <w:rsid w:val="00400E04"/>
    <w:rsid w:val="004016C9"/>
    <w:rsid w:val="004020B7"/>
    <w:rsid w:val="004039C9"/>
    <w:rsid w:val="00403BD4"/>
    <w:rsid w:val="00404BCE"/>
    <w:rsid w:val="0040593F"/>
    <w:rsid w:val="00407517"/>
    <w:rsid w:val="004077BC"/>
    <w:rsid w:val="004102CB"/>
    <w:rsid w:val="00410AEB"/>
    <w:rsid w:val="0041172C"/>
    <w:rsid w:val="0041285C"/>
    <w:rsid w:val="00412906"/>
    <w:rsid w:val="00413ECD"/>
    <w:rsid w:val="004145E9"/>
    <w:rsid w:val="0041751E"/>
    <w:rsid w:val="00420412"/>
    <w:rsid w:val="0042151A"/>
    <w:rsid w:val="004220C2"/>
    <w:rsid w:val="00424814"/>
    <w:rsid w:val="0042520E"/>
    <w:rsid w:val="004278B0"/>
    <w:rsid w:val="00427F41"/>
    <w:rsid w:val="00430044"/>
    <w:rsid w:val="00430A23"/>
    <w:rsid w:val="00430E44"/>
    <w:rsid w:val="00431F5D"/>
    <w:rsid w:val="0043201A"/>
    <w:rsid w:val="004326DF"/>
    <w:rsid w:val="00432BC8"/>
    <w:rsid w:val="00432F68"/>
    <w:rsid w:val="00433587"/>
    <w:rsid w:val="004344A0"/>
    <w:rsid w:val="00434BA5"/>
    <w:rsid w:val="00434E8C"/>
    <w:rsid w:val="004359E5"/>
    <w:rsid w:val="0043621C"/>
    <w:rsid w:val="004362AF"/>
    <w:rsid w:val="00436927"/>
    <w:rsid w:val="00436BF4"/>
    <w:rsid w:val="00437558"/>
    <w:rsid w:val="00440E2B"/>
    <w:rsid w:val="00442D2E"/>
    <w:rsid w:val="00443158"/>
    <w:rsid w:val="0044556D"/>
    <w:rsid w:val="00445FD5"/>
    <w:rsid w:val="00446057"/>
    <w:rsid w:val="00450D44"/>
    <w:rsid w:val="00451103"/>
    <w:rsid w:val="00451156"/>
    <w:rsid w:val="00451A8A"/>
    <w:rsid w:val="00453386"/>
    <w:rsid w:val="004536AE"/>
    <w:rsid w:val="00454511"/>
    <w:rsid w:val="00454C78"/>
    <w:rsid w:val="004551C1"/>
    <w:rsid w:val="00455309"/>
    <w:rsid w:val="00456E19"/>
    <w:rsid w:val="00457AC8"/>
    <w:rsid w:val="00457CC4"/>
    <w:rsid w:val="004603D6"/>
    <w:rsid w:val="00461A0A"/>
    <w:rsid w:val="00464ECE"/>
    <w:rsid w:val="00465513"/>
    <w:rsid w:val="00465B5F"/>
    <w:rsid w:val="00466790"/>
    <w:rsid w:val="0047130C"/>
    <w:rsid w:val="00471363"/>
    <w:rsid w:val="00471CCA"/>
    <w:rsid w:val="00472BAB"/>
    <w:rsid w:val="004738A8"/>
    <w:rsid w:val="00474185"/>
    <w:rsid w:val="00475C86"/>
    <w:rsid w:val="004770A2"/>
    <w:rsid w:val="00477B89"/>
    <w:rsid w:val="004807C0"/>
    <w:rsid w:val="00482B44"/>
    <w:rsid w:val="00482C09"/>
    <w:rsid w:val="0048340C"/>
    <w:rsid w:val="004837FD"/>
    <w:rsid w:val="00485A8A"/>
    <w:rsid w:val="00485CF7"/>
    <w:rsid w:val="00487968"/>
    <w:rsid w:val="00490174"/>
    <w:rsid w:val="00490B71"/>
    <w:rsid w:val="00490C05"/>
    <w:rsid w:val="00490C4E"/>
    <w:rsid w:val="0049154D"/>
    <w:rsid w:val="00492BF8"/>
    <w:rsid w:val="00493D4D"/>
    <w:rsid w:val="00494DCA"/>
    <w:rsid w:val="004956A9"/>
    <w:rsid w:val="0049738A"/>
    <w:rsid w:val="00497E37"/>
    <w:rsid w:val="004A29EE"/>
    <w:rsid w:val="004A3136"/>
    <w:rsid w:val="004A31F2"/>
    <w:rsid w:val="004A3A50"/>
    <w:rsid w:val="004A3CC8"/>
    <w:rsid w:val="004A5AEC"/>
    <w:rsid w:val="004B1AED"/>
    <w:rsid w:val="004B218D"/>
    <w:rsid w:val="004B297D"/>
    <w:rsid w:val="004B30DA"/>
    <w:rsid w:val="004B385A"/>
    <w:rsid w:val="004B437E"/>
    <w:rsid w:val="004B44FA"/>
    <w:rsid w:val="004B4EA7"/>
    <w:rsid w:val="004C0195"/>
    <w:rsid w:val="004C01D0"/>
    <w:rsid w:val="004C2790"/>
    <w:rsid w:val="004C2CA9"/>
    <w:rsid w:val="004C2D00"/>
    <w:rsid w:val="004C51AD"/>
    <w:rsid w:val="004C51B2"/>
    <w:rsid w:val="004C5332"/>
    <w:rsid w:val="004C643C"/>
    <w:rsid w:val="004C7BD7"/>
    <w:rsid w:val="004C7FB0"/>
    <w:rsid w:val="004C7FD6"/>
    <w:rsid w:val="004D45AD"/>
    <w:rsid w:val="004D4DD9"/>
    <w:rsid w:val="004D59C0"/>
    <w:rsid w:val="004D61A7"/>
    <w:rsid w:val="004D62AF"/>
    <w:rsid w:val="004D63F3"/>
    <w:rsid w:val="004D771A"/>
    <w:rsid w:val="004D7BB0"/>
    <w:rsid w:val="004E03DC"/>
    <w:rsid w:val="004E08B1"/>
    <w:rsid w:val="004E1659"/>
    <w:rsid w:val="004E3716"/>
    <w:rsid w:val="004E5E80"/>
    <w:rsid w:val="004E67FB"/>
    <w:rsid w:val="004E692B"/>
    <w:rsid w:val="004F0131"/>
    <w:rsid w:val="004F10BA"/>
    <w:rsid w:val="004F20AC"/>
    <w:rsid w:val="004F22A7"/>
    <w:rsid w:val="004F2A21"/>
    <w:rsid w:val="004F47FB"/>
    <w:rsid w:val="004F4986"/>
    <w:rsid w:val="004F5077"/>
    <w:rsid w:val="004F6B23"/>
    <w:rsid w:val="004F7858"/>
    <w:rsid w:val="004F7B24"/>
    <w:rsid w:val="0050276F"/>
    <w:rsid w:val="00502BF2"/>
    <w:rsid w:val="00503DF1"/>
    <w:rsid w:val="00503E31"/>
    <w:rsid w:val="00505395"/>
    <w:rsid w:val="005055E3"/>
    <w:rsid w:val="00506187"/>
    <w:rsid w:val="00507245"/>
    <w:rsid w:val="005112D7"/>
    <w:rsid w:val="00511414"/>
    <w:rsid w:val="00511607"/>
    <w:rsid w:val="00513F59"/>
    <w:rsid w:val="00514B19"/>
    <w:rsid w:val="005158C2"/>
    <w:rsid w:val="005168B7"/>
    <w:rsid w:val="00516AAF"/>
    <w:rsid w:val="00517037"/>
    <w:rsid w:val="005176C9"/>
    <w:rsid w:val="005177B0"/>
    <w:rsid w:val="0052129A"/>
    <w:rsid w:val="005218DA"/>
    <w:rsid w:val="00522157"/>
    <w:rsid w:val="00522AF7"/>
    <w:rsid w:val="00523001"/>
    <w:rsid w:val="00524DE4"/>
    <w:rsid w:val="005265E4"/>
    <w:rsid w:val="005308C6"/>
    <w:rsid w:val="00531A42"/>
    <w:rsid w:val="00532116"/>
    <w:rsid w:val="00532CE2"/>
    <w:rsid w:val="005331EC"/>
    <w:rsid w:val="00534167"/>
    <w:rsid w:val="00535CB1"/>
    <w:rsid w:val="00535F17"/>
    <w:rsid w:val="00543FA1"/>
    <w:rsid w:val="005444FD"/>
    <w:rsid w:val="00545356"/>
    <w:rsid w:val="0054545D"/>
    <w:rsid w:val="005456D1"/>
    <w:rsid w:val="00546255"/>
    <w:rsid w:val="00546D50"/>
    <w:rsid w:val="00547151"/>
    <w:rsid w:val="00547670"/>
    <w:rsid w:val="00550E00"/>
    <w:rsid w:val="00550E32"/>
    <w:rsid w:val="00551539"/>
    <w:rsid w:val="00551C46"/>
    <w:rsid w:val="00551EFD"/>
    <w:rsid w:val="00552068"/>
    <w:rsid w:val="00552DDC"/>
    <w:rsid w:val="0055376A"/>
    <w:rsid w:val="005546B5"/>
    <w:rsid w:val="0055497C"/>
    <w:rsid w:val="00554C5E"/>
    <w:rsid w:val="00556132"/>
    <w:rsid w:val="00557F8B"/>
    <w:rsid w:val="0056013F"/>
    <w:rsid w:val="00560EDF"/>
    <w:rsid w:val="00561E74"/>
    <w:rsid w:val="00561F65"/>
    <w:rsid w:val="005626C3"/>
    <w:rsid w:val="005650E4"/>
    <w:rsid w:val="00565F02"/>
    <w:rsid w:val="00565F1C"/>
    <w:rsid w:val="00567B9A"/>
    <w:rsid w:val="005706B2"/>
    <w:rsid w:val="0057219A"/>
    <w:rsid w:val="00573B51"/>
    <w:rsid w:val="005762F0"/>
    <w:rsid w:val="00580206"/>
    <w:rsid w:val="00580B6A"/>
    <w:rsid w:val="00581248"/>
    <w:rsid w:val="00581C6F"/>
    <w:rsid w:val="00581FD5"/>
    <w:rsid w:val="00583077"/>
    <w:rsid w:val="005831A1"/>
    <w:rsid w:val="005832DF"/>
    <w:rsid w:val="00583D58"/>
    <w:rsid w:val="00584436"/>
    <w:rsid w:val="0058548A"/>
    <w:rsid w:val="0058671A"/>
    <w:rsid w:val="00587AB9"/>
    <w:rsid w:val="00591F82"/>
    <w:rsid w:val="005920FA"/>
    <w:rsid w:val="00593F9A"/>
    <w:rsid w:val="005951E5"/>
    <w:rsid w:val="00597381"/>
    <w:rsid w:val="005A0147"/>
    <w:rsid w:val="005A1F11"/>
    <w:rsid w:val="005A3290"/>
    <w:rsid w:val="005A5831"/>
    <w:rsid w:val="005A611E"/>
    <w:rsid w:val="005A7D03"/>
    <w:rsid w:val="005A7E55"/>
    <w:rsid w:val="005B2560"/>
    <w:rsid w:val="005B3B23"/>
    <w:rsid w:val="005B416E"/>
    <w:rsid w:val="005B4B33"/>
    <w:rsid w:val="005B4FEC"/>
    <w:rsid w:val="005B52B9"/>
    <w:rsid w:val="005B5930"/>
    <w:rsid w:val="005B6553"/>
    <w:rsid w:val="005B69EF"/>
    <w:rsid w:val="005B70D7"/>
    <w:rsid w:val="005B7D39"/>
    <w:rsid w:val="005B7E94"/>
    <w:rsid w:val="005C13CD"/>
    <w:rsid w:val="005C1ACB"/>
    <w:rsid w:val="005C5EED"/>
    <w:rsid w:val="005C6282"/>
    <w:rsid w:val="005C664E"/>
    <w:rsid w:val="005C73B4"/>
    <w:rsid w:val="005D05B7"/>
    <w:rsid w:val="005D14CB"/>
    <w:rsid w:val="005D1882"/>
    <w:rsid w:val="005D2613"/>
    <w:rsid w:val="005D2838"/>
    <w:rsid w:val="005D35FA"/>
    <w:rsid w:val="005D44B5"/>
    <w:rsid w:val="005D5BB7"/>
    <w:rsid w:val="005D634A"/>
    <w:rsid w:val="005D70C6"/>
    <w:rsid w:val="005E0281"/>
    <w:rsid w:val="005E0EF5"/>
    <w:rsid w:val="005E1D85"/>
    <w:rsid w:val="005E2215"/>
    <w:rsid w:val="005E285F"/>
    <w:rsid w:val="005E401D"/>
    <w:rsid w:val="005E540C"/>
    <w:rsid w:val="005E661C"/>
    <w:rsid w:val="005E66DF"/>
    <w:rsid w:val="005F20A4"/>
    <w:rsid w:val="005F2833"/>
    <w:rsid w:val="005F4541"/>
    <w:rsid w:val="005F46E0"/>
    <w:rsid w:val="005F64E5"/>
    <w:rsid w:val="005F7548"/>
    <w:rsid w:val="005F7DE7"/>
    <w:rsid w:val="00601176"/>
    <w:rsid w:val="00601D50"/>
    <w:rsid w:val="006029FC"/>
    <w:rsid w:val="00603078"/>
    <w:rsid w:val="006036F6"/>
    <w:rsid w:val="00603ED5"/>
    <w:rsid w:val="00604C0E"/>
    <w:rsid w:val="00605DFC"/>
    <w:rsid w:val="00606575"/>
    <w:rsid w:val="00607729"/>
    <w:rsid w:val="00612F18"/>
    <w:rsid w:val="00613418"/>
    <w:rsid w:val="00613FA0"/>
    <w:rsid w:val="006140B5"/>
    <w:rsid w:val="006159CB"/>
    <w:rsid w:val="0061761C"/>
    <w:rsid w:val="00617E6B"/>
    <w:rsid w:val="006201AF"/>
    <w:rsid w:val="00621159"/>
    <w:rsid w:val="0062264B"/>
    <w:rsid w:val="00622A75"/>
    <w:rsid w:val="00624AB1"/>
    <w:rsid w:val="00624DA8"/>
    <w:rsid w:val="00625A02"/>
    <w:rsid w:val="00625B45"/>
    <w:rsid w:val="006278B6"/>
    <w:rsid w:val="00630916"/>
    <w:rsid w:val="00631764"/>
    <w:rsid w:val="00632222"/>
    <w:rsid w:val="0063415E"/>
    <w:rsid w:val="006403E8"/>
    <w:rsid w:val="0064121C"/>
    <w:rsid w:val="00642951"/>
    <w:rsid w:val="00642BF4"/>
    <w:rsid w:val="00642C77"/>
    <w:rsid w:val="00643475"/>
    <w:rsid w:val="00643C9C"/>
    <w:rsid w:val="00644107"/>
    <w:rsid w:val="0064456C"/>
    <w:rsid w:val="0064532C"/>
    <w:rsid w:val="006501C5"/>
    <w:rsid w:val="00650420"/>
    <w:rsid w:val="006512F5"/>
    <w:rsid w:val="00651371"/>
    <w:rsid w:val="0065179D"/>
    <w:rsid w:val="00652C02"/>
    <w:rsid w:val="00652D99"/>
    <w:rsid w:val="00653ADE"/>
    <w:rsid w:val="00654EC8"/>
    <w:rsid w:val="00654EEE"/>
    <w:rsid w:val="006570E5"/>
    <w:rsid w:val="00657238"/>
    <w:rsid w:val="006574A1"/>
    <w:rsid w:val="006614CE"/>
    <w:rsid w:val="00661719"/>
    <w:rsid w:val="006621A6"/>
    <w:rsid w:val="006627BC"/>
    <w:rsid w:val="00662CF6"/>
    <w:rsid w:val="00665474"/>
    <w:rsid w:val="00667D87"/>
    <w:rsid w:val="00670699"/>
    <w:rsid w:val="0067095A"/>
    <w:rsid w:val="00671EC9"/>
    <w:rsid w:val="00672250"/>
    <w:rsid w:val="00672780"/>
    <w:rsid w:val="00672E46"/>
    <w:rsid w:val="00673D3F"/>
    <w:rsid w:val="00674654"/>
    <w:rsid w:val="00674F45"/>
    <w:rsid w:val="0067632B"/>
    <w:rsid w:val="0067757E"/>
    <w:rsid w:val="00677F43"/>
    <w:rsid w:val="006801C1"/>
    <w:rsid w:val="006816F3"/>
    <w:rsid w:val="00681902"/>
    <w:rsid w:val="00684D7B"/>
    <w:rsid w:val="00685D75"/>
    <w:rsid w:val="0068635D"/>
    <w:rsid w:val="00687C01"/>
    <w:rsid w:val="00690E0C"/>
    <w:rsid w:val="00690EF6"/>
    <w:rsid w:val="0069285E"/>
    <w:rsid w:val="00694ACD"/>
    <w:rsid w:val="0069703B"/>
    <w:rsid w:val="006A0F61"/>
    <w:rsid w:val="006A1D97"/>
    <w:rsid w:val="006A4D91"/>
    <w:rsid w:val="006A534B"/>
    <w:rsid w:val="006A5843"/>
    <w:rsid w:val="006A5BFD"/>
    <w:rsid w:val="006A647F"/>
    <w:rsid w:val="006A6A48"/>
    <w:rsid w:val="006A6C53"/>
    <w:rsid w:val="006A6E92"/>
    <w:rsid w:val="006A7023"/>
    <w:rsid w:val="006A7032"/>
    <w:rsid w:val="006A7F7C"/>
    <w:rsid w:val="006B0CE8"/>
    <w:rsid w:val="006B1034"/>
    <w:rsid w:val="006B1B9B"/>
    <w:rsid w:val="006B30CC"/>
    <w:rsid w:val="006B39B8"/>
    <w:rsid w:val="006B4449"/>
    <w:rsid w:val="006B4509"/>
    <w:rsid w:val="006B6235"/>
    <w:rsid w:val="006B63F2"/>
    <w:rsid w:val="006B6DE4"/>
    <w:rsid w:val="006C138B"/>
    <w:rsid w:val="006C338C"/>
    <w:rsid w:val="006C3BEC"/>
    <w:rsid w:val="006C41A5"/>
    <w:rsid w:val="006C6AAD"/>
    <w:rsid w:val="006C78FB"/>
    <w:rsid w:val="006D0346"/>
    <w:rsid w:val="006D251F"/>
    <w:rsid w:val="006D261F"/>
    <w:rsid w:val="006D3440"/>
    <w:rsid w:val="006D3451"/>
    <w:rsid w:val="006D3820"/>
    <w:rsid w:val="006D4955"/>
    <w:rsid w:val="006D4CC6"/>
    <w:rsid w:val="006D7F8D"/>
    <w:rsid w:val="006E0D3F"/>
    <w:rsid w:val="006E1530"/>
    <w:rsid w:val="006E175D"/>
    <w:rsid w:val="006E251C"/>
    <w:rsid w:val="006E3076"/>
    <w:rsid w:val="006E4D4C"/>
    <w:rsid w:val="006E5A98"/>
    <w:rsid w:val="006E7A76"/>
    <w:rsid w:val="006E7D53"/>
    <w:rsid w:val="006F0984"/>
    <w:rsid w:val="006F0E38"/>
    <w:rsid w:val="006F1A1D"/>
    <w:rsid w:val="006F1FC4"/>
    <w:rsid w:val="006F2EFB"/>
    <w:rsid w:val="006F33B1"/>
    <w:rsid w:val="006F3CA8"/>
    <w:rsid w:val="006F4066"/>
    <w:rsid w:val="006F45DA"/>
    <w:rsid w:val="006F51D5"/>
    <w:rsid w:val="006F6D81"/>
    <w:rsid w:val="006F7496"/>
    <w:rsid w:val="00701742"/>
    <w:rsid w:val="00702230"/>
    <w:rsid w:val="007041D9"/>
    <w:rsid w:val="00704E8F"/>
    <w:rsid w:val="00705CEC"/>
    <w:rsid w:val="00705EBF"/>
    <w:rsid w:val="0070618A"/>
    <w:rsid w:val="0070771F"/>
    <w:rsid w:val="00707B56"/>
    <w:rsid w:val="00712111"/>
    <w:rsid w:val="00713042"/>
    <w:rsid w:val="0071338F"/>
    <w:rsid w:val="007142C9"/>
    <w:rsid w:val="0072042A"/>
    <w:rsid w:val="00721D88"/>
    <w:rsid w:val="00722DF7"/>
    <w:rsid w:val="00723441"/>
    <w:rsid w:val="00723C82"/>
    <w:rsid w:val="00724A66"/>
    <w:rsid w:val="00724AB7"/>
    <w:rsid w:val="00725068"/>
    <w:rsid w:val="00727387"/>
    <w:rsid w:val="00731DB0"/>
    <w:rsid w:val="00732073"/>
    <w:rsid w:val="00732527"/>
    <w:rsid w:val="00732D5C"/>
    <w:rsid w:val="00733214"/>
    <w:rsid w:val="007339FF"/>
    <w:rsid w:val="00735110"/>
    <w:rsid w:val="00735864"/>
    <w:rsid w:val="007358B7"/>
    <w:rsid w:val="0073687F"/>
    <w:rsid w:val="00737349"/>
    <w:rsid w:val="007401F1"/>
    <w:rsid w:val="0074057F"/>
    <w:rsid w:val="0074206E"/>
    <w:rsid w:val="00742185"/>
    <w:rsid w:val="007423F3"/>
    <w:rsid w:val="00742514"/>
    <w:rsid w:val="00743C0E"/>
    <w:rsid w:val="007466C9"/>
    <w:rsid w:val="0074755C"/>
    <w:rsid w:val="00747B9B"/>
    <w:rsid w:val="00751E3D"/>
    <w:rsid w:val="00752320"/>
    <w:rsid w:val="007541BE"/>
    <w:rsid w:val="0075481A"/>
    <w:rsid w:val="00754B76"/>
    <w:rsid w:val="00754E4A"/>
    <w:rsid w:val="0075519C"/>
    <w:rsid w:val="007553C7"/>
    <w:rsid w:val="00757806"/>
    <w:rsid w:val="00757B18"/>
    <w:rsid w:val="0076006C"/>
    <w:rsid w:val="0076092A"/>
    <w:rsid w:val="007615AE"/>
    <w:rsid w:val="007616F0"/>
    <w:rsid w:val="00762F02"/>
    <w:rsid w:val="00762FA5"/>
    <w:rsid w:val="0076350A"/>
    <w:rsid w:val="00763A25"/>
    <w:rsid w:val="0076406D"/>
    <w:rsid w:val="00764630"/>
    <w:rsid w:val="0076494E"/>
    <w:rsid w:val="00764DF9"/>
    <w:rsid w:val="00764F67"/>
    <w:rsid w:val="007664E4"/>
    <w:rsid w:val="00766CCD"/>
    <w:rsid w:val="007677B1"/>
    <w:rsid w:val="007677E0"/>
    <w:rsid w:val="00771A11"/>
    <w:rsid w:val="00771CF9"/>
    <w:rsid w:val="00772EF0"/>
    <w:rsid w:val="00773986"/>
    <w:rsid w:val="00773B99"/>
    <w:rsid w:val="00773C03"/>
    <w:rsid w:val="0077533E"/>
    <w:rsid w:val="0077624B"/>
    <w:rsid w:val="007763FB"/>
    <w:rsid w:val="00776542"/>
    <w:rsid w:val="0078097D"/>
    <w:rsid w:val="00784E15"/>
    <w:rsid w:val="007852B8"/>
    <w:rsid w:val="007865A8"/>
    <w:rsid w:val="00787F87"/>
    <w:rsid w:val="00790A4F"/>
    <w:rsid w:val="00791E3D"/>
    <w:rsid w:val="007923F5"/>
    <w:rsid w:val="00792F86"/>
    <w:rsid w:val="007930A0"/>
    <w:rsid w:val="00793812"/>
    <w:rsid w:val="007940A5"/>
    <w:rsid w:val="007978BC"/>
    <w:rsid w:val="00797AF2"/>
    <w:rsid w:val="007A0C4C"/>
    <w:rsid w:val="007A1A6B"/>
    <w:rsid w:val="007A38A1"/>
    <w:rsid w:val="007A3D55"/>
    <w:rsid w:val="007A4C98"/>
    <w:rsid w:val="007A52EE"/>
    <w:rsid w:val="007A5F46"/>
    <w:rsid w:val="007B024F"/>
    <w:rsid w:val="007B1396"/>
    <w:rsid w:val="007B1E84"/>
    <w:rsid w:val="007B224A"/>
    <w:rsid w:val="007B299C"/>
    <w:rsid w:val="007B2E54"/>
    <w:rsid w:val="007B486A"/>
    <w:rsid w:val="007B6439"/>
    <w:rsid w:val="007B6A72"/>
    <w:rsid w:val="007B6C07"/>
    <w:rsid w:val="007C046E"/>
    <w:rsid w:val="007C0A65"/>
    <w:rsid w:val="007C150A"/>
    <w:rsid w:val="007C256C"/>
    <w:rsid w:val="007C2E1C"/>
    <w:rsid w:val="007C391E"/>
    <w:rsid w:val="007C446E"/>
    <w:rsid w:val="007C449B"/>
    <w:rsid w:val="007C592F"/>
    <w:rsid w:val="007C66ED"/>
    <w:rsid w:val="007C6C5A"/>
    <w:rsid w:val="007C6E9F"/>
    <w:rsid w:val="007D0043"/>
    <w:rsid w:val="007D0E24"/>
    <w:rsid w:val="007D2559"/>
    <w:rsid w:val="007D255C"/>
    <w:rsid w:val="007D337F"/>
    <w:rsid w:val="007D4DDE"/>
    <w:rsid w:val="007D4F6E"/>
    <w:rsid w:val="007D5367"/>
    <w:rsid w:val="007D67A4"/>
    <w:rsid w:val="007D71EC"/>
    <w:rsid w:val="007D754A"/>
    <w:rsid w:val="007D7BC9"/>
    <w:rsid w:val="007E027A"/>
    <w:rsid w:val="007E06CC"/>
    <w:rsid w:val="007E0BF6"/>
    <w:rsid w:val="007E1F9A"/>
    <w:rsid w:val="007E1FAF"/>
    <w:rsid w:val="007E2D1F"/>
    <w:rsid w:val="007E3E99"/>
    <w:rsid w:val="007E5DAD"/>
    <w:rsid w:val="007E6802"/>
    <w:rsid w:val="007F051D"/>
    <w:rsid w:val="007F0572"/>
    <w:rsid w:val="007F0A15"/>
    <w:rsid w:val="007F0DDF"/>
    <w:rsid w:val="007F113F"/>
    <w:rsid w:val="007F19DB"/>
    <w:rsid w:val="007F267F"/>
    <w:rsid w:val="007F2A45"/>
    <w:rsid w:val="007F582D"/>
    <w:rsid w:val="007F711F"/>
    <w:rsid w:val="00800740"/>
    <w:rsid w:val="00803EBC"/>
    <w:rsid w:val="008048B5"/>
    <w:rsid w:val="00805308"/>
    <w:rsid w:val="008068EA"/>
    <w:rsid w:val="008072F6"/>
    <w:rsid w:val="00810541"/>
    <w:rsid w:val="0081126E"/>
    <w:rsid w:val="008126C6"/>
    <w:rsid w:val="00812D09"/>
    <w:rsid w:val="00814813"/>
    <w:rsid w:val="0081608C"/>
    <w:rsid w:val="008210A4"/>
    <w:rsid w:val="00821650"/>
    <w:rsid w:val="00823653"/>
    <w:rsid w:val="0082387E"/>
    <w:rsid w:val="00823B85"/>
    <w:rsid w:val="00823FC1"/>
    <w:rsid w:val="008253C8"/>
    <w:rsid w:val="0082548A"/>
    <w:rsid w:val="00825546"/>
    <w:rsid w:val="008276F8"/>
    <w:rsid w:val="008310D1"/>
    <w:rsid w:val="00831FA5"/>
    <w:rsid w:val="00832870"/>
    <w:rsid w:val="0083362F"/>
    <w:rsid w:val="008368A8"/>
    <w:rsid w:val="008377A7"/>
    <w:rsid w:val="00837B7D"/>
    <w:rsid w:val="00840158"/>
    <w:rsid w:val="00841222"/>
    <w:rsid w:val="00842AE9"/>
    <w:rsid w:val="008439FF"/>
    <w:rsid w:val="00845641"/>
    <w:rsid w:val="00845B5F"/>
    <w:rsid w:val="00846276"/>
    <w:rsid w:val="00847265"/>
    <w:rsid w:val="00850077"/>
    <w:rsid w:val="008505C4"/>
    <w:rsid w:val="00851438"/>
    <w:rsid w:val="00851932"/>
    <w:rsid w:val="00851966"/>
    <w:rsid w:val="0085292C"/>
    <w:rsid w:val="00853595"/>
    <w:rsid w:val="0085408F"/>
    <w:rsid w:val="00854B2A"/>
    <w:rsid w:val="0085517A"/>
    <w:rsid w:val="0085542B"/>
    <w:rsid w:val="0085631B"/>
    <w:rsid w:val="00856B60"/>
    <w:rsid w:val="008578E3"/>
    <w:rsid w:val="00857A39"/>
    <w:rsid w:val="008606C1"/>
    <w:rsid w:val="00861184"/>
    <w:rsid w:val="008616C3"/>
    <w:rsid w:val="008622EE"/>
    <w:rsid w:val="008644E9"/>
    <w:rsid w:val="00864B18"/>
    <w:rsid w:val="00866F94"/>
    <w:rsid w:val="00870A38"/>
    <w:rsid w:val="00870C14"/>
    <w:rsid w:val="008712DB"/>
    <w:rsid w:val="008713B5"/>
    <w:rsid w:val="00871D6A"/>
    <w:rsid w:val="00872602"/>
    <w:rsid w:val="00874292"/>
    <w:rsid w:val="00874B0A"/>
    <w:rsid w:val="00875A9C"/>
    <w:rsid w:val="00875E3F"/>
    <w:rsid w:val="00881080"/>
    <w:rsid w:val="00881235"/>
    <w:rsid w:val="00883F55"/>
    <w:rsid w:val="008848C5"/>
    <w:rsid w:val="00884CF7"/>
    <w:rsid w:val="00885D3A"/>
    <w:rsid w:val="00886B5E"/>
    <w:rsid w:val="00887128"/>
    <w:rsid w:val="0088773E"/>
    <w:rsid w:val="00890477"/>
    <w:rsid w:val="0089060C"/>
    <w:rsid w:val="00891063"/>
    <w:rsid w:val="00891F46"/>
    <w:rsid w:val="00892C07"/>
    <w:rsid w:val="00892D11"/>
    <w:rsid w:val="008A27F8"/>
    <w:rsid w:val="008A3A55"/>
    <w:rsid w:val="008A418A"/>
    <w:rsid w:val="008A4CDE"/>
    <w:rsid w:val="008A59F5"/>
    <w:rsid w:val="008A5A1C"/>
    <w:rsid w:val="008A70C4"/>
    <w:rsid w:val="008B0D5D"/>
    <w:rsid w:val="008B0D83"/>
    <w:rsid w:val="008B3420"/>
    <w:rsid w:val="008B3AE0"/>
    <w:rsid w:val="008B3E49"/>
    <w:rsid w:val="008B3F42"/>
    <w:rsid w:val="008B405C"/>
    <w:rsid w:val="008B494E"/>
    <w:rsid w:val="008B5CE1"/>
    <w:rsid w:val="008B643D"/>
    <w:rsid w:val="008B7330"/>
    <w:rsid w:val="008C0351"/>
    <w:rsid w:val="008C3172"/>
    <w:rsid w:val="008C38AE"/>
    <w:rsid w:val="008C50FD"/>
    <w:rsid w:val="008C64B2"/>
    <w:rsid w:val="008C6780"/>
    <w:rsid w:val="008C6EE5"/>
    <w:rsid w:val="008C763D"/>
    <w:rsid w:val="008D053F"/>
    <w:rsid w:val="008D0C06"/>
    <w:rsid w:val="008D2876"/>
    <w:rsid w:val="008D4407"/>
    <w:rsid w:val="008D483C"/>
    <w:rsid w:val="008D53BB"/>
    <w:rsid w:val="008D6941"/>
    <w:rsid w:val="008E1206"/>
    <w:rsid w:val="008E20FF"/>
    <w:rsid w:val="008E340E"/>
    <w:rsid w:val="008E3F2B"/>
    <w:rsid w:val="008E428F"/>
    <w:rsid w:val="008E5B9B"/>
    <w:rsid w:val="008E66FB"/>
    <w:rsid w:val="008E7193"/>
    <w:rsid w:val="008F1074"/>
    <w:rsid w:val="008F1444"/>
    <w:rsid w:val="008F1E25"/>
    <w:rsid w:val="008F3060"/>
    <w:rsid w:val="008F5412"/>
    <w:rsid w:val="008F59EB"/>
    <w:rsid w:val="008F6BED"/>
    <w:rsid w:val="008F6C5D"/>
    <w:rsid w:val="008F7075"/>
    <w:rsid w:val="008F74E7"/>
    <w:rsid w:val="008F7C2D"/>
    <w:rsid w:val="008F7DC3"/>
    <w:rsid w:val="0090029E"/>
    <w:rsid w:val="00901240"/>
    <w:rsid w:val="00901A0F"/>
    <w:rsid w:val="00901F02"/>
    <w:rsid w:val="00902A6D"/>
    <w:rsid w:val="00902D6F"/>
    <w:rsid w:val="00903997"/>
    <w:rsid w:val="00904F45"/>
    <w:rsid w:val="009067CC"/>
    <w:rsid w:val="0090687F"/>
    <w:rsid w:val="00906D7B"/>
    <w:rsid w:val="0090719A"/>
    <w:rsid w:val="009072EC"/>
    <w:rsid w:val="009102DB"/>
    <w:rsid w:val="00910CCE"/>
    <w:rsid w:val="00911AC1"/>
    <w:rsid w:val="00912578"/>
    <w:rsid w:val="00912840"/>
    <w:rsid w:val="00912EC4"/>
    <w:rsid w:val="0091339C"/>
    <w:rsid w:val="0091361C"/>
    <w:rsid w:val="00913C99"/>
    <w:rsid w:val="00915019"/>
    <w:rsid w:val="00915F27"/>
    <w:rsid w:val="00916E00"/>
    <w:rsid w:val="00917040"/>
    <w:rsid w:val="009200E0"/>
    <w:rsid w:val="00920AC4"/>
    <w:rsid w:val="00921207"/>
    <w:rsid w:val="0092281A"/>
    <w:rsid w:val="00922FD9"/>
    <w:rsid w:val="00923797"/>
    <w:rsid w:val="009239F0"/>
    <w:rsid w:val="009245AA"/>
    <w:rsid w:val="0092578C"/>
    <w:rsid w:val="009262F8"/>
    <w:rsid w:val="009277FF"/>
    <w:rsid w:val="00927B57"/>
    <w:rsid w:val="00931058"/>
    <w:rsid w:val="0093269D"/>
    <w:rsid w:val="00934DC4"/>
    <w:rsid w:val="00936478"/>
    <w:rsid w:val="0093677D"/>
    <w:rsid w:val="0093773F"/>
    <w:rsid w:val="00937E2F"/>
    <w:rsid w:val="0094031A"/>
    <w:rsid w:val="0094140D"/>
    <w:rsid w:val="00941E1C"/>
    <w:rsid w:val="00942C0D"/>
    <w:rsid w:val="00943571"/>
    <w:rsid w:val="00943E07"/>
    <w:rsid w:val="009450C2"/>
    <w:rsid w:val="00945866"/>
    <w:rsid w:val="0094610A"/>
    <w:rsid w:val="00946154"/>
    <w:rsid w:val="00946782"/>
    <w:rsid w:val="009467E6"/>
    <w:rsid w:val="009468AC"/>
    <w:rsid w:val="00946B4F"/>
    <w:rsid w:val="00950524"/>
    <w:rsid w:val="009506BF"/>
    <w:rsid w:val="00950802"/>
    <w:rsid w:val="0095104E"/>
    <w:rsid w:val="00951E69"/>
    <w:rsid w:val="0095324C"/>
    <w:rsid w:val="00953A31"/>
    <w:rsid w:val="00953D85"/>
    <w:rsid w:val="00954162"/>
    <w:rsid w:val="00954241"/>
    <w:rsid w:val="00954656"/>
    <w:rsid w:val="00955765"/>
    <w:rsid w:val="00962F11"/>
    <w:rsid w:val="009667FA"/>
    <w:rsid w:val="0096758A"/>
    <w:rsid w:val="00974414"/>
    <w:rsid w:val="00975D96"/>
    <w:rsid w:val="00977E01"/>
    <w:rsid w:val="00977EB1"/>
    <w:rsid w:val="00982F6F"/>
    <w:rsid w:val="00983C60"/>
    <w:rsid w:val="009841D2"/>
    <w:rsid w:val="00984265"/>
    <w:rsid w:val="0098457C"/>
    <w:rsid w:val="0098479C"/>
    <w:rsid w:val="00985B00"/>
    <w:rsid w:val="009864D9"/>
    <w:rsid w:val="00986807"/>
    <w:rsid w:val="00987403"/>
    <w:rsid w:val="0098773B"/>
    <w:rsid w:val="009878CF"/>
    <w:rsid w:val="00987CCA"/>
    <w:rsid w:val="009905CC"/>
    <w:rsid w:val="00990FB4"/>
    <w:rsid w:val="009938E7"/>
    <w:rsid w:val="00993AA0"/>
    <w:rsid w:val="00995CDD"/>
    <w:rsid w:val="0099642D"/>
    <w:rsid w:val="00997B23"/>
    <w:rsid w:val="00997C7C"/>
    <w:rsid w:val="00997D92"/>
    <w:rsid w:val="009A4349"/>
    <w:rsid w:val="009A47FB"/>
    <w:rsid w:val="009A4A76"/>
    <w:rsid w:val="009A4C72"/>
    <w:rsid w:val="009A4FAD"/>
    <w:rsid w:val="009A59D5"/>
    <w:rsid w:val="009A7398"/>
    <w:rsid w:val="009B0055"/>
    <w:rsid w:val="009B10CD"/>
    <w:rsid w:val="009B2559"/>
    <w:rsid w:val="009B2918"/>
    <w:rsid w:val="009B4DAB"/>
    <w:rsid w:val="009B5B26"/>
    <w:rsid w:val="009B5CBC"/>
    <w:rsid w:val="009B5FBB"/>
    <w:rsid w:val="009B6993"/>
    <w:rsid w:val="009B76A5"/>
    <w:rsid w:val="009B775A"/>
    <w:rsid w:val="009C1AF3"/>
    <w:rsid w:val="009C1F2B"/>
    <w:rsid w:val="009C27CC"/>
    <w:rsid w:val="009C3264"/>
    <w:rsid w:val="009C36B1"/>
    <w:rsid w:val="009C3E0F"/>
    <w:rsid w:val="009C4C7D"/>
    <w:rsid w:val="009C4C96"/>
    <w:rsid w:val="009C63AE"/>
    <w:rsid w:val="009C7ABB"/>
    <w:rsid w:val="009C7D09"/>
    <w:rsid w:val="009D00FD"/>
    <w:rsid w:val="009D041D"/>
    <w:rsid w:val="009D0ABE"/>
    <w:rsid w:val="009D0AD8"/>
    <w:rsid w:val="009D1769"/>
    <w:rsid w:val="009D35A5"/>
    <w:rsid w:val="009D3F8E"/>
    <w:rsid w:val="009D4CFA"/>
    <w:rsid w:val="009D6F51"/>
    <w:rsid w:val="009D7C50"/>
    <w:rsid w:val="009E1C67"/>
    <w:rsid w:val="009E2567"/>
    <w:rsid w:val="009E306E"/>
    <w:rsid w:val="009E42D7"/>
    <w:rsid w:val="009E5CA4"/>
    <w:rsid w:val="009E64A0"/>
    <w:rsid w:val="009E70D6"/>
    <w:rsid w:val="009E7595"/>
    <w:rsid w:val="009F01E7"/>
    <w:rsid w:val="009F0CA7"/>
    <w:rsid w:val="009F225B"/>
    <w:rsid w:val="009F3F72"/>
    <w:rsid w:val="009F42D1"/>
    <w:rsid w:val="009F46ED"/>
    <w:rsid w:val="009F61FB"/>
    <w:rsid w:val="009F7B6E"/>
    <w:rsid w:val="00A00292"/>
    <w:rsid w:val="00A002D0"/>
    <w:rsid w:val="00A019F8"/>
    <w:rsid w:val="00A0260B"/>
    <w:rsid w:val="00A03306"/>
    <w:rsid w:val="00A0350E"/>
    <w:rsid w:val="00A10759"/>
    <w:rsid w:val="00A11263"/>
    <w:rsid w:val="00A11C86"/>
    <w:rsid w:val="00A1245D"/>
    <w:rsid w:val="00A1250B"/>
    <w:rsid w:val="00A1326B"/>
    <w:rsid w:val="00A13CAA"/>
    <w:rsid w:val="00A16311"/>
    <w:rsid w:val="00A208DC"/>
    <w:rsid w:val="00A21150"/>
    <w:rsid w:val="00A21A96"/>
    <w:rsid w:val="00A267B5"/>
    <w:rsid w:val="00A27563"/>
    <w:rsid w:val="00A3079A"/>
    <w:rsid w:val="00A31559"/>
    <w:rsid w:val="00A31AF6"/>
    <w:rsid w:val="00A32A29"/>
    <w:rsid w:val="00A32D2E"/>
    <w:rsid w:val="00A414C1"/>
    <w:rsid w:val="00A41B01"/>
    <w:rsid w:val="00A423A4"/>
    <w:rsid w:val="00A43D8E"/>
    <w:rsid w:val="00A44890"/>
    <w:rsid w:val="00A44CFC"/>
    <w:rsid w:val="00A4546D"/>
    <w:rsid w:val="00A457F7"/>
    <w:rsid w:val="00A45AFB"/>
    <w:rsid w:val="00A461DF"/>
    <w:rsid w:val="00A46A02"/>
    <w:rsid w:val="00A46BDA"/>
    <w:rsid w:val="00A46EC2"/>
    <w:rsid w:val="00A470D3"/>
    <w:rsid w:val="00A50370"/>
    <w:rsid w:val="00A52754"/>
    <w:rsid w:val="00A56B50"/>
    <w:rsid w:val="00A60E1F"/>
    <w:rsid w:val="00A61203"/>
    <w:rsid w:val="00A622BD"/>
    <w:rsid w:val="00A62E06"/>
    <w:rsid w:val="00A63F52"/>
    <w:rsid w:val="00A667AF"/>
    <w:rsid w:val="00A66E3B"/>
    <w:rsid w:val="00A674E0"/>
    <w:rsid w:val="00A70022"/>
    <w:rsid w:val="00A7319A"/>
    <w:rsid w:val="00A74750"/>
    <w:rsid w:val="00A754AD"/>
    <w:rsid w:val="00A75A31"/>
    <w:rsid w:val="00A7656C"/>
    <w:rsid w:val="00A81374"/>
    <w:rsid w:val="00A8177E"/>
    <w:rsid w:val="00A826B6"/>
    <w:rsid w:val="00A828A1"/>
    <w:rsid w:val="00A82BFB"/>
    <w:rsid w:val="00A831C5"/>
    <w:rsid w:val="00A83642"/>
    <w:rsid w:val="00A8463B"/>
    <w:rsid w:val="00A846BD"/>
    <w:rsid w:val="00A85A2D"/>
    <w:rsid w:val="00A86C24"/>
    <w:rsid w:val="00A872E7"/>
    <w:rsid w:val="00A879E2"/>
    <w:rsid w:val="00A90243"/>
    <w:rsid w:val="00A90D52"/>
    <w:rsid w:val="00A91232"/>
    <w:rsid w:val="00A91724"/>
    <w:rsid w:val="00A94595"/>
    <w:rsid w:val="00A953EC"/>
    <w:rsid w:val="00A95401"/>
    <w:rsid w:val="00A972FA"/>
    <w:rsid w:val="00A97668"/>
    <w:rsid w:val="00AA03F1"/>
    <w:rsid w:val="00AA1194"/>
    <w:rsid w:val="00AA2009"/>
    <w:rsid w:val="00AA38E0"/>
    <w:rsid w:val="00AA3D95"/>
    <w:rsid w:val="00AA42A8"/>
    <w:rsid w:val="00AA481F"/>
    <w:rsid w:val="00AA5088"/>
    <w:rsid w:val="00AA5198"/>
    <w:rsid w:val="00AA7270"/>
    <w:rsid w:val="00AA744C"/>
    <w:rsid w:val="00AA7494"/>
    <w:rsid w:val="00AB1A8A"/>
    <w:rsid w:val="00AB1BDD"/>
    <w:rsid w:val="00AB27AD"/>
    <w:rsid w:val="00AB3335"/>
    <w:rsid w:val="00AB3AE9"/>
    <w:rsid w:val="00AB3EBA"/>
    <w:rsid w:val="00AB5620"/>
    <w:rsid w:val="00AB5CC9"/>
    <w:rsid w:val="00AB6768"/>
    <w:rsid w:val="00AC1DE1"/>
    <w:rsid w:val="00AC210E"/>
    <w:rsid w:val="00AC25F4"/>
    <w:rsid w:val="00AC38F1"/>
    <w:rsid w:val="00AC4813"/>
    <w:rsid w:val="00AC48B1"/>
    <w:rsid w:val="00AC4E03"/>
    <w:rsid w:val="00AC5208"/>
    <w:rsid w:val="00AC5DD6"/>
    <w:rsid w:val="00AC5DE6"/>
    <w:rsid w:val="00AC6B39"/>
    <w:rsid w:val="00AC7999"/>
    <w:rsid w:val="00AD12AD"/>
    <w:rsid w:val="00AD36C0"/>
    <w:rsid w:val="00AD37BB"/>
    <w:rsid w:val="00AD3DF0"/>
    <w:rsid w:val="00AD3E87"/>
    <w:rsid w:val="00AD41D9"/>
    <w:rsid w:val="00AD5927"/>
    <w:rsid w:val="00AD5C17"/>
    <w:rsid w:val="00AD5E21"/>
    <w:rsid w:val="00AD6F75"/>
    <w:rsid w:val="00AE0B14"/>
    <w:rsid w:val="00AE13FF"/>
    <w:rsid w:val="00AE4662"/>
    <w:rsid w:val="00AE5432"/>
    <w:rsid w:val="00AE661D"/>
    <w:rsid w:val="00AE693C"/>
    <w:rsid w:val="00AE697A"/>
    <w:rsid w:val="00AE78D3"/>
    <w:rsid w:val="00AE7EEA"/>
    <w:rsid w:val="00AF0C1B"/>
    <w:rsid w:val="00AF12C1"/>
    <w:rsid w:val="00AF26BD"/>
    <w:rsid w:val="00AF29DD"/>
    <w:rsid w:val="00AF3772"/>
    <w:rsid w:val="00AF53AD"/>
    <w:rsid w:val="00AF550E"/>
    <w:rsid w:val="00AF73CA"/>
    <w:rsid w:val="00AF7526"/>
    <w:rsid w:val="00AF7FB2"/>
    <w:rsid w:val="00B01727"/>
    <w:rsid w:val="00B0568B"/>
    <w:rsid w:val="00B05C62"/>
    <w:rsid w:val="00B067CC"/>
    <w:rsid w:val="00B10419"/>
    <w:rsid w:val="00B10817"/>
    <w:rsid w:val="00B10D89"/>
    <w:rsid w:val="00B1268E"/>
    <w:rsid w:val="00B13433"/>
    <w:rsid w:val="00B13887"/>
    <w:rsid w:val="00B14BD3"/>
    <w:rsid w:val="00B15A4A"/>
    <w:rsid w:val="00B15CC8"/>
    <w:rsid w:val="00B16FE7"/>
    <w:rsid w:val="00B21A17"/>
    <w:rsid w:val="00B21FD6"/>
    <w:rsid w:val="00B21FEE"/>
    <w:rsid w:val="00B224B9"/>
    <w:rsid w:val="00B231E2"/>
    <w:rsid w:val="00B24311"/>
    <w:rsid w:val="00B2748A"/>
    <w:rsid w:val="00B27D6E"/>
    <w:rsid w:val="00B305E4"/>
    <w:rsid w:val="00B30738"/>
    <w:rsid w:val="00B3124A"/>
    <w:rsid w:val="00B33633"/>
    <w:rsid w:val="00B348A4"/>
    <w:rsid w:val="00B35531"/>
    <w:rsid w:val="00B35FAD"/>
    <w:rsid w:val="00B36C0F"/>
    <w:rsid w:val="00B4083E"/>
    <w:rsid w:val="00B434AF"/>
    <w:rsid w:val="00B436CC"/>
    <w:rsid w:val="00B451B0"/>
    <w:rsid w:val="00B45851"/>
    <w:rsid w:val="00B4797B"/>
    <w:rsid w:val="00B5071E"/>
    <w:rsid w:val="00B50720"/>
    <w:rsid w:val="00B512B6"/>
    <w:rsid w:val="00B51F60"/>
    <w:rsid w:val="00B522C7"/>
    <w:rsid w:val="00B52F1D"/>
    <w:rsid w:val="00B54949"/>
    <w:rsid w:val="00B5530E"/>
    <w:rsid w:val="00B55A48"/>
    <w:rsid w:val="00B56180"/>
    <w:rsid w:val="00B57204"/>
    <w:rsid w:val="00B61AC5"/>
    <w:rsid w:val="00B61F4C"/>
    <w:rsid w:val="00B63581"/>
    <w:rsid w:val="00B636A6"/>
    <w:rsid w:val="00B643DE"/>
    <w:rsid w:val="00B666D2"/>
    <w:rsid w:val="00B66F8B"/>
    <w:rsid w:val="00B67F99"/>
    <w:rsid w:val="00B70049"/>
    <w:rsid w:val="00B71CA9"/>
    <w:rsid w:val="00B7287D"/>
    <w:rsid w:val="00B733A3"/>
    <w:rsid w:val="00B7379F"/>
    <w:rsid w:val="00B7581E"/>
    <w:rsid w:val="00B76639"/>
    <w:rsid w:val="00B811EE"/>
    <w:rsid w:val="00B818A6"/>
    <w:rsid w:val="00B84466"/>
    <w:rsid w:val="00B84B75"/>
    <w:rsid w:val="00B873A0"/>
    <w:rsid w:val="00B87C0C"/>
    <w:rsid w:val="00B91C63"/>
    <w:rsid w:val="00B91D60"/>
    <w:rsid w:val="00B9404B"/>
    <w:rsid w:val="00B94056"/>
    <w:rsid w:val="00B94AA7"/>
    <w:rsid w:val="00B94E76"/>
    <w:rsid w:val="00B95762"/>
    <w:rsid w:val="00B97392"/>
    <w:rsid w:val="00B97789"/>
    <w:rsid w:val="00BA0625"/>
    <w:rsid w:val="00BA0B87"/>
    <w:rsid w:val="00BA2380"/>
    <w:rsid w:val="00BA2BC0"/>
    <w:rsid w:val="00BA45F5"/>
    <w:rsid w:val="00BA4D68"/>
    <w:rsid w:val="00BA5A76"/>
    <w:rsid w:val="00BA5AD7"/>
    <w:rsid w:val="00BA5F33"/>
    <w:rsid w:val="00BA5F59"/>
    <w:rsid w:val="00BA6D1C"/>
    <w:rsid w:val="00BA7C45"/>
    <w:rsid w:val="00BA7F40"/>
    <w:rsid w:val="00BB0288"/>
    <w:rsid w:val="00BB0DDC"/>
    <w:rsid w:val="00BB14A2"/>
    <w:rsid w:val="00BB193A"/>
    <w:rsid w:val="00BB42C4"/>
    <w:rsid w:val="00BB5913"/>
    <w:rsid w:val="00BB7B42"/>
    <w:rsid w:val="00BC3B79"/>
    <w:rsid w:val="00BC4508"/>
    <w:rsid w:val="00BC4509"/>
    <w:rsid w:val="00BC5874"/>
    <w:rsid w:val="00BC5E00"/>
    <w:rsid w:val="00BD003C"/>
    <w:rsid w:val="00BD167F"/>
    <w:rsid w:val="00BD1853"/>
    <w:rsid w:val="00BD64DF"/>
    <w:rsid w:val="00BD6DF7"/>
    <w:rsid w:val="00BD6EE7"/>
    <w:rsid w:val="00BE16DD"/>
    <w:rsid w:val="00BE27E6"/>
    <w:rsid w:val="00BE4410"/>
    <w:rsid w:val="00BE4B81"/>
    <w:rsid w:val="00BE536E"/>
    <w:rsid w:val="00BE613C"/>
    <w:rsid w:val="00BE699A"/>
    <w:rsid w:val="00BE7E1D"/>
    <w:rsid w:val="00BF0D73"/>
    <w:rsid w:val="00BF626A"/>
    <w:rsid w:val="00BF7CD5"/>
    <w:rsid w:val="00C01E1A"/>
    <w:rsid w:val="00C03E43"/>
    <w:rsid w:val="00C04380"/>
    <w:rsid w:val="00C05530"/>
    <w:rsid w:val="00C065B9"/>
    <w:rsid w:val="00C07C77"/>
    <w:rsid w:val="00C128F2"/>
    <w:rsid w:val="00C14148"/>
    <w:rsid w:val="00C146F6"/>
    <w:rsid w:val="00C155E4"/>
    <w:rsid w:val="00C15650"/>
    <w:rsid w:val="00C1570E"/>
    <w:rsid w:val="00C15B2A"/>
    <w:rsid w:val="00C15D67"/>
    <w:rsid w:val="00C16578"/>
    <w:rsid w:val="00C20D99"/>
    <w:rsid w:val="00C21775"/>
    <w:rsid w:val="00C21A19"/>
    <w:rsid w:val="00C227BA"/>
    <w:rsid w:val="00C2589D"/>
    <w:rsid w:val="00C2615C"/>
    <w:rsid w:val="00C26D7A"/>
    <w:rsid w:val="00C27928"/>
    <w:rsid w:val="00C30992"/>
    <w:rsid w:val="00C30F23"/>
    <w:rsid w:val="00C32A8A"/>
    <w:rsid w:val="00C32D0F"/>
    <w:rsid w:val="00C32F18"/>
    <w:rsid w:val="00C33CEF"/>
    <w:rsid w:val="00C3542C"/>
    <w:rsid w:val="00C35818"/>
    <w:rsid w:val="00C35DE2"/>
    <w:rsid w:val="00C3601E"/>
    <w:rsid w:val="00C36297"/>
    <w:rsid w:val="00C40627"/>
    <w:rsid w:val="00C40DED"/>
    <w:rsid w:val="00C41763"/>
    <w:rsid w:val="00C419E1"/>
    <w:rsid w:val="00C41B2A"/>
    <w:rsid w:val="00C42D15"/>
    <w:rsid w:val="00C43F9F"/>
    <w:rsid w:val="00C44030"/>
    <w:rsid w:val="00C45010"/>
    <w:rsid w:val="00C45A27"/>
    <w:rsid w:val="00C50867"/>
    <w:rsid w:val="00C509E7"/>
    <w:rsid w:val="00C513F0"/>
    <w:rsid w:val="00C5188A"/>
    <w:rsid w:val="00C5688E"/>
    <w:rsid w:val="00C61412"/>
    <w:rsid w:val="00C6141F"/>
    <w:rsid w:val="00C61FEB"/>
    <w:rsid w:val="00C62B1E"/>
    <w:rsid w:val="00C63390"/>
    <w:rsid w:val="00C639B1"/>
    <w:rsid w:val="00C6490B"/>
    <w:rsid w:val="00C64B6C"/>
    <w:rsid w:val="00C67971"/>
    <w:rsid w:val="00C70233"/>
    <w:rsid w:val="00C70B60"/>
    <w:rsid w:val="00C713AF"/>
    <w:rsid w:val="00C715CF"/>
    <w:rsid w:val="00C71ED8"/>
    <w:rsid w:val="00C7281D"/>
    <w:rsid w:val="00C74C62"/>
    <w:rsid w:val="00C75180"/>
    <w:rsid w:val="00C75AFF"/>
    <w:rsid w:val="00C769A8"/>
    <w:rsid w:val="00C76C30"/>
    <w:rsid w:val="00C77389"/>
    <w:rsid w:val="00C80848"/>
    <w:rsid w:val="00C81A78"/>
    <w:rsid w:val="00C81BE9"/>
    <w:rsid w:val="00C81C28"/>
    <w:rsid w:val="00C82D54"/>
    <w:rsid w:val="00C84473"/>
    <w:rsid w:val="00C84A8E"/>
    <w:rsid w:val="00C859EF"/>
    <w:rsid w:val="00C87C11"/>
    <w:rsid w:val="00C9058F"/>
    <w:rsid w:val="00C92FD4"/>
    <w:rsid w:val="00C945BA"/>
    <w:rsid w:val="00C94BAF"/>
    <w:rsid w:val="00C95470"/>
    <w:rsid w:val="00C96DFB"/>
    <w:rsid w:val="00C9707C"/>
    <w:rsid w:val="00C97756"/>
    <w:rsid w:val="00C97C25"/>
    <w:rsid w:val="00CA0260"/>
    <w:rsid w:val="00CA15A4"/>
    <w:rsid w:val="00CA32BB"/>
    <w:rsid w:val="00CA3C3C"/>
    <w:rsid w:val="00CA3CD7"/>
    <w:rsid w:val="00CA3D8D"/>
    <w:rsid w:val="00CA3D92"/>
    <w:rsid w:val="00CA3FA8"/>
    <w:rsid w:val="00CA455D"/>
    <w:rsid w:val="00CA6512"/>
    <w:rsid w:val="00CA657D"/>
    <w:rsid w:val="00CB24B8"/>
    <w:rsid w:val="00CB4285"/>
    <w:rsid w:val="00CB55DA"/>
    <w:rsid w:val="00CB5928"/>
    <w:rsid w:val="00CB69F3"/>
    <w:rsid w:val="00CB76AB"/>
    <w:rsid w:val="00CC06EE"/>
    <w:rsid w:val="00CC20DD"/>
    <w:rsid w:val="00CC27F8"/>
    <w:rsid w:val="00CC2B53"/>
    <w:rsid w:val="00CC40FC"/>
    <w:rsid w:val="00CC5634"/>
    <w:rsid w:val="00CC654C"/>
    <w:rsid w:val="00CC6E58"/>
    <w:rsid w:val="00CC7782"/>
    <w:rsid w:val="00CD1760"/>
    <w:rsid w:val="00CD3C14"/>
    <w:rsid w:val="00CD3F00"/>
    <w:rsid w:val="00CD6746"/>
    <w:rsid w:val="00CD6962"/>
    <w:rsid w:val="00CD7C6D"/>
    <w:rsid w:val="00CD7D7D"/>
    <w:rsid w:val="00CE11FB"/>
    <w:rsid w:val="00CE2239"/>
    <w:rsid w:val="00CE3E45"/>
    <w:rsid w:val="00CE4575"/>
    <w:rsid w:val="00CE541D"/>
    <w:rsid w:val="00CE5ABF"/>
    <w:rsid w:val="00CE67F7"/>
    <w:rsid w:val="00CE6BA0"/>
    <w:rsid w:val="00CF0E1B"/>
    <w:rsid w:val="00CF1A05"/>
    <w:rsid w:val="00CF270F"/>
    <w:rsid w:val="00CF2710"/>
    <w:rsid w:val="00CF478B"/>
    <w:rsid w:val="00CF4CCF"/>
    <w:rsid w:val="00D01013"/>
    <w:rsid w:val="00D028EA"/>
    <w:rsid w:val="00D02EC6"/>
    <w:rsid w:val="00D040A3"/>
    <w:rsid w:val="00D04A39"/>
    <w:rsid w:val="00D0553A"/>
    <w:rsid w:val="00D05676"/>
    <w:rsid w:val="00D05C8F"/>
    <w:rsid w:val="00D05E97"/>
    <w:rsid w:val="00D06AF3"/>
    <w:rsid w:val="00D07FBB"/>
    <w:rsid w:val="00D13D85"/>
    <w:rsid w:val="00D1626D"/>
    <w:rsid w:val="00D16CAE"/>
    <w:rsid w:val="00D16F40"/>
    <w:rsid w:val="00D17EA2"/>
    <w:rsid w:val="00D22B2A"/>
    <w:rsid w:val="00D2322F"/>
    <w:rsid w:val="00D23641"/>
    <w:rsid w:val="00D25DFC"/>
    <w:rsid w:val="00D2627B"/>
    <w:rsid w:val="00D26D04"/>
    <w:rsid w:val="00D27A80"/>
    <w:rsid w:val="00D30106"/>
    <w:rsid w:val="00D35A8A"/>
    <w:rsid w:val="00D36727"/>
    <w:rsid w:val="00D3798A"/>
    <w:rsid w:val="00D40701"/>
    <w:rsid w:val="00D40C9C"/>
    <w:rsid w:val="00D41A34"/>
    <w:rsid w:val="00D41BC3"/>
    <w:rsid w:val="00D43134"/>
    <w:rsid w:val="00D4686A"/>
    <w:rsid w:val="00D47630"/>
    <w:rsid w:val="00D47F26"/>
    <w:rsid w:val="00D502C9"/>
    <w:rsid w:val="00D520FA"/>
    <w:rsid w:val="00D52FC5"/>
    <w:rsid w:val="00D53B98"/>
    <w:rsid w:val="00D55557"/>
    <w:rsid w:val="00D55666"/>
    <w:rsid w:val="00D62380"/>
    <w:rsid w:val="00D6411D"/>
    <w:rsid w:val="00D661B2"/>
    <w:rsid w:val="00D6623C"/>
    <w:rsid w:val="00D66A28"/>
    <w:rsid w:val="00D66F76"/>
    <w:rsid w:val="00D70F9B"/>
    <w:rsid w:val="00D719AA"/>
    <w:rsid w:val="00D73D72"/>
    <w:rsid w:val="00D76704"/>
    <w:rsid w:val="00D829AB"/>
    <w:rsid w:val="00D82EE4"/>
    <w:rsid w:val="00D83611"/>
    <w:rsid w:val="00D84684"/>
    <w:rsid w:val="00D850D8"/>
    <w:rsid w:val="00D85198"/>
    <w:rsid w:val="00D853BF"/>
    <w:rsid w:val="00D85500"/>
    <w:rsid w:val="00D85BAA"/>
    <w:rsid w:val="00D8677B"/>
    <w:rsid w:val="00D86F39"/>
    <w:rsid w:val="00D870AA"/>
    <w:rsid w:val="00D8758A"/>
    <w:rsid w:val="00D87896"/>
    <w:rsid w:val="00D905E8"/>
    <w:rsid w:val="00D910F4"/>
    <w:rsid w:val="00D914FD"/>
    <w:rsid w:val="00D917F4"/>
    <w:rsid w:val="00D94696"/>
    <w:rsid w:val="00D94EA9"/>
    <w:rsid w:val="00D958FE"/>
    <w:rsid w:val="00D97012"/>
    <w:rsid w:val="00D97108"/>
    <w:rsid w:val="00D97464"/>
    <w:rsid w:val="00D97680"/>
    <w:rsid w:val="00D97849"/>
    <w:rsid w:val="00DA0825"/>
    <w:rsid w:val="00DA0EAF"/>
    <w:rsid w:val="00DA258D"/>
    <w:rsid w:val="00DA36FD"/>
    <w:rsid w:val="00DA4556"/>
    <w:rsid w:val="00DA4FDF"/>
    <w:rsid w:val="00DA5C37"/>
    <w:rsid w:val="00DA763F"/>
    <w:rsid w:val="00DA7D36"/>
    <w:rsid w:val="00DB0F42"/>
    <w:rsid w:val="00DB199E"/>
    <w:rsid w:val="00DB2DAA"/>
    <w:rsid w:val="00DB3003"/>
    <w:rsid w:val="00DB377A"/>
    <w:rsid w:val="00DB3A50"/>
    <w:rsid w:val="00DB4CEE"/>
    <w:rsid w:val="00DB4FD0"/>
    <w:rsid w:val="00DB663A"/>
    <w:rsid w:val="00DB6B22"/>
    <w:rsid w:val="00DC107E"/>
    <w:rsid w:val="00DC33BF"/>
    <w:rsid w:val="00DC41DA"/>
    <w:rsid w:val="00DC4B6F"/>
    <w:rsid w:val="00DC4B94"/>
    <w:rsid w:val="00DC5BA2"/>
    <w:rsid w:val="00DD007E"/>
    <w:rsid w:val="00DD05F1"/>
    <w:rsid w:val="00DD06C2"/>
    <w:rsid w:val="00DD113A"/>
    <w:rsid w:val="00DD17DD"/>
    <w:rsid w:val="00DD2FA2"/>
    <w:rsid w:val="00DD3800"/>
    <w:rsid w:val="00DD4F97"/>
    <w:rsid w:val="00DD51C0"/>
    <w:rsid w:val="00DD52BD"/>
    <w:rsid w:val="00DD5711"/>
    <w:rsid w:val="00DD6958"/>
    <w:rsid w:val="00DD6EAA"/>
    <w:rsid w:val="00DE00DA"/>
    <w:rsid w:val="00DE0A54"/>
    <w:rsid w:val="00DE0C22"/>
    <w:rsid w:val="00DE13EC"/>
    <w:rsid w:val="00DE1AD7"/>
    <w:rsid w:val="00DE35B8"/>
    <w:rsid w:val="00DE37D3"/>
    <w:rsid w:val="00DE404D"/>
    <w:rsid w:val="00DE5D94"/>
    <w:rsid w:val="00DE6C87"/>
    <w:rsid w:val="00DF16FD"/>
    <w:rsid w:val="00DF5CF9"/>
    <w:rsid w:val="00E00DCE"/>
    <w:rsid w:val="00E02BBA"/>
    <w:rsid w:val="00E045C9"/>
    <w:rsid w:val="00E04FCB"/>
    <w:rsid w:val="00E050E1"/>
    <w:rsid w:val="00E0544C"/>
    <w:rsid w:val="00E05C25"/>
    <w:rsid w:val="00E05E2C"/>
    <w:rsid w:val="00E11A52"/>
    <w:rsid w:val="00E13F8B"/>
    <w:rsid w:val="00E15A22"/>
    <w:rsid w:val="00E15C39"/>
    <w:rsid w:val="00E16494"/>
    <w:rsid w:val="00E1773A"/>
    <w:rsid w:val="00E213CD"/>
    <w:rsid w:val="00E23946"/>
    <w:rsid w:val="00E23B68"/>
    <w:rsid w:val="00E2433F"/>
    <w:rsid w:val="00E2493C"/>
    <w:rsid w:val="00E26C35"/>
    <w:rsid w:val="00E26FAE"/>
    <w:rsid w:val="00E27617"/>
    <w:rsid w:val="00E31B90"/>
    <w:rsid w:val="00E329BB"/>
    <w:rsid w:val="00E334F0"/>
    <w:rsid w:val="00E33C2F"/>
    <w:rsid w:val="00E36258"/>
    <w:rsid w:val="00E403EA"/>
    <w:rsid w:val="00E42662"/>
    <w:rsid w:val="00E439A1"/>
    <w:rsid w:val="00E442DC"/>
    <w:rsid w:val="00E442FD"/>
    <w:rsid w:val="00E445D6"/>
    <w:rsid w:val="00E44ABB"/>
    <w:rsid w:val="00E463B3"/>
    <w:rsid w:val="00E5095F"/>
    <w:rsid w:val="00E535B6"/>
    <w:rsid w:val="00E536A8"/>
    <w:rsid w:val="00E53E31"/>
    <w:rsid w:val="00E549EA"/>
    <w:rsid w:val="00E54D21"/>
    <w:rsid w:val="00E560C9"/>
    <w:rsid w:val="00E5670E"/>
    <w:rsid w:val="00E5740D"/>
    <w:rsid w:val="00E5764A"/>
    <w:rsid w:val="00E57E3C"/>
    <w:rsid w:val="00E61CD7"/>
    <w:rsid w:val="00E63995"/>
    <w:rsid w:val="00E63B4A"/>
    <w:rsid w:val="00E67328"/>
    <w:rsid w:val="00E6746D"/>
    <w:rsid w:val="00E704E9"/>
    <w:rsid w:val="00E71AF9"/>
    <w:rsid w:val="00E71B74"/>
    <w:rsid w:val="00E72829"/>
    <w:rsid w:val="00E72AA8"/>
    <w:rsid w:val="00E75D05"/>
    <w:rsid w:val="00E76440"/>
    <w:rsid w:val="00E77C9D"/>
    <w:rsid w:val="00E80DBA"/>
    <w:rsid w:val="00E821A9"/>
    <w:rsid w:val="00E82C21"/>
    <w:rsid w:val="00E8395E"/>
    <w:rsid w:val="00E84269"/>
    <w:rsid w:val="00E8521F"/>
    <w:rsid w:val="00E85AFE"/>
    <w:rsid w:val="00E86B42"/>
    <w:rsid w:val="00E91BF4"/>
    <w:rsid w:val="00E927B4"/>
    <w:rsid w:val="00E92F7B"/>
    <w:rsid w:val="00E93324"/>
    <w:rsid w:val="00E938C6"/>
    <w:rsid w:val="00E94134"/>
    <w:rsid w:val="00EA004E"/>
    <w:rsid w:val="00EA0E35"/>
    <w:rsid w:val="00EA30C3"/>
    <w:rsid w:val="00EA3502"/>
    <w:rsid w:val="00EA5818"/>
    <w:rsid w:val="00EA6478"/>
    <w:rsid w:val="00EA67BB"/>
    <w:rsid w:val="00EA6E8E"/>
    <w:rsid w:val="00EA7321"/>
    <w:rsid w:val="00EA7594"/>
    <w:rsid w:val="00EA76E0"/>
    <w:rsid w:val="00EB01BC"/>
    <w:rsid w:val="00EB22D6"/>
    <w:rsid w:val="00EB3833"/>
    <w:rsid w:val="00EB395D"/>
    <w:rsid w:val="00EB453F"/>
    <w:rsid w:val="00EB6582"/>
    <w:rsid w:val="00EB7BA1"/>
    <w:rsid w:val="00EC092A"/>
    <w:rsid w:val="00EC0FE1"/>
    <w:rsid w:val="00EC2AF1"/>
    <w:rsid w:val="00EC2C1F"/>
    <w:rsid w:val="00EC619B"/>
    <w:rsid w:val="00EC7B61"/>
    <w:rsid w:val="00ED1031"/>
    <w:rsid w:val="00ED1509"/>
    <w:rsid w:val="00ED1C89"/>
    <w:rsid w:val="00ED31E5"/>
    <w:rsid w:val="00ED37E7"/>
    <w:rsid w:val="00ED3EE8"/>
    <w:rsid w:val="00ED58D3"/>
    <w:rsid w:val="00ED683C"/>
    <w:rsid w:val="00ED6867"/>
    <w:rsid w:val="00ED7171"/>
    <w:rsid w:val="00ED77DE"/>
    <w:rsid w:val="00ED7CE0"/>
    <w:rsid w:val="00EE1914"/>
    <w:rsid w:val="00EE298D"/>
    <w:rsid w:val="00EE3063"/>
    <w:rsid w:val="00EE30F6"/>
    <w:rsid w:val="00EE401A"/>
    <w:rsid w:val="00EE40AE"/>
    <w:rsid w:val="00EE48F0"/>
    <w:rsid w:val="00EE6495"/>
    <w:rsid w:val="00EE6FD9"/>
    <w:rsid w:val="00EF1C4D"/>
    <w:rsid w:val="00EF23DE"/>
    <w:rsid w:val="00EF25FF"/>
    <w:rsid w:val="00EF343C"/>
    <w:rsid w:val="00EF4012"/>
    <w:rsid w:val="00EF4407"/>
    <w:rsid w:val="00EF4D24"/>
    <w:rsid w:val="00EF6A1B"/>
    <w:rsid w:val="00EF7370"/>
    <w:rsid w:val="00F0064B"/>
    <w:rsid w:val="00F0165C"/>
    <w:rsid w:val="00F038C6"/>
    <w:rsid w:val="00F0513C"/>
    <w:rsid w:val="00F05233"/>
    <w:rsid w:val="00F058C0"/>
    <w:rsid w:val="00F05FE1"/>
    <w:rsid w:val="00F06381"/>
    <w:rsid w:val="00F06D93"/>
    <w:rsid w:val="00F121A8"/>
    <w:rsid w:val="00F1401E"/>
    <w:rsid w:val="00F14020"/>
    <w:rsid w:val="00F141D7"/>
    <w:rsid w:val="00F15729"/>
    <w:rsid w:val="00F15E13"/>
    <w:rsid w:val="00F17650"/>
    <w:rsid w:val="00F17B9E"/>
    <w:rsid w:val="00F20501"/>
    <w:rsid w:val="00F215E2"/>
    <w:rsid w:val="00F21AE3"/>
    <w:rsid w:val="00F21B73"/>
    <w:rsid w:val="00F22C38"/>
    <w:rsid w:val="00F23332"/>
    <w:rsid w:val="00F24344"/>
    <w:rsid w:val="00F263F3"/>
    <w:rsid w:val="00F27087"/>
    <w:rsid w:val="00F27383"/>
    <w:rsid w:val="00F305B7"/>
    <w:rsid w:val="00F30635"/>
    <w:rsid w:val="00F30FBD"/>
    <w:rsid w:val="00F34887"/>
    <w:rsid w:val="00F34F8C"/>
    <w:rsid w:val="00F35556"/>
    <w:rsid w:val="00F35579"/>
    <w:rsid w:val="00F37142"/>
    <w:rsid w:val="00F40E79"/>
    <w:rsid w:val="00F41FFB"/>
    <w:rsid w:val="00F42045"/>
    <w:rsid w:val="00F42B22"/>
    <w:rsid w:val="00F42B93"/>
    <w:rsid w:val="00F4352F"/>
    <w:rsid w:val="00F43B3A"/>
    <w:rsid w:val="00F44F81"/>
    <w:rsid w:val="00F45401"/>
    <w:rsid w:val="00F46876"/>
    <w:rsid w:val="00F468D4"/>
    <w:rsid w:val="00F46E54"/>
    <w:rsid w:val="00F47168"/>
    <w:rsid w:val="00F47465"/>
    <w:rsid w:val="00F508E9"/>
    <w:rsid w:val="00F53225"/>
    <w:rsid w:val="00F53721"/>
    <w:rsid w:val="00F53DAC"/>
    <w:rsid w:val="00F541A5"/>
    <w:rsid w:val="00F56C03"/>
    <w:rsid w:val="00F60FEE"/>
    <w:rsid w:val="00F62561"/>
    <w:rsid w:val="00F62A11"/>
    <w:rsid w:val="00F63750"/>
    <w:rsid w:val="00F64EC0"/>
    <w:rsid w:val="00F655D0"/>
    <w:rsid w:val="00F6727C"/>
    <w:rsid w:val="00F71889"/>
    <w:rsid w:val="00F725A7"/>
    <w:rsid w:val="00F73630"/>
    <w:rsid w:val="00F73A3B"/>
    <w:rsid w:val="00F73D15"/>
    <w:rsid w:val="00F7758B"/>
    <w:rsid w:val="00F808DF"/>
    <w:rsid w:val="00F80FBC"/>
    <w:rsid w:val="00F8107C"/>
    <w:rsid w:val="00F82F11"/>
    <w:rsid w:val="00F82FBF"/>
    <w:rsid w:val="00F838F1"/>
    <w:rsid w:val="00F83A04"/>
    <w:rsid w:val="00F84510"/>
    <w:rsid w:val="00F84D0E"/>
    <w:rsid w:val="00F85BCC"/>
    <w:rsid w:val="00F87A5C"/>
    <w:rsid w:val="00F87D2E"/>
    <w:rsid w:val="00F91304"/>
    <w:rsid w:val="00F92A18"/>
    <w:rsid w:val="00F94A86"/>
    <w:rsid w:val="00F96100"/>
    <w:rsid w:val="00FA009D"/>
    <w:rsid w:val="00FA09CF"/>
    <w:rsid w:val="00FA143C"/>
    <w:rsid w:val="00FA14D7"/>
    <w:rsid w:val="00FA1BA7"/>
    <w:rsid w:val="00FA3C98"/>
    <w:rsid w:val="00FA5240"/>
    <w:rsid w:val="00FA64D5"/>
    <w:rsid w:val="00FA66D9"/>
    <w:rsid w:val="00FA79DC"/>
    <w:rsid w:val="00FA7CF3"/>
    <w:rsid w:val="00FB2EA1"/>
    <w:rsid w:val="00FB38C6"/>
    <w:rsid w:val="00FB4125"/>
    <w:rsid w:val="00FB6CA9"/>
    <w:rsid w:val="00FC20A0"/>
    <w:rsid w:val="00FC2DBE"/>
    <w:rsid w:val="00FC7E29"/>
    <w:rsid w:val="00FD0071"/>
    <w:rsid w:val="00FD0304"/>
    <w:rsid w:val="00FD069B"/>
    <w:rsid w:val="00FD3685"/>
    <w:rsid w:val="00FD390A"/>
    <w:rsid w:val="00FD558C"/>
    <w:rsid w:val="00FD61CE"/>
    <w:rsid w:val="00FD6540"/>
    <w:rsid w:val="00FD7D6F"/>
    <w:rsid w:val="00FE168A"/>
    <w:rsid w:val="00FE189A"/>
    <w:rsid w:val="00FE213B"/>
    <w:rsid w:val="00FE2328"/>
    <w:rsid w:val="00FE25FB"/>
    <w:rsid w:val="00FE2632"/>
    <w:rsid w:val="00FE4D0D"/>
    <w:rsid w:val="00FE61A2"/>
    <w:rsid w:val="00FE61CE"/>
    <w:rsid w:val="00FE6509"/>
    <w:rsid w:val="00FF1A17"/>
    <w:rsid w:val="00FF1A1F"/>
    <w:rsid w:val="00FF2722"/>
    <w:rsid w:val="00FF450F"/>
    <w:rsid w:val="00FF474D"/>
    <w:rsid w:val="00FF55F4"/>
    <w:rsid w:val="00FF5B7E"/>
    <w:rsid w:val="00FF751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4">
      <o:colormru v:ext="edit" colors="#2d575d,#34697c,#152a31"/>
    </o:shapedefaults>
    <o:shapelayout v:ext="edit">
      <o:idmap v:ext="edit" data="1"/>
      <o:rules v:ext="edit">
        <o:r id="V:Rule8" type="connector" idref="#AutoShape 53"/>
        <o:r id="V:Rule9" type="connector" idref="#AutoShape 50"/>
        <o:r id="V:Rule10" type="connector" idref="#AutoShape 49"/>
        <o:r id="V:Rule11" type="connector" idref="#AutoShape 51"/>
        <o:r id="V:Rule12" type="connector" idref="#AutoShape 54"/>
        <o:r id="V:Rule13" type="connector" idref="#AutoShape 52"/>
        <o:r id="V:Rule14" type="connector" idref="#AutoShape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footnote text" w:uiPriority="99"/>
    <w:lsdException w:name="annotation text" w:uiPriority="99"/>
    <w:lsdException w:name="footer" w:locked="1"/>
    <w:lsdException w:name="caption" w:locked="1" w:semiHidden="1" w:unhideWhenUsed="1" w:qFormat="1"/>
    <w:lsdException w:name="footnote reference" w:uiPriority="99"/>
    <w:lsdException w:name="annotation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locked="1" w:qFormat="1"/>
    <w:lsdException w:name="Default Paragraph Font" w:uiPriority="1"/>
    <w:lsdException w:name="Subtitle" w:locked="1" w:qFormat="1"/>
    <w:lsdException w:name="Hyperlink" w:locked="1" w:uiPriority="99"/>
    <w:lsdException w:name="Strong" w:locked="1" w:uiPriority="22" w:qFormat="1"/>
    <w:lsdException w:name="Emphasis" w:locked="1" w:uiPriority="20" w:qFormat="1"/>
    <w:lsdException w:name="Normal (Web)" w:locked="1"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7B6C07"/>
    <w:rPr>
      <w:sz w:val="24"/>
      <w:lang w:eastAsia="en-US"/>
    </w:rPr>
  </w:style>
  <w:style w:type="paragraph" w:styleId="Heading1">
    <w:name w:val="heading 1"/>
    <w:basedOn w:val="Normal"/>
    <w:next w:val="Normal"/>
    <w:link w:val="Heading1Char"/>
    <w:qFormat/>
    <w:rsid w:val="007B6C07"/>
    <w:pPr>
      <w:keepNext/>
      <w:numPr>
        <w:numId w:val="6"/>
      </w:numPr>
      <w:outlineLvl w:val="0"/>
    </w:pPr>
    <w:rPr>
      <w:b/>
      <w:sz w:val="28"/>
    </w:rPr>
  </w:style>
  <w:style w:type="paragraph" w:styleId="Heading2">
    <w:name w:val="heading 2"/>
    <w:basedOn w:val="Heading1"/>
    <w:next w:val="Normal"/>
    <w:link w:val="Heading2Char"/>
    <w:qFormat/>
    <w:rsid w:val="007B6C07"/>
    <w:pPr>
      <w:numPr>
        <w:ilvl w:val="1"/>
      </w:numPr>
      <w:outlineLvl w:val="1"/>
    </w:pPr>
    <w:rPr>
      <w:color w:val="000000"/>
      <w:sz w:val="24"/>
    </w:rPr>
  </w:style>
  <w:style w:type="paragraph" w:styleId="Heading3">
    <w:name w:val="heading 3"/>
    <w:basedOn w:val="Normal"/>
    <w:next w:val="Normal"/>
    <w:link w:val="Heading3Char"/>
    <w:qFormat/>
    <w:rsid w:val="009667FA"/>
    <w:pPr>
      <w:keepNext/>
      <w:keepLines/>
      <w:numPr>
        <w:ilvl w:val="2"/>
        <w:numId w:val="6"/>
      </w:numPr>
      <w:spacing w:before="200"/>
      <w:ind w:left="720"/>
      <w:outlineLvl w:val="2"/>
    </w:pPr>
    <w:rPr>
      <w:b/>
      <w:bCs/>
    </w:rPr>
  </w:style>
  <w:style w:type="paragraph" w:styleId="Heading4">
    <w:name w:val="heading 4"/>
    <w:basedOn w:val="Normal"/>
    <w:next w:val="Normal"/>
    <w:link w:val="Heading4Char"/>
    <w:qFormat/>
    <w:rsid w:val="007B6C07"/>
    <w:pPr>
      <w:keepNext/>
      <w:keepLines/>
      <w:numPr>
        <w:ilvl w:val="3"/>
        <w:numId w:val="6"/>
      </w:numPr>
      <w:spacing w:before="200"/>
      <w:outlineLvl w:val="3"/>
    </w:pPr>
    <w:rPr>
      <w:rFonts w:ascii="Cambria" w:hAnsi="Cambria"/>
      <w:b/>
      <w:bCs/>
      <w:i/>
      <w:iCs/>
      <w:color w:val="4F81BD"/>
    </w:rPr>
  </w:style>
  <w:style w:type="paragraph" w:styleId="Heading5">
    <w:name w:val="heading 5"/>
    <w:basedOn w:val="Normal"/>
    <w:next w:val="Normal"/>
    <w:link w:val="Heading5Char"/>
    <w:qFormat/>
    <w:rsid w:val="007B6C07"/>
    <w:pPr>
      <w:keepNext/>
      <w:keepLines/>
      <w:numPr>
        <w:ilvl w:val="4"/>
        <w:numId w:val="6"/>
      </w:numPr>
      <w:spacing w:before="200"/>
      <w:outlineLvl w:val="4"/>
    </w:pPr>
    <w:rPr>
      <w:rFonts w:ascii="Cambria" w:hAnsi="Cambria"/>
      <w:color w:val="243F60"/>
    </w:rPr>
  </w:style>
  <w:style w:type="paragraph" w:styleId="Heading6">
    <w:name w:val="heading 6"/>
    <w:basedOn w:val="Normal"/>
    <w:next w:val="Normal"/>
    <w:link w:val="Heading6Char"/>
    <w:qFormat/>
    <w:rsid w:val="007B6C07"/>
    <w:pPr>
      <w:keepNext/>
      <w:keepLines/>
      <w:numPr>
        <w:ilvl w:val="5"/>
        <w:numId w:val="6"/>
      </w:numPr>
      <w:spacing w:before="200"/>
      <w:outlineLvl w:val="5"/>
    </w:pPr>
    <w:rPr>
      <w:rFonts w:ascii="Cambria" w:hAnsi="Cambria"/>
      <w:i/>
      <w:iCs/>
      <w:color w:val="243F60"/>
    </w:rPr>
  </w:style>
  <w:style w:type="paragraph" w:styleId="Heading7">
    <w:name w:val="heading 7"/>
    <w:basedOn w:val="Normal"/>
    <w:next w:val="Normal"/>
    <w:link w:val="Heading7Char"/>
    <w:qFormat/>
    <w:rsid w:val="007B6C07"/>
    <w:pPr>
      <w:keepNext/>
      <w:keepLines/>
      <w:numPr>
        <w:ilvl w:val="6"/>
        <w:numId w:val="6"/>
      </w:numPr>
      <w:spacing w:before="200"/>
      <w:outlineLvl w:val="6"/>
    </w:pPr>
    <w:rPr>
      <w:rFonts w:ascii="Cambria" w:hAnsi="Cambria"/>
      <w:i/>
      <w:iCs/>
      <w:color w:val="404040"/>
    </w:rPr>
  </w:style>
  <w:style w:type="paragraph" w:styleId="Heading8">
    <w:name w:val="heading 8"/>
    <w:basedOn w:val="Normal"/>
    <w:next w:val="Normal"/>
    <w:link w:val="Heading8Char"/>
    <w:qFormat/>
    <w:rsid w:val="007B6C07"/>
    <w:pPr>
      <w:keepNext/>
      <w:keepLines/>
      <w:numPr>
        <w:ilvl w:val="7"/>
        <w:numId w:val="6"/>
      </w:numPr>
      <w:spacing w:before="200"/>
      <w:outlineLvl w:val="7"/>
    </w:pPr>
    <w:rPr>
      <w:rFonts w:ascii="Cambria" w:hAnsi="Cambria"/>
      <w:color w:val="404040"/>
      <w:sz w:val="20"/>
    </w:rPr>
  </w:style>
  <w:style w:type="paragraph" w:styleId="Heading9">
    <w:name w:val="heading 9"/>
    <w:basedOn w:val="Normal"/>
    <w:next w:val="Normal"/>
    <w:link w:val="Heading9Char"/>
    <w:qFormat/>
    <w:rsid w:val="007B6C07"/>
    <w:pPr>
      <w:keepNext/>
      <w:keepLines/>
      <w:numPr>
        <w:ilvl w:val="8"/>
        <w:numId w:val="6"/>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1644"/>
    <w:pPr>
      <w:tabs>
        <w:tab w:val="center" w:pos="4153"/>
        <w:tab w:val="right" w:pos="8306"/>
      </w:tabs>
    </w:pPr>
  </w:style>
  <w:style w:type="paragraph" w:styleId="Footer">
    <w:name w:val="footer"/>
    <w:basedOn w:val="Normal"/>
    <w:link w:val="FooterChar"/>
    <w:rsid w:val="00311644"/>
    <w:pPr>
      <w:tabs>
        <w:tab w:val="center" w:pos="4153"/>
        <w:tab w:val="right" w:pos="8306"/>
      </w:tabs>
    </w:pPr>
  </w:style>
  <w:style w:type="character" w:styleId="PageNumber">
    <w:name w:val="page number"/>
    <w:rsid w:val="00311644"/>
    <w:rPr>
      <w:rFonts w:cs="Times New Roman"/>
    </w:rPr>
  </w:style>
  <w:style w:type="character" w:styleId="CommentReference">
    <w:name w:val="annotation reference"/>
    <w:uiPriority w:val="99"/>
    <w:semiHidden/>
    <w:rsid w:val="00311644"/>
    <w:rPr>
      <w:rFonts w:cs="Times New Roman"/>
      <w:sz w:val="16"/>
      <w:szCs w:val="16"/>
    </w:rPr>
  </w:style>
  <w:style w:type="paragraph" w:styleId="CommentText">
    <w:name w:val="annotation text"/>
    <w:basedOn w:val="Normal"/>
    <w:link w:val="CommentTextChar"/>
    <w:uiPriority w:val="99"/>
    <w:semiHidden/>
    <w:rsid w:val="00311644"/>
    <w:rPr>
      <w:sz w:val="20"/>
    </w:rPr>
  </w:style>
  <w:style w:type="paragraph" w:styleId="FootnoteText">
    <w:name w:val="footnote text"/>
    <w:basedOn w:val="Normal"/>
    <w:link w:val="FootnoteTextChar"/>
    <w:uiPriority w:val="99"/>
    <w:semiHidden/>
    <w:rsid w:val="00311644"/>
    <w:rPr>
      <w:sz w:val="20"/>
    </w:rPr>
  </w:style>
  <w:style w:type="table" w:styleId="TableGrid">
    <w:name w:val="Table Grid"/>
    <w:basedOn w:val="TableNormal"/>
    <w:uiPriority w:val="59"/>
    <w:rsid w:val="00311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semiHidden/>
    <w:rsid w:val="00311644"/>
    <w:rPr>
      <w:rFonts w:cs="Times New Roman"/>
      <w:vertAlign w:val="superscript"/>
    </w:rPr>
  </w:style>
  <w:style w:type="character" w:customStyle="1" w:styleId="InstructionText">
    <w:name w:val="Instruction Text"/>
    <w:rsid w:val="00311644"/>
    <w:rPr>
      <w:rFonts w:cs="Times New Roman"/>
      <w:i/>
      <w:color w:val="0070C0"/>
    </w:rPr>
  </w:style>
  <w:style w:type="paragraph" w:customStyle="1" w:styleId="ParaIndent">
    <w:name w:val="_ParaIndent"/>
    <w:basedOn w:val="BodyText"/>
    <w:link w:val="ParaIndentChar"/>
    <w:rsid w:val="00311644"/>
    <w:pPr>
      <w:spacing w:after="240" w:line="260" w:lineRule="atLeast"/>
      <w:ind w:left="1134"/>
    </w:pPr>
    <w:rPr>
      <w:rFonts w:ascii="Arial" w:hAnsi="Arial"/>
      <w:sz w:val="20"/>
      <w:lang w:val="en-GB"/>
    </w:rPr>
  </w:style>
  <w:style w:type="character" w:customStyle="1" w:styleId="ParaIndentChar">
    <w:name w:val="_ParaIndent Char"/>
    <w:link w:val="ParaIndent"/>
    <w:locked/>
    <w:rsid w:val="00311644"/>
    <w:rPr>
      <w:rFonts w:ascii="Arial" w:hAnsi="Arial" w:cs="Times New Roman"/>
      <w:lang w:val="en-GB" w:eastAsia="en-US" w:bidi="ar-SA"/>
    </w:rPr>
  </w:style>
  <w:style w:type="character" w:customStyle="1" w:styleId="Heading1Char">
    <w:name w:val="Heading 1 Char"/>
    <w:link w:val="Heading1"/>
    <w:locked/>
    <w:rsid w:val="007B6C07"/>
    <w:rPr>
      <w:b/>
      <w:sz w:val="28"/>
      <w:lang w:eastAsia="en-US"/>
    </w:rPr>
  </w:style>
  <w:style w:type="character" w:customStyle="1" w:styleId="FootnoteTextChar">
    <w:name w:val="Footnote Text Char"/>
    <w:link w:val="FootnoteText"/>
    <w:uiPriority w:val="99"/>
    <w:semiHidden/>
    <w:locked/>
    <w:rsid w:val="00311644"/>
    <w:rPr>
      <w:rFonts w:cs="Times New Roman"/>
      <w:lang w:val="en-AU" w:eastAsia="en-US" w:bidi="ar-SA"/>
    </w:rPr>
  </w:style>
  <w:style w:type="character" w:customStyle="1" w:styleId="CommentTextChar">
    <w:name w:val="Comment Text Char"/>
    <w:link w:val="CommentText"/>
    <w:uiPriority w:val="99"/>
    <w:semiHidden/>
    <w:locked/>
    <w:rsid w:val="00311644"/>
    <w:rPr>
      <w:rFonts w:cs="Times New Roman"/>
      <w:lang w:val="en-AU" w:eastAsia="en-US" w:bidi="ar-SA"/>
    </w:rPr>
  </w:style>
  <w:style w:type="paragraph" w:styleId="BodyText">
    <w:name w:val="Body Text"/>
    <w:basedOn w:val="Normal"/>
    <w:rsid w:val="00311644"/>
    <w:pPr>
      <w:spacing w:after="120"/>
    </w:pPr>
  </w:style>
  <w:style w:type="paragraph" w:styleId="BalloonText">
    <w:name w:val="Balloon Text"/>
    <w:basedOn w:val="Normal"/>
    <w:semiHidden/>
    <w:rsid w:val="00311644"/>
    <w:rPr>
      <w:rFonts w:ascii="Tahoma" w:hAnsi="Tahoma" w:cs="Tahoma"/>
      <w:sz w:val="16"/>
      <w:szCs w:val="16"/>
    </w:rPr>
  </w:style>
  <w:style w:type="character" w:styleId="Hyperlink">
    <w:name w:val="Hyperlink"/>
    <w:uiPriority w:val="99"/>
    <w:rsid w:val="00311644"/>
    <w:rPr>
      <w:rFonts w:cs="Times New Roman"/>
      <w:color w:val="0000FF"/>
      <w:u w:val="single"/>
    </w:rPr>
  </w:style>
  <w:style w:type="paragraph" w:customStyle="1" w:styleId="Style1">
    <w:name w:val="Style1"/>
    <w:basedOn w:val="Heading2"/>
    <w:rsid w:val="00311644"/>
    <w:pPr>
      <w:numPr>
        <w:numId w:val="1"/>
      </w:numPr>
      <w:ind w:left="0" w:firstLine="0"/>
    </w:pPr>
    <w:rPr>
      <w:szCs w:val="24"/>
    </w:rPr>
  </w:style>
  <w:style w:type="paragraph" w:customStyle="1" w:styleId="StyleHeading2Auto">
    <w:name w:val="Style Heading 2 + Auto"/>
    <w:basedOn w:val="Heading2"/>
    <w:rsid w:val="00311644"/>
    <w:pPr>
      <w:numPr>
        <w:numId w:val="2"/>
      </w:numPr>
      <w:ind w:left="0" w:firstLine="0"/>
    </w:pPr>
    <w:rPr>
      <w:bCs/>
      <w:color w:val="auto"/>
    </w:rPr>
  </w:style>
  <w:style w:type="paragraph" w:styleId="CommentSubject">
    <w:name w:val="annotation subject"/>
    <w:basedOn w:val="CommentText"/>
    <w:next w:val="CommentText"/>
    <w:link w:val="CommentSubjectChar"/>
    <w:rsid w:val="00311644"/>
    <w:rPr>
      <w:b/>
      <w:bCs/>
    </w:rPr>
  </w:style>
  <w:style w:type="character" w:customStyle="1" w:styleId="CommentSubjectChar">
    <w:name w:val="Comment Subject Char"/>
    <w:link w:val="CommentSubject"/>
    <w:locked/>
    <w:rsid w:val="00311644"/>
    <w:rPr>
      <w:rFonts w:cs="Times New Roman"/>
      <w:b/>
      <w:bCs/>
      <w:lang w:val="en-AU" w:eastAsia="en-US" w:bidi="ar-SA"/>
    </w:rPr>
  </w:style>
  <w:style w:type="paragraph" w:customStyle="1" w:styleId="ColorfulList-Accent11">
    <w:name w:val="Colorful List - Accent 11"/>
    <w:basedOn w:val="Normal"/>
    <w:qFormat/>
    <w:rsid w:val="007B6C07"/>
    <w:pPr>
      <w:ind w:left="720"/>
      <w:contextualSpacing/>
    </w:pPr>
  </w:style>
  <w:style w:type="paragraph" w:customStyle="1" w:styleId="Pa6">
    <w:name w:val="Pa6"/>
    <w:basedOn w:val="Normal"/>
    <w:next w:val="Normal"/>
    <w:rsid w:val="00311644"/>
    <w:pPr>
      <w:autoSpaceDE w:val="0"/>
      <w:autoSpaceDN w:val="0"/>
      <w:adjustRightInd w:val="0"/>
      <w:spacing w:line="211" w:lineRule="atLeast"/>
    </w:pPr>
    <w:rPr>
      <w:rFonts w:ascii="Adobe Garamond Pro" w:hAnsi="Adobe Garamond Pro"/>
      <w:szCs w:val="24"/>
      <w:lang w:eastAsia="en-AU"/>
    </w:rPr>
  </w:style>
  <w:style w:type="paragraph" w:customStyle="1" w:styleId="Pa11">
    <w:name w:val="Pa11"/>
    <w:basedOn w:val="Normal"/>
    <w:next w:val="Normal"/>
    <w:rsid w:val="00311644"/>
    <w:pPr>
      <w:autoSpaceDE w:val="0"/>
      <w:autoSpaceDN w:val="0"/>
      <w:adjustRightInd w:val="0"/>
      <w:spacing w:line="211" w:lineRule="atLeast"/>
    </w:pPr>
    <w:rPr>
      <w:rFonts w:ascii="Adobe Garamond Pro" w:hAnsi="Adobe Garamond Pro"/>
      <w:szCs w:val="24"/>
      <w:lang w:eastAsia="en-AU"/>
    </w:rPr>
  </w:style>
  <w:style w:type="character" w:customStyle="1" w:styleId="A7">
    <w:name w:val="A7"/>
    <w:rsid w:val="00311644"/>
    <w:rPr>
      <w:color w:val="000000"/>
      <w:sz w:val="21"/>
    </w:rPr>
  </w:style>
  <w:style w:type="paragraph" w:customStyle="1" w:styleId="Pa12">
    <w:name w:val="Pa12"/>
    <w:basedOn w:val="Normal"/>
    <w:next w:val="Normal"/>
    <w:rsid w:val="00311644"/>
    <w:pPr>
      <w:autoSpaceDE w:val="0"/>
      <w:autoSpaceDN w:val="0"/>
      <w:adjustRightInd w:val="0"/>
      <w:spacing w:line="211" w:lineRule="atLeast"/>
    </w:pPr>
    <w:rPr>
      <w:rFonts w:ascii="Adobe Garamond Pro" w:hAnsi="Adobe Garamond Pro"/>
      <w:szCs w:val="24"/>
      <w:lang w:eastAsia="en-AU"/>
    </w:rPr>
  </w:style>
  <w:style w:type="paragraph" w:customStyle="1" w:styleId="TOCHeading1">
    <w:name w:val="TOC Heading1"/>
    <w:basedOn w:val="Heading1"/>
    <w:next w:val="Normal"/>
    <w:qFormat/>
    <w:rsid w:val="007B6C07"/>
    <w:pPr>
      <w:keepLines/>
      <w:numPr>
        <w:numId w:val="0"/>
      </w:numPr>
      <w:spacing w:before="480" w:line="276" w:lineRule="auto"/>
      <w:outlineLvl w:val="9"/>
    </w:pPr>
    <w:rPr>
      <w:rFonts w:ascii="Cambria" w:hAnsi="Cambria"/>
      <w:bCs/>
      <w:color w:val="365F91"/>
      <w:szCs w:val="28"/>
      <w:lang w:val="en-US"/>
    </w:rPr>
  </w:style>
  <w:style w:type="paragraph" w:styleId="TOC1">
    <w:name w:val="toc 1"/>
    <w:basedOn w:val="Normal"/>
    <w:next w:val="Normal"/>
    <w:autoRedefine/>
    <w:uiPriority w:val="39"/>
    <w:rsid w:val="007B6C07"/>
    <w:pPr>
      <w:tabs>
        <w:tab w:val="right" w:leader="dot" w:pos="9498"/>
      </w:tabs>
      <w:spacing w:after="100"/>
      <w:ind w:left="284" w:hanging="284"/>
    </w:pPr>
    <w:rPr>
      <w:b/>
      <w:noProof/>
    </w:rPr>
  </w:style>
  <w:style w:type="paragraph" w:styleId="TOC2">
    <w:name w:val="toc 2"/>
    <w:basedOn w:val="Normal"/>
    <w:next w:val="Normal"/>
    <w:autoRedefine/>
    <w:uiPriority w:val="39"/>
    <w:rsid w:val="007B6C07"/>
    <w:pPr>
      <w:tabs>
        <w:tab w:val="left" w:pos="1320"/>
        <w:tab w:val="right" w:leader="dot" w:pos="9356"/>
      </w:tabs>
      <w:spacing w:after="100"/>
      <w:ind w:left="600" w:right="-1"/>
    </w:pPr>
  </w:style>
  <w:style w:type="paragraph" w:styleId="TOC3">
    <w:name w:val="toc 3"/>
    <w:basedOn w:val="Normal"/>
    <w:next w:val="Normal"/>
    <w:autoRedefine/>
    <w:uiPriority w:val="39"/>
    <w:rsid w:val="007B6C07"/>
    <w:pPr>
      <w:tabs>
        <w:tab w:val="left" w:pos="1320"/>
        <w:tab w:val="left" w:pos="2268"/>
        <w:tab w:val="right" w:leader="dot" w:pos="9356"/>
      </w:tabs>
      <w:spacing w:after="100" w:line="276" w:lineRule="auto"/>
      <w:ind w:left="440"/>
    </w:pPr>
    <w:rPr>
      <w:noProof/>
      <w:szCs w:val="24"/>
      <w:lang w:val="en-US"/>
    </w:rPr>
  </w:style>
  <w:style w:type="paragraph" w:customStyle="1" w:styleId="ColorfulShading-Accent11">
    <w:name w:val="Colorful Shading - Accent 11"/>
    <w:hidden/>
    <w:semiHidden/>
    <w:rsid w:val="00311644"/>
    <w:rPr>
      <w:sz w:val="24"/>
      <w:lang w:eastAsia="en-US"/>
    </w:rPr>
  </w:style>
  <w:style w:type="character" w:customStyle="1" w:styleId="Heading3Char">
    <w:name w:val="Heading 3 Char"/>
    <w:link w:val="Heading3"/>
    <w:locked/>
    <w:rsid w:val="009667FA"/>
    <w:rPr>
      <w:b/>
      <w:bCs/>
      <w:sz w:val="24"/>
    </w:rPr>
  </w:style>
  <w:style w:type="character" w:customStyle="1" w:styleId="Heading4Char">
    <w:name w:val="Heading 4 Char"/>
    <w:link w:val="Heading4"/>
    <w:locked/>
    <w:rsid w:val="007B6C07"/>
    <w:rPr>
      <w:rFonts w:ascii="Cambria" w:hAnsi="Cambria"/>
      <w:b/>
      <w:bCs/>
      <w:i/>
      <w:iCs/>
      <w:color w:val="4F81BD"/>
      <w:sz w:val="24"/>
    </w:rPr>
  </w:style>
  <w:style w:type="character" w:customStyle="1" w:styleId="Heading5Char">
    <w:name w:val="Heading 5 Char"/>
    <w:link w:val="Heading5"/>
    <w:locked/>
    <w:rsid w:val="007B6C07"/>
    <w:rPr>
      <w:rFonts w:ascii="Cambria" w:hAnsi="Cambria"/>
      <w:color w:val="243F60"/>
      <w:sz w:val="24"/>
    </w:rPr>
  </w:style>
  <w:style w:type="character" w:customStyle="1" w:styleId="Heading6Char">
    <w:name w:val="Heading 6 Char"/>
    <w:link w:val="Heading6"/>
    <w:locked/>
    <w:rsid w:val="007B6C07"/>
    <w:rPr>
      <w:rFonts w:ascii="Cambria" w:hAnsi="Cambria"/>
      <w:i/>
      <w:iCs/>
      <w:color w:val="243F60"/>
      <w:sz w:val="24"/>
    </w:rPr>
  </w:style>
  <w:style w:type="character" w:customStyle="1" w:styleId="Heading7Char">
    <w:name w:val="Heading 7 Char"/>
    <w:link w:val="Heading7"/>
    <w:locked/>
    <w:rsid w:val="007B6C07"/>
    <w:rPr>
      <w:rFonts w:ascii="Cambria" w:hAnsi="Cambria"/>
      <w:i/>
      <w:iCs/>
      <w:color w:val="404040"/>
      <w:sz w:val="24"/>
    </w:rPr>
  </w:style>
  <w:style w:type="character" w:customStyle="1" w:styleId="Heading8Char">
    <w:name w:val="Heading 8 Char"/>
    <w:link w:val="Heading8"/>
    <w:locked/>
    <w:rsid w:val="007B6C07"/>
    <w:rPr>
      <w:rFonts w:ascii="Cambria" w:hAnsi="Cambria"/>
      <w:color w:val="404040"/>
    </w:rPr>
  </w:style>
  <w:style w:type="character" w:customStyle="1" w:styleId="Heading9Char">
    <w:name w:val="Heading 9 Char"/>
    <w:link w:val="Heading9"/>
    <w:locked/>
    <w:rsid w:val="007B6C07"/>
    <w:rPr>
      <w:rFonts w:ascii="Cambria" w:hAnsi="Cambria"/>
      <w:i/>
      <w:iCs/>
      <w:color w:val="404040"/>
    </w:rPr>
  </w:style>
  <w:style w:type="paragraph" w:styleId="NormalWeb">
    <w:name w:val="Normal (Web)"/>
    <w:basedOn w:val="Normal"/>
    <w:uiPriority w:val="99"/>
    <w:rsid w:val="00311644"/>
    <w:pPr>
      <w:spacing w:before="100" w:beforeAutospacing="1" w:after="100" w:afterAutospacing="1"/>
    </w:pPr>
    <w:rPr>
      <w:szCs w:val="24"/>
      <w:lang w:eastAsia="en-AU"/>
    </w:rPr>
  </w:style>
  <w:style w:type="character" w:customStyle="1" w:styleId="FooterChar">
    <w:name w:val="Footer Char"/>
    <w:link w:val="Footer"/>
    <w:locked/>
    <w:rsid w:val="00311644"/>
    <w:rPr>
      <w:rFonts w:cs="Times New Roman"/>
      <w:sz w:val="24"/>
      <w:lang w:eastAsia="en-US"/>
    </w:rPr>
  </w:style>
  <w:style w:type="character" w:styleId="Emphasis">
    <w:name w:val="Emphasis"/>
    <w:uiPriority w:val="20"/>
    <w:qFormat/>
    <w:locked/>
    <w:rsid w:val="007B6C07"/>
    <w:rPr>
      <w:i/>
      <w:iCs/>
    </w:rPr>
  </w:style>
  <w:style w:type="character" w:customStyle="1" w:styleId="external">
    <w:name w:val="external"/>
    <w:basedOn w:val="DefaultParagraphFont"/>
    <w:rsid w:val="00764630"/>
  </w:style>
  <w:style w:type="character" w:styleId="Strong">
    <w:name w:val="Strong"/>
    <w:uiPriority w:val="22"/>
    <w:qFormat/>
    <w:locked/>
    <w:rsid w:val="007B6C07"/>
    <w:rPr>
      <w:b/>
      <w:bCs/>
    </w:rPr>
  </w:style>
  <w:style w:type="character" w:customStyle="1" w:styleId="Heading2Char">
    <w:name w:val="Heading 2 Char"/>
    <w:link w:val="Heading2"/>
    <w:rsid w:val="007B6C07"/>
    <w:rPr>
      <w:b/>
      <w:color w:val="000000"/>
      <w:sz w:val="24"/>
    </w:rPr>
  </w:style>
  <w:style w:type="paragraph" w:customStyle="1" w:styleId="Bullet0">
    <w:name w:val="Bullet+0"/>
    <w:basedOn w:val="Normal"/>
    <w:rsid w:val="00247571"/>
    <w:pPr>
      <w:numPr>
        <w:numId w:val="3"/>
      </w:numPr>
      <w:tabs>
        <w:tab w:val="left" w:pos="1080"/>
      </w:tabs>
    </w:pPr>
    <w:rPr>
      <w:color w:val="000000"/>
      <w:sz w:val="23"/>
      <w:lang w:eastAsia="en-AU"/>
    </w:rPr>
  </w:style>
  <w:style w:type="paragraph" w:customStyle="1" w:styleId="Bullet6">
    <w:name w:val="Bullet+6"/>
    <w:basedOn w:val="Bullet0"/>
    <w:rsid w:val="00247571"/>
    <w:pPr>
      <w:spacing w:after="120"/>
    </w:pPr>
  </w:style>
  <w:style w:type="paragraph" w:customStyle="1" w:styleId="QTBDot">
    <w:name w:val="QTBDot"/>
    <w:basedOn w:val="Normal"/>
    <w:uiPriority w:val="99"/>
    <w:rsid w:val="008B5CE1"/>
    <w:pPr>
      <w:numPr>
        <w:numId w:val="4"/>
      </w:numPr>
      <w:spacing w:after="120" w:line="360" w:lineRule="auto"/>
    </w:pPr>
    <w:rPr>
      <w:sz w:val="28"/>
      <w:lang w:eastAsia="en-AU"/>
    </w:rPr>
  </w:style>
  <w:style w:type="paragraph" w:customStyle="1" w:styleId="NumberedLista">
    <w:name w:val="Numbered List: a)"/>
    <w:basedOn w:val="Normal"/>
    <w:rsid w:val="00912840"/>
    <w:pPr>
      <w:numPr>
        <w:numId w:val="9"/>
      </w:numPr>
      <w:spacing w:after="140" w:line="280" w:lineRule="atLeast"/>
    </w:pPr>
    <w:rPr>
      <w:rFonts w:ascii="Arial" w:hAnsi="Arial" w:cs="Arial"/>
      <w:sz w:val="22"/>
      <w:szCs w:val="22"/>
      <w:lang w:eastAsia="en-AU"/>
    </w:rPr>
  </w:style>
  <w:style w:type="paragraph" w:customStyle="1" w:styleId="NumberedLista1">
    <w:name w:val="Numbered List: a) 1"/>
    <w:basedOn w:val="NumberedLista"/>
    <w:link w:val="NumberedLista1Char"/>
    <w:rsid w:val="00912840"/>
    <w:pPr>
      <w:numPr>
        <w:ilvl w:val="1"/>
      </w:numPr>
    </w:pPr>
    <w:rPr>
      <w:rFonts w:cs="Times New Roman"/>
    </w:rPr>
  </w:style>
  <w:style w:type="paragraph" w:customStyle="1" w:styleId="NumberedLista2">
    <w:name w:val="Numbered List: a) 2"/>
    <w:basedOn w:val="NumberedLista1"/>
    <w:rsid w:val="00912840"/>
    <w:pPr>
      <w:numPr>
        <w:ilvl w:val="2"/>
      </w:numPr>
    </w:pPr>
  </w:style>
  <w:style w:type="paragraph" w:customStyle="1" w:styleId="NumberedLista3">
    <w:name w:val="Numbered List: a) 3"/>
    <w:basedOn w:val="NumberedLista2"/>
    <w:rsid w:val="00912840"/>
    <w:pPr>
      <w:numPr>
        <w:ilvl w:val="3"/>
      </w:numPr>
    </w:pPr>
  </w:style>
  <w:style w:type="paragraph" w:customStyle="1" w:styleId="NumberedLista4">
    <w:name w:val="Numbered List: a) 4"/>
    <w:basedOn w:val="NumberedLista3"/>
    <w:rsid w:val="00912840"/>
    <w:pPr>
      <w:numPr>
        <w:ilvl w:val="4"/>
      </w:numPr>
    </w:pPr>
  </w:style>
  <w:style w:type="paragraph" w:customStyle="1" w:styleId="NumberedLista5">
    <w:name w:val="Numbered List: a) 5"/>
    <w:basedOn w:val="NumberedLista4"/>
    <w:rsid w:val="00912840"/>
    <w:pPr>
      <w:numPr>
        <w:ilvl w:val="5"/>
      </w:numPr>
    </w:pPr>
  </w:style>
  <w:style w:type="paragraph" w:customStyle="1" w:styleId="NumberedLista6">
    <w:name w:val="Numbered List: a) 6"/>
    <w:basedOn w:val="NumberedLista5"/>
    <w:rsid w:val="00912840"/>
    <w:pPr>
      <w:numPr>
        <w:ilvl w:val="6"/>
      </w:numPr>
    </w:pPr>
  </w:style>
  <w:style w:type="paragraph" w:customStyle="1" w:styleId="NumberedLista7">
    <w:name w:val="Numbered List: a) 7"/>
    <w:basedOn w:val="NumberedLista6"/>
    <w:rsid w:val="00912840"/>
    <w:pPr>
      <w:numPr>
        <w:ilvl w:val="7"/>
      </w:numPr>
    </w:pPr>
  </w:style>
  <w:style w:type="paragraph" w:customStyle="1" w:styleId="NumberedLista8">
    <w:name w:val="Numbered List: a) 8"/>
    <w:basedOn w:val="NumberedLista7"/>
    <w:rsid w:val="00912840"/>
    <w:pPr>
      <w:numPr>
        <w:ilvl w:val="8"/>
      </w:numPr>
    </w:pPr>
  </w:style>
  <w:style w:type="paragraph" w:customStyle="1" w:styleId="Default">
    <w:name w:val="Default"/>
    <w:rsid w:val="00C43F9F"/>
    <w:pPr>
      <w:autoSpaceDE w:val="0"/>
      <w:autoSpaceDN w:val="0"/>
      <w:adjustRightInd w:val="0"/>
    </w:pPr>
    <w:rPr>
      <w:rFonts w:ascii="MyriaMM" w:eastAsia="Calibri" w:hAnsi="MyriaMM" w:cs="MyriaMM"/>
      <w:color w:val="000000"/>
      <w:sz w:val="24"/>
      <w:szCs w:val="24"/>
      <w:lang w:eastAsia="en-US"/>
    </w:rPr>
  </w:style>
  <w:style w:type="paragraph" w:customStyle="1" w:styleId="ChapterHeading">
    <w:name w:val="Chapter_Heading"/>
    <w:basedOn w:val="Normal"/>
    <w:next w:val="PartHeading"/>
    <w:rsid w:val="00E8521F"/>
    <w:pPr>
      <w:keepNext/>
      <w:keepLines/>
      <w:pageBreakBefore/>
      <w:numPr>
        <w:numId w:val="10"/>
      </w:numPr>
      <w:tabs>
        <w:tab w:val="left" w:pos="1276"/>
      </w:tabs>
      <w:spacing w:after="120"/>
      <w:outlineLvl w:val="0"/>
    </w:pPr>
    <w:rPr>
      <w:rFonts w:ascii="Arial" w:hAnsi="Arial" w:cs="Arial"/>
      <w:b/>
      <w:bCs/>
      <w:sz w:val="36"/>
      <w:szCs w:val="26"/>
      <w:lang w:eastAsia="en-AU"/>
    </w:rPr>
  </w:style>
  <w:style w:type="paragraph" w:customStyle="1" w:styleId="PartHeading">
    <w:name w:val="Part_Heading"/>
    <w:basedOn w:val="Normal"/>
    <w:next w:val="DivisionHeading"/>
    <w:rsid w:val="00E8521F"/>
    <w:pPr>
      <w:keepNext/>
      <w:keepLines/>
      <w:numPr>
        <w:ilvl w:val="1"/>
        <w:numId w:val="10"/>
      </w:numPr>
      <w:tabs>
        <w:tab w:val="left" w:pos="1276"/>
      </w:tabs>
      <w:spacing w:before="240" w:after="240"/>
      <w:outlineLvl w:val="1"/>
    </w:pPr>
    <w:rPr>
      <w:rFonts w:ascii="Arial" w:hAnsi="Arial" w:cs="Arial"/>
      <w:b/>
      <w:bCs/>
      <w:sz w:val="32"/>
      <w:szCs w:val="26"/>
      <w:lang w:eastAsia="en-AU"/>
    </w:rPr>
  </w:style>
  <w:style w:type="paragraph" w:customStyle="1" w:styleId="SectionHeading">
    <w:name w:val="Section_Heading"/>
    <w:basedOn w:val="Normal"/>
    <w:next w:val="SubSectionText"/>
    <w:rsid w:val="00E8521F"/>
    <w:pPr>
      <w:keepNext/>
      <w:keepLines/>
      <w:numPr>
        <w:ilvl w:val="4"/>
        <w:numId w:val="10"/>
      </w:numPr>
      <w:spacing w:before="60" w:after="60"/>
      <w:outlineLvl w:val="4"/>
    </w:pPr>
    <w:rPr>
      <w:rFonts w:ascii="Arial" w:hAnsi="Arial" w:cs="Arial"/>
      <w:b/>
      <w:bCs/>
      <w:szCs w:val="26"/>
      <w:lang w:eastAsia="en-AU"/>
    </w:rPr>
  </w:style>
  <w:style w:type="paragraph" w:customStyle="1" w:styleId="DivisionHeading">
    <w:name w:val="Division_Heading"/>
    <w:basedOn w:val="Normal"/>
    <w:next w:val="SubdivisionHeading"/>
    <w:rsid w:val="00E8521F"/>
    <w:pPr>
      <w:keepNext/>
      <w:keepLines/>
      <w:numPr>
        <w:ilvl w:val="2"/>
        <w:numId w:val="10"/>
      </w:numPr>
      <w:tabs>
        <w:tab w:val="left" w:pos="1276"/>
      </w:tabs>
      <w:spacing w:after="240"/>
      <w:outlineLvl w:val="2"/>
    </w:pPr>
    <w:rPr>
      <w:rFonts w:ascii="Arial" w:hAnsi="Arial" w:cs="Arial"/>
      <w:b/>
      <w:bCs/>
      <w:sz w:val="28"/>
      <w:szCs w:val="26"/>
      <w:lang w:eastAsia="en-AU"/>
    </w:rPr>
  </w:style>
  <w:style w:type="paragraph" w:customStyle="1" w:styleId="SubSectionText">
    <w:name w:val="SubSection_Text"/>
    <w:basedOn w:val="Normal"/>
    <w:rsid w:val="00E8521F"/>
    <w:pPr>
      <w:numPr>
        <w:ilvl w:val="5"/>
        <w:numId w:val="10"/>
      </w:numPr>
      <w:spacing w:before="60" w:after="140"/>
    </w:pPr>
    <w:rPr>
      <w:rFonts w:ascii="Arial" w:hAnsi="Arial" w:cs="Arial"/>
      <w:bCs/>
      <w:sz w:val="22"/>
      <w:szCs w:val="26"/>
      <w:lang w:eastAsia="en-AU"/>
    </w:rPr>
  </w:style>
  <w:style w:type="paragraph" w:customStyle="1" w:styleId="ParagraphText">
    <w:name w:val="Paragraph_Text"/>
    <w:basedOn w:val="Normal"/>
    <w:rsid w:val="00E8521F"/>
    <w:pPr>
      <w:numPr>
        <w:ilvl w:val="6"/>
        <w:numId w:val="10"/>
      </w:numPr>
      <w:spacing w:before="60" w:after="80"/>
    </w:pPr>
    <w:rPr>
      <w:rFonts w:ascii="Arial" w:hAnsi="Arial" w:cs="Arial"/>
      <w:bCs/>
      <w:sz w:val="22"/>
      <w:szCs w:val="26"/>
      <w:lang w:eastAsia="en-AU"/>
    </w:rPr>
  </w:style>
  <w:style w:type="paragraph" w:customStyle="1" w:styleId="SubParagraphText">
    <w:name w:val="SubParagraph_Text"/>
    <w:basedOn w:val="Normal"/>
    <w:rsid w:val="00E8521F"/>
    <w:pPr>
      <w:numPr>
        <w:ilvl w:val="7"/>
        <w:numId w:val="10"/>
      </w:numPr>
      <w:spacing w:after="140"/>
    </w:pPr>
    <w:rPr>
      <w:rFonts w:ascii="Arial" w:hAnsi="Arial" w:cs="Arial"/>
      <w:bCs/>
      <w:sz w:val="22"/>
      <w:szCs w:val="26"/>
      <w:lang w:eastAsia="en-AU"/>
    </w:rPr>
  </w:style>
  <w:style w:type="paragraph" w:customStyle="1" w:styleId="SubdivisionHeading">
    <w:name w:val="Subdivision_Heading"/>
    <w:basedOn w:val="Normal"/>
    <w:next w:val="SectionHeading"/>
    <w:rsid w:val="00E8521F"/>
    <w:pPr>
      <w:keepNext/>
      <w:keepLines/>
      <w:numPr>
        <w:ilvl w:val="3"/>
        <w:numId w:val="10"/>
      </w:numPr>
      <w:tabs>
        <w:tab w:val="left" w:pos="1276"/>
      </w:tabs>
      <w:spacing w:before="240" w:after="120"/>
      <w:outlineLvl w:val="3"/>
    </w:pPr>
    <w:rPr>
      <w:rFonts w:ascii="Arial" w:hAnsi="Arial" w:cs="Arial"/>
      <w:b/>
      <w:bCs/>
      <w:sz w:val="26"/>
      <w:szCs w:val="26"/>
      <w:lang w:eastAsia="en-AU"/>
    </w:rPr>
  </w:style>
  <w:style w:type="paragraph" w:customStyle="1" w:styleId="Para0">
    <w:name w:val="Para 0"/>
    <w:basedOn w:val="Normal"/>
    <w:rsid w:val="00823B85"/>
    <w:rPr>
      <w:rFonts w:cs="Angsana New"/>
      <w:color w:val="000000"/>
      <w:szCs w:val="24"/>
      <w:lang w:eastAsia="zh-CN" w:bidi="th-TH"/>
    </w:rPr>
  </w:style>
  <w:style w:type="paragraph" w:customStyle="1" w:styleId="body">
    <w:name w:val="body"/>
    <w:basedOn w:val="Normal"/>
    <w:uiPriority w:val="99"/>
    <w:rsid w:val="005C73B4"/>
    <w:pPr>
      <w:widowControl w:val="0"/>
      <w:suppressAutoHyphens/>
      <w:autoSpaceDE w:val="0"/>
      <w:autoSpaceDN w:val="0"/>
      <w:adjustRightInd w:val="0"/>
      <w:spacing w:after="170" w:line="250" w:lineRule="atLeast"/>
      <w:textAlignment w:val="center"/>
    </w:pPr>
    <w:rPr>
      <w:rFonts w:ascii="Swiss721BT-Light" w:hAnsi="Swiss721BT-Light" w:cs="Swiss721BT-Light"/>
      <w:color w:val="000000"/>
      <w:sz w:val="19"/>
      <w:szCs w:val="19"/>
    </w:rPr>
  </w:style>
  <w:style w:type="paragraph" w:customStyle="1" w:styleId="Dotpoint">
    <w:name w:val="Dotpoint"/>
    <w:basedOn w:val="Normal"/>
    <w:uiPriority w:val="99"/>
    <w:rsid w:val="005C73B4"/>
    <w:pPr>
      <w:widowControl w:val="0"/>
      <w:tabs>
        <w:tab w:val="left" w:pos="283"/>
      </w:tabs>
      <w:suppressAutoHyphens/>
      <w:autoSpaceDE w:val="0"/>
      <w:autoSpaceDN w:val="0"/>
      <w:adjustRightInd w:val="0"/>
      <w:spacing w:after="85" w:line="250" w:lineRule="atLeast"/>
      <w:ind w:left="283" w:hanging="283"/>
      <w:textAlignment w:val="center"/>
    </w:pPr>
    <w:rPr>
      <w:rFonts w:ascii="Swiss721BT-Light" w:hAnsi="Swiss721BT-Light" w:cs="Swiss721BT-Light"/>
      <w:color w:val="000000"/>
      <w:sz w:val="19"/>
      <w:szCs w:val="19"/>
    </w:rPr>
  </w:style>
  <w:style w:type="paragraph" w:customStyle="1" w:styleId="Figure">
    <w:name w:val="Figure"/>
    <w:basedOn w:val="Normal"/>
    <w:uiPriority w:val="99"/>
    <w:rsid w:val="005C73B4"/>
    <w:pPr>
      <w:widowControl w:val="0"/>
      <w:tabs>
        <w:tab w:val="left" w:pos="794"/>
      </w:tabs>
      <w:suppressAutoHyphens/>
      <w:autoSpaceDE w:val="0"/>
      <w:autoSpaceDN w:val="0"/>
      <w:adjustRightInd w:val="0"/>
      <w:spacing w:line="210" w:lineRule="atLeast"/>
      <w:textAlignment w:val="center"/>
    </w:pPr>
    <w:rPr>
      <w:rFonts w:ascii="HelveticaNeue-Bold" w:hAnsi="HelveticaNeue-Bold" w:cs="HelveticaNeue-Bold"/>
      <w:b/>
      <w:bCs/>
      <w:color w:val="2D7994"/>
      <w:sz w:val="17"/>
      <w:szCs w:val="17"/>
    </w:rPr>
  </w:style>
  <w:style w:type="paragraph" w:customStyle="1" w:styleId="Tablea">
    <w:name w:val="Table(a)"/>
    <w:aliases w:val="ta"/>
    <w:rsid w:val="00BA4D68"/>
    <w:pPr>
      <w:spacing w:before="60"/>
      <w:ind w:left="284" w:hanging="284"/>
    </w:pPr>
    <w:rPr>
      <w:szCs w:val="24"/>
    </w:rPr>
  </w:style>
  <w:style w:type="paragraph" w:customStyle="1" w:styleId="Tabletext">
    <w:name w:val="Tabletext"/>
    <w:aliases w:val="tt"/>
    <w:rsid w:val="00BA4D68"/>
    <w:pPr>
      <w:spacing w:before="60" w:line="240" w:lineRule="atLeast"/>
    </w:pPr>
    <w:rPr>
      <w:szCs w:val="24"/>
    </w:rPr>
  </w:style>
  <w:style w:type="paragraph" w:customStyle="1" w:styleId="SubSectionNote">
    <w:name w:val="SubSection_Note"/>
    <w:basedOn w:val="Normal"/>
    <w:next w:val="SubSectionText"/>
    <w:rsid w:val="00A8177E"/>
    <w:pPr>
      <w:tabs>
        <w:tab w:val="left" w:pos="2268"/>
      </w:tabs>
      <w:spacing w:after="60"/>
      <w:ind w:left="2269" w:hanging="851"/>
    </w:pPr>
    <w:rPr>
      <w:rFonts w:ascii="Arial" w:hAnsi="Arial" w:cs="Arial"/>
      <w:bCs/>
      <w:sz w:val="20"/>
      <w:szCs w:val="26"/>
      <w:lang w:eastAsia="en-AU"/>
    </w:rPr>
  </w:style>
  <w:style w:type="paragraph" w:customStyle="1" w:styleId="SubSectionHeading">
    <w:name w:val="SubSection_Heading"/>
    <w:basedOn w:val="Normal"/>
    <w:next w:val="SubSectionText"/>
    <w:rsid w:val="00A8177E"/>
    <w:pPr>
      <w:spacing w:before="60" w:after="60"/>
      <w:ind w:left="1418"/>
    </w:pPr>
    <w:rPr>
      <w:rFonts w:ascii="Arial" w:hAnsi="Arial" w:cs="Arial"/>
      <w:bCs/>
      <w:i/>
      <w:szCs w:val="26"/>
      <w:lang w:eastAsia="en-AU"/>
    </w:rPr>
  </w:style>
  <w:style w:type="character" w:customStyle="1" w:styleId="NumberedLista1Char">
    <w:name w:val="Numbered List: a) 1 Char"/>
    <w:link w:val="NumberedLista1"/>
    <w:locked/>
    <w:rsid w:val="00890477"/>
    <w:rPr>
      <w:rFonts w:ascii="Arial" w:hAnsi="Arial" w:cs="Arial"/>
      <w:sz w:val="22"/>
      <w:szCs w:val="22"/>
      <w:lang w:eastAsia="en-AU"/>
    </w:rPr>
  </w:style>
  <w:style w:type="paragraph" w:styleId="ListBullet">
    <w:name w:val="List Bullet"/>
    <w:basedOn w:val="Normal"/>
    <w:uiPriority w:val="99"/>
    <w:qFormat/>
    <w:rsid w:val="00375332"/>
    <w:pPr>
      <w:contextualSpacing/>
    </w:pPr>
  </w:style>
  <w:style w:type="paragraph" w:styleId="ListNumber">
    <w:name w:val="List Number"/>
    <w:basedOn w:val="Normal"/>
    <w:uiPriority w:val="99"/>
    <w:qFormat/>
    <w:rsid w:val="00EF6A1B"/>
    <w:pPr>
      <w:numPr>
        <w:numId w:val="25"/>
      </w:numPr>
      <w:contextualSpacing/>
    </w:pPr>
  </w:style>
  <w:style w:type="paragraph" w:styleId="EndnoteText">
    <w:name w:val="endnote text"/>
    <w:basedOn w:val="Normal"/>
    <w:link w:val="EndnoteTextChar"/>
    <w:rsid w:val="00A62E06"/>
    <w:rPr>
      <w:sz w:val="20"/>
    </w:rPr>
  </w:style>
  <w:style w:type="character" w:customStyle="1" w:styleId="EndnoteTextChar">
    <w:name w:val="Endnote Text Char"/>
    <w:basedOn w:val="DefaultParagraphFont"/>
    <w:link w:val="EndnoteText"/>
    <w:rsid w:val="00A62E06"/>
    <w:rPr>
      <w:lang w:eastAsia="en-US"/>
    </w:rPr>
  </w:style>
  <w:style w:type="character" w:styleId="EndnoteReference">
    <w:name w:val="endnote reference"/>
    <w:basedOn w:val="DefaultParagraphFont"/>
    <w:rsid w:val="00A62E06"/>
    <w:rPr>
      <w:vertAlign w:val="superscript"/>
    </w:rPr>
  </w:style>
  <w:style w:type="paragraph" w:styleId="ListParagraph">
    <w:name w:val="List Paragraph"/>
    <w:basedOn w:val="Normal"/>
    <w:uiPriority w:val="34"/>
    <w:qFormat/>
    <w:rsid w:val="00EF343C"/>
    <w:pPr>
      <w:spacing w:after="200" w:line="276" w:lineRule="auto"/>
      <w:ind w:left="720"/>
      <w:contextualSpacing/>
    </w:pPr>
    <w:rPr>
      <w:rFonts w:ascii="Calibri" w:eastAsia="Calibri" w:hAnsi="Calibri"/>
      <w:sz w:val="22"/>
      <w:szCs w:val="22"/>
    </w:rPr>
  </w:style>
  <w:style w:type="paragraph" w:styleId="Revision">
    <w:name w:val="Revision"/>
    <w:hidden/>
    <w:semiHidden/>
    <w:rsid w:val="004077BC"/>
    <w:rPr>
      <w:sz w:val="24"/>
      <w:lang w:eastAsia="en-US"/>
    </w:rPr>
  </w:style>
  <w:style w:type="numbering" w:customStyle="1" w:styleId="KeyPoints">
    <w:name w:val="Key Points"/>
    <w:basedOn w:val="NoList"/>
    <w:uiPriority w:val="99"/>
    <w:rsid w:val="000A64BF"/>
    <w:pPr>
      <w:numPr>
        <w:numId w:val="44"/>
      </w:numPr>
    </w:pPr>
  </w:style>
  <w:style w:type="paragraph" w:styleId="ListNumber2">
    <w:name w:val="List Number 2"/>
    <w:basedOn w:val="Normal"/>
    <w:uiPriority w:val="99"/>
    <w:rsid w:val="000A64BF"/>
    <w:pPr>
      <w:spacing w:after="200" w:line="276" w:lineRule="auto"/>
      <w:ind w:left="738" w:hanging="369"/>
    </w:pPr>
    <w:rPr>
      <w:rFonts w:ascii="Arial" w:eastAsia="Calibri" w:hAnsi="Arial"/>
      <w:sz w:val="22"/>
      <w:szCs w:val="22"/>
    </w:rPr>
  </w:style>
  <w:style w:type="paragraph" w:styleId="ListNumber3">
    <w:name w:val="List Number 3"/>
    <w:basedOn w:val="Normal"/>
    <w:uiPriority w:val="99"/>
    <w:rsid w:val="000A64BF"/>
    <w:pPr>
      <w:spacing w:after="200" w:line="276" w:lineRule="auto"/>
      <w:ind w:left="1107" w:hanging="369"/>
    </w:pPr>
    <w:rPr>
      <w:rFonts w:ascii="Arial" w:eastAsia="Calibri" w:hAnsi="Arial"/>
      <w:sz w:val="22"/>
      <w:szCs w:val="22"/>
    </w:rPr>
  </w:style>
  <w:style w:type="paragraph" w:styleId="ListNumber4">
    <w:name w:val="List Number 4"/>
    <w:basedOn w:val="Normal"/>
    <w:uiPriority w:val="99"/>
    <w:rsid w:val="000A64BF"/>
    <w:pPr>
      <w:spacing w:after="200" w:line="276" w:lineRule="auto"/>
      <w:ind w:left="1476" w:hanging="369"/>
    </w:pPr>
    <w:rPr>
      <w:rFonts w:ascii="Arial" w:eastAsia="Calibri" w:hAnsi="Arial"/>
      <w:sz w:val="22"/>
      <w:szCs w:val="22"/>
    </w:rPr>
  </w:style>
  <w:style w:type="paragraph" w:styleId="ListNumber5">
    <w:name w:val="List Number 5"/>
    <w:basedOn w:val="Normal"/>
    <w:uiPriority w:val="99"/>
    <w:rsid w:val="000A64BF"/>
    <w:pPr>
      <w:spacing w:after="200" w:line="276" w:lineRule="auto"/>
      <w:ind w:left="1845" w:hanging="369"/>
    </w:pPr>
    <w:rPr>
      <w:rFonts w:ascii="Arial" w:eastAsia="Calibri" w:hAnsi="Arial"/>
      <w:sz w:val="22"/>
      <w:szCs w:val="22"/>
    </w:rPr>
  </w:style>
  <w:style w:type="numbering" w:customStyle="1" w:styleId="BulletList">
    <w:name w:val="Bullet List"/>
    <w:uiPriority w:val="99"/>
    <w:rsid w:val="000A64BF"/>
    <w:pPr>
      <w:numPr>
        <w:numId w:val="45"/>
      </w:numPr>
    </w:pPr>
  </w:style>
  <w:style w:type="paragraph" w:styleId="ListBullet2">
    <w:name w:val="List Bullet 2"/>
    <w:basedOn w:val="Normal"/>
    <w:uiPriority w:val="99"/>
    <w:unhideWhenUsed/>
    <w:rsid w:val="000A64BF"/>
    <w:pPr>
      <w:spacing w:after="200" w:line="276" w:lineRule="auto"/>
      <w:ind w:left="737" w:hanging="368"/>
    </w:pPr>
    <w:rPr>
      <w:rFonts w:ascii="Arial" w:eastAsia="Calibri" w:hAnsi="Arial"/>
      <w:sz w:val="22"/>
      <w:szCs w:val="22"/>
    </w:rPr>
  </w:style>
  <w:style w:type="paragraph" w:styleId="ListBullet3">
    <w:name w:val="List Bullet 3"/>
    <w:basedOn w:val="Normal"/>
    <w:uiPriority w:val="99"/>
    <w:unhideWhenUsed/>
    <w:rsid w:val="000A64BF"/>
    <w:pPr>
      <w:spacing w:after="200" w:line="276" w:lineRule="auto"/>
      <w:ind w:left="1106" w:hanging="369"/>
    </w:pPr>
    <w:rPr>
      <w:rFonts w:ascii="Arial" w:eastAsia="Calibri" w:hAnsi="Arial"/>
      <w:sz w:val="22"/>
      <w:szCs w:val="22"/>
    </w:rPr>
  </w:style>
  <w:style w:type="paragraph" w:styleId="ListBullet4">
    <w:name w:val="List Bullet 4"/>
    <w:basedOn w:val="Normal"/>
    <w:uiPriority w:val="99"/>
    <w:unhideWhenUsed/>
    <w:rsid w:val="000A64BF"/>
    <w:pPr>
      <w:spacing w:after="200" w:line="276" w:lineRule="auto"/>
      <w:ind w:left="1474" w:hanging="368"/>
    </w:pPr>
    <w:rPr>
      <w:rFonts w:ascii="Arial" w:eastAsia="Calibri" w:hAnsi="Arial"/>
      <w:sz w:val="22"/>
      <w:szCs w:val="22"/>
    </w:rPr>
  </w:style>
  <w:style w:type="paragraph" w:styleId="ListBullet5">
    <w:name w:val="List Bullet 5"/>
    <w:basedOn w:val="Normal"/>
    <w:uiPriority w:val="99"/>
    <w:unhideWhenUsed/>
    <w:rsid w:val="000A64BF"/>
    <w:pPr>
      <w:spacing w:after="200" w:line="276" w:lineRule="auto"/>
      <w:ind w:left="1800" w:hanging="360"/>
    </w:pPr>
    <w:rPr>
      <w:rFonts w:ascii="Arial" w:eastAsia="Calibri" w:hAnsi="Arial"/>
      <w:sz w:val="22"/>
      <w:szCs w:val="22"/>
    </w:rPr>
  </w:style>
  <w:style w:type="paragraph" w:customStyle="1" w:styleId="partheading0">
    <w:name w:val="partheading0"/>
    <w:basedOn w:val="Normal"/>
    <w:rsid w:val="00FC2DBE"/>
    <w:pPr>
      <w:spacing w:before="100" w:beforeAutospacing="1" w:after="100" w:afterAutospacing="1"/>
    </w:pPr>
    <w:rPr>
      <w:szCs w:val="24"/>
      <w:lang w:eastAsia="en-AU"/>
    </w:rPr>
  </w:style>
  <w:style w:type="paragraph" w:customStyle="1" w:styleId="sectionheading0">
    <w:name w:val="sectionheading"/>
    <w:basedOn w:val="Normal"/>
    <w:rsid w:val="00FC2DBE"/>
    <w:pPr>
      <w:spacing w:before="100" w:beforeAutospacing="1" w:after="100" w:afterAutospacing="1"/>
    </w:pPr>
    <w:rPr>
      <w:szCs w:val="24"/>
      <w:lang w:eastAsia="en-AU"/>
    </w:rPr>
  </w:style>
  <w:style w:type="paragraph" w:customStyle="1" w:styleId="subsectionheading0">
    <w:name w:val="subsectionheading"/>
    <w:basedOn w:val="Normal"/>
    <w:rsid w:val="00FC2DBE"/>
    <w:pPr>
      <w:spacing w:before="100" w:beforeAutospacing="1" w:after="100" w:afterAutospacing="1"/>
    </w:pPr>
    <w:rPr>
      <w:szCs w:val="24"/>
      <w:lang w:eastAsia="en-AU"/>
    </w:rPr>
  </w:style>
  <w:style w:type="paragraph" w:customStyle="1" w:styleId="subsectiontext0">
    <w:name w:val="subsectiontext"/>
    <w:basedOn w:val="Normal"/>
    <w:rsid w:val="00FC2DBE"/>
    <w:pPr>
      <w:spacing w:before="100" w:beforeAutospacing="1" w:after="100" w:afterAutospacing="1"/>
    </w:pPr>
    <w:rPr>
      <w:szCs w:val="24"/>
      <w:lang w:eastAsia="en-AU"/>
    </w:rPr>
  </w:style>
  <w:style w:type="paragraph" w:customStyle="1" w:styleId="paragraphtext0">
    <w:name w:val="paragraphtext"/>
    <w:basedOn w:val="Normal"/>
    <w:rsid w:val="00FC2DBE"/>
    <w:pPr>
      <w:spacing w:before="100" w:beforeAutospacing="1" w:after="100" w:afterAutospacing="1"/>
    </w:pPr>
    <w:rPr>
      <w:szCs w:val="24"/>
      <w:lang w:eastAsia="en-AU"/>
    </w:rPr>
  </w:style>
  <w:style w:type="paragraph" w:customStyle="1" w:styleId="subsectionnote0">
    <w:name w:val="subsectionnote"/>
    <w:basedOn w:val="Normal"/>
    <w:rsid w:val="00FC2DBE"/>
    <w:pPr>
      <w:spacing w:before="100" w:beforeAutospacing="1" w:after="100" w:afterAutospacing="1"/>
    </w:pPr>
    <w:rPr>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footnote text" w:uiPriority="99"/>
    <w:lsdException w:name="annotation text" w:uiPriority="99"/>
    <w:lsdException w:name="footer" w:locked="1"/>
    <w:lsdException w:name="caption" w:locked="1" w:semiHidden="1" w:unhideWhenUsed="1" w:qFormat="1"/>
    <w:lsdException w:name="footnote reference" w:uiPriority="99"/>
    <w:lsdException w:name="annotation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locked="1" w:qFormat="1"/>
    <w:lsdException w:name="Default Paragraph Font" w:uiPriority="1"/>
    <w:lsdException w:name="Subtitle" w:locked="1" w:qFormat="1"/>
    <w:lsdException w:name="Hyperlink" w:locked="1" w:uiPriority="99"/>
    <w:lsdException w:name="Strong" w:locked="1" w:uiPriority="22" w:qFormat="1"/>
    <w:lsdException w:name="Emphasis" w:locked="1" w:uiPriority="20" w:qFormat="1"/>
    <w:lsdException w:name="Normal (Web)" w:locked="1"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7B6C07"/>
    <w:rPr>
      <w:sz w:val="24"/>
      <w:lang w:eastAsia="en-US"/>
    </w:rPr>
  </w:style>
  <w:style w:type="paragraph" w:styleId="Heading1">
    <w:name w:val="heading 1"/>
    <w:basedOn w:val="Normal"/>
    <w:next w:val="Normal"/>
    <w:link w:val="Heading1Char"/>
    <w:qFormat/>
    <w:rsid w:val="007B6C07"/>
    <w:pPr>
      <w:keepNext/>
      <w:numPr>
        <w:numId w:val="6"/>
      </w:numPr>
      <w:outlineLvl w:val="0"/>
    </w:pPr>
    <w:rPr>
      <w:b/>
      <w:sz w:val="28"/>
    </w:rPr>
  </w:style>
  <w:style w:type="paragraph" w:styleId="Heading2">
    <w:name w:val="heading 2"/>
    <w:basedOn w:val="Heading1"/>
    <w:next w:val="Normal"/>
    <w:link w:val="Heading2Char"/>
    <w:qFormat/>
    <w:rsid w:val="007B6C07"/>
    <w:pPr>
      <w:numPr>
        <w:ilvl w:val="1"/>
      </w:numPr>
      <w:outlineLvl w:val="1"/>
    </w:pPr>
    <w:rPr>
      <w:color w:val="000000"/>
      <w:sz w:val="24"/>
    </w:rPr>
  </w:style>
  <w:style w:type="paragraph" w:styleId="Heading3">
    <w:name w:val="heading 3"/>
    <w:basedOn w:val="Normal"/>
    <w:next w:val="Normal"/>
    <w:link w:val="Heading3Char"/>
    <w:qFormat/>
    <w:rsid w:val="009667FA"/>
    <w:pPr>
      <w:keepNext/>
      <w:keepLines/>
      <w:numPr>
        <w:ilvl w:val="2"/>
        <w:numId w:val="6"/>
      </w:numPr>
      <w:spacing w:before="200"/>
      <w:ind w:left="720"/>
      <w:outlineLvl w:val="2"/>
    </w:pPr>
    <w:rPr>
      <w:b/>
      <w:bCs/>
    </w:rPr>
  </w:style>
  <w:style w:type="paragraph" w:styleId="Heading4">
    <w:name w:val="heading 4"/>
    <w:basedOn w:val="Normal"/>
    <w:next w:val="Normal"/>
    <w:link w:val="Heading4Char"/>
    <w:qFormat/>
    <w:rsid w:val="007B6C07"/>
    <w:pPr>
      <w:keepNext/>
      <w:keepLines/>
      <w:numPr>
        <w:ilvl w:val="3"/>
        <w:numId w:val="6"/>
      </w:numPr>
      <w:spacing w:before="200"/>
      <w:outlineLvl w:val="3"/>
    </w:pPr>
    <w:rPr>
      <w:rFonts w:ascii="Cambria" w:hAnsi="Cambria"/>
      <w:b/>
      <w:bCs/>
      <w:i/>
      <w:iCs/>
      <w:color w:val="4F81BD"/>
    </w:rPr>
  </w:style>
  <w:style w:type="paragraph" w:styleId="Heading5">
    <w:name w:val="heading 5"/>
    <w:basedOn w:val="Normal"/>
    <w:next w:val="Normal"/>
    <w:link w:val="Heading5Char"/>
    <w:qFormat/>
    <w:rsid w:val="007B6C07"/>
    <w:pPr>
      <w:keepNext/>
      <w:keepLines/>
      <w:numPr>
        <w:ilvl w:val="4"/>
        <w:numId w:val="6"/>
      </w:numPr>
      <w:spacing w:before="200"/>
      <w:outlineLvl w:val="4"/>
    </w:pPr>
    <w:rPr>
      <w:rFonts w:ascii="Cambria" w:hAnsi="Cambria"/>
      <w:color w:val="243F60"/>
    </w:rPr>
  </w:style>
  <w:style w:type="paragraph" w:styleId="Heading6">
    <w:name w:val="heading 6"/>
    <w:basedOn w:val="Normal"/>
    <w:next w:val="Normal"/>
    <w:link w:val="Heading6Char"/>
    <w:qFormat/>
    <w:rsid w:val="007B6C07"/>
    <w:pPr>
      <w:keepNext/>
      <w:keepLines/>
      <w:numPr>
        <w:ilvl w:val="5"/>
        <w:numId w:val="6"/>
      </w:numPr>
      <w:spacing w:before="200"/>
      <w:outlineLvl w:val="5"/>
    </w:pPr>
    <w:rPr>
      <w:rFonts w:ascii="Cambria" w:hAnsi="Cambria"/>
      <w:i/>
      <w:iCs/>
      <w:color w:val="243F60"/>
    </w:rPr>
  </w:style>
  <w:style w:type="paragraph" w:styleId="Heading7">
    <w:name w:val="heading 7"/>
    <w:basedOn w:val="Normal"/>
    <w:next w:val="Normal"/>
    <w:link w:val="Heading7Char"/>
    <w:qFormat/>
    <w:rsid w:val="007B6C07"/>
    <w:pPr>
      <w:keepNext/>
      <w:keepLines/>
      <w:numPr>
        <w:ilvl w:val="6"/>
        <w:numId w:val="6"/>
      </w:numPr>
      <w:spacing w:before="200"/>
      <w:outlineLvl w:val="6"/>
    </w:pPr>
    <w:rPr>
      <w:rFonts w:ascii="Cambria" w:hAnsi="Cambria"/>
      <w:i/>
      <w:iCs/>
      <w:color w:val="404040"/>
    </w:rPr>
  </w:style>
  <w:style w:type="paragraph" w:styleId="Heading8">
    <w:name w:val="heading 8"/>
    <w:basedOn w:val="Normal"/>
    <w:next w:val="Normal"/>
    <w:link w:val="Heading8Char"/>
    <w:qFormat/>
    <w:rsid w:val="007B6C07"/>
    <w:pPr>
      <w:keepNext/>
      <w:keepLines/>
      <w:numPr>
        <w:ilvl w:val="7"/>
        <w:numId w:val="6"/>
      </w:numPr>
      <w:spacing w:before="200"/>
      <w:outlineLvl w:val="7"/>
    </w:pPr>
    <w:rPr>
      <w:rFonts w:ascii="Cambria" w:hAnsi="Cambria"/>
      <w:color w:val="404040"/>
      <w:sz w:val="20"/>
    </w:rPr>
  </w:style>
  <w:style w:type="paragraph" w:styleId="Heading9">
    <w:name w:val="heading 9"/>
    <w:basedOn w:val="Normal"/>
    <w:next w:val="Normal"/>
    <w:link w:val="Heading9Char"/>
    <w:qFormat/>
    <w:rsid w:val="007B6C07"/>
    <w:pPr>
      <w:keepNext/>
      <w:keepLines/>
      <w:numPr>
        <w:ilvl w:val="8"/>
        <w:numId w:val="6"/>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1644"/>
    <w:pPr>
      <w:tabs>
        <w:tab w:val="center" w:pos="4153"/>
        <w:tab w:val="right" w:pos="8306"/>
      </w:tabs>
    </w:pPr>
  </w:style>
  <w:style w:type="paragraph" w:styleId="Footer">
    <w:name w:val="footer"/>
    <w:basedOn w:val="Normal"/>
    <w:link w:val="FooterChar"/>
    <w:rsid w:val="00311644"/>
    <w:pPr>
      <w:tabs>
        <w:tab w:val="center" w:pos="4153"/>
        <w:tab w:val="right" w:pos="8306"/>
      </w:tabs>
    </w:pPr>
  </w:style>
  <w:style w:type="character" w:styleId="PageNumber">
    <w:name w:val="page number"/>
    <w:rsid w:val="00311644"/>
    <w:rPr>
      <w:rFonts w:cs="Times New Roman"/>
    </w:rPr>
  </w:style>
  <w:style w:type="character" w:styleId="CommentReference">
    <w:name w:val="annotation reference"/>
    <w:uiPriority w:val="99"/>
    <w:semiHidden/>
    <w:rsid w:val="00311644"/>
    <w:rPr>
      <w:rFonts w:cs="Times New Roman"/>
      <w:sz w:val="16"/>
      <w:szCs w:val="16"/>
    </w:rPr>
  </w:style>
  <w:style w:type="paragraph" w:styleId="CommentText">
    <w:name w:val="annotation text"/>
    <w:basedOn w:val="Normal"/>
    <w:link w:val="CommentTextChar"/>
    <w:uiPriority w:val="99"/>
    <w:semiHidden/>
    <w:rsid w:val="00311644"/>
    <w:rPr>
      <w:sz w:val="20"/>
    </w:rPr>
  </w:style>
  <w:style w:type="paragraph" w:styleId="FootnoteText">
    <w:name w:val="footnote text"/>
    <w:basedOn w:val="Normal"/>
    <w:link w:val="FootnoteTextChar"/>
    <w:uiPriority w:val="99"/>
    <w:semiHidden/>
    <w:rsid w:val="00311644"/>
    <w:rPr>
      <w:sz w:val="20"/>
    </w:rPr>
  </w:style>
  <w:style w:type="table" w:styleId="TableGrid">
    <w:name w:val="Table Grid"/>
    <w:basedOn w:val="TableNormal"/>
    <w:uiPriority w:val="59"/>
    <w:rsid w:val="00311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semiHidden/>
    <w:rsid w:val="00311644"/>
    <w:rPr>
      <w:rFonts w:cs="Times New Roman"/>
      <w:vertAlign w:val="superscript"/>
    </w:rPr>
  </w:style>
  <w:style w:type="character" w:customStyle="1" w:styleId="InstructionText">
    <w:name w:val="Instruction Text"/>
    <w:rsid w:val="00311644"/>
    <w:rPr>
      <w:rFonts w:cs="Times New Roman"/>
      <w:i/>
      <w:color w:val="0070C0"/>
    </w:rPr>
  </w:style>
  <w:style w:type="paragraph" w:customStyle="1" w:styleId="ParaIndent">
    <w:name w:val="_ParaIndent"/>
    <w:basedOn w:val="BodyText"/>
    <w:link w:val="ParaIndentChar"/>
    <w:rsid w:val="00311644"/>
    <w:pPr>
      <w:spacing w:after="240" w:line="260" w:lineRule="atLeast"/>
      <w:ind w:left="1134"/>
    </w:pPr>
    <w:rPr>
      <w:rFonts w:ascii="Arial" w:hAnsi="Arial"/>
      <w:sz w:val="20"/>
      <w:lang w:val="en-GB"/>
    </w:rPr>
  </w:style>
  <w:style w:type="character" w:customStyle="1" w:styleId="ParaIndentChar">
    <w:name w:val="_ParaIndent Char"/>
    <w:link w:val="ParaIndent"/>
    <w:locked/>
    <w:rsid w:val="00311644"/>
    <w:rPr>
      <w:rFonts w:ascii="Arial" w:hAnsi="Arial" w:cs="Times New Roman"/>
      <w:lang w:val="en-GB" w:eastAsia="en-US" w:bidi="ar-SA"/>
    </w:rPr>
  </w:style>
  <w:style w:type="character" w:customStyle="1" w:styleId="Heading1Char">
    <w:name w:val="Heading 1 Char"/>
    <w:link w:val="Heading1"/>
    <w:locked/>
    <w:rsid w:val="007B6C07"/>
    <w:rPr>
      <w:b/>
      <w:sz w:val="28"/>
    </w:rPr>
  </w:style>
  <w:style w:type="character" w:customStyle="1" w:styleId="FootnoteTextChar">
    <w:name w:val="Footnote Text Char"/>
    <w:link w:val="FootnoteText"/>
    <w:uiPriority w:val="99"/>
    <w:semiHidden/>
    <w:locked/>
    <w:rsid w:val="00311644"/>
    <w:rPr>
      <w:rFonts w:cs="Times New Roman"/>
      <w:lang w:val="en-AU" w:eastAsia="en-US" w:bidi="ar-SA"/>
    </w:rPr>
  </w:style>
  <w:style w:type="character" w:customStyle="1" w:styleId="CommentTextChar">
    <w:name w:val="Comment Text Char"/>
    <w:link w:val="CommentText"/>
    <w:uiPriority w:val="99"/>
    <w:semiHidden/>
    <w:locked/>
    <w:rsid w:val="00311644"/>
    <w:rPr>
      <w:rFonts w:cs="Times New Roman"/>
      <w:lang w:val="en-AU" w:eastAsia="en-US" w:bidi="ar-SA"/>
    </w:rPr>
  </w:style>
  <w:style w:type="paragraph" w:styleId="BodyText">
    <w:name w:val="Body Text"/>
    <w:basedOn w:val="Normal"/>
    <w:rsid w:val="00311644"/>
    <w:pPr>
      <w:spacing w:after="120"/>
    </w:pPr>
  </w:style>
  <w:style w:type="paragraph" w:styleId="BalloonText">
    <w:name w:val="Balloon Text"/>
    <w:basedOn w:val="Normal"/>
    <w:semiHidden/>
    <w:rsid w:val="00311644"/>
    <w:rPr>
      <w:rFonts w:ascii="Tahoma" w:hAnsi="Tahoma" w:cs="Tahoma"/>
      <w:sz w:val="16"/>
      <w:szCs w:val="16"/>
    </w:rPr>
  </w:style>
  <w:style w:type="character" w:styleId="Hyperlink">
    <w:name w:val="Hyperlink"/>
    <w:uiPriority w:val="99"/>
    <w:rsid w:val="00311644"/>
    <w:rPr>
      <w:rFonts w:cs="Times New Roman"/>
      <w:color w:val="0000FF"/>
      <w:u w:val="single"/>
    </w:rPr>
  </w:style>
  <w:style w:type="paragraph" w:customStyle="1" w:styleId="Style1">
    <w:name w:val="Style1"/>
    <w:basedOn w:val="Heading2"/>
    <w:rsid w:val="00311644"/>
    <w:pPr>
      <w:numPr>
        <w:numId w:val="1"/>
      </w:numPr>
      <w:ind w:left="0" w:firstLine="0"/>
    </w:pPr>
    <w:rPr>
      <w:szCs w:val="24"/>
    </w:rPr>
  </w:style>
  <w:style w:type="paragraph" w:customStyle="1" w:styleId="StyleHeading2Auto">
    <w:name w:val="Style Heading 2 + Auto"/>
    <w:basedOn w:val="Heading2"/>
    <w:rsid w:val="00311644"/>
    <w:pPr>
      <w:numPr>
        <w:numId w:val="2"/>
      </w:numPr>
      <w:ind w:left="0" w:firstLine="0"/>
    </w:pPr>
    <w:rPr>
      <w:bCs/>
      <w:color w:val="auto"/>
    </w:rPr>
  </w:style>
  <w:style w:type="paragraph" w:styleId="CommentSubject">
    <w:name w:val="annotation subject"/>
    <w:basedOn w:val="CommentText"/>
    <w:next w:val="CommentText"/>
    <w:link w:val="CommentSubjectChar"/>
    <w:rsid w:val="00311644"/>
    <w:rPr>
      <w:b/>
      <w:bCs/>
    </w:rPr>
  </w:style>
  <w:style w:type="character" w:customStyle="1" w:styleId="CommentSubjectChar">
    <w:name w:val="Comment Subject Char"/>
    <w:link w:val="CommentSubject"/>
    <w:locked/>
    <w:rsid w:val="00311644"/>
    <w:rPr>
      <w:rFonts w:cs="Times New Roman"/>
      <w:b/>
      <w:bCs/>
      <w:lang w:val="en-AU" w:eastAsia="en-US" w:bidi="ar-SA"/>
    </w:rPr>
  </w:style>
  <w:style w:type="paragraph" w:customStyle="1" w:styleId="ColorfulList-Accent11">
    <w:name w:val="Colorful List - Accent 11"/>
    <w:basedOn w:val="Normal"/>
    <w:qFormat/>
    <w:rsid w:val="007B6C07"/>
    <w:pPr>
      <w:ind w:left="720"/>
      <w:contextualSpacing/>
    </w:pPr>
  </w:style>
  <w:style w:type="paragraph" w:customStyle="1" w:styleId="Pa6">
    <w:name w:val="Pa6"/>
    <w:basedOn w:val="Normal"/>
    <w:next w:val="Normal"/>
    <w:rsid w:val="00311644"/>
    <w:pPr>
      <w:autoSpaceDE w:val="0"/>
      <w:autoSpaceDN w:val="0"/>
      <w:adjustRightInd w:val="0"/>
      <w:spacing w:line="211" w:lineRule="atLeast"/>
    </w:pPr>
    <w:rPr>
      <w:rFonts w:ascii="Adobe Garamond Pro" w:hAnsi="Adobe Garamond Pro"/>
      <w:szCs w:val="24"/>
      <w:lang w:eastAsia="en-AU"/>
    </w:rPr>
  </w:style>
  <w:style w:type="paragraph" w:customStyle="1" w:styleId="Pa11">
    <w:name w:val="Pa11"/>
    <w:basedOn w:val="Normal"/>
    <w:next w:val="Normal"/>
    <w:rsid w:val="00311644"/>
    <w:pPr>
      <w:autoSpaceDE w:val="0"/>
      <w:autoSpaceDN w:val="0"/>
      <w:adjustRightInd w:val="0"/>
      <w:spacing w:line="211" w:lineRule="atLeast"/>
    </w:pPr>
    <w:rPr>
      <w:rFonts w:ascii="Adobe Garamond Pro" w:hAnsi="Adobe Garamond Pro"/>
      <w:szCs w:val="24"/>
      <w:lang w:eastAsia="en-AU"/>
    </w:rPr>
  </w:style>
  <w:style w:type="character" w:customStyle="1" w:styleId="A7">
    <w:name w:val="A7"/>
    <w:rsid w:val="00311644"/>
    <w:rPr>
      <w:color w:val="000000"/>
      <w:sz w:val="21"/>
    </w:rPr>
  </w:style>
  <w:style w:type="paragraph" w:customStyle="1" w:styleId="Pa12">
    <w:name w:val="Pa12"/>
    <w:basedOn w:val="Normal"/>
    <w:next w:val="Normal"/>
    <w:rsid w:val="00311644"/>
    <w:pPr>
      <w:autoSpaceDE w:val="0"/>
      <w:autoSpaceDN w:val="0"/>
      <w:adjustRightInd w:val="0"/>
      <w:spacing w:line="211" w:lineRule="atLeast"/>
    </w:pPr>
    <w:rPr>
      <w:rFonts w:ascii="Adobe Garamond Pro" w:hAnsi="Adobe Garamond Pro"/>
      <w:szCs w:val="24"/>
      <w:lang w:eastAsia="en-AU"/>
    </w:rPr>
  </w:style>
  <w:style w:type="paragraph" w:customStyle="1" w:styleId="TOCHeading1">
    <w:name w:val="TOC Heading1"/>
    <w:basedOn w:val="Heading1"/>
    <w:next w:val="Normal"/>
    <w:qFormat/>
    <w:rsid w:val="007B6C07"/>
    <w:pPr>
      <w:keepLines/>
      <w:numPr>
        <w:numId w:val="0"/>
      </w:numPr>
      <w:spacing w:before="480" w:line="276" w:lineRule="auto"/>
      <w:outlineLvl w:val="9"/>
    </w:pPr>
    <w:rPr>
      <w:rFonts w:ascii="Cambria" w:hAnsi="Cambria"/>
      <w:bCs/>
      <w:color w:val="365F91"/>
      <w:szCs w:val="28"/>
      <w:lang w:val="en-US"/>
    </w:rPr>
  </w:style>
  <w:style w:type="paragraph" w:styleId="TOC1">
    <w:name w:val="toc 1"/>
    <w:basedOn w:val="Normal"/>
    <w:next w:val="Normal"/>
    <w:autoRedefine/>
    <w:uiPriority w:val="39"/>
    <w:rsid w:val="007B6C07"/>
    <w:pPr>
      <w:tabs>
        <w:tab w:val="right" w:leader="dot" w:pos="9498"/>
      </w:tabs>
      <w:spacing w:after="100"/>
      <w:ind w:left="284" w:hanging="284"/>
    </w:pPr>
    <w:rPr>
      <w:b/>
      <w:noProof/>
    </w:rPr>
  </w:style>
  <w:style w:type="paragraph" w:styleId="TOC2">
    <w:name w:val="toc 2"/>
    <w:basedOn w:val="Normal"/>
    <w:next w:val="Normal"/>
    <w:autoRedefine/>
    <w:uiPriority w:val="39"/>
    <w:rsid w:val="007B6C07"/>
    <w:pPr>
      <w:tabs>
        <w:tab w:val="left" w:pos="1320"/>
        <w:tab w:val="right" w:leader="dot" w:pos="9356"/>
      </w:tabs>
      <w:spacing w:after="100"/>
      <w:ind w:left="600" w:right="-1"/>
    </w:pPr>
  </w:style>
  <w:style w:type="paragraph" w:styleId="TOC3">
    <w:name w:val="toc 3"/>
    <w:basedOn w:val="Normal"/>
    <w:next w:val="Normal"/>
    <w:autoRedefine/>
    <w:uiPriority w:val="39"/>
    <w:rsid w:val="007B6C07"/>
    <w:pPr>
      <w:tabs>
        <w:tab w:val="left" w:pos="1320"/>
        <w:tab w:val="left" w:pos="2268"/>
        <w:tab w:val="right" w:leader="dot" w:pos="9356"/>
      </w:tabs>
      <w:spacing w:after="100" w:line="276" w:lineRule="auto"/>
      <w:ind w:left="440"/>
    </w:pPr>
    <w:rPr>
      <w:noProof/>
      <w:szCs w:val="24"/>
      <w:lang w:val="en-US"/>
    </w:rPr>
  </w:style>
  <w:style w:type="paragraph" w:customStyle="1" w:styleId="ColorfulShading-Accent11">
    <w:name w:val="Colorful Shading - Accent 11"/>
    <w:hidden/>
    <w:semiHidden/>
    <w:rsid w:val="00311644"/>
    <w:rPr>
      <w:sz w:val="24"/>
      <w:lang w:eastAsia="en-US"/>
    </w:rPr>
  </w:style>
  <w:style w:type="character" w:customStyle="1" w:styleId="Heading3Char">
    <w:name w:val="Heading 3 Char"/>
    <w:link w:val="Heading3"/>
    <w:locked/>
    <w:rsid w:val="009667FA"/>
    <w:rPr>
      <w:b/>
      <w:bCs/>
      <w:sz w:val="24"/>
    </w:rPr>
  </w:style>
  <w:style w:type="character" w:customStyle="1" w:styleId="Heading4Char">
    <w:name w:val="Heading 4 Char"/>
    <w:link w:val="Heading4"/>
    <w:locked/>
    <w:rsid w:val="007B6C07"/>
    <w:rPr>
      <w:rFonts w:ascii="Cambria" w:hAnsi="Cambria"/>
      <w:b/>
      <w:bCs/>
      <w:i/>
      <w:iCs/>
      <w:color w:val="4F81BD"/>
      <w:sz w:val="24"/>
    </w:rPr>
  </w:style>
  <w:style w:type="character" w:customStyle="1" w:styleId="Heading5Char">
    <w:name w:val="Heading 5 Char"/>
    <w:link w:val="Heading5"/>
    <w:locked/>
    <w:rsid w:val="007B6C07"/>
    <w:rPr>
      <w:rFonts w:ascii="Cambria" w:hAnsi="Cambria"/>
      <w:color w:val="243F60"/>
      <w:sz w:val="24"/>
    </w:rPr>
  </w:style>
  <w:style w:type="character" w:customStyle="1" w:styleId="Heading6Char">
    <w:name w:val="Heading 6 Char"/>
    <w:link w:val="Heading6"/>
    <w:locked/>
    <w:rsid w:val="007B6C07"/>
    <w:rPr>
      <w:rFonts w:ascii="Cambria" w:hAnsi="Cambria"/>
      <w:i/>
      <w:iCs/>
      <w:color w:val="243F60"/>
      <w:sz w:val="24"/>
    </w:rPr>
  </w:style>
  <w:style w:type="character" w:customStyle="1" w:styleId="Heading7Char">
    <w:name w:val="Heading 7 Char"/>
    <w:link w:val="Heading7"/>
    <w:locked/>
    <w:rsid w:val="007B6C07"/>
    <w:rPr>
      <w:rFonts w:ascii="Cambria" w:hAnsi="Cambria"/>
      <w:i/>
      <w:iCs/>
      <w:color w:val="404040"/>
      <w:sz w:val="24"/>
    </w:rPr>
  </w:style>
  <w:style w:type="character" w:customStyle="1" w:styleId="Heading8Char">
    <w:name w:val="Heading 8 Char"/>
    <w:link w:val="Heading8"/>
    <w:locked/>
    <w:rsid w:val="007B6C07"/>
    <w:rPr>
      <w:rFonts w:ascii="Cambria" w:hAnsi="Cambria"/>
      <w:color w:val="404040"/>
    </w:rPr>
  </w:style>
  <w:style w:type="character" w:customStyle="1" w:styleId="Heading9Char">
    <w:name w:val="Heading 9 Char"/>
    <w:link w:val="Heading9"/>
    <w:locked/>
    <w:rsid w:val="007B6C07"/>
    <w:rPr>
      <w:rFonts w:ascii="Cambria" w:hAnsi="Cambria"/>
      <w:i/>
      <w:iCs/>
      <w:color w:val="404040"/>
    </w:rPr>
  </w:style>
  <w:style w:type="paragraph" w:styleId="NormalWeb">
    <w:name w:val="Normal (Web)"/>
    <w:basedOn w:val="Normal"/>
    <w:uiPriority w:val="99"/>
    <w:rsid w:val="00311644"/>
    <w:pPr>
      <w:spacing w:before="100" w:beforeAutospacing="1" w:after="100" w:afterAutospacing="1"/>
    </w:pPr>
    <w:rPr>
      <w:szCs w:val="24"/>
      <w:lang w:eastAsia="en-AU"/>
    </w:rPr>
  </w:style>
  <w:style w:type="character" w:customStyle="1" w:styleId="FooterChar">
    <w:name w:val="Footer Char"/>
    <w:link w:val="Footer"/>
    <w:locked/>
    <w:rsid w:val="00311644"/>
    <w:rPr>
      <w:rFonts w:cs="Times New Roman"/>
      <w:sz w:val="24"/>
      <w:lang w:eastAsia="en-US"/>
    </w:rPr>
  </w:style>
  <w:style w:type="character" w:styleId="Emphasis">
    <w:name w:val="Emphasis"/>
    <w:uiPriority w:val="20"/>
    <w:qFormat/>
    <w:locked/>
    <w:rsid w:val="007B6C07"/>
    <w:rPr>
      <w:i/>
      <w:iCs/>
    </w:rPr>
  </w:style>
  <w:style w:type="character" w:customStyle="1" w:styleId="external">
    <w:name w:val="external"/>
    <w:basedOn w:val="DefaultParagraphFont"/>
    <w:rsid w:val="00764630"/>
  </w:style>
  <w:style w:type="character" w:styleId="Strong">
    <w:name w:val="Strong"/>
    <w:uiPriority w:val="22"/>
    <w:qFormat/>
    <w:locked/>
    <w:rsid w:val="007B6C07"/>
    <w:rPr>
      <w:b/>
      <w:bCs/>
    </w:rPr>
  </w:style>
  <w:style w:type="character" w:customStyle="1" w:styleId="Heading2Char">
    <w:name w:val="Heading 2 Char"/>
    <w:link w:val="Heading2"/>
    <w:rsid w:val="007B6C07"/>
    <w:rPr>
      <w:b/>
      <w:color w:val="000000"/>
      <w:sz w:val="24"/>
    </w:rPr>
  </w:style>
  <w:style w:type="paragraph" w:customStyle="1" w:styleId="Bullet0">
    <w:name w:val="Bullet+0"/>
    <w:basedOn w:val="Normal"/>
    <w:rsid w:val="00247571"/>
    <w:pPr>
      <w:numPr>
        <w:numId w:val="3"/>
      </w:numPr>
      <w:tabs>
        <w:tab w:val="left" w:pos="1080"/>
      </w:tabs>
    </w:pPr>
    <w:rPr>
      <w:color w:val="000000"/>
      <w:sz w:val="23"/>
      <w:lang w:eastAsia="en-AU"/>
    </w:rPr>
  </w:style>
  <w:style w:type="paragraph" w:customStyle="1" w:styleId="Bullet6">
    <w:name w:val="Bullet+6"/>
    <w:basedOn w:val="Bullet0"/>
    <w:rsid w:val="00247571"/>
    <w:pPr>
      <w:spacing w:after="120"/>
    </w:pPr>
  </w:style>
  <w:style w:type="paragraph" w:customStyle="1" w:styleId="QTBDot">
    <w:name w:val="QTBDot"/>
    <w:basedOn w:val="Normal"/>
    <w:uiPriority w:val="99"/>
    <w:rsid w:val="008B5CE1"/>
    <w:pPr>
      <w:numPr>
        <w:numId w:val="4"/>
      </w:numPr>
      <w:spacing w:after="120" w:line="360" w:lineRule="auto"/>
    </w:pPr>
    <w:rPr>
      <w:sz w:val="28"/>
      <w:lang w:eastAsia="en-AU"/>
    </w:rPr>
  </w:style>
  <w:style w:type="paragraph" w:customStyle="1" w:styleId="NumberedLista">
    <w:name w:val="Numbered List: a)"/>
    <w:basedOn w:val="Normal"/>
    <w:rsid w:val="00912840"/>
    <w:pPr>
      <w:numPr>
        <w:numId w:val="9"/>
      </w:numPr>
      <w:spacing w:after="140" w:line="280" w:lineRule="atLeast"/>
    </w:pPr>
    <w:rPr>
      <w:rFonts w:ascii="Arial" w:hAnsi="Arial" w:cs="Arial"/>
      <w:sz w:val="22"/>
      <w:szCs w:val="22"/>
      <w:lang w:eastAsia="en-AU"/>
    </w:rPr>
  </w:style>
  <w:style w:type="paragraph" w:customStyle="1" w:styleId="NumberedLista1">
    <w:name w:val="Numbered List: a) 1"/>
    <w:basedOn w:val="NumberedLista"/>
    <w:link w:val="NumberedLista1Char"/>
    <w:rsid w:val="00912840"/>
    <w:pPr>
      <w:numPr>
        <w:ilvl w:val="1"/>
      </w:numPr>
    </w:pPr>
    <w:rPr>
      <w:rFonts w:cs="Times New Roman"/>
    </w:rPr>
  </w:style>
  <w:style w:type="paragraph" w:customStyle="1" w:styleId="NumberedLista2">
    <w:name w:val="Numbered List: a) 2"/>
    <w:basedOn w:val="NumberedLista1"/>
    <w:rsid w:val="00912840"/>
    <w:pPr>
      <w:numPr>
        <w:ilvl w:val="2"/>
      </w:numPr>
    </w:pPr>
  </w:style>
  <w:style w:type="paragraph" w:customStyle="1" w:styleId="NumberedLista3">
    <w:name w:val="Numbered List: a) 3"/>
    <w:basedOn w:val="NumberedLista2"/>
    <w:rsid w:val="00912840"/>
    <w:pPr>
      <w:numPr>
        <w:ilvl w:val="3"/>
      </w:numPr>
    </w:pPr>
  </w:style>
  <w:style w:type="paragraph" w:customStyle="1" w:styleId="NumberedLista4">
    <w:name w:val="Numbered List: a) 4"/>
    <w:basedOn w:val="NumberedLista3"/>
    <w:rsid w:val="00912840"/>
    <w:pPr>
      <w:numPr>
        <w:ilvl w:val="4"/>
      </w:numPr>
    </w:pPr>
  </w:style>
  <w:style w:type="paragraph" w:customStyle="1" w:styleId="NumberedLista5">
    <w:name w:val="Numbered List: a) 5"/>
    <w:basedOn w:val="NumberedLista4"/>
    <w:rsid w:val="00912840"/>
    <w:pPr>
      <w:numPr>
        <w:ilvl w:val="5"/>
      </w:numPr>
    </w:pPr>
  </w:style>
  <w:style w:type="paragraph" w:customStyle="1" w:styleId="NumberedLista6">
    <w:name w:val="Numbered List: a) 6"/>
    <w:basedOn w:val="NumberedLista5"/>
    <w:rsid w:val="00912840"/>
    <w:pPr>
      <w:numPr>
        <w:ilvl w:val="6"/>
      </w:numPr>
    </w:pPr>
  </w:style>
  <w:style w:type="paragraph" w:customStyle="1" w:styleId="NumberedLista7">
    <w:name w:val="Numbered List: a) 7"/>
    <w:basedOn w:val="NumberedLista6"/>
    <w:rsid w:val="00912840"/>
    <w:pPr>
      <w:numPr>
        <w:ilvl w:val="7"/>
      </w:numPr>
    </w:pPr>
  </w:style>
  <w:style w:type="paragraph" w:customStyle="1" w:styleId="NumberedLista8">
    <w:name w:val="Numbered List: a) 8"/>
    <w:basedOn w:val="NumberedLista7"/>
    <w:rsid w:val="00912840"/>
    <w:pPr>
      <w:numPr>
        <w:ilvl w:val="8"/>
      </w:numPr>
    </w:pPr>
  </w:style>
  <w:style w:type="paragraph" w:customStyle="1" w:styleId="Default">
    <w:name w:val="Default"/>
    <w:rsid w:val="00C43F9F"/>
    <w:pPr>
      <w:autoSpaceDE w:val="0"/>
      <w:autoSpaceDN w:val="0"/>
      <w:adjustRightInd w:val="0"/>
    </w:pPr>
    <w:rPr>
      <w:rFonts w:ascii="MyriaMM" w:eastAsia="Calibri" w:hAnsi="MyriaMM" w:cs="MyriaMM"/>
      <w:color w:val="000000"/>
      <w:sz w:val="24"/>
      <w:szCs w:val="24"/>
      <w:lang w:eastAsia="en-US"/>
    </w:rPr>
  </w:style>
  <w:style w:type="paragraph" w:customStyle="1" w:styleId="ChapterHeading">
    <w:name w:val="Chapter_Heading"/>
    <w:basedOn w:val="Normal"/>
    <w:next w:val="PartHeading"/>
    <w:rsid w:val="00E8521F"/>
    <w:pPr>
      <w:keepNext/>
      <w:keepLines/>
      <w:pageBreakBefore/>
      <w:numPr>
        <w:numId w:val="10"/>
      </w:numPr>
      <w:tabs>
        <w:tab w:val="left" w:pos="1276"/>
      </w:tabs>
      <w:spacing w:after="120"/>
      <w:outlineLvl w:val="0"/>
    </w:pPr>
    <w:rPr>
      <w:rFonts w:ascii="Arial" w:hAnsi="Arial" w:cs="Arial"/>
      <w:b/>
      <w:bCs/>
      <w:sz w:val="36"/>
      <w:szCs w:val="26"/>
      <w:lang w:eastAsia="en-AU"/>
    </w:rPr>
  </w:style>
  <w:style w:type="paragraph" w:customStyle="1" w:styleId="PartHeading">
    <w:name w:val="Part_Heading"/>
    <w:basedOn w:val="Normal"/>
    <w:next w:val="DivisionHeading"/>
    <w:rsid w:val="00E8521F"/>
    <w:pPr>
      <w:keepNext/>
      <w:keepLines/>
      <w:numPr>
        <w:ilvl w:val="1"/>
        <w:numId w:val="10"/>
      </w:numPr>
      <w:tabs>
        <w:tab w:val="left" w:pos="1276"/>
      </w:tabs>
      <w:spacing w:before="240" w:after="240"/>
      <w:outlineLvl w:val="1"/>
    </w:pPr>
    <w:rPr>
      <w:rFonts w:ascii="Arial" w:hAnsi="Arial" w:cs="Arial"/>
      <w:b/>
      <w:bCs/>
      <w:sz w:val="32"/>
      <w:szCs w:val="26"/>
      <w:lang w:eastAsia="en-AU"/>
    </w:rPr>
  </w:style>
  <w:style w:type="paragraph" w:customStyle="1" w:styleId="SectionHeading">
    <w:name w:val="Section_Heading"/>
    <w:basedOn w:val="Normal"/>
    <w:next w:val="SubSectionText"/>
    <w:rsid w:val="00E8521F"/>
    <w:pPr>
      <w:keepNext/>
      <w:keepLines/>
      <w:numPr>
        <w:ilvl w:val="4"/>
        <w:numId w:val="10"/>
      </w:numPr>
      <w:spacing w:before="60" w:after="60"/>
      <w:outlineLvl w:val="4"/>
    </w:pPr>
    <w:rPr>
      <w:rFonts w:ascii="Arial" w:hAnsi="Arial" w:cs="Arial"/>
      <w:b/>
      <w:bCs/>
      <w:szCs w:val="26"/>
      <w:lang w:eastAsia="en-AU"/>
    </w:rPr>
  </w:style>
  <w:style w:type="paragraph" w:customStyle="1" w:styleId="DivisionHeading">
    <w:name w:val="Division_Heading"/>
    <w:basedOn w:val="Normal"/>
    <w:next w:val="SubdivisionHeading"/>
    <w:rsid w:val="00E8521F"/>
    <w:pPr>
      <w:keepNext/>
      <w:keepLines/>
      <w:numPr>
        <w:ilvl w:val="2"/>
        <w:numId w:val="10"/>
      </w:numPr>
      <w:tabs>
        <w:tab w:val="left" w:pos="1276"/>
      </w:tabs>
      <w:spacing w:after="240"/>
      <w:outlineLvl w:val="2"/>
    </w:pPr>
    <w:rPr>
      <w:rFonts w:ascii="Arial" w:hAnsi="Arial" w:cs="Arial"/>
      <w:b/>
      <w:bCs/>
      <w:sz w:val="28"/>
      <w:szCs w:val="26"/>
      <w:lang w:eastAsia="en-AU"/>
    </w:rPr>
  </w:style>
  <w:style w:type="paragraph" w:customStyle="1" w:styleId="SubSectionText">
    <w:name w:val="SubSection_Text"/>
    <w:basedOn w:val="Normal"/>
    <w:rsid w:val="00E8521F"/>
    <w:pPr>
      <w:numPr>
        <w:ilvl w:val="5"/>
        <w:numId w:val="10"/>
      </w:numPr>
      <w:spacing w:before="60" w:after="140"/>
    </w:pPr>
    <w:rPr>
      <w:rFonts w:ascii="Arial" w:hAnsi="Arial" w:cs="Arial"/>
      <w:bCs/>
      <w:sz w:val="22"/>
      <w:szCs w:val="26"/>
      <w:lang w:eastAsia="en-AU"/>
    </w:rPr>
  </w:style>
  <w:style w:type="paragraph" w:customStyle="1" w:styleId="ParagraphText">
    <w:name w:val="Paragraph_Text"/>
    <w:basedOn w:val="Normal"/>
    <w:rsid w:val="00E8521F"/>
    <w:pPr>
      <w:numPr>
        <w:ilvl w:val="6"/>
        <w:numId w:val="10"/>
      </w:numPr>
      <w:spacing w:before="60" w:after="80"/>
    </w:pPr>
    <w:rPr>
      <w:rFonts w:ascii="Arial" w:hAnsi="Arial" w:cs="Arial"/>
      <w:bCs/>
      <w:sz w:val="22"/>
      <w:szCs w:val="26"/>
      <w:lang w:eastAsia="en-AU"/>
    </w:rPr>
  </w:style>
  <w:style w:type="paragraph" w:customStyle="1" w:styleId="SubParagraphText">
    <w:name w:val="SubParagraph_Text"/>
    <w:basedOn w:val="Normal"/>
    <w:rsid w:val="00E8521F"/>
    <w:pPr>
      <w:numPr>
        <w:ilvl w:val="7"/>
        <w:numId w:val="10"/>
      </w:numPr>
      <w:spacing w:after="140"/>
    </w:pPr>
    <w:rPr>
      <w:rFonts w:ascii="Arial" w:hAnsi="Arial" w:cs="Arial"/>
      <w:bCs/>
      <w:sz w:val="22"/>
      <w:szCs w:val="26"/>
      <w:lang w:eastAsia="en-AU"/>
    </w:rPr>
  </w:style>
  <w:style w:type="paragraph" w:customStyle="1" w:styleId="SubdivisionHeading">
    <w:name w:val="Subdivision_Heading"/>
    <w:basedOn w:val="Normal"/>
    <w:next w:val="SectionHeading"/>
    <w:rsid w:val="00E8521F"/>
    <w:pPr>
      <w:keepNext/>
      <w:keepLines/>
      <w:numPr>
        <w:ilvl w:val="3"/>
        <w:numId w:val="10"/>
      </w:numPr>
      <w:tabs>
        <w:tab w:val="left" w:pos="1276"/>
      </w:tabs>
      <w:spacing w:before="240" w:after="120"/>
      <w:outlineLvl w:val="3"/>
    </w:pPr>
    <w:rPr>
      <w:rFonts w:ascii="Arial" w:hAnsi="Arial" w:cs="Arial"/>
      <w:b/>
      <w:bCs/>
      <w:sz w:val="26"/>
      <w:szCs w:val="26"/>
      <w:lang w:eastAsia="en-AU"/>
    </w:rPr>
  </w:style>
  <w:style w:type="paragraph" w:customStyle="1" w:styleId="Para0">
    <w:name w:val="Para 0"/>
    <w:basedOn w:val="Normal"/>
    <w:rsid w:val="00823B85"/>
    <w:rPr>
      <w:rFonts w:cs="Angsana New"/>
      <w:color w:val="000000"/>
      <w:szCs w:val="24"/>
      <w:lang w:eastAsia="zh-CN" w:bidi="th-TH"/>
    </w:rPr>
  </w:style>
  <w:style w:type="paragraph" w:customStyle="1" w:styleId="body">
    <w:name w:val="body"/>
    <w:basedOn w:val="Normal"/>
    <w:uiPriority w:val="99"/>
    <w:rsid w:val="005C73B4"/>
    <w:pPr>
      <w:widowControl w:val="0"/>
      <w:suppressAutoHyphens/>
      <w:autoSpaceDE w:val="0"/>
      <w:autoSpaceDN w:val="0"/>
      <w:adjustRightInd w:val="0"/>
      <w:spacing w:after="170" w:line="250" w:lineRule="atLeast"/>
      <w:textAlignment w:val="center"/>
    </w:pPr>
    <w:rPr>
      <w:rFonts w:ascii="Swiss721BT-Light" w:hAnsi="Swiss721BT-Light" w:cs="Swiss721BT-Light"/>
      <w:color w:val="000000"/>
      <w:sz w:val="19"/>
      <w:szCs w:val="19"/>
    </w:rPr>
  </w:style>
  <w:style w:type="paragraph" w:customStyle="1" w:styleId="Dotpoint">
    <w:name w:val="Dotpoint"/>
    <w:basedOn w:val="Normal"/>
    <w:uiPriority w:val="99"/>
    <w:rsid w:val="005C73B4"/>
    <w:pPr>
      <w:widowControl w:val="0"/>
      <w:tabs>
        <w:tab w:val="left" w:pos="283"/>
      </w:tabs>
      <w:suppressAutoHyphens/>
      <w:autoSpaceDE w:val="0"/>
      <w:autoSpaceDN w:val="0"/>
      <w:adjustRightInd w:val="0"/>
      <w:spacing w:after="85" w:line="250" w:lineRule="atLeast"/>
      <w:ind w:left="283" w:hanging="283"/>
      <w:textAlignment w:val="center"/>
    </w:pPr>
    <w:rPr>
      <w:rFonts w:ascii="Swiss721BT-Light" w:hAnsi="Swiss721BT-Light" w:cs="Swiss721BT-Light"/>
      <w:color w:val="000000"/>
      <w:sz w:val="19"/>
      <w:szCs w:val="19"/>
    </w:rPr>
  </w:style>
  <w:style w:type="paragraph" w:customStyle="1" w:styleId="Figure">
    <w:name w:val="Figure"/>
    <w:basedOn w:val="Normal"/>
    <w:uiPriority w:val="99"/>
    <w:rsid w:val="005C73B4"/>
    <w:pPr>
      <w:widowControl w:val="0"/>
      <w:tabs>
        <w:tab w:val="left" w:pos="794"/>
      </w:tabs>
      <w:suppressAutoHyphens/>
      <w:autoSpaceDE w:val="0"/>
      <w:autoSpaceDN w:val="0"/>
      <w:adjustRightInd w:val="0"/>
      <w:spacing w:line="210" w:lineRule="atLeast"/>
      <w:textAlignment w:val="center"/>
    </w:pPr>
    <w:rPr>
      <w:rFonts w:ascii="HelveticaNeue-Bold" w:hAnsi="HelveticaNeue-Bold" w:cs="HelveticaNeue-Bold"/>
      <w:b/>
      <w:bCs/>
      <w:color w:val="2D7994"/>
      <w:sz w:val="17"/>
      <w:szCs w:val="17"/>
    </w:rPr>
  </w:style>
  <w:style w:type="paragraph" w:customStyle="1" w:styleId="Tablea">
    <w:name w:val="Table(a)"/>
    <w:aliases w:val="ta"/>
    <w:rsid w:val="00BA4D68"/>
    <w:pPr>
      <w:spacing w:before="60"/>
      <w:ind w:left="284" w:hanging="284"/>
    </w:pPr>
    <w:rPr>
      <w:szCs w:val="24"/>
    </w:rPr>
  </w:style>
  <w:style w:type="paragraph" w:customStyle="1" w:styleId="Tabletext">
    <w:name w:val="Tabletext"/>
    <w:aliases w:val="tt"/>
    <w:rsid w:val="00BA4D68"/>
    <w:pPr>
      <w:spacing w:before="60" w:line="240" w:lineRule="atLeast"/>
    </w:pPr>
    <w:rPr>
      <w:szCs w:val="24"/>
    </w:rPr>
  </w:style>
  <w:style w:type="paragraph" w:customStyle="1" w:styleId="SubSectionNote">
    <w:name w:val="SubSection_Note"/>
    <w:basedOn w:val="Normal"/>
    <w:next w:val="SubSectionText"/>
    <w:rsid w:val="00A8177E"/>
    <w:pPr>
      <w:tabs>
        <w:tab w:val="left" w:pos="2268"/>
      </w:tabs>
      <w:spacing w:after="60"/>
      <w:ind w:left="2269" w:hanging="851"/>
    </w:pPr>
    <w:rPr>
      <w:rFonts w:ascii="Arial" w:hAnsi="Arial" w:cs="Arial"/>
      <w:bCs/>
      <w:sz w:val="20"/>
      <w:szCs w:val="26"/>
      <w:lang w:eastAsia="en-AU"/>
    </w:rPr>
  </w:style>
  <w:style w:type="paragraph" w:customStyle="1" w:styleId="SubSectionHeading">
    <w:name w:val="SubSection_Heading"/>
    <w:basedOn w:val="Normal"/>
    <w:next w:val="SubSectionText"/>
    <w:rsid w:val="00A8177E"/>
    <w:pPr>
      <w:spacing w:before="60" w:after="60"/>
      <w:ind w:left="1418"/>
    </w:pPr>
    <w:rPr>
      <w:rFonts w:ascii="Arial" w:hAnsi="Arial" w:cs="Arial"/>
      <w:bCs/>
      <w:i/>
      <w:szCs w:val="26"/>
      <w:lang w:eastAsia="en-AU"/>
    </w:rPr>
  </w:style>
  <w:style w:type="character" w:customStyle="1" w:styleId="NumberedLista1Char">
    <w:name w:val="Numbered List: a) 1 Char"/>
    <w:link w:val="NumberedLista1"/>
    <w:locked/>
    <w:rsid w:val="00890477"/>
    <w:rPr>
      <w:rFonts w:ascii="Arial" w:hAnsi="Arial" w:cs="Arial"/>
      <w:sz w:val="22"/>
      <w:szCs w:val="22"/>
      <w:lang w:eastAsia="en-AU"/>
    </w:rPr>
  </w:style>
  <w:style w:type="paragraph" w:styleId="ListBullet">
    <w:name w:val="List Bullet"/>
    <w:basedOn w:val="Normal"/>
    <w:uiPriority w:val="99"/>
    <w:qFormat/>
    <w:rsid w:val="00375332"/>
    <w:pPr>
      <w:contextualSpacing/>
    </w:pPr>
  </w:style>
  <w:style w:type="paragraph" w:styleId="ListNumber">
    <w:name w:val="List Number"/>
    <w:basedOn w:val="Normal"/>
    <w:uiPriority w:val="99"/>
    <w:qFormat/>
    <w:rsid w:val="00EF6A1B"/>
    <w:pPr>
      <w:numPr>
        <w:numId w:val="25"/>
      </w:numPr>
      <w:contextualSpacing/>
    </w:pPr>
  </w:style>
  <w:style w:type="paragraph" w:styleId="EndnoteText">
    <w:name w:val="endnote text"/>
    <w:basedOn w:val="Normal"/>
    <w:link w:val="EndnoteTextChar"/>
    <w:rsid w:val="00A62E06"/>
    <w:rPr>
      <w:sz w:val="20"/>
    </w:rPr>
  </w:style>
  <w:style w:type="character" w:customStyle="1" w:styleId="EndnoteTextChar">
    <w:name w:val="Endnote Text Char"/>
    <w:basedOn w:val="DefaultParagraphFont"/>
    <w:link w:val="EndnoteText"/>
    <w:rsid w:val="00A62E06"/>
    <w:rPr>
      <w:lang w:eastAsia="en-US"/>
    </w:rPr>
  </w:style>
  <w:style w:type="character" w:styleId="EndnoteReference">
    <w:name w:val="endnote reference"/>
    <w:basedOn w:val="DefaultParagraphFont"/>
    <w:rsid w:val="00A62E06"/>
    <w:rPr>
      <w:vertAlign w:val="superscript"/>
    </w:rPr>
  </w:style>
  <w:style w:type="paragraph" w:styleId="ListParagraph">
    <w:name w:val="List Paragraph"/>
    <w:basedOn w:val="Normal"/>
    <w:uiPriority w:val="34"/>
    <w:qFormat/>
    <w:rsid w:val="00EF343C"/>
    <w:pPr>
      <w:spacing w:after="200" w:line="276" w:lineRule="auto"/>
      <w:ind w:left="720"/>
      <w:contextualSpacing/>
    </w:pPr>
    <w:rPr>
      <w:rFonts w:ascii="Calibri" w:eastAsia="Calibri" w:hAnsi="Calibri"/>
      <w:sz w:val="22"/>
      <w:szCs w:val="22"/>
    </w:rPr>
  </w:style>
  <w:style w:type="paragraph" w:styleId="Revision">
    <w:name w:val="Revision"/>
    <w:hidden/>
    <w:semiHidden/>
    <w:rsid w:val="004077BC"/>
    <w:rPr>
      <w:sz w:val="24"/>
      <w:lang w:eastAsia="en-US"/>
    </w:rPr>
  </w:style>
  <w:style w:type="numbering" w:customStyle="1" w:styleId="KeyPoints">
    <w:name w:val="Key Points"/>
    <w:basedOn w:val="NoList"/>
    <w:uiPriority w:val="99"/>
    <w:rsid w:val="000A64BF"/>
    <w:pPr>
      <w:numPr>
        <w:numId w:val="44"/>
      </w:numPr>
    </w:pPr>
  </w:style>
  <w:style w:type="paragraph" w:styleId="ListNumber2">
    <w:name w:val="List Number 2"/>
    <w:basedOn w:val="Normal"/>
    <w:uiPriority w:val="99"/>
    <w:rsid w:val="000A64BF"/>
    <w:pPr>
      <w:spacing w:after="200" w:line="276" w:lineRule="auto"/>
      <w:ind w:left="738" w:hanging="369"/>
    </w:pPr>
    <w:rPr>
      <w:rFonts w:ascii="Arial" w:eastAsia="Calibri" w:hAnsi="Arial"/>
      <w:sz w:val="22"/>
      <w:szCs w:val="22"/>
    </w:rPr>
  </w:style>
  <w:style w:type="paragraph" w:styleId="ListNumber3">
    <w:name w:val="List Number 3"/>
    <w:basedOn w:val="Normal"/>
    <w:uiPriority w:val="99"/>
    <w:rsid w:val="000A64BF"/>
    <w:pPr>
      <w:spacing w:after="200" w:line="276" w:lineRule="auto"/>
      <w:ind w:left="1107" w:hanging="369"/>
    </w:pPr>
    <w:rPr>
      <w:rFonts w:ascii="Arial" w:eastAsia="Calibri" w:hAnsi="Arial"/>
      <w:sz w:val="22"/>
      <w:szCs w:val="22"/>
    </w:rPr>
  </w:style>
  <w:style w:type="paragraph" w:styleId="ListNumber4">
    <w:name w:val="List Number 4"/>
    <w:basedOn w:val="Normal"/>
    <w:uiPriority w:val="99"/>
    <w:rsid w:val="000A64BF"/>
    <w:pPr>
      <w:spacing w:after="200" w:line="276" w:lineRule="auto"/>
      <w:ind w:left="1476" w:hanging="369"/>
    </w:pPr>
    <w:rPr>
      <w:rFonts w:ascii="Arial" w:eastAsia="Calibri" w:hAnsi="Arial"/>
      <w:sz w:val="22"/>
      <w:szCs w:val="22"/>
    </w:rPr>
  </w:style>
  <w:style w:type="paragraph" w:styleId="ListNumber5">
    <w:name w:val="List Number 5"/>
    <w:basedOn w:val="Normal"/>
    <w:uiPriority w:val="99"/>
    <w:rsid w:val="000A64BF"/>
    <w:pPr>
      <w:spacing w:after="200" w:line="276" w:lineRule="auto"/>
      <w:ind w:left="1845" w:hanging="369"/>
    </w:pPr>
    <w:rPr>
      <w:rFonts w:ascii="Arial" w:eastAsia="Calibri" w:hAnsi="Arial"/>
      <w:sz w:val="22"/>
      <w:szCs w:val="22"/>
    </w:rPr>
  </w:style>
  <w:style w:type="numbering" w:customStyle="1" w:styleId="BulletList">
    <w:name w:val="Bullet List"/>
    <w:uiPriority w:val="99"/>
    <w:rsid w:val="000A64BF"/>
    <w:pPr>
      <w:numPr>
        <w:numId w:val="45"/>
      </w:numPr>
    </w:pPr>
  </w:style>
  <w:style w:type="paragraph" w:styleId="ListBullet2">
    <w:name w:val="List Bullet 2"/>
    <w:basedOn w:val="Normal"/>
    <w:uiPriority w:val="99"/>
    <w:unhideWhenUsed/>
    <w:rsid w:val="000A64BF"/>
    <w:pPr>
      <w:spacing w:after="200" w:line="276" w:lineRule="auto"/>
      <w:ind w:left="737" w:hanging="368"/>
    </w:pPr>
    <w:rPr>
      <w:rFonts w:ascii="Arial" w:eastAsia="Calibri" w:hAnsi="Arial"/>
      <w:sz w:val="22"/>
      <w:szCs w:val="22"/>
    </w:rPr>
  </w:style>
  <w:style w:type="paragraph" w:styleId="ListBullet3">
    <w:name w:val="List Bullet 3"/>
    <w:basedOn w:val="Normal"/>
    <w:uiPriority w:val="99"/>
    <w:unhideWhenUsed/>
    <w:rsid w:val="000A64BF"/>
    <w:pPr>
      <w:spacing w:after="200" w:line="276" w:lineRule="auto"/>
      <w:ind w:left="1106" w:hanging="369"/>
    </w:pPr>
    <w:rPr>
      <w:rFonts w:ascii="Arial" w:eastAsia="Calibri" w:hAnsi="Arial"/>
      <w:sz w:val="22"/>
      <w:szCs w:val="22"/>
    </w:rPr>
  </w:style>
  <w:style w:type="paragraph" w:styleId="ListBullet4">
    <w:name w:val="List Bullet 4"/>
    <w:basedOn w:val="Normal"/>
    <w:uiPriority w:val="99"/>
    <w:unhideWhenUsed/>
    <w:rsid w:val="000A64BF"/>
    <w:pPr>
      <w:spacing w:after="200" w:line="276" w:lineRule="auto"/>
      <w:ind w:left="1474" w:hanging="368"/>
    </w:pPr>
    <w:rPr>
      <w:rFonts w:ascii="Arial" w:eastAsia="Calibri" w:hAnsi="Arial"/>
      <w:sz w:val="22"/>
      <w:szCs w:val="22"/>
    </w:rPr>
  </w:style>
  <w:style w:type="paragraph" w:styleId="ListBullet5">
    <w:name w:val="List Bullet 5"/>
    <w:basedOn w:val="Normal"/>
    <w:uiPriority w:val="99"/>
    <w:unhideWhenUsed/>
    <w:rsid w:val="000A64BF"/>
    <w:pPr>
      <w:spacing w:after="200" w:line="276" w:lineRule="auto"/>
      <w:ind w:left="1800" w:hanging="360"/>
    </w:pPr>
    <w:rPr>
      <w:rFonts w:ascii="Arial" w:eastAsia="Calibri" w:hAnsi="Arial"/>
      <w:sz w:val="22"/>
      <w:szCs w:val="22"/>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5686">
      <w:bodyDiv w:val="1"/>
      <w:marLeft w:val="0"/>
      <w:marRight w:val="0"/>
      <w:marTop w:val="0"/>
      <w:marBottom w:val="0"/>
      <w:divBdr>
        <w:top w:val="none" w:sz="0" w:space="0" w:color="auto"/>
        <w:left w:val="none" w:sz="0" w:space="0" w:color="auto"/>
        <w:bottom w:val="none" w:sz="0" w:space="0" w:color="auto"/>
        <w:right w:val="none" w:sz="0" w:space="0" w:color="auto"/>
      </w:divBdr>
      <w:divsChild>
        <w:div w:id="1176575438">
          <w:marLeft w:val="0"/>
          <w:marRight w:val="0"/>
          <w:marTop w:val="0"/>
          <w:marBottom w:val="0"/>
          <w:divBdr>
            <w:top w:val="none" w:sz="0" w:space="0" w:color="auto"/>
            <w:left w:val="none" w:sz="0" w:space="0" w:color="auto"/>
            <w:bottom w:val="none" w:sz="0" w:space="0" w:color="auto"/>
            <w:right w:val="none" w:sz="0" w:space="0" w:color="auto"/>
          </w:divBdr>
          <w:divsChild>
            <w:div w:id="17398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3777">
      <w:bodyDiv w:val="1"/>
      <w:marLeft w:val="0"/>
      <w:marRight w:val="0"/>
      <w:marTop w:val="0"/>
      <w:marBottom w:val="0"/>
      <w:divBdr>
        <w:top w:val="none" w:sz="0" w:space="0" w:color="auto"/>
        <w:left w:val="none" w:sz="0" w:space="0" w:color="auto"/>
        <w:bottom w:val="none" w:sz="0" w:space="0" w:color="auto"/>
        <w:right w:val="none" w:sz="0" w:space="0" w:color="auto"/>
      </w:divBdr>
      <w:divsChild>
        <w:div w:id="334574479">
          <w:marLeft w:val="0"/>
          <w:marRight w:val="0"/>
          <w:marTop w:val="0"/>
          <w:marBottom w:val="0"/>
          <w:divBdr>
            <w:top w:val="none" w:sz="0" w:space="0" w:color="auto"/>
            <w:left w:val="none" w:sz="0" w:space="0" w:color="auto"/>
            <w:bottom w:val="none" w:sz="0" w:space="0" w:color="auto"/>
            <w:right w:val="none" w:sz="0" w:space="0" w:color="auto"/>
          </w:divBdr>
          <w:divsChild>
            <w:div w:id="408314337">
              <w:marLeft w:val="0"/>
              <w:marRight w:val="0"/>
              <w:marTop w:val="0"/>
              <w:marBottom w:val="0"/>
              <w:divBdr>
                <w:top w:val="none" w:sz="0" w:space="0" w:color="auto"/>
                <w:left w:val="none" w:sz="0" w:space="0" w:color="auto"/>
                <w:bottom w:val="none" w:sz="0" w:space="0" w:color="auto"/>
                <w:right w:val="none" w:sz="0" w:space="0" w:color="auto"/>
              </w:divBdr>
              <w:divsChild>
                <w:div w:id="1386375506">
                  <w:marLeft w:val="0"/>
                  <w:marRight w:val="0"/>
                  <w:marTop w:val="0"/>
                  <w:marBottom w:val="0"/>
                  <w:divBdr>
                    <w:top w:val="none" w:sz="0" w:space="0" w:color="auto"/>
                    <w:left w:val="none" w:sz="0" w:space="0" w:color="auto"/>
                    <w:bottom w:val="none" w:sz="0" w:space="0" w:color="auto"/>
                    <w:right w:val="none" w:sz="0" w:space="0" w:color="auto"/>
                  </w:divBdr>
                  <w:divsChild>
                    <w:div w:id="949433903">
                      <w:marLeft w:val="0"/>
                      <w:marRight w:val="0"/>
                      <w:marTop w:val="0"/>
                      <w:marBottom w:val="0"/>
                      <w:divBdr>
                        <w:top w:val="none" w:sz="0" w:space="0" w:color="auto"/>
                        <w:left w:val="none" w:sz="0" w:space="0" w:color="auto"/>
                        <w:bottom w:val="none" w:sz="0" w:space="0" w:color="auto"/>
                        <w:right w:val="none" w:sz="0" w:space="0" w:color="auto"/>
                      </w:divBdr>
                      <w:divsChild>
                        <w:div w:id="1126502956">
                          <w:marLeft w:val="0"/>
                          <w:marRight w:val="0"/>
                          <w:marTop w:val="0"/>
                          <w:marBottom w:val="0"/>
                          <w:divBdr>
                            <w:top w:val="single" w:sz="6" w:space="0" w:color="828282"/>
                            <w:left w:val="single" w:sz="6" w:space="0" w:color="828282"/>
                            <w:bottom w:val="single" w:sz="6" w:space="0" w:color="828282"/>
                            <w:right w:val="single" w:sz="6" w:space="0" w:color="828282"/>
                          </w:divBdr>
                          <w:divsChild>
                            <w:div w:id="831221946">
                              <w:marLeft w:val="0"/>
                              <w:marRight w:val="0"/>
                              <w:marTop w:val="0"/>
                              <w:marBottom w:val="0"/>
                              <w:divBdr>
                                <w:top w:val="none" w:sz="0" w:space="0" w:color="auto"/>
                                <w:left w:val="none" w:sz="0" w:space="0" w:color="auto"/>
                                <w:bottom w:val="none" w:sz="0" w:space="0" w:color="auto"/>
                                <w:right w:val="none" w:sz="0" w:space="0" w:color="auto"/>
                              </w:divBdr>
                              <w:divsChild>
                                <w:div w:id="1046948721">
                                  <w:marLeft w:val="0"/>
                                  <w:marRight w:val="0"/>
                                  <w:marTop w:val="0"/>
                                  <w:marBottom w:val="0"/>
                                  <w:divBdr>
                                    <w:top w:val="none" w:sz="0" w:space="0" w:color="auto"/>
                                    <w:left w:val="none" w:sz="0" w:space="0" w:color="auto"/>
                                    <w:bottom w:val="none" w:sz="0" w:space="0" w:color="auto"/>
                                    <w:right w:val="none" w:sz="0" w:space="0" w:color="auto"/>
                                  </w:divBdr>
                                  <w:divsChild>
                                    <w:div w:id="2020425527">
                                      <w:marLeft w:val="0"/>
                                      <w:marRight w:val="0"/>
                                      <w:marTop w:val="0"/>
                                      <w:marBottom w:val="0"/>
                                      <w:divBdr>
                                        <w:top w:val="none" w:sz="0" w:space="0" w:color="auto"/>
                                        <w:left w:val="none" w:sz="0" w:space="0" w:color="auto"/>
                                        <w:bottom w:val="none" w:sz="0" w:space="0" w:color="auto"/>
                                        <w:right w:val="none" w:sz="0" w:space="0" w:color="auto"/>
                                      </w:divBdr>
                                      <w:divsChild>
                                        <w:div w:id="2123453976">
                                          <w:marLeft w:val="0"/>
                                          <w:marRight w:val="0"/>
                                          <w:marTop w:val="0"/>
                                          <w:marBottom w:val="0"/>
                                          <w:divBdr>
                                            <w:top w:val="none" w:sz="0" w:space="0" w:color="auto"/>
                                            <w:left w:val="none" w:sz="0" w:space="0" w:color="auto"/>
                                            <w:bottom w:val="none" w:sz="0" w:space="0" w:color="auto"/>
                                            <w:right w:val="none" w:sz="0" w:space="0" w:color="auto"/>
                                          </w:divBdr>
                                          <w:divsChild>
                                            <w:div w:id="915669089">
                                              <w:marLeft w:val="0"/>
                                              <w:marRight w:val="0"/>
                                              <w:marTop w:val="0"/>
                                              <w:marBottom w:val="0"/>
                                              <w:divBdr>
                                                <w:top w:val="none" w:sz="0" w:space="0" w:color="auto"/>
                                                <w:left w:val="none" w:sz="0" w:space="0" w:color="auto"/>
                                                <w:bottom w:val="none" w:sz="0" w:space="0" w:color="auto"/>
                                                <w:right w:val="none" w:sz="0" w:space="0" w:color="auto"/>
                                              </w:divBdr>
                                              <w:divsChild>
                                                <w:div w:id="8527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453190">
      <w:bodyDiv w:val="1"/>
      <w:marLeft w:val="0"/>
      <w:marRight w:val="0"/>
      <w:marTop w:val="0"/>
      <w:marBottom w:val="0"/>
      <w:divBdr>
        <w:top w:val="none" w:sz="0" w:space="0" w:color="auto"/>
        <w:left w:val="none" w:sz="0" w:space="0" w:color="auto"/>
        <w:bottom w:val="none" w:sz="0" w:space="0" w:color="auto"/>
        <w:right w:val="none" w:sz="0" w:space="0" w:color="auto"/>
      </w:divBdr>
      <w:divsChild>
        <w:div w:id="146821267">
          <w:marLeft w:val="0"/>
          <w:marRight w:val="0"/>
          <w:marTop w:val="0"/>
          <w:marBottom w:val="0"/>
          <w:divBdr>
            <w:top w:val="none" w:sz="0" w:space="0" w:color="auto"/>
            <w:left w:val="none" w:sz="0" w:space="0" w:color="auto"/>
            <w:bottom w:val="none" w:sz="0" w:space="0" w:color="auto"/>
            <w:right w:val="none" w:sz="0" w:space="0" w:color="auto"/>
          </w:divBdr>
          <w:divsChild>
            <w:div w:id="368267844">
              <w:marLeft w:val="0"/>
              <w:marRight w:val="0"/>
              <w:marTop w:val="100"/>
              <w:marBottom w:val="100"/>
              <w:divBdr>
                <w:top w:val="none" w:sz="0" w:space="0" w:color="auto"/>
                <w:left w:val="single" w:sz="6" w:space="0" w:color="FFFFFF"/>
                <w:bottom w:val="none" w:sz="0" w:space="0" w:color="auto"/>
                <w:right w:val="single" w:sz="6" w:space="0" w:color="FFFFFF"/>
              </w:divBdr>
              <w:divsChild>
                <w:div w:id="85082824">
                  <w:marLeft w:val="0"/>
                  <w:marRight w:val="0"/>
                  <w:marTop w:val="0"/>
                  <w:marBottom w:val="0"/>
                  <w:divBdr>
                    <w:top w:val="none" w:sz="0" w:space="0" w:color="auto"/>
                    <w:left w:val="single" w:sz="2" w:space="0" w:color="FFFFFF"/>
                    <w:bottom w:val="none" w:sz="0" w:space="0" w:color="auto"/>
                    <w:right w:val="none" w:sz="0" w:space="0" w:color="auto"/>
                  </w:divBdr>
                  <w:divsChild>
                    <w:div w:id="1291400499">
                      <w:marLeft w:val="0"/>
                      <w:marRight w:val="75"/>
                      <w:marTop w:val="0"/>
                      <w:marBottom w:val="0"/>
                      <w:divBdr>
                        <w:top w:val="none" w:sz="0" w:space="0" w:color="auto"/>
                        <w:left w:val="none" w:sz="0" w:space="0" w:color="auto"/>
                        <w:bottom w:val="none" w:sz="0" w:space="0" w:color="auto"/>
                        <w:right w:val="none" w:sz="0" w:space="0" w:color="auto"/>
                      </w:divBdr>
                      <w:divsChild>
                        <w:div w:id="1535659222">
                          <w:marLeft w:val="0"/>
                          <w:marRight w:val="0"/>
                          <w:marTop w:val="48"/>
                          <w:marBottom w:val="48"/>
                          <w:divBdr>
                            <w:top w:val="none" w:sz="0" w:space="0" w:color="auto"/>
                            <w:left w:val="none" w:sz="0" w:space="0" w:color="auto"/>
                            <w:bottom w:val="none" w:sz="0" w:space="0" w:color="auto"/>
                            <w:right w:val="none" w:sz="0" w:space="0" w:color="auto"/>
                          </w:divBdr>
                          <w:divsChild>
                            <w:div w:id="65812142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342478">
      <w:bodyDiv w:val="1"/>
      <w:marLeft w:val="0"/>
      <w:marRight w:val="0"/>
      <w:marTop w:val="0"/>
      <w:marBottom w:val="0"/>
      <w:divBdr>
        <w:top w:val="none" w:sz="0" w:space="0" w:color="auto"/>
        <w:left w:val="none" w:sz="0" w:space="0" w:color="auto"/>
        <w:bottom w:val="none" w:sz="0" w:space="0" w:color="auto"/>
        <w:right w:val="none" w:sz="0" w:space="0" w:color="auto"/>
      </w:divBdr>
      <w:divsChild>
        <w:div w:id="370501717">
          <w:marLeft w:val="0"/>
          <w:marRight w:val="0"/>
          <w:marTop w:val="0"/>
          <w:marBottom w:val="0"/>
          <w:divBdr>
            <w:top w:val="none" w:sz="0" w:space="0" w:color="auto"/>
            <w:left w:val="none" w:sz="0" w:space="0" w:color="auto"/>
            <w:bottom w:val="none" w:sz="0" w:space="0" w:color="auto"/>
            <w:right w:val="none" w:sz="0" w:space="0" w:color="auto"/>
          </w:divBdr>
        </w:div>
      </w:divsChild>
    </w:div>
    <w:div w:id="1075543080">
      <w:bodyDiv w:val="1"/>
      <w:marLeft w:val="0"/>
      <w:marRight w:val="0"/>
      <w:marTop w:val="0"/>
      <w:marBottom w:val="0"/>
      <w:divBdr>
        <w:top w:val="none" w:sz="0" w:space="0" w:color="auto"/>
        <w:left w:val="none" w:sz="0" w:space="0" w:color="auto"/>
        <w:bottom w:val="none" w:sz="0" w:space="0" w:color="auto"/>
        <w:right w:val="none" w:sz="0" w:space="0" w:color="auto"/>
      </w:divBdr>
    </w:div>
    <w:div w:id="1085999348">
      <w:bodyDiv w:val="1"/>
      <w:marLeft w:val="0"/>
      <w:marRight w:val="0"/>
      <w:marTop w:val="0"/>
      <w:marBottom w:val="0"/>
      <w:divBdr>
        <w:top w:val="none" w:sz="0" w:space="0" w:color="auto"/>
        <w:left w:val="none" w:sz="0" w:space="0" w:color="auto"/>
        <w:bottom w:val="none" w:sz="0" w:space="0" w:color="auto"/>
        <w:right w:val="none" w:sz="0" w:space="0" w:color="auto"/>
      </w:divBdr>
      <w:divsChild>
        <w:div w:id="1067000185">
          <w:marLeft w:val="0"/>
          <w:marRight w:val="0"/>
          <w:marTop w:val="0"/>
          <w:marBottom w:val="0"/>
          <w:divBdr>
            <w:top w:val="none" w:sz="0" w:space="0" w:color="auto"/>
            <w:left w:val="none" w:sz="0" w:space="0" w:color="auto"/>
            <w:bottom w:val="none" w:sz="0" w:space="0" w:color="auto"/>
            <w:right w:val="none" w:sz="0" w:space="0" w:color="auto"/>
          </w:divBdr>
          <w:divsChild>
            <w:div w:id="836462878">
              <w:marLeft w:val="0"/>
              <w:marRight w:val="0"/>
              <w:marTop w:val="100"/>
              <w:marBottom w:val="100"/>
              <w:divBdr>
                <w:top w:val="none" w:sz="0" w:space="0" w:color="auto"/>
                <w:left w:val="single" w:sz="6" w:space="0" w:color="FFFFFF"/>
                <w:bottom w:val="none" w:sz="0" w:space="0" w:color="auto"/>
                <w:right w:val="single" w:sz="6" w:space="0" w:color="FFFFFF"/>
              </w:divBdr>
              <w:divsChild>
                <w:div w:id="1793942032">
                  <w:marLeft w:val="0"/>
                  <w:marRight w:val="0"/>
                  <w:marTop w:val="0"/>
                  <w:marBottom w:val="0"/>
                  <w:divBdr>
                    <w:top w:val="none" w:sz="0" w:space="0" w:color="auto"/>
                    <w:left w:val="single" w:sz="2" w:space="0" w:color="FFFFFF"/>
                    <w:bottom w:val="none" w:sz="0" w:space="0" w:color="auto"/>
                    <w:right w:val="none" w:sz="0" w:space="0" w:color="auto"/>
                  </w:divBdr>
                  <w:divsChild>
                    <w:div w:id="428737449">
                      <w:marLeft w:val="0"/>
                      <w:marRight w:val="75"/>
                      <w:marTop w:val="0"/>
                      <w:marBottom w:val="0"/>
                      <w:divBdr>
                        <w:top w:val="none" w:sz="0" w:space="0" w:color="auto"/>
                        <w:left w:val="none" w:sz="0" w:space="0" w:color="auto"/>
                        <w:bottom w:val="none" w:sz="0" w:space="0" w:color="auto"/>
                        <w:right w:val="none" w:sz="0" w:space="0" w:color="auto"/>
                      </w:divBdr>
                      <w:divsChild>
                        <w:div w:id="1791128108">
                          <w:marLeft w:val="0"/>
                          <w:marRight w:val="0"/>
                          <w:marTop w:val="48"/>
                          <w:marBottom w:val="48"/>
                          <w:divBdr>
                            <w:top w:val="none" w:sz="0" w:space="0" w:color="auto"/>
                            <w:left w:val="none" w:sz="0" w:space="0" w:color="auto"/>
                            <w:bottom w:val="none" w:sz="0" w:space="0" w:color="auto"/>
                            <w:right w:val="none" w:sz="0" w:space="0" w:color="auto"/>
                          </w:divBdr>
                          <w:divsChild>
                            <w:div w:id="3863466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942338">
      <w:bodyDiv w:val="1"/>
      <w:marLeft w:val="0"/>
      <w:marRight w:val="0"/>
      <w:marTop w:val="0"/>
      <w:marBottom w:val="0"/>
      <w:divBdr>
        <w:top w:val="none" w:sz="0" w:space="0" w:color="auto"/>
        <w:left w:val="none" w:sz="0" w:space="0" w:color="auto"/>
        <w:bottom w:val="none" w:sz="0" w:space="0" w:color="auto"/>
        <w:right w:val="none" w:sz="0" w:space="0" w:color="auto"/>
      </w:divBdr>
      <w:divsChild>
        <w:div w:id="1637447747">
          <w:marLeft w:val="0"/>
          <w:marRight w:val="0"/>
          <w:marTop w:val="0"/>
          <w:marBottom w:val="0"/>
          <w:divBdr>
            <w:top w:val="none" w:sz="0" w:space="0" w:color="auto"/>
            <w:left w:val="none" w:sz="0" w:space="0" w:color="auto"/>
            <w:bottom w:val="none" w:sz="0" w:space="0" w:color="auto"/>
            <w:right w:val="none" w:sz="0" w:space="0" w:color="auto"/>
          </w:divBdr>
        </w:div>
      </w:divsChild>
    </w:div>
    <w:div w:id="1526555873">
      <w:bodyDiv w:val="1"/>
      <w:marLeft w:val="0"/>
      <w:marRight w:val="0"/>
      <w:marTop w:val="0"/>
      <w:marBottom w:val="0"/>
      <w:divBdr>
        <w:top w:val="none" w:sz="0" w:space="0" w:color="auto"/>
        <w:left w:val="none" w:sz="0" w:space="0" w:color="auto"/>
        <w:bottom w:val="none" w:sz="0" w:space="0" w:color="auto"/>
        <w:right w:val="none" w:sz="0" w:space="0" w:color="auto"/>
      </w:divBdr>
      <w:divsChild>
        <w:div w:id="1763456473">
          <w:marLeft w:val="0"/>
          <w:marRight w:val="0"/>
          <w:marTop w:val="0"/>
          <w:marBottom w:val="0"/>
          <w:divBdr>
            <w:top w:val="none" w:sz="0" w:space="0" w:color="auto"/>
            <w:left w:val="none" w:sz="0" w:space="0" w:color="auto"/>
            <w:bottom w:val="none" w:sz="0" w:space="0" w:color="auto"/>
            <w:right w:val="none" w:sz="0" w:space="0" w:color="auto"/>
          </w:divBdr>
        </w:div>
      </w:divsChild>
    </w:div>
    <w:div w:id="1629357854">
      <w:bodyDiv w:val="1"/>
      <w:marLeft w:val="0"/>
      <w:marRight w:val="0"/>
      <w:marTop w:val="0"/>
      <w:marBottom w:val="0"/>
      <w:divBdr>
        <w:top w:val="none" w:sz="0" w:space="0" w:color="auto"/>
        <w:left w:val="none" w:sz="0" w:space="0" w:color="auto"/>
        <w:bottom w:val="none" w:sz="0" w:space="0" w:color="auto"/>
        <w:right w:val="none" w:sz="0" w:space="0" w:color="auto"/>
      </w:divBdr>
      <w:divsChild>
        <w:div w:id="1516187250">
          <w:marLeft w:val="0"/>
          <w:marRight w:val="0"/>
          <w:marTop w:val="0"/>
          <w:marBottom w:val="0"/>
          <w:divBdr>
            <w:top w:val="none" w:sz="0" w:space="0" w:color="auto"/>
            <w:left w:val="none" w:sz="0" w:space="0" w:color="auto"/>
            <w:bottom w:val="none" w:sz="0" w:space="0" w:color="auto"/>
            <w:right w:val="none" w:sz="0" w:space="0" w:color="auto"/>
          </w:divBdr>
          <w:divsChild>
            <w:div w:id="615720565">
              <w:marLeft w:val="0"/>
              <w:marRight w:val="0"/>
              <w:marTop w:val="100"/>
              <w:marBottom w:val="100"/>
              <w:divBdr>
                <w:top w:val="none" w:sz="0" w:space="0" w:color="auto"/>
                <w:left w:val="single" w:sz="6" w:space="0" w:color="FFFFFF"/>
                <w:bottom w:val="none" w:sz="0" w:space="0" w:color="auto"/>
                <w:right w:val="single" w:sz="6" w:space="0" w:color="FFFFFF"/>
              </w:divBdr>
              <w:divsChild>
                <w:div w:id="1515219653">
                  <w:marLeft w:val="0"/>
                  <w:marRight w:val="0"/>
                  <w:marTop w:val="0"/>
                  <w:marBottom w:val="0"/>
                  <w:divBdr>
                    <w:top w:val="none" w:sz="0" w:space="0" w:color="auto"/>
                    <w:left w:val="single" w:sz="2" w:space="0" w:color="FFFFFF"/>
                    <w:bottom w:val="none" w:sz="0" w:space="0" w:color="auto"/>
                    <w:right w:val="none" w:sz="0" w:space="0" w:color="auto"/>
                  </w:divBdr>
                  <w:divsChild>
                    <w:div w:id="1071804479">
                      <w:marLeft w:val="0"/>
                      <w:marRight w:val="75"/>
                      <w:marTop w:val="0"/>
                      <w:marBottom w:val="0"/>
                      <w:divBdr>
                        <w:top w:val="none" w:sz="0" w:space="0" w:color="auto"/>
                        <w:left w:val="none" w:sz="0" w:space="0" w:color="auto"/>
                        <w:bottom w:val="none" w:sz="0" w:space="0" w:color="auto"/>
                        <w:right w:val="none" w:sz="0" w:space="0" w:color="auto"/>
                      </w:divBdr>
                      <w:divsChild>
                        <w:div w:id="2037651519">
                          <w:marLeft w:val="0"/>
                          <w:marRight w:val="0"/>
                          <w:marTop w:val="48"/>
                          <w:marBottom w:val="48"/>
                          <w:divBdr>
                            <w:top w:val="none" w:sz="0" w:space="0" w:color="auto"/>
                            <w:left w:val="none" w:sz="0" w:space="0" w:color="auto"/>
                            <w:bottom w:val="none" w:sz="0" w:space="0" w:color="auto"/>
                            <w:right w:val="none" w:sz="0" w:space="0" w:color="auto"/>
                          </w:divBdr>
                          <w:divsChild>
                            <w:div w:id="971416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645769">
      <w:bodyDiv w:val="1"/>
      <w:marLeft w:val="0"/>
      <w:marRight w:val="0"/>
      <w:marTop w:val="0"/>
      <w:marBottom w:val="0"/>
      <w:divBdr>
        <w:top w:val="none" w:sz="0" w:space="0" w:color="auto"/>
        <w:left w:val="none" w:sz="0" w:space="0" w:color="auto"/>
        <w:bottom w:val="none" w:sz="0" w:space="0" w:color="auto"/>
        <w:right w:val="none" w:sz="0" w:space="0" w:color="auto"/>
      </w:divBdr>
    </w:div>
    <w:div w:id="1946616270">
      <w:bodyDiv w:val="1"/>
      <w:marLeft w:val="0"/>
      <w:marRight w:val="0"/>
      <w:marTop w:val="0"/>
      <w:marBottom w:val="0"/>
      <w:divBdr>
        <w:top w:val="none" w:sz="0" w:space="0" w:color="auto"/>
        <w:left w:val="none" w:sz="0" w:space="0" w:color="auto"/>
        <w:bottom w:val="none" w:sz="0" w:space="0" w:color="auto"/>
        <w:right w:val="none" w:sz="0" w:space="0" w:color="auto"/>
      </w:divBdr>
    </w:div>
    <w:div w:id="1996258485">
      <w:bodyDiv w:val="1"/>
      <w:marLeft w:val="0"/>
      <w:marRight w:val="0"/>
      <w:marTop w:val="0"/>
      <w:marBottom w:val="0"/>
      <w:divBdr>
        <w:top w:val="none" w:sz="0" w:space="0" w:color="auto"/>
        <w:left w:val="none" w:sz="0" w:space="0" w:color="auto"/>
        <w:bottom w:val="none" w:sz="0" w:space="0" w:color="auto"/>
        <w:right w:val="none" w:sz="0" w:space="0" w:color="auto"/>
      </w:divBdr>
      <w:divsChild>
        <w:div w:id="149641108">
          <w:marLeft w:val="0"/>
          <w:marRight w:val="0"/>
          <w:marTop w:val="0"/>
          <w:marBottom w:val="0"/>
          <w:divBdr>
            <w:top w:val="none" w:sz="0" w:space="0" w:color="auto"/>
            <w:left w:val="none" w:sz="0" w:space="0" w:color="auto"/>
            <w:bottom w:val="none" w:sz="0" w:space="0" w:color="auto"/>
            <w:right w:val="none" w:sz="0" w:space="0" w:color="auto"/>
          </w:divBdr>
          <w:divsChild>
            <w:div w:id="393895326">
              <w:marLeft w:val="0"/>
              <w:marRight w:val="0"/>
              <w:marTop w:val="0"/>
              <w:marBottom w:val="0"/>
              <w:divBdr>
                <w:top w:val="none" w:sz="0" w:space="0" w:color="auto"/>
                <w:left w:val="none" w:sz="0" w:space="0" w:color="auto"/>
                <w:bottom w:val="none" w:sz="0" w:space="0" w:color="auto"/>
                <w:right w:val="none" w:sz="0" w:space="0" w:color="auto"/>
              </w:divBdr>
              <w:divsChild>
                <w:div w:id="1125926861">
                  <w:marLeft w:val="0"/>
                  <w:marRight w:val="0"/>
                  <w:marTop w:val="0"/>
                  <w:marBottom w:val="0"/>
                  <w:divBdr>
                    <w:top w:val="none" w:sz="0" w:space="0" w:color="auto"/>
                    <w:left w:val="none" w:sz="0" w:space="0" w:color="auto"/>
                    <w:bottom w:val="none" w:sz="0" w:space="0" w:color="auto"/>
                    <w:right w:val="none" w:sz="0" w:space="0" w:color="auto"/>
                  </w:divBdr>
                  <w:divsChild>
                    <w:div w:id="837883607">
                      <w:marLeft w:val="0"/>
                      <w:marRight w:val="0"/>
                      <w:marTop w:val="0"/>
                      <w:marBottom w:val="0"/>
                      <w:divBdr>
                        <w:top w:val="none" w:sz="0" w:space="0" w:color="auto"/>
                        <w:left w:val="none" w:sz="0" w:space="0" w:color="auto"/>
                        <w:bottom w:val="none" w:sz="0" w:space="0" w:color="auto"/>
                        <w:right w:val="none" w:sz="0" w:space="0" w:color="auto"/>
                      </w:divBdr>
                      <w:divsChild>
                        <w:div w:id="1897887143">
                          <w:marLeft w:val="0"/>
                          <w:marRight w:val="0"/>
                          <w:marTop w:val="0"/>
                          <w:marBottom w:val="0"/>
                          <w:divBdr>
                            <w:top w:val="none" w:sz="0" w:space="0" w:color="auto"/>
                            <w:left w:val="none" w:sz="0" w:space="0" w:color="auto"/>
                            <w:bottom w:val="none" w:sz="0" w:space="0" w:color="auto"/>
                            <w:right w:val="none" w:sz="0" w:space="0" w:color="auto"/>
                          </w:divBdr>
                          <w:divsChild>
                            <w:div w:id="4467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895003">
      <w:bodyDiv w:val="1"/>
      <w:marLeft w:val="0"/>
      <w:marRight w:val="0"/>
      <w:marTop w:val="0"/>
      <w:marBottom w:val="0"/>
      <w:divBdr>
        <w:top w:val="none" w:sz="0" w:space="0" w:color="auto"/>
        <w:left w:val="none" w:sz="0" w:space="0" w:color="auto"/>
        <w:bottom w:val="none" w:sz="0" w:space="0" w:color="auto"/>
        <w:right w:val="none" w:sz="0" w:space="0" w:color="auto"/>
      </w:divBdr>
      <w:divsChild>
        <w:div w:id="477767592">
          <w:marLeft w:val="0"/>
          <w:marRight w:val="0"/>
          <w:marTop w:val="0"/>
          <w:marBottom w:val="0"/>
          <w:divBdr>
            <w:top w:val="none" w:sz="0" w:space="0" w:color="auto"/>
            <w:left w:val="none" w:sz="0" w:space="0" w:color="auto"/>
            <w:bottom w:val="none" w:sz="0" w:space="0" w:color="auto"/>
            <w:right w:val="none" w:sz="0" w:space="0" w:color="auto"/>
          </w:divBdr>
          <w:divsChild>
            <w:div w:id="755129318">
              <w:marLeft w:val="0"/>
              <w:marRight w:val="0"/>
              <w:marTop w:val="100"/>
              <w:marBottom w:val="100"/>
              <w:divBdr>
                <w:top w:val="none" w:sz="0" w:space="0" w:color="auto"/>
                <w:left w:val="single" w:sz="6" w:space="0" w:color="FFFFFF"/>
                <w:bottom w:val="none" w:sz="0" w:space="0" w:color="auto"/>
                <w:right w:val="single" w:sz="6" w:space="0" w:color="FFFFFF"/>
              </w:divBdr>
              <w:divsChild>
                <w:div w:id="472990472">
                  <w:marLeft w:val="0"/>
                  <w:marRight w:val="0"/>
                  <w:marTop w:val="0"/>
                  <w:marBottom w:val="0"/>
                  <w:divBdr>
                    <w:top w:val="none" w:sz="0" w:space="0" w:color="auto"/>
                    <w:left w:val="single" w:sz="2" w:space="0" w:color="FFFFFF"/>
                    <w:bottom w:val="none" w:sz="0" w:space="0" w:color="auto"/>
                    <w:right w:val="none" w:sz="0" w:space="0" w:color="auto"/>
                  </w:divBdr>
                  <w:divsChild>
                    <w:div w:id="772167116">
                      <w:marLeft w:val="0"/>
                      <w:marRight w:val="75"/>
                      <w:marTop w:val="0"/>
                      <w:marBottom w:val="0"/>
                      <w:divBdr>
                        <w:top w:val="none" w:sz="0" w:space="0" w:color="auto"/>
                        <w:left w:val="none" w:sz="0" w:space="0" w:color="auto"/>
                        <w:bottom w:val="none" w:sz="0" w:space="0" w:color="auto"/>
                        <w:right w:val="none" w:sz="0" w:space="0" w:color="auto"/>
                      </w:divBdr>
                      <w:divsChild>
                        <w:div w:id="350570142">
                          <w:marLeft w:val="0"/>
                          <w:marRight w:val="0"/>
                          <w:marTop w:val="48"/>
                          <w:marBottom w:val="48"/>
                          <w:divBdr>
                            <w:top w:val="none" w:sz="0" w:space="0" w:color="auto"/>
                            <w:left w:val="none" w:sz="0" w:space="0" w:color="auto"/>
                            <w:bottom w:val="none" w:sz="0" w:space="0" w:color="auto"/>
                            <w:right w:val="none" w:sz="0" w:space="0" w:color="auto"/>
                          </w:divBdr>
                          <w:divsChild>
                            <w:div w:id="14798036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ublic.affairs@environment.gov.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vision xmlns="58f119d2-5f5e-4d32-9805-ea5bcceb910f">
      <UserInfo>
        <DisplayName/>
        <AccountId xsi:nil="true"/>
        <AccountType/>
      </UserInfo>
    </Division>
    <Section xmlns="58f119d2-5f5e-4d32-9805-ea5bcceb910f">
      <UserInfo>
        <DisplayName/>
        <AccountId xsi:nil="true"/>
        <AccountType/>
      </UserInfo>
    </Section>
    <Function xmlns="58f119d2-5f5e-4d32-9805-ea5bcceb910f" xsi:nil="true"/>
    <Branch xmlns="58f119d2-5f5e-4d32-9805-ea5bcceb910f">
      <UserInfo>
        <DisplayName/>
        <AccountId xsi:nil="true"/>
        <AccountType/>
      </UserInfo>
    </Branch>
    <DocumentDescription xmlns="58f119d2-5f5e-4d32-9805-ea5bcceb910f" xsi:nil="true"/>
    <RecordNumber xmlns="58f119d2-5f5e-4d32-9805-ea5bcceb910f" xsi:nil="true"/>
    <Approval xmlns="58f119d2-5f5e-4d32-9805-ea5bcceb91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PIRE Document" ma:contentTypeID="0x010100068FC2502747F241AA7DD33DFA3B31B6003B4A67A3BCD6A14E959D54A5C537D555" ma:contentTypeVersion="45" ma:contentTypeDescription="SPIRE Document" ma:contentTypeScope="" ma:versionID="fdc5b807755c9b96a9427dffe03bd8f9">
  <xsd:schema xmlns:xsd="http://www.w3.org/2001/XMLSchema" xmlns:xs="http://www.w3.org/2001/XMLSchema" xmlns:p="http://schemas.microsoft.com/office/2006/metadata/properties" xmlns:ns2="58f119d2-5f5e-4d32-9805-ea5bcceb910f" targetNamespace="http://schemas.microsoft.com/office/2006/metadata/properties" ma:root="true" ma:fieldsID="31fc9149b7ee1848e07e614943fe4719" ns2:_="">
    <xsd:import namespace="58f119d2-5f5e-4d32-9805-ea5bcceb910f"/>
    <xsd:element name="properties">
      <xsd:complexType>
        <xsd:sequence>
          <xsd:element name="documentManagement">
            <xsd:complexType>
              <xsd:all>
                <xsd:element ref="ns2:Approval" minOccurs="0"/>
                <xsd:element ref="ns2:Function" minOccurs="0"/>
                <xsd:element ref="ns2:Section" minOccurs="0"/>
                <xsd:element ref="ns2:Branch" minOccurs="0"/>
                <xsd:element ref="ns2:Division" minOccurs="0"/>
                <xsd:element ref="ns2:RecordNumber" minOccurs="0"/>
                <xsd:element ref="ns2:Documen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119d2-5f5e-4d32-9805-ea5bcceb910f" elementFormDefault="qualified">
    <xsd:import namespace="http://schemas.microsoft.com/office/2006/documentManagement/types"/>
    <xsd:import namespace="http://schemas.microsoft.com/office/infopath/2007/PartnerControls"/>
    <xsd:element name="Approval" ma:index="8"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Function" ma:index="9" nillable="true" ma:displayName="Function" ma:default="Program Admin" ma:description="Copy and Paste the relevance function:&#10;Administration&#10;International&#10;OHS&#10;Legal&#10;Personnel&#10;Program Admin&#10;Project&#10;Property&#10;Regulation&#10;Technology&#10;" ma:hidden="true" ma:internalName="Function" ma:readOnly="false">
      <xsd:simpleType>
        <xsd:restriction base="dms:Text">
          <xsd:maxLength value="255"/>
        </xsd:restriction>
      </xsd:simpleType>
    </xsd:element>
    <xsd:element name="Section" ma:index="10" nillable="true" ma:displayName="Section" ma:description="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1" nillable="true" ma:displayName="Branch" ma:description="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2" nillable="true" ma:displayName="Division" ma:description="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Number" ma:index="13" nillable="true" ma:displayName="Record Number" ma:description="RecordPoint Record Number" ma:internalName="RecordNumber">
      <xsd:simpleType>
        <xsd:restriction base="dms:Text"/>
      </xsd:simpleType>
    </xsd:element>
    <xsd:element name="DocumentDescription" ma:index="14" nillable="true" ma:displayName="Document Description" ma:description="Document Description. Max 255 characters" ma:internalName="Document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48E88-7BC7-4707-8F85-ACD99AECABDA}">
  <ds:schemaRefs>
    <ds:schemaRef ds:uri="http://schemas.microsoft.com/sharepoint/v3/contenttype/forms"/>
  </ds:schemaRefs>
</ds:datastoreItem>
</file>

<file path=customXml/itemProps2.xml><?xml version="1.0" encoding="utf-8"?>
<ds:datastoreItem xmlns:ds="http://schemas.openxmlformats.org/officeDocument/2006/customXml" ds:itemID="{2A651987-CB70-49F8-A879-A3895B18B4F7}">
  <ds:schemaRefs>
    <ds:schemaRef ds:uri="http://schemas.microsoft.com/office/2006/metadata/properties"/>
    <ds:schemaRef ds:uri="http://schemas.microsoft.com/office/infopath/2007/PartnerControls"/>
    <ds:schemaRef ds:uri="58f119d2-5f5e-4d32-9805-ea5bcceb910f"/>
  </ds:schemaRefs>
</ds:datastoreItem>
</file>

<file path=customXml/itemProps3.xml><?xml version="1.0" encoding="utf-8"?>
<ds:datastoreItem xmlns:ds="http://schemas.openxmlformats.org/officeDocument/2006/customXml" ds:itemID="{44A6792E-8538-423E-BCE5-EFF20D886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119d2-5f5e-4d32-9805-ea5bcceb9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CBF0-D2B9-4C5D-8EE0-DA1ED314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5799</Words>
  <Characters>35419</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Commonwealth Environmental Water: Monitoring, Evaluation, Reporting and Improvement Framework</vt:lpstr>
    </vt:vector>
  </TitlesOfParts>
  <LinksUpToDate>false</LinksUpToDate>
  <CharactersWithSpaces>41136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Monitoring, Evaluation, Reporting and Improvement Framework</dc:title>
  <dc:creator/>
  <cp:lastModifiedBy/>
  <cp:revision>1</cp:revision>
  <dcterms:created xsi:type="dcterms:W3CDTF">2013-08-08T04:46:00Z</dcterms:created>
  <dcterms:modified xsi:type="dcterms:W3CDTF">2013-08-08T04:51:00Z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0x010100068FC2502747F241AA7DD33DFA3B31B6003B4A67A3BCD6A14E959D54A5C537D555</vt:lpwstr>
  </property>
  <property fmtid="{D5CDD505-2E9C-101B-9397-08002B2CF9AE}" pid="3" name="_docset_NoMedatataSyncRequired">
    <vt:lpwstr>False</vt:lpwstr>
  </property>
  <property fmtid="{D5CDD505-2E9C-101B-9397-08002B2CF9AE}" pid="4" name="RecordNumberTEMP">
    <vt:lpwstr/>
  </property>
  <property fmtid="{D5CDD505-2E9C-101B-9397-08002B2CF9AE}" pid="5" name="SignificanceReasonTEMP">
    <vt:lpwstr/>
  </property>
  <property fmtid="{D5CDD505-2E9C-101B-9397-08002B2CF9AE}" pid="6" name="EmailCategoriesTEMP">
    <vt:lpwstr/>
  </property>
  <property fmtid="{D5CDD505-2E9C-101B-9397-08002B2CF9AE}" pid="7" name="EmailSubjectTEMP">
    <vt:lpwstr/>
  </property>
  <property fmtid="{D5CDD505-2E9C-101B-9397-08002B2CF9AE}" pid="8" name="RecordNumber">
    <vt:lpwstr/>
  </property>
  <property fmtid="{D5CDD505-2E9C-101B-9397-08002B2CF9AE}" pid="9" name="DocumentDescription">
    <vt:lpwstr/>
  </property>
  <property fmtid="{D5CDD505-2E9C-101B-9397-08002B2CF9AE}" pid="10" name="EmailCategories">
    <vt:lpwstr/>
  </property>
  <property fmtid="{D5CDD505-2E9C-101B-9397-08002B2CF9AE}" pid="11" name="SignificanceReason">
    <vt:lpwstr/>
  </property>
  <property fmtid="{D5CDD505-2E9C-101B-9397-08002B2CF9AE}" pid="12" name="SPIREEmailSubject">
    <vt:lpwstr/>
  </property>
</Properties>
</file>