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B401" w14:textId="78EC1CFE" w:rsidR="004D017B" w:rsidRDefault="00D33217" w:rsidP="002A0E5C">
      <w:pPr>
        <w:pStyle w:val="Heading1"/>
      </w:pPr>
      <w:r>
        <w:t xml:space="preserve">Sea Container Pathways – </w:t>
      </w:r>
      <w:r w:rsidR="00596204">
        <w:t xml:space="preserve">Visual Examination </w:t>
      </w:r>
      <w:r w:rsidR="00596204">
        <w:br/>
      </w:r>
      <w:r w:rsidR="004D017B">
        <w:t>Video</w:t>
      </w:r>
      <w:r w:rsidR="002A0E5C">
        <w:t> </w:t>
      </w:r>
      <w:r w:rsidR="004D017B">
        <w:t>transcript</w:t>
      </w:r>
    </w:p>
    <w:p w14:paraId="259D5A04" w14:textId="33121C59" w:rsidR="00350EA2" w:rsidRPr="00350EA2" w:rsidRDefault="001A71A4" w:rsidP="00350EA2">
      <w:pPr>
        <w:pStyle w:val="Date"/>
      </w:pPr>
      <w:r w:rsidRPr="001A71A4">
        <w:t>13</w:t>
      </w:r>
      <w:r w:rsidR="00350EA2" w:rsidRPr="001A71A4">
        <w:t xml:space="preserve"> </w:t>
      </w:r>
      <w:r w:rsidR="00935476" w:rsidRPr="001A71A4">
        <w:t>J</w:t>
      </w:r>
      <w:r w:rsidRPr="001A71A4">
        <w:t>uly</w:t>
      </w:r>
      <w:r w:rsidR="00350EA2" w:rsidRPr="001A71A4">
        <w:t xml:space="preserve"> 20</w:t>
      </w:r>
      <w:r w:rsidR="00EC4531" w:rsidRPr="001A71A4">
        <w:t>2</w:t>
      </w:r>
      <w:r w:rsidR="00C70643" w:rsidRPr="001A71A4">
        <w:t>6</w:t>
      </w:r>
    </w:p>
    <w:p w14:paraId="4EDA350A" w14:textId="77777777" w:rsidR="00D72C8A" w:rsidRDefault="00D72C8A" w:rsidP="006A2426">
      <w:pPr>
        <w:pStyle w:val="Heading2"/>
        <w:numPr>
          <w:ilvl w:val="0"/>
          <w:numId w:val="0"/>
        </w:numPr>
      </w:pPr>
      <w:r>
        <w:t>Transcript</w:t>
      </w:r>
    </w:p>
    <w:p w14:paraId="24319EF8" w14:textId="77777777" w:rsidR="00D72C8A" w:rsidRDefault="00D72C8A" w:rsidP="00D72C8A">
      <w:r>
        <w:t>[</w:t>
      </w:r>
      <w:r w:rsidRPr="00D72C8A">
        <w:t>Video begins</w:t>
      </w:r>
      <w:r>
        <w:t>]</w:t>
      </w:r>
    </w:p>
    <w:p w14:paraId="21226BD0" w14:textId="55E461DA" w:rsidR="00A1202B" w:rsidRDefault="00A1202B" w:rsidP="00A1202B">
      <w:r>
        <w:t>This video provides guidance on various aspects of container and cargo visual examinations, including internal and external surfaces of sea containers and cargo checks. The information in this video is not intended to replace specific pest contamination protocols, industry cleaning guidelines and operational procedures, or regulatory requirements of sea container operators or local authorities.</w:t>
      </w:r>
    </w:p>
    <w:p w14:paraId="2E7DF8CF" w14:textId="77777777" w:rsidR="00A1202B" w:rsidRDefault="00A1202B" w:rsidP="00A1202B">
      <w:r>
        <w:t xml:space="preserve">Not all procedures may be relevant to every individual or role in the supply chain. Everyone involved in the container supply chain has a responsibility to make sure that the container and its cargo is free of any visible pest contamination. </w:t>
      </w:r>
    </w:p>
    <w:p w14:paraId="4FCDBE17" w14:textId="202A324E" w:rsidR="00A1202B" w:rsidRDefault="00A1202B" w:rsidP="00A1202B">
      <w:r>
        <w:t>Maintaining pest-free international trade of sea containers is critical to a strong agricultural industry, protecting the environment and preserving ecosystems. But the increasing number of sea containers and their cargoes moving globally means there's a greater risk of pest contamination spreading between countries.</w:t>
      </w:r>
    </w:p>
    <w:p w14:paraId="2525E8D4" w14:textId="0B11DE4C" w:rsidR="00A1202B" w:rsidRDefault="00A1202B" w:rsidP="00A1202B">
      <w:r>
        <w:t>Containers and their cargoes found to be contaminated with live pests should not be loaded or forwarded for loading onto any carrier, sea, road or rail unless all visible pest contamination has been completely removed.</w:t>
      </w:r>
    </w:p>
    <w:p w14:paraId="5528C4C0" w14:textId="2DDCD5BD" w:rsidR="00A1202B" w:rsidRDefault="00A1202B" w:rsidP="00A1202B">
      <w:r>
        <w:t>So, whether you're involved in packing and unpacking, storage, transport or cargo delivery to its destination, all personnel should be on the lookout for visible pest contamination and take appropriate actions, which may include removing the contamination or reporting it to the relevant commercial contact or authority.</w:t>
      </w:r>
    </w:p>
    <w:p w14:paraId="567AC39D" w14:textId="77777777" w:rsidR="0088656F" w:rsidRDefault="00A1202B" w:rsidP="00A1202B">
      <w:r>
        <w:t xml:space="preserve">Do not remove or tamper with sea container seals to check for pest contamination, unless authorised by the competent authority. </w:t>
      </w:r>
    </w:p>
    <w:p w14:paraId="190BBAE8" w14:textId="71523AB5" w:rsidR="00A1202B" w:rsidRDefault="00A1202B" w:rsidP="00A1202B">
      <w:r>
        <w:t>When undertaking a visual examination, some of the tools required may include a mirror, scraper and torch.</w:t>
      </w:r>
      <w:r w:rsidR="0088656F">
        <w:t xml:space="preserve"> </w:t>
      </w:r>
      <w:r>
        <w:t>Look for pests and contamination such as insects and snails, animals and animal material, soil, plant material including seeds.</w:t>
      </w:r>
      <w:r w:rsidR="0088656F">
        <w:t xml:space="preserve"> </w:t>
      </w:r>
      <w:r>
        <w:t>Pay close attention for signs of pests such as insect larvae or eggs, as they're difficult to detect.</w:t>
      </w:r>
      <w:r w:rsidR="0088656F">
        <w:t xml:space="preserve"> </w:t>
      </w:r>
      <w:r>
        <w:t>Other signs of pest contamination may include timber with frass, insect body parts, and insect</w:t>
      </w:r>
      <w:r w:rsidR="0088656F">
        <w:t xml:space="preserve"> </w:t>
      </w:r>
      <w:r>
        <w:t>damaged materials.</w:t>
      </w:r>
    </w:p>
    <w:p w14:paraId="636C0CA0" w14:textId="77777777" w:rsidR="00A1202B" w:rsidRDefault="00A1202B" w:rsidP="00A1202B">
      <w:r>
        <w:t xml:space="preserve">To ensure clear visibility of the container’s external surfaces, where possible, checks should be done </w:t>
      </w:r>
    </w:p>
    <w:p w14:paraId="3A112BD2" w14:textId="3C62FD2A" w:rsidR="00A1202B" w:rsidRDefault="00A1202B" w:rsidP="00A1202B">
      <w:r>
        <w:lastRenderedPageBreak/>
        <w:t>with the container positioned on a secure and appropriate platform to ensure good visibility of all external surfaces.</w:t>
      </w:r>
    </w:p>
    <w:p w14:paraId="01BEC4E7" w14:textId="77ABDD6B" w:rsidR="00A1202B" w:rsidRDefault="00A1202B" w:rsidP="00A1202B">
      <w:r>
        <w:t>Forklifts should be disengaged before checks can begin, and a safe distance from the container.</w:t>
      </w:r>
      <w:r w:rsidR="0088656F">
        <w:t xml:space="preserve"> </w:t>
      </w:r>
      <w:r>
        <w:t>Check external side walls, forklift pockets, twist-to-lock holes of corner fittings, side rails, doors and vents.</w:t>
      </w:r>
    </w:p>
    <w:p w14:paraId="6F723061" w14:textId="0444DE22" w:rsidR="00A1202B" w:rsidRDefault="00A1202B" w:rsidP="00A1202B">
      <w:r>
        <w:t>Most contamination is found underneath containers.</w:t>
      </w:r>
      <w:r w:rsidR="0088656F">
        <w:t xml:space="preserve"> </w:t>
      </w:r>
      <w:r>
        <w:t>Where safe and practical, check undersides with the container placed on a stand or skeletal trailer.</w:t>
      </w:r>
      <w:r w:rsidR="0088656F">
        <w:t xml:space="preserve"> </w:t>
      </w:r>
      <w:r>
        <w:t>When checking undersides, pay special attention to crossmembers as they provide hiding spots for</w:t>
      </w:r>
      <w:r w:rsidR="0088656F">
        <w:t xml:space="preserve"> </w:t>
      </w:r>
      <w:r>
        <w:t>pests like snails and collect soil and plant material.</w:t>
      </w:r>
    </w:p>
    <w:p w14:paraId="57CB7CB0" w14:textId="77777777" w:rsidR="0088656F" w:rsidRDefault="00A1202B" w:rsidP="00A1202B">
      <w:r>
        <w:t>Where safe and practical, check the top of the container twist-lock holes of corner castings.</w:t>
      </w:r>
      <w:r w:rsidR="0088656F">
        <w:t xml:space="preserve"> </w:t>
      </w:r>
      <w:r>
        <w:t>For tank containers, check the top side wells where water and debris can collect.</w:t>
      </w:r>
      <w:r w:rsidR="0088656F">
        <w:t xml:space="preserve"> </w:t>
      </w:r>
      <w:r>
        <w:t>Flat racks should be checked with the ends unfolded and locked into place.</w:t>
      </w:r>
      <w:r w:rsidR="0088656F">
        <w:t xml:space="preserve"> </w:t>
      </w:r>
    </w:p>
    <w:p w14:paraId="0EA0DB6A" w14:textId="77777777" w:rsidR="0088656F" w:rsidRDefault="00A1202B" w:rsidP="00A1202B">
      <w:r>
        <w:t>For refrigerated or reefer containers, make sure to check ventilation inlet grilles and to the</w:t>
      </w:r>
      <w:r w:rsidR="0088656F">
        <w:t xml:space="preserve"> </w:t>
      </w:r>
      <w:r>
        <w:t>machinery compartment.</w:t>
      </w:r>
      <w:r w:rsidR="0088656F">
        <w:t xml:space="preserve"> </w:t>
      </w:r>
      <w:r>
        <w:t>Pay special attention to the cable tray and remove cables to make it easier to see.</w:t>
      </w:r>
      <w:r w:rsidR="0088656F">
        <w:t xml:space="preserve"> </w:t>
      </w:r>
    </w:p>
    <w:p w14:paraId="1959CBDB" w14:textId="69FB5479" w:rsidR="00A1202B" w:rsidRDefault="00A1202B" w:rsidP="00A1202B">
      <w:r>
        <w:t>Empty containers should be securely positioned, such as on the ground or on a suitable platform</w:t>
      </w:r>
      <w:r w:rsidR="0088656F">
        <w:t xml:space="preserve"> </w:t>
      </w:r>
      <w:r>
        <w:t>before being checked internally.</w:t>
      </w:r>
      <w:r w:rsidR="0088656F">
        <w:t xml:space="preserve"> </w:t>
      </w:r>
      <w:r>
        <w:t>Always stand clear from the container when the doors are opened, unless your organisation has specific protocols in place.</w:t>
      </w:r>
      <w:r w:rsidR="0088656F">
        <w:t xml:space="preserve"> </w:t>
      </w:r>
      <w:r>
        <w:t>This helps protect you from any hazardous gases that may have built up inside.</w:t>
      </w:r>
    </w:p>
    <w:p w14:paraId="3128C495" w14:textId="77777777" w:rsidR="0088656F" w:rsidRDefault="00A1202B" w:rsidP="00A1202B">
      <w:r>
        <w:t>Use a torch to thoroughly check any cracks and crevices where pests can hide.</w:t>
      </w:r>
      <w:r w:rsidR="0088656F">
        <w:t xml:space="preserve"> </w:t>
      </w:r>
      <w:r>
        <w:t>Check internal walls and roof, floorboards, including joints, gaps and holes.</w:t>
      </w:r>
      <w:r w:rsidR="0088656F">
        <w:t xml:space="preserve"> </w:t>
      </w:r>
      <w:r>
        <w:t>Check the door and door seals behind rubber folds and vents.</w:t>
      </w:r>
      <w:r w:rsidR="0088656F">
        <w:t xml:space="preserve"> </w:t>
      </w:r>
    </w:p>
    <w:p w14:paraId="6EE251C9" w14:textId="0BA41791" w:rsidR="0088656F" w:rsidRDefault="00A1202B" w:rsidP="00A1202B">
      <w:r>
        <w:t>Grains, insects and their eggs and larvae can be found in door seals, floor joints and gaps.</w:t>
      </w:r>
      <w:r w:rsidR="0088656F">
        <w:t xml:space="preserve"> </w:t>
      </w:r>
      <w:r>
        <w:t>Yellowish skins on the floor and on rubber door seals may be an indication of khapra beetle.</w:t>
      </w:r>
      <w:r w:rsidR="0088656F">
        <w:t xml:space="preserve"> </w:t>
      </w:r>
      <w:r>
        <w:t>For refrigerated or reefer containers, make sure to check floor drain holes.</w:t>
      </w:r>
      <w:r w:rsidR="0088656F">
        <w:t xml:space="preserve"> </w:t>
      </w:r>
      <w:r>
        <w:t>This guidance for checking cargo is not intended to replace the importing country-specific inspection requirements for regulated goods such as plants, plant products, animals, or animal products.</w:t>
      </w:r>
    </w:p>
    <w:p w14:paraId="6AEA0738" w14:textId="1938EBD1" w:rsidR="00A1202B" w:rsidRDefault="00A1202B" w:rsidP="00A1202B">
      <w:r>
        <w:t>Always stand clear from the container when the doors are opened, unless your organisation has specific protocols in place.</w:t>
      </w:r>
      <w:r w:rsidR="0088656F">
        <w:t xml:space="preserve"> </w:t>
      </w:r>
      <w:r>
        <w:t>This helps protect you from potential cargo spills or any hazardous gases that may have built up inside.</w:t>
      </w:r>
    </w:p>
    <w:p w14:paraId="5D08270A" w14:textId="5C21B6B3" w:rsidR="00A1202B" w:rsidRDefault="00A1202B" w:rsidP="00A1202B">
      <w:r>
        <w:t>Check your cargo and packaging, including cartons and plastic liners, for signs of pest contamination.</w:t>
      </w:r>
      <w:r w:rsidR="0088656F">
        <w:t xml:space="preserve"> </w:t>
      </w:r>
      <w:r>
        <w:t>When checking machinery and tools, especially if they're stored outside, pay close attention to any large chambers and spaces.</w:t>
      </w:r>
      <w:r w:rsidR="0088656F">
        <w:t xml:space="preserve"> </w:t>
      </w:r>
      <w:r>
        <w:t>These areas are prime spots for pests such as brown marmorated stink bug seeking a safe hiding place.</w:t>
      </w:r>
    </w:p>
    <w:p w14:paraId="12AB80E6" w14:textId="52528C35" w:rsidR="00A1202B" w:rsidRDefault="00A1202B" w:rsidP="00A1202B">
      <w:r>
        <w:t>With millions of sea containers moving annually, even a small number of contaminated ones can</w:t>
      </w:r>
      <w:r w:rsidR="0088656F">
        <w:t xml:space="preserve"> </w:t>
      </w:r>
      <w:r>
        <w:t>spread pests and diseases.</w:t>
      </w:r>
      <w:r w:rsidR="0088656F">
        <w:t xml:space="preserve"> </w:t>
      </w:r>
      <w:r>
        <w:t>Everyone in the supply chain must meet their custodial responsibilities</w:t>
      </w:r>
      <w:r w:rsidR="0088656F">
        <w:t xml:space="preserve"> </w:t>
      </w:r>
      <w:r>
        <w:t>while containers and their cargoes are under their control.</w:t>
      </w:r>
    </w:p>
    <w:p w14:paraId="59E2BAB9" w14:textId="237CF3DD" w:rsidR="00A1202B" w:rsidRDefault="00A1202B" w:rsidP="00A1202B">
      <w:r>
        <w:lastRenderedPageBreak/>
        <w:t>If we all play our part, we can help protect agriculture and the environment from invasive species</w:t>
      </w:r>
      <w:r w:rsidR="0088656F">
        <w:t xml:space="preserve"> </w:t>
      </w:r>
      <w:r>
        <w:t>spreading to new locations.</w:t>
      </w:r>
    </w:p>
    <w:p w14:paraId="3826783F" w14:textId="4C2C34E1" w:rsidR="004D017B" w:rsidRDefault="004D017B" w:rsidP="004D017B">
      <w:r>
        <w:t>[</w:t>
      </w:r>
      <w:r w:rsidR="006828BE">
        <w:t>V</w:t>
      </w:r>
      <w:r>
        <w:t>ideo</w:t>
      </w:r>
      <w:r w:rsidR="006828BE">
        <w:t xml:space="preserve"> ends</w:t>
      </w:r>
      <w:r>
        <w:t>]</w:t>
      </w:r>
    </w:p>
    <w:p w14:paraId="36DFCEB9" w14:textId="77777777" w:rsidR="004D017B" w:rsidRDefault="004D017B" w:rsidP="004D017B">
      <w:r>
        <w:t>[End of transcript.]</w:t>
      </w:r>
    </w:p>
    <w:p w14:paraId="78645317" w14:textId="77777777" w:rsidR="00826A4F" w:rsidRDefault="00826A4F" w:rsidP="00826A4F">
      <w:pPr>
        <w:pStyle w:val="Normalsmall"/>
        <w:spacing w:before="360"/>
      </w:pPr>
      <w:r>
        <w:t>© Commonwealth of Australia 202</w:t>
      </w:r>
      <w:r w:rsidR="00C70643">
        <w:t>6</w:t>
      </w:r>
    </w:p>
    <w:p w14:paraId="3BD49F1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66E88B20"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22E2CEF" w14:textId="77777777" w:rsidR="00E76752" w:rsidRPr="00E76752" w:rsidRDefault="00826A4F" w:rsidP="00E76752">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E76752" w:rsidRPr="00E7675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916F" w14:textId="77777777" w:rsidR="003C5FAE" w:rsidRDefault="003C5FAE">
      <w:r>
        <w:separator/>
      </w:r>
    </w:p>
    <w:p w14:paraId="055B4172" w14:textId="77777777" w:rsidR="003C5FAE" w:rsidRDefault="003C5FAE"/>
  </w:endnote>
  <w:endnote w:type="continuationSeparator" w:id="0">
    <w:p w14:paraId="7142C54B" w14:textId="77777777" w:rsidR="003C5FAE" w:rsidRDefault="003C5FAE">
      <w:r>
        <w:continuationSeparator/>
      </w:r>
    </w:p>
    <w:p w14:paraId="2997C502" w14:textId="77777777" w:rsidR="003C5FAE" w:rsidRDefault="003C5FAE"/>
  </w:endnote>
  <w:endnote w:type="continuationNotice" w:id="1">
    <w:p w14:paraId="11984DD1" w14:textId="77777777" w:rsidR="003C5FAE" w:rsidRDefault="003C5FAE">
      <w:pPr>
        <w:pStyle w:val="Footer"/>
      </w:pPr>
    </w:p>
    <w:p w14:paraId="1AEE0C31" w14:textId="77777777" w:rsidR="003C5FAE" w:rsidRDefault="003C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EB35"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310ED3D7" wp14:editId="75EFE1AD">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ED3D7"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D6DD" w14:textId="77777777" w:rsidR="00302CCB" w:rsidRDefault="002A0E5C" w:rsidP="00E76752">
    <w:pPr>
      <w:pStyle w:val="Footer"/>
    </w:pPr>
    <w:r>
      <w:rPr>
        <w:noProof/>
      </w:rPr>
      <mc:AlternateContent>
        <mc:Choice Requires="wps">
          <w:drawing>
            <wp:anchor distT="0" distB="0" distL="0" distR="0" simplePos="0" relativeHeight="251674624" behindDoc="0" locked="0" layoutInCell="1" allowOverlap="1" wp14:anchorId="36D4CE37" wp14:editId="6C55E366">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4CE37" id="_x0000_t202" coordsize="21600,21600" o:spt="202" path="m,l,21600r21600,l21600,xe">
              <v:stroke joinstyle="miter"/>
              <v:path gradientshapeok="t" o:connecttype="rect"/>
            </v:shapetype>
            <v:shape id="Text Box 12" o:spid="_x0000_s1028"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61CD"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0B6BD2DF" wp14:editId="37A043C3">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BD2DF" id="_x0000_t202" coordsize="21600,21600" o:spt="202" path="m,l,21600r21600,l21600,xe">
              <v:stroke joinstyle="miter"/>
              <v:path gradientshapeok="t" o:connecttype="rect"/>
            </v:shapetype>
            <v:shape id="Text Box 10" o:spid="_x0000_s1030"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49FA" w14:textId="77777777" w:rsidR="003C5FAE" w:rsidRDefault="003C5FAE">
      <w:r>
        <w:separator/>
      </w:r>
    </w:p>
    <w:p w14:paraId="3513E64B" w14:textId="77777777" w:rsidR="003C5FAE" w:rsidRDefault="003C5FAE"/>
  </w:footnote>
  <w:footnote w:type="continuationSeparator" w:id="0">
    <w:p w14:paraId="7E4BE74A" w14:textId="77777777" w:rsidR="003C5FAE" w:rsidRDefault="003C5FAE">
      <w:r>
        <w:continuationSeparator/>
      </w:r>
    </w:p>
    <w:p w14:paraId="40F4FCEA" w14:textId="77777777" w:rsidR="003C5FAE" w:rsidRDefault="003C5FAE"/>
  </w:footnote>
  <w:footnote w:type="continuationNotice" w:id="1">
    <w:p w14:paraId="7C32A36E" w14:textId="77777777" w:rsidR="003C5FAE" w:rsidRDefault="003C5FAE">
      <w:pPr>
        <w:pStyle w:val="Footer"/>
      </w:pPr>
    </w:p>
    <w:p w14:paraId="3DB4ABD2" w14:textId="77777777" w:rsidR="003C5FAE" w:rsidRDefault="003C5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A27D"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02480C20" wp14:editId="29C69439">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480C20"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E56B" w14:textId="6EC90F99" w:rsidR="00302CCB" w:rsidRPr="00727A29" w:rsidRDefault="00727A29" w:rsidP="00727A29">
    <w:pPr>
      <w:pStyle w:val="Header"/>
    </w:pPr>
    <w:r w:rsidRPr="00727A29">
      <w:rPr>
        <w:noProof/>
      </w:rPr>
      <w:t xml:space="preserve">Sea Container Pathways – </w:t>
    </w:r>
    <w:r w:rsidR="00596204">
      <w:rPr>
        <w:noProof/>
      </w:rPr>
      <w:t>Visual Examination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6DA5"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591F70BF" wp14:editId="690698CA">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F70BF"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1DDBEC68" wp14:editId="5B794EAD">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DC"/>
    <w:rsid w:val="000132CC"/>
    <w:rsid w:val="0007002A"/>
    <w:rsid w:val="00071927"/>
    <w:rsid w:val="000968C2"/>
    <w:rsid w:val="000E6109"/>
    <w:rsid w:val="0011387C"/>
    <w:rsid w:val="00141135"/>
    <w:rsid w:val="001902C7"/>
    <w:rsid w:val="001A71A4"/>
    <w:rsid w:val="001F2A38"/>
    <w:rsid w:val="00231DA0"/>
    <w:rsid w:val="002605DB"/>
    <w:rsid w:val="002A0E5C"/>
    <w:rsid w:val="002A525E"/>
    <w:rsid w:val="002B4D8D"/>
    <w:rsid w:val="002E461F"/>
    <w:rsid w:val="002F7EA4"/>
    <w:rsid w:val="00302CCB"/>
    <w:rsid w:val="00344815"/>
    <w:rsid w:val="00347F2C"/>
    <w:rsid w:val="00350EA2"/>
    <w:rsid w:val="003B7BA9"/>
    <w:rsid w:val="003C5FAE"/>
    <w:rsid w:val="003E34CF"/>
    <w:rsid w:val="003F7D55"/>
    <w:rsid w:val="00405781"/>
    <w:rsid w:val="0044290F"/>
    <w:rsid w:val="004A3310"/>
    <w:rsid w:val="004B3E31"/>
    <w:rsid w:val="004C38A3"/>
    <w:rsid w:val="004D017B"/>
    <w:rsid w:val="004E16E0"/>
    <w:rsid w:val="00504392"/>
    <w:rsid w:val="00512346"/>
    <w:rsid w:val="00527BEB"/>
    <w:rsid w:val="0054262A"/>
    <w:rsid w:val="00596204"/>
    <w:rsid w:val="006828BE"/>
    <w:rsid w:val="006A2426"/>
    <w:rsid w:val="00702EBF"/>
    <w:rsid w:val="00714CA9"/>
    <w:rsid w:val="00721044"/>
    <w:rsid w:val="00727A29"/>
    <w:rsid w:val="00760F1C"/>
    <w:rsid w:val="00796616"/>
    <w:rsid w:val="007E5FCF"/>
    <w:rsid w:val="007F5427"/>
    <w:rsid w:val="00826A4F"/>
    <w:rsid w:val="00836D0C"/>
    <w:rsid w:val="0088656F"/>
    <w:rsid w:val="00910B34"/>
    <w:rsid w:val="00935476"/>
    <w:rsid w:val="009C551C"/>
    <w:rsid w:val="00A018DD"/>
    <w:rsid w:val="00A1202B"/>
    <w:rsid w:val="00A34DF4"/>
    <w:rsid w:val="00A60575"/>
    <w:rsid w:val="00A700C2"/>
    <w:rsid w:val="00A72427"/>
    <w:rsid w:val="00A92F50"/>
    <w:rsid w:val="00AC7A5F"/>
    <w:rsid w:val="00AD09A2"/>
    <w:rsid w:val="00B325ED"/>
    <w:rsid w:val="00B33DC3"/>
    <w:rsid w:val="00B3795A"/>
    <w:rsid w:val="00B806E8"/>
    <w:rsid w:val="00B82B71"/>
    <w:rsid w:val="00B8617B"/>
    <w:rsid w:val="00B97B0E"/>
    <w:rsid w:val="00BD3E62"/>
    <w:rsid w:val="00C02350"/>
    <w:rsid w:val="00C70643"/>
    <w:rsid w:val="00C76028"/>
    <w:rsid w:val="00C8392E"/>
    <w:rsid w:val="00C9330C"/>
    <w:rsid w:val="00CA1C77"/>
    <w:rsid w:val="00CD2638"/>
    <w:rsid w:val="00CD4BB2"/>
    <w:rsid w:val="00D04AEA"/>
    <w:rsid w:val="00D11DFB"/>
    <w:rsid w:val="00D33217"/>
    <w:rsid w:val="00D636A8"/>
    <w:rsid w:val="00D712F9"/>
    <w:rsid w:val="00D72C8A"/>
    <w:rsid w:val="00DC76A1"/>
    <w:rsid w:val="00E223F4"/>
    <w:rsid w:val="00E229B5"/>
    <w:rsid w:val="00E4280A"/>
    <w:rsid w:val="00E72436"/>
    <w:rsid w:val="00E76752"/>
    <w:rsid w:val="00EA33BE"/>
    <w:rsid w:val="00EB210C"/>
    <w:rsid w:val="00EC4531"/>
    <w:rsid w:val="00ED0341"/>
    <w:rsid w:val="00EE2ADC"/>
    <w:rsid w:val="00F01D00"/>
    <w:rsid w:val="00F62B7E"/>
    <w:rsid w:val="00F95248"/>
    <w:rsid w:val="00FC384B"/>
    <w:rsid w:val="00FE1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8B89"/>
  <w15:chartTrackingRefBased/>
  <w15:docId w15:val="{A85502C3-5FAF-407C-9F92-F98CCCB3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19" ma:contentTypeDescription="Create a new document." ma:contentTypeScope="" ma:versionID="02b8bb97be9323e85ba8e4cd16a0400e">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49413c8f1674dd05c846e6f1e9708aa5"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2b27d-2042-43a1-bc07-305ddf3393bc}"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0CFCED48-E571-4947-A14E-ABDEAD905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81c01dc6-2c49-4730-b140-874c95cac377"/>
    <ds:schemaRef ds:uri="492a9a14-5db1-4742-bb56-503ea3c4c34b"/>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2</TotalTime>
  <Pages>1</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Sea Container Pathways–Visual Examination </vt:lpstr>
    </vt:vector>
  </TitlesOfParts>
  <Company/>
  <LinksUpToDate>false</LinksUpToDate>
  <CharactersWithSpaces>6381</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Container Pathways–Visual Examination </dc:title>
  <dc:subject/>
  <dc:creator>Department of Agriculture, Fisheries and Forestry</dc:creator>
  <cp:keywords/>
  <dc:description/>
  <cp:revision>5</cp:revision>
  <cp:lastPrinted>2026-07-13T04:10:00Z</cp:lastPrinted>
  <dcterms:created xsi:type="dcterms:W3CDTF">2026-07-13T04:10:00Z</dcterms:created>
  <dcterms:modified xsi:type="dcterms:W3CDTF">2026-07-21T06:43:00Z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0x010100C1B68FBFE00F1E4C9D6AE7D88E2D1D7F</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