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eastAsia="Calibri"/>
          <w:b w:val="0"/>
          <w:caps w:val="0"/>
          <w:noProof w:val="0"/>
          <w:color w:val="000000"/>
          <w:spacing w:val="0"/>
          <w:sz w:val="18"/>
          <w:szCs w:val="22"/>
          <w:lang w:eastAsia="en-AU"/>
        </w:rPr>
        <w:id w:val="1194425976"/>
        <w:docPartObj>
          <w:docPartGallery w:val="Cover Pages"/>
          <w:docPartUnique/>
        </w:docPartObj>
      </w:sdtPr>
      <w:sdtEndPr>
        <w:rPr>
          <w:sz w:val="22"/>
        </w:rPr>
      </w:sdtEndPr>
      <w:sdtContent>
        <w:p w14:paraId="5A2C4CD3" w14:textId="52EB4E3E" w:rsidR="009204C0" w:rsidRPr="001C3137" w:rsidRDefault="008A4070" w:rsidP="006A5C1D">
          <w:pPr>
            <w:pStyle w:val="BusinessUnitName"/>
            <w:framePr w:w="6124" w:h="284" w:hRule="exact" w:vSpace="1276" w:wrap="notBeside" w:vAnchor="page" w:hAnchor="page" w:x="1098" w:y="669" w:anchorLock="1"/>
          </w:pPr>
          <w:r>
            <w:t>Land and Water</w:t>
          </w:r>
        </w:p>
        <w:p w14:paraId="708C1756" w14:textId="77777777" w:rsidR="009204C0" w:rsidRDefault="009204C0" w:rsidP="001B7EBE">
          <w:pPr>
            <w:pStyle w:val="BodyText"/>
            <w:framePr w:w="9809" w:h="1701" w:hRule="exact" w:wrap="notBeside" w:vAnchor="page" w:hAnchor="margin" w:y="14516" w:anchorLock="1"/>
          </w:pPr>
        </w:p>
        <w:p w14:paraId="49683288" w14:textId="77777777" w:rsidR="009204C0" w:rsidRDefault="009204C0" w:rsidP="001B7EBE">
          <w:pPr>
            <w:pStyle w:val="BodyText"/>
            <w:framePr w:w="9809" w:h="1701" w:hRule="exact" w:wrap="notBeside" w:vAnchor="page" w:hAnchor="margin" w:y="14516" w:anchorLock="1"/>
          </w:pPr>
        </w:p>
        <w:p w14:paraId="1031D1CC" w14:textId="77777777" w:rsidR="009204C0" w:rsidRDefault="009204C0" w:rsidP="009204C0">
          <w:pPr>
            <w:pStyle w:val="Title"/>
          </w:pPr>
          <w:r>
            <w:rPr>
              <w:noProof/>
            </w:rPr>
            <mc:AlternateContent>
              <mc:Choice Requires="wps">
                <w:drawing>
                  <wp:anchor distT="0" distB="0" distL="114300" distR="114300" simplePos="0" relativeHeight="251659264" behindDoc="1" locked="1" layoutInCell="1" allowOverlap="1" wp14:anchorId="62DBDCB7" wp14:editId="6D46BFD5">
                    <wp:simplePos x="0" y="0"/>
                    <wp:positionH relativeFrom="page">
                      <wp:posOffset>-360045</wp:posOffset>
                    </wp:positionH>
                    <wp:positionV relativeFrom="page">
                      <wp:posOffset>-360045</wp:posOffset>
                    </wp:positionV>
                    <wp:extent cx="8143875" cy="8490585"/>
                    <wp:effectExtent l="0" t="0" r="9525" b="5715"/>
                    <wp:wrapNone/>
                    <wp:docPr id="87" name="Rectangle 87"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3875" cy="8490585"/>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B3F779" id="Rectangle 87" o:spid="_x0000_s1026" alt="background" style="position:absolute;margin-left:-28.35pt;margin-top:-28.35pt;width:641.25pt;height:668.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" fillcolor="#41b6e6 [3204]" stroked="f">
                    <w10:wrap anchorx="page" anchory="page"/>
                    <w10:anchorlock/>
                  </v:rect>
                </w:pict>
              </mc:Fallback>
            </mc:AlternateContent>
          </w:r>
          <w:r>
            <w:rPr>
              <w:noProof/>
            </w:rPr>
            <mc:AlternateContent>
              <mc:Choice Requires="wpg">
                <w:drawing>
                  <wp:anchor distT="0" distB="0" distL="114300" distR="114300" simplePos="0" relativeHeight="251660288" behindDoc="1" locked="0" layoutInCell="1" allowOverlap="1" wp14:anchorId="27AF49D9" wp14:editId="56F54C55">
                    <wp:simplePos x="0" y="0"/>
                    <wp:positionH relativeFrom="column">
                      <wp:posOffset>-1245235</wp:posOffset>
                    </wp:positionH>
                    <wp:positionV relativeFrom="paragraph">
                      <wp:posOffset>-119380</wp:posOffset>
                    </wp:positionV>
                    <wp:extent cx="9381490" cy="10126345"/>
                    <wp:effectExtent l="0" t="0" r="0" b="8255"/>
                    <wp:wrapNone/>
                    <wp:docPr id="3" name="Group 3"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827" y="918"/>
                              <a:chExt cx="14774" cy="15947"/>
                            </a:xfrm>
                          </wpg:grpSpPr>
                          <wpg:grpSp>
                            <wpg:cNvPr id="5" name="Group 99"/>
                            <wpg:cNvGrpSpPr>
                              <a:grpSpLocks/>
                            </wpg:cNvGrpSpPr>
                            <wpg:grpSpPr bwMode="auto">
                              <a:xfrm>
                                <a:off x="-262" y="918"/>
                                <a:ext cx="12749" cy="1610"/>
                                <a:chOff x="0" y="0"/>
                                <a:chExt cx="80962" cy="10223"/>
                              </a:xfrm>
                            </wpg:grpSpPr>
                            <wpg:grpSp>
                              <wpg:cNvPr id="6" name="Group 81"/>
                              <wpg:cNvGrpSpPr>
                                <a:grpSpLocks/>
                              </wpg:cNvGrpSpPr>
                              <wpg:grpSpPr bwMode="auto">
                                <a:xfrm>
                                  <a:off x="0" y="0"/>
                                  <a:ext cx="80962" cy="10223"/>
                                  <a:chOff x="254" y="226"/>
                                  <a:chExt cx="80962" cy="10223"/>
                                </a:xfrm>
                              </wpg:grpSpPr>
                              <wps:wsp>
                                <wps:cNvPr id="7" name="Freeform 70" descr="background"/>
                                <wps:cNvSpPr>
                                  <a:spLocks noEditPoints="1"/>
                                </wps:cNvSpPr>
                                <wps:spPr bwMode="auto">
                                  <a:xfrm>
                                    <a:off x="254" y="226"/>
                                    <a:ext cx="80962" cy="10224"/>
                                  </a:xfrm>
                                  <a:custGeom>
                                    <a:avLst/>
                                    <a:gdLst>
                                      <a:gd name="T0" fmla="*/ 2147483647 w 2488"/>
                                      <a:gd name="T1" fmla="*/ 2147483647 h 313"/>
                                      <a:gd name="T2" fmla="*/ 2147483647 w 2488"/>
                                      <a:gd name="T3" fmla="*/ 2147483647 h 313"/>
                                      <a:gd name="T4" fmla="*/ 2147483647 w 2488"/>
                                      <a:gd name="T5" fmla="*/ 2147483647 h 313"/>
                                      <a:gd name="T6" fmla="*/ 2147483647 w 2488"/>
                                      <a:gd name="T7" fmla="*/ 2147483647 h 313"/>
                                      <a:gd name="T8" fmla="*/ 2147483647 w 2488"/>
                                      <a:gd name="T9" fmla="*/ 2147483647 h 313"/>
                                      <a:gd name="T10" fmla="*/ 2147483647 w 2488"/>
                                      <a:gd name="T11" fmla="*/ 2147483647 h 313"/>
                                      <a:gd name="T12" fmla="*/ 2147483647 w 2488"/>
                                      <a:gd name="T13" fmla="*/ 0 h 313"/>
                                      <a:gd name="T14" fmla="*/ 0 w 2488"/>
                                      <a:gd name="T15" fmla="*/ 0 h 313"/>
                                      <a:gd name="T16" fmla="*/ 0 w 2488"/>
                                      <a:gd name="T17" fmla="*/ 2147483647 h 313"/>
                                      <a:gd name="T18" fmla="*/ 2147483647 w 2488"/>
                                      <a:gd name="T19" fmla="*/ 2147483647 h 313"/>
                                      <a:gd name="T20" fmla="*/ 2147483647 w 2488"/>
                                      <a:gd name="T21" fmla="*/ 2147483647 h 313"/>
                                      <a:gd name="T22" fmla="*/ 2147483647 w 2488"/>
                                      <a:gd name="T23" fmla="*/ 2147483647 h 313"/>
                                      <a:gd name="T24" fmla="*/ 2147483647 w 2488"/>
                                      <a:gd name="T25" fmla="*/ 2147483647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rgbClr val="365F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71" descr="background"/>
                                <wps:cNvSpPr>
                                  <a:spLocks/>
                                </wps:cNvSpPr>
                                <wps:spPr bwMode="auto">
                                  <a:xfrm>
                                    <a:off x="254" y="912"/>
                                    <a:ext cx="58837" cy="4442"/>
                                  </a:xfrm>
                                  <a:custGeom>
                                    <a:avLst/>
                                    <a:gdLst>
                                      <a:gd name="T0" fmla="*/ 2147483647 w 1808"/>
                                      <a:gd name="T1" fmla="*/ 2147483647 h 136"/>
                                      <a:gd name="T2" fmla="*/ 2147483647 w 1808"/>
                                      <a:gd name="T3" fmla="*/ 0 h 136"/>
                                      <a:gd name="T4" fmla="*/ 0 w 1808"/>
                                      <a:gd name="T5" fmla="*/ 0 h 136"/>
                                      <a:gd name="T6" fmla="*/ 0 w 1808"/>
                                      <a:gd name="T7" fmla="*/ 2147483647 h 136"/>
                                      <a:gd name="T8" fmla="*/ 2147483647 w 1808"/>
                                      <a:gd name="T9" fmla="*/ 2147483647 h 136"/>
                                      <a:gd name="T10" fmla="*/ 2147483647 w 1808"/>
                                      <a:gd name="T11" fmla="*/ 2147483647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 name="Group 105"/>
                                <wpg:cNvGrpSpPr>
                                  <a:grpSpLocks/>
                                </wpg:cNvGrpSpPr>
                                <wpg:grpSpPr bwMode="auto">
                                  <a:xfrm>
                                    <a:off x="9186" y="3326"/>
                                    <a:ext cx="8853" cy="1049"/>
                                    <a:chOff x="6800" y="3263"/>
                                    <a:chExt cx="8851" cy="1047"/>
                                  </a:xfrm>
                                </wpg:grpSpPr>
                                <wps:wsp>
                                  <wps:cNvPr id="10" name="Freeform 72" descr="background"/>
                                  <wps:cNvSpPr>
                                    <a:spLocks/>
                                  </wps:cNvSpPr>
                                  <wps:spPr bwMode="auto">
                                    <a:xfrm>
                                      <a:off x="6800" y="3556"/>
                                      <a:ext cx="1042" cy="717"/>
                                    </a:xfrm>
                                    <a:custGeom>
                                      <a:avLst/>
                                      <a:gdLst>
                                        <a:gd name="T0" fmla="*/ 110421359 w 32"/>
                                        <a:gd name="T1" fmla="*/ 0 h 22"/>
                                        <a:gd name="T2" fmla="*/ 89717600 w 32"/>
                                        <a:gd name="T3" fmla="*/ 76215829 h 22"/>
                                        <a:gd name="T4" fmla="*/ 69013874 w 32"/>
                                        <a:gd name="T5" fmla="*/ 76215829 h 22"/>
                                        <a:gd name="T6" fmla="*/ 58660953 w 32"/>
                                        <a:gd name="T7" fmla="*/ 31178875 h 22"/>
                                        <a:gd name="T8" fmla="*/ 55210663 w 32"/>
                                        <a:gd name="T9" fmla="*/ 24250341 h 22"/>
                                        <a:gd name="T10" fmla="*/ 55210663 w 32"/>
                                        <a:gd name="T11" fmla="*/ 24250341 h 22"/>
                                        <a:gd name="T12" fmla="*/ 51760406 w 32"/>
                                        <a:gd name="T13" fmla="*/ 31178875 h 22"/>
                                        <a:gd name="T14" fmla="*/ 41408526 w 32"/>
                                        <a:gd name="T15" fmla="*/ 76215829 h 22"/>
                                        <a:gd name="T16" fmla="*/ 20703726 w 32"/>
                                        <a:gd name="T17" fmla="*/ 76215829 h 22"/>
                                        <a:gd name="T18" fmla="*/ 0 w 32"/>
                                        <a:gd name="T19" fmla="*/ 0 h 22"/>
                                        <a:gd name="T20" fmla="*/ 17253469 w 32"/>
                                        <a:gd name="T21" fmla="*/ 0 h 22"/>
                                        <a:gd name="T22" fmla="*/ 27605348 w 32"/>
                                        <a:gd name="T23" fmla="*/ 45036954 h 22"/>
                                        <a:gd name="T24" fmla="*/ 31055605 w 32"/>
                                        <a:gd name="T25" fmla="*/ 58893989 h 22"/>
                                        <a:gd name="T26" fmla="*/ 31055605 w 32"/>
                                        <a:gd name="T27" fmla="*/ 58893989 h 22"/>
                                        <a:gd name="T28" fmla="*/ 34506937 w 32"/>
                                        <a:gd name="T29" fmla="*/ 45036954 h 22"/>
                                        <a:gd name="T30" fmla="*/ 44858816 w 32"/>
                                        <a:gd name="T31" fmla="*/ 0 h 22"/>
                                        <a:gd name="T32" fmla="*/ 65562542 w 32"/>
                                        <a:gd name="T33" fmla="*/ 0 h 22"/>
                                        <a:gd name="T34" fmla="*/ 79365754 w 32"/>
                                        <a:gd name="T35" fmla="*/ 48500683 h 22"/>
                                        <a:gd name="T36" fmla="*/ 79365754 w 32"/>
                                        <a:gd name="T37" fmla="*/ 58893989 h 22"/>
                                        <a:gd name="T38" fmla="*/ 79365754 w 32"/>
                                        <a:gd name="T39" fmla="*/ 58893989 h 22"/>
                                        <a:gd name="T40" fmla="*/ 82816011 w 32"/>
                                        <a:gd name="T41" fmla="*/ 45036954 h 22"/>
                                        <a:gd name="T42" fmla="*/ 93167890 w 32"/>
                                        <a:gd name="T43" fmla="*/ 0 h 22"/>
                                        <a:gd name="T44" fmla="*/ 110421359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73" descr="background"/>
                                  <wps:cNvSpPr>
                                    <a:spLocks/>
                                  </wps:cNvSpPr>
                                  <wps:spPr bwMode="auto">
                                    <a:xfrm>
                                      <a:off x="7969" y="3556"/>
                                      <a:ext cx="1073" cy="717"/>
                                    </a:xfrm>
                                    <a:custGeom>
                                      <a:avLst/>
                                      <a:gdLst>
                                        <a:gd name="T0" fmla="*/ 113457167 w 33"/>
                                        <a:gd name="T1" fmla="*/ 0 h 22"/>
                                        <a:gd name="T2" fmla="*/ 89390297 w 33"/>
                                        <a:gd name="T3" fmla="*/ 76215829 h 22"/>
                                        <a:gd name="T4" fmla="*/ 6876151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1257533 w 33"/>
                                        <a:gd name="T15" fmla="*/ 76215829 h 22"/>
                                        <a:gd name="T16" fmla="*/ 20628783 w 33"/>
                                        <a:gd name="T17" fmla="*/ 76215829 h 22"/>
                                        <a:gd name="T18" fmla="*/ 0 w 33"/>
                                        <a:gd name="T19" fmla="*/ 0 h 22"/>
                                        <a:gd name="T20" fmla="*/ 17190631 w 33"/>
                                        <a:gd name="T21" fmla="*/ 0 h 22"/>
                                        <a:gd name="T22" fmla="*/ 30943141 w 33"/>
                                        <a:gd name="T23" fmla="*/ 45036954 h 22"/>
                                        <a:gd name="T24" fmla="*/ 30943141 w 33"/>
                                        <a:gd name="T25" fmla="*/ 58893989 h 22"/>
                                        <a:gd name="T26" fmla="*/ 30943141 w 33"/>
                                        <a:gd name="T27" fmla="*/ 58893989 h 22"/>
                                        <a:gd name="T28" fmla="*/ 34381294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74" descr="background"/>
                                  <wps:cNvSpPr>
                                    <a:spLocks/>
                                  </wps:cNvSpPr>
                                  <wps:spPr bwMode="auto">
                                    <a:xfrm>
                                      <a:off x="9144" y="3556"/>
                                      <a:ext cx="1073" cy="717"/>
                                    </a:xfrm>
                                    <a:custGeom>
                                      <a:avLst/>
                                      <a:gdLst>
                                        <a:gd name="T0" fmla="*/ 113457167 w 33"/>
                                        <a:gd name="T1" fmla="*/ 0 h 22"/>
                                        <a:gd name="T2" fmla="*/ 92828416 w 33"/>
                                        <a:gd name="T3" fmla="*/ 76215829 h 22"/>
                                        <a:gd name="T4" fmla="*/ 7219963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4695685 w 33"/>
                                        <a:gd name="T15" fmla="*/ 76215829 h 22"/>
                                        <a:gd name="T16" fmla="*/ 20628783 w 33"/>
                                        <a:gd name="T17" fmla="*/ 76215829 h 22"/>
                                        <a:gd name="T18" fmla="*/ 0 w 33"/>
                                        <a:gd name="T19" fmla="*/ 0 h 22"/>
                                        <a:gd name="T20" fmla="*/ 20628783 w 33"/>
                                        <a:gd name="T21" fmla="*/ 0 h 22"/>
                                        <a:gd name="T22" fmla="*/ 30943141 w 33"/>
                                        <a:gd name="T23" fmla="*/ 45036954 h 22"/>
                                        <a:gd name="T24" fmla="*/ 34381294 w 33"/>
                                        <a:gd name="T25" fmla="*/ 58893989 h 22"/>
                                        <a:gd name="T26" fmla="*/ 34381294 w 33"/>
                                        <a:gd name="T27" fmla="*/ 58893989 h 22"/>
                                        <a:gd name="T28" fmla="*/ 37819413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Oval 75" descr="background"/>
                                  <wps:cNvSpPr>
                                    <a:spLocks noChangeArrowheads="1"/>
                                  </wps:cNvSpPr>
                                  <wps:spPr bwMode="auto">
                                    <a:xfrm>
                                      <a:off x="10312" y="4044"/>
                                      <a:ext cx="229" cy="229"/>
                                    </a:xfrm>
                                    <a:prstGeom prst="ellipse">
                                      <a:avLst/>
                                    </a:pr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76" descr="background"/>
                                  <wps:cNvSpPr>
                                    <a:spLocks/>
                                  </wps:cNvSpPr>
                                  <wps:spPr bwMode="auto">
                                    <a:xfrm>
                                      <a:off x="10674" y="3556"/>
                                      <a:ext cx="552" cy="717"/>
                                    </a:xfrm>
                                    <a:custGeom>
                                      <a:avLst/>
                                      <a:gdLst>
                                        <a:gd name="T0" fmla="*/ 58246975 w 17"/>
                                        <a:gd name="T1" fmla="*/ 72751024 h 22"/>
                                        <a:gd name="T2" fmla="*/ 34262867 w 17"/>
                                        <a:gd name="T3" fmla="*/ 76215829 h 22"/>
                                        <a:gd name="T4" fmla="*/ 0 w 17"/>
                                        <a:gd name="T5" fmla="*/ 41572181 h 22"/>
                                        <a:gd name="T6" fmla="*/ 37689456 w 17"/>
                                        <a:gd name="T7" fmla="*/ 0 h 22"/>
                                        <a:gd name="T8" fmla="*/ 54820354 w 17"/>
                                        <a:gd name="T9" fmla="*/ 3464805 h 22"/>
                                        <a:gd name="T10" fmla="*/ 51394804 w 17"/>
                                        <a:gd name="T11" fmla="*/ 17321840 h 22"/>
                                        <a:gd name="T12" fmla="*/ 37689456 w 17"/>
                                        <a:gd name="T13" fmla="*/ 13857035 h 22"/>
                                        <a:gd name="T14" fmla="*/ 20557519 w 17"/>
                                        <a:gd name="T15" fmla="*/ 38108452 h 22"/>
                                        <a:gd name="T16" fmla="*/ 37689456 w 17"/>
                                        <a:gd name="T17" fmla="*/ 62358794 h 22"/>
                                        <a:gd name="T18" fmla="*/ 54820354 w 17"/>
                                        <a:gd name="T19" fmla="*/ 58893989 h 22"/>
                                        <a:gd name="T20" fmla="*/ 58246975 w 17"/>
                                        <a:gd name="T21" fmla="*/ 72751024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77" descr="background"/>
                                  <wps:cNvSpPr>
                                    <a:spLocks/>
                                  </wps:cNvSpPr>
                                  <wps:spPr bwMode="auto">
                                    <a:xfrm>
                                      <a:off x="11322" y="3556"/>
                                      <a:ext cx="520" cy="755"/>
                                    </a:xfrm>
                                    <a:custGeom>
                                      <a:avLst/>
                                      <a:gdLst>
                                        <a:gd name="T0" fmla="*/ 24062448 w 16"/>
                                        <a:gd name="T1" fmla="*/ 81425207 h 23"/>
                                        <a:gd name="T2" fmla="*/ 0 w 16"/>
                                        <a:gd name="T3" fmla="*/ 77885472 h 23"/>
                                        <a:gd name="T4" fmla="*/ 3437038 w 16"/>
                                        <a:gd name="T5" fmla="*/ 60183446 h 23"/>
                                        <a:gd name="T6" fmla="*/ 24062448 w 16"/>
                                        <a:gd name="T7" fmla="*/ 63724265 h 23"/>
                                        <a:gd name="T8" fmla="*/ 34374600 w 16"/>
                                        <a:gd name="T9" fmla="*/ 56643678 h 23"/>
                                        <a:gd name="T10" fmla="*/ 20624338 w 16"/>
                                        <a:gd name="T11" fmla="*/ 46023323 h 23"/>
                                        <a:gd name="T12" fmla="*/ 3437038 w 16"/>
                                        <a:gd name="T13" fmla="*/ 24781529 h 23"/>
                                        <a:gd name="T14" fmla="*/ 30936523 w 16"/>
                                        <a:gd name="T15" fmla="*/ 0 h 23"/>
                                        <a:gd name="T16" fmla="*/ 48123823 w 16"/>
                                        <a:gd name="T17" fmla="*/ 3539768 h 23"/>
                                        <a:gd name="T18" fmla="*/ 48123823 w 16"/>
                                        <a:gd name="T19" fmla="*/ 17700942 h 23"/>
                                        <a:gd name="T20" fmla="*/ 30936523 w 16"/>
                                        <a:gd name="T21" fmla="*/ 14161174 h 23"/>
                                        <a:gd name="T22" fmla="*/ 20624338 w 16"/>
                                        <a:gd name="T23" fmla="*/ 21241794 h 23"/>
                                        <a:gd name="T24" fmla="*/ 34374600 w 16"/>
                                        <a:gd name="T25" fmla="*/ 31862149 h 23"/>
                                        <a:gd name="T26" fmla="*/ 54998938 w 16"/>
                                        <a:gd name="T27" fmla="*/ 53103910 h 23"/>
                                        <a:gd name="T28" fmla="*/ 24062448 w 16"/>
                                        <a:gd name="T29" fmla="*/ 81425207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78" descr="background"/>
                                  <wps:cNvSpPr>
                                    <a:spLocks noEditPoints="1"/>
                                  </wps:cNvSpPr>
                                  <wps:spPr bwMode="auto">
                                    <a:xfrm>
                                      <a:off x="11938" y="3263"/>
                                      <a:ext cx="298" cy="1010"/>
                                    </a:xfrm>
                                    <a:custGeom>
                                      <a:avLst/>
                                      <a:gdLst>
                                        <a:gd name="T0" fmla="*/ 10906436 w 9"/>
                                        <a:gd name="T1" fmla="*/ 107174195 h 31"/>
                                        <a:gd name="T2" fmla="*/ 10906436 w 9"/>
                                        <a:gd name="T3" fmla="*/ 44943860 h 31"/>
                                        <a:gd name="T4" fmla="*/ 0 w 9"/>
                                        <a:gd name="T5" fmla="*/ 44943860 h 31"/>
                                        <a:gd name="T6" fmla="*/ 0 w 9"/>
                                        <a:gd name="T7" fmla="*/ 31114646 h 31"/>
                                        <a:gd name="T8" fmla="*/ 29084966 w 9"/>
                                        <a:gd name="T9" fmla="*/ 31114646 h 31"/>
                                        <a:gd name="T10" fmla="*/ 29084966 w 9"/>
                                        <a:gd name="T11" fmla="*/ 107174195 h 31"/>
                                        <a:gd name="T12" fmla="*/ 10906436 w 9"/>
                                        <a:gd name="T13" fmla="*/ 107174195 h 31"/>
                                        <a:gd name="T14" fmla="*/ 21813997 w 9"/>
                                        <a:gd name="T15" fmla="*/ 20743804 h 31"/>
                                        <a:gd name="T16" fmla="*/ 7270968 w 9"/>
                                        <a:gd name="T17" fmla="*/ 10371885 h 31"/>
                                        <a:gd name="T18" fmla="*/ 21813997 w 9"/>
                                        <a:gd name="T19" fmla="*/ 0 h 31"/>
                                        <a:gd name="T20" fmla="*/ 32720433 w 9"/>
                                        <a:gd name="T21" fmla="*/ 10371885 h 31"/>
                                        <a:gd name="T22" fmla="*/ 21813997 w 9"/>
                                        <a:gd name="T23" fmla="*/ 20743804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79" descr="background"/>
                                  <wps:cNvSpPr>
                                    <a:spLocks/>
                                  </wps:cNvSpPr>
                                  <wps:spPr bwMode="auto">
                                    <a:xfrm>
                                      <a:off x="12426" y="3556"/>
                                      <a:ext cx="426" cy="717"/>
                                    </a:xfrm>
                                    <a:custGeom>
                                      <a:avLst/>
                                      <a:gdLst>
                                        <a:gd name="T0" fmla="*/ 42171149 w 13"/>
                                        <a:gd name="T1" fmla="*/ 17321840 h 22"/>
                                        <a:gd name="T2" fmla="*/ 35143001 w 13"/>
                                        <a:gd name="T3" fmla="*/ 17321840 h 22"/>
                                        <a:gd name="T4" fmla="*/ 17570960 w 13"/>
                                        <a:gd name="T5" fmla="*/ 31178875 h 22"/>
                                        <a:gd name="T6" fmla="*/ 17570960 w 13"/>
                                        <a:gd name="T7" fmla="*/ 76215829 h 22"/>
                                        <a:gd name="T8" fmla="*/ 0 w 13"/>
                                        <a:gd name="T9" fmla="*/ 76215829 h 22"/>
                                        <a:gd name="T10" fmla="*/ 0 w 13"/>
                                        <a:gd name="T11" fmla="*/ 0 h 22"/>
                                        <a:gd name="T12" fmla="*/ 14057410 w 13"/>
                                        <a:gd name="T13" fmla="*/ 0 h 22"/>
                                        <a:gd name="T14" fmla="*/ 17570960 w 13"/>
                                        <a:gd name="T15" fmla="*/ 13857035 h 22"/>
                                        <a:gd name="T16" fmla="*/ 35143001 w 13"/>
                                        <a:gd name="T17" fmla="*/ 0 h 22"/>
                                        <a:gd name="T18" fmla="*/ 45685780 w 13"/>
                                        <a:gd name="T19" fmla="*/ 0 h 22"/>
                                        <a:gd name="T20" fmla="*/ 42171149 w 13"/>
                                        <a:gd name="T21" fmla="*/ 17321840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80" descr="background"/>
                                  <wps:cNvSpPr>
                                    <a:spLocks noEditPoints="1"/>
                                  </wps:cNvSpPr>
                                  <wps:spPr bwMode="auto">
                                    <a:xfrm>
                                      <a:off x="12947" y="3556"/>
                                      <a:ext cx="718" cy="755"/>
                                    </a:xfrm>
                                    <a:custGeom>
                                      <a:avLst/>
                                      <a:gdLst>
                                        <a:gd name="T0" fmla="*/ 38214799 w 22"/>
                                        <a:gd name="T1" fmla="*/ 81425207 h 23"/>
                                        <a:gd name="T2" fmla="*/ 0 w 22"/>
                                        <a:gd name="T3" fmla="*/ 42482471 h 23"/>
                                        <a:gd name="T4" fmla="*/ 38214799 w 22"/>
                                        <a:gd name="T5" fmla="*/ 0 h 23"/>
                                        <a:gd name="T6" fmla="*/ 76428554 w 22"/>
                                        <a:gd name="T7" fmla="*/ 38942736 h 23"/>
                                        <a:gd name="T8" fmla="*/ 38214799 w 22"/>
                                        <a:gd name="T9" fmla="*/ 81425207 h 23"/>
                                        <a:gd name="T10" fmla="*/ 38214799 w 22"/>
                                        <a:gd name="T11" fmla="*/ 14161174 h 23"/>
                                        <a:gd name="T12" fmla="*/ 17370182 w 22"/>
                                        <a:gd name="T13" fmla="*/ 38942736 h 23"/>
                                        <a:gd name="T14" fmla="*/ 38214799 w 22"/>
                                        <a:gd name="T15" fmla="*/ 63724265 h 23"/>
                                        <a:gd name="T16" fmla="*/ 55583937 w 22"/>
                                        <a:gd name="T17" fmla="*/ 38942736 h 23"/>
                                        <a:gd name="T18" fmla="*/ 38214799 w 22"/>
                                        <a:gd name="T19" fmla="*/ 14161174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Oval 81" descr="background"/>
                                  <wps:cNvSpPr>
                                    <a:spLocks noChangeArrowheads="1"/>
                                  </wps:cNvSpPr>
                                  <wps:spPr bwMode="auto">
                                    <a:xfrm>
                                      <a:off x="13830" y="4044"/>
                                      <a:ext cx="190" cy="229"/>
                                    </a:xfrm>
                                    <a:prstGeom prst="ellipse">
                                      <a:avLst/>
                                    </a:pr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82" descr="background"/>
                                  <wps:cNvSpPr>
                                    <a:spLocks noEditPoints="1"/>
                                  </wps:cNvSpPr>
                                  <wps:spPr bwMode="auto">
                                    <a:xfrm>
                                      <a:off x="14217" y="3556"/>
                                      <a:ext cx="584" cy="755"/>
                                    </a:xfrm>
                                    <a:custGeom>
                                      <a:avLst/>
                                      <a:gdLst>
                                        <a:gd name="T0" fmla="*/ 47829957 w 18"/>
                                        <a:gd name="T1" fmla="*/ 77885472 h 23"/>
                                        <a:gd name="T2" fmla="*/ 47829957 w 18"/>
                                        <a:gd name="T3" fmla="*/ 70804852 h 23"/>
                                        <a:gd name="T4" fmla="*/ 23914962 w 18"/>
                                        <a:gd name="T5" fmla="*/ 81425207 h 23"/>
                                        <a:gd name="T6" fmla="*/ 0 w 18"/>
                                        <a:gd name="T7" fmla="*/ 56643678 h 23"/>
                                        <a:gd name="T8" fmla="*/ 34164552 w 18"/>
                                        <a:gd name="T9" fmla="*/ 31862149 h 23"/>
                                        <a:gd name="T10" fmla="*/ 44413070 w 18"/>
                                        <a:gd name="T11" fmla="*/ 31862149 h 23"/>
                                        <a:gd name="T12" fmla="*/ 44413070 w 18"/>
                                        <a:gd name="T13" fmla="*/ 28321297 h 23"/>
                                        <a:gd name="T14" fmla="*/ 27330811 w 18"/>
                                        <a:gd name="T15" fmla="*/ 14161174 h 23"/>
                                        <a:gd name="T16" fmla="*/ 6832703 w 18"/>
                                        <a:gd name="T17" fmla="*/ 17700942 h 23"/>
                                        <a:gd name="T18" fmla="*/ 3416887 w 18"/>
                                        <a:gd name="T19" fmla="*/ 3539768 h 23"/>
                                        <a:gd name="T20" fmla="*/ 30747665 w 18"/>
                                        <a:gd name="T21" fmla="*/ 0 h 23"/>
                                        <a:gd name="T22" fmla="*/ 61495330 w 18"/>
                                        <a:gd name="T23" fmla="*/ 24781529 h 23"/>
                                        <a:gd name="T24" fmla="*/ 61495330 w 18"/>
                                        <a:gd name="T25" fmla="*/ 77885472 h 23"/>
                                        <a:gd name="T26" fmla="*/ 47829957 w 18"/>
                                        <a:gd name="T27" fmla="*/ 77885472 h 23"/>
                                        <a:gd name="T28" fmla="*/ 44413070 w 18"/>
                                        <a:gd name="T29" fmla="*/ 42482471 h 23"/>
                                        <a:gd name="T30" fmla="*/ 34164552 w 18"/>
                                        <a:gd name="T31" fmla="*/ 42482471 h 23"/>
                                        <a:gd name="T32" fmla="*/ 17082260 w 18"/>
                                        <a:gd name="T33" fmla="*/ 56643678 h 23"/>
                                        <a:gd name="T34" fmla="*/ 27330811 w 18"/>
                                        <a:gd name="T35" fmla="*/ 67264033 h 23"/>
                                        <a:gd name="T36" fmla="*/ 44413070 w 18"/>
                                        <a:gd name="T37" fmla="*/ 60183446 h 23"/>
                                        <a:gd name="T38" fmla="*/ 44413070 w 18"/>
                                        <a:gd name="T39" fmla="*/ 42482471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83" descr="background"/>
                                  <wps:cNvSpPr>
                                    <a:spLocks/>
                                  </wps:cNvSpPr>
                                  <wps:spPr bwMode="auto">
                                    <a:xfrm>
                                      <a:off x="15030" y="3556"/>
                                      <a:ext cx="622" cy="755"/>
                                    </a:xfrm>
                                    <a:custGeom>
                                      <a:avLst/>
                                      <a:gdLst>
                                        <a:gd name="T0" fmla="*/ 52651580 w 19"/>
                                        <a:gd name="T1" fmla="*/ 77885472 h 23"/>
                                        <a:gd name="T2" fmla="*/ 52651580 w 19"/>
                                        <a:gd name="T3" fmla="*/ 67264033 h 23"/>
                                        <a:gd name="T4" fmla="*/ 24570899 w 19"/>
                                        <a:gd name="T5" fmla="*/ 81425207 h 23"/>
                                        <a:gd name="T6" fmla="*/ 0 w 19"/>
                                        <a:gd name="T7" fmla="*/ 49563091 h 23"/>
                                        <a:gd name="T8" fmla="*/ 0 w 19"/>
                                        <a:gd name="T9" fmla="*/ 0 h 23"/>
                                        <a:gd name="T10" fmla="*/ 17550188 w 19"/>
                                        <a:gd name="T11" fmla="*/ 0 h 23"/>
                                        <a:gd name="T12" fmla="*/ 17550188 w 19"/>
                                        <a:gd name="T13" fmla="*/ 46023323 h 23"/>
                                        <a:gd name="T14" fmla="*/ 31590529 w 19"/>
                                        <a:gd name="T15" fmla="*/ 63724265 h 23"/>
                                        <a:gd name="T16" fmla="*/ 49141765 w 19"/>
                                        <a:gd name="T17" fmla="*/ 53103910 h 23"/>
                                        <a:gd name="T18" fmla="*/ 49141765 w 19"/>
                                        <a:gd name="T19" fmla="*/ 0 h 23"/>
                                        <a:gd name="T20" fmla="*/ 66691953 w 19"/>
                                        <a:gd name="T21" fmla="*/ 0 h 23"/>
                                        <a:gd name="T22" fmla="*/ 66691953 w 19"/>
                                        <a:gd name="T23" fmla="*/ 77885472 h 23"/>
                                        <a:gd name="T24" fmla="*/ 52651580 w 19"/>
                                        <a:gd name="T25" fmla="*/ 77885472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4" name="Freeform 84"/>
                                <wps:cNvSpPr>
                                  <a:spLocks/>
                                </wps:cNvSpPr>
                                <wps:spPr bwMode="auto">
                                  <a:xfrm>
                                    <a:off x="59091" y="912"/>
                                    <a:ext cx="22125" cy="8883"/>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04" descr="background"/>
                                <wps:cNvSpPr>
                                  <a:spLocks/>
                                </wps:cNvSpPr>
                                <wps:spPr bwMode="auto">
                                  <a:xfrm>
                                    <a:off x="59103" y="929"/>
                                    <a:ext cx="22106" cy="8861"/>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57AED" w14:textId="77777777" w:rsidR="008F5DB1" w:rsidRPr="007367A7" w:rsidRDefault="008F5DB1" w:rsidP="001B7EBE">
                                      <w:pPr>
                                        <w:rPr>
                                          <w:rFonts w:eastAsia="Times New Roman"/>
                                          <w:color w:val="41B6E6"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76" name="Picture 40" descr="CSIRO logo"/>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7" name="Group 69"/>
                            <wpg:cNvGrpSpPr>
                              <a:grpSpLocks/>
                            </wpg:cNvGrpSpPr>
                            <wpg:grpSpPr bwMode="auto">
                              <a:xfrm>
                                <a:off x="-827" y="10206"/>
                                <a:ext cx="14774" cy="6659"/>
                                <a:chOff x="0" y="0"/>
                                <a:chExt cx="93818" cy="42291"/>
                              </a:xfrm>
                            </wpg:grpSpPr>
                            <wps:wsp>
                              <wps:cNvPr id="78" name="Rectangle 68"/>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79" name="Group 67"/>
                              <wpg:cNvGrpSpPr>
                                <a:grpSpLocks/>
                              </wpg:cNvGrpSpPr>
                              <wpg:grpSpPr bwMode="auto">
                                <a:xfrm>
                                  <a:off x="0" y="0"/>
                                  <a:ext cx="93818" cy="26426"/>
                                  <a:chOff x="0" y="0"/>
                                  <a:chExt cx="93818" cy="26426"/>
                                </a:xfrm>
                              </wpg:grpSpPr>
                              <wps:wsp>
                                <wps:cNvPr id="80" name="Freeform 115" descr="background"/>
                                <wps:cNvSpPr>
                                  <a:spLocks/>
                                </wps:cNvSpPr>
                                <wps:spPr bwMode="auto">
                                  <a:xfrm>
                                    <a:off x="0" y="0"/>
                                    <a:ext cx="47104" cy="12071"/>
                                  </a:xfrm>
                                  <a:custGeom>
                                    <a:avLst/>
                                    <a:gdLst>
                                      <a:gd name="T0" fmla="*/ 2147483647 w 1458"/>
                                      <a:gd name="T1" fmla="*/ 2147483647 h 374"/>
                                      <a:gd name="T2" fmla="*/ 2147483647 w 1458"/>
                                      <a:gd name="T3" fmla="*/ 0 h 374"/>
                                      <a:gd name="T4" fmla="*/ 0 w 1458"/>
                                      <a:gd name="T5" fmla="*/ 0 h 374"/>
                                      <a:gd name="T6" fmla="*/ 0 w 1458"/>
                                      <a:gd name="T7" fmla="*/ 2147483647 h 374"/>
                                      <a:gd name="T8" fmla="*/ 2147483647 w 1458"/>
                                      <a:gd name="T9" fmla="*/ 2147483647 h 374"/>
                                      <a:gd name="T10" fmla="*/ 2147483647 w 1458"/>
                                      <a:gd name="T11" fmla="*/ 2147483647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16" descr="background"/>
                                <wps:cNvSpPr>
                                  <a:spLocks/>
                                </wps:cNvSpPr>
                                <wps:spPr bwMode="auto">
                                  <a:xfrm>
                                    <a:off x="0" y="14031"/>
                                    <a:ext cx="21545" cy="6197"/>
                                  </a:xfrm>
                                  <a:custGeom>
                                    <a:avLst/>
                                    <a:gdLst>
                                      <a:gd name="T0" fmla="*/ 2147483647 w 667"/>
                                      <a:gd name="T1" fmla="*/ 2147483647 h 192"/>
                                      <a:gd name="T2" fmla="*/ 2147483647 w 667"/>
                                      <a:gd name="T3" fmla="*/ 0 h 192"/>
                                      <a:gd name="T4" fmla="*/ 0 w 667"/>
                                      <a:gd name="T5" fmla="*/ 0 h 192"/>
                                      <a:gd name="T6" fmla="*/ 0 w 667"/>
                                      <a:gd name="T7" fmla="*/ 2147483647 h 192"/>
                                      <a:gd name="T8" fmla="*/ 2147483647 w 667"/>
                                      <a:gd name="T9" fmla="*/ 2147483647 h 192"/>
                                      <a:gd name="T10" fmla="*/ 2147483647 w 667"/>
                                      <a:gd name="T11" fmla="*/ 2147483647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17" descr="background"/>
                                <wps:cNvSpPr>
                                  <a:spLocks/>
                                </wps:cNvSpPr>
                                <wps:spPr bwMode="auto">
                                  <a:xfrm>
                                    <a:off x="21441" y="14031"/>
                                    <a:ext cx="72269" cy="12395"/>
                                  </a:xfrm>
                                  <a:custGeom>
                                    <a:avLst/>
                                    <a:gdLst>
                                      <a:gd name="T0" fmla="*/ 2147483647 w 2237"/>
                                      <a:gd name="T1" fmla="*/ 0 h 384"/>
                                      <a:gd name="T2" fmla="*/ 0 w 2237"/>
                                      <a:gd name="T3" fmla="*/ 2147483647 h 384"/>
                                      <a:gd name="T4" fmla="*/ 2147483647 w 2237"/>
                                      <a:gd name="T5" fmla="*/ 2147483647 h 384"/>
                                      <a:gd name="T6" fmla="*/ 2147483647 w 2237"/>
                                      <a:gd name="T7" fmla="*/ 2147483647 h 384"/>
                                      <a:gd name="T8" fmla="*/ 2147483647 w 2237"/>
                                      <a:gd name="T9" fmla="*/ 0 h 384"/>
                                      <a:gd name="T10" fmla="*/ 2147483647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18" descr="background"/>
                                <wps:cNvSpPr>
                                  <a:spLocks/>
                                </wps:cNvSpPr>
                                <wps:spPr bwMode="auto">
                                  <a:xfrm>
                                    <a:off x="46981" y="0"/>
                                    <a:ext cx="46837" cy="24180"/>
                                  </a:xfrm>
                                  <a:custGeom>
                                    <a:avLst/>
                                    <a:gdLst>
                                      <a:gd name="T0" fmla="*/ 2147483647 w 1450"/>
                                      <a:gd name="T1" fmla="*/ 0 h 749"/>
                                      <a:gd name="T2" fmla="*/ 0 w 1450"/>
                                      <a:gd name="T3" fmla="*/ 2147483647 h 749"/>
                                      <a:gd name="T4" fmla="*/ 2147483647 w 1450"/>
                                      <a:gd name="T5" fmla="*/ 2147483647 h 749"/>
                                      <a:gd name="T6" fmla="*/ 2147483647 w 1450"/>
                                      <a:gd name="T7" fmla="*/ 2147483647 h 749"/>
                                      <a:gd name="T8" fmla="*/ 2147483647 w 1450"/>
                                      <a:gd name="T9" fmla="*/ 0 h 749"/>
                                      <a:gd name="T10" fmla="*/ 2147483647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19" descr="background"/>
                                <wps:cNvSpPr>
                                  <a:spLocks/>
                                </wps:cNvSpPr>
                                <wps:spPr bwMode="auto">
                                  <a:xfrm>
                                    <a:off x="0" y="22702"/>
                                    <a:ext cx="71170" cy="1422"/>
                                  </a:xfrm>
                                  <a:custGeom>
                                    <a:avLst/>
                                    <a:gdLst>
                                      <a:gd name="T0" fmla="*/ 2147483647 w 2203"/>
                                      <a:gd name="T1" fmla="*/ 2147483647 h 44"/>
                                      <a:gd name="T2" fmla="*/ 2147483647 w 2203"/>
                                      <a:gd name="T3" fmla="*/ 0 h 44"/>
                                      <a:gd name="T4" fmla="*/ 0 w 2203"/>
                                      <a:gd name="T5" fmla="*/ 0 h 44"/>
                                      <a:gd name="T6" fmla="*/ 0 w 2203"/>
                                      <a:gd name="T7" fmla="*/ 2147483647 h 44"/>
                                      <a:gd name="T8" fmla="*/ 2147483647 w 2203"/>
                                      <a:gd name="T9" fmla="*/ 2147483647 h 44"/>
                                      <a:gd name="T10" fmla="*/ 2147483647 w 2203"/>
                                      <a:gd name="T11" fmla="*/ 2147483647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20" descr="background"/>
                                <wps:cNvSpPr>
                                  <a:spLocks/>
                                </wps:cNvSpPr>
                                <wps:spPr bwMode="auto">
                                  <a:xfrm>
                                    <a:off x="71102" y="22702"/>
                                    <a:ext cx="22644" cy="2838"/>
                                  </a:xfrm>
                                  <a:custGeom>
                                    <a:avLst/>
                                    <a:gdLst>
                                      <a:gd name="T0" fmla="*/ 2147483647 w 701"/>
                                      <a:gd name="T1" fmla="*/ 0 h 88"/>
                                      <a:gd name="T2" fmla="*/ 0 w 701"/>
                                      <a:gd name="T3" fmla="*/ 2147483647 h 88"/>
                                      <a:gd name="T4" fmla="*/ 2147483647 w 701"/>
                                      <a:gd name="T5" fmla="*/ 2147483647 h 88"/>
                                      <a:gd name="T6" fmla="*/ 2147483647 w 701"/>
                                      <a:gd name="T7" fmla="*/ 2147483647 h 88"/>
                                      <a:gd name="T8" fmla="*/ 2147483647 w 701"/>
                                      <a:gd name="T9" fmla="*/ 0 h 88"/>
                                      <a:gd name="T10" fmla="*/ 2147483647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22" descr="background"/>
                                <wps:cNvSpPr>
                                  <a:spLocks/>
                                </wps:cNvSpPr>
                                <wps:spPr bwMode="auto">
                                  <a:xfrm>
                                    <a:off x="0" y="18445"/>
                                    <a:ext cx="60090" cy="2807"/>
                                  </a:xfrm>
                                  <a:custGeom>
                                    <a:avLst/>
                                    <a:gdLst>
                                      <a:gd name="T0" fmla="*/ 2147483647 w 1860"/>
                                      <a:gd name="T1" fmla="*/ 2147483647 h 87"/>
                                      <a:gd name="T2" fmla="*/ 2147483647 w 1860"/>
                                      <a:gd name="T3" fmla="*/ 2147483647 h 87"/>
                                      <a:gd name="T4" fmla="*/ 2147483647 w 1860"/>
                                      <a:gd name="T5" fmla="*/ 0 h 87"/>
                                      <a:gd name="T6" fmla="*/ 0 w 1860"/>
                                      <a:gd name="T7" fmla="*/ 0 h 87"/>
                                      <a:gd name="T8" fmla="*/ 0 w 1860"/>
                                      <a:gd name="T9" fmla="*/ 2147483647 h 87"/>
                                      <a:gd name="T10" fmla="*/ 2147483647 w 1860"/>
                                      <a:gd name="T11" fmla="*/ 2147483647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7AF49D9" id="Group 3" o:spid="_x0000_s1026" alt="background" style="position:absolute;margin-left:-98.05pt;margin-top:-9.4pt;width:738.7pt;height:797.35pt;z-index:-251656192" coordorigin="-827,918" coordsize="14774,15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">
                    <v:group id="Group 99" o:spid="_x0000_s1027" style="position:absolute;left:-262;top:918;width:12749;height:1610"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81" o:spid="_x0000_s1028"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70" o:spid="_x0000_s1029"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GFvsUA&#10;AADaAAAADwAAAGRycy9kb3ducmV2LnhtbESP0WrCQBRE3wv9h+UW+iK6saZGU1eRgpIXrdp+wDV7&#10;TUKzd0N2q7Ff7xaEPg4zc4aZLTpTizO1rrKsYDiIQBDnVldcKPj6XPUnIJxH1lhbJgVXcrCYPz7M&#10;MNX2wns6H3whAoRdigpK75tUSpeXZNANbEMcvJNtDfog20LqFi8Bbmr5EkVjabDisFBiQ+8l5d+H&#10;H6NgE6+PWW+a/JrX7SjfxT7efFCm1PNTt3wD4anz/+F7O9MKEvi7Em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YW+xQAAANoAAAAPAAAAAAAAAAAAAAAAAJgCAABkcnMv&#10;ZG93bnJldi54bWxQSwUGAAAAAAQABAD1AAAAigMAAAAA&#10;" path="m2488,21v-204,,-204,,-204,c1994,21,1887,107,1808,137v97,81,229,176,470,176c2336,313,2488,313,2488,313v,-292,,-292,,-292m1354,c,,,,,,,157,,157,,157v1524,,1524,,1524,c1709,157,1769,152,1808,137v,,,,,c1808,137,1808,137,1808,137,1710,57,1548,,1354,e" fillcolor="#365f91"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30"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0Fy78A&#10;AADaAAAADwAAAGRycy9kb3ducmV2LnhtbERP3WrCMBS+H/gO4Qi7GZpuF2VWo4ggir3S7QGOzTGt&#10;Niclydr69svFYJcf3/9qM9pW9ORD41jB+zwDQVw53bBR8P21n32CCBFZY+uYFDwpwGY9eVlhod3A&#10;Z+ov0YgUwqFABXWMXSFlqGqyGOauI07czXmLMUFvpPY4pHDbyo8sy6XFhlNDjR3taqoelx+r4GTO&#10;26tfdOX1VuJo5AEf97dcqdfpuF2CiDTGf/Gf+6gVpK3pSroBcv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TQXLvwAAANoAAAAPAAAAAAAAAAAAAAAAAJgCAABkcnMvZG93bnJl&#10;di54bWxQSwUGAAAAAAQABAD1AAAAhAMAAAAA&#10;" path="m1808,116c1698,54,1548,,1354,,,,,,,,,136,,136,,136v1524,,1524,,1524,c1709,136,1769,131,1808,116e" fillcolor="black [3215]" stroked="f">
                          <v:path arrowok="t" o:connecttype="custom" o:connectlocs="2147483646,2147483646;2147483646,0;0,0;0,2147483646;2147483646,2147483646;2147483646,2147483646" o:connectangles="0,0,0,0,0,0"/>
                        </v:shape>
                        <v:group id="Group 105" o:spid="_x0000_s1031"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Freeform 72" o:spid="_x0000_s1032"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EeJMMA&#10;AADbAAAADwAAAGRycy9kb3ducmV2LnhtbESPQWvCQBCF74L/YRmhN7NpCkWjqxTB0h5aahLvQ3ZM&#10;gtnZkN1q+u87h0JvM7w3732z3U+uVzcaQ+fZwGOSgiKuve24MVCVx+UKVIjIFnvPZOCHAux389kW&#10;c+vvfKJbERslIRxyNNDGOORah7olhyHxA7FoFz86jLKOjbYj3iXc9TpL02ftsGNpaHGgQ0v1tfh2&#10;BvjrA5vy1T8N7+u0yrKV5fOnNeZhMb1sQEWa4r/57/rNCr7Qyy8ygN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EeJMMAAADbAAAADwAAAAAAAAAAAAAAAACYAgAAZHJzL2Rv&#10;d25yZXYueG1sUEsFBgAAAAAEAAQA9QAAAIgDAAAAAA==&#10;" path="m32,c31,8,29,15,26,22v-6,,-6,,-6,c17,9,17,9,17,9,16,7,16,7,16,7v,,,,,c15,9,15,9,15,9,12,22,12,22,12,22v-6,,-6,,-6,c3,15,1,8,,,5,,5,,5,,6,5,7,9,8,13v1,1,1,3,1,4c9,17,9,17,9,17v1,-4,1,-4,1,-4c13,,13,,13,v6,,6,,6,c23,14,23,14,23,14v,3,,3,,3c23,17,23,17,23,17v1,-1,1,-3,1,-4c25,9,26,5,27,r5,xe" fillcolor="#4f81bd" stroked="f">
                            <v:path arrowok="t" o:connecttype="custom" o:connectlocs="2147483646,0;2147483646,2147483646;2147483646,2147483646;1910147282,1016147881;1797797214,790340659;1797797214,790340659;1685448220,1016147881;1348365128,2147483646;674165078,2147483646;0,0;561816084,0;898899144,1467795274;1011248138,1919408642;1011248138,1919408642;1123632136,1467795274;1460715196,0;2134880274,0;2147483646,1580681351;2147483646,1919408642;2147483646,1919408642;2147483646,1467795274;2147483646,0;2147483646,0" o:connectangles="0,0,0,0,0,0,0,0,0,0,0,0,0,0,0,0,0,0,0,0,0,0,0"/>
                          </v:shape>
                          <v:shape id="Freeform 73" o:spid="_x0000_s1033"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4jMcMA&#10;AADbAAAADwAAAGRycy9kb3ducmV2LnhtbERP22rCQBB9F/oPyxT6InWTVqxEN6EIQumDoO0HDNkx&#10;WZudDdnNxX59tyD4NodznW0x2UYM1HnjWEG6SEAQl04brhR8f+2f1yB8QNbYOCYFV/JQ5A+zLWba&#10;jXyk4RQqEUPYZ6igDqHNpPRlTRb9wrXEkTu7zmKIsKuk7nCM4baRL0mykhYNx4YaW9rVVP6ceqvA&#10;mMvnfHXo5e+Qjm/za9W/LpteqafH6X0DItAU7uKb+0PH+Sn8/xIP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4jMcMAAADbAAAADwAAAAAAAAAAAAAAAACYAgAAZHJzL2Rv&#10;d25yZXYueG1sUEsFBgAAAAAEAAQA9QAAAIgDAAAAAA==&#10;" path="m33,c31,8,29,15,26,22v-6,,-6,,-6,c17,9,17,9,17,9,16,7,16,7,16,7v,,,,,c16,9,16,9,16,9,12,22,12,22,12,22v-6,,-6,,-6,c4,15,1,8,,,5,,5,,5,,6,5,7,9,9,13v,1,,3,,4c9,17,9,17,9,17v1,-4,1,-4,1,-4c14,,14,,14,v5,,5,,5,c23,14,23,14,23,14v1,3,1,3,1,3c24,17,24,17,24,17v,-1,,-3,1,-4c26,9,27,5,28,r5,xe" fillcolor="#4f81bd" stroked="f">
                            <v:path arrowok="t" o:connecttype="custom" o:connectlocs="2147483646,0;2147483646,2147483646;2147483646,2147483646;1900417060,1016147881;1788659916,790340659;1788659916,790340659;1788659916,1016147881;1341494937,2147483646;670748005,2147483646;0,0;558955972,0;1006120918,1467795274;1006120918,1919408642;1006120918,1919408642;1117912984,1467795274;1565077963,0;2124000086,0;2147483646,1580681351;2147483646,1919408642;2147483646,1919408642;2147483646,1467795274;2147483646,0;2147483646,0" o:connectangles="0,0,0,0,0,0,0,0,0,0,0,0,0,0,0,0,0,0,0,0,0,0,0"/>
                          </v:shape>
                          <v:shape id="Freeform 74" o:spid="_x0000_s1034"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y9RsIA&#10;AADbAAAADwAAAGRycy9kb3ducmV2LnhtbERP22rCQBB9F/oPyxR8kbrxgi1pNlIKgvRBUPsBQ3aa&#10;bJudDdnNRb++Kwi+zeFcJ9uOthY9td44VrCYJyCIC6cNlwq+z7uXNxA+IGusHZOCC3nY5k+TDFPt&#10;Bj5SfwqliCHsU1RQhdCkUvqiIot+7hriyP241mKIsC2lbnGI4baWyyTZSIuGY0OFDX1WVPydOqvA&#10;mN+v2ebQyWu/GF5nl7JbretOqenz+PEOItAYHuK7e6/j/CXcfokH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DL1GwgAAANsAAAAPAAAAAAAAAAAAAAAAAJgCAABkcnMvZG93&#10;bnJldi54bWxQSwUGAAAAAAQABAD1AAAAhwMAAAAA&#10;" path="m33,c31,8,29,15,27,22v-6,,-6,,-6,c17,9,17,9,17,9,16,7,16,7,16,7v,,,,,c16,9,16,9,16,9,13,22,13,22,13,22v-7,,-7,,-7,c4,15,2,8,,,6,,6,,6,,7,5,8,9,9,13v,1,,3,1,4c10,17,10,17,10,17v1,-4,1,-4,1,-4c14,,14,,14,v5,,5,,5,c23,14,23,14,23,14v1,3,1,3,1,3c24,17,24,17,24,17v,-1,1,-3,1,-4c26,9,27,5,28,r5,xe" fillcolor="#4f81bd" stroked="f">
                            <v:path arrowok="t" o:connecttype="custom" o:connectlocs="2147483646,0;2147483646,2147483646;2147483646,2147483646;1900417060,1016147881;1788659916,790340659;1788659916,790340659;1788659916,1016147881;1453286970,2147483646;670748005,2147483646;0,0;670748005,0;1006120918,1467795274;1117912984,1919408642;1117912984,1919408642;1229703944,1467795274;1565077963,0;2124000086,0;2147483646,1580681351;2147483646,1919408642;2147483646,1919408642;2147483646,1467795274;2147483646,0;2147483646,0" o:connectangles="0,0,0,0,0,0,0,0,0,0,0,0,0,0,0,0,0,0,0,0,0,0,0"/>
                          </v:shape>
                          <v:oval id="Oval 75" o:spid="_x0000_s1035"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H28EA&#10;AADbAAAADwAAAGRycy9kb3ducmV2LnhtbERPTWvCQBC9F/wPywheik60UCS6CSIWhB7aRtHrkB2T&#10;YHY2ZLca/323UOhtHu9z1vlgW3Xj3jdONMxnCSiW0plGKg3Hw9t0CcoHEkOtE9bwYA95NnpaU2rc&#10;Xb74VoRKxRDxKWmoQ+hSRF/WbMnPXMcSuYvrLYUI+wpNT/cYbltcJMkrWmokNtTU8bbm8lp8Ww3v&#10;u9PeFp8YHsc5Yvlx3sjuudJ6Mh42K1CBh/Av/nPvTZz/Ar+/xAMw+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2R9vBAAAA2wAAAA8AAAAAAAAAAAAAAAAAmAIAAGRycy9kb3du&#10;cmV2LnhtbFBLBQYAAAAABAAEAPUAAACGAwAAAAA=&#10;" fillcolor="#4f81bd" stroked="f"/>
                          <v:shape id="Freeform 76" o:spid="_x0000_s1036"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KXcMEA&#10;AADbAAAADwAAAGRycy9kb3ducmV2LnhtbERP32vCMBB+F/wfwgl7m6lOinRGcaPCEJzoxp7P5mxK&#10;m0tpMq3/vRkMfLuP7+ctVr1txIU6XzlWMBknIIgLpysuFXx/bZ7nIHxA1tg4JgU38rBaDgcLzLS7&#10;8oEux1CKGMI+QwUmhDaT0heGLPqxa4kjd3adxRBhV0rd4TWG20ZOkySVFiuODQZbejdU1Mdfq6Cu&#10;3+z2J0/z6jPP691pxibdvyj1NOrXryAC9eEh/nd/6Dh/Bn+/xAP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il3DBAAAA2wAAAA8AAAAAAAAAAAAAAAAAmAIAAGRycy9kb3du&#10;cmV2LnhtbFBLBQYAAAAABAAEAPUAAACGAwAAAAA=&#10;" path="m17,21v-3,1,-5,1,-7,1c3,22,,18,,12,,4,5,,11,v2,,4,,5,1c15,5,15,5,15,5,14,5,13,4,11,4,8,4,6,7,6,11v,5,2,7,5,7c13,18,14,18,16,17r1,4xe" fillcolor="#4f81bd" stroked="f">
                            <v:path arrowok="t" o:connecttype="custom" o:connectlocs="1891313541,2147483646;1112535446,2147483646;0,1354875172;1223798807,0;1780049142,112921145;1668819518,564534513;1223798807,451613368;667514735,1241989095;1223798807,2032329786;1780049142,1919408642;1891313541,2147483646" o:connectangles="0,0,0,0,0,0,0,0,0,0,0"/>
                          </v:shape>
                          <v:shape id="Freeform 77" o:spid="_x0000_s1037"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8KOcMA&#10;AADbAAAADwAAAGRycy9kb3ducmV2LnhtbERPTUsDMRC9C/6HMIKX0mYV1HbbtJRCQYUeuhba47AZ&#10;N8HNZE3idvvvTUHwNo/3OYvV4FrRU4jWs4KHSQGCuPbacqPg8LEdT0HEhKyx9UwKLhRhtby9WWCp&#10;/Zn31FepETmEY4kKTEpdKWWsDTmME98RZ+7TB4cpw9BIHfCcw10rH4viWTq0nBsMdrQxVH9VP07B&#10;zvrTcXphs3576u13V72M3kdBqfu7YT0HkWhI/+I/96vO82dw/SUf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8KOcMAAADbAAAADwAAAAAAAAAAAAAAAACYAgAAZHJzL2Rv&#10;d25yZXYueG1sUEsFBgAAAAAEAAQA9QAAAIgDAAAAAA==&#10;" path="m7,23c5,23,3,22,,22,1,17,1,17,1,17v2,1,4,1,6,1c9,18,10,18,10,16,10,15,9,14,6,13,3,12,1,10,1,7,1,3,4,,9,v2,,4,,5,1c14,5,14,5,14,5,12,4,11,4,9,4,7,4,6,5,6,6v,2,1,2,4,3c14,10,16,12,16,15v,5,-4,8,-9,8xe" fillcolor="#4f81bd" stroked="f">
                            <v:path arrowok="t" o:connecttype="custom" o:connectlocs="782029560,2147483646;0,2147483646;111703735,1975587032;782029560,2091818264;1117174500,1859390300;670290985,1510765603;111703735,813480626;1005436998,0;1564024248,116196732;1564024248,581052661;1005436998,464855929;670290985,697284977;1117174500,1045909674;1787465485,1743193567;782029560,2147483646" o:connectangles="0,0,0,0,0,0,0,0,0,0,0,0,0,0,0"/>
                          </v:shape>
                          <v:shape id="Freeform 78" o:spid="_x0000_s1038"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97l8IA&#10;AADbAAAADwAAAGRycy9kb3ducmV2LnhtbERPTWvCQBC9F/wPywheSt3oodTUTZBSQeipsbU9jtkx&#10;CWZnY3bU+O+7B6HHx/te5oNr1YX60Hg2MJsmoIhLbxuuDHxt108voIIgW2w9k4EbBciz0cMSU+uv&#10;/EmXQioVQzikaKAW6VKtQ1mTwzD1HXHkDr53KBH2lbY9XmO4a/U8SZ61w4ZjQ40dvdVUHouzM3Da&#10;8fdss1/8norHj/OtKyV5/xFjJuNh9QpKaJB/8d29sQbmcX38En+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b3uXwgAAANsAAAAPAAAAAAAAAAAAAAAAAJgCAABkcnMvZG93&#10;bnJldi54bWxQSwUGAAAAAAQABAD1AAAAhwMAAAAA&#10;" path="m3,31c3,13,3,13,3,13,,13,,13,,13,,9,,9,,9v8,,8,,8,c8,31,8,31,8,31r-5,xm6,6c4,6,2,5,2,3,2,1,4,,6,,8,,9,1,9,3,9,5,8,6,6,6xe" fillcolor="#4f81bd" stroked="f">
                            <v:path arrowok="t" o:connecttype="custom" o:connectlocs="361124214,2147483646;361124214,1464299955;0,1464299955;0,1013735241;963035541,1013735241;963035541,2147483646;361124214,2147483646;722285678,675846517;240749829,337922705;722285678,0;1083409893,337922705;722285678,675846517" o:connectangles="0,0,0,0,0,0,0,0,0,0,0,0"/>
                            <o:lock v:ext="edit" verticies="t"/>
                          </v:shape>
                          <v:shape id="Freeform 79" o:spid="_x0000_s1039"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F68QA&#10;AADbAAAADwAAAGRycy9kb3ducmV2LnhtbESPwWrDMBBE74X8g9hAL6WRk4Nx3SihmARyMsRtocfF&#10;2lim1sqxFNv9+6hQ6HGYmTfMdj/bTow0+NaxgvUqAUFcO91yo+Dj/ficgfABWWPnmBT8kIf9bvGw&#10;xVy7ic80VqEREcI+RwUmhD6X0teGLPqV64mjd3GDxRDl0Eg94BThtpObJEmlxZbjgsGeCkP1d3Wz&#10;Cry5fBXrzwKfKuePyfVaZoexVOpxOb+9ggg0h//wX/ukFaQv8Psl/gC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BevEAAAA2wAAAA8AAAAAAAAAAAAAAAAAmAIAAGRycy9k&#10;b3ducmV2LnhtbFBLBQYAAAAABAAEAPUAAACJAwAAAAA=&#10;" path="m12,5v,,-1,,-2,c9,5,7,6,5,9v,13,,13,,13c,22,,22,,22,,,,,,,4,,4,,4,,5,4,5,4,5,4,7,1,8,,10,v1,,2,,3,l12,5xe" fillcolor="#4f81bd" stroked="f">
                            <v:path arrowok="t" o:connecttype="custom" o:connectlocs="1381916113,564534513;1151609110,564534513;575786843,1016147881;575786843,2147483646;0,2147483646;0,0;460650512,0;575786843,451613368;1151609110,0;1497087868,0;1381916113,564534513" o:connectangles="0,0,0,0,0,0,0,0,0,0,0"/>
                          </v:shape>
                          <v:shape id="Freeform 80" o:spid="_x0000_s1040"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GnsEA&#10;AADbAAAADwAAAGRycy9kb3ducmV2LnhtbERPz2vCMBS+D/wfwht4m+kqulKNRYSJhx3UuZ0fzbMp&#10;Ni+1yWz335uD4PHj+70sBtuIG3W+dqzgfZKAIC6drrlScPr+fMtA+ICssXFMCv7JQ7EavSwx167n&#10;A92OoRIxhH2OCkwIbS6lLw1Z9BPXEkfu7DqLIcKukrrDPobbRqZJMpcWa44NBlvaGCovxz+rQP/U&#10;+muXHqbX037K/e8249klU2r8OqwXIAIN4Sl+uHdawUd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kRp7BAAAA2wAAAA8AAAAAAAAAAAAAAAAAmAIAAGRycy9kb3du&#10;cmV2LnhtbFBLBQYAAAAABAAEAPUAAACGAwAAAAA=&#10;" path="m11,23c3,23,,18,,12,,4,4,,11,v7,,11,4,11,11c22,18,18,23,11,23xm11,4c7,4,5,7,5,11v,4,2,7,6,7c15,18,16,15,16,11,16,7,15,4,11,4xe" fillcolor="#4f81bd" stroked="f">
                            <v:path arrowok="t" o:connecttype="custom" o:connectlocs="1247192076,2147483646;0,1394533287;1247192076,0;2147483646,1278337638;1247192076,2147483646;1247192076,464855929;566899576,1278337638;1247192076,2091818264;1814057580,1278337638;1247192076,464855929" o:connectangles="0,0,0,0,0,0,0,0,0,0"/>
                            <o:lock v:ext="edit" verticies="t"/>
                          </v:shape>
                          <v:oval id="Oval 81" o:spid="_x0000_s1041"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Zl8QA&#10;AADbAAAADwAAAGRycy9kb3ducmV2LnhtbESPQWvCQBSE74L/YXmFXqS+pIcqMRsRsSD00BrFXh/Z&#10;ZxKafRuyW43/vlso9DjMzDdMvh5tp648+NaJhnSegGKpnGml1nA6vj4tQflAYqhzwhru7GFdTCc5&#10;Zcbd5MDXMtQqQsRnpKEJoc8QfdWwJT93PUv0Lm6wFKIcajQD3SLcdvicJC9oqZW40FDP24arr/Lb&#10;anjbnfe2/MBwP6WI1fvnRnazWuvHh3GzAhV4DP/hv/beaFik8Psl/g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mZfEAAAA2wAAAA8AAAAAAAAAAAAAAAAAmAIAAGRycy9k&#10;b3ducmV2LnhtbFBLBQYAAAAABAAEAPUAAACJAwAAAAA=&#10;" fillcolor="#4f81bd" stroked="f"/>
                          <v:shape id="Freeform 82" o:spid="_x0000_s1042"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AnOcQA&#10;AADbAAAADwAAAGRycy9kb3ducmV2LnhtbESPT2vCQBTE74LfYXmCN91UpLapmyDSggUPatv7S/bl&#10;D82+jdlV0356VxA8DjPzG2aZ9qYRZ+pcbVnB0zQCQZxbXXOp4PvrY/ICwnlkjY1lUvBHDtJkOFhi&#10;rO2F93Q++FIECLsYFVTet7GULq/IoJvaljh4he0M+iC7UuoOLwFuGjmLomdpsOawUGFL64ry38PJ&#10;KNgU9pS9v/7P5efaHX+2RcZmlyk1HvWrNxCeev8I39sbrWAxg9uX8ANkc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wJznEAAAA2wAAAA8AAAAAAAAAAAAAAAAAmAIAAGRycy9k&#10;b3ducmV2LnhtbFBLBQYAAAAABAAEAPUAAACJAwAAAAA=&#10;" path="m14,22v,-2,,-2,,-2c12,22,10,23,7,23,2,23,,20,,16,,11,4,9,10,9v3,,3,,3,c13,8,13,8,13,8,13,5,12,4,8,4,6,4,4,4,2,5,1,1,1,1,1,1,3,,6,,9,v7,,9,3,9,7c18,22,18,22,18,22r-4,xm13,12v-3,,-3,,-3,c7,12,5,14,5,16v,1,1,3,3,3c10,19,12,18,13,17r,-5xe" fillcolor="#4f81bd" stroked="f">
                            <v:path arrowok="t" o:connecttype="custom" o:connectlocs="1551816383,2147483646;1551816383,2147483646;775907656,2147483646;0,1859390300;1108449909,1045909674;1440957382,1045909674;1440957382,929677358;886732979,464855929;221683253,581052661;110859000,116196732;997590909,0;1995181818,813480626;1995181818,2147483646;1551816383,2147483646;1440957382,1394533287;1108449909,1394533287;554224436,1859390300;886732979,2147483646;1440957382,1975587032;1440957382,1394533287" o:connectangles="0,0,0,0,0,0,0,0,0,0,0,0,0,0,0,0,0,0,0,0"/>
                            <o:lock v:ext="edit" verticies="t"/>
                          </v:shape>
                          <v:shape id="Freeform 83" o:spid="_x0000_s1043"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R8IA&#10;AADbAAAADwAAAGRycy9kb3ducmV2LnhtbESPQWsCMRSE74X+h/AK3mpSC1q2RpFCizep9tLbI3lu&#10;1t28LEm6rv/eFASPw8x8wyzXo+/EQDE1gTW8TBUIYhNsw7WGn8Pn8xuIlJEtdoFJw4USrFePD0us&#10;bDjzNw37XIsC4VShBpdzX0mZjCOPaRp64uIdQ/SYi4y1tBHPBe47OVNqLj02XBYc9vThyLT7P6/B&#10;mLhR7aHtk9sNv7Ot8o09fWk9eRo37yAyjfkevrW3VsPiFf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7lHwgAAANsAAAAPAAAAAAAAAAAAAAAAAJgCAABkcnMvZG93&#10;bnJldi54bWxQSwUGAAAAAAQABAD1AAAAhwMAAAAA&#10;" path="m15,22v,-3,,-3,,-3c12,22,10,23,7,23,2,23,,19,,14,,,,,,,5,,5,,5,v,13,,13,,13c5,16,6,18,9,18v2,,3,-1,5,-3c14,,14,,14,v5,,5,,5,c19,22,19,22,19,22r-4,xe" fillcolor="#4f81bd" stroked="f">
                            <v:path arrowok="t" o:connecttype="custom" o:connectlocs="1723646461,2147483646;1723646461,2147483646;804373641,2147483646;0,1626962335;0,0;574537733,0;574537733,1510765603;1034174160,2091818264;1608746202,1743193567;1608746202,0;2147483646,0;2147483646,2147483646;1723646461,2147483646" o:connectangles="0,0,0,0,0,0,0,0,0,0,0,0,0"/>
                          </v:shape>
                        </v:group>
                        <v:shape id="Freeform 84" o:spid="_x0000_s1044"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wMEA&#10;AADbAAAADwAAAGRycy9kb3ducmV2LnhtbESPzYvCMBTE7wv+D+EJ3tbUxS+qUUQQ6mEP68f90Tyb&#10;0ualJFmt/71ZEPY4zMxvmPW2t624kw+1YwWTcQaCuHS65krB5Xz4XIIIEVlj65gUPCnAdjP4WGOu&#10;3YN/6H6KlUgQDjkqMDF2uZShNGQxjF1HnLyb8xZjkr6S2uMjwW0rv7JsLi3WnBYMdrQ3VDanX6sg&#10;zlpX6Kv1TfF97AvTzHdMqNRo2O9WICL18T/8bhdawWIKf1/SD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JcDBAAAA2wAAAA8AAAAAAAAAAAAAAAAAmAIAAGRycy9kb3du&#10;cmV2LnhtbFBLBQYAAAAABAAEAPUAAACGAw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5"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I+sUA&#10;AADbAAAADwAAAGRycy9kb3ducmV2LnhtbESP3WoCMRSE7wXfIZyCdzVpwdZuN4oVXCpYimsf4LA5&#10;+0M3J8sm6urTm0LBy2FmvmHS5WBbcaLeN441PE0VCOLCmYYrDT+HzeMchA/IBlvHpOFCHpaL8SjF&#10;xLgz7+mUh0pECPsENdQhdImUvqjJop+6jjh6pesthij7SpoezxFuW/ms1Iu02HBcqLGjdU3Fb360&#10;GrZus1Vv14+vXbnOM7ULWXb4tlpPHobVO4hAQ7iH/9ufRsPrDP6+xB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zIj6xQAAANsAAAAPAAAAAAAAAAAAAAAAAJgCAABkcnMv&#10;ZG93bnJldi54bWxQSwUGAAAAAAQABAD1AAAAigMAAAAA&#10;" adj="-11796480,,5400" path="m476,c186,,79,86,,116v128,73,229,156,470,156c528,272,680,272,680,272,680,,680,,680,l476,xe" fillcolor="white [3212]" stroked="f">
                          <v:stroke joinstyle="miter"/>
                          <v:formulas/>
                          <v:path arrowok="t" o:connecttype="custom" o:connectlocs="2147483646,0;0,2147483646;2147483646,2147483646;2147483646,2147483646;2147483646,0;2147483646,0" o:connectangles="0,0,0,0,0,0" textboxrect="0,0,680,272"/>
                          <v:textbox>
                            <w:txbxContent>
                              <w:p w14:paraId="3E157AED" w14:textId="77777777" w:rsidR="008F5DB1" w:rsidRPr="007367A7" w:rsidRDefault="008F5DB1" w:rsidP="001B7EBE">
                                <w:pPr>
                                  <w:rPr>
                                    <w:rFonts w:eastAsia="Times New Roman"/>
                                    <w:color w:val="41B6E6"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6"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FkeHEAAAA2wAAAA8AAABkcnMvZG93bnJldi54bWxEj0FrAjEUhO8F/0N4Qm81Ww9ruxqlCEIp&#10;K6Xag96em+dmcfOyblKN/74pFDwOM/MNM1tE24oL9b5xrOB5lIEgrpxuuFbwvV09vYDwAVlj65gU&#10;3MjDYj54mGGh3ZW/6LIJtUgQ9gUqMCF0hZS+MmTRj1xHnLyj6y2GJPta6h6vCW5bOc6yXFpsOC0Y&#10;7GhpqDptfqyCQ3ludzv3mn+auI64/yiPEy6VehzGtymIQDHcw//td61gksPfl/QD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3FkeHEAAAA2wAAAA8AAAAAAAAAAAAAAAAA&#10;nwIAAGRycy9kb3ducmV2LnhtbFBLBQYAAAAABAAEAPcAAACQAwAAAAA=&#10;">
                        <v:imagedata r:id="rId8" o:title="CSIRO logo"/>
                        <v:path arrowok="t"/>
                      </v:shape>
                    </v:group>
                    <v:group id="Group 69" o:spid="_x0000_s1047" style="position:absolute;left:-827;top:10206;width:14774;height:6659"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rect id="Rectangle 68" o:spid="_x0000_s1048"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2YcEA&#10;AADbAAAADwAAAGRycy9kb3ducmV2LnhtbERPTW+CQBC9N/E/bMakt7LYBjGU1TRNa9RbafE8YadA&#10;ZGcpuyL+e/dg0uPL+843k+nESINrLStYRDEI4srqlmsFP9+fTysQziNr7CyTgis52KxnDzlm2l74&#10;i8bC1yKEsMtQQeN9n0npqoYMusj2xIH7tYNBH+BQSz3gJYSbTj7H8VIabDk0NNjTe0PVqTgbBeck&#10;3X9Mx7/tSxmX6aHskp3f9ko9zqe3VxCeJv8vvrt3WkEaxoYv4QfI9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MtmHBAAAA2wAAAA8AAAAAAAAAAAAAAAAAmAIAAGRycy9kb3du&#10;cmV2LnhtbFBLBQYAAAAABAAEAPUAAACGAwAAAAA=&#10;" fillcolor="white [3212]" stroked="f" strokeweight="2pt"/>
                      <v:group id="Group 67" o:spid="_x0000_s1049"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Freeform 115" o:spid="_x0000_s1050" alt="background"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U5sIA&#10;AADbAAAADwAAAGRycy9kb3ducmV2LnhtbERPz2vCMBS+D/wfwhO8DE3dYUg1lk4odDgGUxF2ezRv&#10;TVjzUppUu/9+OQx2/Ph+74rJdeJGQ7CeFaxXGQjixmvLrYLLuVpuQISIrLHzTAp+KECxnz3sMNf+&#10;zh90O8VWpBAOOSowMfa5lKEx5DCsfE+cuC8/OIwJDq3UA95TuOvkU5Y9S4eWU4PBng6Gmu/T6BTo&#10;d1eNb8fu8lqfry+G7GNpP0elFvOp3IKINMV/8Z+71go2aX36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VTmwgAAANsAAAAPAAAAAAAAAAAAAAAAAJgCAABkcnMvZG93&#10;bnJldi54bWxQSwUGAAAAAAQABAD1AAAAhwMAAAAA&#10;" path="m1458,321c1158,150,746,,214,,,,,,,,,374,,374,,374v680,,680,,680,c1186,374,1351,362,1458,321e" fillcolor="black [3213]" stroked="f">
                          <v:path arrowok="t" o:connecttype="custom" o:connectlocs="2147483646,2147483646;2147483646,0;0,0;0,2147483646;2147483646,2147483646;2147483646,2147483646" o:connectangles="0,0,0,0,0,0"/>
                        </v:shape>
                        <v:shape id="Freeform 116" o:spid="_x0000_s1051" alt="background"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4U/cQA&#10;AADbAAAADwAAAGRycy9kb3ducmV2LnhtbESPQWvCQBSE74X+h+UVvNWNEUIaXSUUlHqz2kK9PbLP&#10;JDT7NuxuTfTXu4VCj8PMfMMs16PpxIWcby0rmE0TEMSV1S3XCj6Om+cchA/IGjvLpOBKHtarx4cl&#10;FtoO/E6XQ6hFhLAvUEETQl9I6auGDPqp7Ymjd7bOYIjS1VI7HCLcdDJNkkwabDkuNNjTa0PV9+HH&#10;KJjb06cu29u23Dva2a+XPs1OO6UmT2O5ABFoDP/hv/abVpDP4PdL/AF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uFP3EAAAA2wAAAA8AAAAAAAAAAAAAAAAAmAIAAGRycy9k&#10;b3ducmV2LnhtbFBLBQYAAAAABAAEAPUAAACJAwAAAAA=&#10;" path="m667,165c513,77,302,,29,,,,,,,,,192,,192,,192v268,,268,,268,c528,192,612,186,667,165e" fillcolor="#41b6e6 [3204]" stroked="f">
                          <v:path arrowok="t" o:connecttype="custom" o:connectlocs="2147483646,2147483646;2147483646,0;0,0;0,2147483646;2147483646,2147483646;2147483646,2147483646" o:connectangles="0,0,0,0,0,0"/>
                        </v:shape>
                        <v:shape id="Freeform 117" o:spid="_x0000_s1052" alt="background"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H5r8A&#10;AADbAAAADwAAAGRycy9kb3ducmV2LnhtbESPwQrCMBBE74L/EFbwpqkiItUoKoiCJ6vgdWnWtths&#10;ShNt9euNIHgcZuYNs1i1phRPql1hWcFoGIEgTq0uOFNwOe8GMxDOI2ssLZOCFzlYLbudBcbaNnyi&#10;Z+IzESDsYlSQe1/FUro0J4NuaCvi4N1sbdAHWWdS19gEuCnlOIqm0mDBYSHHirY5pffkYRTsq9Ot&#10;2ayvNqHdcfSevq+TjPdK9Xvteg7CU+v/4V/7oBXMxvD9En6A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8ofmvwAAANsAAAAPAAAAAAAAAAAAAAAAAJgCAABkcnMvZG93bnJl&#10;di54bWxQSwUGAAAAAAQABAD1AAAAhAMAAAAA&#10;" path="m669,c262,,112,122,,165,180,268,322,384,661,384v82,,1576,,1576,c2237,,2237,,2237,l669,xe" fillcolor="#41b6e6 [3204]" stroked="f">
                          <v:path arrowok="t" o:connecttype="custom" o:connectlocs="2147483646,0;0,2147483646;2147483646,2147483646;2147483646,2147483646;2147483646,0;2147483646,0" o:connectangles="0,0,0,0,0,0"/>
                        </v:shape>
                        <v:shape id="Freeform 118" o:spid="_x0000_s1053" alt="background"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ST8MA&#10;AADbAAAADwAAAGRycy9kb3ducmV2LnhtbESPQWsCMRSE7wX/Q3hCbzWrFStbo4go1JtaDz0+N8/N&#10;4uZlSVJ39debQsHjMDPfMLNFZ2txJR8qxwqGgwwEceF0xaWC4/fmbQoiRGSNtWNScKMAi3nvZYa5&#10;di3v6XqIpUgQDjkqMDE2uZShMGQxDFxDnLyz8xZjkr6U2mOb4LaWoyybSIsVpwWDDa0MFZfDr1XQ&#10;tj/j44e5b0++1Jttttqd1tVOqdd+t/wEEamLz/B/+0srmL7D35f0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PST8MAAADbAAAADwAAAAAAAAAAAAAAAACYAgAAZHJzL2Rv&#10;d25yZXYueG1sUEsFBgAAAAAEAAQA9QAAAIgDAAAAAA==&#10;" path="m1306,c512,,218,238,,321,351,522,628,749,1291,749v159,,155,,155,c1446,,1446,,1446,l1306,xe" fillcolor="black [3213]" stroked="f">
                          <v:path arrowok="t" o:connecttype="custom" o:connectlocs="2147483646,0;0,2147483646;2147483646,2147483646;2147483646,2147483646;2147483646,0;2147483646,0" o:connectangles="0,0,0,0,0,0"/>
                        </v:shape>
                        <v:shape id="Freeform 119" o:spid="_x0000_s1054" alt="background"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Y+MQA&#10;AADbAAAADwAAAGRycy9kb3ducmV2LnhtbESPQWvCQBSE7wX/w/KEXqRuFKsSXUUCRUtPxh709sg+&#10;k2D2bdjdaPz33UKhx2FmvmHW29404k7O15YVTMYJCOLC6ppLBd+nj7clCB+QNTaWScGTPGw3g5c1&#10;pto++Ej3PJQiQtinqKAKoU2l9EVFBv3YtsTRu1pnMETpSqkdPiLcNHKaJHNpsOa4UGFLWUXFLe+M&#10;gmnSvXejxehqF1n2tXfnS+b0p1Kvw363AhGoD//hv/ZBK1jO4PdL/AF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mGPjEAAAA2wAAAA8AAAAAAAAAAAAAAAAAmAIAAGRycy9k&#10;b3ducmV2LnhtbFBLBQYAAAAABAAEAPUAAACJAwAAAAA=&#10;" path="m2203,38c2169,21,2120,,2058,,,,,,,,,44,,44,,44v2112,,2112,,2112,c2112,44,2193,40,2203,38e" fillcolor="black [3213]" stroked="f">
                          <v:path arrowok="t" o:connecttype="custom" o:connectlocs="2147483646,2147483646;2147483646,0;0,0;0,2147483646;2147483646,2147483646;2147483646,2147483646" o:connectangles="0,0,0,0,0,0"/>
                        </v:shape>
                        <v:shape id="Freeform 120" o:spid="_x0000_s1055" alt="background"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6MAA&#10;AADbAAAADwAAAGRycy9kb3ducmV2LnhtbESPQYvCMBSE78L+h/AW9qapyyqlNooIsnpU6/3RPNvS&#10;5iU0Wdv990YQPA4z8w2Tb0bTiTv1vrGsYD5LQBCXVjdcKSgu+2kKwgdkjZ1lUvBPHjbrj0mOmbYD&#10;n+h+DpWIEPYZKqhDcJmUvqzJoJ9ZRxy9m+0Nhij7Suoehwg3nfxOkqU02HBcqNHRrqayPf8ZBcb9&#10;HIuruzWX3e/AuC8SHg6tUl+f43YFItAY3uFX+6AVpAt4fok/QK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z+i6MAAAADbAAAADwAAAAAAAAAAAAAAAACYAgAAZHJzL2Rvd25y&#10;ZXYueG1sUEsFBgAAAAAEAAQA9QAAAIUDAAAAAA==&#10;" path="m153,c60,,26,28,,38,41,61,74,88,151,88v550,,550,,550,c701,,701,,701,l153,xe" stroked="f">
                          <v:path arrowok="t" o:connecttype="custom" o:connectlocs="2147483646,0;0,2147483646;2147483646,2147483646;2147483646,2147483646;2147483646,0;2147483646,0" o:connectangles="0,0,0,0,0,0"/>
                        </v:shape>
                        <v:shape id="Freeform 122" o:spid="_x0000_s1056" alt="background"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pJlsYA&#10;AADbAAAADwAAAGRycy9kb3ducmV2LnhtbESPzW7CMBCE70h9B2uRegOHHvgJGASICi5ILXCA2ype&#10;koh4ndpuCDx9XalSj6OZ+UYzW7SmEg05X1pWMOgnIIgzq0vOFZyO770xCB+QNVaWScGDPCzmL50Z&#10;ptre+ZOaQ8hFhLBPUUERQp1K6bOCDPq+rYmjd7XOYIjS5VI7vEe4qeRbkgylwZLjQoE1rQvKbodv&#10;o2DiH+FyXm0+Vrv91/Z5aZxZb0ZKvXbb5RREoDb8h//aO61gPITfL/EH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pJlsYAAADbAAAADwAAAAAAAAAAAAAAAACYAgAAZHJz&#10;L2Rvd25yZXYueG1sUEsFBgAAAAAEAAQA9QAAAIsDAAAAAA==&#10;" path="m1707,87v93,,127,-28,153,-37c1819,26,1786,,1709,,,,,,,,,87,,87,,87r1707,xe" stroked="f">
                          <v:path arrowok="t" o:connecttype="custom" o:connectlocs="2147483646,2147483646;2147483646,2147483646;2147483646,0;0,0;0,2147483646;2147483646,2147483646" o:connectangles="0,0,0,0,0,0"/>
                        </v:shape>
                      </v:group>
                    </v:group>
                  </v:group>
                </w:pict>
              </mc:Fallback>
            </mc:AlternateContent>
          </w:r>
        </w:p>
        <w:p w14:paraId="0BDB5717" w14:textId="77777777" w:rsidR="009204C0" w:rsidRDefault="009204C0" w:rsidP="009204C0">
          <w:pPr>
            <w:pStyle w:val="Title"/>
            <w:rPr>
              <w:sz w:val="72"/>
              <w:szCs w:val="72"/>
            </w:rPr>
          </w:pPr>
        </w:p>
        <w:p w14:paraId="10B7A049" w14:textId="624A355B" w:rsidR="009204C0" w:rsidRPr="008A4070" w:rsidRDefault="009204C0" w:rsidP="009204C0">
          <w:pPr>
            <w:pStyle w:val="Title"/>
            <w:rPr>
              <w:b/>
              <w:color w:val="FFFFFF" w:themeColor="background1"/>
              <w:sz w:val="72"/>
              <w:szCs w:val="72"/>
            </w:rPr>
          </w:pPr>
          <w:r w:rsidRPr="008A4070">
            <w:rPr>
              <w:b/>
              <w:color w:val="FFFFFF" w:themeColor="background1"/>
              <w:sz w:val="72"/>
              <w:szCs w:val="72"/>
            </w:rPr>
            <w:t>Modelling inter-aquifer leakage associated with well integrity failure</w:t>
          </w:r>
        </w:p>
        <w:p w14:paraId="798FB395" w14:textId="6565B038" w:rsidR="009204C0" w:rsidRPr="00716588" w:rsidRDefault="009204C0" w:rsidP="009204C0">
          <w:pPr>
            <w:pStyle w:val="CoverTitle"/>
          </w:pPr>
        </w:p>
        <w:p w14:paraId="4EEF66BF" w14:textId="1D13512F" w:rsidR="009204C0" w:rsidRPr="008A4070" w:rsidRDefault="009204C0" w:rsidP="009204C0">
          <w:pPr>
            <w:rPr>
              <w:b/>
              <w:color w:val="FFFFFF" w:themeColor="background1"/>
              <w:sz w:val="24"/>
              <w:szCs w:val="24"/>
            </w:rPr>
          </w:pPr>
          <w:r w:rsidRPr="008A4070">
            <w:rPr>
              <w:b/>
              <w:color w:val="FFFFFF" w:themeColor="background1"/>
              <w:sz w:val="24"/>
              <w:szCs w:val="24"/>
            </w:rPr>
            <w:t xml:space="preserve">Rebecca Doble, </w:t>
          </w:r>
          <w:r w:rsidR="0092550A">
            <w:rPr>
              <w:b/>
              <w:color w:val="FFFFFF" w:themeColor="background1"/>
              <w:sz w:val="24"/>
              <w:szCs w:val="24"/>
            </w:rPr>
            <w:t xml:space="preserve">Jim McCallum, </w:t>
          </w:r>
          <w:r w:rsidRPr="008A4070">
            <w:rPr>
              <w:b/>
              <w:color w:val="FFFFFF" w:themeColor="background1"/>
              <w:sz w:val="24"/>
              <w:szCs w:val="24"/>
            </w:rPr>
            <w:t>Chris Turnadge, Luk Peeters, Bailin Wu, Dirk Mallants</w:t>
          </w:r>
        </w:p>
        <w:p w14:paraId="48D20D44" w14:textId="160D4B13" w:rsidR="003540AC" w:rsidRDefault="009204C0" w:rsidP="003540AC">
          <w:pPr>
            <w:pStyle w:val="BodyText"/>
            <w:rPr>
              <w:color w:val="FFFFFF" w:themeColor="background1"/>
              <w:sz w:val="20"/>
            </w:rPr>
          </w:pPr>
          <w:r w:rsidRPr="009204C0">
            <w:rPr>
              <w:color w:val="FFFFFF" w:themeColor="background1"/>
            </w:rPr>
            <w:br/>
          </w:r>
          <w:r w:rsidR="003540AC">
            <w:rPr>
              <w:color w:val="FFFFFF" w:themeColor="background1"/>
              <w:sz w:val="20"/>
            </w:rPr>
            <w:t>This report was commissioned by the Department of the Environment</w:t>
          </w:r>
          <w:r w:rsidR="0071706C">
            <w:rPr>
              <w:color w:val="FFFFFF" w:themeColor="background1"/>
              <w:sz w:val="20"/>
            </w:rPr>
            <w:t xml:space="preserve"> and Energy</w:t>
          </w:r>
          <w:r w:rsidR="003540AC">
            <w:rPr>
              <w:color w:val="FFFFFF" w:themeColor="background1"/>
              <w:sz w:val="20"/>
            </w:rPr>
            <w:t xml:space="preserve"> </w:t>
          </w:r>
          <w:r w:rsidR="00097805">
            <w:rPr>
              <w:color w:val="FFFFFF" w:themeColor="background1"/>
              <w:sz w:val="20"/>
            </w:rPr>
            <w:t>and was prepared by CSIRO</w:t>
          </w:r>
          <w:r w:rsidR="00B61DEF">
            <w:rPr>
              <w:color w:val="FFFFFF" w:themeColor="background1"/>
              <w:sz w:val="20"/>
            </w:rPr>
            <w:t>.</w:t>
          </w:r>
        </w:p>
        <w:p w14:paraId="5E972443" w14:textId="77777777" w:rsidR="003540AC" w:rsidRDefault="003540AC" w:rsidP="003540AC">
          <w:pPr>
            <w:pStyle w:val="BodyText"/>
            <w:rPr>
              <w:b/>
              <w:color w:val="FFFFFF" w:themeColor="background1"/>
            </w:rPr>
          </w:pPr>
        </w:p>
        <w:p w14:paraId="4F475D91" w14:textId="72A13130" w:rsidR="003540AC" w:rsidRDefault="00097805" w:rsidP="003540AC">
          <w:pPr>
            <w:pStyle w:val="BodyText"/>
            <w:rPr>
              <w:rFonts w:eastAsiaTheme="minorEastAsia"/>
              <w:color w:val="FFFFFF" w:themeColor="background1"/>
              <w:sz w:val="20"/>
            </w:rPr>
          </w:pPr>
          <w:r>
            <w:rPr>
              <w:b/>
              <w:color w:val="FFFFFF" w:themeColor="background1"/>
            </w:rPr>
            <w:t>2018</w:t>
          </w:r>
        </w:p>
        <w:p w14:paraId="4661F482" w14:textId="77777777" w:rsidR="003540AC" w:rsidRPr="008A4070" w:rsidRDefault="003540AC" w:rsidP="001B7EBE">
          <w:pPr>
            <w:pStyle w:val="BodyText"/>
            <w:rPr>
              <w:b/>
              <w:color w:val="FFFFFF" w:themeColor="background1"/>
            </w:rPr>
          </w:pPr>
        </w:p>
        <w:p w14:paraId="6F398043" w14:textId="77777777" w:rsidR="009204C0" w:rsidRDefault="009204C0" w:rsidP="001B7EBE">
          <w:pPr>
            <w:pStyle w:val="BodyText"/>
          </w:pPr>
        </w:p>
        <w:p w14:paraId="0BFA82C1" w14:textId="6586509A" w:rsidR="009204C0" w:rsidRDefault="009204C0" w:rsidP="001B7EBE">
          <w:pPr>
            <w:pStyle w:val="BodyText"/>
          </w:pPr>
          <w:r>
            <w:br w:type="page"/>
          </w:r>
        </w:p>
        <w:p w14:paraId="2C7BFFB1" w14:textId="77777777" w:rsidR="00B61DEF" w:rsidRPr="00B61DEF" w:rsidRDefault="00B61DEF" w:rsidP="00B61DEF">
          <w:pPr>
            <w:pStyle w:val="BodyText"/>
            <w:rPr>
              <w:rFonts w:eastAsia="Times New Roman"/>
              <w:color w:val="69BBFF" w:themeColor="accent2" w:themeTint="66"/>
              <w:sz w:val="18"/>
              <w:szCs w:val="18"/>
            </w:rPr>
          </w:pPr>
          <w:bookmarkStart w:id="1" w:name="_Toc447635367"/>
          <w:bookmarkStart w:id="2" w:name="_Toc447634465"/>
          <w:bookmarkStart w:id="3" w:name="_Toc442804668"/>
          <w:bookmarkStart w:id="4" w:name="_Toc442802075"/>
          <w:bookmarkStart w:id="5" w:name="_Toc442800395"/>
          <w:bookmarkStart w:id="6" w:name="_Toc440986538"/>
          <w:bookmarkStart w:id="7" w:name="_Toc440360928"/>
          <w:bookmarkStart w:id="8" w:name="_Toc437249101"/>
          <w:bookmarkStart w:id="9" w:name="_Toc437243474"/>
          <w:r w:rsidRPr="00B61DEF">
            <w:rPr>
              <w:color w:val="69BBFF" w:themeColor="accent2" w:themeTint="66"/>
              <w:sz w:val="18"/>
              <w:szCs w:val="18"/>
            </w:rPr>
            <w:lastRenderedPageBreak/>
            <w:t>Copyright</w:t>
          </w:r>
          <w:bookmarkEnd w:id="1"/>
          <w:bookmarkEnd w:id="2"/>
          <w:bookmarkEnd w:id="3"/>
          <w:bookmarkEnd w:id="4"/>
          <w:bookmarkEnd w:id="5"/>
          <w:bookmarkEnd w:id="6"/>
          <w:bookmarkEnd w:id="7"/>
          <w:bookmarkEnd w:id="8"/>
          <w:bookmarkEnd w:id="9"/>
          <w:r w:rsidRPr="00B61DEF">
            <w:rPr>
              <w:color w:val="69BBFF" w:themeColor="accent2" w:themeTint="66"/>
              <w:sz w:val="18"/>
              <w:szCs w:val="18"/>
            </w:rPr>
            <w:t xml:space="preserve"> </w:t>
          </w:r>
        </w:p>
        <w:p w14:paraId="2C0CE372" w14:textId="3107AAAC" w:rsidR="00B61DEF" w:rsidRDefault="00B61DEF" w:rsidP="00B61DEF">
          <w:pPr>
            <w:pStyle w:val="BodyText"/>
            <w:rPr>
              <w:color w:val="auto"/>
              <w:sz w:val="18"/>
              <w:szCs w:val="18"/>
            </w:rPr>
          </w:pPr>
          <w:r>
            <w:rPr>
              <w:sz w:val="18"/>
              <w:szCs w:val="18"/>
            </w:rPr>
            <w:t>© Commonwealth Scientific and Industrial Research Organisation 201</w:t>
          </w:r>
          <w:r w:rsidR="00097805">
            <w:rPr>
              <w:sz w:val="18"/>
              <w:szCs w:val="18"/>
            </w:rPr>
            <w:t>8</w:t>
          </w:r>
          <w:r>
            <w:rPr>
              <w:sz w:val="18"/>
              <w:szCs w:val="18"/>
            </w:rPr>
            <w:t>. To the extent permitted by law, all rights are reserved and no part of this publication covered by copyright may be reproduced or copied in any form or by any means except with the written permission of CSIRO.</w:t>
          </w:r>
        </w:p>
        <w:p w14:paraId="057E6475" w14:textId="77777777" w:rsidR="00B61DEF" w:rsidRDefault="00B61DEF" w:rsidP="00B61DEF">
          <w:pPr>
            <w:pStyle w:val="VersoPageHeading"/>
            <w:rPr>
              <w:color w:val="41B6E6" w:themeColor="accent1"/>
              <w:sz w:val="18"/>
              <w:szCs w:val="18"/>
            </w:rPr>
          </w:pPr>
        </w:p>
        <w:p w14:paraId="5CE0A063" w14:textId="77777777" w:rsidR="00B61DEF" w:rsidRPr="00B61DEF" w:rsidRDefault="00B61DEF" w:rsidP="00B61DEF">
          <w:pPr>
            <w:pStyle w:val="BodyText"/>
            <w:rPr>
              <w:color w:val="69BBFF" w:themeColor="accent2" w:themeTint="66"/>
              <w:sz w:val="18"/>
              <w:szCs w:val="18"/>
            </w:rPr>
          </w:pPr>
          <w:bookmarkStart w:id="10" w:name="_Toc447635368"/>
          <w:bookmarkStart w:id="11" w:name="_Toc447634466"/>
          <w:bookmarkStart w:id="12" w:name="_Toc442804669"/>
          <w:bookmarkStart w:id="13" w:name="_Toc442802076"/>
          <w:bookmarkStart w:id="14" w:name="_Toc442800396"/>
          <w:bookmarkStart w:id="15" w:name="_Toc440986539"/>
          <w:bookmarkStart w:id="16" w:name="_Toc440360929"/>
          <w:bookmarkStart w:id="17" w:name="_Toc437249102"/>
          <w:bookmarkStart w:id="18" w:name="_Toc437243475"/>
          <w:r w:rsidRPr="00B61DEF">
            <w:rPr>
              <w:color w:val="69BBFF" w:themeColor="accent2" w:themeTint="66"/>
              <w:sz w:val="18"/>
              <w:szCs w:val="18"/>
            </w:rPr>
            <w:t>Citation</w:t>
          </w:r>
          <w:bookmarkEnd w:id="10"/>
          <w:bookmarkEnd w:id="11"/>
          <w:bookmarkEnd w:id="12"/>
          <w:bookmarkEnd w:id="13"/>
          <w:bookmarkEnd w:id="14"/>
          <w:bookmarkEnd w:id="15"/>
          <w:bookmarkEnd w:id="16"/>
          <w:bookmarkEnd w:id="17"/>
          <w:bookmarkEnd w:id="18"/>
        </w:p>
        <w:p w14:paraId="3075E589" w14:textId="77777777" w:rsidR="00B61DEF" w:rsidRDefault="00B61DEF" w:rsidP="00B61DEF">
          <w:pPr>
            <w:pStyle w:val="BodyText"/>
            <w:rPr>
              <w:color w:val="auto"/>
              <w:sz w:val="18"/>
              <w:szCs w:val="18"/>
            </w:rPr>
          </w:pPr>
          <w:r>
            <w:rPr>
              <w:sz w:val="18"/>
              <w:szCs w:val="18"/>
            </w:rPr>
            <w:t>This report should be cited as:</w:t>
          </w:r>
        </w:p>
        <w:p w14:paraId="35F37E01" w14:textId="3016B68C" w:rsidR="00B61DEF" w:rsidRDefault="00B61DEF" w:rsidP="00B61DEF">
          <w:pPr>
            <w:pStyle w:val="BodyText"/>
            <w:rPr>
              <w:sz w:val="18"/>
              <w:szCs w:val="18"/>
            </w:rPr>
          </w:pPr>
          <w:r>
            <w:rPr>
              <w:sz w:val="18"/>
              <w:szCs w:val="18"/>
            </w:rPr>
            <w:t xml:space="preserve">Doble R, </w:t>
          </w:r>
          <w:r w:rsidR="000B7367">
            <w:rPr>
              <w:sz w:val="18"/>
              <w:szCs w:val="18"/>
            </w:rPr>
            <w:t xml:space="preserve">McCallum J, </w:t>
          </w:r>
          <w:r>
            <w:rPr>
              <w:sz w:val="18"/>
              <w:szCs w:val="18"/>
            </w:rPr>
            <w:t>Turnadge C, Peeters, L., Wu B, Mallants D (201</w:t>
          </w:r>
          <w:r w:rsidR="00097805">
            <w:rPr>
              <w:sz w:val="18"/>
              <w:szCs w:val="18"/>
            </w:rPr>
            <w:t>8</w:t>
          </w:r>
          <w:r>
            <w:rPr>
              <w:sz w:val="18"/>
              <w:szCs w:val="18"/>
            </w:rPr>
            <w:t>). Modelling inter-aquifer leakage associated with well integrity failure, prepared by the Commonwealth Scientific and Industrial Research Organisation (CSIRO), Canberra.</w:t>
          </w:r>
        </w:p>
        <w:p w14:paraId="5935BFE8" w14:textId="77777777" w:rsidR="00B61DEF" w:rsidRDefault="00B61DEF" w:rsidP="00B61DEF">
          <w:pPr>
            <w:pStyle w:val="VersoPageHeading"/>
            <w:rPr>
              <w:color w:val="41B6E6" w:themeColor="accent1"/>
              <w:sz w:val="18"/>
              <w:szCs w:val="18"/>
            </w:rPr>
          </w:pPr>
        </w:p>
        <w:p w14:paraId="7E10156C" w14:textId="77777777" w:rsidR="00B61DEF" w:rsidRPr="00B61DEF" w:rsidRDefault="00B61DEF" w:rsidP="00B61DEF">
          <w:pPr>
            <w:pStyle w:val="BodyText"/>
            <w:rPr>
              <w:color w:val="69BBFF" w:themeColor="accent2" w:themeTint="66"/>
              <w:sz w:val="18"/>
              <w:szCs w:val="18"/>
            </w:rPr>
          </w:pPr>
          <w:bookmarkStart w:id="19" w:name="_Toc447635369"/>
          <w:bookmarkStart w:id="20" w:name="_Toc447634467"/>
          <w:r w:rsidRPr="00B61DEF">
            <w:rPr>
              <w:color w:val="69BBFF" w:themeColor="accent2" w:themeTint="66"/>
              <w:sz w:val="18"/>
              <w:szCs w:val="18"/>
            </w:rPr>
            <w:t>Acknowledgements</w:t>
          </w:r>
          <w:bookmarkEnd w:id="19"/>
          <w:bookmarkEnd w:id="20"/>
        </w:p>
        <w:p w14:paraId="4A12D0E3" w14:textId="0E2B68EC" w:rsidR="00B61DEF" w:rsidRDefault="00B61DEF" w:rsidP="00B61DEF">
          <w:pPr>
            <w:pStyle w:val="BodyText"/>
            <w:rPr>
              <w:color w:val="auto"/>
              <w:sz w:val="18"/>
              <w:szCs w:val="18"/>
            </w:rPr>
          </w:pPr>
          <w:r>
            <w:rPr>
              <w:sz w:val="18"/>
              <w:szCs w:val="18"/>
            </w:rPr>
            <w:t>This report was subject to review processes during its development. We specifically acknowledge Professor Jim Underschultz (University of Queensland), Professor Craig Simmons (Flinders University of South Australia)</w:t>
          </w:r>
          <w:r w:rsidR="0071706C">
            <w:rPr>
              <w:sz w:val="18"/>
              <w:szCs w:val="18"/>
            </w:rPr>
            <w:t xml:space="preserve"> and</w:t>
          </w:r>
          <w:r>
            <w:rPr>
              <w:sz w:val="18"/>
              <w:szCs w:val="18"/>
            </w:rPr>
            <w:t xml:space="preserve"> Scott Lawson (Department of the Environment</w:t>
          </w:r>
          <w:r w:rsidR="00136E4D">
            <w:rPr>
              <w:sz w:val="18"/>
              <w:szCs w:val="18"/>
            </w:rPr>
            <w:t xml:space="preserve"> and Energy</w:t>
          </w:r>
          <w:r>
            <w:rPr>
              <w:sz w:val="18"/>
              <w:szCs w:val="18"/>
            </w:rPr>
            <w:t>) for their contributions to the review.</w:t>
          </w:r>
        </w:p>
        <w:p w14:paraId="4EE469A8" w14:textId="77777777" w:rsidR="00B61DEF" w:rsidRPr="00B61DEF" w:rsidRDefault="00B61DEF" w:rsidP="00B61DEF">
          <w:pPr>
            <w:pStyle w:val="BodyText"/>
            <w:rPr>
              <w:color w:val="69BBFF" w:themeColor="accent2" w:themeTint="66"/>
              <w:sz w:val="18"/>
              <w:szCs w:val="18"/>
            </w:rPr>
          </w:pPr>
          <w:r w:rsidRPr="00B61DEF">
            <w:rPr>
              <w:color w:val="69BBFF" w:themeColor="accent2" w:themeTint="66"/>
              <w:sz w:val="18"/>
              <w:szCs w:val="18"/>
            </w:rPr>
            <w:t>Important disclaimer</w:t>
          </w:r>
        </w:p>
        <w:p w14:paraId="2BB64007" w14:textId="77777777" w:rsidR="00B61DEF" w:rsidRDefault="00B61DEF" w:rsidP="00B61DEF">
          <w:pPr>
            <w:pStyle w:val="BodyText"/>
            <w:rPr>
              <w:color w:val="auto"/>
              <w:sz w:val="18"/>
              <w:szCs w:val="18"/>
            </w:rPr>
          </w:pPr>
          <w:r>
            <w:rPr>
              <w:sz w:val="18"/>
              <w:szCs w:val="18"/>
            </w:rP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09C318E6" w14:textId="77777777" w:rsidR="00B61DEF" w:rsidRDefault="00B61DEF" w:rsidP="00B61DEF">
          <w:pPr>
            <w:pStyle w:val="BodyText"/>
            <w:rPr>
              <w:sz w:val="18"/>
              <w:szCs w:val="18"/>
            </w:rPr>
          </w:pPr>
          <w:r>
            <w:rPr>
              <w:sz w:val="18"/>
              <w:szCs w:val="18"/>
            </w:rPr>
            <w:t xml:space="preserve">CSIRO is committed to providing web accessible content wherever possible. If you are having difficulties with accessing this document please contact </w:t>
          </w:r>
          <w:hyperlink r:id="rId9" w:tooltip="Email CSIRO Enquiries" w:history="1">
            <w:r>
              <w:rPr>
                <w:rStyle w:val="Hyperlink"/>
                <w:sz w:val="18"/>
                <w:szCs w:val="18"/>
              </w:rPr>
              <w:t>enquiries@csiro.au</w:t>
            </w:r>
          </w:hyperlink>
          <w:r>
            <w:rPr>
              <w:sz w:val="18"/>
              <w:szCs w:val="18"/>
            </w:rPr>
            <w:t>.</w:t>
          </w:r>
        </w:p>
        <w:p w14:paraId="1C9EE68E" w14:textId="77777777" w:rsidR="00B61DEF" w:rsidRDefault="00B61DEF" w:rsidP="00B61DEF">
          <w:pPr>
            <w:pStyle w:val="BodyText"/>
            <w:rPr>
              <w:sz w:val="18"/>
              <w:szCs w:val="18"/>
            </w:rPr>
          </w:pPr>
        </w:p>
        <w:p w14:paraId="16FF9581" w14:textId="77777777" w:rsidR="00B61DEF" w:rsidRDefault="00B61DEF" w:rsidP="00B61DEF">
          <w:pPr>
            <w:pStyle w:val="BodyText"/>
            <w:rPr>
              <w:sz w:val="18"/>
              <w:szCs w:val="18"/>
            </w:rPr>
          </w:pPr>
        </w:p>
        <w:p w14:paraId="66172704" w14:textId="0E93BF6C" w:rsidR="00E85C10" w:rsidRDefault="00E85C10" w:rsidP="00B61DEF">
          <w:pPr>
            <w:spacing w:after="0"/>
            <w:rPr>
              <w:rFonts w:eastAsia="Times New Roman"/>
              <w:sz w:val="18"/>
              <w:szCs w:val="18"/>
            </w:rPr>
          </w:pPr>
        </w:p>
        <w:p w14:paraId="04621A09" w14:textId="77777777" w:rsidR="00E85C10" w:rsidRPr="00E85C10" w:rsidRDefault="00E85C10" w:rsidP="00336753">
          <w:pPr>
            <w:rPr>
              <w:rFonts w:eastAsia="Times New Roman"/>
              <w:sz w:val="18"/>
              <w:szCs w:val="18"/>
            </w:rPr>
          </w:pPr>
        </w:p>
        <w:p w14:paraId="55235B97" w14:textId="4E61435D" w:rsidR="005E2118" w:rsidRDefault="005E2118" w:rsidP="00336753">
          <w:pPr>
            <w:rPr>
              <w:rFonts w:eastAsia="Times New Roman"/>
              <w:sz w:val="18"/>
              <w:szCs w:val="18"/>
            </w:rPr>
            <w:sectPr w:rsidR="005E2118" w:rsidSect="00277595">
              <w:headerReference w:type="even" r:id="rId10"/>
              <w:headerReference w:type="default" r:id="rId11"/>
              <w:footerReference w:type="even" r:id="rId12"/>
              <w:footerReference w:type="default" r:id="rId13"/>
              <w:headerReference w:type="first" r:id="rId14"/>
              <w:footerReference w:type="first" r:id="rId15"/>
              <w:pgSz w:w="11906" w:h="16838"/>
              <w:pgMar w:top="1440" w:right="1440" w:bottom="1440" w:left="1440" w:header="510" w:footer="624" w:gutter="0"/>
              <w:pgNumType w:fmt="lowerRoman" w:start="1"/>
              <w:cols w:space="720"/>
              <w:docGrid w:linePitch="299"/>
            </w:sectPr>
          </w:pPr>
        </w:p>
        <w:bookmarkStart w:id="21" w:name="_Toc452449134" w:displacedByCustomXml="next"/>
        <w:sdt>
          <w:sdtPr>
            <w:rPr>
              <w:rFonts w:ascii="Arial" w:eastAsia="Calibri" w:hAnsi="Arial" w:cstheme="minorBidi"/>
              <w:b w:val="0"/>
              <w:bCs/>
              <w:noProof/>
              <w:color w:val="auto"/>
              <w:sz w:val="22"/>
              <w:szCs w:val="22"/>
              <w:lang w:val="en-US" w:eastAsia="ja-JP"/>
            </w:rPr>
            <w:id w:val="-1138187096"/>
            <w:docPartObj>
              <w:docPartGallery w:val="Table of Contents"/>
              <w:docPartUnique/>
            </w:docPartObj>
          </w:sdtPr>
          <w:sdtEndPr>
            <w:rPr>
              <w:rFonts w:ascii="Calibri" w:hAnsi="Calibri" w:cs="Times New Roman"/>
              <w:b/>
              <w:bCs w:val="0"/>
              <w:color w:val="FFFFFF"/>
              <w:sz w:val="24"/>
              <w:lang w:val="en-AU" w:eastAsia="en-AU"/>
            </w:rPr>
          </w:sdtEndPr>
          <w:sdtContent>
            <w:p w14:paraId="68A20908" w14:textId="77777777" w:rsidR="00D470A3" w:rsidRPr="00D75450" w:rsidRDefault="00D470A3" w:rsidP="00D470A3">
              <w:pPr>
                <w:pStyle w:val="TOCHeading"/>
                <w:rPr>
                  <w:bCs/>
                </w:rPr>
              </w:pPr>
              <w:r w:rsidRPr="00D75450">
                <w:rPr>
                  <w:bCs/>
                </w:rPr>
                <w:t>Table of Contents</w:t>
              </w:r>
              <w:bookmarkEnd w:id="21"/>
            </w:p>
            <w:p w14:paraId="39DE5B93" w14:textId="77777777" w:rsidR="00B148B9" w:rsidRDefault="00D470A3">
              <w:pPr>
                <w:pStyle w:val="TOC2"/>
                <w:rPr>
                  <w:rFonts w:asciiTheme="minorHAnsi" w:eastAsiaTheme="minorEastAsia" w:hAnsiTheme="minorHAnsi" w:cstheme="minorBidi"/>
                  <w:color w:val="auto"/>
                  <w:sz w:val="22"/>
                </w:rPr>
              </w:pPr>
              <w:r>
                <w:fldChar w:fldCharType="begin"/>
              </w:r>
              <w:r>
                <w:instrText xml:space="preserve"> TOC \o "1-3" \h \z \u </w:instrText>
              </w:r>
              <w:r>
                <w:fldChar w:fldCharType="separate"/>
              </w:r>
              <w:hyperlink w:anchor="_Toc452449134" w:history="1">
                <w:r w:rsidR="00B148B9" w:rsidRPr="00475232">
                  <w:rPr>
                    <w:rStyle w:val="Hyperlink"/>
                    <w:bCs/>
                  </w:rPr>
                  <w:t>Table of Contents</w:t>
                </w:r>
                <w:r w:rsidR="00B148B9">
                  <w:rPr>
                    <w:webHidden/>
                  </w:rPr>
                  <w:tab/>
                </w:r>
                <w:r w:rsidR="00B148B9">
                  <w:rPr>
                    <w:webHidden/>
                  </w:rPr>
                  <w:fldChar w:fldCharType="begin"/>
                </w:r>
                <w:r w:rsidR="00B148B9">
                  <w:rPr>
                    <w:webHidden/>
                  </w:rPr>
                  <w:instrText xml:space="preserve"> PAGEREF _Toc452449134 \h </w:instrText>
                </w:r>
                <w:r w:rsidR="00B148B9">
                  <w:rPr>
                    <w:webHidden/>
                  </w:rPr>
                </w:r>
                <w:r w:rsidR="00B148B9">
                  <w:rPr>
                    <w:webHidden/>
                  </w:rPr>
                  <w:fldChar w:fldCharType="separate"/>
                </w:r>
                <w:r w:rsidR="002E45AF">
                  <w:rPr>
                    <w:webHidden/>
                  </w:rPr>
                  <w:t>iii</w:t>
                </w:r>
                <w:r w:rsidR="00B148B9">
                  <w:rPr>
                    <w:webHidden/>
                  </w:rPr>
                  <w:fldChar w:fldCharType="end"/>
                </w:r>
              </w:hyperlink>
            </w:p>
            <w:p w14:paraId="226BDFC2" w14:textId="77777777" w:rsidR="00B148B9" w:rsidRDefault="00ED4C1C">
              <w:pPr>
                <w:pStyle w:val="TOC1"/>
                <w:rPr>
                  <w:rFonts w:asciiTheme="minorHAnsi" w:eastAsiaTheme="minorEastAsia" w:hAnsiTheme="minorHAnsi" w:cstheme="minorBidi"/>
                  <w:b w:val="0"/>
                  <w:color w:val="auto"/>
                  <w:sz w:val="22"/>
                </w:rPr>
              </w:pPr>
              <w:hyperlink w:anchor="_Toc452449135" w:history="1">
                <w:r w:rsidR="00B148B9" w:rsidRPr="00475232">
                  <w:rPr>
                    <w:rStyle w:val="Hyperlink"/>
                  </w:rPr>
                  <w:t>List of Figures</w:t>
                </w:r>
                <w:r w:rsidR="00B148B9">
                  <w:rPr>
                    <w:webHidden/>
                  </w:rPr>
                  <w:tab/>
                </w:r>
                <w:r w:rsidR="00B148B9">
                  <w:rPr>
                    <w:webHidden/>
                  </w:rPr>
                  <w:fldChar w:fldCharType="begin"/>
                </w:r>
                <w:r w:rsidR="00B148B9">
                  <w:rPr>
                    <w:webHidden/>
                  </w:rPr>
                  <w:instrText xml:space="preserve"> PAGEREF _Toc452449135 \h </w:instrText>
                </w:r>
                <w:r w:rsidR="00B148B9">
                  <w:rPr>
                    <w:webHidden/>
                  </w:rPr>
                </w:r>
                <w:r w:rsidR="00B148B9">
                  <w:rPr>
                    <w:webHidden/>
                  </w:rPr>
                  <w:fldChar w:fldCharType="separate"/>
                </w:r>
                <w:r w:rsidR="002E45AF">
                  <w:rPr>
                    <w:webHidden/>
                  </w:rPr>
                  <w:t>v</w:t>
                </w:r>
                <w:r w:rsidR="00B148B9">
                  <w:rPr>
                    <w:webHidden/>
                  </w:rPr>
                  <w:fldChar w:fldCharType="end"/>
                </w:r>
              </w:hyperlink>
            </w:p>
            <w:p w14:paraId="1F73E8A6" w14:textId="77777777" w:rsidR="00B148B9" w:rsidRDefault="00ED4C1C">
              <w:pPr>
                <w:pStyle w:val="TOC1"/>
                <w:rPr>
                  <w:rFonts w:asciiTheme="minorHAnsi" w:eastAsiaTheme="minorEastAsia" w:hAnsiTheme="minorHAnsi" w:cstheme="minorBidi"/>
                  <w:b w:val="0"/>
                  <w:color w:val="auto"/>
                  <w:sz w:val="22"/>
                </w:rPr>
              </w:pPr>
              <w:hyperlink w:anchor="_Toc452449136" w:history="1">
                <w:r w:rsidR="00B148B9" w:rsidRPr="00475232">
                  <w:rPr>
                    <w:rStyle w:val="Hyperlink"/>
                  </w:rPr>
                  <w:t>List of Tables</w:t>
                </w:r>
                <w:r w:rsidR="00B148B9">
                  <w:rPr>
                    <w:webHidden/>
                  </w:rPr>
                  <w:tab/>
                </w:r>
                <w:r w:rsidR="00B148B9">
                  <w:rPr>
                    <w:webHidden/>
                  </w:rPr>
                  <w:fldChar w:fldCharType="begin"/>
                </w:r>
                <w:r w:rsidR="00B148B9">
                  <w:rPr>
                    <w:webHidden/>
                  </w:rPr>
                  <w:instrText xml:space="preserve"> PAGEREF _Toc452449136 \h </w:instrText>
                </w:r>
                <w:r w:rsidR="00B148B9">
                  <w:rPr>
                    <w:webHidden/>
                  </w:rPr>
                </w:r>
                <w:r w:rsidR="00B148B9">
                  <w:rPr>
                    <w:webHidden/>
                  </w:rPr>
                  <w:fldChar w:fldCharType="separate"/>
                </w:r>
                <w:r w:rsidR="002E45AF">
                  <w:rPr>
                    <w:webHidden/>
                  </w:rPr>
                  <w:t>vii</w:t>
                </w:r>
                <w:r w:rsidR="00B148B9">
                  <w:rPr>
                    <w:webHidden/>
                  </w:rPr>
                  <w:fldChar w:fldCharType="end"/>
                </w:r>
              </w:hyperlink>
            </w:p>
            <w:p w14:paraId="3CB0F39C" w14:textId="77777777" w:rsidR="00B148B9" w:rsidRDefault="00ED4C1C">
              <w:pPr>
                <w:pStyle w:val="TOC1"/>
                <w:rPr>
                  <w:rFonts w:asciiTheme="minorHAnsi" w:eastAsiaTheme="minorEastAsia" w:hAnsiTheme="minorHAnsi" w:cstheme="minorBidi"/>
                  <w:b w:val="0"/>
                  <w:color w:val="auto"/>
                  <w:sz w:val="22"/>
                </w:rPr>
              </w:pPr>
              <w:hyperlink w:anchor="_Toc452449137" w:history="1">
                <w:r w:rsidR="00B148B9" w:rsidRPr="00475232">
                  <w:rPr>
                    <w:rStyle w:val="Hyperlink"/>
                  </w:rPr>
                  <w:t>Executive summary</w:t>
                </w:r>
                <w:r w:rsidR="00B148B9">
                  <w:rPr>
                    <w:webHidden/>
                  </w:rPr>
                  <w:tab/>
                </w:r>
                <w:r w:rsidR="00B148B9">
                  <w:rPr>
                    <w:webHidden/>
                  </w:rPr>
                  <w:fldChar w:fldCharType="begin"/>
                </w:r>
                <w:r w:rsidR="00B148B9">
                  <w:rPr>
                    <w:webHidden/>
                  </w:rPr>
                  <w:instrText xml:space="preserve"> PAGEREF _Toc452449137 \h </w:instrText>
                </w:r>
                <w:r w:rsidR="00B148B9">
                  <w:rPr>
                    <w:webHidden/>
                  </w:rPr>
                </w:r>
                <w:r w:rsidR="00B148B9">
                  <w:rPr>
                    <w:webHidden/>
                  </w:rPr>
                  <w:fldChar w:fldCharType="separate"/>
                </w:r>
                <w:r w:rsidR="002E45AF">
                  <w:rPr>
                    <w:webHidden/>
                  </w:rPr>
                  <w:t>viii</w:t>
                </w:r>
                <w:r w:rsidR="00B148B9">
                  <w:rPr>
                    <w:webHidden/>
                  </w:rPr>
                  <w:fldChar w:fldCharType="end"/>
                </w:r>
              </w:hyperlink>
            </w:p>
            <w:p w14:paraId="6B7E7033" w14:textId="77777777" w:rsidR="00B148B9" w:rsidRDefault="00ED4C1C">
              <w:pPr>
                <w:pStyle w:val="TOC1"/>
                <w:rPr>
                  <w:rFonts w:asciiTheme="minorHAnsi" w:eastAsiaTheme="minorEastAsia" w:hAnsiTheme="minorHAnsi" w:cstheme="minorBidi"/>
                  <w:b w:val="0"/>
                  <w:color w:val="auto"/>
                  <w:sz w:val="22"/>
                </w:rPr>
              </w:pPr>
              <w:hyperlink w:anchor="_Toc452449138" w:history="1">
                <w:r w:rsidR="00B148B9" w:rsidRPr="00475232">
                  <w:rPr>
                    <w:rStyle w:val="Hyperlink"/>
                  </w:rPr>
                  <w:t>Abbreviations</w:t>
                </w:r>
                <w:r w:rsidR="00B148B9">
                  <w:rPr>
                    <w:webHidden/>
                  </w:rPr>
                  <w:tab/>
                </w:r>
                <w:r w:rsidR="00B148B9">
                  <w:rPr>
                    <w:webHidden/>
                  </w:rPr>
                  <w:fldChar w:fldCharType="begin"/>
                </w:r>
                <w:r w:rsidR="00B148B9">
                  <w:rPr>
                    <w:webHidden/>
                  </w:rPr>
                  <w:instrText xml:space="preserve"> PAGEREF _Toc452449138 \h </w:instrText>
                </w:r>
                <w:r w:rsidR="00B148B9">
                  <w:rPr>
                    <w:webHidden/>
                  </w:rPr>
                </w:r>
                <w:r w:rsidR="00B148B9">
                  <w:rPr>
                    <w:webHidden/>
                  </w:rPr>
                  <w:fldChar w:fldCharType="separate"/>
                </w:r>
                <w:r w:rsidR="002E45AF">
                  <w:rPr>
                    <w:webHidden/>
                  </w:rPr>
                  <w:t>x</w:t>
                </w:r>
                <w:r w:rsidR="00B148B9">
                  <w:rPr>
                    <w:webHidden/>
                  </w:rPr>
                  <w:fldChar w:fldCharType="end"/>
                </w:r>
              </w:hyperlink>
            </w:p>
            <w:p w14:paraId="6CA34E22" w14:textId="77777777" w:rsidR="00B148B9" w:rsidRDefault="00ED4C1C">
              <w:pPr>
                <w:pStyle w:val="TOC1"/>
                <w:rPr>
                  <w:rFonts w:asciiTheme="minorHAnsi" w:eastAsiaTheme="minorEastAsia" w:hAnsiTheme="minorHAnsi" w:cstheme="minorBidi"/>
                  <w:b w:val="0"/>
                  <w:color w:val="auto"/>
                  <w:sz w:val="22"/>
                </w:rPr>
              </w:pPr>
              <w:hyperlink w:anchor="_Toc452449139" w:history="1">
                <w:r w:rsidR="00B148B9" w:rsidRPr="00475232">
                  <w:rPr>
                    <w:rStyle w:val="Hyperlink"/>
                  </w:rPr>
                  <w:t>Glossary</w:t>
                </w:r>
                <w:r w:rsidR="00B148B9">
                  <w:rPr>
                    <w:webHidden/>
                  </w:rPr>
                  <w:tab/>
                </w:r>
                <w:r w:rsidR="00B148B9">
                  <w:rPr>
                    <w:webHidden/>
                  </w:rPr>
                  <w:fldChar w:fldCharType="begin"/>
                </w:r>
                <w:r w:rsidR="00B148B9">
                  <w:rPr>
                    <w:webHidden/>
                  </w:rPr>
                  <w:instrText xml:space="preserve"> PAGEREF _Toc452449139 \h </w:instrText>
                </w:r>
                <w:r w:rsidR="00B148B9">
                  <w:rPr>
                    <w:webHidden/>
                  </w:rPr>
                </w:r>
                <w:r w:rsidR="00B148B9">
                  <w:rPr>
                    <w:webHidden/>
                  </w:rPr>
                  <w:fldChar w:fldCharType="separate"/>
                </w:r>
                <w:r w:rsidR="002E45AF">
                  <w:rPr>
                    <w:webHidden/>
                  </w:rPr>
                  <w:t>xi</w:t>
                </w:r>
                <w:r w:rsidR="00B148B9">
                  <w:rPr>
                    <w:webHidden/>
                  </w:rPr>
                  <w:fldChar w:fldCharType="end"/>
                </w:r>
              </w:hyperlink>
            </w:p>
            <w:p w14:paraId="4FF9670F" w14:textId="77777777" w:rsidR="00B148B9" w:rsidRDefault="00ED4C1C">
              <w:pPr>
                <w:pStyle w:val="TOC1"/>
                <w:rPr>
                  <w:rFonts w:asciiTheme="minorHAnsi" w:eastAsiaTheme="minorEastAsia" w:hAnsiTheme="minorHAnsi" w:cstheme="minorBidi"/>
                  <w:b w:val="0"/>
                  <w:color w:val="auto"/>
                  <w:sz w:val="22"/>
                </w:rPr>
              </w:pPr>
              <w:hyperlink w:anchor="_Toc452449140" w:history="1">
                <w:r w:rsidR="00B148B9" w:rsidRPr="00475232">
                  <w:rPr>
                    <w:rStyle w:val="Hyperlink"/>
                  </w:rPr>
                  <w:t>Symbols</w:t>
                </w:r>
                <w:r w:rsidR="00B148B9">
                  <w:rPr>
                    <w:webHidden/>
                  </w:rPr>
                  <w:tab/>
                </w:r>
                <w:r w:rsidR="00B148B9">
                  <w:rPr>
                    <w:webHidden/>
                  </w:rPr>
                  <w:fldChar w:fldCharType="begin"/>
                </w:r>
                <w:r w:rsidR="00B148B9">
                  <w:rPr>
                    <w:webHidden/>
                  </w:rPr>
                  <w:instrText xml:space="preserve"> PAGEREF _Toc452449140 \h </w:instrText>
                </w:r>
                <w:r w:rsidR="00B148B9">
                  <w:rPr>
                    <w:webHidden/>
                  </w:rPr>
                </w:r>
                <w:r w:rsidR="00B148B9">
                  <w:rPr>
                    <w:webHidden/>
                  </w:rPr>
                  <w:fldChar w:fldCharType="separate"/>
                </w:r>
                <w:r w:rsidR="002E45AF">
                  <w:rPr>
                    <w:webHidden/>
                  </w:rPr>
                  <w:t>xiii</w:t>
                </w:r>
                <w:r w:rsidR="00B148B9">
                  <w:rPr>
                    <w:webHidden/>
                  </w:rPr>
                  <w:fldChar w:fldCharType="end"/>
                </w:r>
              </w:hyperlink>
            </w:p>
            <w:p w14:paraId="2DF39C44" w14:textId="77777777" w:rsidR="00B148B9" w:rsidRDefault="00ED4C1C">
              <w:pPr>
                <w:pStyle w:val="TOC1"/>
                <w:rPr>
                  <w:rFonts w:asciiTheme="minorHAnsi" w:eastAsiaTheme="minorEastAsia" w:hAnsiTheme="minorHAnsi" w:cstheme="minorBidi"/>
                  <w:b w:val="0"/>
                  <w:color w:val="auto"/>
                  <w:sz w:val="22"/>
                </w:rPr>
              </w:pPr>
              <w:hyperlink w:anchor="_Toc452449141" w:history="1">
                <w:r w:rsidR="00B148B9" w:rsidRPr="00475232">
                  <w:rPr>
                    <w:rStyle w:val="Hyperlink"/>
                  </w:rPr>
                  <w:t>1</w:t>
                </w:r>
                <w:r w:rsidR="00B148B9">
                  <w:rPr>
                    <w:rFonts w:asciiTheme="minorHAnsi" w:eastAsiaTheme="minorEastAsia" w:hAnsiTheme="minorHAnsi" w:cstheme="minorBidi"/>
                    <w:b w:val="0"/>
                    <w:color w:val="auto"/>
                    <w:sz w:val="22"/>
                  </w:rPr>
                  <w:tab/>
                </w:r>
                <w:r w:rsidR="00B148B9" w:rsidRPr="00475232">
                  <w:rPr>
                    <w:rStyle w:val="Hyperlink"/>
                  </w:rPr>
                  <w:t>Introduction</w:t>
                </w:r>
                <w:r w:rsidR="00B148B9">
                  <w:rPr>
                    <w:webHidden/>
                  </w:rPr>
                  <w:tab/>
                </w:r>
                <w:r w:rsidR="00B148B9">
                  <w:rPr>
                    <w:webHidden/>
                  </w:rPr>
                  <w:fldChar w:fldCharType="begin"/>
                </w:r>
                <w:r w:rsidR="00B148B9">
                  <w:rPr>
                    <w:webHidden/>
                  </w:rPr>
                  <w:instrText xml:space="preserve"> PAGEREF _Toc452449141 \h </w:instrText>
                </w:r>
                <w:r w:rsidR="00B148B9">
                  <w:rPr>
                    <w:webHidden/>
                  </w:rPr>
                </w:r>
                <w:r w:rsidR="00B148B9">
                  <w:rPr>
                    <w:webHidden/>
                  </w:rPr>
                  <w:fldChar w:fldCharType="separate"/>
                </w:r>
                <w:r w:rsidR="002E45AF">
                  <w:rPr>
                    <w:webHidden/>
                  </w:rPr>
                  <w:t>1</w:t>
                </w:r>
                <w:r w:rsidR="00B148B9">
                  <w:rPr>
                    <w:webHidden/>
                  </w:rPr>
                  <w:fldChar w:fldCharType="end"/>
                </w:r>
              </w:hyperlink>
            </w:p>
            <w:p w14:paraId="75BEB32B" w14:textId="77777777" w:rsidR="00B148B9" w:rsidRDefault="00ED4C1C">
              <w:pPr>
                <w:pStyle w:val="TOC1"/>
                <w:rPr>
                  <w:rFonts w:asciiTheme="minorHAnsi" w:eastAsiaTheme="minorEastAsia" w:hAnsiTheme="minorHAnsi" w:cstheme="minorBidi"/>
                  <w:b w:val="0"/>
                  <w:color w:val="auto"/>
                  <w:sz w:val="22"/>
                </w:rPr>
              </w:pPr>
              <w:hyperlink w:anchor="_Toc452449142" w:history="1">
                <w:r w:rsidR="00B148B9" w:rsidRPr="00475232">
                  <w:rPr>
                    <w:rStyle w:val="Hyperlink"/>
                  </w:rPr>
                  <w:t>2</w:t>
                </w:r>
                <w:r w:rsidR="00B148B9">
                  <w:rPr>
                    <w:rFonts w:asciiTheme="minorHAnsi" w:eastAsiaTheme="minorEastAsia" w:hAnsiTheme="minorHAnsi" w:cstheme="minorBidi"/>
                    <w:b w:val="0"/>
                    <w:color w:val="auto"/>
                    <w:sz w:val="22"/>
                  </w:rPr>
                  <w:tab/>
                </w:r>
                <w:r w:rsidR="00B148B9" w:rsidRPr="00475232">
                  <w:rPr>
                    <w:rStyle w:val="Hyperlink"/>
                  </w:rPr>
                  <w:t>Conceptualisation of leaky wells</w:t>
                </w:r>
                <w:r w:rsidR="00B148B9">
                  <w:rPr>
                    <w:webHidden/>
                  </w:rPr>
                  <w:tab/>
                </w:r>
                <w:r w:rsidR="00B148B9">
                  <w:rPr>
                    <w:webHidden/>
                  </w:rPr>
                  <w:fldChar w:fldCharType="begin"/>
                </w:r>
                <w:r w:rsidR="00B148B9">
                  <w:rPr>
                    <w:webHidden/>
                  </w:rPr>
                  <w:instrText xml:space="preserve"> PAGEREF _Toc452449142 \h </w:instrText>
                </w:r>
                <w:r w:rsidR="00B148B9">
                  <w:rPr>
                    <w:webHidden/>
                  </w:rPr>
                </w:r>
                <w:r w:rsidR="00B148B9">
                  <w:rPr>
                    <w:webHidden/>
                  </w:rPr>
                  <w:fldChar w:fldCharType="separate"/>
                </w:r>
                <w:r w:rsidR="002E45AF">
                  <w:rPr>
                    <w:webHidden/>
                  </w:rPr>
                  <w:t>3</w:t>
                </w:r>
                <w:r w:rsidR="00B148B9">
                  <w:rPr>
                    <w:webHidden/>
                  </w:rPr>
                  <w:fldChar w:fldCharType="end"/>
                </w:r>
              </w:hyperlink>
            </w:p>
            <w:p w14:paraId="2FEC69FD" w14:textId="77777777" w:rsidR="00B148B9" w:rsidRDefault="00ED4C1C">
              <w:pPr>
                <w:pStyle w:val="TOC2"/>
                <w:rPr>
                  <w:rFonts w:asciiTheme="minorHAnsi" w:eastAsiaTheme="minorEastAsia" w:hAnsiTheme="minorHAnsi" w:cstheme="minorBidi"/>
                  <w:color w:val="auto"/>
                  <w:sz w:val="22"/>
                </w:rPr>
              </w:pPr>
              <w:hyperlink w:anchor="_Toc452449143" w:history="1">
                <w:r w:rsidR="00B148B9" w:rsidRPr="00475232">
                  <w:rPr>
                    <w:rStyle w:val="Hyperlink"/>
                  </w:rPr>
                  <w:t>2.1</w:t>
                </w:r>
                <w:r w:rsidR="00B148B9">
                  <w:rPr>
                    <w:rFonts w:asciiTheme="minorHAnsi" w:eastAsiaTheme="minorEastAsia" w:hAnsiTheme="minorHAnsi" w:cstheme="minorBidi"/>
                    <w:color w:val="auto"/>
                    <w:sz w:val="22"/>
                  </w:rPr>
                  <w:tab/>
                </w:r>
                <w:r w:rsidR="00B148B9" w:rsidRPr="00475232">
                  <w:rPr>
                    <w:rStyle w:val="Hyperlink"/>
                  </w:rPr>
                  <w:t>Seepage pathway conceptualisation</w:t>
                </w:r>
                <w:r w:rsidR="00B148B9">
                  <w:rPr>
                    <w:webHidden/>
                  </w:rPr>
                  <w:tab/>
                </w:r>
                <w:r w:rsidR="00B148B9">
                  <w:rPr>
                    <w:webHidden/>
                  </w:rPr>
                  <w:fldChar w:fldCharType="begin"/>
                </w:r>
                <w:r w:rsidR="00B148B9">
                  <w:rPr>
                    <w:webHidden/>
                  </w:rPr>
                  <w:instrText xml:space="preserve"> PAGEREF _Toc452449143 \h </w:instrText>
                </w:r>
                <w:r w:rsidR="00B148B9">
                  <w:rPr>
                    <w:webHidden/>
                  </w:rPr>
                </w:r>
                <w:r w:rsidR="00B148B9">
                  <w:rPr>
                    <w:webHidden/>
                  </w:rPr>
                  <w:fldChar w:fldCharType="separate"/>
                </w:r>
                <w:r w:rsidR="002E45AF">
                  <w:rPr>
                    <w:webHidden/>
                  </w:rPr>
                  <w:t>3</w:t>
                </w:r>
                <w:r w:rsidR="00B148B9">
                  <w:rPr>
                    <w:webHidden/>
                  </w:rPr>
                  <w:fldChar w:fldCharType="end"/>
                </w:r>
              </w:hyperlink>
            </w:p>
            <w:p w14:paraId="1BAAE202" w14:textId="77777777" w:rsidR="00B148B9" w:rsidRDefault="00ED4C1C">
              <w:pPr>
                <w:pStyle w:val="TOC2"/>
                <w:rPr>
                  <w:rFonts w:asciiTheme="minorHAnsi" w:eastAsiaTheme="minorEastAsia" w:hAnsiTheme="minorHAnsi" w:cstheme="minorBidi"/>
                  <w:color w:val="auto"/>
                  <w:sz w:val="22"/>
                </w:rPr>
              </w:pPr>
              <w:hyperlink w:anchor="_Toc452449144" w:history="1">
                <w:r w:rsidR="00B148B9" w:rsidRPr="00475232">
                  <w:rPr>
                    <w:rStyle w:val="Hyperlink"/>
                  </w:rPr>
                  <w:t>2.2</w:t>
                </w:r>
                <w:r w:rsidR="00B148B9">
                  <w:rPr>
                    <w:rFonts w:asciiTheme="minorHAnsi" w:eastAsiaTheme="minorEastAsia" w:hAnsiTheme="minorHAnsi" w:cstheme="minorBidi"/>
                    <w:color w:val="auto"/>
                    <w:sz w:val="22"/>
                  </w:rPr>
                  <w:tab/>
                </w:r>
                <w:r w:rsidR="00B148B9" w:rsidRPr="00475232">
                  <w:rPr>
                    <w:rStyle w:val="Hyperlink"/>
                  </w:rPr>
                  <w:t>Exploring the potential impact space with analytical solutions</w:t>
                </w:r>
                <w:r w:rsidR="00B148B9">
                  <w:rPr>
                    <w:webHidden/>
                  </w:rPr>
                  <w:tab/>
                </w:r>
                <w:r w:rsidR="00B148B9">
                  <w:rPr>
                    <w:webHidden/>
                  </w:rPr>
                  <w:fldChar w:fldCharType="begin"/>
                </w:r>
                <w:r w:rsidR="00B148B9">
                  <w:rPr>
                    <w:webHidden/>
                  </w:rPr>
                  <w:instrText xml:space="preserve"> PAGEREF _Toc452449144 \h </w:instrText>
                </w:r>
                <w:r w:rsidR="00B148B9">
                  <w:rPr>
                    <w:webHidden/>
                  </w:rPr>
                </w:r>
                <w:r w:rsidR="00B148B9">
                  <w:rPr>
                    <w:webHidden/>
                  </w:rPr>
                  <w:fldChar w:fldCharType="separate"/>
                </w:r>
                <w:r w:rsidR="002E45AF">
                  <w:rPr>
                    <w:webHidden/>
                  </w:rPr>
                  <w:t>5</w:t>
                </w:r>
                <w:r w:rsidR="00B148B9">
                  <w:rPr>
                    <w:webHidden/>
                  </w:rPr>
                  <w:fldChar w:fldCharType="end"/>
                </w:r>
              </w:hyperlink>
            </w:p>
            <w:p w14:paraId="05AD2B11" w14:textId="77777777" w:rsidR="00B148B9" w:rsidRDefault="00ED4C1C">
              <w:pPr>
                <w:pStyle w:val="TOC2"/>
                <w:rPr>
                  <w:rFonts w:asciiTheme="minorHAnsi" w:eastAsiaTheme="minorEastAsia" w:hAnsiTheme="minorHAnsi" w:cstheme="minorBidi"/>
                  <w:color w:val="auto"/>
                  <w:sz w:val="22"/>
                </w:rPr>
              </w:pPr>
              <w:hyperlink w:anchor="_Toc452449145" w:history="1">
                <w:r w:rsidR="00B148B9" w:rsidRPr="00475232">
                  <w:rPr>
                    <w:rStyle w:val="Hyperlink"/>
                  </w:rPr>
                  <w:t>2.3</w:t>
                </w:r>
                <w:r w:rsidR="00B148B9">
                  <w:rPr>
                    <w:rFonts w:asciiTheme="minorHAnsi" w:eastAsiaTheme="minorEastAsia" w:hAnsiTheme="minorHAnsi" w:cstheme="minorBidi"/>
                    <w:color w:val="auto"/>
                    <w:sz w:val="22"/>
                  </w:rPr>
                  <w:tab/>
                </w:r>
                <w:r w:rsidR="00B148B9" w:rsidRPr="00475232">
                  <w:rPr>
                    <w:rStyle w:val="Hyperlink"/>
                  </w:rPr>
                  <w:t>Well hydraulic properties</w:t>
                </w:r>
                <w:r w:rsidR="00B148B9">
                  <w:rPr>
                    <w:webHidden/>
                  </w:rPr>
                  <w:tab/>
                </w:r>
                <w:r w:rsidR="00B148B9">
                  <w:rPr>
                    <w:webHidden/>
                  </w:rPr>
                  <w:fldChar w:fldCharType="begin"/>
                </w:r>
                <w:r w:rsidR="00B148B9">
                  <w:rPr>
                    <w:webHidden/>
                  </w:rPr>
                  <w:instrText xml:space="preserve"> PAGEREF _Toc452449145 \h </w:instrText>
                </w:r>
                <w:r w:rsidR="00B148B9">
                  <w:rPr>
                    <w:webHidden/>
                  </w:rPr>
                </w:r>
                <w:r w:rsidR="00B148B9">
                  <w:rPr>
                    <w:webHidden/>
                  </w:rPr>
                  <w:fldChar w:fldCharType="separate"/>
                </w:r>
                <w:r w:rsidR="002E45AF">
                  <w:rPr>
                    <w:webHidden/>
                  </w:rPr>
                  <w:t>5</w:t>
                </w:r>
                <w:r w:rsidR="00B148B9">
                  <w:rPr>
                    <w:webHidden/>
                  </w:rPr>
                  <w:fldChar w:fldCharType="end"/>
                </w:r>
              </w:hyperlink>
            </w:p>
            <w:p w14:paraId="5F59D176" w14:textId="77777777" w:rsidR="00B148B9" w:rsidRDefault="00ED4C1C">
              <w:pPr>
                <w:pStyle w:val="TOC2"/>
                <w:rPr>
                  <w:rFonts w:asciiTheme="minorHAnsi" w:eastAsiaTheme="minorEastAsia" w:hAnsiTheme="minorHAnsi" w:cstheme="minorBidi"/>
                  <w:color w:val="auto"/>
                  <w:sz w:val="22"/>
                </w:rPr>
              </w:pPr>
              <w:hyperlink w:anchor="_Toc452449146" w:history="1">
                <w:r w:rsidR="00B148B9" w:rsidRPr="00475232">
                  <w:rPr>
                    <w:rStyle w:val="Hyperlink"/>
                  </w:rPr>
                  <w:t>2.4</w:t>
                </w:r>
                <w:r w:rsidR="00B148B9">
                  <w:rPr>
                    <w:rFonts w:asciiTheme="minorHAnsi" w:eastAsiaTheme="minorEastAsia" w:hAnsiTheme="minorHAnsi" w:cstheme="minorBidi"/>
                    <w:color w:val="auto"/>
                    <w:sz w:val="22"/>
                  </w:rPr>
                  <w:tab/>
                </w:r>
                <w:r w:rsidR="00B148B9" w:rsidRPr="00475232">
                  <w:rPr>
                    <w:rStyle w:val="Hyperlink"/>
                  </w:rPr>
                  <w:t>Well hydraulic gradient</w:t>
                </w:r>
                <w:r w:rsidR="00B148B9">
                  <w:rPr>
                    <w:webHidden/>
                  </w:rPr>
                  <w:tab/>
                </w:r>
                <w:r w:rsidR="00B148B9">
                  <w:rPr>
                    <w:webHidden/>
                  </w:rPr>
                  <w:fldChar w:fldCharType="begin"/>
                </w:r>
                <w:r w:rsidR="00B148B9">
                  <w:rPr>
                    <w:webHidden/>
                  </w:rPr>
                  <w:instrText xml:space="preserve"> PAGEREF _Toc452449146 \h </w:instrText>
                </w:r>
                <w:r w:rsidR="00B148B9">
                  <w:rPr>
                    <w:webHidden/>
                  </w:rPr>
                </w:r>
                <w:r w:rsidR="00B148B9">
                  <w:rPr>
                    <w:webHidden/>
                  </w:rPr>
                  <w:fldChar w:fldCharType="separate"/>
                </w:r>
                <w:r w:rsidR="002E45AF">
                  <w:rPr>
                    <w:webHidden/>
                  </w:rPr>
                  <w:t>6</w:t>
                </w:r>
                <w:r w:rsidR="00B148B9">
                  <w:rPr>
                    <w:webHidden/>
                  </w:rPr>
                  <w:fldChar w:fldCharType="end"/>
                </w:r>
              </w:hyperlink>
            </w:p>
            <w:p w14:paraId="13C5951B" w14:textId="77777777" w:rsidR="00B148B9" w:rsidRDefault="00ED4C1C">
              <w:pPr>
                <w:pStyle w:val="TOC1"/>
                <w:rPr>
                  <w:rFonts w:asciiTheme="minorHAnsi" w:eastAsiaTheme="minorEastAsia" w:hAnsiTheme="minorHAnsi" w:cstheme="minorBidi"/>
                  <w:b w:val="0"/>
                  <w:color w:val="auto"/>
                  <w:sz w:val="22"/>
                </w:rPr>
              </w:pPr>
              <w:hyperlink w:anchor="_Toc452449147" w:history="1">
                <w:r w:rsidR="00B148B9" w:rsidRPr="00475232">
                  <w:rPr>
                    <w:rStyle w:val="Hyperlink"/>
                  </w:rPr>
                  <w:t>3</w:t>
                </w:r>
                <w:r w:rsidR="00B148B9">
                  <w:rPr>
                    <w:rFonts w:asciiTheme="minorHAnsi" w:eastAsiaTheme="minorEastAsia" w:hAnsiTheme="minorHAnsi" w:cstheme="minorBidi"/>
                    <w:b w:val="0"/>
                    <w:color w:val="auto"/>
                    <w:sz w:val="22"/>
                  </w:rPr>
                  <w:tab/>
                </w:r>
                <w:r w:rsidR="00B148B9" w:rsidRPr="00475232">
                  <w:rPr>
                    <w:rStyle w:val="Hyperlink"/>
                  </w:rPr>
                  <w:t>Numerical model development</w:t>
                </w:r>
                <w:r w:rsidR="00B148B9">
                  <w:rPr>
                    <w:webHidden/>
                  </w:rPr>
                  <w:tab/>
                </w:r>
                <w:r w:rsidR="00B148B9">
                  <w:rPr>
                    <w:webHidden/>
                  </w:rPr>
                  <w:fldChar w:fldCharType="begin"/>
                </w:r>
                <w:r w:rsidR="00B148B9">
                  <w:rPr>
                    <w:webHidden/>
                  </w:rPr>
                  <w:instrText xml:space="preserve"> PAGEREF _Toc452449147 \h </w:instrText>
                </w:r>
                <w:r w:rsidR="00B148B9">
                  <w:rPr>
                    <w:webHidden/>
                  </w:rPr>
                </w:r>
                <w:r w:rsidR="00B148B9">
                  <w:rPr>
                    <w:webHidden/>
                  </w:rPr>
                  <w:fldChar w:fldCharType="separate"/>
                </w:r>
                <w:r w:rsidR="002E45AF">
                  <w:rPr>
                    <w:webHidden/>
                  </w:rPr>
                  <w:t>16</w:t>
                </w:r>
                <w:r w:rsidR="00B148B9">
                  <w:rPr>
                    <w:webHidden/>
                  </w:rPr>
                  <w:fldChar w:fldCharType="end"/>
                </w:r>
              </w:hyperlink>
            </w:p>
            <w:p w14:paraId="1DF5DC3E" w14:textId="77777777" w:rsidR="00B148B9" w:rsidRDefault="00ED4C1C">
              <w:pPr>
                <w:pStyle w:val="TOC1"/>
                <w:rPr>
                  <w:rFonts w:asciiTheme="minorHAnsi" w:eastAsiaTheme="minorEastAsia" w:hAnsiTheme="minorHAnsi" w:cstheme="minorBidi"/>
                  <w:b w:val="0"/>
                  <w:color w:val="auto"/>
                  <w:sz w:val="22"/>
                </w:rPr>
              </w:pPr>
              <w:hyperlink w:anchor="_Toc452449148" w:history="1">
                <w:r w:rsidR="00B148B9" w:rsidRPr="00475232">
                  <w:rPr>
                    <w:rStyle w:val="Hyperlink"/>
                  </w:rPr>
                  <w:t>4</w:t>
                </w:r>
                <w:r w:rsidR="00B148B9">
                  <w:rPr>
                    <w:rFonts w:asciiTheme="minorHAnsi" w:eastAsiaTheme="minorEastAsia" w:hAnsiTheme="minorHAnsi" w:cstheme="minorBidi"/>
                    <w:b w:val="0"/>
                    <w:color w:val="auto"/>
                    <w:sz w:val="22"/>
                  </w:rPr>
                  <w:tab/>
                </w:r>
                <w:r w:rsidR="00B148B9" w:rsidRPr="00475232">
                  <w:rPr>
                    <w:rStyle w:val="Hyperlink"/>
                  </w:rPr>
                  <w:t>Results</w:t>
                </w:r>
                <w:r w:rsidR="00B148B9">
                  <w:rPr>
                    <w:webHidden/>
                  </w:rPr>
                  <w:tab/>
                </w:r>
                <w:r w:rsidR="00B148B9">
                  <w:rPr>
                    <w:webHidden/>
                  </w:rPr>
                  <w:fldChar w:fldCharType="begin"/>
                </w:r>
                <w:r w:rsidR="00B148B9">
                  <w:rPr>
                    <w:webHidden/>
                  </w:rPr>
                  <w:instrText xml:space="preserve"> PAGEREF _Toc452449148 \h </w:instrText>
                </w:r>
                <w:r w:rsidR="00B148B9">
                  <w:rPr>
                    <w:webHidden/>
                  </w:rPr>
                </w:r>
                <w:r w:rsidR="00B148B9">
                  <w:rPr>
                    <w:webHidden/>
                  </w:rPr>
                  <w:fldChar w:fldCharType="separate"/>
                </w:r>
                <w:r w:rsidR="002E45AF">
                  <w:rPr>
                    <w:webHidden/>
                  </w:rPr>
                  <w:t>20</w:t>
                </w:r>
                <w:r w:rsidR="00B148B9">
                  <w:rPr>
                    <w:webHidden/>
                  </w:rPr>
                  <w:fldChar w:fldCharType="end"/>
                </w:r>
              </w:hyperlink>
            </w:p>
            <w:p w14:paraId="7C0EE92C" w14:textId="77777777" w:rsidR="00B148B9" w:rsidRDefault="00ED4C1C">
              <w:pPr>
                <w:pStyle w:val="TOC2"/>
                <w:rPr>
                  <w:rFonts w:asciiTheme="minorHAnsi" w:eastAsiaTheme="minorEastAsia" w:hAnsiTheme="minorHAnsi" w:cstheme="minorBidi"/>
                  <w:color w:val="auto"/>
                  <w:sz w:val="22"/>
                </w:rPr>
              </w:pPr>
              <w:hyperlink w:anchor="_Toc452449149" w:history="1">
                <w:r w:rsidR="00B148B9" w:rsidRPr="00475232">
                  <w:rPr>
                    <w:rStyle w:val="Hyperlink"/>
                  </w:rPr>
                  <w:t>4.1</w:t>
                </w:r>
                <w:r w:rsidR="00B148B9">
                  <w:rPr>
                    <w:rFonts w:asciiTheme="minorHAnsi" w:eastAsiaTheme="minorEastAsia" w:hAnsiTheme="minorHAnsi" w:cstheme="minorBidi"/>
                    <w:color w:val="auto"/>
                    <w:sz w:val="22"/>
                  </w:rPr>
                  <w:tab/>
                </w:r>
                <w:r w:rsidR="00B148B9" w:rsidRPr="00475232">
                  <w:rPr>
                    <w:rStyle w:val="Hyperlink"/>
                  </w:rPr>
                  <w:t>Comparison numerical - analytical solutions</w:t>
                </w:r>
                <w:r w:rsidR="00B148B9">
                  <w:rPr>
                    <w:webHidden/>
                  </w:rPr>
                  <w:tab/>
                </w:r>
                <w:r w:rsidR="00B148B9">
                  <w:rPr>
                    <w:webHidden/>
                  </w:rPr>
                  <w:fldChar w:fldCharType="begin"/>
                </w:r>
                <w:r w:rsidR="00B148B9">
                  <w:rPr>
                    <w:webHidden/>
                  </w:rPr>
                  <w:instrText xml:space="preserve"> PAGEREF _Toc452449149 \h </w:instrText>
                </w:r>
                <w:r w:rsidR="00B148B9">
                  <w:rPr>
                    <w:webHidden/>
                  </w:rPr>
                </w:r>
                <w:r w:rsidR="00B148B9">
                  <w:rPr>
                    <w:webHidden/>
                  </w:rPr>
                  <w:fldChar w:fldCharType="separate"/>
                </w:r>
                <w:r w:rsidR="002E45AF">
                  <w:rPr>
                    <w:webHidden/>
                  </w:rPr>
                  <w:t>20</w:t>
                </w:r>
                <w:r w:rsidR="00B148B9">
                  <w:rPr>
                    <w:webHidden/>
                  </w:rPr>
                  <w:fldChar w:fldCharType="end"/>
                </w:r>
              </w:hyperlink>
            </w:p>
            <w:p w14:paraId="63143518" w14:textId="77777777" w:rsidR="00B148B9" w:rsidRDefault="00ED4C1C">
              <w:pPr>
                <w:pStyle w:val="TOC2"/>
                <w:rPr>
                  <w:rFonts w:asciiTheme="minorHAnsi" w:eastAsiaTheme="minorEastAsia" w:hAnsiTheme="minorHAnsi" w:cstheme="minorBidi"/>
                  <w:color w:val="auto"/>
                  <w:sz w:val="22"/>
                </w:rPr>
              </w:pPr>
              <w:hyperlink w:anchor="_Toc452449150" w:history="1">
                <w:r w:rsidR="00B148B9" w:rsidRPr="00475232">
                  <w:rPr>
                    <w:rStyle w:val="Hyperlink"/>
                  </w:rPr>
                  <w:t>4.2</w:t>
                </w:r>
                <w:r w:rsidR="00B148B9">
                  <w:rPr>
                    <w:rFonts w:asciiTheme="minorHAnsi" w:eastAsiaTheme="minorEastAsia" w:hAnsiTheme="minorHAnsi" w:cstheme="minorBidi"/>
                    <w:color w:val="auto"/>
                    <w:sz w:val="22"/>
                  </w:rPr>
                  <w:tab/>
                </w:r>
                <w:r w:rsidR="00B148B9" w:rsidRPr="00475232">
                  <w:rPr>
                    <w:rStyle w:val="Hyperlink"/>
                  </w:rPr>
                  <w:t>Impact of cell dimensions</w:t>
                </w:r>
                <w:r w:rsidR="00B148B9">
                  <w:rPr>
                    <w:webHidden/>
                  </w:rPr>
                  <w:tab/>
                </w:r>
                <w:r w:rsidR="00B148B9">
                  <w:rPr>
                    <w:webHidden/>
                  </w:rPr>
                  <w:fldChar w:fldCharType="begin"/>
                </w:r>
                <w:r w:rsidR="00B148B9">
                  <w:rPr>
                    <w:webHidden/>
                  </w:rPr>
                  <w:instrText xml:space="preserve"> PAGEREF _Toc452449150 \h </w:instrText>
                </w:r>
                <w:r w:rsidR="00B148B9">
                  <w:rPr>
                    <w:webHidden/>
                  </w:rPr>
                </w:r>
                <w:r w:rsidR="00B148B9">
                  <w:rPr>
                    <w:webHidden/>
                  </w:rPr>
                  <w:fldChar w:fldCharType="separate"/>
                </w:r>
                <w:r w:rsidR="002E45AF">
                  <w:rPr>
                    <w:webHidden/>
                  </w:rPr>
                  <w:t>20</w:t>
                </w:r>
                <w:r w:rsidR="00B148B9">
                  <w:rPr>
                    <w:webHidden/>
                  </w:rPr>
                  <w:fldChar w:fldCharType="end"/>
                </w:r>
              </w:hyperlink>
            </w:p>
            <w:p w14:paraId="1945BA27" w14:textId="77777777" w:rsidR="00B148B9" w:rsidRDefault="00ED4C1C">
              <w:pPr>
                <w:pStyle w:val="TOC2"/>
                <w:rPr>
                  <w:rFonts w:asciiTheme="minorHAnsi" w:eastAsiaTheme="minorEastAsia" w:hAnsiTheme="minorHAnsi" w:cstheme="minorBidi"/>
                  <w:color w:val="auto"/>
                  <w:sz w:val="22"/>
                </w:rPr>
              </w:pPr>
              <w:hyperlink w:anchor="_Toc452449151" w:history="1">
                <w:r w:rsidR="00B148B9" w:rsidRPr="00475232">
                  <w:rPr>
                    <w:rStyle w:val="Hyperlink"/>
                  </w:rPr>
                  <w:t>4.3</w:t>
                </w:r>
                <w:r w:rsidR="00B148B9">
                  <w:rPr>
                    <w:rFonts w:asciiTheme="minorHAnsi" w:eastAsiaTheme="minorEastAsia" w:hAnsiTheme="minorHAnsi" w:cstheme="minorBidi"/>
                    <w:color w:val="auto"/>
                    <w:sz w:val="22"/>
                  </w:rPr>
                  <w:tab/>
                </w:r>
                <w:r w:rsidR="00B148B9" w:rsidRPr="00475232">
                  <w:rPr>
                    <w:rStyle w:val="Hyperlink"/>
                  </w:rPr>
                  <w:t>Metric 1: Comparison between flow through the well and flow through the aquitard</w:t>
                </w:r>
                <w:r w:rsidR="00B148B9">
                  <w:rPr>
                    <w:webHidden/>
                  </w:rPr>
                  <w:tab/>
                </w:r>
                <w:r w:rsidR="00B148B9">
                  <w:rPr>
                    <w:webHidden/>
                  </w:rPr>
                  <w:fldChar w:fldCharType="begin"/>
                </w:r>
                <w:r w:rsidR="00B148B9">
                  <w:rPr>
                    <w:webHidden/>
                  </w:rPr>
                  <w:instrText xml:space="preserve"> PAGEREF _Toc452449151 \h </w:instrText>
                </w:r>
                <w:r w:rsidR="00B148B9">
                  <w:rPr>
                    <w:webHidden/>
                  </w:rPr>
                </w:r>
                <w:r w:rsidR="00B148B9">
                  <w:rPr>
                    <w:webHidden/>
                  </w:rPr>
                  <w:fldChar w:fldCharType="separate"/>
                </w:r>
                <w:r w:rsidR="002E45AF">
                  <w:rPr>
                    <w:webHidden/>
                  </w:rPr>
                  <w:t>21</w:t>
                </w:r>
                <w:r w:rsidR="00B148B9">
                  <w:rPr>
                    <w:webHidden/>
                  </w:rPr>
                  <w:fldChar w:fldCharType="end"/>
                </w:r>
              </w:hyperlink>
            </w:p>
            <w:p w14:paraId="23033B3E" w14:textId="77777777" w:rsidR="00B148B9" w:rsidRDefault="00ED4C1C">
              <w:pPr>
                <w:pStyle w:val="TOC2"/>
                <w:rPr>
                  <w:rFonts w:asciiTheme="minorHAnsi" w:eastAsiaTheme="minorEastAsia" w:hAnsiTheme="minorHAnsi" w:cstheme="minorBidi"/>
                  <w:color w:val="auto"/>
                  <w:sz w:val="22"/>
                </w:rPr>
              </w:pPr>
              <w:hyperlink w:anchor="_Toc452449152" w:history="1">
                <w:r w:rsidR="00B148B9" w:rsidRPr="00475232">
                  <w:rPr>
                    <w:rStyle w:val="Hyperlink"/>
                  </w:rPr>
                  <w:t>4.4</w:t>
                </w:r>
                <w:r w:rsidR="00B148B9">
                  <w:rPr>
                    <w:rFonts w:asciiTheme="minorHAnsi" w:eastAsiaTheme="minorEastAsia" w:hAnsiTheme="minorHAnsi" w:cstheme="minorBidi"/>
                    <w:color w:val="auto"/>
                    <w:sz w:val="22"/>
                  </w:rPr>
                  <w:tab/>
                </w:r>
                <w:r w:rsidR="00B148B9" w:rsidRPr="00475232">
                  <w:rPr>
                    <w:rStyle w:val="Hyperlink"/>
                  </w:rPr>
                  <w:t>Metric 2: Impacts of the leaky well on aquifer recovery</w:t>
                </w:r>
                <w:r w:rsidR="00B148B9">
                  <w:rPr>
                    <w:webHidden/>
                  </w:rPr>
                  <w:tab/>
                </w:r>
                <w:r w:rsidR="00B148B9">
                  <w:rPr>
                    <w:webHidden/>
                  </w:rPr>
                  <w:fldChar w:fldCharType="begin"/>
                </w:r>
                <w:r w:rsidR="00B148B9">
                  <w:rPr>
                    <w:webHidden/>
                  </w:rPr>
                  <w:instrText xml:space="preserve"> PAGEREF _Toc452449152 \h </w:instrText>
                </w:r>
                <w:r w:rsidR="00B148B9">
                  <w:rPr>
                    <w:webHidden/>
                  </w:rPr>
                </w:r>
                <w:r w:rsidR="00B148B9">
                  <w:rPr>
                    <w:webHidden/>
                  </w:rPr>
                  <w:fldChar w:fldCharType="separate"/>
                </w:r>
                <w:r w:rsidR="002E45AF">
                  <w:rPr>
                    <w:webHidden/>
                  </w:rPr>
                  <w:t>22</w:t>
                </w:r>
                <w:r w:rsidR="00B148B9">
                  <w:rPr>
                    <w:webHidden/>
                  </w:rPr>
                  <w:fldChar w:fldCharType="end"/>
                </w:r>
              </w:hyperlink>
            </w:p>
            <w:p w14:paraId="4E048187" w14:textId="77777777" w:rsidR="00B148B9" w:rsidRDefault="00ED4C1C">
              <w:pPr>
                <w:pStyle w:val="TOC3"/>
                <w:rPr>
                  <w:rFonts w:asciiTheme="minorHAnsi" w:eastAsiaTheme="minorEastAsia" w:hAnsiTheme="minorHAnsi" w:cstheme="minorBidi"/>
                  <w:noProof/>
                  <w:color w:val="auto"/>
                  <w:sz w:val="22"/>
                </w:rPr>
              </w:pPr>
              <w:hyperlink w:anchor="_Toc452449153" w:history="1">
                <w:r w:rsidR="00B148B9" w:rsidRPr="00475232">
                  <w:rPr>
                    <w:rStyle w:val="Hyperlink"/>
                    <w:noProof/>
                  </w:rPr>
                  <w:t>4.4.1</w:t>
                </w:r>
                <w:r w:rsidR="00B148B9">
                  <w:rPr>
                    <w:rFonts w:asciiTheme="minorHAnsi" w:eastAsiaTheme="minorEastAsia" w:hAnsiTheme="minorHAnsi" w:cstheme="minorBidi"/>
                    <w:noProof/>
                    <w:color w:val="auto"/>
                    <w:sz w:val="22"/>
                  </w:rPr>
                  <w:tab/>
                </w:r>
                <w:r w:rsidR="00B148B9" w:rsidRPr="00475232">
                  <w:rPr>
                    <w:rStyle w:val="Hyperlink"/>
                    <w:noProof/>
                  </w:rPr>
                  <w:t>Scenario 1: baseline without leaky wells</w:t>
                </w:r>
                <w:r w:rsidR="00B148B9">
                  <w:rPr>
                    <w:noProof/>
                    <w:webHidden/>
                  </w:rPr>
                  <w:tab/>
                </w:r>
                <w:r w:rsidR="00B148B9">
                  <w:rPr>
                    <w:noProof/>
                    <w:webHidden/>
                  </w:rPr>
                  <w:fldChar w:fldCharType="begin"/>
                </w:r>
                <w:r w:rsidR="00B148B9">
                  <w:rPr>
                    <w:noProof/>
                    <w:webHidden/>
                  </w:rPr>
                  <w:instrText xml:space="preserve"> PAGEREF _Toc452449153 \h </w:instrText>
                </w:r>
                <w:r w:rsidR="00B148B9">
                  <w:rPr>
                    <w:noProof/>
                    <w:webHidden/>
                  </w:rPr>
                </w:r>
                <w:r w:rsidR="00B148B9">
                  <w:rPr>
                    <w:noProof/>
                    <w:webHidden/>
                  </w:rPr>
                  <w:fldChar w:fldCharType="separate"/>
                </w:r>
                <w:r w:rsidR="002E45AF">
                  <w:rPr>
                    <w:noProof/>
                    <w:webHidden/>
                  </w:rPr>
                  <w:t>22</w:t>
                </w:r>
                <w:r w:rsidR="00B148B9">
                  <w:rPr>
                    <w:noProof/>
                    <w:webHidden/>
                  </w:rPr>
                  <w:fldChar w:fldCharType="end"/>
                </w:r>
              </w:hyperlink>
            </w:p>
            <w:p w14:paraId="1DEA073D" w14:textId="77777777" w:rsidR="00B148B9" w:rsidRDefault="00ED4C1C">
              <w:pPr>
                <w:pStyle w:val="TOC3"/>
                <w:rPr>
                  <w:rFonts w:asciiTheme="minorHAnsi" w:eastAsiaTheme="minorEastAsia" w:hAnsiTheme="minorHAnsi" w:cstheme="minorBidi"/>
                  <w:noProof/>
                  <w:color w:val="auto"/>
                  <w:sz w:val="22"/>
                </w:rPr>
              </w:pPr>
              <w:hyperlink w:anchor="_Toc452449154" w:history="1">
                <w:r w:rsidR="00B148B9" w:rsidRPr="00475232">
                  <w:rPr>
                    <w:rStyle w:val="Hyperlink"/>
                    <w:noProof/>
                  </w:rPr>
                  <w:t>4.4.2</w:t>
                </w:r>
                <w:r w:rsidR="00B148B9">
                  <w:rPr>
                    <w:rFonts w:asciiTheme="minorHAnsi" w:eastAsiaTheme="minorEastAsia" w:hAnsiTheme="minorHAnsi" w:cstheme="minorBidi"/>
                    <w:noProof/>
                    <w:color w:val="auto"/>
                    <w:sz w:val="22"/>
                  </w:rPr>
                  <w:tab/>
                </w:r>
                <w:r w:rsidR="00B148B9" w:rsidRPr="00475232">
                  <w:rPr>
                    <w:rStyle w:val="Hyperlink"/>
                    <w:noProof/>
                  </w:rPr>
                  <w:t>Scenario 2: Leaky well</w:t>
                </w:r>
                <w:r w:rsidR="00B148B9">
                  <w:rPr>
                    <w:noProof/>
                    <w:webHidden/>
                  </w:rPr>
                  <w:tab/>
                </w:r>
                <w:r w:rsidR="00B148B9">
                  <w:rPr>
                    <w:noProof/>
                    <w:webHidden/>
                  </w:rPr>
                  <w:fldChar w:fldCharType="begin"/>
                </w:r>
                <w:r w:rsidR="00B148B9">
                  <w:rPr>
                    <w:noProof/>
                    <w:webHidden/>
                  </w:rPr>
                  <w:instrText xml:space="preserve"> PAGEREF _Toc452449154 \h </w:instrText>
                </w:r>
                <w:r w:rsidR="00B148B9">
                  <w:rPr>
                    <w:noProof/>
                    <w:webHidden/>
                  </w:rPr>
                </w:r>
                <w:r w:rsidR="00B148B9">
                  <w:rPr>
                    <w:noProof/>
                    <w:webHidden/>
                  </w:rPr>
                  <w:fldChar w:fldCharType="separate"/>
                </w:r>
                <w:r w:rsidR="002E45AF">
                  <w:rPr>
                    <w:noProof/>
                    <w:webHidden/>
                  </w:rPr>
                  <w:t>24</w:t>
                </w:r>
                <w:r w:rsidR="00B148B9">
                  <w:rPr>
                    <w:noProof/>
                    <w:webHidden/>
                  </w:rPr>
                  <w:fldChar w:fldCharType="end"/>
                </w:r>
              </w:hyperlink>
            </w:p>
            <w:p w14:paraId="362477EB" w14:textId="77777777" w:rsidR="00B148B9" w:rsidRDefault="00ED4C1C">
              <w:pPr>
                <w:pStyle w:val="TOC3"/>
                <w:rPr>
                  <w:rFonts w:asciiTheme="minorHAnsi" w:eastAsiaTheme="minorEastAsia" w:hAnsiTheme="minorHAnsi" w:cstheme="minorBidi"/>
                  <w:noProof/>
                  <w:color w:val="auto"/>
                  <w:sz w:val="22"/>
                </w:rPr>
              </w:pPr>
              <w:hyperlink w:anchor="_Toc452449155" w:history="1">
                <w:r w:rsidR="00B148B9" w:rsidRPr="00475232">
                  <w:rPr>
                    <w:rStyle w:val="Hyperlink"/>
                    <w:noProof/>
                  </w:rPr>
                  <w:t>4.4.3</w:t>
                </w:r>
                <w:r w:rsidR="00B148B9">
                  <w:rPr>
                    <w:rFonts w:asciiTheme="minorHAnsi" w:eastAsiaTheme="minorEastAsia" w:hAnsiTheme="minorHAnsi" w:cstheme="minorBidi"/>
                    <w:noProof/>
                    <w:color w:val="auto"/>
                    <w:sz w:val="22"/>
                  </w:rPr>
                  <w:tab/>
                </w:r>
                <w:r w:rsidR="00B148B9" w:rsidRPr="00475232">
                  <w:rPr>
                    <w:rStyle w:val="Hyperlink"/>
                    <w:noProof/>
                  </w:rPr>
                  <w:t>Scenario 3: Open well</w:t>
                </w:r>
                <w:r w:rsidR="00B148B9">
                  <w:rPr>
                    <w:noProof/>
                    <w:webHidden/>
                  </w:rPr>
                  <w:tab/>
                </w:r>
                <w:r w:rsidR="00B148B9">
                  <w:rPr>
                    <w:noProof/>
                    <w:webHidden/>
                  </w:rPr>
                  <w:fldChar w:fldCharType="begin"/>
                </w:r>
                <w:r w:rsidR="00B148B9">
                  <w:rPr>
                    <w:noProof/>
                    <w:webHidden/>
                  </w:rPr>
                  <w:instrText xml:space="preserve"> PAGEREF _Toc452449155 \h </w:instrText>
                </w:r>
                <w:r w:rsidR="00B148B9">
                  <w:rPr>
                    <w:noProof/>
                    <w:webHidden/>
                  </w:rPr>
                </w:r>
                <w:r w:rsidR="00B148B9">
                  <w:rPr>
                    <w:noProof/>
                    <w:webHidden/>
                  </w:rPr>
                  <w:fldChar w:fldCharType="separate"/>
                </w:r>
                <w:r w:rsidR="002E45AF">
                  <w:rPr>
                    <w:noProof/>
                    <w:webHidden/>
                  </w:rPr>
                  <w:t>25</w:t>
                </w:r>
                <w:r w:rsidR="00B148B9">
                  <w:rPr>
                    <w:noProof/>
                    <w:webHidden/>
                  </w:rPr>
                  <w:fldChar w:fldCharType="end"/>
                </w:r>
              </w:hyperlink>
            </w:p>
            <w:p w14:paraId="30193429" w14:textId="77777777" w:rsidR="00B148B9" w:rsidRDefault="00ED4C1C">
              <w:pPr>
                <w:pStyle w:val="TOC2"/>
                <w:rPr>
                  <w:rFonts w:asciiTheme="minorHAnsi" w:eastAsiaTheme="minorEastAsia" w:hAnsiTheme="minorHAnsi" w:cstheme="minorBidi"/>
                  <w:color w:val="auto"/>
                  <w:sz w:val="22"/>
                </w:rPr>
              </w:pPr>
              <w:hyperlink w:anchor="_Toc452449156" w:history="1">
                <w:r w:rsidR="00B148B9" w:rsidRPr="00475232">
                  <w:rPr>
                    <w:rStyle w:val="Hyperlink"/>
                  </w:rPr>
                  <w:t>4.5</w:t>
                </w:r>
                <w:r w:rsidR="00B148B9">
                  <w:rPr>
                    <w:rFonts w:asciiTheme="minorHAnsi" w:eastAsiaTheme="minorEastAsia" w:hAnsiTheme="minorHAnsi" w:cstheme="minorBidi"/>
                    <w:color w:val="auto"/>
                    <w:sz w:val="22"/>
                  </w:rPr>
                  <w:tab/>
                </w:r>
                <w:r w:rsidR="00B148B9" w:rsidRPr="00475232">
                  <w:rPr>
                    <w:rStyle w:val="Hyperlink"/>
                  </w:rPr>
                  <w:t>Metric 3: head changes around a well</w:t>
                </w:r>
                <w:r w:rsidR="00B148B9">
                  <w:rPr>
                    <w:webHidden/>
                  </w:rPr>
                  <w:tab/>
                </w:r>
                <w:r w:rsidR="00B148B9">
                  <w:rPr>
                    <w:webHidden/>
                  </w:rPr>
                  <w:fldChar w:fldCharType="begin"/>
                </w:r>
                <w:r w:rsidR="00B148B9">
                  <w:rPr>
                    <w:webHidden/>
                  </w:rPr>
                  <w:instrText xml:space="preserve"> PAGEREF _Toc452449156 \h </w:instrText>
                </w:r>
                <w:r w:rsidR="00B148B9">
                  <w:rPr>
                    <w:webHidden/>
                  </w:rPr>
                </w:r>
                <w:r w:rsidR="00B148B9">
                  <w:rPr>
                    <w:webHidden/>
                  </w:rPr>
                  <w:fldChar w:fldCharType="separate"/>
                </w:r>
                <w:r w:rsidR="002E45AF">
                  <w:rPr>
                    <w:webHidden/>
                  </w:rPr>
                  <w:t>26</w:t>
                </w:r>
                <w:r w:rsidR="00B148B9">
                  <w:rPr>
                    <w:webHidden/>
                  </w:rPr>
                  <w:fldChar w:fldCharType="end"/>
                </w:r>
              </w:hyperlink>
            </w:p>
            <w:p w14:paraId="51F2CECD" w14:textId="77777777" w:rsidR="00B148B9" w:rsidRDefault="00ED4C1C">
              <w:pPr>
                <w:pStyle w:val="TOC3"/>
                <w:rPr>
                  <w:rFonts w:asciiTheme="minorHAnsi" w:eastAsiaTheme="minorEastAsia" w:hAnsiTheme="minorHAnsi" w:cstheme="minorBidi"/>
                  <w:noProof/>
                  <w:color w:val="auto"/>
                  <w:sz w:val="22"/>
                </w:rPr>
              </w:pPr>
              <w:hyperlink w:anchor="_Toc452449157" w:history="1">
                <w:r w:rsidR="00B148B9" w:rsidRPr="00475232">
                  <w:rPr>
                    <w:rStyle w:val="Hyperlink"/>
                    <w:noProof/>
                  </w:rPr>
                  <w:t>4.5.1</w:t>
                </w:r>
                <w:r w:rsidR="00B148B9">
                  <w:rPr>
                    <w:rFonts w:asciiTheme="minorHAnsi" w:eastAsiaTheme="minorEastAsia" w:hAnsiTheme="minorHAnsi" w:cstheme="minorBidi"/>
                    <w:noProof/>
                    <w:color w:val="auto"/>
                    <w:sz w:val="22"/>
                  </w:rPr>
                  <w:tab/>
                </w:r>
                <w:r w:rsidR="00B148B9" w:rsidRPr="00475232">
                  <w:rPr>
                    <w:rStyle w:val="Hyperlink"/>
                    <w:noProof/>
                  </w:rPr>
                  <w:t>Scenario 1: baseline without leaky wells</w:t>
                </w:r>
                <w:r w:rsidR="00B148B9">
                  <w:rPr>
                    <w:noProof/>
                    <w:webHidden/>
                  </w:rPr>
                  <w:tab/>
                </w:r>
                <w:r w:rsidR="00B148B9">
                  <w:rPr>
                    <w:noProof/>
                    <w:webHidden/>
                  </w:rPr>
                  <w:fldChar w:fldCharType="begin"/>
                </w:r>
                <w:r w:rsidR="00B148B9">
                  <w:rPr>
                    <w:noProof/>
                    <w:webHidden/>
                  </w:rPr>
                  <w:instrText xml:space="preserve"> PAGEREF _Toc452449157 \h </w:instrText>
                </w:r>
                <w:r w:rsidR="00B148B9">
                  <w:rPr>
                    <w:noProof/>
                    <w:webHidden/>
                  </w:rPr>
                </w:r>
                <w:r w:rsidR="00B148B9">
                  <w:rPr>
                    <w:noProof/>
                    <w:webHidden/>
                  </w:rPr>
                  <w:fldChar w:fldCharType="separate"/>
                </w:r>
                <w:r w:rsidR="002E45AF">
                  <w:rPr>
                    <w:noProof/>
                    <w:webHidden/>
                  </w:rPr>
                  <w:t>26</w:t>
                </w:r>
                <w:r w:rsidR="00B148B9">
                  <w:rPr>
                    <w:noProof/>
                    <w:webHidden/>
                  </w:rPr>
                  <w:fldChar w:fldCharType="end"/>
                </w:r>
              </w:hyperlink>
            </w:p>
            <w:p w14:paraId="6AF47A5E" w14:textId="77777777" w:rsidR="00B148B9" w:rsidRDefault="00ED4C1C">
              <w:pPr>
                <w:pStyle w:val="TOC3"/>
                <w:rPr>
                  <w:rFonts w:asciiTheme="minorHAnsi" w:eastAsiaTheme="minorEastAsia" w:hAnsiTheme="minorHAnsi" w:cstheme="minorBidi"/>
                  <w:noProof/>
                  <w:color w:val="auto"/>
                  <w:sz w:val="22"/>
                </w:rPr>
              </w:pPr>
              <w:hyperlink w:anchor="_Toc452449158" w:history="1">
                <w:r w:rsidR="00B148B9" w:rsidRPr="00475232">
                  <w:rPr>
                    <w:rStyle w:val="Hyperlink"/>
                    <w:noProof/>
                  </w:rPr>
                  <w:t>4.5.2</w:t>
                </w:r>
                <w:r w:rsidR="00B148B9">
                  <w:rPr>
                    <w:rFonts w:asciiTheme="minorHAnsi" w:eastAsiaTheme="minorEastAsia" w:hAnsiTheme="minorHAnsi" w:cstheme="minorBidi"/>
                    <w:noProof/>
                    <w:color w:val="auto"/>
                    <w:sz w:val="22"/>
                  </w:rPr>
                  <w:tab/>
                </w:r>
                <w:r w:rsidR="00B148B9" w:rsidRPr="00475232">
                  <w:rPr>
                    <w:rStyle w:val="Hyperlink"/>
                    <w:noProof/>
                  </w:rPr>
                  <w:t>Scenario 2: Leaky well</w:t>
                </w:r>
                <w:r w:rsidR="00B148B9">
                  <w:rPr>
                    <w:noProof/>
                    <w:webHidden/>
                  </w:rPr>
                  <w:tab/>
                </w:r>
                <w:r w:rsidR="00B148B9">
                  <w:rPr>
                    <w:noProof/>
                    <w:webHidden/>
                  </w:rPr>
                  <w:fldChar w:fldCharType="begin"/>
                </w:r>
                <w:r w:rsidR="00B148B9">
                  <w:rPr>
                    <w:noProof/>
                    <w:webHidden/>
                  </w:rPr>
                  <w:instrText xml:space="preserve"> PAGEREF _Toc452449158 \h </w:instrText>
                </w:r>
                <w:r w:rsidR="00B148B9">
                  <w:rPr>
                    <w:noProof/>
                    <w:webHidden/>
                  </w:rPr>
                </w:r>
                <w:r w:rsidR="00B148B9">
                  <w:rPr>
                    <w:noProof/>
                    <w:webHidden/>
                  </w:rPr>
                  <w:fldChar w:fldCharType="separate"/>
                </w:r>
                <w:r w:rsidR="002E45AF">
                  <w:rPr>
                    <w:noProof/>
                    <w:webHidden/>
                  </w:rPr>
                  <w:t>28</w:t>
                </w:r>
                <w:r w:rsidR="00B148B9">
                  <w:rPr>
                    <w:noProof/>
                    <w:webHidden/>
                  </w:rPr>
                  <w:fldChar w:fldCharType="end"/>
                </w:r>
              </w:hyperlink>
            </w:p>
            <w:p w14:paraId="40075791" w14:textId="77777777" w:rsidR="00B148B9" w:rsidRDefault="00ED4C1C">
              <w:pPr>
                <w:pStyle w:val="TOC3"/>
                <w:rPr>
                  <w:rFonts w:asciiTheme="minorHAnsi" w:eastAsiaTheme="minorEastAsia" w:hAnsiTheme="minorHAnsi" w:cstheme="minorBidi"/>
                  <w:noProof/>
                  <w:color w:val="auto"/>
                  <w:sz w:val="22"/>
                </w:rPr>
              </w:pPr>
              <w:hyperlink w:anchor="_Toc452449159" w:history="1">
                <w:r w:rsidR="00B148B9" w:rsidRPr="00475232">
                  <w:rPr>
                    <w:rStyle w:val="Hyperlink"/>
                    <w:noProof/>
                  </w:rPr>
                  <w:t>4.5.3</w:t>
                </w:r>
                <w:r w:rsidR="00B148B9">
                  <w:rPr>
                    <w:rFonts w:asciiTheme="minorHAnsi" w:eastAsiaTheme="minorEastAsia" w:hAnsiTheme="minorHAnsi" w:cstheme="minorBidi"/>
                    <w:noProof/>
                    <w:color w:val="auto"/>
                    <w:sz w:val="22"/>
                  </w:rPr>
                  <w:tab/>
                </w:r>
                <w:r w:rsidR="00B148B9" w:rsidRPr="00475232">
                  <w:rPr>
                    <w:rStyle w:val="Hyperlink"/>
                    <w:noProof/>
                  </w:rPr>
                  <w:t>Scenario 3: Open well</w:t>
                </w:r>
                <w:r w:rsidR="00B148B9">
                  <w:rPr>
                    <w:noProof/>
                    <w:webHidden/>
                  </w:rPr>
                  <w:tab/>
                </w:r>
                <w:r w:rsidR="00B148B9">
                  <w:rPr>
                    <w:noProof/>
                    <w:webHidden/>
                  </w:rPr>
                  <w:fldChar w:fldCharType="begin"/>
                </w:r>
                <w:r w:rsidR="00B148B9">
                  <w:rPr>
                    <w:noProof/>
                    <w:webHidden/>
                  </w:rPr>
                  <w:instrText xml:space="preserve"> PAGEREF _Toc452449159 \h </w:instrText>
                </w:r>
                <w:r w:rsidR="00B148B9">
                  <w:rPr>
                    <w:noProof/>
                    <w:webHidden/>
                  </w:rPr>
                </w:r>
                <w:r w:rsidR="00B148B9">
                  <w:rPr>
                    <w:noProof/>
                    <w:webHidden/>
                  </w:rPr>
                  <w:fldChar w:fldCharType="separate"/>
                </w:r>
                <w:r w:rsidR="002E45AF">
                  <w:rPr>
                    <w:noProof/>
                    <w:webHidden/>
                  </w:rPr>
                  <w:t>30</w:t>
                </w:r>
                <w:r w:rsidR="00B148B9">
                  <w:rPr>
                    <w:noProof/>
                    <w:webHidden/>
                  </w:rPr>
                  <w:fldChar w:fldCharType="end"/>
                </w:r>
              </w:hyperlink>
            </w:p>
            <w:p w14:paraId="74B73368" w14:textId="77777777" w:rsidR="00B148B9" w:rsidRDefault="00ED4C1C">
              <w:pPr>
                <w:pStyle w:val="TOC1"/>
                <w:rPr>
                  <w:rFonts w:asciiTheme="minorHAnsi" w:eastAsiaTheme="minorEastAsia" w:hAnsiTheme="minorHAnsi" w:cstheme="minorBidi"/>
                  <w:b w:val="0"/>
                  <w:color w:val="auto"/>
                  <w:sz w:val="22"/>
                </w:rPr>
              </w:pPr>
              <w:hyperlink w:anchor="_Toc452449160" w:history="1">
                <w:r w:rsidR="00B148B9" w:rsidRPr="00475232">
                  <w:rPr>
                    <w:rStyle w:val="Hyperlink"/>
                  </w:rPr>
                  <w:t>5</w:t>
                </w:r>
                <w:r w:rsidR="00B148B9">
                  <w:rPr>
                    <w:rFonts w:asciiTheme="minorHAnsi" w:eastAsiaTheme="minorEastAsia" w:hAnsiTheme="minorHAnsi" w:cstheme="minorBidi"/>
                    <w:b w:val="0"/>
                    <w:color w:val="auto"/>
                    <w:sz w:val="22"/>
                  </w:rPr>
                  <w:tab/>
                </w:r>
                <w:r w:rsidR="00B148B9" w:rsidRPr="00475232">
                  <w:rPr>
                    <w:rStyle w:val="Hyperlink"/>
                  </w:rPr>
                  <w:t>Discussion</w:t>
                </w:r>
                <w:r w:rsidR="00B148B9">
                  <w:rPr>
                    <w:webHidden/>
                  </w:rPr>
                  <w:tab/>
                </w:r>
                <w:r w:rsidR="00B148B9">
                  <w:rPr>
                    <w:webHidden/>
                  </w:rPr>
                  <w:fldChar w:fldCharType="begin"/>
                </w:r>
                <w:r w:rsidR="00B148B9">
                  <w:rPr>
                    <w:webHidden/>
                  </w:rPr>
                  <w:instrText xml:space="preserve"> PAGEREF _Toc452449160 \h </w:instrText>
                </w:r>
                <w:r w:rsidR="00B148B9">
                  <w:rPr>
                    <w:webHidden/>
                  </w:rPr>
                </w:r>
                <w:r w:rsidR="00B148B9">
                  <w:rPr>
                    <w:webHidden/>
                  </w:rPr>
                  <w:fldChar w:fldCharType="separate"/>
                </w:r>
                <w:r w:rsidR="002E45AF">
                  <w:rPr>
                    <w:webHidden/>
                  </w:rPr>
                  <w:t>33</w:t>
                </w:r>
                <w:r w:rsidR="00B148B9">
                  <w:rPr>
                    <w:webHidden/>
                  </w:rPr>
                  <w:fldChar w:fldCharType="end"/>
                </w:r>
              </w:hyperlink>
            </w:p>
            <w:p w14:paraId="333C25E7" w14:textId="77777777" w:rsidR="00B148B9" w:rsidRDefault="00ED4C1C">
              <w:pPr>
                <w:pStyle w:val="TOC1"/>
                <w:rPr>
                  <w:rFonts w:asciiTheme="minorHAnsi" w:eastAsiaTheme="minorEastAsia" w:hAnsiTheme="minorHAnsi" w:cstheme="minorBidi"/>
                  <w:b w:val="0"/>
                  <w:color w:val="auto"/>
                  <w:sz w:val="22"/>
                </w:rPr>
              </w:pPr>
              <w:hyperlink w:anchor="_Toc452449161" w:history="1">
                <w:r w:rsidR="00B148B9" w:rsidRPr="00475232">
                  <w:rPr>
                    <w:rStyle w:val="Hyperlink"/>
                  </w:rPr>
                  <w:t>6</w:t>
                </w:r>
                <w:r w:rsidR="00B148B9">
                  <w:rPr>
                    <w:rFonts w:asciiTheme="minorHAnsi" w:eastAsiaTheme="minorEastAsia" w:hAnsiTheme="minorHAnsi" w:cstheme="minorBidi"/>
                    <w:b w:val="0"/>
                    <w:color w:val="auto"/>
                    <w:sz w:val="22"/>
                  </w:rPr>
                  <w:tab/>
                </w:r>
                <w:r w:rsidR="00B148B9" w:rsidRPr="00475232">
                  <w:rPr>
                    <w:rStyle w:val="Hyperlink"/>
                  </w:rPr>
                  <w:t>Conclusions</w:t>
                </w:r>
                <w:r w:rsidR="00B148B9">
                  <w:rPr>
                    <w:webHidden/>
                  </w:rPr>
                  <w:tab/>
                </w:r>
                <w:r w:rsidR="00B148B9">
                  <w:rPr>
                    <w:webHidden/>
                  </w:rPr>
                  <w:fldChar w:fldCharType="begin"/>
                </w:r>
                <w:r w:rsidR="00B148B9">
                  <w:rPr>
                    <w:webHidden/>
                  </w:rPr>
                  <w:instrText xml:space="preserve"> PAGEREF _Toc452449161 \h </w:instrText>
                </w:r>
                <w:r w:rsidR="00B148B9">
                  <w:rPr>
                    <w:webHidden/>
                  </w:rPr>
                </w:r>
                <w:r w:rsidR="00B148B9">
                  <w:rPr>
                    <w:webHidden/>
                  </w:rPr>
                  <w:fldChar w:fldCharType="separate"/>
                </w:r>
                <w:r w:rsidR="002E45AF">
                  <w:rPr>
                    <w:webHidden/>
                  </w:rPr>
                  <w:t>35</w:t>
                </w:r>
                <w:r w:rsidR="00B148B9">
                  <w:rPr>
                    <w:webHidden/>
                  </w:rPr>
                  <w:fldChar w:fldCharType="end"/>
                </w:r>
              </w:hyperlink>
            </w:p>
            <w:p w14:paraId="2586D1FB" w14:textId="77777777" w:rsidR="00B148B9" w:rsidRDefault="00ED4C1C">
              <w:pPr>
                <w:pStyle w:val="TOC1"/>
                <w:rPr>
                  <w:rFonts w:asciiTheme="minorHAnsi" w:eastAsiaTheme="minorEastAsia" w:hAnsiTheme="minorHAnsi" w:cstheme="minorBidi"/>
                  <w:b w:val="0"/>
                  <w:color w:val="auto"/>
                  <w:sz w:val="22"/>
                </w:rPr>
              </w:pPr>
              <w:hyperlink w:anchor="_Toc452449162" w:history="1">
                <w:r w:rsidR="00B148B9" w:rsidRPr="00475232">
                  <w:rPr>
                    <w:rStyle w:val="Hyperlink"/>
                  </w:rPr>
                  <w:t>7</w:t>
                </w:r>
                <w:r w:rsidR="00B148B9">
                  <w:rPr>
                    <w:rFonts w:asciiTheme="minorHAnsi" w:eastAsiaTheme="minorEastAsia" w:hAnsiTheme="minorHAnsi" w:cstheme="minorBidi"/>
                    <w:b w:val="0"/>
                    <w:color w:val="auto"/>
                    <w:sz w:val="22"/>
                  </w:rPr>
                  <w:tab/>
                </w:r>
                <w:r w:rsidR="00B148B9" w:rsidRPr="00475232">
                  <w:rPr>
                    <w:rStyle w:val="Hyperlink"/>
                  </w:rPr>
                  <w:t>References</w:t>
                </w:r>
                <w:r w:rsidR="00B148B9">
                  <w:rPr>
                    <w:webHidden/>
                  </w:rPr>
                  <w:tab/>
                </w:r>
                <w:r w:rsidR="00B148B9">
                  <w:rPr>
                    <w:webHidden/>
                  </w:rPr>
                  <w:fldChar w:fldCharType="begin"/>
                </w:r>
                <w:r w:rsidR="00B148B9">
                  <w:rPr>
                    <w:webHidden/>
                  </w:rPr>
                  <w:instrText xml:space="preserve"> PAGEREF _Toc452449162 \h </w:instrText>
                </w:r>
                <w:r w:rsidR="00B148B9">
                  <w:rPr>
                    <w:webHidden/>
                  </w:rPr>
                </w:r>
                <w:r w:rsidR="00B148B9">
                  <w:rPr>
                    <w:webHidden/>
                  </w:rPr>
                  <w:fldChar w:fldCharType="separate"/>
                </w:r>
                <w:r w:rsidR="002E45AF">
                  <w:rPr>
                    <w:webHidden/>
                  </w:rPr>
                  <w:t>36</w:t>
                </w:r>
                <w:r w:rsidR="00B148B9">
                  <w:rPr>
                    <w:webHidden/>
                  </w:rPr>
                  <w:fldChar w:fldCharType="end"/>
                </w:r>
              </w:hyperlink>
            </w:p>
            <w:p w14:paraId="7002ABE8" w14:textId="5E408054" w:rsidR="00D470A3" w:rsidRDefault="00D470A3" w:rsidP="00100240">
              <w:pPr>
                <w:pStyle w:val="TOC1"/>
                <w:rPr>
                  <w:b w:val="0"/>
                  <w:noProof w:val="0"/>
                  <w:sz w:val="22"/>
                  <w:lang w:val="en-US" w:eastAsia="ja-JP"/>
                </w:rPr>
              </w:pPr>
              <w:r>
                <w:rPr>
                  <w:bCs/>
                </w:rPr>
                <w:fldChar w:fldCharType="end"/>
              </w:r>
            </w:p>
          </w:sdtContent>
        </w:sdt>
        <w:p w14:paraId="7A8FAF5E" w14:textId="63741DAF" w:rsidR="00D85352" w:rsidRDefault="00D85352" w:rsidP="00D75450">
          <w:pPr>
            <w:pStyle w:val="Heading1"/>
            <w:numPr>
              <w:ilvl w:val="0"/>
              <w:numId w:val="0"/>
            </w:numPr>
            <w:ind w:left="1134" w:hanging="1134"/>
          </w:pPr>
          <w:bookmarkStart w:id="22" w:name="_Toc452449135"/>
          <w:r>
            <w:t>List of Figures</w:t>
          </w:r>
          <w:bookmarkEnd w:id="22"/>
        </w:p>
        <w:p w14:paraId="029E87FC" w14:textId="77777777" w:rsidR="003D2865" w:rsidRDefault="00D85352">
          <w:pPr>
            <w:pStyle w:val="TableofFigures"/>
            <w:rPr>
              <w:rFonts w:asciiTheme="minorHAnsi" w:eastAsiaTheme="minorEastAsia" w:hAnsiTheme="minorHAnsi" w:cstheme="minorBidi"/>
              <w:noProof/>
              <w:color w:val="auto"/>
              <w:sz w:val="22"/>
            </w:rPr>
          </w:pPr>
          <w:r>
            <w:rPr>
              <w:rStyle w:val="Hyperlink"/>
              <w:noProof/>
              <w:szCs w:val="18"/>
            </w:rPr>
            <w:fldChar w:fldCharType="begin"/>
          </w:r>
          <w:r>
            <w:rPr>
              <w:rStyle w:val="Hyperlink"/>
              <w:noProof/>
              <w:szCs w:val="18"/>
            </w:rPr>
            <w:instrText xml:space="preserve"> TOC \h \z \c "Figure" </w:instrText>
          </w:r>
          <w:r>
            <w:rPr>
              <w:rStyle w:val="Hyperlink"/>
              <w:noProof/>
              <w:szCs w:val="18"/>
            </w:rPr>
            <w:fldChar w:fldCharType="separate"/>
          </w:r>
          <w:hyperlink w:anchor="_Toc508266507" w:history="1">
            <w:r w:rsidR="003D2865" w:rsidRPr="007D2F0B">
              <w:rPr>
                <w:rStyle w:val="Hyperlink"/>
                <w:noProof/>
              </w:rPr>
              <w:t>Figure 1 Pathways for water movement in cemented wellbores: flow through microannulus between cement and rock matrix (1) or steel casing (2), flow through deteriorated cemented annulus (3), flow through deteriorated cement plugs (4), flow through microannulus between plug and casing (5), and flow through corroded or sheared casing (6). Upward flow is equally possible when H</w:t>
            </w:r>
            <w:r w:rsidR="003D2865" w:rsidRPr="007D2F0B">
              <w:rPr>
                <w:rStyle w:val="Hyperlink"/>
                <w:noProof/>
                <w:vertAlign w:val="subscript"/>
              </w:rPr>
              <w:t>2</w:t>
            </w:r>
            <w:r w:rsidR="003D2865" w:rsidRPr="007D2F0B">
              <w:rPr>
                <w:rStyle w:val="Hyperlink"/>
                <w:noProof/>
              </w:rPr>
              <w:t xml:space="preserve"> &gt; H</w:t>
            </w:r>
            <w:r w:rsidR="003D2865" w:rsidRPr="007D2F0B">
              <w:rPr>
                <w:rStyle w:val="Hyperlink"/>
                <w:noProof/>
                <w:vertAlign w:val="subscript"/>
              </w:rPr>
              <w:t>1</w:t>
            </w:r>
            <w:r w:rsidR="003D2865" w:rsidRPr="007D2F0B">
              <w:rPr>
                <w:rStyle w:val="Hyperlink"/>
                <w:noProof/>
              </w:rPr>
              <w:t>. Not to scale [Wu et al. 2018].</w:t>
            </w:r>
            <w:r w:rsidR="003D2865">
              <w:rPr>
                <w:noProof/>
                <w:webHidden/>
              </w:rPr>
              <w:tab/>
            </w:r>
            <w:r w:rsidR="003D2865">
              <w:rPr>
                <w:noProof/>
                <w:webHidden/>
              </w:rPr>
              <w:fldChar w:fldCharType="begin"/>
            </w:r>
            <w:r w:rsidR="003D2865">
              <w:rPr>
                <w:noProof/>
                <w:webHidden/>
              </w:rPr>
              <w:instrText xml:space="preserve"> PAGEREF _Toc508266507 \h </w:instrText>
            </w:r>
            <w:r w:rsidR="003D2865">
              <w:rPr>
                <w:noProof/>
                <w:webHidden/>
              </w:rPr>
            </w:r>
            <w:r w:rsidR="003D2865">
              <w:rPr>
                <w:noProof/>
                <w:webHidden/>
              </w:rPr>
              <w:fldChar w:fldCharType="separate"/>
            </w:r>
            <w:r w:rsidR="002E45AF">
              <w:rPr>
                <w:noProof/>
                <w:webHidden/>
              </w:rPr>
              <w:t>4</w:t>
            </w:r>
            <w:r w:rsidR="003D2865">
              <w:rPr>
                <w:noProof/>
                <w:webHidden/>
              </w:rPr>
              <w:fldChar w:fldCharType="end"/>
            </w:r>
          </w:hyperlink>
        </w:p>
        <w:p w14:paraId="16D38193" w14:textId="77777777" w:rsidR="003D2865" w:rsidRDefault="00ED4C1C">
          <w:pPr>
            <w:pStyle w:val="TableofFigures"/>
            <w:rPr>
              <w:rFonts w:asciiTheme="minorHAnsi" w:eastAsiaTheme="minorEastAsia" w:hAnsiTheme="minorHAnsi" w:cstheme="minorBidi"/>
              <w:noProof/>
              <w:color w:val="auto"/>
              <w:sz w:val="22"/>
            </w:rPr>
          </w:pPr>
          <w:hyperlink w:anchor="_Toc508266508" w:history="1">
            <w:r w:rsidR="003D2865" w:rsidRPr="007D2F0B">
              <w:rPr>
                <w:rStyle w:val="Hyperlink"/>
                <w:noProof/>
              </w:rPr>
              <w:t>Figure 2 Relationship between cement core porosity and hydraulic conductivity, and where provided, effective well conductivity, based on data from the studies noted in the legend. Each study is indicated by a different symbol, cement conductivity is shown as solid symbols, effective well conductivity is shown as open symbols, and the age of the wellbore is indicated by the colour of the symbol: &lt; 20 years – black; 20-40 years – blue; &gt; 40 years – red. (Wu et al. 2018).</w:t>
            </w:r>
            <w:r w:rsidR="003D2865">
              <w:rPr>
                <w:noProof/>
                <w:webHidden/>
              </w:rPr>
              <w:tab/>
            </w:r>
            <w:r w:rsidR="003D2865">
              <w:rPr>
                <w:noProof/>
                <w:webHidden/>
              </w:rPr>
              <w:fldChar w:fldCharType="begin"/>
            </w:r>
            <w:r w:rsidR="003D2865">
              <w:rPr>
                <w:noProof/>
                <w:webHidden/>
              </w:rPr>
              <w:instrText xml:space="preserve"> PAGEREF _Toc508266508 \h </w:instrText>
            </w:r>
            <w:r w:rsidR="003D2865">
              <w:rPr>
                <w:noProof/>
                <w:webHidden/>
              </w:rPr>
            </w:r>
            <w:r w:rsidR="003D2865">
              <w:rPr>
                <w:noProof/>
                <w:webHidden/>
              </w:rPr>
              <w:fldChar w:fldCharType="separate"/>
            </w:r>
            <w:r w:rsidR="002E45AF">
              <w:rPr>
                <w:noProof/>
                <w:webHidden/>
              </w:rPr>
              <w:t>5</w:t>
            </w:r>
            <w:r w:rsidR="003D2865">
              <w:rPr>
                <w:noProof/>
                <w:webHidden/>
              </w:rPr>
              <w:fldChar w:fldCharType="end"/>
            </w:r>
          </w:hyperlink>
        </w:p>
        <w:p w14:paraId="4B1EB2A1" w14:textId="77777777" w:rsidR="003D2865" w:rsidRDefault="00ED4C1C">
          <w:pPr>
            <w:pStyle w:val="TableofFigures"/>
            <w:rPr>
              <w:rFonts w:asciiTheme="minorHAnsi" w:eastAsiaTheme="minorEastAsia" w:hAnsiTheme="minorHAnsi" w:cstheme="minorBidi"/>
              <w:noProof/>
              <w:color w:val="auto"/>
              <w:sz w:val="22"/>
            </w:rPr>
          </w:pPr>
          <w:hyperlink w:anchor="_Toc508266509" w:history="1">
            <w:r w:rsidR="003D2865" w:rsidRPr="007D2F0B">
              <w:rPr>
                <w:rStyle w:val="Hyperlink"/>
                <w:noProof/>
              </w:rPr>
              <w:t>Figure 3 Schematic of aquifer-aquitard system considered for impact assessments using analytical solutions.</w:t>
            </w:r>
            <w:r w:rsidR="003D2865">
              <w:rPr>
                <w:noProof/>
                <w:webHidden/>
              </w:rPr>
              <w:tab/>
            </w:r>
            <w:r w:rsidR="003D2865">
              <w:rPr>
                <w:noProof/>
                <w:webHidden/>
              </w:rPr>
              <w:fldChar w:fldCharType="begin"/>
            </w:r>
            <w:r w:rsidR="003D2865">
              <w:rPr>
                <w:noProof/>
                <w:webHidden/>
              </w:rPr>
              <w:instrText xml:space="preserve"> PAGEREF _Toc508266509 \h </w:instrText>
            </w:r>
            <w:r w:rsidR="003D2865">
              <w:rPr>
                <w:noProof/>
                <w:webHidden/>
              </w:rPr>
            </w:r>
            <w:r w:rsidR="003D2865">
              <w:rPr>
                <w:noProof/>
                <w:webHidden/>
              </w:rPr>
              <w:fldChar w:fldCharType="separate"/>
            </w:r>
            <w:r w:rsidR="002E45AF">
              <w:rPr>
                <w:noProof/>
                <w:webHidden/>
              </w:rPr>
              <w:t>7</w:t>
            </w:r>
            <w:r w:rsidR="003D2865">
              <w:rPr>
                <w:noProof/>
                <w:webHidden/>
              </w:rPr>
              <w:fldChar w:fldCharType="end"/>
            </w:r>
          </w:hyperlink>
        </w:p>
        <w:p w14:paraId="73B7AD3E" w14:textId="77777777" w:rsidR="003D2865" w:rsidRDefault="00ED4C1C">
          <w:pPr>
            <w:pStyle w:val="TableofFigures"/>
            <w:rPr>
              <w:rFonts w:asciiTheme="minorHAnsi" w:eastAsiaTheme="minorEastAsia" w:hAnsiTheme="minorHAnsi" w:cstheme="minorBidi"/>
              <w:noProof/>
              <w:color w:val="auto"/>
              <w:sz w:val="22"/>
            </w:rPr>
          </w:pPr>
          <w:hyperlink w:anchor="_Toc508266510" w:history="1">
            <w:r w:rsidR="003D2865" w:rsidRPr="007D2F0B">
              <w:rPr>
                <w:rStyle w:val="Hyperlink"/>
                <w:noProof/>
              </w:rPr>
              <w:t>Figure 4 Leaky wells within an aquitard.</w:t>
            </w:r>
            <w:r w:rsidR="003D2865">
              <w:rPr>
                <w:noProof/>
                <w:webHidden/>
              </w:rPr>
              <w:tab/>
            </w:r>
            <w:r w:rsidR="003D2865">
              <w:rPr>
                <w:noProof/>
                <w:webHidden/>
              </w:rPr>
              <w:fldChar w:fldCharType="begin"/>
            </w:r>
            <w:r w:rsidR="003D2865">
              <w:rPr>
                <w:noProof/>
                <w:webHidden/>
              </w:rPr>
              <w:instrText xml:space="preserve"> PAGEREF _Toc508266510 \h </w:instrText>
            </w:r>
            <w:r w:rsidR="003D2865">
              <w:rPr>
                <w:noProof/>
                <w:webHidden/>
              </w:rPr>
            </w:r>
            <w:r w:rsidR="003D2865">
              <w:rPr>
                <w:noProof/>
                <w:webHidden/>
              </w:rPr>
              <w:fldChar w:fldCharType="separate"/>
            </w:r>
            <w:r w:rsidR="002E45AF">
              <w:rPr>
                <w:noProof/>
                <w:webHidden/>
              </w:rPr>
              <w:t>9</w:t>
            </w:r>
            <w:r w:rsidR="003D2865">
              <w:rPr>
                <w:noProof/>
                <w:webHidden/>
              </w:rPr>
              <w:fldChar w:fldCharType="end"/>
            </w:r>
          </w:hyperlink>
        </w:p>
        <w:p w14:paraId="687E0CCC" w14:textId="77777777" w:rsidR="003D2865" w:rsidRDefault="00ED4C1C">
          <w:pPr>
            <w:pStyle w:val="TableofFigures"/>
            <w:rPr>
              <w:rFonts w:asciiTheme="minorHAnsi" w:eastAsiaTheme="minorEastAsia" w:hAnsiTheme="minorHAnsi" w:cstheme="minorBidi"/>
              <w:noProof/>
              <w:color w:val="auto"/>
              <w:sz w:val="22"/>
            </w:rPr>
          </w:pPr>
          <w:hyperlink w:anchor="_Toc508266511" w:history="1">
            <w:r w:rsidR="003D2865" w:rsidRPr="007D2F0B">
              <w:rPr>
                <w:rStyle w:val="Hyperlink"/>
                <w:noProof/>
              </w:rPr>
              <w:t>Figure 5 Equivalent hydraulic conductivity of an aquitard with a series of leaky wells as function of well failure density. In the grey shaded area the number of leaky wells/km</w:t>
            </w:r>
            <w:r w:rsidR="003D2865" w:rsidRPr="007D2F0B">
              <w:rPr>
                <w:rStyle w:val="Hyperlink"/>
                <w:noProof/>
                <w:vertAlign w:val="superscript"/>
              </w:rPr>
              <w:t>2</w:t>
            </w:r>
            <w:r w:rsidR="003D2865" w:rsidRPr="007D2F0B">
              <w:rPr>
                <w:rStyle w:val="Hyperlink"/>
                <w:noProof/>
              </w:rPr>
              <w:t xml:space="preserve"> ranges from 0.5 to 5. Vertical black line is for one leaky well/km</w:t>
            </w:r>
            <w:r w:rsidR="003D2865" w:rsidRPr="007D2F0B">
              <w:rPr>
                <w:rStyle w:val="Hyperlink"/>
                <w:noProof/>
                <w:vertAlign w:val="superscript"/>
              </w:rPr>
              <w:t>2</w:t>
            </w:r>
            <w:r w:rsidR="003D2865" w:rsidRPr="007D2F0B">
              <w:rPr>
                <w:rStyle w:val="Hyperlink"/>
                <w:noProof/>
              </w:rPr>
              <w:t>.</w:t>
            </w:r>
            <w:r w:rsidR="003D2865">
              <w:rPr>
                <w:noProof/>
                <w:webHidden/>
              </w:rPr>
              <w:tab/>
            </w:r>
            <w:r w:rsidR="003D2865">
              <w:rPr>
                <w:noProof/>
                <w:webHidden/>
              </w:rPr>
              <w:fldChar w:fldCharType="begin"/>
            </w:r>
            <w:r w:rsidR="003D2865">
              <w:rPr>
                <w:noProof/>
                <w:webHidden/>
              </w:rPr>
              <w:instrText xml:space="preserve"> PAGEREF _Toc508266511 \h </w:instrText>
            </w:r>
            <w:r w:rsidR="003D2865">
              <w:rPr>
                <w:noProof/>
                <w:webHidden/>
              </w:rPr>
            </w:r>
            <w:r w:rsidR="003D2865">
              <w:rPr>
                <w:noProof/>
                <w:webHidden/>
              </w:rPr>
              <w:fldChar w:fldCharType="separate"/>
            </w:r>
            <w:r w:rsidR="002E45AF">
              <w:rPr>
                <w:noProof/>
                <w:webHidden/>
              </w:rPr>
              <w:t>10</w:t>
            </w:r>
            <w:r w:rsidR="003D2865">
              <w:rPr>
                <w:noProof/>
                <w:webHidden/>
              </w:rPr>
              <w:fldChar w:fldCharType="end"/>
            </w:r>
          </w:hyperlink>
        </w:p>
        <w:p w14:paraId="46BDCFE4" w14:textId="77777777" w:rsidR="003D2865" w:rsidRDefault="00ED4C1C">
          <w:pPr>
            <w:pStyle w:val="TableofFigures"/>
            <w:rPr>
              <w:rFonts w:asciiTheme="minorHAnsi" w:eastAsiaTheme="minorEastAsia" w:hAnsiTheme="minorHAnsi" w:cstheme="minorBidi"/>
              <w:noProof/>
              <w:color w:val="auto"/>
              <w:sz w:val="22"/>
            </w:rPr>
          </w:pPr>
          <w:hyperlink w:anchor="_Toc508266512" w:history="1">
            <w:r w:rsidR="003D2865" w:rsidRPr="007D2F0B">
              <w:rPr>
                <w:rStyle w:val="Hyperlink"/>
                <w:noProof/>
              </w:rPr>
              <w:t>Figure 6 Relationship between flow through a leaky bore and the effective well hydraulic conductivity (K</w:t>
            </w:r>
            <w:r w:rsidR="003D2865" w:rsidRPr="007D2F0B">
              <w:rPr>
                <w:rStyle w:val="Hyperlink"/>
                <w:noProof/>
                <w:vertAlign w:val="subscript"/>
              </w:rPr>
              <w:t>well</w:t>
            </w:r>
            <w:r w:rsidR="003D2865" w:rsidRPr="007D2F0B">
              <w:rPr>
                <w:rStyle w:val="Hyperlink"/>
                <w:noProof/>
              </w:rPr>
              <w:t>) calculated using Equation 13 and parameters shown in Table 2. Dashed lines show the effective well conductivities for a leaky well (0.1 m/d), the example in Figure 5 (100 m/d), and an open well 10</w:t>
            </w:r>
            <w:r w:rsidR="003D2865" w:rsidRPr="007D2F0B">
              <w:rPr>
                <w:rStyle w:val="Hyperlink"/>
                <w:noProof/>
                <w:vertAlign w:val="superscript"/>
              </w:rPr>
              <w:t xml:space="preserve">8 </w:t>
            </w:r>
            <w:r w:rsidR="003D2865" w:rsidRPr="007D2F0B">
              <w:rPr>
                <w:rStyle w:val="Hyperlink"/>
                <w:noProof/>
              </w:rPr>
              <w:t>(m/d).</w:t>
            </w:r>
            <w:r w:rsidR="003D2865">
              <w:rPr>
                <w:noProof/>
                <w:webHidden/>
              </w:rPr>
              <w:tab/>
            </w:r>
            <w:r w:rsidR="003D2865">
              <w:rPr>
                <w:noProof/>
                <w:webHidden/>
              </w:rPr>
              <w:fldChar w:fldCharType="begin"/>
            </w:r>
            <w:r w:rsidR="003D2865">
              <w:rPr>
                <w:noProof/>
                <w:webHidden/>
              </w:rPr>
              <w:instrText xml:space="preserve"> PAGEREF _Toc508266512 \h </w:instrText>
            </w:r>
            <w:r w:rsidR="003D2865">
              <w:rPr>
                <w:noProof/>
                <w:webHidden/>
              </w:rPr>
            </w:r>
            <w:r w:rsidR="003D2865">
              <w:rPr>
                <w:noProof/>
                <w:webHidden/>
              </w:rPr>
              <w:fldChar w:fldCharType="separate"/>
            </w:r>
            <w:r w:rsidR="002E45AF">
              <w:rPr>
                <w:noProof/>
                <w:webHidden/>
              </w:rPr>
              <w:t>13</w:t>
            </w:r>
            <w:r w:rsidR="003D2865">
              <w:rPr>
                <w:noProof/>
                <w:webHidden/>
              </w:rPr>
              <w:fldChar w:fldCharType="end"/>
            </w:r>
          </w:hyperlink>
        </w:p>
        <w:p w14:paraId="7ADD393D" w14:textId="77777777" w:rsidR="003D2865" w:rsidRDefault="00ED4C1C">
          <w:pPr>
            <w:pStyle w:val="TableofFigures"/>
            <w:rPr>
              <w:rFonts w:asciiTheme="minorHAnsi" w:eastAsiaTheme="minorEastAsia" w:hAnsiTheme="minorHAnsi" w:cstheme="minorBidi"/>
              <w:noProof/>
              <w:color w:val="auto"/>
              <w:sz w:val="22"/>
            </w:rPr>
          </w:pPr>
          <w:hyperlink w:anchor="_Toc508266513" w:history="1">
            <w:r w:rsidR="003D2865" w:rsidRPr="007D2F0B">
              <w:rPr>
                <w:rStyle w:val="Hyperlink"/>
                <w:noProof/>
              </w:rPr>
              <w:t>Figure 7 Relationship between flow through a leaky bore and the aquifer hydraulic conductivity calculated using Equation 13 and parameters shown in Table 2. Higher bore hydraulic conductivities may violate the Forchheimer assumption in Darcy’s equation, and require further analysis using turbulent flow equations. The dashed line represents the aquifer hydraulic conductivity used in the analysis.</w:t>
            </w:r>
            <w:r w:rsidR="003D2865">
              <w:rPr>
                <w:noProof/>
                <w:webHidden/>
              </w:rPr>
              <w:tab/>
            </w:r>
            <w:r w:rsidR="003D2865">
              <w:rPr>
                <w:noProof/>
                <w:webHidden/>
              </w:rPr>
              <w:fldChar w:fldCharType="begin"/>
            </w:r>
            <w:r w:rsidR="003D2865">
              <w:rPr>
                <w:noProof/>
                <w:webHidden/>
              </w:rPr>
              <w:instrText xml:space="preserve"> PAGEREF _Toc508266513 \h </w:instrText>
            </w:r>
            <w:r w:rsidR="003D2865">
              <w:rPr>
                <w:noProof/>
                <w:webHidden/>
              </w:rPr>
            </w:r>
            <w:r w:rsidR="003D2865">
              <w:rPr>
                <w:noProof/>
                <w:webHidden/>
              </w:rPr>
              <w:fldChar w:fldCharType="separate"/>
            </w:r>
            <w:r w:rsidR="002E45AF">
              <w:rPr>
                <w:noProof/>
                <w:webHidden/>
              </w:rPr>
              <w:t>14</w:t>
            </w:r>
            <w:r w:rsidR="003D2865">
              <w:rPr>
                <w:noProof/>
                <w:webHidden/>
              </w:rPr>
              <w:fldChar w:fldCharType="end"/>
            </w:r>
          </w:hyperlink>
        </w:p>
        <w:p w14:paraId="13E9CA15" w14:textId="77777777" w:rsidR="003D2865" w:rsidRDefault="00ED4C1C">
          <w:pPr>
            <w:pStyle w:val="TableofFigures"/>
            <w:rPr>
              <w:rFonts w:asciiTheme="minorHAnsi" w:eastAsiaTheme="minorEastAsia" w:hAnsiTheme="minorHAnsi" w:cstheme="minorBidi"/>
              <w:noProof/>
              <w:color w:val="auto"/>
              <w:sz w:val="22"/>
            </w:rPr>
          </w:pPr>
          <w:hyperlink w:anchor="_Toc508266514" w:history="1">
            <w:r w:rsidR="003D2865" w:rsidRPr="007D2F0B">
              <w:rPr>
                <w:rStyle w:val="Hyperlink"/>
                <w:noProof/>
              </w:rPr>
              <w:t>Figure 8 Equivalent hydraulic conductivity of an aquitard with a series of leaky wells (K</w:t>
            </w:r>
            <w:r w:rsidR="003D2865" w:rsidRPr="007D2F0B">
              <w:rPr>
                <w:rStyle w:val="Hyperlink"/>
                <w:noProof/>
                <w:vertAlign w:val="subscript"/>
              </w:rPr>
              <w:t>well</w:t>
            </w:r>
            <w:r w:rsidR="003D2865" w:rsidRPr="007D2F0B">
              <w:rPr>
                <w:rStyle w:val="Hyperlink"/>
                <w:noProof/>
              </w:rPr>
              <w:t xml:space="preserve"> = 0.1 m/d) as a function of well failure density.</w:t>
            </w:r>
            <w:r w:rsidR="003D2865">
              <w:rPr>
                <w:noProof/>
                <w:webHidden/>
              </w:rPr>
              <w:tab/>
            </w:r>
            <w:r w:rsidR="003D2865">
              <w:rPr>
                <w:noProof/>
                <w:webHidden/>
              </w:rPr>
              <w:fldChar w:fldCharType="begin"/>
            </w:r>
            <w:r w:rsidR="003D2865">
              <w:rPr>
                <w:noProof/>
                <w:webHidden/>
              </w:rPr>
              <w:instrText xml:space="preserve"> PAGEREF _Toc508266514 \h </w:instrText>
            </w:r>
            <w:r w:rsidR="003D2865">
              <w:rPr>
                <w:noProof/>
                <w:webHidden/>
              </w:rPr>
            </w:r>
            <w:r w:rsidR="003D2865">
              <w:rPr>
                <w:noProof/>
                <w:webHidden/>
              </w:rPr>
              <w:fldChar w:fldCharType="separate"/>
            </w:r>
            <w:r w:rsidR="002E45AF">
              <w:rPr>
                <w:noProof/>
                <w:webHidden/>
              </w:rPr>
              <w:t>15</w:t>
            </w:r>
            <w:r w:rsidR="003D2865">
              <w:rPr>
                <w:noProof/>
                <w:webHidden/>
              </w:rPr>
              <w:fldChar w:fldCharType="end"/>
            </w:r>
          </w:hyperlink>
        </w:p>
        <w:p w14:paraId="0AFA30EB" w14:textId="77777777" w:rsidR="003D2865" w:rsidRDefault="00ED4C1C">
          <w:pPr>
            <w:pStyle w:val="TableofFigures"/>
            <w:rPr>
              <w:rFonts w:asciiTheme="minorHAnsi" w:eastAsiaTheme="minorEastAsia" w:hAnsiTheme="minorHAnsi" w:cstheme="minorBidi"/>
              <w:noProof/>
              <w:color w:val="auto"/>
              <w:sz w:val="22"/>
            </w:rPr>
          </w:pPr>
          <w:hyperlink w:anchor="_Toc508266515" w:history="1">
            <w:r w:rsidR="003D2865" w:rsidRPr="007D2F0B">
              <w:rPr>
                <w:rStyle w:val="Hyperlink"/>
                <w:noProof/>
              </w:rPr>
              <w:t>Figure 9 Model domain in AlgoMesh indicating the three model layers and grid refinement around the well at the centre of the domain.</w:t>
            </w:r>
            <w:r w:rsidR="003D2865">
              <w:rPr>
                <w:noProof/>
                <w:webHidden/>
              </w:rPr>
              <w:tab/>
            </w:r>
            <w:r w:rsidR="003D2865">
              <w:rPr>
                <w:noProof/>
                <w:webHidden/>
              </w:rPr>
              <w:fldChar w:fldCharType="begin"/>
            </w:r>
            <w:r w:rsidR="003D2865">
              <w:rPr>
                <w:noProof/>
                <w:webHidden/>
              </w:rPr>
              <w:instrText xml:space="preserve"> PAGEREF _Toc508266515 \h </w:instrText>
            </w:r>
            <w:r w:rsidR="003D2865">
              <w:rPr>
                <w:noProof/>
                <w:webHidden/>
              </w:rPr>
            </w:r>
            <w:r w:rsidR="003D2865">
              <w:rPr>
                <w:noProof/>
                <w:webHidden/>
              </w:rPr>
              <w:fldChar w:fldCharType="separate"/>
            </w:r>
            <w:r w:rsidR="002E45AF">
              <w:rPr>
                <w:noProof/>
                <w:webHidden/>
              </w:rPr>
              <w:t>16</w:t>
            </w:r>
            <w:r w:rsidR="003D2865">
              <w:rPr>
                <w:noProof/>
                <w:webHidden/>
              </w:rPr>
              <w:fldChar w:fldCharType="end"/>
            </w:r>
          </w:hyperlink>
        </w:p>
        <w:p w14:paraId="3B335E12" w14:textId="77777777" w:rsidR="003D2865" w:rsidRDefault="00ED4C1C">
          <w:pPr>
            <w:pStyle w:val="TableofFigures"/>
            <w:rPr>
              <w:rFonts w:asciiTheme="minorHAnsi" w:eastAsiaTheme="minorEastAsia" w:hAnsiTheme="minorHAnsi" w:cstheme="minorBidi"/>
              <w:noProof/>
              <w:color w:val="auto"/>
              <w:sz w:val="22"/>
            </w:rPr>
          </w:pPr>
          <w:hyperlink w:anchor="_Toc508266516" w:history="1">
            <w:r w:rsidR="003D2865" w:rsidRPr="007D2F0B">
              <w:rPr>
                <w:rStyle w:val="Hyperlink"/>
                <w:noProof/>
              </w:rPr>
              <w:t>Figure 10 Time series of groundwater head in layer 1 at the production well and at 10 m, 100 m, 1 km, and 10 km from the production well, scenario 1 – perfectly sealed well. The year 2040 is the start of the post-production phase.</w:t>
            </w:r>
            <w:r w:rsidR="003D2865">
              <w:rPr>
                <w:noProof/>
                <w:webHidden/>
              </w:rPr>
              <w:tab/>
            </w:r>
            <w:r w:rsidR="003D2865">
              <w:rPr>
                <w:noProof/>
                <w:webHidden/>
              </w:rPr>
              <w:fldChar w:fldCharType="begin"/>
            </w:r>
            <w:r w:rsidR="003D2865">
              <w:rPr>
                <w:noProof/>
                <w:webHidden/>
              </w:rPr>
              <w:instrText xml:space="preserve"> PAGEREF _Toc508266516 \h </w:instrText>
            </w:r>
            <w:r w:rsidR="003D2865">
              <w:rPr>
                <w:noProof/>
                <w:webHidden/>
              </w:rPr>
            </w:r>
            <w:r w:rsidR="003D2865">
              <w:rPr>
                <w:noProof/>
                <w:webHidden/>
              </w:rPr>
              <w:fldChar w:fldCharType="separate"/>
            </w:r>
            <w:r w:rsidR="002E45AF">
              <w:rPr>
                <w:noProof/>
                <w:webHidden/>
              </w:rPr>
              <w:t>23</w:t>
            </w:r>
            <w:r w:rsidR="003D2865">
              <w:rPr>
                <w:noProof/>
                <w:webHidden/>
              </w:rPr>
              <w:fldChar w:fldCharType="end"/>
            </w:r>
          </w:hyperlink>
        </w:p>
        <w:p w14:paraId="3CACA2F2" w14:textId="77777777" w:rsidR="003D2865" w:rsidRDefault="00ED4C1C">
          <w:pPr>
            <w:pStyle w:val="TableofFigures"/>
            <w:rPr>
              <w:rFonts w:asciiTheme="minorHAnsi" w:eastAsiaTheme="minorEastAsia" w:hAnsiTheme="minorHAnsi" w:cstheme="minorBidi"/>
              <w:noProof/>
              <w:color w:val="auto"/>
              <w:sz w:val="22"/>
            </w:rPr>
          </w:pPr>
          <w:hyperlink w:anchor="_Toc508266517" w:history="1">
            <w:r w:rsidR="003D2865" w:rsidRPr="007D2F0B">
              <w:rPr>
                <w:rStyle w:val="Hyperlink"/>
                <w:noProof/>
              </w:rPr>
              <w:t>Figure 11 Time series of groundwater head in layer 3 at the production well and 10 m, 100 m, 1 km, and 10 km from the production well, scenario 1 – perfectly sealed well.</w:t>
            </w:r>
            <w:r w:rsidR="003D2865">
              <w:rPr>
                <w:noProof/>
                <w:webHidden/>
              </w:rPr>
              <w:tab/>
            </w:r>
            <w:r w:rsidR="003D2865">
              <w:rPr>
                <w:noProof/>
                <w:webHidden/>
              </w:rPr>
              <w:fldChar w:fldCharType="begin"/>
            </w:r>
            <w:r w:rsidR="003D2865">
              <w:rPr>
                <w:noProof/>
                <w:webHidden/>
              </w:rPr>
              <w:instrText xml:space="preserve"> PAGEREF _Toc508266517 \h </w:instrText>
            </w:r>
            <w:r w:rsidR="003D2865">
              <w:rPr>
                <w:noProof/>
                <w:webHidden/>
              </w:rPr>
            </w:r>
            <w:r w:rsidR="003D2865">
              <w:rPr>
                <w:noProof/>
                <w:webHidden/>
              </w:rPr>
              <w:fldChar w:fldCharType="separate"/>
            </w:r>
            <w:r w:rsidR="002E45AF">
              <w:rPr>
                <w:noProof/>
                <w:webHidden/>
              </w:rPr>
              <w:t>23</w:t>
            </w:r>
            <w:r w:rsidR="003D2865">
              <w:rPr>
                <w:noProof/>
                <w:webHidden/>
              </w:rPr>
              <w:fldChar w:fldCharType="end"/>
            </w:r>
          </w:hyperlink>
        </w:p>
        <w:p w14:paraId="45F3DF8D" w14:textId="77777777" w:rsidR="003D2865" w:rsidRDefault="00ED4C1C">
          <w:pPr>
            <w:pStyle w:val="TableofFigures"/>
            <w:rPr>
              <w:rFonts w:asciiTheme="minorHAnsi" w:eastAsiaTheme="minorEastAsia" w:hAnsiTheme="minorHAnsi" w:cstheme="minorBidi"/>
              <w:noProof/>
              <w:color w:val="auto"/>
              <w:sz w:val="22"/>
            </w:rPr>
          </w:pPr>
          <w:hyperlink w:anchor="_Toc508266518" w:history="1">
            <w:r w:rsidR="003D2865" w:rsidRPr="007D2F0B">
              <w:rPr>
                <w:rStyle w:val="Hyperlink"/>
                <w:noProof/>
              </w:rPr>
              <w:t>Figure 12 Time series of groundwater head in layer 1 at the production well and 10 m, 100 m, 1 km, and 10 km from the production well, scenario 2 – leaky well.</w:t>
            </w:r>
            <w:r w:rsidR="003D2865">
              <w:rPr>
                <w:noProof/>
                <w:webHidden/>
              </w:rPr>
              <w:tab/>
            </w:r>
            <w:r w:rsidR="003D2865">
              <w:rPr>
                <w:noProof/>
                <w:webHidden/>
              </w:rPr>
              <w:fldChar w:fldCharType="begin"/>
            </w:r>
            <w:r w:rsidR="003D2865">
              <w:rPr>
                <w:noProof/>
                <w:webHidden/>
              </w:rPr>
              <w:instrText xml:space="preserve"> PAGEREF _Toc508266518 \h </w:instrText>
            </w:r>
            <w:r w:rsidR="003D2865">
              <w:rPr>
                <w:noProof/>
                <w:webHidden/>
              </w:rPr>
            </w:r>
            <w:r w:rsidR="003D2865">
              <w:rPr>
                <w:noProof/>
                <w:webHidden/>
              </w:rPr>
              <w:fldChar w:fldCharType="separate"/>
            </w:r>
            <w:r w:rsidR="002E45AF">
              <w:rPr>
                <w:noProof/>
                <w:webHidden/>
              </w:rPr>
              <w:t>24</w:t>
            </w:r>
            <w:r w:rsidR="003D2865">
              <w:rPr>
                <w:noProof/>
                <w:webHidden/>
              </w:rPr>
              <w:fldChar w:fldCharType="end"/>
            </w:r>
          </w:hyperlink>
        </w:p>
        <w:p w14:paraId="37D4028F" w14:textId="77777777" w:rsidR="003D2865" w:rsidRDefault="00ED4C1C">
          <w:pPr>
            <w:pStyle w:val="TableofFigures"/>
            <w:rPr>
              <w:rFonts w:asciiTheme="minorHAnsi" w:eastAsiaTheme="minorEastAsia" w:hAnsiTheme="minorHAnsi" w:cstheme="minorBidi"/>
              <w:noProof/>
              <w:color w:val="auto"/>
              <w:sz w:val="22"/>
            </w:rPr>
          </w:pPr>
          <w:hyperlink w:anchor="_Toc508266519" w:history="1">
            <w:r w:rsidR="003D2865" w:rsidRPr="007D2F0B">
              <w:rPr>
                <w:rStyle w:val="Hyperlink"/>
                <w:noProof/>
              </w:rPr>
              <w:t>Figure 13 Time series of groundwater head in layer 3 at the production well and 10 m, 100 m, 1 km, and 10 km from the production well, scenario 2 – leaky well.</w:t>
            </w:r>
            <w:r w:rsidR="003D2865">
              <w:rPr>
                <w:noProof/>
                <w:webHidden/>
              </w:rPr>
              <w:tab/>
            </w:r>
            <w:r w:rsidR="003D2865">
              <w:rPr>
                <w:noProof/>
                <w:webHidden/>
              </w:rPr>
              <w:fldChar w:fldCharType="begin"/>
            </w:r>
            <w:r w:rsidR="003D2865">
              <w:rPr>
                <w:noProof/>
                <w:webHidden/>
              </w:rPr>
              <w:instrText xml:space="preserve"> PAGEREF _Toc508266519 \h </w:instrText>
            </w:r>
            <w:r w:rsidR="003D2865">
              <w:rPr>
                <w:noProof/>
                <w:webHidden/>
              </w:rPr>
            </w:r>
            <w:r w:rsidR="003D2865">
              <w:rPr>
                <w:noProof/>
                <w:webHidden/>
              </w:rPr>
              <w:fldChar w:fldCharType="separate"/>
            </w:r>
            <w:r w:rsidR="002E45AF">
              <w:rPr>
                <w:noProof/>
                <w:webHidden/>
              </w:rPr>
              <w:t>24</w:t>
            </w:r>
            <w:r w:rsidR="003D2865">
              <w:rPr>
                <w:noProof/>
                <w:webHidden/>
              </w:rPr>
              <w:fldChar w:fldCharType="end"/>
            </w:r>
          </w:hyperlink>
        </w:p>
        <w:p w14:paraId="5B72F5B9" w14:textId="77777777" w:rsidR="003D2865" w:rsidRDefault="00ED4C1C">
          <w:pPr>
            <w:pStyle w:val="TableofFigures"/>
            <w:rPr>
              <w:rFonts w:asciiTheme="minorHAnsi" w:eastAsiaTheme="minorEastAsia" w:hAnsiTheme="minorHAnsi" w:cstheme="minorBidi"/>
              <w:noProof/>
              <w:color w:val="auto"/>
              <w:sz w:val="22"/>
            </w:rPr>
          </w:pPr>
          <w:hyperlink w:anchor="_Toc508266520" w:history="1">
            <w:r w:rsidR="003D2865" w:rsidRPr="007D2F0B">
              <w:rPr>
                <w:rStyle w:val="Hyperlink"/>
                <w:noProof/>
              </w:rPr>
              <w:t>Figure 14 Time series of groundwater head in layer 1 at the production well and at 10 m, 100 m, 1 km, and 10 km from the production well, scenario 3 – open well.</w:t>
            </w:r>
            <w:r w:rsidR="003D2865">
              <w:rPr>
                <w:noProof/>
                <w:webHidden/>
              </w:rPr>
              <w:tab/>
            </w:r>
            <w:r w:rsidR="003D2865">
              <w:rPr>
                <w:noProof/>
                <w:webHidden/>
              </w:rPr>
              <w:fldChar w:fldCharType="begin"/>
            </w:r>
            <w:r w:rsidR="003D2865">
              <w:rPr>
                <w:noProof/>
                <w:webHidden/>
              </w:rPr>
              <w:instrText xml:space="preserve"> PAGEREF _Toc508266520 \h </w:instrText>
            </w:r>
            <w:r w:rsidR="003D2865">
              <w:rPr>
                <w:noProof/>
                <w:webHidden/>
              </w:rPr>
            </w:r>
            <w:r w:rsidR="003D2865">
              <w:rPr>
                <w:noProof/>
                <w:webHidden/>
              </w:rPr>
              <w:fldChar w:fldCharType="separate"/>
            </w:r>
            <w:r w:rsidR="002E45AF">
              <w:rPr>
                <w:noProof/>
                <w:webHidden/>
              </w:rPr>
              <w:t>25</w:t>
            </w:r>
            <w:r w:rsidR="003D2865">
              <w:rPr>
                <w:noProof/>
                <w:webHidden/>
              </w:rPr>
              <w:fldChar w:fldCharType="end"/>
            </w:r>
          </w:hyperlink>
        </w:p>
        <w:p w14:paraId="6449A8E0" w14:textId="77777777" w:rsidR="003D2865" w:rsidRDefault="00ED4C1C">
          <w:pPr>
            <w:pStyle w:val="TableofFigures"/>
            <w:rPr>
              <w:rFonts w:asciiTheme="minorHAnsi" w:eastAsiaTheme="minorEastAsia" w:hAnsiTheme="minorHAnsi" w:cstheme="minorBidi"/>
              <w:noProof/>
              <w:color w:val="auto"/>
              <w:sz w:val="22"/>
            </w:rPr>
          </w:pPr>
          <w:hyperlink w:anchor="_Toc508266521" w:history="1">
            <w:r w:rsidR="003D2865" w:rsidRPr="007D2F0B">
              <w:rPr>
                <w:rStyle w:val="Hyperlink"/>
                <w:noProof/>
              </w:rPr>
              <w:t>Figure 15 Time series of groundwater head in layer 3 at the production well and 10 m, 100 m, 1 km, and 10 km from the production well, scenario 3 – open well.</w:t>
            </w:r>
            <w:r w:rsidR="003D2865">
              <w:rPr>
                <w:noProof/>
                <w:webHidden/>
              </w:rPr>
              <w:tab/>
            </w:r>
            <w:r w:rsidR="003D2865">
              <w:rPr>
                <w:noProof/>
                <w:webHidden/>
              </w:rPr>
              <w:fldChar w:fldCharType="begin"/>
            </w:r>
            <w:r w:rsidR="003D2865">
              <w:rPr>
                <w:noProof/>
                <w:webHidden/>
              </w:rPr>
              <w:instrText xml:space="preserve"> PAGEREF _Toc508266521 \h </w:instrText>
            </w:r>
            <w:r w:rsidR="003D2865">
              <w:rPr>
                <w:noProof/>
                <w:webHidden/>
              </w:rPr>
            </w:r>
            <w:r w:rsidR="003D2865">
              <w:rPr>
                <w:noProof/>
                <w:webHidden/>
              </w:rPr>
              <w:fldChar w:fldCharType="separate"/>
            </w:r>
            <w:r w:rsidR="002E45AF">
              <w:rPr>
                <w:noProof/>
                <w:webHidden/>
              </w:rPr>
              <w:t>26</w:t>
            </w:r>
            <w:r w:rsidR="003D2865">
              <w:rPr>
                <w:noProof/>
                <w:webHidden/>
              </w:rPr>
              <w:fldChar w:fldCharType="end"/>
            </w:r>
          </w:hyperlink>
        </w:p>
        <w:p w14:paraId="78E07E13" w14:textId="77777777" w:rsidR="003D2865" w:rsidRDefault="00ED4C1C">
          <w:pPr>
            <w:pStyle w:val="TableofFigures"/>
            <w:rPr>
              <w:rFonts w:asciiTheme="minorHAnsi" w:eastAsiaTheme="minorEastAsia" w:hAnsiTheme="minorHAnsi" w:cstheme="minorBidi"/>
              <w:noProof/>
              <w:color w:val="auto"/>
              <w:sz w:val="22"/>
            </w:rPr>
          </w:pPr>
          <w:hyperlink w:anchor="_Toc508266522" w:history="1">
            <w:r w:rsidR="003D2865" w:rsidRPr="007D2F0B">
              <w:rPr>
                <w:rStyle w:val="Hyperlink"/>
                <w:noProof/>
              </w:rPr>
              <w:t>Figure 16 Groundwater head drawdown cones in layer 1 with delays of between 0 and 1000 years post-production, for the fully sealed well, scenario 1.</w:t>
            </w:r>
            <w:r w:rsidR="003D2865">
              <w:rPr>
                <w:noProof/>
                <w:webHidden/>
              </w:rPr>
              <w:tab/>
            </w:r>
            <w:r w:rsidR="003D2865">
              <w:rPr>
                <w:noProof/>
                <w:webHidden/>
              </w:rPr>
              <w:fldChar w:fldCharType="begin"/>
            </w:r>
            <w:r w:rsidR="003D2865">
              <w:rPr>
                <w:noProof/>
                <w:webHidden/>
              </w:rPr>
              <w:instrText xml:space="preserve"> PAGEREF _Toc508266522 \h </w:instrText>
            </w:r>
            <w:r w:rsidR="003D2865">
              <w:rPr>
                <w:noProof/>
                <w:webHidden/>
              </w:rPr>
            </w:r>
            <w:r w:rsidR="003D2865">
              <w:rPr>
                <w:noProof/>
                <w:webHidden/>
              </w:rPr>
              <w:fldChar w:fldCharType="separate"/>
            </w:r>
            <w:r w:rsidR="002E45AF">
              <w:rPr>
                <w:noProof/>
                <w:webHidden/>
              </w:rPr>
              <w:t>27</w:t>
            </w:r>
            <w:r w:rsidR="003D2865">
              <w:rPr>
                <w:noProof/>
                <w:webHidden/>
              </w:rPr>
              <w:fldChar w:fldCharType="end"/>
            </w:r>
          </w:hyperlink>
        </w:p>
        <w:p w14:paraId="5751A3E6" w14:textId="77777777" w:rsidR="003D2865" w:rsidRDefault="00ED4C1C">
          <w:pPr>
            <w:pStyle w:val="TableofFigures"/>
            <w:rPr>
              <w:rFonts w:asciiTheme="minorHAnsi" w:eastAsiaTheme="minorEastAsia" w:hAnsiTheme="minorHAnsi" w:cstheme="minorBidi"/>
              <w:noProof/>
              <w:color w:val="auto"/>
              <w:sz w:val="22"/>
            </w:rPr>
          </w:pPr>
          <w:hyperlink w:anchor="_Toc508266523" w:history="1">
            <w:r w:rsidR="003D2865" w:rsidRPr="007D2F0B">
              <w:rPr>
                <w:rStyle w:val="Hyperlink"/>
                <w:noProof/>
              </w:rPr>
              <w:t>Figure 17 Groundwater head drawdown cones in layer 2 (aquitard) with delays of between 0 and 1000 years post-production, for the fully sealed well, scenario 1.</w:t>
            </w:r>
            <w:r w:rsidR="003D2865">
              <w:rPr>
                <w:noProof/>
                <w:webHidden/>
              </w:rPr>
              <w:tab/>
            </w:r>
            <w:r w:rsidR="003D2865">
              <w:rPr>
                <w:noProof/>
                <w:webHidden/>
              </w:rPr>
              <w:fldChar w:fldCharType="begin"/>
            </w:r>
            <w:r w:rsidR="003D2865">
              <w:rPr>
                <w:noProof/>
                <w:webHidden/>
              </w:rPr>
              <w:instrText xml:space="preserve"> PAGEREF _Toc508266523 \h </w:instrText>
            </w:r>
            <w:r w:rsidR="003D2865">
              <w:rPr>
                <w:noProof/>
                <w:webHidden/>
              </w:rPr>
            </w:r>
            <w:r w:rsidR="003D2865">
              <w:rPr>
                <w:noProof/>
                <w:webHidden/>
              </w:rPr>
              <w:fldChar w:fldCharType="separate"/>
            </w:r>
            <w:r w:rsidR="002E45AF">
              <w:rPr>
                <w:noProof/>
                <w:webHidden/>
              </w:rPr>
              <w:t>27</w:t>
            </w:r>
            <w:r w:rsidR="003D2865">
              <w:rPr>
                <w:noProof/>
                <w:webHidden/>
              </w:rPr>
              <w:fldChar w:fldCharType="end"/>
            </w:r>
          </w:hyperlink>
        </w:p>
        <w:p w14:paraId="72099847" w14:textId="77777777" w:rsidR="003D2865" w:rsidRDefault="00ED4C1C">
          <w:pPr>
            <w:pStyle w:val="TableofFigures"/>
            <w:rPr>
              <w:rFonts w:asciiTheme="minorHAnsi" w:eastAsiaTheme="minorEastAsia" w:hAnsiTheme="minorHAnsi" w:cstheme="minorBidi"/>
              <w:noProof/>
              <w:color w:val="auto"/>
              <w:sz w:val="22"/>
            </w:rPr>
          </w:pPr>
          <w:hyperlink w:anchor="_Toc508266524" w:history="1">
            <w:r w:rsidR="003D2865" w:rsidRPr="007D2F0B">
              <w:rPr>
                <w:rStyle w:val="Hyperlink"/>
                <w:noProof/>
              </w:rPr>
              <w:t>Figure 18 Groundwater head drawdown cones in layer 3 (aquifer) with delays of between 0 and 1000 years post-production, for the fully sealed well, scenario 1</w:t>
            </w:r>
            <w:r w:rsidR="003D2865">
              <w:rPr>
                <w:noProof/>
                <w:webHidden/>
              </w:rPr>
              <w:tab/>
            </w:r>
            <w:r w:rsidR="003D2865">
              <w:rPr>
                <w:noProof/>
                <w:webHidden/>
              </w:rPr>
              <w:fldChar w:fldCharType="begin"/>
            </w:r>
            <w:r w:rsidR="003D2865">
              <w:rPr>
                <w:noProof/>
                <w:webHidden/>
              </w:rPr>
              <w:instrText xml:space="preserve"> PAGEREF _Toc508266524 \h </w:instrText>
            </w:r>
            <w:r w:rsidR="003D2865">
              <w:rPr>
                <w:noProof/>
                <w:webHidden/>
              </w:rPr>
            </w:r>
            <w:r w:rsidR="003D2865">
              <w:rPr>
                <w:noProof/>
                <w:webHidden/>
              </w:rPr>
              <w:fldChar w:fldCharType="separate"/>
            </w:r>
            <w:r w:rsidR="002E45AF">
              <w:rPr>
                <w:noProof/>
                <w:webHidden/>
              </w:rPr>
              <w:t>28</w:t>
            </w:r>
            <w:r w:rsidR="003D2865">
              <w:rPr>
                <w:noProof/>
                <w:webHidden/>
              </w:rPr>
              <w:fldChar w:fldCharType="end"/>
            </w:r>
          </w:hyperlink>
        </w:p>
        <w:p w14:paraId="7523C0F1" w14:textId="77777777" w:rsidR="003D2865" w:rsidRDefault="00ED4C1C">
          <w:pPr>
            <w:pStyle w:val="TableofFigures"/>
            <w:rPr>
              <w:rFonts w:asciiTheme="minorHAnsi" w:eastAsiaTheme="minorEastAsia" w:hAnsiTheme="minorHAnsi" w:cstheme="minorBidi"/>
              <w:noProof/>
              <w:color w:val="auto"/>
              <w:sz w:val="22"/>
            </w:rPr>
          </w:pPr>
          <w:hyperlink w:anchor="_Toc508266525" w:history="1">
            <w:r w:rsidR="003D2865" w:rsidRPr="007D2F0B">
              <w:rPr>
                <w:rStyle w:val="Hyperlink"/>
                <w:noProof/>
              </w:rPr>
              <w:t>Figure 19 Groundwater head drawdown cones in layer 1 with delays of between 0 and 1000 years post-production, for the leaky well, scenario 2.</w:t>
            </w:r>
            <w:r w:rsidR="003D2865">
              <w:rPr>
                <w:noProof/>
                <w:webHidden/>
              </w:rPr>
              <w:tab/>
            </w:r>
            <w:r w:rsidR="003D2865">
              <w:rPr>
                <w:noProof/>
                <w:webHidden/>
              </w:rPr>
              <w:fldChar w:fldCharType="begin"/>
            </w:r>
            <w:r w:rsidR="003D2865">
              <w:rPr>
                <w:noProof/>
                <w:webHidden/>
              </w:rPr>
              <w:instrText xml:space="preserve"> PAGEREF _Toc508266525 \h </w:instrText>
            </w:r>
            <w:r w:rsidR="003D2865">
              <w:rPr>
                <w:noProof/>
                <w:webHidden/>
              </w:rPr>
            </w:r>
            <w:r w:rsidR="003D2865">
              <w:rPr>
                <w:noProof/>
                <w:webHidden/>
              </w:rPr>
              <w:fldChar w:fldCharType="separate"/>
            </w:r>
            <w:r w:rsidR="002E45AF">
              <w:rPr>
                <w:noProof/>
                <w:webHidden/>
              </w:rPr>
              <w:t>29</w:t>
            </w:r>
            <w:r w:rsidR="003D2865">
              <w:rPr>
                <w:noProof/>
                <w:webHidden/>
              </w:rPr>
              <w:fldChar w:fldCharType="end"/>
            </w:r>
          </w:hyperlink>
        </w:p>
        <w:p w14:paraId="77ADE624" w14:textId="77777777" w:rsidR="003D2865" w:rsidRDefault="00ED4C1C">
          <w:pPr>
            <w:pStyle w:val="TableofFigures"/>
            <w:rPr>
              <w:rFonts w:asciiTheme="minorHAnsi" w:eastAsiaTheme="minorEastAsia" w:hAnsiTheme="minorHAnsi" w:cstheme="minorBidi"/>
              <w:noProof/>
              <w:color w:val="auto"/>
              <w:sz w:val="22"/>
            </w:rPr>
          </w:pPr>
          <w:hyperlink w:anchor="_Toc508266526" w:history="1">
            <w:r w:rsidR="003D2865" w:rsidRPr="007D2F0B">
              <w:rPr>
                <w:rStyle w:val="Hyperlink"/>
                <w:noProof/>
              </w:rPr>
              <w:t>Figure 20 Groundwater head drawdown cones in layer 2 with delays of between 0 and 1000 years post-production, for the leaky well, scenario 2.</w:t>
            </w:r>
            <w:r w:rsidR="003D2865">
              <w:rPr>
                <w:noProof/>
                <w:webHidden/>
              </w:rPr>
              <w:tab/>
            </w:r>
            <w:r w:rsidR="003D2865">
              <w:rPr>
                <w:noProof/>
                <w:webHidden/>
              </w:rPr>
              <w:fldChar w:fldCharType="begin"/>
            </w:r>
            <w:r w:rsidR="003D2865">
              <w:rPr>
                <w:noProof/>
                <w:webHidden/>
              </w:rPr>
              <w:instrText xml:space="preserve"> PAGEREF _Toc508266526 \h </w:instrText>
            </w:r>
            <w:r w:rsidR="003D2865">
              <w:rPr>
                <w:noProof/>
                <w:webHidden/>
              </w:rPr>
            </w:r>
            <w:r w:rsidR="003D2865">
              <w:rPr>
                <w:noProof/>
                <w:webHidden/>
              </w:rPr>
              <w:fldChar w:fldCharType="separate"/>
            </w:r>
            <w:r w:rsidR="002E45AF">
              <w:rPr>
                <w:noProof/>
                <w:webHidden/>
              </w:rPr>
              <w:t>29</w:t>
            </w:r>
            <w:r w:rsidR="003D2865">
              <w:rPr>
                <w:noProof/>
                <w:webHidden/>
              </w:rPr>
              <w:fldChar w:fldCharType="end"/>
            </w:r>
          </w:hyperlink>
        </w:p>
        <w:p w14:paraId="6562F860" w14:textId="77777777" w:rsidR="003D2865" w:rsidRDefault="00ED4C1C">
          <w:pPr>
            <w:pStyle w:val="TableofFigures"/>
            <w:rPr>
              <w:rFonts w:asciiTheme="minorHAnsi" w:eastAsiaTheme="minorEastAsia" w:hAnsiTheme="minorHAnsi" w:cstheme="minorBidi"/>
              <w:noProof/>
              <w:color w:val="auto"/>
              <w:sz w:val="22"/>
            </w:rPr>
          </w:pPr>
          <w:hyperlink w:anchor="_Toc508266527" w:history="1">
            <w:r w:rsidR="003D2865" w:rsidRPr="007D2F0B">
              <w:rPr>
                <w:rStyle w:val="Hyperlink"/>
                <w:noProof/>
              </w:rPr>
              <w:t>Figure 21 Groundwater head drawdown cones in layer 3 with delays of between 0 and 1000 years post-production, for the leaky well, scenario 2.</w:t>
            </w:r>
            <w:r w:rsidR="003D2865">
              <w:rPr>
                <w:noProof/>
                <w:webHidden/>
              </w:rPr>
              <w:tab/>
            </w:r>
            <w:r w:rsidR="003D2865">
              <w:rPr>
                <w:noProof/>
                <w:webHidden/>
              </w:rPr>
              <w:fldChar w:fldCharType="begin"/>
            </w:r>
            <w:r w:rsidR="003D2865">
              <w:rPr>
                <w:noProof/>
                <w:webHidden/>
              </w:rPr>
              <w:instrText xml:space="preserve"> PAGEREF _Toc508266527 \h </w:instrText>
            </w:r>
            <w:r w:rsidR="003D2865">
              <w:rPr>
                <w:noProof/>
                <w:webHidden/>
              </w:rPr>
            </w:r>
            <w:r w:rsidR="003D2865">
              <w:rPr>
                <w:noProof/>
                <w:webHidden/>
              </w:rPr>
              <w:fldChar w:fldCharType="separate"/>
            </w:r>
            <w:r w:rsidR="002E45AF">
              <w:rPr>
                <w:noProof/>
                <w:webHidden/>
              </w:rPr>
              <w:t>30</w:t>
            </w:r>
            <w:r w:rsidR="003D2865">
              <w:rPr>
                <w:noProof/>
                <w:webHidden/>
              </w:rPr>
              <w:fldChar w:fldCharType="end"/>
            </w:r>
          </w:hyperlink>
        </w:p>
        <w:p w14:paraId="20DF5A1C" w14:textId="77777777" w:rsidR="003D2865" w:rsidRDefault="00ED4C1C">
          <w:pPr>
            <w:pStyle w:val="TableofFigures"/>
            <w:rPr>
              <w:rFonts w:asciiTheme="minorHAnsi" w:eastAsiaTheme="minorEastAsia" w:hAnsiTheme="minorHAnsi" w:cstheme="minorBidi"/>
              <w:noProof/>
              <w:color w:val="auto"/>
              <w:sz w:val="22"/>
            </w:rPr>
          </w:pPr>
          <w:hyperlink w:anchor="_Toc508266528" w:history="1">
            <w:r w:rsidR="003D2865" w:rsidRPr="007D2F0B">
              <w:rPr>
                <w:rStyle w:val="Hyperlink"/>
                <w:noProof/>
              </w:rPr>
              <w:t>Figure 22 Groundwater head drawdown cones in layer 1 with delays of between 0 and 1000 years post-production, for the open well, scenario 3.</w:t>
            </w:r>
            <w:r w:rsidR="003D2865">
              <w:rPr>
                <w:noProof/>
                <w:webHidden/>
              </w:rPr>
              <w:tab/>
            </w:r>
            <w:r w:rsidR="003D2865">
              <w:rPr>
                <w:noProof/>
                <w:webHidden/>
              </w:rPr>
              <w:fldChar w:fldCharType="begin"/>
            </w:r>
            <w:r w:rsidR="003D2865">
              <w:rPr>
                <w:noProof/>
                <w:webHidden/>
              </w:rPr>
              <w:instrText xml:space="preserve"> PAGEREF _Toc508266528 \h </w:instrText>
            </w:r>
            <w:r w:rsidR="003D2865">
              <w:rPr>
                <w:noProof/>
                <w:webHidden/>
              </w:rPr>
            </w:r>
            <w:r w:rsidR="003D2865">
              <w:rPr>
                <w:noProof/>
                <w:webHidden/>
              </w:rPr>
              <w:fldChar w:fldCharType="separate"/>
            </w:r>
            <w:r w:rsidR="002E45AF">
              <w:rPr>
                <w:noProof/>
                <w:webHidden/>
              </w:rPr>
              <w:t>31</w:t>
            </w:r>
            <w:r w:rsidR="003D2865">
              <w:rPr>
                <w:noProof/>
                <w:webHidden/>
              </w:rPr>
              <w:fldChar w:fldCharType="end"/>
            </w:r>
          </w:hyperlink>
        </w:p>
        <w:p w14:paraId="3390B8D8" w14:textId="77777777" w:rsidR="003D2865" w:rsidRDefault="00ED4C1C">
          <w:pPr>
            <w:pStyle w:val="TableofFigures"/>
            <w:rPr>
              <w:rFonts w:asciiTheme="minorHAnsi" w:eastAsiaTheme="minorEastAsia" w:hAnsiTheme="minorHAnsi" w:cstheme="minorBidi"/>
              <w:noProof/>
              <w:color w:val="auto"/>
              <w:sz w:val="22"/>
            </w:rPr>
          </w:pPr>
          <w:hyperlink w:anchor="_Toc508266529" w:history="1">
            <w:r w:rsidR="003D2865" w:rsidRPr="007D2F0B">
              <w:rPr>
                <w:rStyle w:val="Hyperlink"/>
                <w:noProof/>
              </w:rPr>
              <w:t>Figure 23 Groundwater head drawdown cones in layer 2 with delays of between 0 and 1000 years post-production, for the open well, scenario 3.</w:t>
            </w:r>
            <w:r w:rsidR="003D2865">
              <w:rPr>
                <w:noProof/>
                <w:webHidden/>
              </w:rPr>
              <w:tab/>
            </w:r>
            <w:r w:rsidR="003D2865">
              <w:rPr>
                <w:noProof/>
                <w:webHidden/>
              </w:rPr>
              <w:fldChar w:fldCharType="begin"/>
            </w:r>
            <w:r w:rsidR="003D2865">
              <w:rPr>
                <w:noProof/>
                <w:webHidden/>
              </w:rPr>
              <w:instrText xml:space="preserve"> PAGEREF _Toc508266529 \h </w:instrText>
            </w:r>
            <w:r w:rsidR="003D2865">
              <w:rPr>
                <w:noProof/>
                <w:webHidden/>
              </w:rPr>
            </w:r>
            <w:r w:rsidR="003D2865">
              <w:rPr>
                <w:noProof/>
                <w:webHidden/>
              </w:rPr>
              <w:fldChar w:fldCharType="separate"/>
            </w:r>
            <w:r w:rsidR="002E45AF">
              <w:rPr>
                <w:noProof/>
                <w:webHidden/>
              </w:rPr>
              <w:t>31</w:t>
            </w:r>
            <w:r w:rsidR="003D2865">
              <w:rPr>
                <w:noProof/>
                <w:webHidden/>
              </w:rPr>
              <w:fldChar w:fldCharType="end"/>
            </w:r>
          </w:hyperlink>
        </w:p>
        <w:p w14:paraId="520FF3AF" w14:textId="77777777" w:rsidR="003D2865" w:rsidRDefault="00ED4C1C">
          <w:pPr>
            <w:pStyle w:val="TableofFigures"/>
            <w:rPr>
              <w:rFonts w:asciiTheme="minorHAnsi" w:eastAsiaTheme="minorEastAsia" w:hAnsiTheme="minorHAnsi" w:cstheme="minorBidi"/>
              <w:noProof/>
              <w:color w:val="auto"/>
              <w:sz w:val="22"/>
            </w:rPr>
          </w:pPr>
          <w:hyperlink w:anchor="_Toc508266530" w:history="1">
            <w:r w:rsidR="003D2865" w:rsidRPr="007D2F0B">
              <w:rPr>
                <w:rStyle w:val="Hyperlink"/>
                <w:noProof/>
              </w:rPr>
              <w:t>Figure 24 Groundwater head drawdown cones in layer 3 with delays of between 0 and 1000 years post-production, for the open well, scenario 3.</w:t>
            </w:r>
            <w:r w:rsidR="003D2865">
              <w:rPr>
                <w:noProof/>
                <w:webHidden/>
              </w:rPr>
              <w:tab/>
            </w:r>
            <w:r w:rsidR="003D2865">
              <w:rPr>
                <w:noProof/>
                <w:webHidden/>
              </w:rPr>
              <w:fldChar w:fldCharType="begin"/>
            </w:r>
            <w:r w:rsidR="003D2865">
              <w:rPr>
                <w:noProof/>
                <w:webHidden/>
              </w:rPr>
              <w:instrText xml:space="preserve"> PAGEREF _Toc508266530 \h </w:instrText>
            </w:r>
            <w:r w:rsidR="003D2865">
              <w:rPr>
                <w:noProof/>
                <w:webHidden/>
              </w:rPr>
            </w:r>
            <w:r w:rsidR="003D2865">
              <w:rPr>
                <w:noProof/>
                <w:webHidden/>
              </w:rPr>
              <w:fldChar w:fldCharType="separate"/>
            </w:r>
            <w:r w:rsidR="002E45AF">
              <w:rPr>
                <w:noProof/>
                <w:webHidden/>
              </w:rPr>
              <w:t>32</w:t>
            </w:r>
            <w:r w:rsidR="003D2865">
              <w:rPr>
                <w:noProof/>
                <w:webHidden/>
              </w:rPr>
              <w:fldChar w:fldCharType="end"/>
            </w:r>
          </w:hyperlink>
        </w:p>
        <w:p w14:paraId="49BDCD93" w14:textId="619253F1" w:rsidR="00D85352" w:rsidRDefault="00D85352" w:rsidP="00D85352">
          <w:pPr>
            <w:spacing w:after="160" w:line="259" w:lineRule="auto"/>
            <w:rPr>
              <w:noProof/>
            </w:rPr>
          </w:pPr>
          <w:r>
            <w:rPr>
              <w:rStyle w:val="Hyperlink"/>
              <w:rFonts w:asciiTheme="minorHAnsi" w:hAnsiTheme="minorHAnsi"/>
              <w:smallCaps/>
              <w:noProof/>
              <w:sz w:val="20"/>
              <w:szCs w:val="18"/>
            </w:rPr>
            <w:fldChar w:fldCharType="end"/>
          </w:r>
        </w:p>
        <w:p w14:paraId="7831E047" w14:textId="77777777" w:rsidR="00100240" w:rsidRDefault="00100240" w:rsidP="00D470A3">
          <w:pPr>
            <w:spacing w:after="160" w:line="259" w:lineRule="auto"/>
            <w:rPr>
              <w:noProof/>
            </w:rPr>
          </w:pPr>
        </w:p>
        <w:p w14:paraId="2C75EBCC" w14:textId="77777777" w:rsidR="00100240" w:rsidRDefault="00100240" w:rsidP="00D470A3">
          <w:pPr>
            <w:spacing w:after="160" w:line="259" w:lineRule="auto"/>
            <w:rPr>
              <w:noProof/>
            </w:rPr>
          </w:pPr>
        </w:p>
        <w:p w14:paraId="5CF4B3E8" w14:textId="77777777" w:rsidR="00100240" w:rsidRDefault="00100240" w:rsidP="00D75450">
          <w:pPr>
            <w:pStyle w:val="Heading1"/>
            <w:numPr>
              <w:ilvl w:val="0"/>
              <w:numId w:val="0"/>
            </w:numPr>
            <w:ind w:left="1134" w:hanging="1134"/>
          </w:pPr>
          <w:bookmarkStart w:id="23" w:name="_Toc452449136"/>
          <w:r>
            <w:t>List of Tables</w:t>
          </w:r>
          <w:bookmarkEnd w:id="23"/>
        </w:p>
        <w:p w14:paraId="28466C53" w14:textId="77777777" w:rsidR="00B148B9" w:rsidRDefault="00100240">
          <w:pPr>
            <w:pStyle w:val="TableofFigures"/>
            <w:rPr>
              <w:rFonts w:asciiTheme="minorHAnsi" w:eastAsiaTheme="minorEastAsia" w:hAnsiTheme="minorHAnsi" w:cstheme="minorBidi"/>
              <w:noProof/>
              <w:color w:val="auto"/>
              <w:sz w:val="22"/>
            </w:rPr>
          </w:pPr>
          <w:r>
            <w:rPr>
              <w:rFonts w:asciiTheme="minorHAnsi" w:hAnsiTheme="minorHAnsi"/>
              <w:b/>
              <w:smallCaps/>
              <w:sz w:val="20"/>
              <w:szCs w:val="20"/>
            </w:rPr>
            <w:fldChar w:fldCharType="begin"/>
          </w:r>
          <w:r>
            <w:instrText xml:space="preserve"> TOC \h \z \c "Table" </w:instrText>
          </w:r>
          <w:r>
            <w:rPr>
              <w:rFonts w:asciiTheme="minorHAnsi" w:hAnsiTheme="minorHAnsi"/>
              <w:b/>
              <w:smallCaps/>
              <w:sz w:val="20"/>
              <w:szCs w:val="20"/>
            </w:rPr>
            <w:fldChar w:fldCharType="separate"/>
          </w:r>
          <w:hyperlink w:anchor="_Toc452449187" w:history="1">
            <w:r w:rsidR="00B148B9" w:rsidRPr="00A71156">
              <w:rPr>
                <w:rStyle w:val="Hyperlink"/>
                <w:noProof/>
              </w:rPr>
              <w:t>Table 1 Well failure rates with corresponding total well flow area and density of leaky wells. Total number of wells is 425.</w:t>
            </w:r>
            <w:r w:rsidR="00B148B9">
              <w:rPr>
                <w:noProof/>
                <w:webHidden/>
              </w:rPr>
              <w:tab/>
            </w:r>
            <w:r w:rsidR="00B148B9">
              <w:rPr>
                <w:noProof/>
                <w:webHidden/>
              </w:rPr>
              <w:fldChar w:fldCharType="begin"/>
            </w:r>
            <w:r w:rsidR="00B148B9">
              <w:rPr>
                <w:noProof/>
                <w:webHidden/>
              </w:rPr>
              <w:instrText xml:space="preserve"> PAGEREF _Toc452449187 \h </w:instrText>
            </w:r>
            <w:r w:rsidR="00B148B9">
              <w:rPr>
                <w:noProof/>
                <w:webHidden/>
              </w:rPr>
            </w:r>
            <w:r w:rsidR="00B148B9">
              <w:rPr>
                <w:noProof/>
                <w:webHidden/>
              </w:rPr>
              <w:fldChar w:fldCharType="separate"/>
            </w:r>
            <w:r w:rsidR="002E45AF">
              <w:rPr>
                <w:noProof/>
                <w:webHidden/>
              </w:rPr>
              <w:t>10</w:t>
            </w:r>
            <w:r w:rsidR="00B148B9">
              <w:rPr>
                <w:noProof/>
                <w:webHidden/>
              </w:rPr>
              <w:fldChar w:fldCharType="end"/>
            </w:r>
          </w:hyperlink>
        </w:p>
        <w:p w14:paraId="30B66C84" w14:textId="77777777" w:rsidR="00B148B9" w:rsidRDefault="00ED4C1C">
          <w:pPr>
            <w:pStyle w:val="TableofFigures"/>
            <w:rPr>
              <w:rFonts w:asciiTheme="minorHAnsi" w:eastAsiaTheme="minorEastAsia" w:hAnsiTheme="minorHAnsi" w:cstheme="minorBidi"/>
              <w:noProof/>
              <w:color w:val="auto"/>
              <w:sz w:val="22"/>
            </w:rPr>
          </w:pPr>
          <w:hyperlink w:anchor="_Toc452449188" w:history="1">
            <w:r w:rsidR="00B148B9" w:rsidRPr="00A71156">
              <w:rPr>
                <w:rStyle w:val="Hyperlink"/>
                <w:noProof/>
              </w:rPr>
              <w:t>Table 2 Model parameters sourced from the CDM Smith [2014] Narrabri model. Parameters are defined in the text.</w:t>
            </w:r>
            <w:r w:rsidR="00B148B9">
              <w:rPr>
                <w:noProof/>
                <w:webHidden/>
              </w:rPr>
              <w:tab/>
            </w:r>
            <w:r w:rsidR="00B148B9">
              <w:rPr>
                <w:noProof/>
                <w:webHidden/>
              </w:rPr>
              <w:fldChar w:fldCharType="begin"/>
            </w:r>
            <w:r w:rsidR="00B148B9">
              <w:rPr>
                <w:noProof/>
                <w:webHidden/>
              </w:rPr>
              <w:instrText xml:space="preserve"> PAGEREF _Toc452449188 \h </w:instrText>
            </w:r>
            <w:r w:rsidR="00B148B9">
              <w:rPr>
                <w:noProof/>
                <w:webHidden/>
              </w:rPr>
            </w:r>
            <w:r w:rsidR="00B148B9">
              <w:rPr>
                <w:noProof/>
                <w:webHidden/>
              </w:rPr>
              <w:fldChar w:fldCharType="separate"/>
            </w:r>
            <w:r w:rsidR="002E45AF">
              <w:rPr>
                <w:noProof/>
                <w:webHidden/>
              </w:rPr>
              <w:t>17</w:t>
            </w:r>
            <w:r w:rsidR="00B148B9">
              <w:rPr>
                <w:noProof/>
                <w:webHidden/>
              </w:rPr>
              <w:fldChar w:fldCharType="end"/>
            </w:r>
          </w:hyperlink>
        </w:p>
        <w:p w14:paraId="616DDEEA" w14:textId="77777777" w:rsidR="00B148B9" w:rsidRDefault="00ED4C1C">
          <w:pPr>
            <w:pStyle w:val="TableofFigures"/>
            <w:rPr>
              <w:rFonts w:asciiTheme="minorHAnsi" w:eastAsiaTheme="minorEastAsia" w:hAnsiTheme="minorHAnsi" w:cstheme="minorBidi"/>
              <w:noProof/>
              <w:color w:val="auto"/>
              <w:sz w:val="22"/>
            </w:rPr>
          </w:pPr>
          <w:hyperlink w:anchor="_Toc452449189" w:history="1">
            <w:r w:rsidR="00B148B9" w:rsidRPr="00A71156">
              <w:rPr>
                <w:rStyle w:val="Hyperlink"/>
                <w:noProof/>
              </w:rPr>
              <w:t>Table 3 Effect of mesh size on flow through an abandoned well (scenario 3).</w:t>
            </w:r>
            <w:r w:rsidR="00B148B9">
              <w:rPr>
                <w:noProof/>
                <w:webHidden/>
              </w:rPr>
              <w:tab/>
            </w:r>
            <w:r w:rsidR="00B148B9">
              <w:rPr>
                <w:noProof/>
                <w:webHidden/>
              </w:rPr>
              <w:fldChar w:fldCharType="begin"/>
            </w:r>
            <w:r w:rsidR="00B148B9">
              <w:rPr>
                <w:noProof/>
                <w:webHidden/>
              </w:rPr>
              <w:instrText xml:space="preserve"> PAGEREF _Toc452449189 \h </w:instrText>
            </w:r>
            <w:r w:rsidR="00B148B9">
              <w:rPr>
                <w:noProof/>
                <w:webHidden/>
              </w:rPr>
            </w:r>
            <w:r w:rsidR="00B148B9">
              <w:rPr>
                <w:noProof/>
                <w:webHidden/>
              </w:rPr>
              <w:fldChar w:fldCharType="separate"/>
            </w:r>
            <w:r w:rsidR="002E45AF">
              <w:rPr>
                <w:noProof/>
                <w:webHidden/>
              </w:rPr>
              <w:t>20</w:t>
            </w:r>
            <w:r w:rsidR="00B148B9">
              <w:rPr>
                <w:noProof/>
                <w:webHidden/>
              </w:rPr>
              <w:fldChar w:fldCharType="end"/>
            </w:r>
          </w:hyperlink>
        </w:p>
        <w:p w14:paraId="4F0DA47A" w14:textId="77777777" w:rsidR="00B148B9" w:rsidRDefault="00ED4C1C">
          <w:pPr>
            <w:pStyle w:val="TableofFigures"/>
            <w:rPr>
              <w:rFonts w:asciiTheme="minorHAnsi" w:eastAsiaTheme="minorEastAsia" w:hAnsiTheme="minorHAnsi" w:cstheme="minorBidi"/>
              <w:noProof/>
              <w:color w:val="auto"/>
              <w:sz w:val="22"/>
            </w:rPr>
          </w:pPr>
          <w:hyperlink w:anchor="_Toc452449190" w:history="1">
            <w:r w:rsidR="00B148B9" w:rsidRPr="00A71156">
              <w:rPr>
                <w:rStyle w:val="Hyperlink"/>
                <w:noProof/>
              </w:rPr>
              <w:t>Table 4 Comparison between flow through a leaky and fully open well compared with regional flow through the aquitard, using parameters shown in Table 2 and a steady-state model.</w:t>
            </w:r>
            <w:r w:rsidR="00B148B9">
              <w:rPr>
                <w:noProof/>
                <w:webHidden/>
              </w:rPr>
              <w:tab/>
            </w:r>
            <w:r w:rsidR="00B148B9">
              <w:rPr>
                <w:noProof/>
                <w:webHidden/>
              </w:rPr>
              <w:fldChar w:fldCharType="begin"/>
            </w:r>
            <w:r w:rsidR="00B148B9">
              <w:rPr>
                <w:noProof/>
                <w:webHidden/>
              </w:rPr>
              <w:instrText xml:space="preserve"> PAGEREF _Toc452449190 \h </w:instrText>
            </w:r>
            <w:r w:rsidR="00B148B9">
              <w:rPr>
                <w:noProof/>
                <w:webHidden/>
              </w:rPr>
            </w:r>
            <w:r w:rsidR="00B148B9">
              <w:rPr>
                <w:noProof/>
                <w:webHidden/>
              </w:rPr>
              <w:fldChar w:fldCharType="separate"/>
            </w:r>
            <w:r w:rsidR="002E45AF">
              <w:rPr>
                <w:noProof/>
                <w:webHidden/>
              </w:rPr>
              <w:t>21</w:t>
            </w:r>
            <w:r w:rsidR="00B148B9">
              <w:rPr>
                <w:noProof/>
                <w:webHidden/>
              </w:rPr>
              <w:fldChar w:fldCharType="end"/>
            </w:r>
          </w:hyperlink>
        </w:p>
        <w:p w14:paraId="596BC49F" w14:textId="77777777" w:rsidR="00B148B9" w:rsidRDefault="00ED4C1C">
          <w:pPr>
            <w:pStyle w:val="TableofFigures"/>
            <w:rPr>
              <w:rFonts w:asciiTheme="minorHAnsi" w:eastAsiaTheme="minorEastAsia" w:hAnsiTheme="minorHAnsi" w:cstheme="minorBidi"/>
              <w:noProof/>
              <w:color w:val="auto"/>
              <w:sz w:val="22"/>
            </w:rPr>
          </w:pPr>
          <w:hyperlink w:anchor="_Toc452449191" w:history="1">
            <w:r w:rsidR="00B148B9" w:rsidRPr="00A71156">
              <w:rPr>
                <w:rStyle w:val="Hyperlink"/>
                <w:noProof/>
              </w:rPr>
              <w:t>Table 5 Comparison between flow through a leaky and open well compared with regional flow through the aquitard, for one order of magnitude lower aquitard (Layer 2) K</w:t>
            </w:r>
            <w:r w:rsidR="00B148B9" w:rsidRPr="00A71156">
              <w:rPr>
                <w:rStyle w:val="Hyperlink"/>
                <w:noProof/>
                <w:vertAlign w:val="subscript"/>
              </w:rPr>
              <w:t>h</w:t>
            </w:r>
            <w:r w:rsidR="00B148B9" w:rsidRPr="00A71156">
              <w:rPr>
                <w:rStyle w:val="Hyperlink"/>
                <w:noProof/>
              </w:rPr>
              <w:t xml:space="preserve"> and K</w:t>
            </w:r>
            <w:r w:rsidR="00B148B9" w:rsidRPr="00A71156">
              <w:rPr>
                <w:rStyle w:val="Hyperlink"/>
                <w:noProof/>
                <w:vertAlign w:val="subscript"/>
              </w:rPr>
              <w:t>v</w:t>
            </w:r>
            <w:r w:rsidR="00B148B9" w:rsidRPr="00A71156">
              <w:rPr>
                <w:rStyle w:val="Hyperlink"/>
                <w:noProof/>
              </w:rPr>
              <w:t xml:space="preserve"> values and a steady state model. Flow through the leaky well is slightly higher in this example because the decreasing aquitard conductivity restricts flow through the aquitard in favour of flow through the well, just as turning off one tap will increase flow slightly through other taps in a multi-tap system.</w:t>
            </w:r>
            <w:r w:rsidR="00B148B9">
              <w:rPr>
                <w:noProof/>
                <w:webHidden/>
              </w:rPr>
              <w:tab/>
            </w:r>
            <w:r w:rsidR="00B148B9">
              <w:rPr>
                <w:noProof/>
                <w:webHidden/>
              </w:rPr>
              <w:fldChar w:fldCharType="begin"/>
            </w:r>
            <w:r w:rsidR="00B148B9">
              <w:rPr>
                <w:noProof/>
                <w:webHidden/>
              </w:rPr>
              <w:instrText xml:space="preserve"> PAGEREF _Toc452449191 \h </w:instrText>
            </w:r>
            <w:r w:rsidR="00B148B9">
              <w:rPr>
                <w:noProof/>
                <w:webHidden/>
              </w:rPr>
            </w:r>
            <w:r w:rsidR="00B148B9">
              <w:rPr>
                <w:noProof/>
                <w:webHidden/>
              </w:rPr>
              <w:fldChar w:fldCharType="separate"/>
            </w:r>
            <w:r w:rsidR="002E45AF">
              <w:rPr>
                <w:noProof/>
                <w:webHidden/>
              </w:rPr>
              <w:t>21</w:t>
            </w:r>
            <w:r w:rsidR="00B148B9">
              <w:rPr>
                <w:noProof/>
                <w:webHidden/>
              </w:rPr>
              <w:fldChar w:fldCharType="end"/>
            </w:r>
          </w:hyperlink>
        </w:p>
        <w:p w14:paraId="1662DB9C" w14:textId="77777777" w:rsidR="00B148B9" w:rsidRDefault="00ED4C1C">
          <w:pPr>
            <w:pStyle w:val="TableofFigures"/>
            <w:rPr>
              <w:rFonts w:asciiTheme="minorHAnsi" w:eastAsiaTheme="minorEastAsia" w:hAnsiTheme="minorHAnsi" w:cstheme="minorBidi"/>
              <w:noProof/>
              <w:color w:val="auto"/>
              <w:sz w:val="22"/>
            </w:rPr>
          </w:pPr>
          <w:hyperlink w:anchor="_Toc452449192" w:history="1">
            <w:r w:rsidR="00B148B9" w:rsidRPr="00A71156">
              <w:rPr>
                <w:rStyle w:val="Hyperlink"/>
                <w:noProof/>
              </w:rPr>
              <w:t>Table 6 Comparison between flow through a leaky and open well compared with regional flow through the aquitard, for one order of magnitude higher aquifer (Layers 1 and 3) K</w:t>
            </w:r>
            <w:r w:rsidR="00B148B9" w:rsidRPr="00A71156">
              <w:rPr>
                <w:rStyle w:val="Hyperlink"/>
                <w:noProof/>
                <w:vertAlign w:val="subscript"/>
              </w:rPr>
              <w:t>h</w:t>
            </w:r>
            <w:r w:rsidR="00B148B9" w:rsidRPr="00A71156">
              <w:rPr>
                <w:rStyle w:val="Hyperlink"/>
                <w:noProof/>
              </w:rPr>
              <w:t xml:space="preserve"> and K</w:t>
            </w:r>
            <w:r w:rsidR="00B148B9" w:rsidRPr="00A71156">
              <w:rPr>
                <w:rStyle w:val="Hyperlink"/>
                <w:noProof/>
                <w:vertAlign w:val="subscript"/>
              </w:rPr>
              <w:t>v</w:t>
            </w:r>
            <w:r w:rsidR="00B148B9" w:rsidRPr="00A71156">
              <w:rPr>
                <w:rStyle w:val="Hyperlink"/>
                <w:noProof/>
              </w:rPr>
              <w:t xml:space="preserve"> values and a steady state model.</w:t>
            </w:r>
            <w:r w:rsidR="00B148B9">
              <w:rPr>
                <w:noProof/>
                <w:webHidden/>
              </w:rPr>
              <w:tab/>
            </w:r>
            <w:r w:rsidR="00B148B9">
              <w:rPr>
                <w:noProof/>
                <w:webHidden/>
              </w:rPr>
              <w:fldChar w:fldCharType="begin"/>
            </w:r>
            <w:r w:rsidR="00B148B9">
              <w:rPr>
                <w:noProof/>
                <w:webHidden/>
              </w:rPr>
              <w:instrText xml:space="preserve"> PAGEREF _Toc452449192 \h </w:instrText>
            </w:r>
            <w:r w:rsidR="00B148B9">
              <w:rPr>
                <w:noProof/>
                <w:webHidden/>
              </w:rPr>
            </w:r>
            <w:r w:rsidR="00B148B9">
              <w:rPr>
                <w:noProof/>
                <w:webHidden/>
              </w:rPr>
              <w:fldChar w:fldCharType="separate"/>
            </w:r>
            <w:r w:rsidR="002E45AF">
              <w:rPr>
                <w:noProof/>
                <w:webHidden/>
              </w:rPr>
              <w:t>21</w:t>
            </w:r>
            <w:r w:rsidR="00B148B9">
              <w:rPr>
                <w:noProof/>
                <w:webHidden/>
              </w:rPr>
              <w:fldChar w:fldCharType="end"/>
            </w:r>
          </w:hyperlink>
        </w:p>
        <w:p w14:paraId="698FACF6" w14:textId="77777777" w:rsidR="00B148B9" w:rsidRDefault="00ED4C1C">
          <w:pPr>
            <w:pStyle w:val="TableofFigures"/>
            <w:rPr>
              <w:rFonts w:asciiTheme="minorHAnsi" w:eastAsiaTheme="minorEastAsia" w:hAnsiTheme="minorHAnsi" w:cstheme="minorBidi"/>
              <w:noProof/>
              <w:color w:val="auto"/>
              <w:sz w:val="22"/>
            </w:rPr>
          </w:pPr>
          <w:hyperlink w:anchor="_Toc452449193" w:history="1">
            <w:r w:rsidR="00B148B9" w:rsidRPr="00A71156">
              <w:rPr>
                <w:rStyle w:val="Hyperlink"/>
                <w:noProof/>
              </w:rPr>
              <w:t>Table 7 Summary of metrics for the three well scenarios</w:t>
            </w:r>
            <w:r w:rsidR="00B148B9">
              <w:rPr>
                <w:noProof/>
                <w:webHidden/>
              </w:rPr>
              <w:tab/>
            </w:r>
            <w:r w:rsidR="00B148B9">
              <w:rPr>
                <w:noProof/>
                <w:webHidden/>
              </w:rPr>
              <w:fldChar w:fldCharType="begin"/>
            </w:r>
            <w:r w:rsidR="00B148B9">
              <w:rPr>
                <w:noProof/>
                <w:webHidden/>
              </w:rPr>
              <w:instrText xml:space="preserve"> PAGEREF _Toc452449193 \h </w:instrText>
            </w:r>
            <w:r w:rsidR="00B148B9">
              <w:rPr>
                <w:noProof/>
                <w:webHidden/>
              </w:rPr>
            </w:r>
            <w:r w:rsidR="00B148B9">
              <w:rPr>
                <w:noProof/>
                <w:webHidden/>
              </w:rPr>
              <w:fldChar w:fldCharType="separate"/>
            </w:r>
            <w:r w:rsidR="002E45AF">
              <w:rPr>
                <w:noProof/>
                <w:webHidden/>
              </w:rPr>
              <w:t>34</w:t>
            </w:r>
            <w:r w:rsidR="00B148B9">
              <w:rPr>
                <w:noProof/>
                <w:webHidden/>
              </w:rPr>
              <w:fldChar w:fldCharType="end"/>
            </w:r>
          </w:hyperlink>
        </w:p>
        <w:p w14:paraId="6FAC0DE0" w14:textId="7800F2DF" w:rsidR="00D4703E" w:rsidRDefault="00100240" w:rsidP="00100240">
          <w:pPr>
            <w:spacing w:after="160" w:line="259" w:lineRule="auto"/>
            <w:rPr>
              <w:noProof/>
            </w:rPr>
          </w:pPr>
          <w:r>
            <w:fldChar w:fldCharType="end"/>
          </w:r>
        </w:p>
      </w:sdtContent>
    </w:sdt>
    <w:p w14:paraId="369D3A3E" w14:textId="085AD1CC" w:rsidR="00D4703E" w:rsidRDefault="005810E7" w:rsidP="00100240">
      <w:pPr>
        <w:pStyle w:val="Heading1"/>
        <w:numPr>
          <w:ilvl w:val="0"/>
          <w:numId w:val="0"/>
        </w:numPr>
        <w:ind w:left="1134" w:hanging="1134"/>
      </w:pPr>
      <w:bookmarkStart w:id="24" w:name="_Toc452449137"/>
      <w:r>
        <w:t>Executive summary</w:t>
      </w:r>
      <w:bookmarkEnd w:id="24"/>
    </w:p>
    <w:p w14:paraId="50E10BA1" w14:textId="55ED6DF3" w:rsidR="00251003" w:rsidRDefault="00F47819" w:rsidP="00251003">
      <w:pPr>
        <w:pStyle w:val="Body"/>
        <w:rPr>
          <w:sz w:val="18"/>
        </w:rPr>
      </w:pPr>
      <w:r w:rsidRPr="00A92585">
        <w:rPr>
          <w:rFonts w:eastAsia="Calibri" w:cs="Times New Roman"/>
          <w:szCs w:val="22"/>
          <w:lang w:val="en-AU" w:eastAsia="en-AU"/>
        </w:rPr>
        <w:t>The project “Bore and well induced inter-aquifer groundwater connectivity: Consequence modelling and experimental design” focuses on identifying the consequences associated with preferential pathways generated by failed or open bore holes</w:t>
      </w:r>
      <w:r w:rsidR="002D72D3">
        <w:rPr>
          <w:rFonts w:eastAsia="Calibri" w:cs="Times New Roman"/>
          <w:szCs w:val="22"/>
          <w:lang w:val="en-AU" w:eastAsia="en-AU"/>
        </w:rPr>
        <w:t xml:space="preserve"> </w:t>
      </w:r>
      <w:r w:rsidR="002D72D3">
        <w:rPr>
          <w:rFonts w:ascii="Segoe UI" w:eastAsiaTheme="minorHAnsi" w:hAnsi="Segoe UI" w:cs="Segoe UI"/>
          <w:sz w:val="20"/>
          <w:szCs w:val="20"/>
          <w:lang w:eastAsia="en-US"/>
        </w:rPr>
        <w:t>in regions where coal seam gas development occurs</w:t>
      </w:r>
      <w:r w:rsidRPr="00A92585">
        <w:rPr>
          <w:rFonts w:eastAsia="Calibri" w:cs="Times New Roman"/>
          <w:szCs w:val="22"/>
          <w:lang w:val="en-AU" w:eastAsia="en-AU"/>
        </w:rPr>
        <w:t xml:space="preserve">. The project aims to develop methodologies and techniques that will identify and potentially quantify the potential risks associated with well and bore-induced inter-aquifer connectivity. The project has two components: i) a critical literature review and </w:t>
      </w:r>
      <w:r w:rsidR="002D72D3">
        <w:rPr>
          <w:rFonts w:ascii="Segoe UI" w:eastAsiaTheme="minorHAnsi" w:hAnsi="Segoe UI" w:cs="Segoe UI"/>
          <w:sz w:val="20"/>
          <w:szCs w:val="20"/>
          <w:lang w:eastAsia="en-US"/>
        </w:rPr>
        <w:t xml:space="preserve">local-scale assessments using </w:t>
      </w:r>
      <w:r w:rsidRPr="00A92585">
        <w:rPr>
          <w:rFonts w:eastAsia="Calibri" w:cs="Times New Roman"/>
          <w:szCs w:val="22"/>
          <w:lang w:val="en-AU" w:eastAsia="en-AU"/>
        </w:rPr>
        <w:t xml:space="preserve">groundwater modelling to identify the types of compromised bore integrity that may be measureable in CSG-bearing basins, and ii) regional groundwater modelling to assess the consequences of well and bore hole connectivity and the number of required connective pathways to create a range of noticeable impacts. This report </w:t>
      </w:r>
      <w:r w:rsidR="00867F57" w:rsidRPr="00A92585">
        <w:rPr>
          <w:rFonts w:eastAsia="Calibri" w:cs="Times New Roman"/>
          <w:szCs w:val="22"/>
          <w:lang w:val="en-AU" w:eastAsia="en-AU"/>
        </w:rPr>
        <w:t xml:space="preserve">documents the </w:t>
      </w:r>
      <w:r w:rsidR="00A5665D" w:rsidRPr="00A92585">
        <w:rPr>
          <w:rFonts w:eastAsia="Calibri" w:cs="Times New Roman"/>
          <w:szCs w:val="22"/>
          <w:lang w:val="en-AU" w:eastAsia="en-AU"/>
        </w:rPr>
        <w:t xml:space="preserve">local-scale </w:t>
      </w:r>
      <w:r w:rsidR="00867F57" w:rsidRPr="00A92585">
        <w:rPr>
          <w:rFonts w:eastAsia="Calibri" w:cs="Times New Roman"/>
          <w:szCs w:val="22"/>
          <w:lang w:val="en-AU" w:eastAsia="en-AU"/>
        </w:rPr>
        <w:t>assessments that were undertaken to explore whether or not there could be noticeable consequences on the groundwater balance from enhanced inter-aquifer connectivity owing to leakage pathways linked to hydrocarbon wells, groundwater bores, and exploration bores.</w:t>
      </w:r>
      <w:r w:rsidR="00A5665D" w:rsidRPr="00A92585">
        <w:rPr>
          <w:rFonts w:eastAsia="Calibri" w:cs="Times New Roman"/>
          <w:szCs w:val="22"/>
          <w:lang w:val="en-AU" w:eastAsia="en-AU"/>
        </w:rPr>
        <w:t xml:space="preserve"> The loc</w:t>
      </w:r>
      <w:r w:rsidR="00CD181B">
        <w:rPr>
          <w:rFonts w:eastAsia="Calibri" w:cs="Times New Roman"/>
          <w:szCs w:val="22"/>
          <w:lang w:val="en-AU" w:eastAsia="en-AU"/>
        </w:rPr>
        <w:t>al-scale assessments also serves</w:t>
      </w:r>
      <w:r w:rsidR="00A5665D" w:rsidRPr="00A92585">
        <w:rPr>
          <w:rFonts w:eastAsia="Calibri" w:cs="Times New Roman"/>
          <w:szCs w:val="22"/>
          <w:lang w:val="en-AU" w:eastAsia="en-AU"/>
        </w:rPr>
        <w:t xml:space="preserve"> as a test-bed for later regional-scale assessments of potential consequences.</w:t>
      </w:r>
      <w:r w:rsidR="00A5665D">
        <w:rPr>
          <w:sz w:val="18"/>
        </w:rPr>
        <w:t xml:space="preserve"> </w:t>
      </w:r>
    </w:p>
    <w:p w14:paraId="2FAC6AFA" w14:textId="6D058F38" w:rsidR="00A92585" w:rsidRDefault="00A92585" w:rsidP="00A92585">
      <w:r>
        <w:t xml:space="preserve">On the basis of a set of analytical solutions </w:t>
      </w:r>
      <w:r w:rsidR="0038004C">
        <w:t>this study</w:t>
      </w:r>
      <w:r>
        <w:t xml:space="preserve"> explore</w:t>
      </w:r>
      <w:r w:rsidR="0038004C">
        <w:t>s</w:t>
      </w:r>
      <w:r>
        <w:t xml:space="preserve"> the conditions, both in terms of flow properties of the </w:t>
      </w:r>
      <w:r w:rsidR="002D72D3">
        <w:t xml:space="preserve">well </w:t>
      </w:r>
      <w:r>
        <w:t xml:space="preserve">seepage pathway and the hydrogeological properties of the aquifers/aquitard system, which may lead to noticeable impacts on the groundwater balance. For this purpose a highly simplified three-layer system is considered comprising </w:t>
      </w:r>
      <w:r w:rsidR="00CD181B">
        <w:t xml:space="preserve">of </w:t>
      </w:r>
      <w:r>
        <w:t>two aqu</w:t>
      </w:r>
      <w:r w:rsidR="0038004C">
        <w:t>ifers separated by an aquitard</w:t>
      </w:r>
      <w:r>
        <w:t>. A hydrocarbon well or water bore is screened in the deepest aquifer, but has lost its integrity due to casing corrosion o</w:t>
      </w:r>
      <w:r w:rsidR="0038004C">
        <w:t xml:space="preserve">r </w:t>
      </w:r>
      <w:r w:rsidR="00CD181B">
        <w:t>another well failure mechanism</w:t>
      </w:r>
      <w:r>
        <w:t xml:space="preserve">. This has resulted in a continuous flow pathway connecting the two previously </w:t>
      </w:r>
      <w:r w:rsidR="000D38D6">
        <w:t>un</w:t>
      </w:r>
      <w:r>
        <w:t xml:space="preserve">connected aquifers. </w:t>
      </w:r>
      <w:r w:rsidR="00E930DE">
        <w:t xml:space="preserve">Two leakage pathways are considered: a leaky well with flow through the </w:t>
      </w:r>
      <w:r w:rsidR="000D38D6">
        <w:t xml:space="preserve">cement </w:t>
      </w:r>
      <w:r w:rsidR="00E930DE">
        <w:t xml:space="preserve">annulus </w:t>
      </w:r>
      <w:r w:rsidR="000D38D6">
        <w:t xml:space="preserve">between the well casing and the </w:t>
      </w:r>
      <w:r w:rsidR="00531D6A">
        <w:t xml:space="preserve">rock matrix, which has a </w:t>
      </w:r>
      <w:r w:rsidR="00E930DE">
        <w:t>moderately high effective well conductivity, and a fully open well or water bore with a very high well conductivity.</w:t>
      </w:r>
    </w:p>
    <w:p w14:paraId="3F39D9BF" w14:textId="439EE649" w:rsidR="00A92585" w:rsidRDefault="0038004C" w:rsidP="00A92585">
      <w:r>
        <w:t xml:space="preserve">Based on the analytical solutions, </w:t>
      </w:r>
      <w:r w:rsidR="00A92585">
        <w:t>simple relationship</w:t>
      </w:r>
      <w:r>
        <w:t>s</w:t>
      </w:r>
      <w:r w:rsidR="00A92585">
        <w:t xml:space="preserve"> </w:t>
      </w:r>
      <w:r w:rsidR="00531D6A">
        <w:t>are</w:t>
      </w:r>
      <w:r>
        <w:t xml:space="preserve"> develop</w:t>
      </w:r>
      <w:r w:rsidR="002D72D3">
        <w:t>ed</w:t>
      </w:r>
      <w:r>
        <w:t xml:space="preserve"> </w:t>
      </w:r>
      <w:r w:rsidR="00A92585">
        <w:t>between the density of leaky wells within a specified area of an aquitard</w:t>
      </w:r>
      <w:r w:rsidR="00531D6A">
        <w:t xml:space="preserve"> </w:t>
      </w:r>
      <w:r w:rsidR="00A92585">
        <w:t>and the e</w:t>
      </w:r>
      <w:r w:rsidR="00D445CB">
        <w:t>quivalent</w:t>
      </w:r>
      <w:r w:rsidR="00A92585">
        <w:t xml:space="preserve"> hydraulic conductivity of that aquitard</w:t>
      </w:r>
      <w:r w:rsidR="00531D6A">
        <w:t xml:space="preserve">. The density of leaky wells provides a proxy for the well failure rate, while the equivalent hydraulic conductivity of the aquitard is a weighted average of the conductivity </w:t>
      </w:r>
      <w:r w:rsidR="00A92585">
        <w:t xml:space="preserve">through </w:t>
      </w:r>
      <w:r w:rsidR="00531D6A">
        <w:t xml:space="preserve">the </w:t>
      </w:r>
      <w:r w:rsidR="00A92585">
        <w:t xml:space="preserve">leaky wells and </w:t>
      </w:r>
      <w:r w:rsidR="00531D6A">
        <w:t xml:space="preserve">the </w:t>
      </w:r>
      <w:r w:rsidR="00A92585">
        <w:t>aquitard</w:t>
      </w:r>
      <w:r w:rsidR="00A92585" w:rsidRPr="00B73E58">
        <w:t xml:space="preserve">. </w:t>
      </w:r>
      <w:r w:rsidRPr="00B73E58">
        <w:t>A</w:t>
      </w:r>
      <w:r w:rsidR="00A92585" w:rsidRPr="00B73E58">
        <w:t xml:space="preserve"> subsequent set of analytical solutions </w:t>
      </w:r>
      <w:r w:rsidRPr="00B73E58">
        <w:t>was develop</w:t>
      </w:r>
      <w:r w:rsidR="002D72D3" w:rsidRPr="00B73E58">
        <w:t>ed</w:t>
      </w:r>
      <w:r w:rsidRPr="00B73E58">
        <w:t xml:space="preserve"> </w:t>
      </w:r>
      <w:r w:rsidR="00A92585" w:rsidRPr="00B73E58">
        <w:t xml:space="preserve">that identify </w:t>
      </w:r>
      <w:r w:rsidR="00B73E58">
        <w:t>whether flow through the well is limited by the hydraulic conductivity of the well or the aquifers which provide or accept the flow of water</w:t>
      </w:r>
      <w:r w:rsidR="00A92585" w:rsidRPr="00B73E58">
        <w:t>.</w:t>
      </w:r>
      <w:r w:rsidR="00A92585">
        <w:t xml:space="preserve">   </w:t>
      </w:r>
    </w:p>
    <w:p w14:paraId="7DC9F04A" w14:textId="5ECDF8B0" w:rsidR="00A92585" w:rsidRDefault="0038004C" w:rsidP="00A92585">
      <w:r>
        <w:t xml:space="preserve">A complementary numerical analysis was undertaken using </w:t>
      </w:r>
      <w:r w:rsidR="00D03BD2">
        <w:t>MODFLOW Unstructured Grid model (</w:t>
      </w:r>
      <w:r w:rsidR="00A92585">
        <w:t>MODFLOW-USG</w:t>
      </w:r>
      <w:r w:rsidR="00D03BD2">
        <w:t>)</w:t>
      </w:r>
      <w:r w:rsidR="00A92585">
        <w:t xml:space="preserve"> with the </w:t>
      </w:r>
      <w:r w:rsidR="00D03BD2">
        <w:t>Continuous Linear Network (</w:t>
      </w:r>
      <w:r w:rsidR="00A92585">
        <w:t>CLN</w:t>
      </w:r>
      <w:r w:rsidR="00D03BD2">
        <w:t>)</w:t>
      </w:r>
      <w:r w:rsidR="00A92585">
        <w:t xml:space="preserve"> package and MODHMS with the </w:t>
      </w:r>
      <w:r w:rsidR="0033406F">
        <w:t>Fracture Well (</w:t>
      </w:r>
      <w:r w:rsidR="00A92585">
        <w:t>FWL4</w:t>
      </w:r>
      <w:r w:rsidR="0033406F">
        <w:t>)</w:t>
      </w:r>
      <w:r w:rsidR="00A92585">
        <w:t xml:space="preserve"> package</w:t>
      </w:r>
      <w:r w:rsidR="00D03BD2">
        <w:t>.</w:t>
      </w:r>
      <w:r w:rsidR="00A92585">
        <w:t xml:space="preserve"> </w:t>
      </w:r>
      <w:r w:rsidR="000442FF">
        <w:t>B</w:t>
      </w:r>
      <w:r>
        <w:t xml:space="preserve">oth models </w:t>
      </w:r>
      <w:r w:rsidR="00A92585">
        <w:t>are similar in the way they numerically describe the leaky well problem. The results from the numerical models</w:t>
      </w:r>
      <w:r w:rsidR="00FA48B7">
        <w:t>, in terms of flow through leaky wells with different well conductivities,</w:t>
      </w:r>
      <w:r w:rsidR="00A92585">
        <w:t xml:space="preserve"> were of the same order of magnitude as flow calculated using the analytical equations, although the analytical equations did not include leakage through an aquitard, nor </w:t>
      </w:r>
      <w:r w:rsidR="007223AD">
        <w:t xml:space="preserve">leakage through </w:t>
      </w:r>
      <w:r w:rsidR="00A92585">
        <w:t>an unconfined surficial aquifer.</w:t>
      </w:r>
    </w:p>
    <w:p w14:paraId="5EF52644" w14:textId="12E92244" w:rsidR="00A92585" w:rsidRDefault="00E930DE" w:rsidP="00251003">
      <w:pPr>
        <w:pStyle w:val="Body"/>
      </w:pPr>
      <w:r>
        <w:t>Based on an analysis of a single well, it is unlikely that there will be an impact from leaky wells on the groundwater balance of a hydrogeological system similar to the Gunnedah Basin (New South Wales)</w:t>
      </w:r>
      <w:r w:rsidR="007223AD">
        <w:t>, assuming moderately high effective well conductivity</w:t>
      </w:r>
      <w:r>
        <w:t xml:space="preserve">. However, it is </w:t>
      </w:r>
      <w:r w:rsidR="007223AD">
        <w:t>possible</w:t>
      </w:r>
      <w:r>
        <w:t xml:space="preserve"> that exploration or repurposed production bores that remain open after the </w:t>
      </w:r>
      <w:r w:rsidR="006F1751">
        <w:t xml:space="preserve">gas production </w:t>
      </w:r>
      <w:r>
        <w:t xml:space="preserve">site </w:t>
      </w:r>
      <w:r w:rsidR="006F1751">
        <w:t>has been</w:t>
      </w:r>
      <w:r>
        <w:t xml:space="preserve"> decommissioned will negatively impact the groundwater balance, i.e. groundwater water levels in the surficial aquifer.</w:t>
      </w:r>
      <w:r w:rsidR="00745D0E">
        <w:t xml:space="preserve"> Analysis of the cumulative effects of a large number of leaky wells on the regional scale groundwater balance are the subject of future assessments. </w:t>
      </w:r>
    </w:p>
    <w:p w14:paraId="6406E831" w14:textId="77777777" w:rsidR="00A83A47" w:rsidRPr="00A83A47" w:rsidRDefault="00A83A47" w:rsidP="00A83A47">
      <w:pPr>
        <w:pStyle w:val="Heading1"/>
        <w:numPr>
          <w:ilvl w:val="0"/>
          <w:numId w:val="0"/>
        </w:numPr>
        <w:ind w:left="1134" w:hanging="1134"/>
      </w:pPr>
      <w:bookmarkStart w:id="25" w:name="_Toc433992798"/>
      <w:bookmarkStart w:id="26" w:name="_Toc381946369"/>
      <w:bookmarkStart w:id="27" w:name="_Toc452449138"/>
      <w:r>
        <w:t>Abbreviations</w:t>
      </w:r>
      <w:bookmarkEnd w:id="25"/>
      <w:bookmarkEnd w:id="26"/>
      <w:bookmarkEnd w:id="27"/>
    </w:p>
    <w:tbl>
      <w:tblPr>
        <w:tblW w:w="92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231"/>
      </w:tblGrid>
      <w:tr w:rsidR="00A83A47" w14:paraId="2894F43B" w14:textId="77777777" w:rsidTr="00733DFE">
        <w:trPr>
          <w:trHeight w:val="188"/>
          <w:tblHeader/>
        </w:trPr>
        <w:tc>
          <w:tcPr>
            <w:tcW w:w="1985" w:type="dxa"/>
            <w:tcBorders>
              <w:top w:val="single" w:sz="4" w:space="0" w:color="auto"/>
              <w:left w:val="single" w:sz="4" w:space="0" w:color="auto"/>
              <w:bottom w:val="single" w:sz="4" w:space="0" w:color="auto"/>
              <w:right w:val="single" w:sz="4" w:space="0" w:color="auto"/>
            </w:tcBorders>
            <w:shd w:val="clear" w:color="auto" w:fill="CCCCCC" w:themeFill="text2" w:themeFillTint="33"/>
            <w:hideMark/>
          </w:tcPr>
          <w:p w14:paraId="78067E22" w14:textId="77777777" w:rsidR="00A83A47" w:rsidRDefault="00A83A47">
            <w:pPr>
              <w:pStyle w:val="OWSTableheading"/>
            </w:pPr>
            <w:r>
              <w:t>General abbreviations</w:t>
            </w:r>
          </w:p>
        </w:tc>
        <w:tc>
          <w:tcPr>
            <w:tcW w:w="7231" w:type="dxa"/>
            <w:tcBorders>
              <w:top w:val="single" w:sz="4" w:space="0" w:color="auto"/>
              <w:left w:val="single" w:sz="4" w:space="0" w:color="auto"/>
              <w:bottom w:val="single" w:sz="4" w:space="0" w:color="auto"/>
              <w:right w:val="single" w:sz="4" w:space="0" w:color="auto"/>
            </w:tcBorders>
            <w:shd w:val="clear" w:color="auto" w:fill="CCCCCC" w:themeFill="text2" w:themeFillTint="33"/>
            <w:hideMark/>
          </w:tcPr>
          <w:p w14:paraId="2C21D27E" w14:textId="77777777" w:rsidR="00A83A47" w:rsidRDefault="00A83A47">
            <w:pPr>
              <w:pStyle w:val="OWSTableheading"/>
            </w:pPr>
            <w:r>
              <w:t>Description</w:t>
            </w:r>
          </w:p>
        </w:tc>
      </w:tr>
      <w:tr w:rsidR="00176769" w14:paraId="29610D3E"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0CF603A9" w14:textId="0B45D14D" w:rsidR="00176769" w:rsidRDefault="00176769">
            <w:pPr>
              <w:pStyle w:val="OWSTabletext"/>
              <w:rPr>
                <w:noProof/>
                <w:color w:val="auto"/>
              </w:rPr>
            </w:pPr>
            <w:r>
              <w:rPr>
                <w:noProof/>
                <w:color w:val="auto"/>
              </w:rPr>
              <w:t>AHD</w:t>
            </w:r>
          </w:p>
        </w:tc>
        <w:tc>
          <w:tcPr>
            <w:tcW w:w="7231" w:type="dxa"/>
            <w:tcBorders>
              <w:top w:val="single" w:sz="4" w:space="0" w:color="auto"/>
              <w:left w:val="single" w:sz="4" w:space="0" w:color="auto"/>
              <w:bottom w:val="single" w:sz="4" w:space="0" w:color="auto"/>
              <w:right w:val="single" w:sz="4" w:space="0" w:color="auto"/>
            </w:tcBorders>
          </w:tcPr>
          <w:p w14:paraId="54F72C08" w14:textId="14D45675" w:rsidR="00176769" w:rsidRDefault="005D7D47">
            <w:pPr>
              <w:pStyle w:val="OWSTabletext"/>
              <w:rPr>
                <w:color w:val="auto"/>
              </w:rPr>
            </w:pPr>
            <w:r>
              <w:rPr>
                <w:color w:val="auto"/>
              </w:rPr>
              <w:t xml:space="preserve">Australian </w:t>
            </w:r>
            <w:r w:rsidR="007223AD">
              <w:rPr>
                <w:color w:val="auto"/>
              </w:rPr>
              <w:t xml:space="preserve">height </w:t>
            </w:r>
            <w:r>
              <w:rPr>
                <w:color w:val="auto"/>
              </w:rPr>
              <w:t>datum</w:t>
            </w:r>
          </w:p>
        </w:tc>
      </w:tr>
      <w:tr w:rsidR="00176769" w14:paraId="76CAC2BB"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7E6DA69D" w14:textId="40AA8B48" w:rsidR="00176769" w:rsidRDefault="005D7D47">
            <w:pPr>
              <w:pStyle w:val="OWSTabletext"/>
              <w:rPr>
                <w:noProof/>
                <w:color w:val="auto"/>
              </w:rPr>
            </w:pPr>
            <w:r>
              <w:t>CHB</w:t>
            </w:r>
          </w:p>
        </w:tc>
        <w:tc>
          <w:tcPr>
            <w:tcW w:w="7231" w:type="dxa"/>
            <w:tcBorders>
              <w:top w:val="single" w:sz="4" w:space="0" w:color="auto"/>
              <w:left w:val="single" w:sz="4" w:space="0" w:color="auto"/>
              <w:bottom w:val="single" w:sz="4" w:space="0" w:color="auto"/>
              <w:right w:val="single" w:sz="4" w:space="0" w:color="auto"/>
            </w:tcBorders>
          </w:tcPr>
          <w:p w14:paraId="4F9DE0ED" w14:textId="7648167E" w:rsidR="00176769" w:rsidRDefault="00176769" w:rsidP="00176769">
            <w:pPr>
              <w:pStyle w:val="OWSTabletext"/>
              <w:rPr>
                <w:color w:val="auto"/>
              </w:rPr>
            </w:pPr>
            <w:r>
              <w:t xml:space="preserve">constant head boundary </w:t>
            </w:r>
          </w:p>
        </w:tc>
      </w:tr>
      <w:tr w:rsidR="00176769" w14:paraId="074DCEE6"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089F81F2" w14:textId="4F0710C4" w:rsidR="00176769" w:rsidRDefault="00176769">
            <w:pPr>
              <w:pStyle w:val="OWSTabletext"/>
              <w:rPr>
                <w:noProof/>
                <w:color w:val="auto"/>
              </w:rPr>
            </w:pPr>
            <w:r>
              <w:rPr>
                <w:noProof/>
                <w:color w:val="auto"/>
              </w:rPr>
              <w:t>CLN</w:t>
            </w:r>
          </w:p>
        </w:tc>
        <w:tc>
          <w:tcPr>
            <w:tcW w:w="7231" w:type="dxa"/>
            <w:tcBorders>
              <w:top w:val="single" w:sz="4" w:space="0" w:color="auto"/>
              <w:left w:val="single" w:sz="4" w:space="0" w:color="auto"/>
              <w:bottom w:val="single" w:sz="4" w:space="0" w:color="auto"/>
              <w:right w:val="single" w:sz="4" w:space="0" w:color="auto"/>
            </w:tcBorders>
          </w:tcPr>
          <w:p w14:paraId="6A48D630" w14:textId="1EE39867" w:rsidR="00176769" w:rsidRDefault="005D7D47" w:rsidP="005D7D47">
            <w:pPr>
              <w:pStyle w:val="OWSTabletext"/>
              <w:rPr>
                <w:color w:val="auto"/>
              </w:rPr>
            </w:pPr>
            <w:r>
              <w:t>C</w:t>
            </w:r>
            <w:r w:rsidR="00176769">
              <w:t>ontinuous linear network package from MODFLOW-USG</w:t>
            </w:r>
          </w:p>
        </w:tc>
      </w:tr>
      <w:tr w:rsidR="005D7D47" w14:paraId="5F2F589E"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50BD64D1" w14:textId="572EB61F" w:rsidR="005D7D47" w:rsidRDefault="005D7D47" w:rsidP="005D7D47">
            <w:pPr>
              <w:pStyle w:val="OWSTabletext"/>
              <w:rPr>
                <w:noProof/>
                <w:color w:val="auto"/>
              </w:rPr>
            </w:pPr>
            <w:r>
              <w:rPr>
                <w:noProof/>
                <w:color w:val="auto"/>
              </w:rPr>
              <w:t>CSG</w:t>
            </w:r>
          </w:p>
        </w:tc>
        <w:tc>
          <w:tcPr>
            <w:tcW w:w="7231" w:type="dxa"/>
            <w:tcBorders>
              <w:top w:val="single" w:sz="4" w:space="0" w:color="auto"/>
              <w:left w:val="single" w:sz="4" w:space="0" w:color="auto"/>
              <w:bottom w:val="single" w:sz="4" w:space="0" w:color="auto"/>
              <w:right w:val="single" w:sz="4" w:space="0" w:color="auto"/>
            </w:tcBorders>
          </w:tcPr>
          <w:p w14:paraId="0CD19434" w14:textId="360DB05C" w:rsidR="005D7D47" w:rsidRDefault="005D7D47" w:rsidP="005D7D47">
            <w:pPr>
              <w:pStyle w:val="OWSTabletext"/>
              <w:rPr>
                <w:color w:val="auto"/>
              </w:rPr>
            </w:pPr>
            <w:r>
              <w:rPr>
                <w:color w:val="auto"/>
              </w:rPr>
              <w:t>Coal seam gas</w:t>
            </w:r>
          </w:p>
        </w:tc>
      </w:tr>
      <w:tr w:rsidR="005D7D47" w14:paraId="132EAAF1"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3ED14F14" w14:textId="59F261AF" w:rsidR="005D7D47" w:rsidRDefault="005D7D47" w:rsidP="005D7D47">
            <w:pPr>
              <w:pStyle w:val="OWSTabletext"/>
              <w:rPr>
                <w:noProof/>
                <w:color w:val="auto"/>
              </w:rPr>
            </w:pPr>
            <w:r>
              <w:rPr>
                <w:noProof/>
                <w:color w:val="auto"/>
              </w:rPr>
              <w:t>CSIRO</w:t>
            </w:r>
          </w:p>
        </w:tc>
        <w:tc>
          <w:tcPr>
            <w:tcW w:w="7231" w:type="dxa"/>
            <w:tcBorders>
              <w:top w:val="single" w:sz="4" w:space="0" w:color="auto"/>
              <w:left w:val="single" w:sz="4" w:space="0" w:color="auto"/>
              <w:bottom w:val="single" w:sz="4" w:space="0" w:color="auto"/>
              <w:right w:val="single" w:sz="4" w:space="0" w:color="auto"/>
            </w:tcBorders>
          </w:tcPr>
          <w:p w14:paraId="7ED381FC" w14:textId="429A561C" w:rsidR="005D7D47" w:rsidRDefault="005D7D47" w:rsidP="005D7D47">
            <w:pPr>
              <w:pStyle w:val="OWSTabletext"/>
              <w:rPr>
                <w:color w:val="auto"/>
              </w:rPr>
            </w:pPr>
            <w:r>
              <w:rPr>
                <w:color w:val="auto"/>
              </w:rPr>
              <w:t>Commonwealth Scientific and Industrial Research Organisation</w:t>
            </w:r>
          </w:p>
        </w:tc>
      </w:tr>
      <w:tr w:rsidR="005D7D47" w14:paraId="48C9CBE8"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2B473553" w14:textId="00A06418" w:rsidR="005D7D47" w:rsidRDefault="005D7D47" w:rsidP="005D7D47">
            <w:pPr>
              <w:pStyle w:val="OWSTabletext"/>
              <w:rPr>
                <w:noProof/>
                <w:color w:val="auto"/>
              </w:rPr>
            </w:pPr>
            <w:r>
              <w:rPr>
                <w:noProof/>
                <w:color w:val="auto"/>
              </w:rPr>
              <w:t>MODFLOW-USG</w:t>
            </w:r>
          </w:p>
        </w:tc>
        <w:tc>
          <w:tcPr>
            <w:tcW w:w="7231" w:type="dxa"/>
            <w:tcBorders>
              <w:top w:val="single" w:sz="4" w:space="0" w:color="auto"/>
              <w:left w:val="single" w:sz="4" w:space="0" w:color="auto"/>
              <w:bottom w:val="single" w:sz="4" w:space="0" w:color="auto"/>
              <w:right w:val="single" w:sz="4" w:space="0" w:color="auto"/>
            </w:tcBorders>
          </w:tcPr>
          <w:p w14:paraId="65D573D6" w14:textId="1C5A5966" w:rsidR="005D7D47" w:rsidRDefault="005D7D47" w:rsidP="005D7D47">
            <w:pPr>
              <w:pStyle w:val="OWSTabletext"/>
              <w:rPr>
                <w:color w:val="auto"/>
              </w:rPr>
            </w:pPr>
            <w:r>
              <w:rPr>
                <w:color w:val="auto"/>
              </w:rPr>
              <w:t>MODFLOW-Unstructured Grid</w:t>
            </w:r>
          </w:p>
        </w:tc>
      </w:tr>
      <w:tr w:rsidR="005D7D47" w14:paraId="4CA72B28"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09557391" w14:textId="70D22131" w:rsidR="005D7D47" w:rsidRDefault="005D7D47" w:rsidP="005D7D47">
            <w:pPr>
              <w:pStyle w:val="OWSTabletext"/>
              <w:rPr>
                <w:noProof/>
                <w:color w:val="auto"/>
              </w:rPr>
            </w:pPr>
            <w:r>
              <w:rPr>
                <w:noProof/>
                <w:color w:val="auto"/>
              </w:rPr>
              <w:t>MODHMS-FWL4</w:t>
            </w:r>
          </w:p>
        </w:tc>
        <w:tc>
          <w:tcPr>
            <w:tcW w:w="7231" w:type="dxa"/>
            <w:tcBorders>
              <w:top w:val="single" w:sz="4" w:space="0" w:color="auto"/>
              <w:left w:val="single" w:sz="4" w:space="0" w:color="auto"/>
              <w:bottom w:val="single" w:sz="4" w:space="0" w:color="auto"/>
              <w:right w:val="single" w:sz="4" w:space="0" w:color="auto"/>
            </w:tcBorders>
          </w:tcPr>
          <w:p w14:paraId="2E3F4783" w14:textId="7893A898" w:rsidR="005D7D47" w:rsidRDefault="003B2F9C" w:rsidP="005D7D47">
            <w:pPr>
              <w:pStyle w:val="OWSTabletext"/>
              <w:rPr>
                <w:color w:val="auto"/>
              </w:rPr>
            </w:pPr>
            <w:r>
              <w:rPr>
                <w:noProof/>
                <w:color w:val="auto"/>
              </w:rPr>
              <w:t>MODHMS</w:t>
            </w:r>
            <w:r>
              <w:t xml:space="preserve"> fracture well package</w:t>
            </w:r>
          </w:p>
        </w:tc>
      </w:tr>
      <w:tr w:rsidR="005D7D47" w14:paraId="0198D73C" w14:textId="77777777" w:rsidTr="00733DFE">
        <w:trPr>
          <w:trHeight w:val="84"/>
        </w:trPr>
        <w:tc>
          <w:tcPr>
            <w:tcW w:w="1985" w:type="dxa"/>
            <w:tcBorders>
              <w:top w:val="single" w:sz="4" w:space="0" w:color="auto"/>
              <w:left w:val="single" w:sz="4" w:space="0" w:color="auto"/>
              <w:bottom w:val="single" w:sz="4" w:space="0" w:color="auto"/>
              <w:right w:val="single" w:sz="4" w:space="0" w:color="auto"/>
            </w:tcBorders>
          </w:tcPr>
          <w:p w14:paraId="64493551" w14:textId="5F85D2B7" w:rsidR="005D7D47" w:rsidRDefault="005D7D47" w:rsidP="005D7D47">
            <w:pPr>
              <w:pStyle w:val="OWSTabletext"/>
              <w:rPr>
                <w:noProof/>
                <w:color w:val="auto"/>
              </w:rPr>
            </w:pPr>
            <w:r>
              <w:rPr>
                <w:noProof/>
                <w:color w:val="auto"/>
              </w:rPr>
              <w:t>US EPA</w:t>
            </w:r>
          </w:p>
        </w:tc>
        <w:tc>
          <w:tcPr>
            <w:tcW w:w="7231" w:type="dxa"/>
            <w:tcBorders>
              <w:top w:val="single" w:sz="4" w:space="0" w:color="auto"/>
              <w:left w:val="single" w:sz="4" w:space="0" w:color="auto"/>
              <w:bottom w:val="single" w:sz="4" w:space="0" w:color="auto"/>
              <w:right w:val="single" w:sz="4" w:space="0" w:color="auto"/>
            </w:tcBorders>
          </w:tcPr>
          <w:p w14:paraId="678F5ABC" w14:textId="349F486B" w:rsidR="005D7D47" w:rsidRDefault="005D7D47" w:rsidP="005D7D47">
            <w:pPr>
              <w:pStyle w:val="OWSTabletext"/>
              <w:rPr>
                <w:color w:val="auto"/>
              </w:rPr>
            </w:pPr>
            <w:r>
              <w:rPr>
                <w:color w:val="auto"/>
              </w:rPr>
              <w:t>United States Environmental Protection Agency</w:t>
            </w:r>
          </w:p>
        </w:tc>
      </w:tr>
    </w:tbl>
    <w:p w14:paraId="0F43A350" w14:textId="77777777" w:rsidR="00A83A47" w:rsidRDefault="00A83A47" w:rsidP="00A83A47">
      <w:pPr>
        <w:pStyle w:val="Body"/>
        <w:rPr>
          <w:rFonts w:cs="Arial"/>
          <w:color w:val="auto"/>
          <w:sz w:val="18"/>
          <w:szCs w:val="22"/>
          <w:lang w:val="en-US"/>
        </w:rPr>
      </w:pPr>
    </w:p>
    <w:p w14:paraId="30DCDB8D" w14:textId="77777777" w:rsidR="00A83A47" w:rsidRDefault="00A83A47" w:rsidP="00A83A47">
      <w:pPr>
        <w:pStyle w:val="Heading1"/>
        <w:numPr>
          <w:ilvl w:val="0"/>
          <w:numId w:val="0"/>
        </w:numPr>
        <w:ind w:left="1134" w:hanging="1134"/>
      </w:pPr>
      <w:bookmarkStart w:id="28" w:name="_Toc433992799"/>
      <w:bookmarkStart w:id="29" w:name="_Toc351121191"/>
      <w:bookmarkStart w:id="30" w:name="_Toc452449139"/>
      <w:r>
        <w:t>Glossary</w:t>
      </w:r>
      <w:bookmarkEnd w:id="28"/>
      <w:bookmarkEnd w:id="29"/>
      <w:bookmarkEnd w:id="30"/>
    </w:p>
    <w:tbl>
      <w:tblPr>
        <w:tblW w:w="92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7225"/>
        <w:gridCol w:w="6"/>
      </w:tblGrid>
      <w:tr w:rsidR="00A83A47" w14:paraId="1E6D70DB" w14:textId="77777777" w:rsidTr="0038431D">
        <w:trPr>
          <w:tblHeader/>
        </w:trPr>
        <w:tc>
          <w:tcPr>
            <w:tcW w:w="1985" w:type="dxa"/>
            <w:tcBorders>
              <w:top w:val="single" w:sz="4" w:space="0" w:color="auto"/>
              <w:left w:val="single" w:sz="4" w:space="0" w:color="auto"/>
              <w:bottom w:val="single" w:sz="4" w:space="0" w:color="auto"/>
              <w:right w:val="single" w:sz="4" w:space="0" w:color="auto"/>
            </w:tcBorders>
            <w:shd w:val="clear" w:color="auto" w:fill="CCCCCC" w:themeFill="text2" w:themeFillTint="33"/>
            <w:hideMark/>
          </w:tcPr>
          <w:p w14:paraId="23DF7F80" w14:textId="77777777" w:rsidR="00A83A47" w:rsidRDefault="00A83A47">
            <w:pPr>
              <w:pStyle w:val="OWSTableheading"/>
            </w:pPr>
            <w:bookmarkStart w:id="31" w:name="_Toc333408606"/>
            <w:bookmarkStart w:id="32" w:name="_Toc332468022"/>
            <w:bookmarkStart w:id="33" w:name="_Toc332463978"/>
            <w:bookmarkStart w:id="34" w:name="_Toc332463730"/>
            <w:bookmarkStart w:id="35" w:name="_Toc332463482"/>
            <w:bookmarkStart w:id="36" w:name="_Toc332468004"/>
            <w:bookmarkStart w:id="37" w:name="_Toc332463965"/>
            <w:bookmarkStart w:id="38" w:name="_Toc332463717"/>
            <w:bookmarkStart w:id="39" w:name="_Toc332463469"/>
            <w:bookmarkStart w:id="40" w:name="_Toc332468003"/>
            <w:bookmarkStart w:id="41" w:name="_Toc332468000"/>
            <w:bookmarkStart w:id="42" w:name="_Toc332467997"/>
            <w:bookmarkStart w:id="43" w:name="_Toc332467996"/>
            <w:bookmarkStart w:id="44" w:name="_Toc332467994"/>
            <w:bookmarkStart w:id="45" w:name="_Toc332467993"/>
            <w:bookmarkStart w:id="46" w:name="_Toc332467985"/>
            <w:bookmarkStart w:id="47" w:name="_Toc332463952"/>
            <w:bookmarkStart w:id="48" w:name="_Toc332463704"/>
            <w:bookmarkStart w:id="49" w:name="_Toc332463456"/>
            <w:bookmarkStart w:id="50" w:name="_Toc332461671"/>
            <w:bookmarkStart w:id="51" w:name="_Toc332461427"/>
            <w:bookmarkStart w:id="52" w:name="_Toc332461181"/>
            <w:bookmarkStart w:id="53" w:name="_Toc332467980"/>
            <w:bookmarkStart w:id="54" w:name="_Toc332463947"/>
            <w:bookmarkStart w:id="55" w:name="_Toc332463699"/>
            <w:bookmarkStart w:id="56" w:name="_Toc332463451"/>
            <w:bookmarkStart w:id="57" w:name="_Toc332461666"/>
            <w:bookmarkStart w:id="58" w:name="_Toc332461422"/>
            <w:bookmarkStart w:id="59" w:name="_Toc332461176"/>
            <w:bookmarkStart w:id="60" w:name="_Toc332467979"/>
            <w:bookmarkStart w:id="61" w:name="_Toc332463946"/>
            <w:bookmarkStart w:id="62" w:name="_Toc332463698"/>
            <w:bookmarkStart w:id="63" w:name="_Toc332463450"/>
            <w:bookmarkStart w:id="64" w:name="_Toc332461665"/>
            <w:bookmarkStart w:id="65" w:name="_Toc332461421"/>
            <w:bookmarkStart w:id="66" w:name="_Toc332461175"/>
            <w:bookmarkStart w:id="67" w:name="_Toc332467974"/>
            <w:bookmarkStart w:id="68" w:name="_Toc332463941"/>
            <w:bookmarkStart w:id="69" w:name="_Toc332463693"/>
            <w:bookmarkStart w:id="70" w:name="_Toc332463445"/>
            <w:bookmarkStart w:id="71" w:name="_Toc332461660"/>
            <w:bookmarkStart w:id="72" w:name="_Toc332461416"/>
            <w:bookmarkStart w:id="73" w:name="_Toc332461170"/>
            <w:bookmarkStart w:id="74" w:name="_Toc332467973"/>
            <w:bookmarkStart w:id="75" w:name="_Toc332463940"/>
            <w:bookmarkStart w:id="76" w:name="_Toc332463692"/>
            <w:bookmarkStart w:id="77" w:name="_Toc332463444"/>
            <w:bookmarkStart w:id="78" w:name="_Toc332461659"/>
            <w:bookmarkStart w:id="79" w:name="_Toc332461415"/>
            <w:bookmarkStart w:id="80" w:name="_Toc332461169"/>
            <w:bookmarkStart w:id="81" w:name="_Toc332467972"/>
            <w:bookmarkStart w:id="82" w:name="_Toc332463939"/>
            <w:bookmarkStart w:id="83" w:name="_Toc332463691"/>
            <w:bookmarkStart w:id="84" w:name="_Toc332463443"/>
            <w:bookmarkStart w:id="85" w:name="_Toc332461658"/>
            <w:bookmarkStart w:id="86" w:name="_Toc332461414"/>
            <w:bookmarkStart w:id="87" w:name="_Toc332461168"/>
            <w:bookmarkStart w:id="88" w:name="_Toc332467971"/>
            <w:bookmarkStart w:id="89" w:name="_Toc332463938"/>
            <w:bookmarkStart w:id="90" w:name="_Toc332463690"/>
            <w:bookmarkStart w:id="91" w:name="_Toc332463442"/>
            <w:bookmarkStart w:id="92" w:name="_Toc332461657"/>
            <w:bookmarkStart w:id="93" w:name="_Toc332461413"/>
            <w:bookmarkStart w:id="94" w:name="_Toc332461167"/>
            <w:bookmarkStart w:id="95" w:name="_Toc332467968"/>
            <w:bookmarkStart w:id="96" w:name="_Toc332463935"/>
            <w:bookmarkStart w:id="97" w:name="_Toc332463687"/>
            <w:bookmarkStart w:id="98" w:name="_Toc332463439"/>
            <w:bookmarkStart w:id="99" w:name="_Toc332461654"/>
            <w:bookmarkStart w:id="100" w:name="_Toc332461410"/>
            <w:bookmarkStart w:id="101" w:name="_Toc332461164"/>
            <w:bookmarkStart w:id="102" w:name="_Toc332467967"/>
            <w:bookmarkStart w:id="103" w:name="_Toc332463934"/>
            <w:bookmarkStart w:id="104" w:name="_Toc332463686"/>
            <w:bookmarkStart w:id="105" w:name="_Toc332463438"/>
            <w:bookmarkStart w:id="106" w:name="_Toc332461653"/>
            <w:bookmarkStart w:id="107" w:name="_Toc332461409"/>
            <w:bookmarkStart w:id="108" w:name="_Toc332461163"/>
            <w:bookmarkStart w:id="109" w:name="_Toc332467966"/>
            <w:bookmarkStart w:id="110" w:name="_Toc332463933"/>
            <w:bookmarkStart w:id="111" w:name="_Toc332463685"/>
            <w:bookmarkStart w:id="112" w:name="_Toc332463437"/>
            <w:bookmarkStart w:id="113" w:name="_Toc332461652"/>
            <w:bookmarkStart w:id="114" w:name="_Toc332461408"/>
            <w:bookmarkStart w:id="115" w:name="_Toc332461162"/>
            <w:bookmarkStart w:id="116" w:name="_Toc332467963"/>
            <w:bookmarkStart w:id="117" w:name="_Toc332463930"/>
            <w:bookmarkStart w:id="118" w:name="_Toc332463682"/>
            <w:bookmarkStart w:id="119" w:name="_Toc332463434"/>
            <w:bookmarkStart w:id="120" w:name="_Toc332461649"/>
            <w:bookmarkStart w:id="121" w:name="_Toc332461405"/>
            <w:bookmarkStart w:id="122" w:name="_Toc332461159"/>
            <w:bookmarkStart w:id="123" w:name="_Toc332467961"/>
            <w:bookmarkStart w:id="124" w:name="_Toc332463928"/>
            <w:bookmarkStart w:id="125" w:name="_Toc332463680"/>
            <w:bookmarkStart w:id="126" w:name="_Toc332463432"/>
            <w:bookmarkStart w:id="127" w:name="_Toc332461647"/>
            <w:bookmarkStart w:id="128" w:name="_Toc332461403"/>
            <w:bookmarkStart w:id="129" w:name="_Toc332461157"/>
            <w:bookmarkStart w:id="130" w:name="_Toc332467951"/>
            <w:bookmarkStart w:id="131" w:name="_Toc332463918"/>
            <w:bookmarkStart w:id="132" w:name="_Toc332463670"/>
            <w:bookmarkStart w:id="133" w:name="_Toc332463422"/>
            <w:bookmarkStart w:id="134" w:name="_Toc332461637"/>
            <w:bookmarkStart w:id="135" w:name="_Toc332461393"/>
            <w:bookmarkStart w:id="136" w:name="_Toc332461147"/>
            <w:bookmarkStart w:id="137" w:name="_Toc332467943"/>
            <w:bookmarkStart w:id="138" w:name="_Toc332463910"/>
            <w:bookmarkStart w:id="139" w:name="_Toc332463662"/>
            <w:bookmarkStart w:id="140" w:name="_Toc332463414"/>
            <w:bookmarkStart w:id="141" w:name="_Toc332461629"/>
            <w:bookmarkStart w:id="142" w:name="_Toc332461385"/>
            <w:bookmarkStart w:id="143" w:name="_Toc332461139"/>
            <w:bookmarkStart w:id="144" w:name="_Toc332467940"/>
            <w:bookmarkStart w:id="145" w:name="_Toc332463907"/>
            <w:bookmarkStart w:id="146" w:name="_Toc332463659"/>
            <w:bookmarkStart w:id="147" w:name="_Toc332463411"/>
            <w:bookmarkStart w:id="148" w:name="_Toc332461626"/>
            <w:bookmarkStart w:id="149" w:name="_Toc332461382"/>
            <w:bookmarkStart w:id="150" w:name="_Toc332461136"/>
            <w:bookmarkStart w:id="151" w:name="_Toc332467922"/>
            <w:bookmarkStart w:id="152" w:name="_Toc332463889"/>
            <w:bookmarkStart w:id="153" w:name="_Toc332463641"/>
            <w:bookmarkStart w:id="154" w:name="_Toc332463393"/>
            <w:bookmarkStart w:id="155" w:name="_Toc332461608"/>
            <w:bookmarkStart w:id="156" w:name="_Toc332461364"/>
            <w:bookmarkStart w:id="157" w:name="_Toc332461118"/>
            <w:bookmarkStart w:id="158" w:name="_Toc332467921"/>
            <w:bookmarkStart w:id="159" w:name="_Toc332463888"/>
            <w:bookmarkStart w:id="160" w:name="_Toc332463640"/>
            <w:bookmarkStart w:id="161" w:name="_Toc332463392"/>
            <w:bookmarkStart w:id="162" w:name="_Toc332461607"/>
            <w:bookmarkStart w:id="163" w:name="_Toc332461363"/>
            <w:bookmarkStart w:id="164" w:name="_Toc332461117"/>
            <w:bookmarkStart w:id="165" w:name="_Toc332467920"/>
            <w:bookmarkStart w:id="166" w:name="_Toc332463887"/>
            <w:bookmarkStart w:id="167" w:name="_Toc332463639"/>
            <w:bookmarkStart w:id="168" w:name="_Toc332463391"/>
            <w:bookmarkStart w:id="169" w:name="_Toc332461606"/>
            <w:bookmarkStart w:id="170" w:name="_Toc332461362"/>
            <w:bookmarkStart w:id="171" w:name="_Toc332461116"/>
            <w:bookmarkStart w:id="172" w:name="_Toc332467914"/>
            <w:bookmarkStart w:id="173" w:name="_Toc332463881"/>
            <w:bookmarkStart w:id="174" w:name="_Toc332463633"/>
            <w:bookmarkStart w:id="175" w:name="_Toc332463385"/>
            <w:bookmarkStart w:id="176" w:name="_Toc332461600"/>
            <w:bookmarkStart w:id="177" w:name="_Toc332461356"/>
            <w:bookmarkStart w:id="178" w:name="_Toc332461110"/>
            <w:bookmarkStart w:id="179" w:name="_Toc332467910"/>
            <w:bookmarkStart w:id="180" w:name="_Toc332463877"/>
            <w:bookmarkStart w:id="181" w:name="_Toc332463629"/>
            <w:bookmarkStart w:id="182" w:name="_Toc332463381"/>
            <w:bookmarkStart w:id="183" w:name="_Toc332461596"/>
            <w:bookmarkStart w:id="184" w:name="_Toc332461352"/>
            <w:bookmarkStart w:id="185" w:name="_Toc332461106"/>
            <w:bookmarkStart w:id="186" w:name="_Toc332467907"/>
            <w:bookmarkStart w:id="187" w:name="_Toc332463874"/>
            <w:bookmarkStart w:id="188" w:name="_Toc332463626"/>
            <w:bookmarkStart w:id="189" w:name="_Toc332463378"/>
            <w:bookmarkStart w:id="190" w:name="_Toc332461593"/>
            <w:bookmarkStart w:id="191" w:name="_Toc332461349"/>
            <w:bookmarkStart w:id="192" w:name="_Toc332461103"/>
            <w:bookmarkStart w:id="193" w:name="_Toc332467906"/>
            <w:bookmarkStart w:id="194" w:name="_Toc332463873"/>
            <w:bookmarkStart w:id="195" w:name="_Toc332463625"/>
            <w:bookmarkStart w:id="196" w:name="_Toc332463377"/>
            <w:bookmarkStart w:id="197" w:name="_Toc332461592"/>
            <w:bookmarkStart w:id="198" w:name="_Toc332461348"/>
            <w:bookmarkStart w:id="199" w:name="_Toc332461102"/>
            <w:bookmarkStart w:id="200" w:name="_Toc332467904"/>
            <w:bookmarkStart w:id="201" w:name="_Toc332463871"/>
            <w:bookmarkStart w:id="202" w:name="_Toc332463623"/>
            <w:bookmarkStart w:id="203" w:name="_Toc332463375"/>
            <w:bookmarkStart w:id="204" w:name="_Toc332461590"/>
            <w:bookmarkStart w:id="205" w:name="_Toc332461346"/>
            <w:bookmarkStart w:id="206" w:name="_Toc332461100"/>
            <w:bookmarkStart w:id="207" w:name="_Toc332467903"/>
            <w:bookmarkStart w:id="208" w:name="_Toc332463870"/>
            <w:bookmarkStart w:id="209" w:name="_Toc332463622"/>
            <w:bookmarkStart w:id="210" w:name="_Toc332463374"/>
            <w:bookmarkStart w:id="211" w:name="_Toc332461589"/>
            <w:bookmarkStart w:id="212" w:name="_Toc332461345"/>
            <w:bookmarkStart w:id="213" w:name="_Toc332461099"/>
            <w:bookmarkStart w:id="214" w:name="_Toc332467902"/>
            <w:bookmarkStart w:id="215" w:name="_Toc332463869"/>
            <w:bookmarkStart w:id="216" w:name="_Toc332463621"/>
            <w:bookmarkStart w:id="217" w:name="_Toc332463373"/>
            <w:bookmarkStart w:id="218" w:name="_Toc332461588"/>
            <w:bookmarkStart w:id="219" w:name="_Toc332461344"/>
            <w:bookmarkStart w:id="220" w:name="_Toc332461098"/>
            <w:bookmarkStart w:id="221" w:name="_Toc332467901"/>
            <w:bookmarkStart w:id="222" w:name="_Toc332463868"/>
            <w:bookmarkStart w:id="223" w:name="_Toc332463620"/>
            <w:bookmarkStart w:id="224" w:name="_Toc332463372"/>
            <w:bookmarkStart w:id="225" w:name="_Toc332461587"/>
            <w:bookmarkStart w:id="226" w:name="_Toc332461343"/>
            <w:bookmarkStart w:id="227" w:name="_Toc332461097"/>
            <w:bookmarkStart w:id="228" w:name="_Toc332467900"/>
            <w:bookmarkStart w:id="229" w:name="_Toc332463867"/>
            <w:bookmarkStart w:id="230" w:name="_Toc332463619"/>
            <w:bookmarkStart w:id="231" w:name="_Toc332463371"/>
            <w:bookmarkStart w:id="232" w:name="_Toc332461586"/>
            <w:bookmarkStart w:id="233" w:name="_Toc332461342"/>
            <w:bookmarkStart w:id="234" w:name="_Toc332461096"/>
            <w:bookmarkStart w:id="235" w:name="_Toc332467899"/>
            <w:bookmarkStart w:id="236" w:name="_Toc332463866"/>
            <w:bookmarkStart w:id="237" w:name="_Toc332463618"/>
            <w:bookmarkStart w:id="238" w:name="_Toc332463370"/>
            <w:bookmarkStart w:id="239" w:name="_Toc332461585"/>
            <w:bookmarkStart w:id="240" w:name="_Toc332461341"/>
            <w:bookmarkStart w:id="241" w:name="_Toc332461095"/>
            <w:bookmarkStart w:id="242" w:name="_Toc332467896"/>
            <w:bookmarkStart w:id="243" w:name="_Toc332463863"/>
            <w:bookmarkStart w:id="244" w:name="_Toc332463615"/>
            <w:bookmarkStart w:id="245" w:name="_Toc332463367"/>
            <w:bookmarkStart w:id="246" w:name="_Toc332461582"/>
            <w:bookmarkStart w:id="247" w:name="_Toc332461338"/>
            <w:bookmarkStart w:id="248" w:name="_Toc332461092"/>
            <w:bookmarkStart w:id="249" w:name="_Toc332467895"/>
            <w:bookmarkStart w:id="250" w:name="_Toc332463862"/>
            <w:bookmarkStart w:id="251" w:name="_Toc332463614"/>
            <w:bookmarkStart w:id="252" w:name="_Toc332463366"/>
            <w:bookmarkStart w:id="253" w:name="_Toc332461581"/>
            <w:bookmarkStart w:id="254" w:name="_Toc332461337"/>
            <w:bookmarkStart w:id="255" w:name="_Toc332461091"/>
            <w:bookmarkStart w:id="256" w:name="_Toc332467893"/>
            <w:bookmarkStart w:id="257" w:name="_Toc332463860"/>
            <w:bookmarkStart w:id="258" w:name="_Toc332463612"/>
            <w:bookmarkStart w:id="259" w:name="_Toc332463364"/>
            <w:bookmarkStart w:id="260" w:name="_Toc332461579"/>
            <w:bookmarkStart w:id="261" w:name="_Toc332461335"/>
            <w:bookmarkStart w:id="262" w:name="_Toc332461089"/>
            <w:bookmarkStart w:id="263" w:name="_Toc332467890"/>
            <w:bookmarkStart w:id="264" w:name="_Toc332463857"/>
            <w:bookmarkStart w:id="265" w:name="_Toc332463609"/>
            <w:bookmarkStart w:id="266" w:name="_Toc332463361"/>
            <w:bookmarkStart w:id="267" w:name="_Toc332461576"/>
            <w:bookmarkStart w:id="268" w:name="_Toc332461332"/>
            <w:bookmarkStart w:id="269" w:name="_Toc332461086"/>
            <w:bookmarkStart w:id="270" w:name="_Toc332467866"/>
            <w:bookmarkStart w:id="271" w:name="_Toc332463833"/>
            <w:bookmarkStart w:id="272" w:name="_Toc332463585"/>
            <w:bookmarkStart w:id="273" w:name="_Toc332463337"/>
            <w:bookmarkStart w:id="274" w:name="_Toc332461552"/>
            <w:bookmarkStart w:id="275" w:name="_Toc332461308"/>
            <w:bookmarkStart w:id="276" w:name="_Toc332461062"/>
            <w:bookmarkStart w:id="277" w:name="_Toc332467864"/>
            <w:bookmarkStart w:id="278" w:name="_Toc332463831"/>
            <w:bookmarkStart w:id="279" w:name="_Toc332463583"/>
            <w:bookmarkStart w:id="280" w:name="_Toc332463335"/>
            <w:bookmarkStart w:id="281" w:name="_Toc332461550"/>
            <w:bookmarkStart w:id="282" w:name="_Toc332461306"/>
            <w:bookmarkStart w:id="283" w:name="_Toc332461060"/>
            <w:bookmarkStart w:id="284" w:name="_Toc332467863"/>
            <w:bookmarkStart w:id="285" w:name="_Toc332463830"/>
            <w:bookmarkStart w:id="286" w:name="_Toc332463582"/>
            <w:bookmarkStart w:id="287" w:name="_Toc332463334"/>
            <w:bookmarkStart w:id="288" w:name="_Toc332461549"/>
            <w:bookmarkStart w:id="289" w:name="_Toc332461305"/>
            <w:bookmarkStart w:id="290" w:name="_Toc332461059"/>
            <w:bookmarkStart w:id="291" w:name="_Toc332467860"/>
            <w:bookmarkStart w:id="292" w:name="_Toc332463827"/>
            <w:bookmarkStart w:id="293" w:name="_Toc332463579"/>
            <w:bookmarkStart w:id="294" w:name="_Toc332463331"/>
            <w:bookmarkStart w:id="295" w:name="_Toc332461546"/>
            <w:bookmarkStart w:id="296" w:name="_Toc332461302"/>
            <w:bookmarkStart w:id="297" w:name="_Toc332461056"/>
            <w:bookmarkStart w:id="298" w:name="_Toc332467859"/>
            <w:bookmarkStart w:id="299" w:name="_Toc332463826"/>
            <w:bookmarkStart w:id="300" w:name="_Toc332463578"/>
            <w:bookmarkStart w:id="301" w:name="_Toc332463330"/>
            <w:bookmarkStart w:id="302" w:name="_Toc332461545"/>
            <w:bookmarkStart w:id="303" w:name="_Toc332461301"/>
            <w:bookmarkStart w:id="304" w:name="_Toc332461055"/>
            <w:bookmarkStart w:id="305" w:name="_Toc332467858"/>
            <w:bookmarkStart w:id="306" w:name="_Toc332463825"/>
            <w:bookmarkStart w:id="307" w:name="_Toc332463577"/>
            <w:bookmarkStart w:id="308" w:name="_Toc332463329"/>
            <w:bookmarkStart w:id="309" w:name="_Toc332461544"/>
            <w:bookmarkStart w:id="310" w:name="_Toc332461300"/>
            <w:bookmarkStart w:id="311" w:name="_Toc332461054"/>
            <w:bookmarkStart w:id="312" w:name="_Toc332467855"/>
            <w:bookmarkStart w:id="313" w:name="_Toc332463822"/>
            <w:bookmarkStart w:id="314" w:name="_Toc332463574"/>
            <w:bookmarkStart w:id="315" w:name="_Toc332463326"/>
            <w:bookmarkStart w:id="316" w:name="_Toc332461541"/>
            <w:bookmarkStart w:id="317" w:name="_Toc332461297"/>
            <w:bookmarkStart w:id="318" w:name="_Toc332461051"/>
            <w:bookmarkStart w:id="319" w:name="_Toc332467850"/>
            <w:bookmarkStart w:id="320" w:name="_Toc332463817"/>
            <w:bookmarkStart w:id="321" w:name="_Toc332463569"/>
            <w:bookmarkStart w:id="322" w:name="_Toc332463321"/>
            <w:bookmarkStart w:id="323" w:name="_Toc332461536"/>
            <w:bookmarkStart w:id="324" w:name="_Toc332461292"/>
            <w:bookmarkStart w:id="325" w:name="_Toc332461046"/>
            <w:bookmarkStart w:id="326" w:name="_Toc332467844"/>
            <w:bookmarkStart w:id="327" w:name="_Toc332463811"/>
            <w:bookmarkStart w:id="328" w:name="_Toc332463563"/>
            <w:bookmarkStart w:id="329" w:name="_Toc332463315"/>
            <w:bookmarkStart w:id="330" w:name="_Toc332461530"/>
            <w:bookmarkStart w:id="331" w:name="_Toc332461286"/>
            <w:bookmarkStart w:id="332" w:name="_Toc332461040"/>
            <w:bookmarkStart w:id="333" w:name="_Toc332467842"/>
            <w:bookmarkStart w:id="334" w:name="_Toc332463809"/>
            <w:bookmarkStart w:id="335" w:name="_Toc332463561"/>
            <w:bookmarkStart w:id="336" w:name="_Toc332463313"/>
            <w:bookmarkStart w:id="337" w:name="_Toc332461528"/>
            <w:bookmarkStart w:id="338" w:name="_Toc332461284"/>
            <w:bookmarkStart w:id="339" w:name="_Toc332461038"/>
            <w:bookmarkStart w:id="340" w:name="_Toc332467841"/>
            <w:bookmarkStart w:id="341" w:name="_Toc332463808"/>
            <w:bookmarkStart w:id="342" w:name="_Toc332463560"/>
            <w:bookmarkStart w:id="343" w:name="_Toc332463312"/>
            <w:bookmarkStart w:id="344" w:name="_Toc332461527"/>
            <w:bookmarkStart w:id="345" w:name="_Toc332461283"/>
            <w:bookmarkStart w:id="346" w:name="_Toc332461037"/>
            <w:bookmarkStart w:id="347" w:name="_Toc332467837"/>
            <w:bookmarkStart w:id="348" w:name="_Toc332463804"/>
            <w:bookmarkStart w:id="349" w:name="_Toc332463556"/>
            <w:bookmarkStart w:id="350" w:name="_Toc332463308"/>
            <w:bookmarkStart w:id="351" w:name="_Toc332461523"/>
            <w:bookmarkStart w:id="352" w:name="_Toc332461279"/>
            <w:bookmarkStart w:id="353" w:name="_Toc332461033"/>
            <w:bookmarkStart w:id="354" w:name="_Toc332467835"/>
            <w:bookmarkStart w:id="355" w:name="_Toc332463802"/>
            <w:bookmarkStart w:id="356" w:name="_Toc332463554"/>
            <w:bookmarkStart w:id="357" w:name="_Toc332463306"/>
            <w:bookmarkStart w:id="358" w:name="_Toc332461521"/>
            <w:bookmarkStart w:id="359" w:name="_Toc332461277"/>
            <w:bookmarkStart w:id="360" w:name="_Toc332461031"/>
            <w:bookmarkStart w:id="361" w:name="_Toc332467832"/>
            <w:bookmarkStart w:id="362" w:name="_Toc332463799"/>
            <w:bookmarkStart w:id="363" w:name="_Toc332463551"/>
            <w:bookmarkStart w:id="364" w:name="_Toc332463303"/>
            <w:bookmarkStart w:id="365" w:name="_Toc332461518"/>
            <w:bookmarkStart w:id="366" w:name="_Toc332461274"/>
            <w:bookmarkStart w:id="367" w:name="_Toc332461028"/>
            <w:bookmarkStart w:id="368" w:name="_Toc332467831"/>
            <w:bookmarkStart w:id="369" w:name="_Toc332463798"/>
            <w:bookmarkStart w:id="370" w:name="_Toc332463550"/>
            <w:bookmarkStart w:id="371" w:name="_Toc332463302"/>
            <w:bookmarkStart w:id="372" w:name="_Toc332461517"/>
            <w:bookmarkStart w:id="373" w:name="_Toc332461273"/>
            <w:bookmarkStart w:id="374" w:name="_Toc332461027"/>
            <w:bookmarkStart w:id="375" w:name="_Toc332467828"/>
            <w:bookmarkStart w:id="376" w:name="_Toc332463795"/>
            <w:bookmarkStart w:id="377" w:name="_Toc332463547"/>
            <w:bookmarkStart w:id="378" w:name="_Toc332463299"/>
            <w:bookmarkStart w:id="379" w:name="_Toc332461514"/>
            <w:bookmarkStart w:id="380" w:name="_Toc332461270"/>
            <w:bookmarkStart w:id="381" w:name="_Toc332461024"/>
            <w:bookmarkStart w:id="382" w:name="_Toc332467825"/>
            <w:bookmarkStart w:id="383" w:name="_Toc332463792"/>
            <w:bookmarkStart w:id="384" w:name="_Toc332463544"/>
            <w:bookmarkStart w:id="385" w:name="_Toc332463296"/>
            <w:bookmarkStart w:id="386" w:name="_Toc332461511"/>
            <w:bookmarkStart w:id="387" w:name="_Toc332461267"/>
            <w:bookmarkStart w:id="388" w:name="_Toc332461021"/>
            <w:bookmarkStart w:id="389" w:name="_Toc332467824"/>
            <w:bookmarkStart w:id="390" w:name="_Toc332463791"/>
            <w:bookmarkStart w:id="391" w:name="_Toc332463543"/>
            <w:bookmarkStart w:id="392" w:name="_Toc332463295"/>
            <w:bookmarkStart w:id="393" w:name="_Toc332461510"/>
            <w:bookmarkStart w:id="394" w:name="_Toc332461266"/>
            <w:bookmarkStart w:id="395" w:name="_Toc332461020"/>
            <w:bookmarkStart w:id="396" w:name="_Toc332467821"/>
            <w:bookmarkStart w:id="397" w:name="_Toc332463788"/>
            <w:bookmarkStart w:id="398" w:name="_Toc332463540"/>
            <w:bookmarkStart w:id="399" w:name="_Toc332463292"/>
            <w:bookmarkStart w:id="400" w:name="_Toc332461507"/>
            <w:bookmarkStart w:id="401" w:name="_Toc332461263"/>
            <w:bookmarkStart w:id="402" w:name="_Toc332461017"/>
            <w:bookmarkStart w:id="403" w:name="_Toc321924028"/>
            <w:bookmarkStart w:id="404" w:name="_Toc321922440"/>
            <w:bookmarkStart w:id="405" w:name="_Toc321841735"/>
            <w:bookmarkStart w:id="406" w:name="_Toc321830816"/>
            <w:bookmarkStart w:id="407" w:name="_Toc321826912"/>
            <w:bookmarkStart w:id="408" w:name="_Toc321826478"/>
            <w:bookmarkStart w:id="409" w:name="_Toc321825833"/>
            <w:bookmarkStart w:id="410" w:name="_Toc321822934"/>
            <w:bookmarkStart w:id="411" w:name="_Toc332467804"/>
            <w:bookmarkStart w:id="412" w:name="_Toc332463771"/>
            <w:bookmarkStart w:id="413" w:name="_Toc332463523"/>
            <w:bookmarkStart w:id="414" w:name="_Toc332463275"/>
            <w:bookmarkStart w:id="415" w:name="_Toc332461490"/>
            <w:bookmarkStart w:id="416" w:name="_Toc332461246"/>
            <w:bookmarkStart w:id="417" w:name="_Toc332461000"/>
            <w:bookmarkStart w:id="418" w:name="_Toc332457724"/>
            <w:bookmarkStart w:id="419" w:name="_Toc332450666"/>
            <w:bookmarkStart w:id="420" w:name="_Toc332446573"/>
            <w:bookmarkStart w:id="421" w:name="_Toc332445578"/>
            <w:bookmarkStart w:id="422" w:name="_Toc332445254"/>
            <w:bookmarkStart w:id="423" w:name="_Toc332444786"/>
            <w:bookmarkStart w:id="424" w:name="_Toc332467801"/>
            <w:bookmarkStart w:id="425" w:name="_Toc332463768"/>
            <w:bookmarkStart w:id="426" w:name="_Toc332463520"/>
            <w:bookmarkStart w:id="427" w:name="_Toc332463272"/>
            <w:bookmarkStart w:id="428" w:name="_Toc332461487"/>
            <w:bookmarkStart w:id="429" w:name="_Toc332461243"/>
            <w:bookmarkStart w:id="430" w:name="_Toc332460997"/>
            <w:bookmarkStart w:id="431" w:name="_Toc332457721"/>
            <w:bookmarkStart w:id="432" w:name="_Toc332450663"/>
            <w:bookmarkStart w:id="433" w:name="_Toc332446570"/>
            <w:bookmarkStart w:id="434" w:name="_Toc332445575"/>
            <w:bookmarkStart w:id="435" w:name="_Toc332445251"/>
            <w:bookmarkStart w:id="436" w:name="_Toc332444783"/>
            <w:bookmarkStart w:id="437" w:name="_Toc332467800"/>
            <w:bookmarkStart w:id="438" w:name="_Toc332463767"/>
            <w:bookmarkStart w:id="439" w:name="_Toc332463519"/>
            <w:bookmarkStart w:id="440" w:name="_Toc332463271"/>
            <w:bookmarkStart w:id="441" w:name="_Toc332461486"/>
            <w:bookmarkStart w:id="442" w:name="_Toc332461242"/>
            <w:bookmarkStart w:id="443" w:name="_Toc332460996"/>
            <w:bookmarkStart w:id="444" w:name="_Toc332457720"/>
            <w:bookmarkStart w:id="445" w:name="_Toc332450662"/>
            <w:bookmarkStart w:id="446" w:name="_Toc332446569"/>
            <w:bookmarkStart w:id="447" w:name="_Toc332445574"/>
            <w:bookmarkStart w:id="448" w:name="_Toc332445250"/>
            <w:bookmarkStart w:id="449" w:name="_Toc332444782"/>
            <w:bookmarkStart w:id="450" w:name="_Toc332467799"/>
            <w:bookmarkStart w:id="451" w:name="_Toc332463766"/>
            <w:bookmarkStart w:id="452" w:name="_Toc332463518"/>
            <w:bookmarkStart w:id="453" w:name="_Toc332463270"/>
            <w:bookmarkStart w:id="454" w:name="_Toc332461485"/>
            <w:bookmarkStart w:id="455" w:name="_Toc332461241"/>
            <w:bookmarkStart w:id="456" w:name="_Toc332460995"/>
            <w:bookmarkStart w:id="457" w:name="_Toc332457719"/>
            <w:bookmarkStart w:id="458" w:name="_Toc332450661"/>
            <w:bookmarkStart w:id="459" w:name="_Toc332446568"/>
            <w:bookmarkStart w:id="460" w:name="_Toc332445573"/>
            <w:bookmarkStart w:id="461" w:name="_Toc332445249"/>
            <w:bookmarkStart w:id="462" w:name="_Toc332444781"/>
            <w:bookmarkStart w:id="463" w:name="_Toc331665442"/>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r>
              <w:t>Term</w:t>
            </w:r>
          </w:p>
        </w:tc>
        <w:tc>
          <w:tcPr>
            <w:tcW w:w="7231" w:type="dxa"/>
            <w:gridSpan w:val="2"/>
            <w:tcBorders>
              <w:top w:val="single" w:sz="4" w:space="0" w:color="auto"/>
              <w:left w:val="single" w:sz="4" w:space="0" w:color="auto"/>
              <w:bottom w:val="single" w:sz="4" w:space="0" w:color="auto"/>
              <w:right w:val="single" w:sz="4" w:space="0" w:color="auto"/>
            </w:tcBorders>
            <w:shd w:val="clear" w:color="auto" w:fill="CCCCCC" w:themeFill="text2" w:themeFillTint="33"/>
            <w:hideMark/>
          </w:tcPr>
          <w:p w14:paraId="502B0BB8" w14:textId="77777777" w:rsidR="00A83A47" w:rsidRDefault="00A83A47">
            <w:pPr>
              <w:pStyle w:val="OWSTableheading"/>
            </w:pPr>
            <w:r>
              <w:t>Description</w:t>
            </w:r>
          </w:p>
        </w:tc>
      </w:tr>
      <w:tr w:rsidR="00A83A47" w14:paraId="433FAC02" w14:textId="77777777" w:rsidTr="0038431D">
        <w:tc>
          <w:tcPr>
            <w:tcW w:w="1985" w:type="dxa"/>
            <w:tcBorders>
              <w:top w:val="single" w:sz="4" w:space="0" w:color="auto"/>
              <w:left w:val="single" w:sz="4" w:space="0" w:color="auto"/>
              <w:bottom w:val="single" w:sz="4" w:space="0" w:color="auto"/>
              <w:right w:val="single" w:sz="4" w:space="0" w:color="auto"/>
            </w:tcBorders>
            <w:hideMark/>
          </w:tcPr>
          <w:p w14:paraId="678F4152" w14:textId="77777777" w:rsidR="00A83A47" w:rsidRDefault="00A83A47">
            <w:pPr>
              <w:pStyle w:val="OWSTabletext"/>
              <w:rPr>
                <w:color w:val="auto"/>
              </w:rPr>
            </w:pPr>
            <w:r>
              <w:rPr>
                <w:color w:val="auto"/>
              </w:rPr>
              <w:t>Abandoning</w:t>
            </w:r>
          </w:p>
        </w:tc>
        <w:tc>
          <w:tcPr>
            <w:tcW w:w="7231" w:type="dxa"/>
            <w:gridSpan w:val="2"/>
            <w:tcBorders>
              <w:top w:val="single" w:sz="4" w:space="0" w:color="auto"/>
              <w:left w:val="single" w:sz="4" w:space="0" w:color="auto"/>
              <w:bottom w:val="single" w:sz="4" w:space="0" w:color="auto"/>
              <w:right w:val="single" w:sz="4" w:space="0" w:color="auto"/>
            </w:tcBorders>
            <w:hideMark/>
          </w:tcPr>
          <w:p w14:paraId="7DC9D6BA" w14:textId="2DFEB104" w:rsidR="00A83A47" w:rsidRDefault="00A83A47">
            <w:pPr>
              <w:pStyle w:val="OWSTabletext"/>
              <w:rPr>
                <w:color w:val="auto"/>
              </w:rPr>
            </w:pPr>
            <w:r>
              <w:rPr>
                <w:color w:val="auto"/>
              </w:rPr>
              <w:t>To cease efforts to produce fluids from a well and to plug the well without adversely affecting the environment</w:t>
            </w:r>
            <w:r w:rsidR="00B8549F">
              <w:rPr>
                <w:color w:val="auto"/>
              </w:rPr>
              <w:t>.</w:t>
            </w:r>
          </w:p>
        </w:tc>
      </w:tr>
      <w:tr w:rsidR="00A83A47" w14:paraId="0CC9F0E3" w14:textId="77777777" w:rsidTr="0038431D">
        <w:tc>
          <w:tcPr>
            <w:tcW w:w="1985" w:type="dxa"/>
            <w:tcBorders>
              <w:top w:val="single" w:sz="4" w:space="0" w:color="auto"/>
              <w:left w:val="single" w:sz="4" w:space="0" w:color="auto"/>
              <w:bottom w:val="single" w:sz="4" w:space="0" w:color="auto"/>
              <w:right w:val="single" w:sz="4" w:space="0" w:color="auto"/>
            </w:tcBorders>
            <w:hideMark/>
          </w:tcPr>
          <w:p w14:paraId="7CB6AE1A" w14:textId="77777777" w:rsidR="00A83A47" w:rsidRDefault="00A83A47">
            <w:pPr>
              <w:pStyle w:val="OWSTabletext"/>
              <w:rPr>
                <w:rFonts w:eastAsia="Tahoma"/>
                <w:color w:val="auto"/>
              </w:rPr>
            </w:pPr>
            <w:r>
              <w:rPr>
                <w:color w:val="auto"/>
              </w:rPr>
              <w:t>Annulus</w:t>
            </w:r>
          </w:p>
        </w:tc>
        <w:tc>
          <w:tcPr>
            <w:tcW w:w="7231" w:type="dxa"/>
            <w:gridSpan w:val="2"/>
            <w:tcBorders>
              <w:top w:val="single" w:sz="4" w:space="0" w:color="auto"/>
              <w:left w:val="single" w:sz="4" w:space="0" w:color="auto"/>
              <w:bottom w:val="single" w:sz="4" w:space="0" w:color="auto"/>
              <w:right w:val="single" w:sz="4" w:space="0" w:color="auto"/>
            </w:tcBorders>
            <w:hideMark/>
          </w:tcPr>
          <w:p w14:paraId="0742126F" w14:textId="77777777" w:rsidR="00A83A47" w:rsidRDefault="00A83A47">
            <w:pPr>
              <w:pStyle w:val="OWSTabletext"/>
              <w:rPr>
                <w:rFonts w:eastAsia="Tahoma"/>
                <w:color w:val="auto"/>
              </w:rPr>
            </w:pPr>
            <w:r>
              <w:rPr>
                <w:color w:val="auto"/>
              </w:rPr>
              <w:t>The gap between tubing and casing or between two casing strings or between the casing and the wellbore. The annulus between the tubing and casing is the primary path for producing gas from CSG wells.</w:t>
            </w:r>
          </w:p>
        </w:tc>
      </w:tr>
      <w:tr w:rsidR="00A83A47" w14:paraId="4EE530D6"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3A2AEFA9" w14:textId="77777777" w:rsidR="00A83A47" w:rsidRDefault="00A83A47">
            <w:pPr>
              <w:pStyle w:val="OWSTabletext"/>
              <w:rPr>
                <w:rFonts w:eastAsiaTheme="minorEastAsia"/>
                <w:color w:val="auto"/>
              </w:rPr>
            </w:pPr>
            <w:r>
              <w:rPr>
                <w:color w:val="auto"/>
              </w:rPr>
              <w:t>Bore</w:t>
            </w:r>
          </w:p>
        </w:tc>
        <w:tc>
          <w:tcPr>
            <w:tcW w:w="7231" w:type="dxa"/>
            <w:gridSpan w:val="2"/>
            <w:tcBorders>
              <w:top w:val="nil"/>
              <w:left w:val="nil"/>
              <w:bottom w:val="single" w:sz="4" w:space="0" w:color="auto"/>
              <w:right w:val="single" w:sz="4" w:space="0" w:color="auto"/>
            </w:tcBorders>
            <w:hideMark/>
          </w:tcPr>
          <w:p w14:paraId="1C38ECE8" w14:textId="79AC4CAF" w:rsidR="00A83A47" w:rsidRDefault="00A83A47" w:rsidP="00A138E2">
            <w:pPr>
              <w:pStyle w:val="OWSTabletext"/>
              <w:rPr>
                <w:color w:val="auto"/>
              </w:rPr>
            </w:pPr>
            <w:r>
              <w:rPr>
                <w:color w:val="auto"/>
              </w:rPr>
              <w:t>A narrow, artificially constructed hole or cavity used to intercept, collect or store water from an aquifer, or to passively observe or collect groundwater information. Also known as a borehole</w:t>
            </w:r>
            <w:r w:rsidR="00A138E2">
              <w:rPr>
                <w:color w:val="auto"/>
              </w:rPr>
              <w:t xml:space="preserve"> or drill hole</w:t>
            </w:r>
            <w:r>
              <w:rPr>
                <w:color w:val="auto"/>
              </w:rPr>
              <w:t>. This report uses the term ‘bore’ in reference to the extraction, exploration or monitoring o</w:t>
            </w:r>
            <w:r w:rsidR="0071706C">
              <w:rPr>
                <w:color w:val="auto"/>
              </w:rPr>
              <w:t>f</w:t>
            </w:r>
            <w:r>
              <w:rPr>
                <w:color w:val="auto"/>
              </w:rPr>
              <w:t xml:space="preserve"> water.</w:t>
            </w:r>
            <w:r>
              <w:t xml:space="preserve"> </w:t>
            </w:r>
          </w:p>
        </w:tc>
      </w:tr>
      <w:tr w:rsidR="00A83A47" w14:paraId="315C967C"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498F5031" w14:textId="77777777" w:rsidR="00A83A47" w:rsidRDefault="00A83A47">
            <w:pPr>
              <w:pStyle w:val="OWSTabletext"/>
              <w:rPr>
                <w:rFonts w:eastAsia="Tahoma"/>
                <w:color w:val="auto"/>
              </w:rPr>
            </w:pPr>
            <w:r>
              <w:rPr>
                <w:color w:val="auto"/>
              </w:rPr>
              <w:t>Borehole</w:t>
            </w:r>
          </w:p>
        </w:tc>
        <w:tc>
          <w:tcPr>
            <w:tcW w:w="7231" w:type="dxa"/>
            <w:gridSpan w:val="2"/>
            <w:tcBorders>
              <w:top w:val="nil"/>
              <w:left w:val="nil"/>
              <w:bottom w:val="single" w:sz="4" w:space="0" w:color="auto"/>
              <w:right w:val="single" w:sz="4" w:space="0" w:color="auto"/>
            </w:tcBorders>
            <w:hideMark/>
          </w:tcPr>
          <w:p w14:paraId="1A044876" w14:textId="77777777" w:rsidR="00A83A47" w:rsidRDefault="00A83A47">
            <w:pPr>
              <w:pStyle w:val="OWSTabletext"/>
              <w:rPr>
                <w:rFonts w:eastAsia="Tahoma"/>
                <w:color w:val="auto"/>
              </w:rPr>
            </w:pPr>
            <w:r>
              <w:rPr>
                <w:color w:val="auto"/>
              </w:rPr>
              <w:t>A hole drilled for purposes other than production of oil, gas or water (e.g. a mineral exploration borehole).</w:t>
            </w:r>
          </w:p>
        </w:tc>
      </w:tr>
      <w:tr w:rsidR="00A83A47" w14:paraId="6ED6B5E8"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1EEE22E5" w14:textId="77777777" w:rsidR="00A83A47" w:rsidRDefault="00A83A47">
            <w:pPr>
              <w:pStyle w:val="OWSTabletext"/>
              <w:rPr>
                <w:rFonts w:eastAsia="Tahoma"/>
                <w:color w:val="auto"/>
              </w:rPr>
            </w:pPr>
            <w:r>
              <w:rPr>
                <w:color w:val="auto"/>
              </w:rPr>
              <w:t>Coal seam gas</w:t>
            </w:r>
          </w:p>
        </w:tc>
        <w:tc>
          <w:tcPr>
            <w:tcW w:w="7231" w:type="dxa"/>
            <w:gridSpan w:val="2"/>
            <w:tcBorders>
              <w:top w:val="nil"/>
              <w:left w:val="nil"/>
              <w:bottom w:val="single" w:sz="4" w:space="0" w:color="auto"/>
              <w:right w:val="single" w:sz="4" w:space="0" w:color="auto"/>
            </w:tcBorders>
            <w:hideMark/>
          </w:tcPr>
          <w:p w14:paraId="30BD724D" w14:textId="77777777" w:rsidR="00A83A47" w:rsidRDefault="00A83A47">
            <w:pPr>
              <w:pStyle w:val="OWSTabletext"/>
              <w:rPr>
                <w:rFonts w:eastAsia="Tahoma"/>
                <w:color w:val="auto"/>
              </w:rPr>
            </w:pPr>
            <w:r>
              <w:rPr>
                <w:color w:val="auto"/>
              </w:rPr>
              <w:t>A form of natural gas (generally 95 to 97% pure methane, CH</w:t>
            </w:r>
            <w:r>
              <w:rPr>
                <w:color w:val="auto"/>
                <w:vertAlign w:val="subscript"/>
              </w:rPr>
              <w:t>4</w:t>
            </w:r>
            <w:r>
              <w:rPr>
                <w:color w:val="auto"/>
              </w:rPr>
              <w:t>) typically extracted from permeable coal seams at depths of 300 to 1000 m. Also called coal seam methane (CSM) or coalbed methane (CBM).</w:t>
            </w:r>
          </w:p>
        </w:tc>
      </w:tr>
      <w:tr w:rsidR="00A83A47" w14:paraId="5ADB87A7"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585B10B1" w14:textId="77777777" w:rsidR="00A83A47" w:rsidRDefault="00A83A47">
            <w:pPr>
              <w:pStyle w:val="OWSTabletext"/>
              <w:rPr>
                <w:color w:val="auto"/>
              </w:rPr>
            </w:pPr>
            <w:r>
              <w:rPr>
                <w:color w:val="auto"/>
              </w:rPr>
              <w:t>Decommissioning</w:t>
            </w:r>
          </w:p>
        </w:tc>
        <w:tc>
          <w:tcPr>
            <w:tcW w:w="7231" w:type="dxa"/>
            <w:gridSpan w:val="2"/>
            <w:tcBorders>
              <w:top w:val="nil"/>
              <w:left w:val="nil"/>
              <w:bottom w:val="single" w:sz="4" w:space="0" w:color="auto"/>
              <w:right w:val="single" w:sz="4" w:space="0" w:color="auto"/>
            </w:tcBorders>
            <w:hideMark/>
          </w:tcPr>
          <w:p w14:paraId="389C2F9E" w14:textId="1ED9B727" w:rsidR="00A83A47" w:rsidRDefault="00A83A47">
            <w:pPr>
              <w:pStyle w:val="OWSTabletext"/>
              <w:rPr>
                <w:color w:val="auto"/>
              </w:rPr>
            </w:pPr>
            <w:r>
              <w:rPr>
                <w:color w:val="auto"/>
              </w:rPr>
              <w:t>The process to remove a well from service</w:t>
            </w:r>
            <w:r w:rsidR="00B8549F">
              <w:rPr>
                <w:color w:val="auto"/>
              </w:rPr>
              <w:t>.</w:t>
            </w:r>
          </w:p>
        </w:tc>
      </w:tr>
      <w:tr w:rsidR="0038431D" w14:paraId="28C0A66F" w14:textId="77777777" w:rsidTr="0038431D">
        <w:trPr>
          <w:gridAfter w:val="1"/>
          <w:wAfter w:w="6" w:type="dxa"/>
          <w:trHeight w:val="300"/>
        </w:trPr>
        <w:tc>
          <w:tcPr>
            <w:tcW w:w="1985" w:type="dxa"/>
            <w:tcBorders>
              <w:top w:val="nil"/>
              <w:left w:val="single" w:sz="4" w:space="0" w:color="auto"/>
              <w:bottom w:val="single" w:sz="4" w:space="0" w:color="auto"/>
              <w:right w:val="single" w:sz="4" w:space="0" w:color="auto"/>
            </w:tcBorders>
            <w:hideMark/>
          </w:tcPr>
          <w:p w14:paraId="39CA1D8A" w14:textId="77777777" w:rsidR="0038431D" w:rsidRDefault="0038431D">
            <w:pPr>
              <w:pStyle w:val="OWSTabletext"/>
              <w:spacing w:line="256" w:lineRule="auto"/>
              <w:rPr>
                <w:rFonts w:eastAsiaTheme="minorEastAsia"/>
                <w:color w:val="auto"/>
              </w:rPr>
            </w:pPr>
            <w:r>
              <w:rPr>
                <w:color w:val="auto"/>
              </w:rPr>
              <w:t>Effective well hydraulic conductivity</w:t>
            </w:r>
          </w:p>
        </w:tc>
        <w:tc>
          <w:tcPr>
            <w:tcW w:w="7225" w:type="dxa"/>
            <w:tcBorders>
              <w:top w:val="nil"/>
              <w:left w:val="nil"/>
              <w:bottom w:val="single" w:sz="4" w:space="0" w:color="auto"/>
              <w:right w:val="single" w:sz="4" w:space="0" w:color="auto"/>
            </w:tcBorders>
            <w:hideMark/>
          </w:tcPr>
          <w:p w14:paraId="19DC0536" w14:textId="71B00602" w:rsidR="0038431D" w:rsidRDefault="0038431D">
            <w:pPr>
              <w:pStyle w:val="OWSTabletext"/>
              <w:spacing w:line="256" w:lineRule="auto"/>
              <w:rPr>
                <w:color w:val="auto"/>
              </w:rPr>
            </w:pPr>
            <w:r>
              <w:rPr>
                <w:color w:val="auto"/>
              </w:rPr>
              <w:t xml:space="preserve">The hydraulic conductivity that can be used in an equation or model to represent the conductivity of the pathway from one formation to another through a well. The conductivity may be a result of flow through any or a number of the pathways </w:t>
            </w:r>
            <w:r w:rsidR="00A138E2">
              <w:rPr>
                <w:color w:val="auto"/>
              </w:rPr>
              <w:t xml:space="preserve">as </w:t>
            </w:r>
            <w:r>
              <w:rPr>
                <w:color w:val="auto"/>
              </w:rPr>
              <w:t xml:space="preserve">indicated in </w:t>
            </w:r>
            <w:r>
              <w:rPr>
                <w:color w:val="auto"/>
              </w:rPr>
              <w:fldChar w:fldCharType="begin"/>
            </w:r>
            <w:r>
              <w:rPr>
                <w:color w:val="auto"/>
              </w:rPr>
              <w:instrText xml:space="preserve"> REF _Ref449523517 \h </w:instrText>
            </w:r>
            <w:r>
              <w:rPr>
                <w:color w:val="auto"/>
              </w:rPr>
            </w:r>
            <w:r>
              <w:rPr>
                <w:color w:val="auto"/>
              </w:rPr>
              <w:fldChar w:fldCharType="separate"/>
            </w:r>
            <w:r w:rsidR="002E45AF">
              <w:t xml:space="preserve">Figure </w:t>
            </w:r>
            <w:r w:rsidR="002E45AF">
              <w:rPr>
                <w:noProof/>
              </w:rPr>
              <w:t>1</w:t>
            </w:r>
            <w:r>
              <w:rPr>
                <w:color w:val="auto"/>
              </w:rPr>
              <w:fldChar w:fldCharType="end"/>
            </w:r>
            <w:r>
              <w:rPr>
                <w:color w:val="auto"/>
              </w:rPr>
              <w:t>.</w:t>
            </w:r>
          </w:p>
        </w:tc>
      </w:tr>
      <w:tr w:rsidR="0038431D" w14:paraId="2ACE440E" w14:textId="77777777" w:rsidTr="0038431D">
        <w:trPr>
          <w:gridAfter w:val="1"/>
          <w:wAfter w:w="6" w:type="dxa"/>
          <w:trHeight w:val="300"/>
        </w:trPr>
        <w:tc>
          <w:tcPr>
            <w:tcW w:w="1985" w:type="dxa"/>
            <w:tcBorders>
              <w:top w:val="nil"/>
              <w:left w:val="single" w:sz="4" w:space="0" w:color="auto"/>
              <w:bottom w:val="single" w:sz="4" w:space="0" w:color="auto"/>
              <w:right w:val="single" w:sz="4" w:space="0" w:color="auto"/>
            </w:tcBorders>
            <w:hideMark/>
          </w:tcPr>
          <w:p w14:paraId="01BDC48C" w14:textId="77777777" w:rsidR="0038431D" w:rsidRDefault="0038431D">
            <w:pPr>
              <w:pStyle w:val="OWSTabletext"/>
              <w:spacing w:line="256" w:lineRule="auto"/>
              <w:rPr>
                <w:color w:val="auto"/>
              </w:rPr>
            </w:pPr>
            <w:r>
              <w:rPr>
                <w:color w:val="auto"/>
              </w:rPr>
              <w:t>Equivalent conductivity</w:t>
            </w:r>
          </w:p>
        </w:tc>
        <w:tc>
          <w:tcPr>
            <w:tcW w:w="7225" w:type="dxa"/>
            <w:tcBorders>
              <w:top w:val="nil"/>
              <w:left w:val="nil"/>
              <w:bottom w:val="single" w:sz="4" w:space="0" w:color="auto"/>
              <w:right w:val="single" w:sz="4" w:space="0" w:color="auto"/>
            </w:tcBorders>
            <w:hideMark/>
          </w:tcPr>
          <w:p w14:paraId="6829E8A1" w14:textId="77777777" w:rsidR="0038431D" w:rsidRDefault="0038431D">
            <w:pPr>
              <w:pStyle w:val="OWSTabletext"/>
              <w:spacing w:line="256" w:lineRule="auto"/>
              <w:rPr>
                <w:color w:val="auto"/>
              </w:rPr>
            </w:pPr>
            <w:r>
              <w:rPr>
                <w:color w:val="auto"/>
              </w:rPr>
              <w:t>The regional vertical conductivity of the aquitard/leaky well system, defined as an average of hydraulic conductivites of the aquitard and the leaky wells, weighted by the areas of leaky wells and total production zone.</w:t>
            </w:r>
          </w:p>
        </w:tc>
      </w:tr>
      <w:tr w:rsidR="00A83A47" w14:paraId="7A3061C4"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5AFB21FD" w14:textId="142CB209" w:rsidR="00A83A47" w:rsidRDefault="00A83A47">
            <w:pPr>
              <w:pStyle w:val="OWSTabletext"/>
              <w:rPr>
                <w:rFonts w:eastAsia="Tahoma"/>
                <w:color w:val="auto"/>
              </w:rPr>
            </w:pPr>
            <w:r>
              <w:rPr>
                <w:color w:val="auto"/>
              </w:rPr>
              <w:t>Formation pore pressure</w:t>
            </w:r>
          </w:p>
        </w:tc>
        <w:tc>
          <w:tcPr>
            <w:tcW w:w="7231" w:type="dxa"/>
            <w:gridSpan w:val="2"/>
            <w:tcBorders>
              <w:top w:val="nil"/>
              <w:left w:val="nil"/>
              <w:bottom w:val="single" w:sz="4" w:space="0" w:color="auto"/>
              <w:right w:val="single" w:sz="4" w:space="0" w:color="auto"/>
            </w:tcBorders>
            <w:hideMark/>
          </w:tcPr>
          <w:p w14:paraId="6F53BAC1" w14:textId="08E36893" w:rsidR="00A83A47" w:rsidRDefault="00A83A47">
            <w:pPr>
              <w:pStyle w:val="OWSTabletext"/>
              <w:rPr>
                <w:rFonts w:eastAsia="Tahoma"/>
                <w:color w:val="auto"/>
              </w:rPr>
            </w:pPr>
            <w:r>
              <w:rPr>
                <w:color w:val="auto"/>
              </w:rPr>
              <w:t xml:space="preserve">The </w:t>
            </w:r>
            <w:r w:rsidR="00A138E2">
              <w:rPr>
                <w:color w:val="auto"/>
              </w:rPr>
              <w:t xml:space="preserve">fluid </w:t>
            </w:r>
            <w:r>
              <w:rPr>
                <w:color w:val="auto"/>
              </w:rPr>
              <w:t>pressure in the porous rock around the well.</w:t>
            </w:r>
          </w:p>
        </w:tc>
      </w:tr>
      <w:tr w:rsidR="00A83A47" w14:paraId="7A521921"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6EE75A74" w14:textId="77777777" w:rsidR="00A83A47" w:rsidRDefault="00A83A47">
            <w:pPr>
              <w:pStyle w:val="OWSTabletext"/>
              <w:rPr>
                <w:rFonts w:eastAsia="Tahoma"/>
                <w:color w:val="auto"/>
              </w:rPr>
            </w:pPr>
            <w:r>
              <w:rPr>
                <w:color w:val="auto"/>
              </w:rPr>
              <w:t>Hydraulic fracturing</w:t>
            </w:r>
          </w:p>
        </w:tc>
        <w:tc>
          <w:tcPr>
            <w:tcW w:w="7231" w:type="dxa"/>
            <w:gridSpan w:val="2"/>
            <w:tcBorders>
              <w:top w:val="nil"/>
              <w:left w:val="nil"/>
              <w:bottom w:val="single" w:sz="4" w:space="0" w:color="auto"/>
              <w:right w:val="single" w:sz="4" w:space="0" w:color="auto"/>
            </w:tcBorders>
            <w:hideMark/>
          </w:tcPr>
          <w:p w14:paraId="3C85F699" w14:textId="16663046" w:rsidR="00A83A47" w:rsidRDefault="00A83A47" w:rsidP="00A138E2">
            <w:pPr>
              <w:pStyle w:val="OWSTabletext"/>
              <w:rPr>
                <w:rFonts w:eastAsia="Tahoma"/>
                <w:color w:val="auto"/>
              </w:rPr>
            </w:pPr>
            <w:r>
              <w:rPr>
                <w:color w:val="auto"/>
              </w:rPr>
              <w:t>Also known as ‘fracking’, ‘fraccing’, ‘fracture simulation’ or ‘fluid-driven fractures’, is the process by which hydrocarbon (oil and gas) bearing geological formations are ‘stimulated’ to enhance the flow of hydrocarbons and other fluids towards the well. The process involves the injection of fluids, gas, proppant and other additives under high pressure into a geological formation to create fracture</w:t>
            </w:r>
            <w:r w:rsidR="00A138E2">
              <w:rPr>
                <w:color w:val="auto"/>
              </w:rPr>
              <w:t>s</w:t>
            </w:r>
            <w:r>
              <w:rPr>
                <w:color w:val="auto"/>
              </w:rPr>
              <w:t xml:space="preserve"> connecting the well to the reservoir. The fracture acts as a high conductivity channel through which the gas, and any associated water, can flow.</w:t>
            </w:r>
          </w:p>
        </w:tc>
      </w:tr>
      <w:tr w:rsidR="00A83A47" w14:paraId="322AB533"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3A9B071E" w14:textId="77777777" w:rsidR="00A83A47" w:rsidRDefault="00A83A47">
            <w:pPr>
              <w:pStyle w:val="OWSTabletext"/>
              <w:rPr>
                <w:rFonts w:eastAsia="Tahoma"/>
                <w:color w:val="auto"/>
              </w:rPr>
            </w:pPr>
            <w:r>
              <w:rPr>
                <w:color w:val="auto"/>
              </w:rPr>
              <w:t>Hydrostatic pressure</w:t>
            </w:r>
          </w:p>
        </w:tc>
        <w:tc>
          <w:tcPr>
            <w:tcW w:w="7231" w:type="dxa"/>
            <w:gridSpan w:val="2"/>
            <w:tcBorders>
              <w:top w:val="nil"/>
              <w:left w:val="nil"/>
              <w:bottom w:val="single" w:sz="4" w:space="0" w:color="auto"/>
              <w:right w:val="single" w:sz="4" w:space="0" w:color="auto"/>
            </w:tcBorders>
            <w:hideMark/>
          </w:tcPr>
          <w:p w14:paraId="686CD4C0" w14:textId="77777777" w:rsidR="00A83A47" w:rsidRDefault="00A83A47">
            <w:pPr>
              <w:pStyle w:val="OWSTabletext"/>
              <w:rPr>
                <w:rFonts w:eastAsia="Tahoma"/>
                <w:color w:val="auto"/>
              </w:rPr>
            </w:pPr>
            <w:r>
              <w:rPr>
                <w:color w:val="auto"/>
              </w:rPr>
              <w:t>The theoretical pore pressure that would be expected purely from the weight of water in a column running from the depth of interest to the surface.</w:t>
            </w:r>
          </w:p>
        </w:tc>
      </w:tr>
      <w:tr w:rsidR="002D72D3" w14:paraId="7C1F12B6" w14:textId="77777777" w:rsidTr="0038431D">
        <w:trPr>
          <w:trHeight w:val="300"/>
        </w:trPr>
        <w:tc>
          <w:tcPr>
            <w:tcW w:w="1985" w:type="dxa"/>
            <w:tcBorders>
              <w:top w:val="nil"/>
              <w:left w:val="single" w:sz="4" w:space="0" w:color="auto"/>
              <w:bottom w:val="single" w:sz="4" w:space="0" w:color="auto"/>
              <w:right w:val="single" w:sz="4" w:space="0" w:color="auto"/>
            </w:tcBorders>
          </w:tcPr>
          <w:p w14:paraId="6146A52C" w14:textId="7E1B5C53" w:rsidR="002D72D3" w:rsidRDefault="00B8549F">
            <w:pPr>
              <w:pStyle w:val="OWSTabletext"/>
              <w:rPr>
                <w:color w:val="auto"/>
              </w:rPr>
            </w:pPr>
            <w:r w:rsidRPr="00B73E58">
              <w:rPr>
                <w:color w:val="auto"/>
              </w:rPr>
              <w:t>Open w</w:t>
            </w:r>
            <w:r w:rsidR="002D72D3" w:rsidRPr="00B73E58">
              <w:rPr>
                <w:color w:val="auto"/>
              </w:rPr>
              <w:t>ell</w:t>
            </w:r>
          </w:p>
        </w:tc>
        <w:tc>
          <w:tcPr>
            <w:tcW w:w="7231" w:type="dxa"/>
            <w:gridSpan w:val="2"/>
            <w:tcBorders>
              <w:top w:val="nil"/>
              <w:left w:val="nil"/>
              <w:bottom w:val="single" w:sz="4" w:space="0" w:color="auto"/>
              <w:right w:val="single" w:sz="4" w:space="0" w:color="auto"/>
            </w:tcBorders>
          </w:tcPr>
          <w:p w14:paraId="6E3B830A" w14:textId="36A27297" w:rsidR="002D72D3" w:rsidRDefault="002D72D3" w:rsidP="002D72D3">
            <w:pPr>
              <w:pStyle w:val="OWSTabletext"/>
              <w:rPr>
                <w:color w:val="auto"/>
              </w:rPr>
            </w:pPr>
            <w:r>
              <w:rPr>
                <w:color w:val="auto"/>
              </w:rPr>
              <w:t>As used in this report</w:t>
            </w:r>
            <w:r w:rsidRPr="002D72D3">
              <w:t xml:space="preserve">: A completed well </w:t>
            </w:r>
            <w:r>
              <w:t xml:space="preserve">or wellbore </w:t>
            </w:r>
            <w:r w:rsidRPr="002D72D3">
              <w:t xml:space="preserve">that has continuity through the well </w:t>
            </w:r>
            <w:r>
              <w:t>column</w:t>
            </w:r>
            <w:r w:rsidRPr="002D72D3">
              <w:t xml:space="preserve"> and open communication with the aquifer</w:t>
            </w:r>
            <w:r>
              <w:t>. Examples include an abandoned exploration wellbore that has not been through a process of decommissioning or a production well that has been repurposed for water extraction.</w:t>
            </w:r>
          </w:p>
        </w:tc>
      </w:tr>
      <w:tr w:rsidR="00B66D97" w14:paraId="3F5C3FB1" w14:textId="77777777" w:rsidTr="0038431D">
        <w:trPr>
          <w:trHeight w:val="300"/>
        </w:trPr>
        <w:tc>
          <w:tcPr>
            <w:tcW w:w="1985" w:type="dxa"/>
            <w:tcBorders>
              <w:top w:val="nil"/>
              <w:left w:val="single" w:sz="4" w:space="0" w:color="auto"/>
              <w:bottom w:val="single" w:sz="4" w:space="0" w:color="auto"/>
              <w:right w:val="single" w:sz="4" w:space="0" w:color="auto"/>
            </w:tcBorders>
          </w:tcPr>
          <w:p w14:paraId="686F75AA" w14:textId="22C1D61E" w:rsidR="00B66D97" w:rsidRDefault="00B8549F">
            <w:pPr>
              <w:pStyle w:val="OWSTabletext"/>
              <w:rPr>
                <w:color w:val="auto"/>
              </w:rPr>
            </w:pPr>
            <w:r>
              <w:rPr>
                <w:color w:val="auto"/>
              </w:rPr>
              <w:t>Offset w</w:t>
            </w:r>
            <w:r w:rsidR="00A6289C">
              <w:rPr>
                <w:color w:val="auto"/>
              </w:rPr>
              <w:t>ellbore</w:t>
            </w:r>
          </w:p>
        </w:tc>
        <w:tc>
          <w:tcPr>
            <w:tcW w:w="7231" w:type="dxa"/>
            <w:gridSpan w:val="2"/>
            <w:tcBorders>
              <w:top w:val="nil"/>
              <w:left w:val="nil"/>
              <w:bottom w:val="single" w:sz="4" w:space="0" w:color="auto"/>
              <w:right w:val="single" w:sz="4" w:space="0" w:color="auto"/>
            </w:tcBorders>
          </w:tcPr>
          <w:p w14:paraId="1701E934" w14:textId="1A5C514E" w:rsidR="00B66D97" w:rsidRDefault="00432BF2" w:rsidP="002D72D3">
            <w:pPr>
              <w:pStyle w:val="OWSTabletext"/>
              <w:rPr>
                <w:color w:val="auto"/>
              </w:rPr>
            </w:pPr>
            <w:r>
              <w:t>An existing wellbore close to a proposed well that provides information for planning the proposed well.</w:t>
            </w:r>
          </w:p>
        </w:tc>
      </w:tr>
      <w:tr w:rsidR="00A83A47" w14:paraId="6F2DBAA7"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74006FAC" w14:textId="77777777" w:rsidR="00A83A47" w:rsidRDefault="00A83A47">
            <w:pPr>
              <w:pStyle w:val="OWSTabletext"/>
              <w:rPr>
                <w:color w:val="auto"/>
              </w:rPr>
            </w:pPr>
            <w:r>
              <w:rPr>
                <w:color w:val="auto"/>
              </w:rPr>
              <w:t>Well</w:t>
            </w:r>
          </w:p>
        </w:tc>
        <w:tc>
          <w:tcPr>
            <w:tcW w:w="7231" w:type="dxa"/>
            <w:gridSpan w:val="2"/>
            <w:tcBorders>
              <w:top w:val="nil"/>
              <w:left w:val="nil"/>
              <w:bottom w:val="single" w:sz="4" w:space="0" w:color="auto"/>
              <w:right w:val="single" w:sz="4" w:space="0" w:color="auto"/>
            </w:tcBorders>
            <w:hideMark/>
          </w:tcPr>
          <w:p w14:paraId="4FC90E12" w14:textId="77777777" w:rsidR="00A83A47" w:rsidRDefault="00A83A47">
            <w:pPr>
              <w:pStyle w:val="OWSTabletext"/>
              <w:rPr>
                <w:color w:val="auto"/>
              </w:rPr>
            </w:pPr>
            <w:r>
              <w:rPr>
                <w:color w:val="auto"/>
              </w:rPr>
              <w:t>As used in this report: a completed structure, following drilling of a wellbore, used for production of oil or gas and typically including casing, cement, and tubing strings.</w:t>
            </w:r>
          </w:p>
        </w:tc>
      </w:tr>
      <w:tr w:rsidR="00A83A47" w14:paraId="68091CC5"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3D87A39C" w14:textId="77777777" w:rsidR="00A83A47" w:rsidRDefault="00A83A47">
            <w:pPr>
              <w:pStyle w:val="OWSTabletext"/>
              <w:rPr>
                <w:color w:val="auto"/>
              </w:rPr>
            </w:pPr>
            <w:r>
              <w:rPr>
                <w:color w:val="auto"/>
              </w:rPr>
              <w:t>Well failure (1)</w:t>
            </w:r>
          </w:p>
        </w:tc>
        <w:tc>
          <w:tcPr>
            <w:tcW w:w="7231" w:type="dxa"/>
            <w:gridSpan w:val="2"/>
            <w:tcBorders>
              <w:top w:val="nil"/>
              <w:left w:val="nil"/>
              <w:bottom w:val="single" w:sz="4" w:space="0" w:color="auto"/>
              <w:right w:val="single" w:sz="4" w:space="0" w:color="auto"/>
            </w:tcBorders>
            <w:hideMark/>
          </w:tcPr>
          <w:p w14:paraId="179C7389" w14:textId="77777777" w:rsidR="00A83A47" w:rsidRDefault="00A83A47">
            <w:pPr>
              <w:pStyle w:val="OWSTabletext"/>
              <w:rPr>
                <w:color w:val="auto"/>
              </w:rPr>
            </w:pPr>
            <w:r>
              <w:t>All well barriers failing in sequence and a leakage pathway being created across all the well barriers</w:t>
            </w:r>
            <w:r>
              <w:rPr>
                <w:color w:val="auto"/>
              </w:rPr>
              <w:t xml:space="preserve"> (King and King 2013).</w:t>
            </w:r>
          </w:p>
        </w:tc>
      </w:tr>
      <w:tr w:rsidR="00A83A47" w14:paraId="458F669C"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40A18EC7" w14:textId="77777777" w:rsidR="00A83A47" w:rsidRDefault="00A83A47">
            <w:pPr>
              <w:pStyle w:val="OWSTabletext"/>
              <w:rPr>
                <w:color w:val="auto"/>
              </w:rPr>
            </w:pPr>
            <w:r>
              <w:rPr>
                <w:color w:val="auto"/>
              </w:rPr>
              <w:t>Well failure (2)</w:t>
            </w:r>
          </w:p>
        </w:tc>
        <w:tc>
          <w:tcPr>
            <w:tcW w:w="7231" w:type="dxa"/>
            <w:gridSpan w:val="2"/>
            <w:tcBorders>
              <w:top w:val="nil"/>
              <w:left w:val="nil"/>
              <w:bottom w:val="single" w:sz="4" w:space="0" w:color="auto"/>
              <w:right w:val="single" w:sz="4" w:space="0" w:color="auto"/>
            </w:tcBorders>
            <w:hideMark/>
          </w:tcPr>
          <w:p w14:paraId="10EF40A3" w14:textId="74F96160" w:rsidR="00A83A47" w:rsidRDefault="00A83A47" w:rsidP="00D66268">
            <w:pPr>
              <w:pStyle w:val="OWSTabletext"/>
              <w:rPr>
                <w:color w:val="auto"/>
              </w:rPr>
            </w:pPr>
            <w:r>
              <w:rPr>
                <w:color w:val="auto"/>
              </w:rPr>
              <w:t xml:space="preserve">Well failure or loss of well integrity may result from a well breach (or number of well breaches). Well failure can take the form of a hydrological </w:t>
            </w:r>
            <w:r w:rsidR="00D66268">
              <w:rPr>
                <w:color w:val="auto"/>
              </w:rPr>
              <w:t xml:space="preserve">breach </w:t>
            </w:r>
            <w:r>
              <w:rPr>
                <w:color w:val="auto"/>
              </w:rPr>
              <w:t xml:space="preserve">(fluid movement between different geological units) or environmental </w:t>
            </w:r>
            <w:r w:rsidR="00D66268">
              <w:rPr>
                <w:color w:val="auto"/>
              </w:rPr>
              <w:t xml:space="preserve">breach </w:t>
            </w:r>
            <w:r>
              <w:rPr>
                <w:color w:val="auto"/>
              </w:rPr>
              <w:t xml:space="preserve">(fluid leaks from the well at surface or contamination of water resources). </w:t>
            </w:r>
          </w:p>
        </w:tc>
      </w:tr>
      <w:tr w:rsidR="00A83A47" w14:paraId="2705FFA0" w14:textId="77777777" w:rsidTr="0038431D">
        <w:trPr>
          <w:trHeight w:val="300"/>
        </w:trPr>
        <w:tc>
          <w:tcPr>
            <w:tcW w:w="1985" w:type="dxa"/>
            <w:tcBorders>
              <w:top w:val="nil"/>
              <w:left w:val="single" w:sz="4" w:space="0" w:color="auto"/>
              <w:bottom w:val="single" w:sz="4" w:space="0" w:color="auto"/>
              <w:right w:val="single" w:sz="4" w:space="0" w:color="auto"/>
            </w:tcBorders>
            <w:hideMark/>
          </w:tcPr>
          <w:p w14:paraId="2C8BEC6E" w14:textId="77777777" w:rsidR="00A83A47" w:rsidRDefault="00A83A47">
            <w:pPr>
              <w:pStyle w:val="OWSTabletext"/>
              <w:rPr>
                <w:color w:val="auto"/>
              </w:rPr>
            </w:pPr>
            <w:r>
              <w:rPr>
                <w:color w:val="auto"/>
              </w:rPr>
              <w:t>Wellbore</w:t>
            </w:r>
          </w:p>
        </w:tc>
        <w:tc>
          <w:tcPr>
            <w:tcW w:w="7231" w:type="dxa"/>
            <w:gridSpan w:val="2"/>
            <w:tcBorders>
              <w:top w:val="nil"/>
              <w:left w:val="nil"/>
              <w:bottom w:val="single" w:sz="4" w:space="0" w:color="auto"/>
              <w:right w:val="single" w:sz="4" w:space="0" w:color="auto"/>
            </w:tcBorders>
            <w:hideMark/>
          </w:tcPr>
          <w:p w14:paraId="0EF9FA5A" w14:textId="77777777" w:rsidR="00A83A47" w:rsidRDefault="00A83A47">
            <w:pPr>
              <w:pStyle w:val="OWSTabletext"/>
              <w:rPr>
                <w:color w:val="auto"/>
              </w:rPr>
            </w:pPr>
            <w:r>
              <w:rPr>
                <w:color w:val="auto"/>
              </w:rPr>
              <w:t>The hole initially produced by drilling and intended to be cased and cemented to create a well for production of oil or gas.</w:t>
            </w:r>
          </w:p>
        </w:tc>
      </w:tr>
    </w:tbl>
    <w:p w14:paraId="6FD764EB" w14:textId="77777777" w:rsidR="00A83A47" w:rsidRDefault="00A83A47" w:rsidP="00A83A47">
      <w:pPr>
        <w:pStyle w:val="Heading1"/>
        <w:numPr>
          <w:ilvl w:val="0"/>
          <w:numId w:val="0"/>
        </w:numPr>
        <w:ind w:left="1134" w:hanging="1134"/>
      </w:pPr>
      <w:bookmarkStart w:id="464" w:name="_Toc432618724"/>
      <w:bookmarkStart w:id="465" w:name="_Toc452449140"/>
      <w:r>
        <w:t>Symbols</w:t>
      </w:r>
      <w:bookmarkEnd w:id="464"/>
      <w:bookmarkEnd w:id="465"/>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A83A47" w14:paraId="655A48EC" w14:textId="77777777" w:rsidTr="00A83A47">
        <w:trPr>
          <w:tblHeader/>
        </w:trPr>
        <w:tc>
          <w:tcPr>
            <w:tcW w:w="2268" w:type="dxa"/>
            <w:tcBorders>
              <w:top w:val="single" w:sz="4" w:space="0" w:color="auto"/>
              <w:left w:val="single" w:sz="4" w:space="0" w:color="auto"/>
              <w:bottom w:val="single" w:sz="4" w:space="0" w:color="auto"/>
              <w:right w:val="single" w:sz="4" w:space="0" w:color="auto"/>
            </w:tcBorders>
            <w:shd w:val="clear" w:color="auto" w:fill="C6D9F1"/>
            <w:hideMark/>
          </w:tcPr>
          <w:p w14:paraId="3547794B" w14:textId="77777777" w:rsidR="00A83A47" w:rsidRDefault="00A83A47">
            <w:pPr>
              <w:pStyle w:val="OWSTabletext"/>
              <w:rPr>
                <w:color w:val="auto"/>
              </w:rPr>
            </w:pPr>
            <w:r>
              <w:rPr>
                <w:color w:val="auto"/>
              </w:rPr>
              <w:t>Symbol</w:t>
            </w:r>
          </w:p>
        </w:tc>
        <w:tc>
          <w:tcPr>
            <w:tcW w:w="6946" w:type="dxa"/>
            <w:tcBorders>
              <w:top w:val="single" w:sz="4" w:space="0" w:color="auto"/>
              <w:left w:val="single" w:sz="4" w:space="0" w:color="auto"/>
              <w:bottom w:val="single" w:sz="4" w:space="0" w:color="auto"/>
              <w:right w:val="single" w:sz="4" w:space="0" w:color="auto"/>
            </w:tcBorders>
            <w:shd w:val="clear" w:color="auto" w:fill="C6D9F1"/>
            <w:hideMark/>
          </w:tcPr>
          <w:p w14:paraId="1205033F" w14:textId="77777777" w:rsidR="00A83A47" w:rsidRDefault="00A83A47">
            <w:pPr>
              <w:pStyle w:val="OWSTabletext"/>
              <w:rPr>
                <w:b/>
              </w:rPr>
            </w:pPr>
            <w:r>
              <w:rPr>
                <w:color w:val="auto"/>
              </w:rPr>
              <w:t>Short description, units</w:t>
            </w:r>
          </w:p>
        </w:tc>
      </w:tr>
      <w:tr w:rsidR="00A83A47" w14:paraId="6DECC11D"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53AC790C" w14:textId="77777777" w:rsidR="00A83A47" w:rsidRDefault="00A83A47">
            <w:pPr>
              <w:pStyle w:val="OWSTabletext"/>
              <w:rPr>
                <w:i/>
                <w:color w:val="auto"/>
              </w:rPr>
            </w:pPr>
            <w:r>
              <w:rPr>
                <w:i/>
                <w:color w:val="auto"/>
              </w:rPr>
              <w:t>A</w:t>
            </w:r>
          </w:p>
        </w:tc>
        <w:tc>
          <w:tcPr>
            <w:tcW w:w="6946" w:type="dxa"/>
            <w:tcBorders>
              <w:top w:val="single" w:sz="4" w:space="0" w:color="auto"/>
              <w:left w:val="single" w:sz="4" w:space="0" w:color="auto"/>
              <w:bottom w:val="single" w:sz="4" w:space="0" w:color="auto"/>
              <w:right w:val="single" w:sz="4" w:space="0" w:color="auto"/>
            </w:tcBorders>
            <w:hideMark/>
          </w:tcPr>
          <w:p w14:paraId="1AACB01B" w14:textId="77777777" w:rsidR="00A83A47" w:rsidRDefault="00A83A47">
            <w:pPr>
              <w:pStyle w:val="OWSTabletext"/>
              <w:rPr>
                <w:color w:val="auto"/>
              </w:rPr>
            </w:pPr>
            <w:r>
              <w:rPr>
                <w:color w:val="auto"/>
              </w:rPr>
              <w:t>Cross-section flow area [m</w:t>
            </w:r>
            <w:r>
              <w:rPr>
                <w:color w:val="auto"/>
                <w:vertAlign w:val="superscript"/>
              </w:rPr>
              <w:t>2</w:t>
            </w:r>
            <w:r>
              <w:rPr>
                <w:color w:val="auto"/>
              </w:rPr>
              <w:t>]</w:t>
            </w:r>
          </w:p>
        </w:tc>
      </w:tr>
      <w:tr w:rsidR="004B271A" w14:paraId="53DEB1C5" w14:textId="77777777" w:rsidTr="00A83A47">
        <w:tc>
          <w:tcPr>
            <w:tcW w:w="2268" w:type="dxa"/>
            <w:tcBorders>
              <w:top w:val="single" w:sz="4" w:space="0" w:color="auto"/>
              <w:left w:val="single" w:sz="4" w:space="0" w:color="auto"/>
              <w:bottom w:val="single" w:sz="4" w:space="0" w:color="auto"/>
              <w:right w:val="single" w:sz="4" w:space="0" w:color="auto"/>
            </w:tcBorders>
          </w:tcPr>
          <w:p w14:paraId="182C6F12" w14:textId="2156AEF5" w:rsidR="004B271A" w:rsidRDefault="004B271A">
            <w:pPr>
              <w:pStyle w:val="OWSTabletext"/>
              <w:rPr>
                <w:i/>
                <w:color w:val="auto"/>
              </w:rPr>
            </w:pPr>
            <w:r>
              <w:rPr>
                <w:i/>
                <w:color w:val="auto"/>
              </w:rPr>
              <w:t>A</w:t>
            </w:r>
            <w:r w:rsidRPr="004B271A">
              <w:rPr>
                <w:i/>
                <w:color w:val="auto"/>
                <w:vertAlign w:val="subscript"/>
              </w:rPr>
              <w:t>ref</w:t>
            </w:r>
          </w:p>
        </w:tc>
        <w:tc>
          <w:tcPr>
            <w:tcW w:w="6946" w:type="dxa"/>
            <w:tcBorders>
              <w:top w:val="single" w:sz="4" w:space="0" w:color="auto"/>
              <w:left w:val="single" w:sz="4" w:space="0" w:color="auto"/>
              <w:bottom w:val="single" w:sz="4" w:space="0" w:color="auto"/>
              <w:right w:val="single" w:sz="4" w:space="0" w:color="auto"/>
            </w:tcBorders>
          </w:tcPr>
          <w:p w14:paraId="7BADC154" w14:textId="7AC4432A" w:rsidR="004B271A" w:rsidRDefault="004B271A" w:rsidP="004B271A">
            <w:pPr>
              <w:pStyle w:val="OWSTabletext"/>
              <w:rPr>
                <w:color w:val="auto"/>
              </w:rPr>
            </w:pPr>
            <w:r>
              <w:t>Area of the reference aquitard [m</w:t>
            </w:r>
            <w:r w:rsidRPr="004B271A">
              <w:rPr>
                <w:vertAlign w:val="superscript"/>
              </w:rPr>
              <w:t>2</w:t>
            </w:r>
            <w:r>
              <w:t>]</w:t>
            </w:r>
          </w:p>
        </w:tc>
      </w:tr>
      <w:tr w:rsidR="004B271A" w14:paraId="6B085E59" w14:textId="77777777" w:rsidTr="00A83A47">
        <w:tc>
          <w:tcPr>
            <w:tcW w:w="2268" w:type="dxa"/>
            <w:tcBorders>
              <w:top w:val="single" w:sz="4" w:space="0" w:color="auto"/>
              <w:left w:val="single" w:sz="4" w:space="0" w:color="auto"/>
              <w:bottom w:val="single" w:sz="4" w:space="0" w:color="auto"/>
              <w:right w:val="single" w:sz="4" w:space="0" w:color="auto"/>
            </w:tcBorders>
          </w:tcPr>
          <w:p w14:paraId="3B9B31A2" w14:textId="3B186A1A" w:rsidR="004B271A" w:rsidRDefault="004B271A">
            <w:pPr>
              <w:pStyle w:val="OWSTabletext"/>
              <w:rPr>
                <w:i/>
                <w:color w:val="auto"/>
              </w:rPr>
            </w:pPr>
            <w:r>
              <w:rPr>
                <w:i/>
              </w:rPr>
              <w:t>A</w:t>
            </w:r>
            <w:r w:rsidRPr="00976756">
              <w:rPr>
                <w:vertAlign w:val="subscript"/>
              </w:rPr>
              <w:t>well,</w:t>
            </w:r>
            <w:r>
              <w:rPr>
                <w:vertAlign w:val="subscript"/>
              </w:rPr>
              <w:t xml:space="preserve"> </w:t>
            </w:r>
            <w:r w:rsidRPr="00976756">
              <w:rPr>
                <w:vertAlign w:val="subscript"/>
              </w:rPr>
              <w:t>i</w:t>
            </w:r>
          </w:p>
        </w:tc>
        <w:tc>
          <w:tcPr>
            <w:tcW w:w="6946" w:type="dxa"/>
            <w:tcBorders>
              <w:top w:val="single" w:sz="4" w:space="0" w:color="auto"/>
              <w:left w:val="single" w:sz="4" w:space="0" w:color="auto"/>
              <w:bottom w:val="single" w:sz="4" w:space="0" w:color="auto"/>
              <w:right w:val="single" w:sz="4" w:space="0" w:color="auto"/>
            </w:tcBorders>
          </w:tcPr>
          <w:p w14:paraId="4BCBF87B" w14:textId="2361D27A" w:rsidR="004B271A" w:rsidRDefault="004B271A">
            <w:pPr>
              <w:pStyle w:val="OWSTabletext"/>
              <w:rPr>
                <w:color w:val="auto"/>
              </w:rPr>
            </w:pPr>
            <w:r>
              <w:t>Cross sectional area of each leaky</w:t>
            </w:r>
            <w:r w:rsidRPr="00E32FB9">
              <w:t xml:space="preserve"> </w:t>
            </w:r>
            <w:r>
              <w:t>well [m</w:t>
            </w:r>
            <w:r w:rsidRPr="004B271A">
              <w:rPr>
                <w:vertAlign w:val="superscript"/>
              </w:rPr>
              <w:t>2</w:t>
            </w:r>
            <w:r>
              <w:t>]</w:t>
            </w:r>
          </w:p>
        </w:tc>
      </w:tr>
      <w:tr w:rsidR="00A83A47" w14:paraId="5ADB4048"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2EB9766A" w14:textId="77777777" w:rsidR="00A83A47" w:rsidRDefault="00A83A47">
            <w:pPr>
              <w:pStyle w:val="OWSTabletext"/>
              <w:rPr>
                <w:i/>
                <w:color w:val="auto"/>
              </w:rPr>
            </w:pPr>
            <w:r>
              <w:rPr>
                <w:i/>
                <w:color w:val="auto"/>
              </w:rPr>
              <w:t>d</w:t>
            </w:r>
          </w:p>
        </w:tc>
        <w:tc>
          <w:tcPr>
            <w:tcW w:w="6946" w:type="dxa"/>
            <w:tcBorders>
              <w:top w:val="single" w:sz="4" w:space="0" w:color="auto"/>
              <w:left w:val="single" w:sz="4" w:space="0" w:color="auto"/>
              <w:bottom w:val="single" w:sz="4" w:space="0" w:color="auto"/>
              <w:right w:val="single" w:sz="4" w:space="0" w:color="auto"/>
            </w:tcBorders>
            <w:hideMark/>
          </w:tcPr>
          <w:p w14:paraId="1C00842C" w14:textId="2BF1E50A" w:rsidR="00A83A47" w:rsidRDefault="00E57CC6">
            <w:pPr>
              <w:pStyle w:val="OWSTabletext"/>
              <w:rPr>
                <w:color w:val="auto"/>
              </w:rPr>
            </w:pPr>
            <w:r>
              <w:rPr>
                <w:color w:val="auto"/>
              </w:rPr>
              <w:t>Cylinder length</w:t>
            </w:r>
            <w:r w:rsidR="00A83A47">
              <w:rPr>
                <w:color w:val="auto"/>
              </w:rPr>
              <w:t xml:space="preserve"> [m]</w:t>
            </w:r>
          </w:p>
        </w:tc>
      </w:tr>
      <w:tr w:rsidR="00A83A47" w14:paraId="60931B22"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283E021E" w14:textId="77777777" w:rsidR="00A83A47" w:rsidRDefault="00A83A47">
            <w:pPr>
              <w:pStyle w:val="OWSTabletext"/>
              <w:rPr>
                <w:i/>
                <w:color w:val="auto"/>
              </w:rPr>
            </w:pPr>
            <w:r>
              <w:rPr>
                <w:i/>
                <w:color w:val="auto"/>
              </w:rPr>
              <w:t>D</w:t>
            </w:r>
          </w:p>
        </w:tc>
        <w:tc>
          <w:tcPr>
            <w:tcW w:w="6946" w:type="dxa"/>
            <w:tcBorders>
              <w:top w:val="single" w:sz="4" w:space="0" w:color="auto"/>
              <w:left w:val="single" w:sz="4" w:space="0" w:color="auto"/>
              <w:bottom w:val="single" w:sz="4" w:space="0" w:color="auto"/>
              <w:right w:val="single" w:sz="4" w:space="0" w:color="auto"/>
            </w:tcBorders>
            <w:hideMark/>
          </w:tcPr>
          <w:p w14:paraId="6DE40B51" w14:textId="77777777" w:rsidR="00A83A47" w:rsidRDefault="00A83A47">
            <w:pPr>
              <w:pStyle w:val="OWSTabletext"/>
              <w:rPr>
                <w:color w:val="auto"/>
              </w:rPr>
            </w:pPr>
            <w:r>
              <w:rPr>
                <w:color w:val="auto"/>
              </w:rPr>
              <w:t>Hydraulic diameter of conduit [m]</w:t>
            </w:r>
          </w:p>
        </w:tc>
      </w:tr>
      <w:tr w:rsidR="00A83A47" w14:paraId="743EAF79"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7026E79B" w14:textId="77777777" w:rsidR="00A83A47" w:rsidRDefault="00A83A47">
            <w:pPr>
              <w:pStyle w:val="OWSTabletext"/>
              <w:rPr>
                <w:i/>
                <w:color w:val="auto"/>
              </w:rPr>
            </w:pPr>
            <w:r>
              <w:rPr>
                <w:i/>
                <w:color w:val="auto"/>
              </w:rPr>
              <w:t>G</w:t>
            </w:r>
          </w:p>
        </w:tc>
        <w:tc>
          <w:tcPr>
            <w:tcW w:w="6946" w:type="dxa"/>
            <w:tcBorders>
              <w:top w:val="single" w:sz="4" w:space="0" w:color="auto"/>
              <w:left w:val="single" w:sz="4" w:space="0" w:color="auto"/>
              <w:bottom w:val="single" w:sz="4" w:space="0" w:color="auto"/>
              <w:right w:val="single" w:sz="4" w:space="0" w:color="auto"/>
            </w:tcBorders>
            <w:hideMark/>
          </w:tcPr>
          <w:p w14:paraId="1F900C90" w14:textId="77777777" w:rsidR="00A83A47" w:rsidRDefault="00A83A47">
            <w:pPr>
              <w:pStyle w:val="OWSTabletext"/>
              <w:rPr>
                <w:color w:val="auto"/>
              </w:rPr>
            </w:pPr>
            <w:r>
              <w:rPr>
                <w:color w:val="auto"/>
              </w:rPr>
              <w:t>Acceleration of gravity [m</w:t>
            </w:r>
            <w:r>
              <w:rPr>
                <w:color w:val="auto"/>
                <w:vertAlign w:val="superscript"/>
              </w:rPr>
              <w:t>-2</w:t>
            </w:r>
            <w:r>
              <w:rPr>
                <w:color w:val="auto"/>
              </w:rPr>
              <w:t>]</w:t>
            </w:r>
          </w:p>
        </w:tc>
      </w:tr>
      <w:tr w:rsidR="00A83A47" w14:paraId="0560DDEC"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23DEB9E2" w14:textId="5DDD99C0" w:rsidR="00A83A47" w:rsidRDefault="00B70EF7">
            <w:pPr>
              <w:pStyle w:val="OWSTabletext"/>
              <w:rPr>
                <w:i/>
                <w:color w:val="auto"/>
              </w:rPr>
            </w:pPr>
            <w:r>
              <w:rPr>
                <w:i/>
                <w:color w:val="auto"/>
              </w:rPr>
              <w:t>h</w:t>
            </w:r>
          </w:p>
        </w:tc>
        <w:tc>
          <w:tcPr>
            <w:tcW w:w="6946" w:type="dxa"/>
            <w:tcBorders>
              <w:top w:val="single" w:sz="4" w:space="0" w:color="auto"/>
              <w:left w:val="single" w:sz="4" w:space="0" w:color="auto"/>
              <w:bottom w:val="single" w:sz="4" w:space="0" w:color="auto"/>
              <w:right w:val="single" w:sz="4" w:space="0" w:color="auto"/>
            </w:tcBorders>
            <w:hideMark/>
          </w:tcPr>
          <w:p w14:paraId="328DCF92" w14:textId="77777777" w:rsidR="00A83A47" w:rsidRDefault="00A83A47">
            <w:pPr>
              <w:pStyle w:val="OWSTabletext"/>
              <w:rPr>
                <w:color w:val="auto"/>
              </w:rPr>
            </w:pPr>
            <w:r>
              <w:rPr>
                <w:color w:val="auto"/>
              </w:rPr>
              <w:t>Hydraulic head [m]</w:t>
            </w:r>
          </w:p>
        </w:tc>
      </w:tr>
      <w:tr w:rsidR="00A83A47" w14:paraId="08DDEDCF"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702E5DF4" w14:textId="77777777" w:rsidR="00A83A47" w:rsidRDefault="00A83A47">
            <w:pPr>
              <w:pStyle w:val="OWSTabletext"/>
              <w:rPr>
                <w:color w:val="auto"/>
              </w:rPr>
            </w:pPr>
            <w:r>
              <w:rPr>
                <w:i/>
                <w:color w:val="auto"/>
              </w:rPr>
              <w:t>h</w:t>
            </w:r>
            <w:r>
              <w:rPr>
                <w:color w:val="auto"/>
                <w:vertAlign w:val="subscript"/>
              </w:rPr>
              <w:t>f</w:t>
            </w:r>
          </w:p>
        </w:tc>
        <w:tc>
          <w:tcPr>
            <w:tcW w:w="6946" w:type="dxa"/>
            <w:tcBorders>
              <w:top w:val="single" w:sz="4" w:space="0" w:color="auto"/>
              <w:left w:val="single" w:sz="4" w:space="0" w:color="auto"/>
              <w:bottom w:val="single" w:sz="4" w:space="0" w:color="auto"/>
              <w:right w:val="single" w:sz="4" w:space="0" w:color="auto"/>
            </w:tcBorders>
            <w:hideMark/>
          </w:tcPr>
          <w:p w14:paraId="3DD754D3" w14:textId="77777777" w:rsidR="00A83A47" w:rsidRDefault="00A83A47">
            <w:pPr>
              <w:pStyle w:val="OWSTabletext"/>
              <w:rPr>
                <w:color w:val="auto"/>
              </w:rPr>
            </w:pPr>
            <w:r>
              <w:rPr>
                <w:color w:val="auto"/>
              </w:rPr>
              <w:t>Head loss due to friction [m]</w:t>
            </w:r>
          </w:p>
        </w:tc>
      </w:tr>
      <w:tr w:rsidR="00A83A47" w14:paraId="6D323251"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44F8D8CB" w14:textId="77777777" w:rsidR="00A83A47" w:rsidRDefault="00A83A47">
            <w:pPr>
              <w:pStyle w:val="OWSTabletext"/>
              <w:rPr>
                <w:i/>
                <w:color w:val="auto"/>
              </w:rPr>
            </w:pPr>
            <w:r>
              <w:rPr>
                <w:i/>
                <w:color w:val="auto"/>
              </w:rPr>
              <w:t>k</w:t>
            </w:r>
          </w:p>
        </w:tc>
        <w:tc>
          <w:tcPr>
            <w:tcW w:w="6946" w:type="dxa"/>
            <w:tcBorders>
              <w:top w:val="single" w:sz="4" w:space="0" w:color="auto"/>
              <w:left w:val="single" w:sz="4" w:space="0" w:color="auto"/>
              <w:bottom w:val="single" w:sz="4" w:space="0" w:color="auto"/>
              <w:right w:val="single" w:sz="4" w:space="0" w:color="auto"/>
            </w:tcBorders>
            <w:hideMark/>
          </w:tcPr>
          <w:p w14:paraId="19A1BF3C" w14:textId="77777777" w:rsidR="00A83A47" w:rsidRDefault="00A83A47">
            <w:pPr>
              <w:pStyle w:val="OWSTabletext"/>
              <w:rPr>
                <w:color w:val="auto"/>
              </w:rPr>
            </w:pPr>
            <w:r>
              <w:rPr>
                <w:color w:val="auto"/>
              </w:rPr>
              <w:t>Permeability [m</w:t>
            </w:r>
            <w:r>
              <w:rPr>
                <w:color w:val="auto"/>
                <w:vertAlign w:val="superscript"/>
              </w:rPr>
              <w:t>2</w:t>
            </w:r>
            <w:r>
              <w:rPr>
                <w:color w:val="auto"/>
              </w:rPr>
              <w:t>]</w:t>
            </w:r>
          </w:p>
        </w:tc>
      </w:tr>
      <w:tr w:rsidR="00A83A47" w14:paraId="403CD226"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39C13F3E" w14:textId="79EC7F74" w:rsidR="00A83A47" w:rsidRDefault="00A83A47">
            <w:pPr>
              <w:pStyle w:val="OWSTabletext"/>
              <w:rPr>
                <w:i/>
                <w:color w:val="auto"/>
              </w:rPr>
            </w:pPr>
            <w:r>
              <w:rPr>
                <w:i/>
                <w:color w:val="auto"/>
              </w:rPr>
              <w:t>K</w:t>
            </w:r>
            <w:r w:rsidR="00E57CC6" w:rsidRPr="00E57CC6">
              <w:rPr>
                <w:i/>
                <w:color w:val="auto"/>
                <w:vertAlign w:val="subscript"/>
              </w:rPr>
              <w:t>h</w:t>
            </w:r>
          </w:p>
        </w:tc>
        <w:tc>
          <w:tcPr>
            <w:tcW w:w="6946" w:type="dxa"/>
            <w:tcBorders>
              <w:top w:val="single" w:sz="4" w:space="0" w:color="auto"/>
              <w:left w:val="single" w:sz="4" w:space="0" w:color="auto"/>
              <w:bottom w:val="single" w:sz="4" w:space="0" w:color="auto"/>
              <w:right w:val="single" w:sz="4" w:space="0" w:color="auto"/>
            </w:tcBorders>
            <w:hideMark/>
          </w:tcPr>
          <w:p w14:paraId="45A40411" w14:textId="0DA0CD07" w:rsidR="00A83A47" w:rsidRDefault="00E57CC6" w:rsidP="00E57CC6">
            <w:pPr>
              <w:pStyle w:val="OWSTabletext"/>
              <w:rPr>
                <w:color w:val="auto"/>
              </w:rPr>
            </w:pPr>
            <w:r>
              <w:rPr>
                <w:color w:val="auto"/>
              </w:rPr>
              <w:t>Horizontal h</w:t>
            </w:r>
            <w:r w:rsidR="00A83A47">
              <w:rPr>
                <w:color w:val="auto"/>
              </w:rPr>
              <w:t>ydraulic conductivity [m.d</w:t>
            </w:r>
            <w:r w:rsidR="00A83A47">
              <w:rPr>
                <w:color w:val="auto"/>
                <w:vertAlign w:val="superscript"/>
              </w:rPr>
              <w:t>-1</w:t>
            </w:r>
            <w:r w:rsidR="00A83A47">
              <w:rPr>
                <w:color w:val="auto"/>
              </w:rPr>
              <w:t>]</w:t>
            </w:r>
          </w:p>
        </w:tc>
      </w:tr>
      <w:tr w:rsidR="00A83A47" w14:paraId="5B78C27E" w14:textId="77777777" w:rsidTr="00B70EF7">
        <w:tc>
          <w:tcPr>
            <w:tcW w:w="2268" w:type="dxa"/>
            <w:tcBorders>
              <w:top w:val="single" w:sz="4" w:space="0" w:color="auto"/>
              <w:left w:val="single" w:sz="4" w:space="0" w:color="auto"/>
              <w:bottom w:val="single" w:sz="4" w:space="0" w:color="auto"/>
              <w:right w:val="single" w:sz="4" w:space="0" w:color="auto"/>
            </w:tcBorders>
          </w:tcPr>
          <w:p w14:paraId="78419237" w14:textId="2673B9EF" w:rsidR="00A83A47" w:rsidRDefault="00B70EF7">
            <w:pPr>
              <w:pStyle w:val="OWSTabletext"/>
              <w:rPr>
                <w:color w:val="auto"/>
              </w:rPr>
            </w:pPr>
            <w:r>
              <w:rPr>
                <w:i/>
              </w:rPr>
              <w:t>K</w:t>
            </w:r>
            <w:r w:rsidRPr="00976756">
              <w:rPr>
                <w:vertAlign w:val="subscript"/>
              </w:rPr>
              <w:t>eq</w:t>
            </w:r>
          </w:p>
        </w:tc>
        <w:tc>
          <w:tcPr>
            <w:tcW w:w="6946" w:type="dxa"/>
            <w:tcBorders>
              <w:top w:val="single" w:sz="4" w:space="0" w:color="auto"/>
              <w:left w:val="single" w:sz="4" w:space="0" w:color="auto"/>
              <w:bottom w:val="single" w:sz="4" w:space="0" w:color="auto"/>
              <w:right w:val="single" w:sz="4" w:space="0" w:color="auto"/>
            </w:tcBorders>
          </w:tcPr>
          <w:p w14:paraId="06934989" w14:textId="572C3C76" w:rsidR="00A83A47" w:rsidRDefault="00B70EF7" w:rsidP="00B70EF7">
            <w:pPr>
              <w:pStyle w:val="OWSTabletext"/>
              <w:rPr>
                <w:color w:val="auto"/>
              </w:rPr>
            </w:pPr>
            <w:r>
              <w:t>Equivalent hydraulic conductivity of the combined aquitard and the leaky wells [m/d]</w:t>
            </w:r>
          </w:p>
        </w:tc>
      </w:tr>
      <w:tr w:rsidR="0045487B" w14:paraId="4760E34B" w14:textId="77777777" w:rsidTr="00A83A47">
        <w:tc>
          <w:tcPr>
            <w:tcW w:w="2268" w:type="dxa"/>
            <w:tcBorders>
              <w:top w:val="single" w:sz="4" w:space="0" w:color="auto"/>
              <w:left w:val="single" w:sz="4" w:space="0" w:color="auto"/>
              <w:bottom w:val="single" w:sz="4" w:space="0" w:color="auto"/>
              <w:right w:val="single" w:sz="4" w:space="0" w:color="auto"/>
            </w:tcBorders>
          </w:tcPr>
          <w:p w14:paraId="1840AA3C" w14:textId="6AFC8BFC" w:rsidR="0045487B" w:rsidRDefault="0045487B" w:rsidP="00B70EF7">
            <w:pPr>
              <w:pStyle w:val="OWSTabletext"/>
              <w:rPr>
                <w:i/>
                <w:color w:val="auto"/>
              </w:rPr>
            </w:pPr>
            <w:r>
              <w:rPr>
                <w:i/>
                <w:color w:val="auto"/>
              </w:rPr>
              <w:t>K</w:t>
            </w:r>
            <w:r w:rsidRPr="0045487B">
              <w:rPr>
                <w:color w:val="auto"/>
                <w:vertAlign w:val="subscript"/>
              </w:rPr>
              <w:t>ref</w:t>
            </w:r>
          </w:p>
        </w:tc>
        <w:tc>
          <w:tcPr>
            <w:tcW w:w="6946" w:type="dxa"/>
            <w:tcBorders>
              <w:top w:val="single" w:sz="4" w:space="0" w:color="auto"/>
              <w:left w:val="single" w:sz="4" w:space="0" w:color="auto"/>
              <w:bottom w:val="single" w:sz="4" w:space="0" w:color="auto"/>
              <w:right w:val="single" w:sz="4" w:space="0" w:color="auto"/>
            </w:tcBorders>
          </w:tcPr>
          <w:p w14:paraId="03CF6BA2" w14:textId="16674DFB" w:rsidR="0045487B" w:rsidRDefault="0045487B" w:rsidP="00B70EF7">
            <w:pPr>
              <w:pStyle w:val="OWSTabletext"/>
              <w:rPr>
                <w:color w:val="auto"/>
              </w:rPr>
            </w:pPr>
            <w:r>
              <w:rPr>
                <w:color w:val="auto"/>
              </w:rPr>
              <w:t>Background hydraulic conductivity for aquitards [m.d</w:t>
            </w:r>
            <w:r>
              <w:rPr>
                <w:color w:val="auto"/>
                <w:vertAlign w:val="superscript"/>
              </w:rPr>
              <w:t>-1</w:t>
            </w:r>
            <w:r>
              <w:rPr>
                <w:color w:val="auto"/>
              </w:rPr>
              <w:t>]</w:t>
            </w:r>
          </w:p>
        </w:tc>
      </w:tr>
      <w:tr w:rsidR="00B70EF7" w14:paraId="4DD6D685" w14:textId="77777777" w:rsidTr="00A83A47">
        <w:tc>
          <w:tcPr>
            <w:tcW w:w="2268" w:type="dxa"/>
            <w:tcBorders>
              <w:top w:val="single" w:sz="4" w:space="0" w:color="auto"/>
              <w:left w:val="single" w:sz="4" w:space="0" w:color="auto"/>
              <w:bottom w:val="single" w:sz="4" w:space="0" w:color="auto"/>
              <w:right w:val="single" w:sz="4" w:space="0" w:color="auto"/>
            </w:tcBorders>
          </w:tcPr>
          <w:p w14:paraId="1FD70491" w14:textId="39CCE07A" w:rsidR="00B70EF7" w:rsidRDefault="00B70EF7" w:rsidP="00B70EF7">
            <w:pPr>
              <w:pStyle w:val="OWSTabletext"/>
              <w:rPr>
                <w:i/>
                <w:color w:val="auto"/>
              </w:rPr>
            </w:pPr>
            <w:r>
              <w:rPr>
                <w:i/>
                <w:color w:val="auto"/>
              </w:rPr>
              <w:t>K</w:t>
            </w:r>
            <w:r>
              <w:rPr>
                <w:color w:val="auto"/>
                <w:vertAlign w:val="subscript"/>
              </w:rPr>
              <w:t>v</w:t>
            </w:r>
          </w:p>
        </w:tc>
        <w:tc>
          <w:tcPr>
            <w:tcW w:w="6946" w:type="dxa"/>
            <w:tcBorders>
              <w:top w:val="single" w:sz="4" w:space="0" w:color="auto"/>
              <w:left w:val="single" w:sz="4" w:space="0" w:color="auto"/>
              <w:bottom w:val="single" w:sz="4" w:space="0" w:color="auto"/>
              <w:right w:val="single" w:sz="4" w:space="0" w:color="auto"/>
            </w:tcBorders>
          </w:tcPr>
          <w:p w14:paraId="16D6E9DF" w14:textId="03CC84A3" w:rsidR="00B70EF7" w:rsidRDefault="00B70EF7" w:rsidP="00B70EF7">
            <w:pPr>
              <w:pStyle w:val="OWSTabletext"/>
              <w:rPr>
                <w:color w:val="auto"/>
              </w:rPr>
            </w:pPr>
            <w:r>
              <w:rPr>
                <w:color w:val="auto"/>
              </w:rPr>
              <w:t>Vertical hydraulic conductivity [m.d</w:t>
            </w:r>
            <w:r>
              <w:rPr>
                <w:color w:val="auto"/>
                <w:vertAlign w:val="superscript"/>
              </w:rPr>
              <w:t>-1</w:t>
            </w:r>
            <w:r>
              <w:rPr>
                <w:color w:val="auto"/>
              </w:rPr>
              <w:t>]</w:t>
            </w:r>
          </w:p>
        </w:tc>
      </w:tr>
      <w:tr w:rsidR="00B70EF7" w14:paraId="40989AEA" w14:textId="77777777" w:rsidTr="005F68B7">
        <w:tc>
          <w:tcPr>
            <w:tcW w:w="2268" w:type="dxa"/>
            <w:tcBorders>
              <w:top w:val="single" w:sz="4" w:space="0" w:color="auto"/>
              <w:left w:val="single" w:sz="4" w:space="0" w:color="auto"/>
              <w:bottom w:val="single" w:sz="4" w:space="0" w:color="auto"/>
              <w:right w:val="single" w:sz="4" w:space="0" w:color="auto"/>
            </w:tcBorders>
          </w:tcPr>
          <w:p w14:paraId="42CA3EAE" w14:textId="1B5D68B2" w:rsidR="00B70EF7" w:rsidRPr="007F0A8E" w:rsidRDefault="005F68B7" w:rsidP="00B70EF7">
            <w:pPr>
              <w:pStyle w:val="OWSTabletext"/>
              <w:rPr>
                <w:i/>
                <w:color w:val="auto"/>
              </w:rPr>
            </w:pPr>
            <w:r w:rsidRPr="007F0A8E">
              <w:rPr>
                <w:i/>
                <w:color w:val="auto"/>
              </w:rPr>
              <w:t>K</w:t>
            </w:r>
            <w:r w:rsidRPr="007F0A8E">
              <w:rPr>
                <w:i/>
                <w:color w:val="auto"/>
                <w:vertAlign w:val="subscript"/>
              </w:rPr>
              <w:t>w</w:t>
            </w:r>
            <w:r w:rsidR="00B66D97" w:rsidRPr="007F0A8E">
              <w:rPr>
                <w:i/>
                <w:color w:val="auto"/>
                <w:vertAlign w:val="subscript"/>
              </w:rPr>
              <w:t>ell</w:t>
            </w:r>
          </w:p>
        </w:tc>
        <w:tc>
          <w:tcPr>
            <w:tcW w:w="6946" w:type="dxa"/>
            <w:tcBorders>
              <w:top w:val="single" w:sz="4" w:space="0" w:color="auto"/>
              <w:left w:val="single" w:sz="4" w:space="0" w:color="auto"/>
              <w:bottom w:val="single" w:sz="4" w:space="0" w:color="auto"/>
              <w:right w:val="single" w:sz="4" w:space="0" w:color="auto"/>
            </w:tcBorders>
          </w:tcPr>
          <w:p w14:paraId="63D36A0F" w14:textId="243A1578" w:rsidR="00B70EF7" w:rsidRPr="007F0A8E" w:rsidRDefault="00D445CB" w:rsidP="00D445CB">
            <w:pPr>
              <w:pStyle w:val="OWSTabletext"/>
              <w:rPr>
                <w:color w:val="auto"/>
              </w:rPr>
            </w:pPr>
            <w:r w:rsidRPr="007F0A8E">
              <w:rPr>
                <w:color w:val="auto"/>
              </w:rPr>
              <w:t xml:space="preserve">Effective </w:t>
            </w:r>
            <w:r w:rsidR="005F68B7" w:rsidRPr="007F0A8E">
              <w:rPr>
                <w:color w:val="auto"/>
              </w:rPr>
              <w:t xml:space="preserve">hydraulic conductivity </w:t>
            </w:r>
            <w:r w:rsidRPr="007F0A8E">
              <w:rPr>
                <w:color w:val="auto"/>
              </w:rPr>
              <w:t xml:space="preserve">of the well </w:t>
            </w:r>
            <w:r w:rsidR="005F68B7" w:rsidRPr="007F0A8E">
              <w:rPr>
                <w:color w:val="auto"/>
              </w:rPr>
              <w:t>[m.d</w:t>
            </w:r>
            <w:r w:rsidR="005F68B7" w:rsidRPr="007F0A8E">
              <w:rPr>
                <w:color w:val="auto"/>
                <w:vertAlign w:val="superscript"/>
              </w:rPr>
              <w:t>-1</w:t>
            </w:r>
            <w:r w:rsidR="005F68B7" w:rsidRPr="007F0A8E">
              <w:rPr>
                <w:color w:val="auto"/>
              </w:rPr>
              <w:t>]</w:t>
            </w:r>
          </w:p>
        </w:tc>
      </w:tr>
      <w:tr w:rsidR="005F68B7" w14:paraId="38D206F3" w14:textId="77777777" w:rsidTr="00A83A47">
        <w:tc>
          <w:tcPr>
            <w:tcW w:w="2268" w:type="dxa"/>
            <w:tcBorders>
              <w:top w:val="single" w:sz="4" w:space="0" w:color="auto"/>
              <w:left w:val="single" w:sz="4" w:space="0" w:color="auto"/>
              <w:bottom w:val="single" w:sz="4" w:space="0" w:color="auto"/>
              <w:right w:val="single" w:sz="4" w:space="0" w:color="auto"/>
            </w:tcBorders>
          </w:tcPr>
          <w:p w14:paraId="45466DBA" w14:textId="76BBE407" w:rsidR="005F68B7" w:rsidRDefault="005F68B7" w:rsidP="005F68B7">
            <w:pPr>
              <w:pStyle w:val="OWSTabletext"/>
              <w:rPr>
                <w:i/>
                <w:color w:val="auto"/>
              </w:rPr>
            </w:pPr>
            <w:r>
              <w:rPr>
                <w:i/>
                <w:color w:val="auto"/>
              </w:rPr>
              <w:t>L</w:t>
            </w:r>
          </w:p>
        </w:tc>
        <w:tc>
          <w:tcPr>
            <w:tcW w:w="6946" w:type="dxa"/>
            <w:tcBorders>
              <w:top w:val="single" w:sz="4" w:space="0" w:color="auto"/>
              <w:left w:val="single" w:sz="4" w:space="0" w:color="auto"/>
              <w:bottom w:val="single" w:sz="4" w:space="0" w:color="auto"/>
              <w:right w:val="single" w:sz="4" w:space="0" w:color="auto"/>
            </w:tcBorders>
          </w:tcPr>
          <w:p w14:paraId="39EC49A5" w14:textId="2127E252" w:rsidR="005F68B7" w:rsidRDefault="005F68B7" w:rsidP="005F68B7">
            <w:pPr>
              <w:pStyle w:val="OWSTabletext"/>
              <w:rPr>
                <w:color w:val="auto"/>
              </w:rPr>
            </w:pPr>
            <w:r>
              <w:rPr>
                <w:color w:val="auto"/>
              </w:rPr>
              <w:t>Length of flow path [m]</w:t>
            </w:r>
          </w:p>
        </w:tc>
      </w:tr>
      <w:tr w:rsidR="005F68B7" w14:paraId="3F39196F"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46125FDC" w14:textId="77777777" w:rsidR="005F68B7" w:rsidRDefault="005F68B7" w:rsidP="005F68B7">
            <w:pPr>
              <w:pStyle w:val="OWSTabletext"/>
              <w:rPr>
                <w:i/>
                <w:color w:val="auto"/>
              </w:rPr>
            </w:pPr>
            <w:r>
              <w:rPr>
                <w:i/>
                <w:color w:val="auto"/>
              </w:rPr>
              <w:t>Q</w:t>
            </w:r>
          </w:p>
        </w:tc>
        <w:tc>
          <w:tcPr>
            <w:tcW w:w="6946" w:type="dxa"/>
            <w:tcBorders>
              <w:top w:val="single" w:sz="4" w:space="0" w:color="auto"/>
              <w:left w:val="single" w:sz="4" w:space="0" w:color="auto"/>
              <w:bottom w:val="single" w:sz="4" w:space="0" w:color="auto"/>
              <w:right w:val="single" w:sz="4" w:space="0" w:color="auto"/>
            </w:tcBorders>
            <w:hideMark/>
          </w:tcPr>
          <w:p w14:paraId="49F460F9" w14:textId="77777777" w:rsidR="005F68B7" w:rsidRDefault="005F68B7" w:rsidP="005F68B7">
            <w:pPr>
              <w:pStyle w:val="OWSTabletext"/>
              <w:rPr>
                <w:color w:val="auto"/>
              </w:rPr>
            </w:pPr>
            <w:r>
              <w:rPr>
                <w:color w:val="auto"/>
              </w:rPr>
              <w:t>Volumetric fluid flux [m</w:t>
            </w:r>
            <w:r>
              <w:rPr>
                <w:color w:val="auto"/>
                <w:vertAlign w:val="superscript"/>
              </w:rPr>
              <w:t>3</w:t>
            </w:r>
            <w:r>
              <w:rPr>
                <w:color w:val="auto"/>
              </w:rPr>
              <w:t>.d</w:t>
            </w:r>
            <w:r>
              <w:rPr>
                <w:color w:val="auto"/>
                <w:vertAlign w:val="superscript"/>
              </w:rPr>
              <w:t>-1</w:t>
            </w:r>
            <w:r>
              <w:rPr>
                <w:color w:val="auto"/>
              </w:rPr>
              <w:t>]</w:t>
            </w:r>
          </w:p>
        </w:tc>
      </w:tr>
      <w:tr w:rsidR="005F68B7" w14:paraId="7A8A83DF" w14:textId="77777777" w:rsidTr="00A83A47">
        <w:tc>
          <w:tcPr>
            <w:tcW w:w="2268" w:type="dxa"/>
            <w:tcBorders>
              <w:top w:val="single" w:sz="4" w:space="0" w:color="auto"/>
              <w:left w:val="single" w:sz="4" w:space="0" w:color="auto"/>
              <w:bottom w:val="single" w:sz="4" w:space="0" w:color="auto"/>
              <w:right w:val="single" w:sz="4" w:space="0" w:color="auto"/>
            </w:tcBorders>
            <w:hideMark/>
          </w:tcPr>
          <w:p w14:paraId="55356609" w14:textId="7E9ED69C" w:rsidR="005F68B7" w:rsidRDefault="005F68B7" w:rsidP="005F68B7">
            <w:pPr>
              <w:pStyle w:val="OWSTabletext"/>
              <w:rPr>
                <w:i/>
                <w:color w:val="auto"/>
              </w:rPr>
            </w:pPr>
            <w:r>
              <w:rPr>
                <w:i/>
                <w:color w:val="auto"/>
              </w:rPr>
              <w:t>r</w:t>
            </w:r>
            <w:r w:rsidRPr="00E57CC6">
              <w:rPr>
                <w:i/>
                <w:color w:val="auto"/>
                <w:vertAlign w:val="subscript"/>
              </w:rPr>
              <w:t>w</w:t>
            </w:r>
          </w:p>
        </w:tc>
        <w:tc>
          <w:tcPr>
            <w:tcW w:w="6946" w:type="dxa"/>
            <w:tcBorders>
              <w:top w:val="single" w:sz="4" w:space="0" w:color="auto"/>
              <w:left w:val="single" w:sz="4" w:space="0" w:color="auto"/>
              <w:bottom w:val="single" w:sz="4" w:space="0" w:color="auto"/>
              <w:right w:val="single" w:sz="4" w:space="0" w:color="auto"/>
            </w:tcBorders>
            <w:hideMark/>
          </w:tcPr>
          <w:p w14:paraId="7C9851E4" w14:textId="3481DE55" w:rsidR="005F68B7" w:rsidRDefault="005F68B7" w:rsidP="005F68B7">
            <w:pPr>
              <w:pStyle w:val="OWSTabletext"/>
              <w:rPr>
                <w:color w:val="auto"/>
              </w:rPr>
            </w:pPr>
            <w:r>
              <w:rPr>
                <w:color w:val="auto"/>
              </w:rPr>
              <w:t>Well radius [m]</w:t>
            </w:r>
          </w:p>
        </w:tc>
      </w:tr>
      <w:tr w:rsidR="005F68B7" w14:paraId="425F4E08" w14:textId="77777777" w:rsidTr="00A83A47">
        <w:tc>
          <w:tcPr>
            <w:tcW w:w="2268" w:type="dxa"/>
            <w:tcBorders>
              <w:top w:val="single" w:sz="4" w:space="0" w:color="auto"/>
              <w:left w:val="single" w:sz="4" w:space="0" w:color="auto"/>
              <w:bottom w:val="single" w:sz="4" w:space="0" w:color="auto"/>
              <w:right w:val="single" w:sz="4" w:space="0" w:color="auto"/>
            </w:tcBorders>
          </w:tcPr>
          <w:p w14:paraId="5BB61088" w14:textId="2D1B4AAC" w:rsidR="005F68B7" w:rsidRDefault="005F68B7" w:rsidP="005F68B7">
            <w:pPr>
              <w:pStyle w:val="OWSTabletext"/>
              <w:rPr>
                <w:i/>
                <w:color w:val="auto"/>
              </w:rPr>
            </w:pPr>
            <w:r w:rsidRPr="003A1E2E">
              <w:rPr>
                <w:i/>
              </w:rPr>
              <w:t>ρ</w:t>
            </w:r>
          </w:p>
        </w:tc>
        <w:tc>
          <w:tcPr>
            <w:tcW w:w="6946" w:type="dxa"/>
            <w:tcBorders>
              <w:top w:val="single" w:sz="4" w:space="0" w:color="auto"/>
              <w:left w:val="single" w:sz="4" w:space="0" w:color="auto"/>
              <w:bottom w:val="single" w:sz="4" w:space="0" w:color="auto"/>
              <w:right w:val="single" w:sz="4" w:space="0" w:color="auto"/>
            </w:tcBorders>
          </w:tcPr>
          <w:p w14:paraId="72A5168F" w14:textId="7204C393" w:rsidR="005F68B7" w:rsidRDefault="005F68B7" w:rsidP="00170E9B">
            <w:pPr>
              <w:pStyle w:val="OWSTabletext"/>
              <w:rPr>
                <w:color w:val="auto"/>
              </w:rPr>
            </w:pPr>
            <w:r>
              <w:t>Density of failed wells [</w:t>
            </w:r>
            <w:r w:rsidR="00170E9B">
              <w:t>m</w:t>
            </w:r>
            <w:r w:rsidR="00170E9B">
              <w:rPr>
                <w:vertAlign w:val="superscript"/>
              </w:rPr>
              <w:t>2</w:t>
            </w:r>
            <w:r w:rsidR="00170E9B">
              <w:t>/m</w:t>
            </w:r>
            <w:r w:rsidR="00170E9B">
              <w:rPr>
                <w:vertAlign w:val="superscript"/>
              </w:rPr>
              <w:t>2</w:t>
            </w:r>
            <w:r>
              <w:t>]</w:t>
            </w:r>
          </w:p>
        </w:tc>
      </w:tr>
      <w:tr w:rsidR="005F68B7" w14:paraId="7ECA84CF" w14:textId="77777777" w:rsidTr="00A83A47">
        <w:tc>
          <w:tcPr>
            <w:tcW w:w="2268" w:type="dxa"/>
            <w:tcBorders>
              <w:top w:val="single" w:sz="4" w:space="0" w:color="auto"/>
              <w:left w:val="single" w:sz="4" w:space="0" w:color="auto"/>
              <w:bottom w:val="single" w:sz="4" w:space="0" w:color="auto"/>
              <w:right w:val="single" w:sz="4" w:space="0" w:color="auto"/>
            </w:tcBorders>
          </w:tcPr>
          <w:p w14:paraId="728962D0" w14:textId="3A5602EB" w:rsidR="005F68B7" w:rsidRDefault="005F68B7" w:rsidP="005F68B7">
            <w:pPr>
              <w:pStyle w:val="OWSTabletext"/>
              <w:rPr>
                <w:i/>
              </w:rPr>
            </w:pPr>
            <w:r>
              <w:rPr>
                <w:i/>
              </w:rPr>
              <w:t>S</w:t>
            </w:r>
            <w:r w:rsidRPr="00B5246F">
              <w:rPr>
                <w:i/>
                <w:vertAlign w:val="subscript"/>
              </w:rPr>
              <w:t>y</w:t>
            </w:r>
          </w:p>
        </w:tc>
        <w:tc>
          <w:tcPr>
            <w:tcW w:w="6946" w:type="dxa"/>
            <w:tcBorders>
              <w:top w:val="single" w:sz="4" w:space="0" w:color="auto"/>
              <w:left w:val="single" w:sz="4" w:space="0" w:color="auto"/>
              <w:bottom w:val="single" w:sz="4" w:space="0" w:color="auto"/>
              <w:right w:val="single" w:sz="4" w:space="0" w:color="auto"/>
            </w:tcBorders>
          </w:tcPr>
          <w:p w14:paraId="1BA0B19D" w14:textId="0BF17034" w:rsidR="005F68B7" w:rsidRDefault="005F68B7" w:rsidP="005F68B7">
            <w:pPr>
              <w:pStyle w:val="OWSTabletext"/>
            </w:pPr>
            <w:r>
              <w:t>Specific yield [-]</w:t>
            </w:r>
          </w:p>
        </w:tc>
      </w:tr>
      <w:tr w:rsidR="005F68B7" w14:paraId="251A5D38" w14:textId="77777777" w:rsidTr="00A83A47">
        <w:tc>
          <w:tcPr>
            <w:tcW w:w="2268" w:type="dxa"/>
            <w:tcBorders>
              <w:top w:val="single" w:sz="4" w:space="0" w:color="auto"/>
              <w:left w:val="single" w:sz="4" w:space="0" w:color="auto"/>
              <w:bottom w:val="single" w:sz="4" w:space="0" w:color="auto"/>
              <w:right w:val="single" w:sz="4" w:space="0" w:color="auto"/>
            </w:tcBorders>
          </w:tcPr>
          <w:p w14:paraId="08013026" w14:textId="7F76ECBB" w:rsidR="005F68B7" w:rsidRDefault="005F68B7" w:rsidP="005F68B7">
            <w:pPr>
              <w:pStyle w:val="OWSTabletext"/>
              <w:rPr>
                <w:i/>
              </w:rPr>
            </w:pPr>
            <w:r>
              <w:rPr>
                <w:i/>
              </w:rPr>
              <w:t>S</w:t>
            </w:r>
            <w:r w:rsidRPr="00B5246F">
              <w:rPr>
                <w:i/>
                <w:vertAlign w:val="subscript"/>
              </w:rPr>
              <w:t>s</w:t>
            </w:r>
          </w:p>
        </w:tc>
        <w:tc>
          <w:tcPr>
            <w:tcW w:w="6946" w:type="dxa"/>
            <w:tcBorders>
              <w:top w:val="single" w:sz="4" w:space="0" w:color="auto"/>
              <w:left w:val="single" w:sz="4" w:space="0" w:color="auto"/>
              <w:bottom w:val="single" w:sz="4" w:space="0" w:color="auto"/>
              <w:right w:val="single" w:sz="4" w:space="0" w:color="auto"/>
            </w:tcBorders>
          </w:tcPr>
          <w:p w14:paraId="30A0D50F" w14:textId="486A2F6A" w:rsidR="005F68B7" w:rsidRDefault="005F68B7" w:rsidP="005F68B7">
            <w:pPr>
              <w:pStyle w:val="OWSTabletext"/>
            </w:pPr>
            <w:r>
              <w:t>specific storage [m</w:t>
            </w:r>
            <w:r w:rsidRPr="005D4093">
              <w:rPr>
                <w:vertAlign w:val="superscript"/>
              </w:rPr>
              <w:t>-1</w:t>
            </w:r>
            <w:r>
              <w:t>]</w:t>
            </w:r>
          </w:p>
        </w:tc>
      </w:tr>
      <w:tr w:rsidR="005F68B7" w14:paraId="78298C58" w14:textId="77777777" w:rsidTr="00A83A47">
        <w:tc>
          <w:tcPr>
            <w:tcW w:w="2268" w:type="dxa"/>
            <w:tcBorders>
              <w:top w:val="single" w:sz="4" w:space="0" w:color="auto"/>
              <w:left w:val="single" w:sz="4" w:space="0" w:color="auto"/>
              <w:bottom w:val="single" w:sz="4" w:space="0" w:color="auto"/>
              <w:right w:val="single" w:sz="4" w:space="0" w:color="auto"/>
            </w:tcBorders>
          </w:tcPr>
          <w:p w14:paraId="116BDF9A" w14:textId="33B9C9BE" w:rsidR="005F68B7" w:rsidRDefault="005F68B7" w:rsidP="005F68B7">
            <w:pPr>
              <w:pStyle w:val="OWSTabletext"/>
              <w:rPr>
                <w:i/>
              </w:rPr>
            </w:pPr>
            <w:r>
              <w:rPr>
                <w:i/>
              </w:rPr>
              <w:t>T</w:t>
            </w:r>
            <w:r w:rsidRPr="003005E9">
              <w:rPr>
                <w:i/>
                <w:vertAlign w:val="subscript"/>
              </w:rPr>
              <w:t>1</w:t>
            </w:r>
            <w:r w:rsidRPr="003005E9">
              <w:rPr>
                <w:i/>
              </w:rPr>
              <w:t>,</w:t>
            </w:r>
            <w:r>
              <w:rPr>
                <w:i/>
                <w:vertAlign w:val="subscript"/>
              </w:rPr>
              <w:t xml:space="preserve"> </w:t>
            </w:r>
            <w:r>
              <w:rPr>
                <w:i/>
              </w:rPr>
              <w:t>T</w:t>
            </w:r>
            <w:r w:rsidRPr="003005E9">
              <w:rPr>
                <w:i/>
                <w:vertAlign w:val="subscript"/>
              </w:rPr>
              <w:t>2</w:t>
            </w:r>
          </w:p>
        </w:tc>
        <w:tc>
          <w:tcPr>
            <w:tcW w:w="6946" w:type="dxa"/>
            <w:tcBorders>
              <w:top w:val="single" w:sz="4" w:space="0" w:color="auto"/>
              <w:left w:val="single" w:sz="4" w:space="0" w:color="auto"/>
              <w:bottom w:val="single" w:sz="4" w:space="0" w:color="auto"/>
              <w:right w:val="single" w:sz="4" w:space="0" w:color="auto"/>
            </w:tcBorders>
          </w:tcPr>
          <w:p w14:paraId="726DC4F3" w14:textId="52A59FF2" w:rsidR="005F68B7" w:rsidRDefault="005F68B7" w:rsidP="005F68B7">
            <w:pPr>
              <w:pStyle w:val="OWSTabletext"/>
            </w:pPr>
            <w:r>
              <w:t>Transmissivity for Aquifer-1, -2 [m</w:t>
            </w:r>
            <w:r w:rsidRPr="00976756">
              <w:rPr>
                <w:vertAlign w:val="superscript"/>
              </w:rPr>
              <w:t>2</w:t>
            </w:r>
            <w:r>
              <w:t>/d]</w:t>
            </w:r>
          </w:p>
        </w:tc>
      </w:tr>
      <w:tr w:rsidR="005F68B7" w14:paraId="1367FEFA" w14:textId="77777777" w:rsidTr="00A83A47">
        <w:tc>
          <w:tcPr>
            <w:tcW w:w="2268" w:type="dxa"/>
            <w:tcBorders>
              <w:top w:val="single" w:sz="4" w:space="0" w:color="auto"/>
              <w:left w:val="single" w:sz="4" w:space="0" w:color="auto"/>
              <w:bottom w:val="single" w:sz="4" w:space="0" w:color="auto"/>
              <w:right w:val="single" w:sz="4" w:space="0" w:color="auto"/>
            </w:tcBorders>
          </w:tcPr>
          <w:p w14:paraId="78DA526E" w14:textId="17AD88CD" w:rsidR="005F68B7" w:rsidRPr="003A1E2E" w:rsidRDefault="005F68B7" w:rsidP="005F68B7">
            <w:pPr>
              <w:pStyle w:val="OWSTabletext"/>
              <w:rPr>
                <w:i/>
              </w:rPr>
            </w:pPr>
            <w:r>
              <w:rPr>
                <w:i/>
              </w:rPr>
              <w:t>z</w:t>
            </w:r>
          </w:p>
        </w:tc>
        <w:tc>
          <w:tcPr>
            <w:tcW w:w="6946" w:type="dxa"/>
            <w:tcBorders>
              <w:top w:val="single" w:sz="4" w:space="0" w:color="auto"/>
              <w:left w:val="single" w:sz="4" w:space="0" w:color="auto"/>
              <w:bottom w:val="single" w:sz="4" w:space="0" w:color="auto"/>
              <w:right w:val="single" w:sz="4" w:space="0" w:color="auto"/>
            </w:tcBorders>
          </w:tcPr>
          <w:p w14:paraId="6A993A8C" w14:textId="03D7B980" w:rsidR="005F68B7" w:rsidRDefault="005F68B7" w:rsidP="005F68B7">
            <w:pPr>
              <w:pStyle w:val="OWSTabletext"/>
            </w:pPr>
            <w:r>
              <w:t>Thickness of the aquitard [m]</w:t>
            </w:r>
          </w:p>
        </w:tc>
      </w:tr>
    </w:tbl>
    <w:p w14:paraId="39DCA3B6" w14:textId="7573DFF1" w:rsidR="00A83A47" w:rsidRDefault="00A83A47" w:rsidP="00A83A47">
      <w:pPr>
        <w:spacing w:after="0"/>
        <w:sectPr w:rsidR="00A83A47">
          <w:pgSz w:w="11900" w:h="16840"/>
          <w:pgMar w:top="1393" w:right="1418" w:bottom="1418" w:left="1418" w:header="142" w:footer="676" w:gutter="0"/>
          <w:pgNumType w:fmt="lowerRoman"/>
          <w:cols w:space="720"/>
        </w:sectPr>
      </w:pPr>
    </w:p>
    <w:p w14:paraId="77DC12C8" w14:textId="77777777" w:rsidR="00CC5DBC" w:rsidRDefault="00CC5DBC" w:rsidP="00CC5DBC">
      <w:pPr>
        <w:pStyle w:val="Heading1"/>
      </w:pPr>
      <w:bookmarkStart w:id="466" w:name="_Toc452449141"/>
      <w:r>
        <w:t>Introduction</w:t>
      </w:r>
      <w:bookmarkEnd w:id="466"/>
    </w:p>
    <w:p w14:paraId="62C69A9C" w14:textId="44C7BE7C" w:rsidR="006C32E8" w:rsidRDefault="005C0075" w:rsidP="00287A00">
      <w:r>
        <w:t xml:space="preserve">Most literature related to </w:t>
      </w:r>
      <w:r w:rsidR="00102E6C">
        <w:t xml:space="preserve">impacts from </w:t>
      </w:r>
      <w:r>
        <w:t xml:space="preserve">coal seam gas or shale gas production centres around the impact of hydraulic fracturing on </w:t>
      </w:r>
      <w:r w:rsidR="00BD5ED7">
        <w:t xml:space="preserve">drinking water </w:t>
      </w:r>
      <w:r w:rsidR="00102E6C">
        <w:t xml:space="preserve">quality </w:t>
      </w:r>
      <w:r w:rsidR="006C32E8">
        <w:t xml:space="preserve">and </w:t>
      </w:r>
      <w:r>
        <w:t xml:space="preserve">the leakage of methane gas to surficial aquifers or to the land surface </w:t>
      </w:r>
      <w:r w:rsidR="008677F5">
        <w:fldChar w:fldCharType="begin"/>
      </w:r>
      <w:r w:rsidR="00A219A8">
        <w:instrText xml:space="preserve"> ADDIN EN.CITE &lt;EndNote&gt;&lt;Cite&gt;&lt;Author&gt;Vengosh&lt;/Author&gt;&lt;Year&gt;2014&lt;/Year&gt;&lt;RecNum&gt;2525&lt;/RecNum&gt;&lt;DisplayText&gt;[&lt;style face="italic"&gt;Vengosh et al.&lt;/style&gt;, 2014]&lt;/DisplayText&gt;&lt;record&gt;&lt;rec-number&gt;2525&lt;/rec-number&gt;&lt;foreign-keys&gt;&lt;key app="EN" db-id="sawsrtr20e9dd8ewz5evfttuv5erw5fa22tr"&gt;2525&lt;/key&gt;&lt;/foreign-keys&gt;&lt;ref-type name="Journal Article"&gt;17&lt;/ref-type&gt;&lt;contributors&gt;&lt;authors&gt;&lt;author&gt;Vengosh, Avner&lt;/author&gt;&lt;author&gt;Jackson, Robert B&lt;/author&gt;&lt;author&gt;Warner, Nathaniel&lt;/author&gt;&lt;author&gt;Darrah, Thomas H&lt;/author&gt;&lt;author&gt;Kondash, Andrew&lt;/author&gt;&lt;/authors&gt;&lt;/contributors&gt;&lt;titles&gt;&lt;title&gt;A critical review of the risks to water resources from unconventional shale gas development and hydraulic fracturing in the United States&lt;/title&gt;&lt;secondary-title&gt;Environmental science &amp;amp; technology&lt;/secondary-title&gt;&lt;/titles&gt;&lt;periodical&gt;&lt;full-title&gt;Environmental science &amp;amp; technology&lt;/full-title&gt;&lt;/periodical&gt;&lt;pages&gt;8334-8348&lt;/pages&gt;&lt;volume&gt;48&lt;/volume&gt;&lt;number&gt;15&lt;/number&gt;&lt;dates&gt;&lt;year&gt;2014&lt;/year&gt;&lt;/dates&gt;&lt;isbn&gt;0013-936X&lt;/isbn&gt;&lt;urls&gt;&lt;/urls&gt;&lt;/record&gt;&lt;/Cite&gt;&lt;/EndNote&gt;</w:instrText>
      </w:r>
      <w:r w:rsidR="008677F5">
        <w:fldChar w:fldCharType="separate"/>
      </w:r>
      <w:r w:rsidR="00A219A8">
        <w:rPr>
          <w:noProof/>
        </w:rPr>
        <w:t>[</w:t>
      </w:r>
      <w:hyperlink w:anchor="_ENREF_24" w:tooltip="Vengosh, 2014 #2525" w:history="1">
        <w:r w:rsidR="007A7BC9" w:rsidRPr="005759F3">
          <w:rPr>
            <w:noProof/>
          </w:rPr>
          <w:t>Vengosh et al.</w:t>
        </w:r>
        <w:r w:rsidR="007A7BC9">
          <w:rPr>
            <w:noProof/>
          </w:rPr>
          <w:t>, 2014</w:t>
        </w:r>
      </w:hyperlink>
      <w:r w:rsidR="00A219A8">
        <w:rPr>
          <w:noProof/>
        </w:rPr>
        <w:t>]</w:t>
      </w:r>
      <w:r w:rsidR="008677F5">
        <w:fldChar w:fldCharType="end"/>
      </w:r>
      <w:r w:rsidRPr="00390E3F">
        <w:t>.</w:t>
      </w:r>
      <w:r>
        <w:t xml:space="preserve"> </w:t>
      </w:r>
      <w:r w:rsidR="006C32E8">
        <w:t xml:space="preserve">Well failure has been identified as a possible pathway for migration of such contaminants from the hydrocarbon reservoir to shallower aquifers. </w:t>
      </w:r>
      <w:r w:rsidR="006C32E8" w:rsidRPr="00A219A8">
        <w:t xml:space="preserve">Reagan et al. </w:t>
      </w:r>
      <w:r w:rsidR="00A219A8" w:rsidRPr="00A219A8">
        <w:fldChar w:fldCharType="begin"/>
      </w:r>
      <w:r w:rsidR="00A219A8" w:rsidRPr="00A219A8">
        <w:instrText xml:space="preserve"> ADDIN EN.CITE &lt;EndNote&gt;&lt;Cite ExcludeAuth="1"&gt;&lt;Author&gt;Reagan&lt;/Author&gt;&lt;Year&gt;2015&lt;/Year&gt;&lt;RecNum&gt;2630&lt;/RecNum&gt;&lt;DisplayText&gt;[2015]&lt;/DisplayText&gt;&lt;record&gt;&lt;rec-number&gt;2630&lt;/rec-number&gt;&lt;foreign-keys&gt;&lt;key app="EN" db-id="sawsrtr20e9dd8ewz5evfttuv5erw5fa22tr"&gt;2630&lt;/key&gt;&lt;/foreign-keys&gt;&lt;ref-type name="Journal Article"&gt;17&lt;/ref-type&gt;&lt;contributors&gt;&lt;authors&gt;&lt;author&gt;Reagan, Matthew T&lt;/author&gt;&lt;author&gt;Moridis, George J&lt;/author&gt;&lt;author&gt;Keen, Noel D&lt;/author&gt;&lt;author&gt;Johnson, Jeffrey N&lt;/author&gt;&lt;/authors&gt;&lt;/contributors&gt;&lt;titles&gt;&lt;title&gt;Numerical simulation of the environmental impact of hydraulic fracturing of tight/shale gas reservoirs on near-surface groundwater: Background, base cases, shallow reservoirs, short-term gas, and water transport&lt;/title&gt;&lt;secondary-title&gt;Water Resources Research&lt;/secondary-title&gt;&lt;/titles&gt;&lt;periodical&gt;&lt;full-title&gt;Water Resources Research&lt;/full-title&gt;&lt;/periodical&gt;&lt;pages&gt;2543-2573&lt;/pages&gt;&lt;volume&gt;51&lt;/volume&gt;&lt;number&gt;4&lt;/number&gt;&lt;dates&gt;&lt;year&gt;2015&lt;/year&gt;&lt;/dates&gt;&lt;isbn&gt;1944-7973&lt;/isbn&gt;&lt;urls&gt;&lt;/urls&gt;&lt;/record&gt;&lt;/Cite&gt;&lt;/EndNote&gt;</w:instrText>
      </w:r>
      <w:r w:rsidR="00A219A8" w:rsidRPr="00A219A8">
        <w:fldChar w:fldCharType="separate"/>
      </w:r>
      <w:r w:rsidR="00A219A8" w:rsidRPr="00A219A8">
        <w:rPr>
          <w:noProof/>
        </w:rPr>
        <w:t>[</w:t>
      </w:r>
      <w:hyperlink w:anchor="_ENREF_20" w:tooltip="Reagan, 2015 #2630" w:history="1">
        <w:r w:rsidR="007A7BC9" w:rsidRPr="00A219A8">
          <w:rPr>
            <w:noProof/>
          </w:rPr>
          <w:t>2015</w:t>
        </w:r>
      </w:hyperlink>
      <w:r w:rsidR="00A219A8" w:rsidRPr="00A219A8">
        <w:rPr>
          <w:noProof/>
        </w:rPr>
        <w:t>]</w:t>
      </w:r>
      <w:r w:rsidR="00A219A8" w:rsidRPr="00A219A8">
        <w:fldChar w:fldCharType="end"/>
      </w:r>
      <w:r w:rsidR="006C32E8">
        <w:t xml:space="preserve"> identified four broad classes of plausible failure scenarios for upward migration of contaminants associated with hydraulic fracturing, which included (i) fractures from the stimulation operation intercept older abandoned unplugged wells (e.g. conventional oil and gas wells), and (ii) continuous and highly permeable pathways via poorly completed wells due to inadequate design, installation or weak cement. In a review of well integrity across the conventional and unconventional gas industry in the US, </w:t>
      </w:r>
      <w:r w:rsidR="006C32E8" w:rsidRPr="00A219A8">
        <w:t xml:space="preserve">Jackson </w:t>
      </w:r>
      <w:r w:rsidR="00A219A8" w:rsidRPr="00A219A8">
        <w:fldChar w:fldCharType="begin"/>
      </w:r>
      <w:r w:rsidR="00A219A8" w:rsidRPr="00A219A8">
        <w:instrText xml:space="preserve"> ADDIN EN.CITE &lt;EndNote&gt;&lt;Cite ExcludeAuth="1"&gt;&lt;Author&gt;Jackson&lt;/Author&gt;&lt;Year&gt;2014&lt;/Year&gt;&lt;RecNum&gt;2626&lt;/RecNum&gt;&lt;DisplayText&gt;[2014]&lt;/DisplayText&gt;&lt;record&gt;&lt;rec-number&gt;2626&lt;/rec-number&gt;&lt;foreign-keys&gt;&lt;key app="EN" db-id="sawsrtr20e9dd8ewz5evfttuv5erw5fa22tr"&gt;2626&lt;/key&gt;&lt;/foreign-keys&gt;&lt;ref-type name="Journal Article"&gt;17&lt;/ref-type&gt;&lt;contributors&gt;&lt;authors&gt;&lt;author&gt;Jackson, Robert B&lt;/author&gt;&lt;/authors&gt;&lt;/contributors&gt;&lt;titles&gt;&lt;title&gt;The integrity of oil and gas wells&lt;/title&gt;&lt;secondary-title&gt;Proceedings of the National Academy of Sciences&lt;/secondary-title&gt;&lt;/titles&gt;&lt;periodical&gt;&lt;full-title&gt;Proceedings of the National Academy of Sciences&lt;/full-title&gt;&lt;/periodical&gt;&lt;pages&gt;10902-10903&lt;/pages&gt;&lt;volume&gt;111&lt;/volume&gt;&lt;number&gt;30&lt;/number&gt;&lt;dates&gt;&lt;year&gt;2014&lt;/year&gt;&lt;/dates&gt;&lt;isbn&gt;0027-8424&lt;/isbn&gt;&lt;urls&gt;&lt;/urls&gt;&lt;/record&gt;&lt;/Cite&gt;&lt;/EndNote&gt;</w:instrText>
      </w:r>
      <w:r w:rsidR="00A219A8" w:rsidRPr="00A219A8">
        <w:fldChar w:fldCharType="separate"/>
      </w:r>
      <w:r w:rsidR="00A219A8" w:rsidRPr="00A219A8">
        <w:rPr>
          <w:noProof/>
        </w:rPr>
        <w:t>[</w:t>
      </w:r>
      <w:hyperlink w:anchor="_ENREF_10" w:tooltip="Jackson, 2014 #2626" w:history="1">
        <w:r w:rsidR="007A7BC9" w:rsidRPr="00A219A8">
          <w:rPr>
            <w:noProof/>
          </w:rPr>
          <w:t>2014</w:t>
        </w:r>
      </w:hyperlink>
      <w:r w:rsidR="00A219A8" w:rsidRPr="00A219A8">
        <w:rPr>
          <w:noProof/>
        </w:rPr>
        <w:t>]</w:t>
      </w:r>
      <w:r w:rsidR="00A219A8" w:rsidRPr="00A219A8">
        <w:fldChar w:fldCharType="end"/>
      </w:r>
      <w:r w:rsidR="006C32E8" w:rsidRPr="00A219A8">
        <w:t xml:space="preserve"> illustrates</w:t>
      </w:r>
      <w:r w:rsidR="006C32E8">
        <w:t xml:space="preserve"> the severity of well integrity failure, especially in Pennsylvania where since 2005 the Department of Environmental Protection has confirmed more than 100 cases of well-related groundwater contamination. According to </w:t>
      </w:r>
      <w:r w:rsidR="00A219A8" w:rsidRPr="00A219A8">
        <w:t xml:space="preserve">Jackson </w:t>
      </w:r>
      <w:r w:rsidR="00A219A8" w:rsidRPr="00A219A8">
        <w:fldChar w:fldCharType="begin"/>
      </w:r>
      <w:r w:rsidR="00A219A8" w:rsidRPr="00A219A8">
        <w:instrText xml:space="preserve"> ADDIN EN.CITE &lt;EndNote&gt;&lt;Cite ExcludeAuth="1"&gt;&lt;Author&gt;Jackson&lt;/Author&gt;&lt;Year&gt;2014&lt;/Year&gt;&lt;RecNum&gt;2626&lt;/RecNum&gt;&lt;DisplayText&gt;[2014]&lt;/DisplayText&gt;&lt;record&gt;&lt;rec-number&gt;2626&lt;/rec-number&gt;&lt;foreign-keys&gt;&lt;key app="EN" db-id="sawsrtr20e9dd8ewz5evfttuv5erw5fa22tr"&gt;2626&lt;/key&gt;&lt;/foreign-keys&gt;&lt;ref-type name="Journal Article"&gt;17&lt;/ref-type&gt;&lt;contributors&gt;&lt;authors&gt;&lt;author&gt;Jackson, Robert B&lt;/author&gt;&lt;/authors&gt;&lt;/contributors&gt;&lt;titles&gt;&lt;title&gt;The integrity of oil and gas wells&lt;/title&gt;&lt;secondary-title&gt;Proceedings of the National Academy of Sciences&lt;/secondary-title&gt;&lt;/titles&gt;&lt;periodical&gt;&lt;full-title&gt;Proceedings of the National Academy of Sciences&lt;/full-title&gt;&lt;/periodical&gt;&lt;pages&gt;10902-10903&lt;/pages&gt;&lt;volume&gt;111&lt;/volume&gt;&lt;number&gt;30&lt;/number&gt;&lt;dates&gt;&lt;year&gt;2014&lt;/year&gt;&lt;/dates&gt;&lt;isbn&gt;0027-8424&lt;/isbn&gt;&lt;urls&gt;&lt;/urls&gt;&lt;/record&gt;&lt;/Cite&gt;&lt;/EndNote&gt;</w:instrText>
      </w:r>
      <w:r w:rsidR="00A219A8" w:rsidRPr="00A219A8">
        <w:fldChar w:fldCharType="separate"/>
      </w:r>
      <w:r w:rsidR="00A219A8" w:rsidRPr="00A219A8">
        <w:rPr>
          <w:noProof/>
        </w:rPr>
        <w:t>[</w:t>
      </w:r>
      <w:hyperlink w:anchor="_ENREF_10" w:tooltip="Jackson, 2014 #2626" w:history="1">
        <w:r w:rsidR="007A7BC9" w:rsidRPr="00A219A8">
          <w:rPr>
            <w:noProof/>
          </w:rPr>
          <w:t>2014</w:t>
        </w:r>
      </w:hyperlink>
      <w:r w:rsidR="00A219A8" w:rsidRPr="00A219A8">
        <w:rPr>
          <w:noProof/>
        </w:rPr>
        <w:t>]</w:t>
      </w:r>
      <w:r w:rsidR="00A219A8" w:rsidRPr="00A219A8">
        <w:fldChar w:fldCharType="end"/>
      </w:r>
      <w:r w:rsidR="00A219A8">
        <w:t xml:space="preserve">, </w:t>
      </w:r>
      <w:r w:rsidR="006C32E8">
        <w:t>w</w:t>
      </w:r>
      <w:r w:rsidR="006C32E8" w:rsidRPr="007D4D87">
        <w:t>ell integrity is the key to minimizing many of the risks associated with hydraulic fracturing and unconventional resource extraction.</w:t>
      </w:r>
      <w:r w:rsidR="006C32E8">
        <w:t xml:space="preserve"> Finally, </w:t>
      </w:r>
      <w:r w:rsidR="00A219A8" w:rsidRPr="00A219A8">
        <w:t xml:space="preserve">Jackson </w:t>
      </w:r>
      <w:r w:rsidR="00A219A8" w:rsidRPr="00A219A8">
        <w:fldChar w:fldCharType="begin"/>
      </w:r>
      <w:r w:rsidR="00A219A8" w:rsidRPr="00A219A8">
        <w:instrText xml:space="preserve"> ADDIN EN.CITE &lt;EndNote&gt;&lt;Cite ExcludeAuth="1"&gt;&lt;Author&gt;Jackson&lt;/Author&gt;&lt;Year&gt;2014&lt;/Year&gt;&lt;RecNum&gt;2626&lt;/RecNum&gt;&lt;DisplayText&gt;[2014]&lt;/DisplayText&gt;&lt;record&gt;&lt;rec-number&gt;2626&lt;/rec-number&gt;&lt;foreign-keys&gt;&lt;key app="EN" db-id="sawsrtr20e9dd8ewz5evfttuv5erw5fa22tr"&gt;2626&lt;/key&gt;&lt;/foreign-keys&gt;&lt;ref-type name="Journal Article"&gt;17&lt;/ref-type&gt;&lt;contributors&gt;&lt;authors&gt;&lt;author&gt;Jackson, Robert B&lt;/author&gt;&lt;/authors&gt;&lt;/contributors&gt;&lt;titles&gt;&lt;title&gt;The integrity of oil and gas wells&lt;/title&gt;&lt;secondary-title&gt;Proceedings of the National Academy of Sciences&lt;/secondary-title&gt;&lt;/titles&gt;&lt;periodical&gt;&lt;full-title&gt;Proceedings of the National Academy of Sciences&lt;/full-title&gt;&lt;/periodical&gt;&lt;pages&gt;10902-10903&lt;/pages&gt;&lt;volume&gt;111&lt;/volume&gt;&lt;number&gt;30&lt;/number&gt;&lt;dates&gt;&lt;year&gt;2014&lt;/year&gt;&lt;/dates&gt;&lt;isbn&gt;0027-8424&lt;/isbn&gt;&lt;urls&gt;&lt;/urls&gt;&lt;/record&gt;&lt;/Cite&gt;&lt;/EndNote&gt;</w:instrText>
      </w:r>
      <w:r w:rsidR="00A219A8" w:rsidRPr="00A219A8">
        <w:fldChar w:fldCharType="separate"/>
      </w:r>
      <w:r w:rsidR="00A219A8" w:rsidRPr="00A219A8">
        <w:rPr>
          <w:noProof/>
        </w:rPr>
        <w:t>[</w:t>
      </w:r>
      <w:hyperlink w:anchor="_ENREF_10" w:tooltip="Jackson, 2014 #2626" w:history="1">
        <w:r w:rsidR="007A7BC9" w:rsidRPr="00A219A8">
          <w:rPr>
            <w:noProof/>
          </w:rPr>
          <w:t>2014</w:t>
        </w:r>
      </w:hyperlink>
      <w:r w:rsidR="00A219A8" w:rsidRPr="00A219A8">
        <w:rPr>
          <w:noProof/>
        </w:rPr>
        <w:t>]</w:t>
      </w:r>
      <w:r w:rsidR="00A219A8" w:rsidRPr="00A219A8">
        <w:fldChar w:fldCharType="end"/>
      </w:r>
      <w:r w:rsidR="00A219A8">
        <w:t xml:space="preserve"> </w:t>
      </w:r>
      <w:r w:rsidR="006C32E8">
        <w:t xml:space="preserve">identifies the need for </w:t>
      </w:r>
      <w:r w:rsidR="006C32E8" w:rsidRPr="00F47F96">
        <w:t>much more information on the structural integrity of</w:t>
      </w:r>
      <w:r w:rsidR="006C32E8">
        <w:t xml:space="preserve"> </w:t>
      </w:r>
      <w:r w:rsidR="006C32E8" w:rsidRPr="00F47F96">
        <w:t>older producing</w:t>
      </w:r>
      <w:r w:rsidR="006C32E8">
        <w:t xml:space="preserve"> </w:t>
      </w:r>
      <w:r w:rsidR="006C32E8" w:rsidRPr="00F47F96">
        <w:t xml:space="preserve">wells and </w:t>
      </w:r>
      <w:r w:rsidR="006C32E8">
        <w:t>abandoned wells.</w:t>
      </w:r>
    </w:p>
    <w:p w14:paraId="560040E6" w14:textId="78A8163D" w:rsidR="006C32E8" w:rsidRDefault="00102E6C" w:rsidP="00287A00">
      <w:r w:rsidRPr="00A219A8">
        <w:t xml:space="preserve">Dusseault and Jackson </w:t>
      </w:r>
      <w:r w:rsidR="00A219A8" w:rsidRPr="00A219A8">
        <w:fldChar w:fldCharType="begin"/>
      </w:r>
      <w:r w:rsidR="00A219A8" w:rsidRPr="00A219A8">
        <w:instrText xml:space="preserve"> ADDIN EN.CITE &lt;EndNote&gt;&lt;Cite ExcludeAuth="1"&gt;&lt;Author&gt;Dusseault&lt;/Author&gt;&lt;Year&gt;2014&lt;/Year&gt;&lt;RecNum&gt;2625&lt;/RecNum&gt;&lt;DisplayText&gt;[2014]&lt;/DisplayText&gt;&lt;record&gt;&lt;rec-number&gt;2625&lt;/rec-number&gt;&lt;foreign-keys&gt;&lt;key app="EN" db-id="sawsrtr20e9dd8ewz5evfttuv5erw5fa22tr"&gt;2625&lt;/key&gt;&lt;/foreign-keys&gt;&lt;ref-type name="Journal Article"&gt;17&lt;/ref-type&gt;&lt;contributors&gt;&lt;authors&gt;&lt;author&gt;Dusseault, Maurice&lt;/author&gt;&lt;author&gt;Jackson, Richard&lt;/author&gt;&lt;/authors&gt;&lt;/contributors&gt;&lt;titles&gt;&lt;title&gt;Seepage pathway assessment for natural gas to shallow groundwater during well stimulation, in production, and after abandonment&lt;/title&gt;&lt;secondary-title&gt;Environmental Geosciences&lt;/secondary-title&gt;&lt;/titles&gt;&lt;periodical&gt;&lt;full-title&gt;Environmental Geosciences&lt;/full-title&gt;&lt;/periodical&gt;&lt;pages&gt;107-126&lt;/pages&gt;&lt;volume&gt;21&lt;/volume&gt;&lt;number&gt;3&lt;/number&gt;&lt;dates&gt;&lt;year&gt;2014&lt;/year&gt;&lt;/dates&gt;&lt;isbn&gt;1075-9565&lt;/isbn&gt;&lt;urls&gt;&lt;/urls&gt;&lt;/record&gt;&lt;/Cite&gt;&lt;/EndNote&gt;</w:instrText>
      </w:r>
      <w:r w:rsidR="00A219A8" w:rsidRPr="00A219A8">
        <w:fldChar w:fldCharType="separate"/>
      </w:r>
      <w:r w:rsidR="00A219A8" w:rsidRPr="00A219A8">
        <w:rPr>
          <w:noProof/>
        </w:rPr>
        <w:t>[</w:t>
      </w:r>
      <w:hyperlink w:anchor="_ENREF_5" w:tooltip="Dusseault, 2014 #2625" w:history="1">
        <w:r w:rsidR="007A7BC9" w:rsidRPr="00A219A8">
          <w:rPr>
            <w:noProof/>
          </w:rPr>
          <w:t>2014</w:t>
        </w:r>
      </w:hyperlink>
      <w:r w:rsidR="00A219A8" w:rsidRPr="00A219A8">
        <w:rPr>
          <w:noProof/>
        </w:rPr>
        <w:t>]</w:t>
      </w:r>
      <w:r w:rsidR="00A219A8" w:rsidRPr="00A219A8">
        <w:fldChar w:fldCharType="end"/>
      </w:r>
      <w:r>
        <w:t xml:space="preserve"> investigated the possibility of hydraulic fracturing fluids moving upwards to shallow groundwater. By considering several factors that inhibit uncontrolled upward migration of induced fractures, </w:t>
      </w:r>
      <w:r w:rsidR="00A219A8" w:rsidRPr="00A219A8">
        <w:t xml:space="preserve">Dusseault and Jackson </w:t>
      </w:r>
      <w:r w:rsidR="00A219A8" w:rsidRPr="00A219A8">
        <w:fldChar w:fldCharType="begin"/>
      </w:r>
      <w:r w:rsidR="00A219A8" w:rsidRPr="00A219A8">
        <w:instrText xml:space="preserve"> ADDIN EN.CITE &lt;EndNote&gt;&lt;Cite ExcludeAuth="1"&gt;&lt;Author&gt;Dusseault&lt;/Author&gt;&lt;Year&gt;2014&lt;/Year&gt;&lt;RecNum&gt;2625&lt;/RecNum&gt;&lt;DisplayText&gt;[2014]&lt;/DisplayText&gt;&lt;record&gt;&lt;rec-number&gt;2625&lt;/rec-number&gt;&lt;foreign-keys&gt;&lt;key app="EN" db-id="sawsrtr20e9dd8ewz5evfttuv5erw5fa22tr"&gt;2625&lt;/key&gt;&lt;/foreign-keys&gt;&lt;ref-type name="Journal Article"&gt;17&lt;/ref-type&gt;&lt;contributors&gt;&lt;authors&gt;&lt;author&gt;Dusseault, Maurice&lt;/author&gt;&lt;author&gt;Jackson, Richard&lt;/author&gt;&lt;/authors&gt;&lt;/contributors&gt;&lt;titles&gt;&lt;title&gt;Seepage pathway assessment for natural gas to shallow groundwater during well stimulation, in production, and after abandonment&lt;/title&gt;&lt;secondary-title&gt;Environmental Geosciences&lt;/secondary-title&gt;&lt;/titles&gt;&lt;periodical&gt;&lt;full-title&gt;Environmental Geosciences&lt;/full-title&gt;&lt;/periodical&gt;&lt;pages&gt;107-126&lt;/pages&gt;&lt;volume&gt;21&lt;/volume&gt;&lt;number&gt;3&lt;/number&gt;&lt;dates&gt;&lt;year&gt;2014&lt;/year&gt;&lt;/dates&gt;&lt;isbn&gt;1075-9565&lt;/isbn&gt;&lt;urls&gt;&lt;/urls&gt;&lt;/record&gt;&lt;/Cite&gt;&lt;/EndNote&gt;</w:instrText>
      </w:r>
      <w:r w:rsidR="00A219A8" w:rsidRPr="00A219A8">
        <w:fldChar w:fldCharType="separate"/>
      </w:r>
      <w:r w:rsidR="00A219A8" w:rsidRPr="00A219A8">
        <w:rPr>
          <w:noProof/>
        </w:rPr>
        <w:t>[</w:t>
      </w:r>
      <w:hyperlink w:anchor="_ENREF_5" w:tooltip="Dusseault, 2014 #2625" w:history="1">
        <w:r w:rsidR="007A7BC9" w:rsidRPr="00A219A8">
          <w:rPr>
            <w:noProof/>
          </w:rPr>
          <w:t>2014</w:t>
        </w:r>
      </w:hyperlink>
      <w:r w:rsidR="00A219A8" w:rsidRPr="00A219A8">
        <w:rPr>
          <w:noProof/>
        </w:rPr>
        <w:t>]</w:t>
      </w:r>
      <w:r w:rsidR="00A219A8" w:rsidRPr="00A219A8">
        <w:fldChar w:fldCharType="end"/>
      </w:r>
      <w:r w:rsidR="00A219A8">
        <w:t xml:space="preserve"> </w:t>
      </w:r>
      <w:r w:rsidRPr="00A836C9">
        <w:t>conclude that the migration of hydraulic fracturing or formation fluids (including natural gas) to the surface as a result of deep hydraulic fracturing of typical shale-gas reservoirs appears most unlikely.</w:t>
      </w:r>
      <w:r>
        <w:t xml:space="preserve"> </w:t>
      </w:r>
      <w:r w:rsidRPr="00A836C9">
        <w:t>They do recognise</w:t>
      </w:r>
      <w:r>
        <w:t>,</w:t>
      </w:r>
      <w:r w:rsidRPr="00A836C9">
        <w:t xml:space="preserve"> however</w:t>
      </w:r>
      <w:r>
        <w:t>,</w:t>
      </w:r>
      <w:r w:rsidRPr="00A836C9">
        <w:t xml:space="preserve"> that the real subsurface threat to shallow groundwater contamination is likely </w:t>
      </w:r>
      <w:r>
        <w:t xml:space="preserve">related </w:t>
      </w:r>
      <w:r w:rsidRPr="00A836C9">
        <w:t xml:space="preserve">to </w:t>
      </w:r>
      <w:r>
        <w:t>a</w:t>
      </w:r>
      <w:r w:rsidRPr="00A836C9">
        <w:t xml:space="preserve"> combination of factors involving the characteristics of annular cement seals of production wells and the presence of natural gas in intermediate zones between shallow aquifers and the </w:t>
      </w:r>
      <w:r>
        <w:t xml:space="preserve">target </w:t>
      </w:r>
      <w:r w:rsidRPr="00A836C9">
        <w:t>shale-gas formations.</w:t>
      </w:r>
      <w:r>
        <w:t xml:space="preserve"> </w:t>
      </w:r>
      <w:r w:rsidR="00A219A8" w:rsidRPr="00A219A8">
        <w:t xml:space="preserve">Dusseault and Jackson </w:t>
      </w:r>
      <w:r w:rsidR="00A219A8" w:rsidRPr="00A219A8">
        <w:fldChar w:fldCharType="begin"/>
      </w:r>
      <w:r w:rsidR="00A219A8" w:rsidRPr="00A219A8">
        <w:instrText xml:space="preserve"> ADDIN EN.CITE &lt;EndNote&gt;&lt;Cite ExcludeAuth="1"&gt;&lt;Author&gt;Dusseault&lt;/Author&gt;&lt;Year&gt;2014&lt;/Year&gt;&lt;RecNum&gt;2625&lt;/RecNum&gt;&lt;DisplayText&gt;[2014]&lt;/DisplayText&gt;&lt;record&gt;&lt;rec-number&gt;2625&lt;/rec-number&gt;&lt;foreign-keys&gt;&lt;key app="EN" db-id="sawsrtr20e9dd8ewz5evfttuv5erw5fa22tr"&gt;2625&lt;/key&gt;&lt;/foreign-keys&gt;&lt;ref-type name="Journal Article"&gt;17&lt;/ref-type&gt;&lt;contributors&gt;&lt;authors&gt;&lt;author&gt;Dusseault, Maurice&lt;/author&gt;&lt;author&gt;Jackson, Richard&lt;/author&gt;&lt;/authors&gt;&lt;/contributors&gt;&lt;titles&gt;&lt;title&gt;Seepage pathway assessment for natural gas to shallow groundwater during well stimulation, in production, and after abandonment&lt;/title&gt;&lt;secondary-title&gt;Environmental Geosciences&lt;/secondary-title&gt;&lt;/titles&gt;&lt;periodical&gt;&lt;full-title&gt;Environmental Geosciences&lt;/full-title&gt;&lt;/periodical&gt;&lt;pages&gt;107-126&lt;/pages&gt;&lt;volume&gt;21&lt;/volume&gt;&lt;number&gt;3&lt;/number&gt;&lt;dates&gt;&lt;year&gt;2014&lt;/year&gt;&lt;/dates&gt;&lt;isbn&gt;1075-9565&lt;/isbn&gt;&lt;urls&gt;&lt;/urls&gt;&lt;/record&gt;&lt;/Cite&gt;&lt;/EndNote&gt;</w:instrText>
      </w:r>
      <w:r w:rsidR="00A219A8" w:rsidRPr="00A219A8">
        <w:fldChar w:fldCharType="separate"/>
      </w:r>
      <w:r w:rsidR="00A219A8" w:rsidRPr="00A219A8">
        <w:rPr>
          <w:noProof/>
        </w:rPr>
        <w:t>[</w:t>
      </w:r>
      <w:hyperlink w:anchor="_ENREF_5" w:tooltip="Dusseault, 2014 #2625" w:history="1">
        <w:r w:rsidR="007A7BC9" w:rsidRPr="00A219A8">
          <w:rPr>
            <w:noProof/>
          </w:rPr>
          <w:t>2014</w:t>
        </w:r>
      </w:hyperlink>
      <w:r w:rsidR="00A219A8" w:rsidRPr="00A219A8">
        <w:rPr>
          <w:noProof/>
        </w:rPr>
        <w:t>]</w:t>
      </w:r>
      <w:r w:rsidR="00A219A8" w:rsidRPr="00A219A8">
        <w:fldChar w:fldCharType="end"/>
      </w:r>
      <w:r w:rsidR="00A219A8">
        <w:t xml:space="preserve"> </w:t>
      </w:r>
      <w:r>
        <w:t xml:space="preserve">recognise that </w:t>
      </w:r>
      <w:r w:rsidRPr="00DC7512">
        <w:t>the seepage pathway</w:t>
      </w:r>
      <w:r w:rsidR="00B66D97">
        <w:t>s</w:t>
      </w:r>
      <w:r w:rsidRPr="00DC7512">
        <w:t xml:space="preserve"> </w:t>
      </w:r>
      <w:r w:rsidR="00B66D97">
        <w:t xml:space="preserve">presenting </w:t>
      </w:r>
      <w:r w:rsidRPr="00DC7512">
        <w:t xml:space="preserve">greatest risk </w:t>
      </w:r>
      <w:r w:rsidR="00B66D97">
        <w:t xml:space="preserve">of </w:t>
      </w:r>
      <w:r w:rsidRPr="00DC7512">
        <w:t>hydraulic fracture fluid</w:t>
      </w:r>
      <w:r w:rsidR="00B66D97">
        <w:t xml:space="preserve"> migration</w:t>
      </w:r>
      <w:r w:rsidRPr="00DC7512">
        <w:t xml:space="preserve"> </w:t>
      </w:r>
      <w:r>
        <w:t xml:space="preserve">are </w:t>
      </w:r>
      <w:r w:rsidR="00B66D97">
        <w:t>those associated with</w:t>
      </w:r>
      <w:r w:rsidRPr="00DC7512">
        <w:t xml:space="preserve"> decommissioned wells intersect</w:t>
      </w:r>
      <w:r>
        <w:t>ing</w:t>
      </w:r>
      <w:r w:rsidRPr="00DC7512">
        <w:t xml:space="preserve"> the hydraulic fracturing volume. </w:t>
      </w:r>
      <w:r>
        <w:t>Indeed, t</w:t>
      </w:r>
      <w:r w:rsidRPr="00DC7512">
        <w:t>he most serious fluid communication risk during hydraulic fracturing is the possible intersection</w:t>
      </w:r>
      <w:r>
        <w:t xml:space="preserve"> </w:t>
      </w:r>
      <w:r w:rsidRPr="00DC7512">
        <w:t xml:space="preserve">of the fractured zone with offset wellbores </w:t>
      </w:r>
      <w:r>
        <w:t xml:space="preserve">(e.g. old production gas wells) </w:t>
      </w:r>
      <w:r w:rsidRPr="00DC7512">
        <w:t xml:space="preserve">that pass through the </w:t>
      </w:r>
      <w:r>
        <w:t>stimulated rock volume</w:t>
      </w:r>
      <w:r w:rsidRPr="00DC7512">
        <w:t xml:space="preserve"> created by the hydraulic</w:t>
      </w:r>
      <w:r>
        <w:t xml:space="preserve"> </w:t>
      </w:r>
      <w:r w:rsidRPr="00DC7512">
        <w:t xml:space="preserve">fractures. If the quality of the cement and completion </w:t>
      </w:r>
      <w:r>
        <w:t>of such</w:t>
      </w:r>
      <w:r w:rsidRPr="00DC7512">
        <w:t xml:space="preserve"> offset well</w:t>
      </w:r>
      <w:r>
        <w:t>s</w:t>
      </w:r>
      <w:r w:rsidRPr="00DC7512">
        <w:t xml:space="preserve"> is poor, fracturing fluids </w:t>
      </w:r>
      <w:r>
        <w:t xml:space="preserve">that moved </w:t>
      </w:r>
      <w:r w:rsidRPr="00DC7512">
        <w:t xml:space="preserve">laterally to the offset vertical cased wells could </w:t>
      </w:r>
      <w:r>
        <w:t xml:space="preserve">then </w:t>
      </w:r>
      <w:r w:rsidRPr="00DC7512">
        <w:t>feasibly move upward along the annulus between the casing and the rock.</w:t>
      </w:r>
      <w:r>
        <w:t xml:space="preserve"> Examples </w:t>
      </w:r>
      <w:r w:rsidR="00B66D97">
        <w:t>of</w:t>
      </w:r>
      <w:r>
        <w:t xml:space="preserve"> inter-wellbore communication have been reported for the Barnett Shale of Texas (approximately 200 m distance between wells), Alberta (maximum distance up to 2400 m), and British Columbia (communication reported up to 4100 m distance).</w:t>
      </w:r>
    </w:p>
    <w:p w14:paraId="50C96E2D" w14:textId="00271BF0" w:rsidR="005C0075" w:rsidRDefault="005C0075" w:rsidP="005C0075">
      <w:r>
        <w:t xml:space="preserve">In </w:t>
      </w:r>
      <w:r w:rsidRPr="00390E3F">
        <w:t>CO</w:t>
      </w:r>
      <w:r w:rsidRPr="00390E3F">
        <w:rPr>
          <w:vertAlign w:val="subscript"/>
        </w:rPr>
        <w:t>2</w:t>
      </w:r>
      <w:r w:rsidRPr="00390E3F">
        <w:t xml:space="preserve"> sequestration</w:t>
      </w:r>
      <w:r w:rsidRPr="005C0075">
        <w:t xml:space="preserve"> </w:t>
      </w:r>
      <w:r>
        <w:t xml:space="preserve">research </w:t>
      </w:r>
      <w:r w:rsidR="00102E6C">
        <w:t xml:space="preserve">concerns are </w:t>
      </w:r>
      <w:r>
        <w:t xml:space="preserve">usually </w:t>
      </w:r>
      <w:r w:rsidR="00102E6C">
        <w:t>around</w:t>
      </w:r>
      <w:r>
        <w:t xml:space="preserve"> the </w:t>
      </w:r>
      <w:r w:rsidR="00102E6C">
        <w:t>containment capacity of the cap rock</w:t>
      </w:r>
      <w:r w:rsidR="00886C05">
        <w:t xml:space="preserve"> which controls </w:t>
      </w:r>
      <w:r w:rsidRPr="00390E3F">
        <w:t>loss of CO</w:t>
      </w:r>
      <w:r w:rsidRPr="00390E3F">
        <w:rPr>
          <w:vertAlign w:val="subscript"/>
        </w:rPr>
        <w:t xml:space="preserve">2 </w:t>
      </w:r>
      <w:r w:rsidR="00886C05">
        <w:rPr>
          <w:vertAlign w:val="subscript"/>
        </w:rPr>
        <w:t xml:space="preserve">, </w:t>
      </w:r>
      <w:r w:rsidRPr="00390E3F">
        <w:t xml:space="preserve">rather than migration of water </w:t>
      </w:r>
      <w:r w:rsidR="00102E6C">
        <w:t xml:space="preserve">potentially causing drinking water quality issues </w:t>
      </w:r>
      <w:r w:rsidR="008677F5">
        <w:fldChar w:fldCharType="begin"/>
      </w:r>
      <w:r w:rsidR="00A219A8">
        <w:instrText xml:space="preserve"> ADDIN EN.CITE &lt;EndNote&gt;&lt;Cite&gt;&lt;Author&gt;Lewicki&lt;/Author&gt;&lt;Year&gt;2007&lt;/Year&gt;&lt;RecNum&gt;2524&lt;/RecNum&gt;&lt;DisplayText&gt;[&lt;style face="italic"&gt;Lewicki et al.&lt;/style&gt;, 2007; &lt;style face="italic"&gt;Nordbotten et al.&lt;/style&gt;, 2008]&lt;/DisplayText&gt;&lt;record&gt;&lt;rec-number&gt;2524&lt;/rec-number&gt;&lt;foreign-keys&gt;&lt;key app="EN" db-id="sawsrtr20e9dd8ewz5evfttuv5erw5fa22tr"&gt;2524&lt;/key&gt;&lt;/foreign-keys&gt;&lt;ref-type name="Journal Article"&gt;17&lt;/ref-type&gt;&lt;contributors&gt;&lt;authors&gt;&lt;author&gt;Lewicki, Jennifer L&lt;/author&gt;&lt;author&gt;Birkholzer, Jens&lt;/author&gt;&lt;author&gt;Tsang, Chin-Fu&lt;/author&gt;&lt;/authors&gt;&lt;/contributors&gt;&lt;titles&gt;&lt;title&gt;Natural and industrial analogues for leakage of CO2 from storage reservoirs: identification of features, events, and processes and lessons learned&lt;/title&gt;&lt;secondary-title&gt;Environmental Geology&lt;/secondary-title&gt;&lt;/titles&gt;&lt;periodical&gt;&lt;full-title&gt;Environmental Geology&lt;/full-title&gt;&lt;/periodical&gt;&lt;pages&gt;457-467&lt;/pages&gt;&lt;volume&gt;52&lt;/volume&gt;&lt;number&gt;3&lt;/number&gt;&lt;dates&gt;&lt;year&gt;2007&lt;/year&gt;&lt;/dates&gt;&lt;isbn&gt;0943-0105&lt;/isbn&gt;&lt;urls&gt;&lt;/urls&gt;&lt;/record&gt;&lt;/Cite&gt;&lt;Cite&gt;&lt;Author&gt;Nordbotten&lt;/Author&gt;&lt;Year&gt;2008&lt;/Year&gt;&lt;RecNum&gt;2624&lt;/RecNum&gt;&lt;record&gt;&lt;rec-number&gt;2624&lt;/rec-number&gt;&lt;foreign-keys&gt;&lt;key app="EN" db-id="sawsrtr20e9dd8ewz5evfttuv5erw5fa22tr"&gt;2624&lt;/key&gt;&lt;/foreign-keys&gt;&lt;ref-type name="Journal Article"&gt;17&lt;/ref-type&gt;&lt;contributors&gt;&lt;authors&gt;&lt;author&gt;Nordbotten, Jan M&lt;/author&gt;&lt;author&gt;Kavetski, Dmitri&lt;/author&gt;&lt;author&gt;Celia, Michael A&lt;/author&gt;&lt;author&gt;Bachu, Stefan&lt;/author&gt;&lt;/authors&gt;&lt;/contributors&gt;&lt;titles&gt;&lt;title&gt;Model for CO2 leakage including multiple geological layers and multiple leaky wells&lt;/title&gt;&lt;secondary-title&gt;Environmental science &amp;amp; technology&lt;/secondary-title&gt;&lt;/titles&gt;&lt;periodical&gt;&lt;full-title&gt;Environmental science &amp;amp; technology&lt;/full-title&gt;&lt;/periodical&gt;&lt;pages&gt;743-749&lt;/pages&gt;&lt;volume&gt;43&lt;/volume&gt;&lt;number&gt;3&lt;/number&gt;&lt;dates&gt;&lt;year&gt;2008&lt;/year&gt;&lt;/dates&gt;&lt;isbn&gt;0013-936X&lt;/isbn&gt;&lt;urls&gt;&lt;/urls&gt;&lt;/record&gt;&lt;/Cite&gt;&lt;/EndNote&gt;</w:instrText>
      </w:r>
      <w:r w:rsidR="008677F5">
        <w:fldChar w:fldCharType="separate"/>
      </w:r>
      <w:r w:rsidR="00A219A8">
        <w:rPr>
          <w:noProof/>
        </w:rPr>
        <w:t>[</w:t>
      </w:r>
      <w:hyperlink w:anchor="_ENREF_12" w:tooltip="Lewicki, 2007 #2524" w:history="1">
        <w:r w:rsidR="007A7BC9" w:rsidRPr="00FB755D">
          <w:rPr>
            <w:noProof/>
          </w:rPr>
          <w:t>Lewicki et al.</w:t>
        </w:r>
        <w:r w:rsidR="007A7BC9">
          <w:rPr>
            <w:noProof/>
          </w:rPr>
          <w:t>, 2007</w:t>
        </w:r>
      </w:hyperlink>
      <w:r w:rsidR="00A219A8">
        <w:rPr>
          <w:noProof/>
        </w:rPr>
        <w:t xml:space="preserve">; </w:t>
      </w:r>
      <w:hyperlink w:anchor="_ENREF_17" w:tooltip="Nordbotten, 2008 #2624" w:history="1">
        <w:r w:rsidR="007A7BC9" w:rsidRPr="00FB755D">
          <w:rPr>
            <w:noProof/>
          </w:rPr>
          <w:t>Nordbotten et al.</w:t>
        </w:r>
        <w:r w:rsidR="007A7BC9">
          <w:rPr>
            <w:noProof/>
          </w:rPr>
          <w:t>, 2008</w:t>
        </w:r>
      </w:hyperlink>
      <w:r w:rsidR="00A219A8">
        <w:rPr>
          <w:noProof/>
        </w:rPr>
        <w:t>]</w:t>
      </w:r>
      <w:r w:rsidR="008677F5">
        <w:fldChar w:fldCharType="end"/>
      </w:r>
      <w:r w:rsidR="00EF005C">
        <w:t>.</w:t>
      </w:r>
      <w:r>
        <w:t xml:space="preserve"> Few studies have considered the impacts of </w:t>
      </w:r>
      <w:r w:rsidR="00886C05">
        <w:t xml:space="preserve">inter-aquifer leakage on </w:t>
      </w:r>
      <w:r>
        <w:t xml:space="preserve">groundwater flow </w:t>
      </w:r>
      <w:r w:rsidR="00886C05">
        <w:t xml:space="preserve">and the groundwater balance </w:t>
      </w:r>
      <w:r>
        <w:t xml:space="preserve">due to </w:t>
      </w:r>
      <w:r w:rsidR="00886C05">
        <w:t>seepage pathways</w:t>
      </w:r>
      <w:r>
        <w:t xml:space="preserve"> </w:t>
      </w:r>
      <w:r w:rsidR="00886C05">
        <w:t xml:space="preserve">caused by </w:t>
      </w:r>
      <w:r>
        <w:t xml:space="preserve">unconventional gas </w:t>
      </w:r>
      <w:r w:rsidR="00886C05">
        <w:t>well</w:t>
      </w:r>
      <w:r w:rsidR="00B66D97">
        <w:t>s</w:t>
      </w:r>
      <w:r w:rsidR="00886C05">
        <w:t xml:space="preserve">, conventional oil and gas wells re-purposed for groundwater extraction, </w:t>
      </w:r>
      <w:r w:rsidR="00B66D97">
        <w:t xml:space="preserve">water bores, </w:t>
      </w:r>
      <w:r w:rsidR="00527DC0">
        <w:t xml:space="preserve">decommissioned wells, </w:t>
      </w:r>
      <w:r w:rsidR="00886C05">
        <w:t xml:space="preserve">or </w:t>
      </w:r>
      <w:r>
        <w:t xml:space="preserve">exploration </w:t>
      </w:r>
      <w:r w:rsidR="00886C05">
        <w:t>bores</w:t>
      </w:r>
      <w:r>
        <w:t xml:space="preserve">. </w:t>
      </w:r>
    </w:p>
    <w:p w14:paraId="69ED3449" w14:textId="4910DF90" w:rsidR="00425C43" w:rsidRDefault="0044150A" w:rsidP="005C0075">
      <w:r>
        <w:t>Studies that have undertaken numerical modelling of</w:t>
      </w:r>
      <w:r w:rsidR="005C0075">
        <w:t xml:space="preserve"> groundwater flow through </w:t>
      </w:r>
      <w:r>
        <w:t xml:space="preserve">seepage pathways caused by </w:t>
      </w:r>
      <w:r w:rsidR="005C0075">
        <w:t>well</w:t>
      </w:r>
      <w:r>
        <w:t xml:space="preserve"> integrity failure,</w:t>
      </w:r>
      <w:r w:rsidR="005C0075">
        <w:t xml:space="preserve"> usually </w:t>
      </w:r>
      <w:r>
        <w:t>resort to</w:t>
      </w:r>
      <w:r w:rsidR="005C0075">
        <w:t xml:space="preserve"> dual-</w:t>
      </w:r>
      <w:r>
        <w:t>p</w:t>
      </w:r>
      <w:r w:rsidR="005C0075">
        <w:t>hase models</w:t>
      </w:r>
      <w:r>
        <w:t xml:space="preserve"> (water-gas)</w:t>
      </w:r>
      <w:r w:rsidR="005C0075">
        <w:t xml:space="preserve">, such as Eclipse </w:t>
      </w:r>
      <w:r w:rsidR="0020774C">
        <w:fldChar w:fldCharType="begin"/>
      </w:r>
      <w:r w:rsidR="0020774C">
        <w:instrText xml:space="preserve"> ADDIN EN.CITE &lt;EndNote&gt;&lt;Cite&gt;&lt;Author&gt;Schlumberger&lt;/Author&gt;&lt;Year&gt;2011&lt;/Year&gt;&lt;RecNum&gt;2523&lt;/RecNum&gt;&lt;DisplayText&gt;[&lt;style face="italic"&gt;Schlumberger&lt;/style&gt;, 2011]&lt;/DisplayText&gt;&lt;record&gt;&lt;rec-number&gt;2523&lt;/rec-number&gt;&lt;foreign-keys&gt;&lt;key app="EN" db-id="sawsrtr20e9dd8ewz5evfttuv5erw5fa22tr"&gt;2523&lt;/key&gt;&lt;/foreign-keys&gt;&lt;ref-type name="Report"&gt;27&lt;/ref-type&gt;&lt;contributors&gt;&lt;authors&gt;&lt;author&gt;Schlumberger&lt;/author&gt;&lt;/authors&gt;&lt;tertiary-authors&gt;&lt;author&gt;Schlumberger&lt;/author&gt;&lt;/tertiary-authors&gt;&lt;/contributors&gt;&lt;titles&gt;&lt;title&gt;Manual for ECLIPSE Reservoir Simulation Software. &lt;/title&gt;&lt;/titles&gt;&lt;dates&gt;&lt;year&gt;2011&lt;/year&gt;&lt;/dates&gt;&lt;pub-location&gt;Houston, Texas&lt;/pub-location&gt;&lt;urls&gt;&lt;/urls&gt;&lt;/record&gt;&lt;/Cite&gt;&lt;/EndNote&gt;</w:instrText>
      </w:r>
      <w:r w:rsidR="0020774C">
        <w:fldChar w:fldCharType="separate"/>
      </w:r>
      <w:r w:rsidR="0020774C">
        <w:rPr>
          <w:noProof/>
        </w:rPr>
        <w:t>[</w:t>
      </w:r>
      <w:hyperlink w:anchor="_ENREF_21" w:tooltip="Schlumberger, 2011 #2523" w:history="1">
        <w:r w:rsidR="007A7BC9" w:rsidRPr="00336753">
          <w:rPr>
            <w:noProof/>
          </w:rPr>
          <w:t>Schlumberger</w:t>
        </w:r>
        <w:r w:rsidR="007A7BC9" w:rsidRPr="00A00E82">
          <w:rPr>
            <w:noProof/>
          </w:rPr>
          <w:t>,</w:t>
        </w:r>
        <w:r w:rsidR="007A7BC9">
          <w:rPr>
            <w:noProof/>
          </w:rPr>
          <w:t xml:space="preserve"> 2011</w:t>
        </w:r>
      </w:hyperlink>
      <w:r w:rsidR="0020774C">
        <w:rPr>
          <w:noProof/>
        </w:rPr>
        <w:t>]</w:t>
      </w:r>
      <w:r w:rsidR="0020774C">
        <w:fldChar w:fldCharType="end"/>
      </w:r>
      <w:r w:rsidR="003A3096">
        <w:t>,</w:t>
      </w:r>
      <w:r w:rsidR="005C0075">
        <w:t xml:space="preserve"> </w:t>
      </w:r>
      <w:r w:rsidR="005C0075" w:rsidRPr="00390E3F">
        <w:t>DuMu</w:t>
      </w:r>
      <w:r w:rsidR="005C0075" w:rsidRPr="00390E3F">
        <w:rPr>
          <w:vertAlign w:val="superscript"/>
        </w:rPr>
        <w:t>x</w:t>
      </w:r>
      <w:r w:rsidR="005C0075" w:rsidRPr="00390E3F">
        <w:t xml:space="preserve"> </w:t>
      </w:r>
      <w:r w:rsidR="0020774C">
        <w:fldChar w:fldCharType="begin"/>
      </w:r>
      <w:r w:rsidR="0020774C">
        <w:instrText xml:space="preserve"> ADDIN EN.CITE &lt;EndNote&gt;&lt;Cite&gt;&lt;Author&gt;Flemisch&lt;/Author&gt;&lt;Year&gt;2011&lt;/Year&gt;&lt;RecNum&gt;2509&lt;/RecNum&gt;&lt;DisplayText&gt;[&lt;style face="italic"&gt;Flemisch et al.&lt;/style&gt;, 2011]&lt;/DisplayText&gt;&lt;record&gt;&lt;rec-number&gt;2509&lt;/rec-number&gt;&lt;foreign-keys&gt;&lt;key app="EN" db-id="sawsrtr20e9dd8ewz5evfttuv5erw5fa22tr"&gt;2509&lt;/key&gt;&lt;/foreign-keys&gt;&lt;ref-type name="Journal Article"&gt;17&lt;/ref-type&gt;&lt;contributors&gt;&lt;authors&gt;&lt;author&gt;Flemisch, B.&lt;/author&gt;&lt;author&gt;Darcis, M.&lt;/author&gt;&lt;author&gt;Erbertseder, K.&lt;/author&gt;&lt;author&gt;Faigle, B.&lt;/author&gt;&lt;author&gt;Lauser, A.&lt;/author&gt;&lt;author&gt;Mosthaf, K.&lt;/author&gt;&lt;author&gt;Müthing, S.&lt;/author&gt;&lt;author&gt;Nuske, P.&lt;/author&gt;&lt;author&gt;Tatomir, A.&lt;/author&gt;&lt;author&gt;Wolff, M.&lt;/author&gt;&lt;author&gt;Helmig, R.&lt;/author&gt;&lt;/authors&gt;&lt;/contributors&gt;&lt;titles&gt;&lt;title&gt;DuMux: DUNE for multi-{phase, component, scale, physics, …} flow and transport in porous media&lt;/title&gt;&lt;secondary-title&gt;Advances in Water Resources&lt;/secondary-title&gt;&lt;/titles&gt;&lt;periodical&gt;&lt;full-title&gt;Advances in Water Resources&lt;/full-title&gt;&lt;/periodical&gt;&lt;pages&gt;1102-1112&lt;/pages&gt;&lt;volume&gt;34&lt;/volume&gt;&lt;number&gt;9&lt;/number&gt;&lt;keywords&gt;&lt;keyword&gt;Porous media simulator&lt;/keyword&gt;&lt;keyword&gt;Open source&lt;/keyword&gt;&lt;keyword&gt;Multi-scale&lt;/keyword&gt;&lt;keyword&gt;Multi-physics&lt;/keyword&gt;&lt;/keywords&gt;&lt;dates&gt;&lt;year&gt;2011&lt;/year&gt;&lt;/dates&gt;&lt;isbn&gt;0309-1708&lt;/isbn&gt;&lt;urls&gt;&lt;related-urls&gt;&lt;url&gt;http://www.sciencedirect.com/science/article/pii/S030917081100056X&lt;/url&gt;&lt;/related-urls&gt;&lt;/urls&gt;&lt;electronic-resource-num&gt;http://dx.doi.org/10.1016/j.advwatres.2011.03.007&lt;/electronic-resource-num&gt;&lt;/record&gt;&lt;/Cite&gt;&lt;/EndNote&gt;</w:instrText>
      </w:r>
      <w:r w:rsidR="0020774C">
        <w:fldChar w:fldCharType="separate"/>
      </w:r>
      <w:r w:rsidR="0020774C">
        <w:rPr>
          <w:noProof/>
        </w:rPr>
        <w:t>[</w:t>
      </w:r>
      <w:hyperlink w:anchor="_ENREF_6" w:tooltip="Flemisch, 2011 #2509" w:history="1">
        <w:r w:rsidR="007A7BC9" w:rsidRPr="00336753">
          <w:rPr>
            <w:noProof/>
          </w:rPr>
          <w:t>Flemisch et al.</w:t>
        </w:r>
        <w:r w:rsidR="007A7BC9" w:rsidRPr="00A00E82">
          <w:rPr>
            <w:noProof/>
          </w:rPr>
          <w:t>, 2011</w:t>
        </w:r>
      </w:hyperlink>
      <w:r w:rsidR="0020774C" w:rsidRPr="00A00E82">
        <w:rPr>
          <w:noProof/>
        </w:rPr>
        <w:t>]</w:t>
      </w:r>
      <w:r w:rsidR="0020774C">
        <w:fldChar w:fldCharType="end"/>
      </w:r>
      <w:r w:rsidR="003A3096">
        <w:t xml:space="preserve">, or </w:t>
      </w:r>
      <w:r w:rsidR="003A3096" w:rsidRPr="003A3096">
        <w:t>TOUGH</w:t>
      </w:r>
      <w:r w:rsidR="003A3096">
        <w:t>+</w:t>
      </w:r>
      <w:r w:rsidR="003A3096" w:rsidRPr="003A3096">
        <w:t xml:space="preserve">RealGasH2O simulator </w:t>
      </w:r>
      <w:r w:rsidR="00A219A8">
        <w:fldChar w:fldCharType="begin"/>
      </w:r>
      <w:r w:rsidR="00A219A8">
        <w:instrText xml:space="preserve"> ADDIN EN.CITE &lt;EndNote&gt;&lt;Cite&gt;&lt;Author&gt;Moridis&lt;/Author&gt;&lt;Year&gt;2014&lt;/Year&gt;&lt;RecNum&gt;2629&lt;/RecNum&gt;&lt;DisplayText&gt;[&lt;style face="italic"&gt;Moridis and Freeman&lt;/style&gt;, 2014]&lt;/DisplayText&gt;&lt;record&gt;&lt;rec-number&gt;2629&lt;/rec-number&gt;&lt;foreign-keys&gt;&lt;key app="EN" db-id="sawsrtr20e9dd8ewz5evfttuv5erw5fa22tr"&gt;2629&lt;/key&gt;&lt;/foreign-keys&gt;&lt;ref-type name="Journal Article"&gt;17&lt;/ref-type&gt;&lt;contributors&gt;&lt;authors&gt;&lt;author&gt;Moridis, George J&lt;/author&gt;&lt;author&gt;Freeman, Craig M&lt;/author&gt;&lt;/authors&gt;&lt;/contributors&gt;&lt;titles&gt;&lt;title&gt;The RealGas and RealGasH2O options of the TOUGH+ code for the simulation of coupled fluid and heat flow in tight/shale gas systems&lt;/title&gt;&lt;secondary-title&gt;Computers &amp;amp; Geosciences&lt;/secondary-title&gt;&lt;/titles&gt;&lt;periodical&gt;&lt;full-title&gt;Computers &amp;amp; Geosciences&lt;/full-title&gt;&lt;/periodical&gt;&lt;pages&gt;56-71&lt;/pages&gt;&lt;volume&gt;65&lt;/volume&gt;&lt;dates&gt;&lt;year&gt;2014&lt;/year&gt;&lt;/dates&gt;&lt;isbn&gt;0098-3004&lt;/isbn&gt;&lt;urls&gt;&lt;/urls&gt;&lt;/record&gt;&lt;/Cite&gt;&lt;/EndNote&gt;</w:instrText>
      </w:r>
      <w:r w:rsidR="00A219A8">
        <w:fldChar w:fldCharType="separate"/>
      </w:r>
      <w:r w:rsidR="00A219A8" w:rsidRPr="00A00E82">
        <w:rPr>
          <w:noProof/>
        </w:rPr>
        <w:t>[</w:t>
      </w:r>
      <w:hyperlink w:anchor="_ENREF_15" w:tooltip="Moridis, 2014 #2629" w:history="1">
        <w:r w:rsidR="007A7BC9" w:rsidRPr="00336753">
          <w:rPr>
            <w:noProof/>
          </w:rPr>
          <w:t>Moridis and Freeman</w:t>
        </w:r>
        <w:r w:rsidR="007A7BC9" w:rsidRPr="00A00E82">
          <w:rPr>
            <w:noProof/>
          </w:rPr>
          <w:t>, 2014</w:t>
        </w:r>
      </w:hyperlink>
      <w:r w:rsidR="00A219A8">
        <w:rPr>
          <w:noProof/>
        </w:rPr>
        <w:t>]</w:t>
      </w:r>
      <w:r w:rsidR="00A219A8">
        <w:fldChar w:fldCharType="end"/>
      </w:r>
      <w:r w:rsidR="005C0075">
        <w:t xml:space="preserve">. </w:t>
      </w:r>
      <w:r w:rsidR="00142CF2">
        <w:t xml:space="preserve">Of the few numerical modelling studies discussed </w:t>
      </w:r>
      <w:r w:rsidR="00B66D97">
        <w:t>in this report</w:t>
      </w:r>
      <w:r w:rsidR="00142CF2">
        <w:t xml:space="preserve">, the focus was always on changes to groundwater quality, not groundwater balance or heads. </w:t>
      </w:r>
      <w:r w:rsidR="00D111BF">
        <w:t xml:space="preserve">Using numerical simulation models </w:t>
      </w:r>
      <w:r w:rsidR="00D111BF" w:rsidRPr="00A219A8">
        <w:t xml:space="preserve">Kissinger et al. </w:t>
      </w:r>
      <w:r w:rsidR="00A219A8" w:rsidRPr="00A219A8">
        <w:fldChar w:fldCharType="begin"/>
      </w:r>
      <w:r w:rsidR="00A219A8" w:rsidRPr="00A219A8">
        <w:instrText xml:space="preserve"> ADDIN EN.CITE &lt;EndNote&gt;&lt;Cite ExcludeAuth="1"&gt;&lt;Author&gt;Kissinger&lt;/Author&gt;&lt;Year&gt;2013&lt;/Year&gt;&lt;RecNum&gt;2627&lt;/RecNum&gt;&lt;DisplayText&gt;[2013]&lt;/DisplayText&gt;&lt;record&gt;&lt;rec-number&gt;2627&lt;/rec-number&gt;&lt;foreign-keys&gt;&lt;key app="EN" db-id="sawsrtr20e9dd8ewz5evfttuv5erw5fa22tr"&gt;2627&lt;/key&gt;&lt;/foreign-keys&gt;&lt;ref-type name="Journal Article"&gt;17&lt;/ref-type&gt;&lt;contributors&gt;&lt;authors&gt;&lt;author&gt;Kissinger, Alexander&lt;/author&gt;&lt;author&gt;Helmig, Rainer&lt;/author&gt;&lt;author&gt;Ebigbo, Anozie&lt;/author&gt;&lt;author&gt;Class, Holger&lt;/author&gt;&lt;author&gt;Lange, Torsten&lt;/author&gt;&lt;author&gt;Sauter, Martin&lt;/author&gt;&lt;author&gt;Heitfeld, Michael&lt;/author&gt;&lt;author&gt;Klünker, Johannes&lt;/author&gt;&lt;author&gt;Jahnke, Wiebke&lt;/author&gt;&lt;/authors&gt;&lt;/contributors&gt;&lt;titles&gt;&lt;title&gt;Hydraulic fracturing in unconventional gas reservoirs: risks in the geological system, part 2&lt;/title&gt;&lt;secondary-title&gt;Environmental earth sciences&lt;/secondary-title&gt;&lt;/titles&gt;&lt;periodical&gt;&lt;full-title&gt;Environmental earth sciences&lt;/full-title&gt;&lt;/periodical&gt;&lt;pages&gt;3855-3873&lt;/pages&gt;&lt;volume&gt;70&lt;/volume&gt;&lt;number&gt;8&lt;/number&gt;&lt;dates&gt;&lt;year&gt;2013&lt;/year&gt;&lt;/dates&gt;&lt;isbn&gt;1866-6280&lt;/isbn&gt;&lt;urls&gt;&lt;/urls&gt;&lt;/record&gt;&lt;/Cite&gt;&lt;/EndNote&gt;</w:instrText>
      </w:r>
      <w:r w:rsidR="00A219A8" w:rsidRPr="00A219A8">
        <w:fldChar w:fldCharType="separate"/>
      </w:r>
      <w:r w:rsidR="00A219A8" w:rsidRPr="00A219A8">
        <w:rPr>
          <w:noProof/>
        </w:rPr>
        <w:t>[</w:t>
      </w:r>
      <w:hyperlink w:anchor="_ENREF_11" w:tooltip="Kissinger, 2013 #2627" w:history="1">
        <w:r w:rsidR="007A7BC9" w:rsidRPr="00A219A8">
          <w:rPr>
            <w:noProof/>
          </w:rPr>
          <w:t>2013</w:t>
        </w:r>
      </w:hyperlink>
      <w:r w:rsidR="00A219A8" w:rsidRPr="00A219A8">
        <w:rPr>
          <w:noProof/>
        </w:rPr>
        <w:t>]</w:t>
      </w:r>
      <w:r w:rsidR="00A219A8" w:rsidRPr="00A219A8">
        <w:fldChar w:fldCharType="end"/>
      </w:r>
      <w:r w:rsidR="00D111BF">
        <w:t xml:space="preserve"> tested under what circumstances several hypothesized flow paths for fracturing fluid, brine and methane would result in leakage of such fluids into shallower layers. The simulations used literature-based paramet</w:t>
      </w:r>
      <w:r w:rsidR="0071706C">
        <w:t>e</w:t>
      </w:r>
      <w:r w:rsidR="00D111BF">
        <w:t>risation (</w:t>
      </w:r>
      <w:r w:rsidR="00D111BF" w:rsidRPr="0058148B">
        <w:t>upper and lower bounds of hydraulic parameters</w:t>
      </w:r>
      <w:r w:rsidR="00D111BF">
        <w:t xml:space="preserve">) for potential hydraulic fracturing sites </w:t>
      </w:r>
      <w:r w:rsidR="00D111BF" w:rsidRPr="0058148B">
        <w:t xml:space="preserve">in </w:t>
      </w:r>
      <w:r w:rsidR="00D111BF">
        <w:t>Germany (</w:t>
      </w:r>
      <w:r w:rsidR="00D111BF" w:rsidRPr="0058148B">
        <w:t>North Rhine-Westphalia and Lower Saxony</w:t>
      </w:r>
      <w:r w:rsidR="00D111BF">
        <w:t xml:space="preserve">). </w:t>
      </w:r>
      <w:r w:rsidR="00A00E82">
        <w:t>In the</w:t>
      </w:r>
      <w:r w:rsidR="005C0075">
        <w:t xml:space="preserve"> study by </w:t>
      </w:r>
      <w:r w:rsidR="005C0075" w:rsidRPr="00390E3F">
        <w:t>Nowamooz</w:t>
      </w:r>
      <w:r w:rsidR="0020774C">
        <w:t xml:space="preserve"> </w:t>
      </w:r>
      <w:r w:rsidR="0020774C" w:rsidRPr="00390E3F">
        <w:t>et al.</w:t>
      </w:r>
      <w:r w:rsidR="0020774C">
        <w:t xml:space="preserve"> </w:t>
      </w:r>
      <w:r w:rsidR="0020774C">
        <w:fldChar w:fldCharType="begin"/>
      </w:r>
      <w:r w:rsidR="0020774C">
        <w:instrText xml:space="preserve"> ADDIN EN.CITE &lt;EndNote&gt;&lt;Cite ExcludeAuth="1"&gt;&lt;Author&gt;Nowamooz&lt;/Author&gt;&lt;Year&gt;2015&lt;/Year&gt;&lt;RecNum&gt;2497&lt;/RecNum&gt;&lt;DisplayText&gt;[2015]&lt;/DisplayText&gt;&lt;record&gt;&lt;rec-number&gt;2497&lt;/rec-number&gt;&lt;foreign-keys&gt;&lt;key app="EN" db-id="sawsrtr20e9dd8ewz5evfttuv5erw5fa22tr"&gt;2497&lt;/key&gt;&lt;/foreign-keys&gt;&lt;ref-type name="Journal Article"&gt;17&lt;/ref-type&gt;&lt;contributors&gt;&lt;authors&gt;&lt;author&gt;Nowamooz, A.&lt;/author&gt;&lt;author&gt;Lemieux, J. M.&lt;/author&gt;&lt;author&gt;Molson, J.&lt;/author&gt;&lt;author&gt;Therrien, R.&lt;/author&gt;&lt;/authors&gt;&lt;/contributors&gt;&lt;titles&gt;&lt;title&gt;Numerical investigation of methane and formation fluid leakage along the casing of a decommissioned shale gas well&lt;/title&gt;&lt;secondary-title&gt;Water Resources Research&lt;/secondary-title&gt;&lt;/titles&gt;&lt;periodical&gt;&lt;full-title&gt;Water Resources Research&lt;/full-title&gt;&lt;/periodical&gt;&lt;volume&gt;51&lt;/volume&gt;&lt;number&gt;6&lt;/number&gt;&lt;keywords&gt;&lt;keyword&gt;shale gas&lt;/keyword&gt;&lt;keyword&gt;decommissioned well&lt;/keyword&gt;&lt;keyword&gt;casing annulus&lt;/keyword&gt;&lt;keyword&gt;methane and formation fluid leakage&lt;/keyword&gt;&lt;keyword&gt;numerical simulation&lt;/keyword&gt;&lt;keyword&gt;1829 Groundwater hydrology&lt;/keyword&gt;&lt;keyword&gt;1847 Modeling&lt;/keyword&gt;&lt;keyword&gt;1831 Groundwater quality&lt;/keyword&gt;&lt;keyword&gt;1832 Groundwater transport&lt;/keyword&gt;&lt;/keywords&gt;&lt;dates&gt;&lt;year&gt;2015&lt;/year&gt;&lt;/dates&gt;&lt;isbn&gt;1944-7973&lt;/isbn&gt;&lt;urls&gt;&lt;related-urls&gt;&lt;url&gt;http://dx.doi.org/10.1002/2014WR016146&lt;/url&gt;&lt;/related-urls&gt;&lt;/urls&gt;&lt;electronic-resource-num&gt;10.1002/2014wr016146&lt;/electronic-resource-num&gt;&lt;/record&gt;&lt;/Cite&gt;&lt;/EndNote&gt;</w:instrText>
      </w:r>
      <w:r w:rsidR="0020774C">
        <w:fldChar w:fldCharType="separate"/>
      </w:r>
      <w:r w:rsidR="0020774C">
        <w:rPr>
          <w:noProof/>
        </w:rPr>
        <w:t>[</w:t>
      </w:r>
      <w:hyperlink w:anchor="_ENREF_18" w:tooltip="Nowamooz, 2015 #2497" w:history="1">
        <w:r w:rsidR="007A7BC9">
          <w:rPr>
            <w:noProof/>
          </w:rPr>
          <w:t>2015</w:t>
        </w:r>
      </w:hyperlink>
      <w:r w:rsidR="0020774C">
        <w:rPr>
          <w:noProof/>
        </w:rPr>
        <w:t>]</w:t>
      </w:r>
      <w:r w:rsidR="0020774C">
        <w:fldChar w:fldCharType="end"/>
      </w:r>
      <w:r w:rsidR="005C0075">
        <w:t>, methane</w:t>
      </w:r>
      <w:r w:rsidR="005C0075" w:rsidRPr="005C0075">
        <w:t xml:space="preserve"> </w:t>
      </w:r>
      <w:r w:rsidR="005C0075" w:rsidRPr="00390E3F">
        <w:t xml:space="preserve">and formation fluid leakage </w:t>
      </w:r>
      <w:r w:rsidR="00A00E82">
        <w:t xml:space="preserve">was modelled </w:t>
      </w:r>
      <w:r w:rsidR="005C0075" w:rsidRPr="00390E3F">
        <w:t>along the casing of a decommissioned shale gas well</w:t>
      </w:r>
      <w:r w:rsidR="008A4BB7">
        <w:t>.</w:t>
      </w:r>
      <w:r w:rsidR="00425C43">
        <w:t xml:space="preserve"> </w:t>
      </w:r>
      <w:r w:rsidR="00A2214B" w:rsidRPr="00A219A8">
        <w:t xml:space="preserve">Reagan et al. </w:t>
      </w:r>
      <w:r w:rsidR="00A2214B" w:rsidRPr="00A219A8">
        <w:fldChar w:fldCharType="begin"/>
      </w:r>
      <w:r w:rsidR="00A2214B" w:rsidRPr="00A219A8">
        <w:instrText xml:space="preserve"> ADDIN EN.CITE &lt;EndNote&gt;&lt;Cite ExcludeAuth="1"&gt;&lt;Author&gt;Reagan&lt;/Author&gt;&lt;Year&gt;2015&lt;/Year&gt;&lt;RecNum&gt;2630&lt;/RecNum&gt;&lt;DisplayText&gt;[2015]&lt;/DisplayText&gt;&lt;record&gt;&lt;rec-number&gt;2630&lt;/rec-number&gt;&lt;foreign-keys&gt;&lt;key app="EN" db-id="sawsrtr20e9dd8ewz5evfttuv5erw5fa22tr"&gt;2630&lt;/key&gt;&lt;/foreign-keys&gt;&lt;ref-type name="Journal Article"&gt;17&lt;/ref-type&gt;&lt;contributors&gt;&lt;authors&gt;&lt;author&gt;Reagan, Matthew T&lt;/author&gt;&lt;author&gt;Moridis, George J&lt;/author&gt;&lt;author&gt;Keen, Noel D&lt;/author&gt;&lt;author&gt;Johnson, Jeffrey N&lt;/author&gt;&lt;/authors&gt;&lt;/contributors&gt;&lt;titles&gt;&lt;title&gt;Numerical simulation of the environmental impact of hydraulic fracturing of tight/shale gas reservoirs on near-surface groundwater: Background, base cases, shallow reservoirs, short-term gas, and water transport&lt;/title&gt;&lt;secondary-title&gt;Water Resources Research&lt;/secondary-title&gt;&lt;/titles&gt;&lt;periodical&gt;&lt;full-title&gt;Water Resources Research&lt;/full-title&gt;&lt;/periodical&gt;&lt;pages&gt;2543-2573&lt;/pages&gt;&lt;volume&gt;51&lt;/volume&gt;&lt;number&gt;4&lt;/number&gt;&lt;dates&gt;&lt;year&gt;2015&lt;/year&gt;&lt;/dates&gt;&lt;isbn&gt;1944-7973&lt;/isbn&gt;&lt;urls&gt;&lt;/urls&gt;&lt;/record&gt;&lt;/Cite&gt;&lt;/EndNote&gt;</w:instrText>
      </w:r>
      <w:r w:rsidR="00A2214B" w:rsidRPr="00A219A8">
        <w:fldChar w:fldCharType="separate"/>
      </w:r>
      <w:r w:rsidR="00A2214B" w:rsidRPr="00A219A8">
        <w:rPr>
          <w:noProof/>
        </w:rPr>
        <w:t>[</w:t>
      </w:r>
      <w:hyperlink w:anchor="_ENREF_20" w:tooltip="Reagan, 2015 #2630" w:history="1">
        <w:r w:rsidR="007A7BC9" w:rsidRPr="00A219A8">
          <w:rPr>
            <w:noProof/>
          </w:rPr>
          <w:t>2015</w:t>
        </w:r>
      </w:hyperlink>
      <w:r w:rsidR="00A2214B" w:rsidRPr="00A219A8">
        <w:rPr>
          <w:noProof/>
        </w:rPr>
        <w:t>]</w:t>
      </w:r>
      <w:r w:rsidR="00A2214B" w:rsidRPr="00A219A8">
        <w:fldChar w:fldCharType="end"/>
      </w:r>
      <w:r w:rsidR="00425C43">
        <w:t xml:space="preserve"> carried out numerical simulations of water and gas transport between a shallow tight-gas reservoir (characterised by an ultralow permeability in the range of a nano-Darcy) and a shallower freshwater aquifer following hydraulic fracturing operations. Two general failure scenarios were considered in the simulations: connection between the reservoir and aquifer is assumed to occur (i) via a fracture or fault and (ii) via a deteriorated, pre-existing nearby well.</w:t>
      </w:r>
    </w:p>
    <w:p w14:paraId="01E98D1D" w14:textId="1591F535" w:rsidR="00C173FE" w:rsidRDefault="0086686D">
      <w:r>
        <w:t xml:space="preserve">Estimates of drawdown </w:t>
      </w:r>
      <w:r w:rsidR="008F54E9">
        <w:t xml:space="preserve">caused by depressurising coal layers </w:t>
      </w:r>
      <w:r w:rsidR="0007545D">
        <w:t xml:space="preserve">may be obtained </w:t>
      </w:r>
      <w:r>
        <w:t>using single phase models</w:t>
      </w:r>
      <w:r w:rsidR="0007545D">
        <w:t>,</w:t>
      </w:r>
      <w:r>
        <w:t xml:space="preserve"> </w:t>
      </w:r>
      <w:r w:rsidR="0007545D">
        <w:t xml:space="preserve">but this </w:t>
      </w:r>
      <w:r>
        <w:t xml:space="preserve">is known to </w:t>
      </w:r>
      <w:r w:rsidR="00B66D97">
        <w:t xml:space="preserve">overestimate </w:t>
      </w:r>
      <w:r w:rsidR="0007545D">
        <w:t xml:space="preserve">impact (i.e. </w:t>
      </w:r>
      <w:r>
        <w:t>conservative</w:t>
      </w:r>
      <w:r w:rsidR="0007545D">
        <w:t>)</w:t>
      </w:r>
      <w:r>
        <w:t xml:space="preserve"> compared with </w:t>
      </w:r>
      <w:r w:rsidR="0007545D">
        <w:t>dual</w:t>
      </w:r>
      <w:r>
        <w:t xml:space="preserve">-phase models </w:t>
      </w:r>
      <w:r w:rsidR="008677F5">
        <w:fldChar w:fldCharType="begin"/>
      </w:r>
      <w:r w:rsidR="008677F5">
        <w:instrText xml:space="preserve"> ADDIN EN.CITE &lt;EndNote&gt;&lt;Cite&gt;&lt;Author&gt;Moore&lt;/Author&gt;&lt;Year&gt;2014&lt;/Year&gt;&lt;RecNum&gt;2521&lt;/RecNum&gt;&lt;DisplayText&gt;[&lt;style face="italic"&gt;Moore et al.&lt;/style&gt;, 2014]&lt;/DisplayText&gt;&lt;record&gt;&lt;rec-number&gt;2521&lt;/rec-number&gt;&lt;foreign-keys&gt;&lt;key app="EN" db-id="sawsrtr20e9dd8ewz5evfttuv5erw5fa22tr"&gt;2521&lt;/key&gt;&lt;/foreign-keys&gt;&lt;ref-type name="Journal Article"&gt;17&lt;/ref-type&gt;&lt;contributors&gt;&lt;authors&gt;&lt;author&gt;Moore, Catherine R.&lt;/author&gt;&lt;author&gt;Doherty, John&lt;/author&gt;&lt;author&gt;Howell, Stephen&lt;/author&gt;&lt;author&gt;Erriah, Leon&lt;/author&gt;&lt;/authors&gt;&lt;/contributors&gt;&lt;titles&gt;&lt;title&gt;Some Challenges Posed by Coal Bed Methane Regional Assessment Modeling&lt;/title&gt;&lt;secondary-title&gt;Groundwater&lt;/secondary-title&gt;&lt;/titles&gt;&lt;periodical&gt;&lt;full-title&gt;Groundwater&lt;/full-title&gt;&lt;/periodical&gt;&lt;volume&gt;53&lt;/volume&gt;&lt;number&gt;5&lt;/number&gt;&lt;dates&gt;&lt;year&gt;2014&lt;/year&gt;&lt;/dates&gt;&lt;publisher&gt;Blackwell Publishing Ltd&lt;/publisher&gt;&lt;isbn&gt;1745-6584&lt;/isbn&gt;&lt;urls&gt;&lt;related-urls&gt;&lt;url&gt;http://dx.doi.org/10.1111/gwat.12276&lt;/url&gt;&lt;/related-urls&gt;&lt;/urls&gt;&lt;electronic-resource-num&gt;10.1111/gwat.12276&lt;/electronic-resource-num&gt;&lt;/record&gt;&lt;/Cite&gt;&lt;/EndNote&gt;</w:instrText>
      </w:r>
      <w:r w:rsidR="008677F5">
        <w:fldChar w:fldCharType="separate"/>
      </w:r>
      <w:r w:rsidR="008677F5">
        <w:rPr>
          <w:noProof/>
        </w:rPr>
        <w:t>[</w:t>
      </w:r>
      <w:hyperlink w:anchor="_ENREF_14" w:tooltip="Moore, 2014 #2521" w:history="1">
        <w:r w:rsidR="007A7BC9" w:rsidRPr="00FB755D">
          <w:rPr>
            <w:noProof/>
          </w:rPr>
          <w:t>Moore et al</w:t>
        </w:r>
        <w:r w:rsidR="007A7BC9" w:rsidRPr="008677F5">
          <w:rPr>
            <w:i/>
            <w:noProof/>
          </w:rPr>
          <w:t>.</w:t>
        </w:r>
        <w:r w:rsidR="007A7BC9">
          <w:rPr>
            <w:noProof/>
          </w:rPr>
          <w:t>, 2014</w:t>
        </w:r>
      </w:hyperlink>
      <w:r w:rsidR="008677F5">
        <w:rPr>
          <w:noProof/>
        </w:rPr>
        <w:t>]</w:t>
      </w:r>
      <w:r w:rsidR="008677F5">
        <w:fldChar w:fldCharType="end"/>
      </w:r>
      <w:r w:rsidR="00AD12B8">
        <w:t xml:space="preserve">. </w:t>
      </w:r>
      <w:r w:rsidR="00DE1229">
        <w:t xml:space="preserve">Single phase models such as </w:t>
      </w:r>
      <w:r w:rsidR="00DE1229" w:rsidRPr="00390E3F">
        <w:t xml:space="preserve">MODFLOW 2005 </w:t>
      </w:r>
      <w:r w:rsidR="0020774C">
        <w:fldChar w:fldCharType="begin"/>
      </w:r>
      <w:r w:rsidR="00336753">
        <w:instrText xml:space="preserve"> ADDIN EN.CITE &lt;EndNote&gt;&lt;Cite&gt;&lt;Author&gt;Harbaugh&lt;/Author&gt;&lt;Year&gt;2005&lt;/Year&gt;&lt;RecNum&gt;2505&lt;/RecNum&gt;&lt;DisplayText&gt;[&lt;style face="italic"&gt;Harbaugh&lt;/style&gt;, 2005]&lt;/DisplayText&gt;&lt;record&gt;&lt;rec-number&gt;2505&lt;/rec-number&gt;&lt;foreign-keys&gt;&lt;key app="EN" db-id="sawsrtr20e9dd8ewz5evfttuv5erw5fa22tr"&gt;2505&lt;/key&gt;&lt;/foreign-keys&gt;&lt;ref-type name="Book"&gt;6&lt;/ref-type&gt;&lt;contributors&gt;&lt;authors&gt;&lt;author&gt;Harbaugh, Arlen W&lt;/author&gt;&lt;/authors&gt;&lt;/contributors&gt;&lt;titles&gt;&lt;title&gt;MODFLOW-2005, the US Geological Survey modular ground-water model: The ground-water flow process&lt;/title&gt;&lt;/titles&gt;&lt;dates&gt;&lt;year&gt;2005&lt;/year&gt;&lt;/dates&gt;&lt;publisher&gt;US Department of the Interior, US Geological Survey Reston, VA, USA&lt;/publisher&gt;&lt;urls&gt;&lt;/urls&gt;&lt;/record&gt;&lt;/Cite&gt;&lt;/EndNote&gt;</w:instrText>
      </w:r>
      <w:r w:rsidR="0020774C">
        <w:fldChar w:fldCharType="separate"/>
      </w:r>
      <w:r w:rsidR="00336753">
        <w:rPr>
          <w:noProof/>
        </w:rPr>
        <w:t>[</w:t>
      </w:r>
      <w:hyperlink w:anchor="_ENREF_7" w:tooltip="Harbaugh, 2005 #2505" w:history="1">
        <w:r w:rsidR="007A7BC9" w:rsidRPr="00FB755D">
          <w:rPr>
            <w:noProof/>
          </w:rPr>
          <w:t>Harbaugh</w:t>
        </w:r>
        <w:r w:rsidR="007A7BC9">
          <w:rPr>
            <w:noProof/>
          </w:rPr>
          <w:t>, 2005</w:t>
        </w:r>
      </w:hyperlink>
      <w:r w:rsidR="00336753">
        <w:rPr>
          <w:noProof/>
        </w:rPr>
        <w:t>]</w:t>
      </w:r>
      <w:r w:rsidR="0020774C">
        <w:fldChar w:fldCharType="end"/>
      </w:r>
      <w:r w:rsidR="00DE1229">
        <w:t xml:space="preserve"> do not represent the </w:t>
      </w:r>
      <w:r w:rsidR="0007545D">
        <w:t xml:space="preserve">process of </w:t>
      </w:r>
      <w:r w:rsidR="00DE1229">
        <w:t xml:space="preserve">pore water </w:t>
      </w:r>
      <w:r w:rsidR="0007545D">
        <w:t xml:space="preserve">displacement </w:t>
      </w:r>
      <w:r w:rsidR="00DE1229">
        <w:t xml:space="preserve">by gas, and therefore </w:t>
      </w:r>
      <w:r w:rsidR="0007545D">
        <w:t xml:space="preserve">do not account for </w:t>
      </w:r>
      <w:r w:rsidR="00DE1229">
        <w:t xml:space="preserve">the reduction of permeability </w:t>
      </w:r>
      <w:r w:rsidR="0007545D">
        <w:t xml:space="preserve">due to the presence of another (gas) phase which </w:t>
      </w:r>
      <w:r w:rsidR="00B66D97">
        <w:t>makes</w:t>
      </w:r>
      <w:r w:rsidR="0007545D">
        <w:t xml:space="preserve"> the </w:t>
      </w:r>
      <w:r w:rsidR="00DE1229">
        <w:t xml:space="preserve">coal seam </w:t>
      </w:r>
      <w:r w:rsidR="0007545D">
        <w:t>un</w:t>
      </w:r>
      <w:r w:rsidR="00DE1229">
        <w:t>saturat</w:t>
      </w:r>
      <w:r w:rsidR="0007545D">
        <w:t>ed</w:t>
      </w:r>
      <w:r w:rsidR="003C1ED3">
        <w:t xml:space="preserve"> with respect to water</w:t>
      </w:r>
      <w:r w:rsidR="00DE1229">
        <w:t>.</w:t>
      </w:r>
      <w:r w:rsidR="0005564B">
        <w:t xml:space="preserve"> </w:t>
      </w:r>
      <w:r w:rsidR="00C6006A">
        <w:t xml:space="preserve">In other words, </w:t>
      </w:r>
      <w:r w:rsidR="00A00E82">
        <w:t xml:space="preserve">under dual-phase flow conditions, </w:t>
      </w:r>
      <w:r w:rsidR="00C6006A">
        <w:t xml:space="preserve">effective </w:t>
      </w:r>
      <w:r w:rsidR="003C1ED3">
        <w:t xml:space="preserve">relative </w:t>
      </w:r>
      <w:r w:rsidR="00C6006A">
        <w:t xml:space="preserve">permeabilities need to be defined for both the water and gas phase. The effective permeability is a measure of the </w:t>
      </w:r>
      <w:r w:rsidR="00170E9B">
        <w:t>permeability</w:t>
      </w:r>
      <w:r w:rsidR="00C6006A">
        <w:t xml:space="preserve"> of a porous medium for one fluid phase when the medium is satu</w:t>
      </w:r>
      <w:r w:rsidR="003C1ED3">
        <w:t>rated with more than one fluid.</w:t>
      </w:r>
    </w:p>
    <w:p w14:paraId="69EC5FDE" w14:textId="099045B2" w:rsidR="004E14D9" w:rsidRDefault="00C173FE">
      <w:r w:rsidRPr="00B22DBC">
        <w:t>For a dual‐phase flow system, typically in the near vicinity of the coal seam gas extraction areas, a</w:t>
      </w:r>
      <w:r>
        <w:t xml:space="preserve"> </w:t>
      </w:r>
      <w:r w:rsidRPr="00B22DBC">
        <w:t>simplified representation of the multi‐phase process by a single‐phase model may yield results</w:t>
      </w:r>
      <w:r w:rsidR="00B66D97">
        <w:t xml:space="preserve"> which are </w:t>
      </w:r>
      <w:r w:rsidR="00B66D97" w:rsidRPr="00B22DBC">
        <w:t>erroneous</w:t>
      </w:r>
      <w:r w:rsidRPr="00B22DBC">
        <w:t>, but on the</w:t>
      </w:r>
      <w:r>
        <w:t xml:space="preserve"> </w:t>
      </w:r>
      <w:r w:rsidRPr="00B22DBC">
        <w:t xml:space="preserve">conservative side in terms of drawdown prediction. Despite the lack of </w:t>
      </w:r>
      <w:r w:rsidR="00A00E82">
        <w:t xml:space="preserve">this predictive </w:t>
      </w:r>
      <w:r w:rsidRPr="00B22DBC">
        <w:t>accuracy, the single‐phase flow model may still be</w:t>
      </w:r>
      <w:r>
        <w:t xml:space="preserve"> </w:t>
      </w:r>
      <w:r w:rsidRPr="00B22DBC">
        <w:t>fit‐for‐purpose when regional scale screening of potential impacts of well integrity failure is being undertaken. More</w:t>
      </w:r>
      <w:r>
        <w:t xml:space="preserve"> </w:t>
      </w:r>
      <w:r w:rsidRPr="00B22DBC">
        <w:t>detailed assessments with a dual‐phase model can then be undertaken to confirm or refute the degree of impact identified</w:t>
      </w:r>
      <w:r>
        <w:t xml:space="preserve"> </w:t>
      </w:r>
      <w:r w:rsidRPr="00B22DBC">
        <w:t>by the regional‐scale single‐phase model. Furthermore, regional‐scale implementation of a dual‐phase flow model across</w:t>
      </w:r>
      <w:r>
        <w:t xml:space="preserve"> </w:t>
      </w:r>
      <w:r w:rsidRPr="00B22DBC">
        <w:t xml:space="preserve">potentially hundreds or thousands of wells is computationally very demanding </w:t>
      </w:r>
      <w:r w:rsidR="00A2214B">
        <w:fldChar w:fldCharType="begin"/>
      </w:r>
      <w:r w:rsidR="00A2214B">
        <w:instrText xml:space="preserve"> ADDIN EN.CITE &lt;EndNote&gt;&lt;Cite&gt;&lt;Author&gt;Moore&lt;/Author&gt;&lt;Year&gt;2014&lt;/Year&gt;&lt;RecNum&gt;2521&lt;/RecNum&gt;&lt;DisplayText&gt;[&lt;style face="italic"&gt;Moore et al.&lt;/style&gt;, 2014]&lt;/DisplayText&gt;&lt;record&gt;&lt;rec-number&gt;2521&lt;/rec-number&gt;&lt;foreign-keys&gt;&lt;key app="EN" db-id="sawsrtr20e9dd8ewz5evfttuv5erw5fa22tr"&gt;2521&lt;/key&gt;&lt;/foreign-keys&gt;&lt;ref-type name="Journal Article"&gt;17&lt;/ref-type&gt;&lt;contributors&gt;&lt;authors&gt;&lt;author&gt;Moore, Catherine R.&lt;/author&gt;&lt;author&gt;Doherty, John&lt;/author&gt;&lt;author&gt;Howell, Stephen&lt;/author&gt;&lt;author&gt;Erriah, Leon&lt;/author&gt;&lt;/authors&gt;&lt;/contributors&gt;&lt;titles&gt;&lt;title&gt;Some Challenges Posed by Coal Bed Methane Regional Assessment Modeling&lt;/title&gt;&lt;secondary-title&gt;Groundwater&lt;/secondary-title&gt;&lt;/titles&gt;&lt;periodical&gt;&lt;full-title&gt;Groundwater&lt;/full-title&gt;&lt;/periodical&gt;&lt;volume&gt;53&lt;/volume&gt;&lt;number&gt;5&lt;/number&gt;&lt;dates&gt;&lt;year&gt;2014&lt;/year&gt;&lt;/dates&gt;&lt;publisher&gt;Blackwell Publishing Ltd&lt;/publisher&gt;&lt;isbn&gt;1745-6584&lt;/isbn&gt;&lt;urls&gt;&lt;related-urls&gt;&lt;url&gt;http://dx.doi.org/10.1111/gwat.12276&lt;/url&gt;&lt;/related-urls&gt;&lt;/urls&gt;&lt;electronic-resource-num&gt;10.1111/gwat.12276&lt;/electronic-resource-num&gt;&lt;/record&gt;&lt;/Cite&gt;&lt;/EndNote&gt;</w:instrText>
      </w:r>
      <w:r w:rsidR="00A2214B">
        <w:fldChar w:fldCharType="separate"/>
      </w:r>
      <w:r w:rsidR="00A2214B">
        <w:rPr>
          <w:noProof/>
        </w:rPr>
        <w:t>[</w:t>
      </w:r>
      <w:hyperlink w:anchor="_ENREF_14" w:tooltip="Moore, 2014 #2521" w:history="1">
        <w:r w:rsidR="007A7BC9" w:rsidRPr="00336753">
          <w:rPr>
            <w:noProof/>
          </w:rPr>
          <w:t>Moore et al.</w:t>
        </w:r>
        <w:r w:rsidR="007A7BC9" w:rsidRPr="00A00E82">
          <w:rPr>
            <w:noProof/>
          </w:rPr>
          <w:t>, 2</w:t>
        </w:r>
        <w:r w:rsidR="007A7BC9">
          <w:rPr>
            <w:noProof/>
          </w:rPr>
          <w:t>014</w:t>
        </w:r>
      </w:hyperlink>
      <w:r w:rsidR="00A2214B">
        <w:rPr>
          <w:noProof/>
        </w:rPr>
        <w:t>]</w:t>
      </w:r>
      <w:r w:rsidR="00A2214B">
        <w:fldChar w:fldCharType="end"/>
      </w:r>
      <w:r w:rsidRPr="00B22DBC">
        <w:t>.</w:t>
      </w:r>
      <w:r>
        <w:t xml:space="preserve"> </w:t>
      </w:r>
      <w:r w:rsidR="009A70AC" w:rsidRPr="00701966">
        <w:t>The primary advantage of single phase models is their relatively lower computational requirements (and therefore short solution calculation times) in comparison to multi</w:t>
      </w:r>
      <w:r w:rsidR="004A07A6">
        <w:t>-</w:t>
      </w:r>
      <w:r w:rsidR="009A70AC" w:rsidRPr="00701966">
        <w:t>phase models. This is of particular benefit to models featuring large spatial extents and/or long hydraulic equilibration times.</w:t>
      </w:r>
      <w:r w:rsidR="009A70AC">
        <w:t xml:space="preserve"> Furthermore, </w:t>
      </w:r>
      <w:r w:rsidR="00950113">
        <w:t>single</w:t>
      </w:r>
      <w:r w:rsidR="004A07A6">
        <w:t>-</w:t>
      </w:r>
      <w:r w:rsidR="00950113">
        <w:t xml:space="preserve">phase models are useful for initial estimates of </w:t>
      </w:r>
      <w:r w:rsidR="00406FCC">
        <w:t xml:space="preserve">unconventional gas impacts on hydrogeology, </w:t>
      </w:r>
      <w:r w:rsidR="008F4454">
        <w:t>particularly as a</w:t>
      </w:r>
      <w:r w:rsidR="0042469E">
        <w:t xml:space="preserve"> fast, </w:t>
      </w:r>
      <w:r w:rsidR="0008074A">
        <w:t>reliable</w:t>
      </w:r>
      <w:r w:rsidR="0042469E">
        <w:t xml:space="preserve"> analysis </w:t>
      </w:r>
      <w:r w:rsidR="008F4454">
        <w:t>to flag regions that require modelling in more detail.</w:t>
      </w:r>
    </w:p>
    <w:p w14:paraId="2C26A815" w14:textId="07157931" w:rsidR="00E3522B" w:rsidRDefault="004E14D9">
      <w:r>
        <w:t xml:space="preserve">This </w:t>
      </w:r>
      <w:r w:rsidR="009A16F0">
        <w:t>report</w:t>
      </w:r>
      <w:r>
        <w:t xml:space="preserve"> outlines the development </w:t>
      </w:r>
      <w:r w:rsidR="00F463B6">
        <w:t xml:space="preserve">of </w:t>
      </w:r>
      <w:r w:rsidR="007A0AD9">
        <w:t xml:space="preserve">a </w:t>
      </w:r>
      <w:r w:rsidR="0097548B">
        <w:t xml:space="preserve">single-phase </w:t>
      </w:r>
      <w:r w:rsidR="007A0AD9">
        <w:t xml:space="preserve">numerical </w:t>
      </w:r>
      <w:r w:rsidR="0097548B">
        <w:t xml:space="preserve">groundwater flow </w:t>
      </w:r>
      <w:r w:rsidR="007A0AD9">
        <w:t xml:space="preserve">model of a </w:t>
      </w:r>
      <w:r w:rsidR="00F463B6">
        <w:t>single</w:t>
      </w:r>
      <w:r w:rsidR="00112094">
        <w:t>, leaky CSG</w:t>
      </w:r>
      <w:r w:rsidR="00F463B6">
        <w:t xml:space="preserve"> well </w:t>
      </w:r>
      <w:r w:rsidR="0097548B">
        <w:t xml:space="preserve">to explore </w:t>
      </w:r>
      <w:r w:rsidR="0097548B" w:rsidRPr="005B01F9">
        <w:t xml:space="preserve">the parametric space under which </w:t>
      </w:r>
      <w:r w:rsidR="0097548B">
        <w:t xml:space="preserve">measurable changes to the groundwater balance and heads </w:t>
      </w:r>
      <w:r w:rsidR="0097548B" w:rsidRPr="005B01F9">
        <w:t>can occur</w:t>
      </w:r>
      <w:r w:rsidR="0097548B">
        <w:t xml:space="preserve">. The single-well evaluation reported here is </w:t>
      </w:r>
      <w:r w:rsidR="00E3522B">
        <w:t xml:space="preserve">a precursor to </w:t>
      </w:r>
      <w:r w:rsidR="0097548B">
        <w:t xml:space="preserve">a future regional-scale application in which </w:t>
      </w:r>
      <w:r w:rsidR="00E3522B">
        <w:t xml:space="preserve">the cumulative </w:t>
      </w:r>
      <w:r w:rsidR="0097548B">
        <w:t>effects</w:t>
      </w:r>
      <w:r w:rsidR="00E3522B">
        <w:t xml:space="preserve"> of </w:t>
      </w:r>
      <w:r w:rsidR="0097548B">
        <w:t xml:space="preserve">several hundred </w:t>
      </w:r>
      <w:r w:rsidR="00E3522B">
        <w:t xml:space="preserve">leaky CSG wells </w:t>
      </w:r>
      <w:r w:rsidR="0097548B">
        <w:t>will be evaluated</w:t>
      </w:r>
      <w:r w:rsidR="00E3522B">
        <w:t xml:space="preserve">. </w:t>
      </w:r>
      <w:r w:rsidR="00E3522B" w:rsidRPr="00A2214B">
        <w:t xml:space="preserve">The research was </w:t>
      </w:r>
      <w:r w:rsidR="0097548B" w:rsidRPr="00A2214B">
        <w:t xml:space="preserve">also </w:t>
      </w:r>
      <w:r w:rsidR="00E3522B" w:rsidRPr="00A2214B">
        <w:t xml:space="preserve">intended to determine </w:t>
      </w:r>
      <w:r w:rsidR="0013147D" w:rsidRPr="00A2214B">
        <w:t xml:space="preserve">(i) </w:t>
      </w:r>
      <w:r w:rsidR="00E3522B" w:rsidRPr="00A2214B">
        <w:t xml:space="preserve">whether the </w:t>
      </w:r>
      <w:r w:rsidR="0013147D" w:rsidRPr="00A2214B">
        <w:t xml:space="preserve">available </w:t>
      </w:r>
      <w:r w:rsidR="0097548B" w:rsidRPr="00A2214B">
        <w:t>numerical implementation</w:t>
      </w:r>
      <w:r w:rsidR="0013147D" w:rsidRPr="00A2214B">
        <w:t>s</w:t>
      </w:r>
      <w:r w:rsidR="0097548B" w:rsidRPr="00A2214B">
        <w:t xml:space="preserve"> </w:t>
      </w:r>
      <w:r w:rsidR="0013147D" w:rsidRPr="00A2214B">
        <w:t xml:space="preserve">in MODFLOW </w:t>
      </w:r>
      <w:r w:rsidR="0097548B" w:rsidRPr="00A2214B">
        <w:t xml:space="preserve">of seepage pathways </w:t>
      </w:r>
      <w:r w:rsidR="0013147D" w:rsidRPr="00A2214B">
        <w:t xml:space="preserve">via leaky wells </w:t>
      </w:r>
      <w:r w:rsidR="00E3522B" w:rsidRPr="00A2214B">
        <w:t xml:space="preserve">are suitable for modelling this type of problem, </w:t>
      </w:r>
      <w:r w:rsidR="0013147D" w:rsidRPr="00A2214B">
        <w:t>(ii) what a</w:t>
      </w:r>
      <w:r w:rsidR="00E3522B" w:rsidRPr="00A2214B">
        <w:t xml:space="preserve">n acceptable </w:t>
      </w:r>
      <w:r w:rsidR="0013147D" w:rsidRPr="00A2214B">
        <w:t xml:space="preserve">spatial </w:t>
      </w:r>
      <w:r w:rsidR="00E3522B" w:rsidRPr="00A2214B">
        <w:t xml:space="preserve">discretisation around the wells </w:t>
      </w:r>
      <w:r w:rsidR="0013147D" w:rsidRPr="00A2214B">
        <w:t xml:space="preserve">would be for future implementation </w:t>
      </w:r>
      <w:r w:rsidR="00E3522B" w:rsidRPr="00A2214B">
        <w:t xml:space="preserve">in the regional model, and </w:t>
      </w:r>
      <w:r w:rsidR="0013147D" w:rsidRPr="00A2214B">
        <w:t>(iii</w:t>
      </w:r>
      <w:r w:rsidR="0013147D" w:rsidRPr="00693FC0">
        <w:t xml:space="preserve">) </w:t>
      </w:r>
      <w:r w:rsidR="00E3522B" w:rsidRPr="00693FC0">
        <w:t xml:space="preserve">the validity of the </w:t>
      </w:r>
      <w:r w:rsidR="0013147D" w:rsidRPr="00693FC0">
        <w:t xml:space="preserve">numerical </w:t>
      </w:r>
      <w:r w:rsidR="00E3522B" w:rsidRPr="00693FC0">
        <w:t>models against analytical solutions.</w:t>
      </w:r>
    </w:p>
    <w:p w14:paraId="620AFEB3" w14:textId="269C082B" w:rsidR="00EC348C" w:rsidRDefault="00B81BA9">
      <w:r>
        <w:t xml:space="preserve">Several hydrologic metrics for detecting change to a groundwater system </w:t>
      </w:r>
      <w:r w:rsidR="00601BC5">
        <w:t xml:space="preserve">due to enhanced inter-aquifer connectivity </w:t>
      </w:r>
      <w:r>
        <w:t xml:space="preserve">have been considered. </w:t>
      </w:r>
      <w:r w:rsidR="00EC348C">
        <w:t xml:space="preserve">At </w:t>
      </w:r>
      <w:r w:rsidR="003A1176">
        <w:t>the</w:t>
      </w:r>
      <w:r w:rsidR="00EC348C">
        <w:t xml:space="preserve"> local scale, the </w:t>
      </w:r>
      <w:r w:rsidR="009902B9">
        <w:t>first metric</w:t>
      </w:r>
      <w:r w:rsidR="00EC348C">
        <w:t xml:space="preserve"> determine</w:t>
      </w:r>
      <w:r w:rsidR="006E54A9">
        <w:t>s</w:t>
      </w:r>
      <w:r w:rsidR="00EC348C">
        <w:t xml:space="preserve"> the </w:t>
      </w:r>
      <w:r w:rsidR="0047193D">
        <w:t xml:space="preserve">relative contribution </w:t>
      </w:r>
      <w:r w:rsidR="006771F9">
        <w:t>to inter-aquifer groundwater exchange from</w:t>
      </w:r>
      <w:r w:rsidR="0047193D">
        <w:t xml:space="preserve"> leaky, abandoned or repurposed CSG wells </w:t>
      </w:r>
      <w:r w:rsidR="006771F9">
        <w:t>versus flow through aquitards for a parameter space relevant to Australian sedimentary coal basins</w:t>
      </w:r>
      <w:r>
        <w:t xml:space="preserve">. </w:t>
      </w:r>
      <w:r w:rsidR="003A1176">
        <w:t xml:space="preserve">The second metric </w:t>
      </w:r>
      <w:r w:rsidR="0047193D">
        <w:t>determin</w:t>
      </w:r>
      <w:r w:rsidR="006E54A9">
        <w:t>es</w:t>
      </w:r>
      <w:r w:rsidR="0047193D">
        <w:t xml:space="preserve"> the sensitivity of aquifer recovery time </w:t>
      </w:r>
      <w:r w:rsidR="003A1176">
        <w:t xml:space="preserve">in the post-production phase </w:t>
      </w:r>
      <w:r w:rsidR="0047193D">
        <w:t>to various hydrogeological parameters</w:t>
      </w:r>
      <w:r w:rsidR="005C5E60">
        <w:t>.</w:t>
      </w:r>
      <w:r w:rsidR="00FE2609">
        <w:t xml:space="preserve"> The third metric quantifies the (maximum) head changes during or after the gas extraction phase.</w:t>
      </w:r>
    </w:p>
    <w:p w14:paraId="5ADA0765" w14:textId="02659FD8" w:rsidR="00221500" w:rsidRDefault="00221500" w:rsidP="00221500">
      <w:pPr>
        <w:pStyle w:val="Heading1"/>
      </w:pPr>
      <w:bookmarkStart w:id="467" w:name="_Toc452449142"/>
      <w:r>
        <w:t>Conceptualisation</w:t>
      </w:r>
      <w:r w:rsidR="00C15753">
        <w:t xml:space="preserve"> of leaky well</w:t>
      </w:r>
      <w:r w:rsidR="008916B1">
        <w:t>s</w:t>
      </w:r>
      <w:bookmarkEnd w:id="467"/>
    </w:p>
    <w:p w14:paraId="0069DEA9" w14:textId="788FB363" w:rsidR="0075292E" w:rsidRDefault="0075292E" w:rsidP="00287A00">
      <w:pPr>
        <w:pStyle w:val="Heading2"/>
      </w:pPr>
      <w:bookmarkStart w:id="468" w:name="_Toc452449143"/>
      <w:r>
        <w:t>Seepage pathway conceptualisation</w:t>
      </w:r>
      <w:bookmarkEnd w:id="468"/>
    </w:p>
    <w:p w14:paraId="2B5C240C" w14:textId="39599243" w:rsidR="005C0219" w:rsidRDefault="00751A0C">
      <w:r>
        <w:t xml:space="preserve">In </w:t>
      </w:r>
      <w:r w:rsidRPr="00287A00">
        <w:t xml:space="preserve">a </w:t>
      </w:r>
      <w:r>
        <w:t xml:space="preserve">recent </w:t>
      </w:r>
      <w:r w:rsidRPr="00287A00">
        <w:t>review</w:t>
      </w:r>
      <w:r w:rsidR="00B66D97">
        <w:t xml:space="preserve"> of </w:t>
      </w:r>
      <w:r w:rsidR="00EF5C08">
        <w:t xml:space="preserve">national and international literature </w:t>
      </w:r>
      <w:r w:rsidRPr="00287A00">
        <w:t>o</w:t>
      </w:r>
      <w:r>
        <w:t>n</w:t>
      </w:r>
      <w:r w:rsidRPr="00287A00">
        <w:t xml:space="preserve"> </w:t>
      </w:r>
      <w:r>
        <w:t>b</w:t>
      </w:r>
      <w:r w:rsidRPr="00C358AA">
        <w:t>ore and well induced inter-aquifer connectivity</w:t>
      </w:r>
      <w:r>
        <w:t xml:space="preserve">, </w:t>
      </w:r>
      <w:r w:rsidRPr="00A2214B">
        <w:t xml:space="preserve">Wu et al. </w:t>
      </w:r>
      <w:r w:rsidR="00A2214B" w:rsidRPr="00A2214B">
        <w:fldChar w:fldCharType="begin"/>
      </w:r>
      <w:r w:rsidR="00A2214B" w:rsidRPr="00A2214B">
        <w:instrText xml:space="preserve"> ADDIN EN.CITE &lt;EndNote&gt;&lt;Cite ExcludeAuth="1"&gt;&lt;Author&gt;Wu&lt;/Author&gt;&lt;Year&gt;2016&lt;/Year&gt;&lt;RecNum&gt;2632&lt;/RecNum&gt;&lt;DisplayText&gt;[2016]&lt;/DisplayText&gt;&lt;record&gt;&lt;rec-number&gt;2632&lt;/rec-number&gt;&lt;foreign-keys&gt;&lt;key app="EN" db-id="sawsrtr20e9dd8ewz5evfttuv5erw5fa22tr"&gt;2632&lt;/key&gt;&lt;/foreign-keys&gt;&lt;ref-type name="Report"&gt;27&lt;/ref-type&gt;&lt;contributors&gt;&lt;authors&gt;&lt;author&gt;Wu, B.&lt;/author&gt;&lt;author&gt;Doble, R.&lt;/author&gt;&lt;author&gt;Turnadge, C.&lt;/author&gt;&lt;author&gt;Mallants, D.&lt;/author&gt;&lt;/authors&gt;&lt;/contributors&gt;&lt;titles&gt;&lt;title&gt;Bore and well induced inter-aquifer connectivity: a review of literature on failure mechanisms and conceptualisation of hydrocarbon reservoir-aquifer failure pathways. Prepared by the Commonwealth Scientific and Industrial Research Organisation CSIRO, Canberra.&lt;/title&gt;&lt;/titles&gt;&lt;dates&gt;&lt;year&gt;2016&lt;/year&gt;&lt;/dates&gt;&lt;urls&gt;&lt;/urls&gt;&lt;/record&gt;&lt;/Cite&gt;&lt;/EndNote&gt;</w:instrText>
      </w:r>
      <w:r w:rsidR="00A2214B" w:rsidRPr="00A2214B">
        <w:fldChar w:fldCharType="separate"/>
      </w:r>
      <w:r w:rsidR="00A2214B" w:rsidRPr="00A2214B">
        <w:rPr>
          <w:noProof/>
        </w:rPr>
        <w:t>[</w:t>
      </w:r>
      <w:hyperlink w:anchor="_ENREF_25" w:tooltip="Wu, 2016 #2632" w:history="1">
        <w:r w:rsidR="007A7BC9" w:rsidRPr="00A2214B">
          <w:rPr>
            <w:noProof/>
          </w:rPr>
          <w:t>201</w:t>
        </w:r>
      </w:hyperlink>
      <w:r w:rsidR="003D2865">
        <w:rPr>
          <w:noProof/>
        </w:rPr>
        <w:t>8</w:t>
      </w:r>
      <w:r w:rsidR="00A2214B" w:rsidRPr="00A2214B">
        <w:rPr>
          <w:noProof/>
        </w:rPr>
        <w:t>]</w:t>
      </w:r>
      <w:r w:rsidR="00A2214B" w:rsidRPr="00A2214B">
        <w:fldChar w:fldCharType="end"/>
      </w:r>
      <w:r w:rsidRPr="00A2214B">
        <w:t xml:space="preserve"> sum</w:t>
      </w:r>
      <w:r>
        <w:t xml:space="preserve">marised well </w:t>
      </w:r>
      <w:r w:rsidRPr="00287A00">
        <w:t xml:space="preserve">failure mechanisms and </w:t>
      </w:r>
      <w:r>
        <w:t xml:space="preserve">developed several </w:t>
      </w:r>
      <w:r w:rsidRPr="00287A00">
        <w:t>conceptualisation</w:t>
      </w:r>
      <w:r>
        <w:t>s</w:t>
      </w:r>
      <w:r w:rsidRPr="00287A00">
        <w:t xml:space="preserve"> of </w:t>
      </w:r>
      <w:r>
        <w:t xml:space="preserve">plausible </w:t>
      </w:r>
      <w:r w:rsidRPr="00287A00">
        <w:t>hydrocarbon reservoir-aquifer failure pathways</w:t>
      </w:r>
      <w:r>
        <w:t xml:space="preserve">.  </w:t>
      </w:r>
      <w:r w:rsidR="00AA4447">
        <w:t>Four major pathways - and their conceptualisations -</w:t>
      </w:r>
      <w:r w:rsidR="00AA4447" w:rsidRPr="00994671">
        <w:t xml:space="preserve"> </w:t>
      </w:r>
      <w:r w:rsidR="00AA4447">
        <w:t xml:space="preserve">for movement of water between strata </w:t>
      </w:r>
      <w:r w:rsidR="00B66D97">
        <w:t>were</w:t>
      </w:r>
      <w:r w:rsidR="00AA4447">
        <w:t xml:space="preserve"> identified: (i) pathways linked to uncased exploration bores, (ii) pathways linked to decommissioned production wells, (iii) pathways linked to oil and gas wells repurposed for water extraction</w:t>
      </w:r>
      <w:r w:rsidR="00AA2BB7">
        <w:t xml:space="preserve"> and water bores with degraded casing</w:t>
      </w:r>
      <w:r w:rsidR="00AA4447">
        <w:t xml:space="preserve">, and (iv) </w:t>
      </w:r>
      <w:r w:rsidR="00AA2BB7">
        <w:t xml:space="preserve">natural </w:t>
      </w:r>
      <w:r w:rsidR="00AA4447">
        <w:t xml:space="preserve">pathways linked to fractures and faults between wellbores and surficial aquifers. </w:t>
      </w:r>
      <w:r w:rsidR="005F61B3">
        <w:t xml:space="preserve">For the purpose of this study, one representative conceptualisation will be taken forward to (i) test the </w:t>
      </w:r>
      <w:r w:rsidR="005F61B3" w:rsidRPr="00287A00">
        <w:t xml:space="preserve">suitability of available numerical implementations in MODFLOW of seepage pathways via leaky wells, (ii) explore the effect of spatial discretisation on metrics of change, and (iii) </w:t>
      </w:r>
      <w:r w:rsidR="005F61B3" w:rsidRPr="00693FC0">
        <w:t>compare the numerical models with analytical solutions.</w:t>
      </w:r>
      <w:r w:rsidR="005F61B3" w:rsidRPr="00287A00">
        <w:t xml:space="preserve"> </w:t>
      </w:r>
    </w:p>
    <w:p w14:paraId="54E0C41E" w14:textId="6B973082" w:rsidR="005C0219" w:rsidRPr="00287A00" w:rsidRDefault="005C0219" w:rsidP="005C0219">
      <w:r>
        <w:t>The conceptualisation for pathways linked to decommissioned production wells</w:t>
      </w:r>
      <w:r w:rsidRPr="005C0219">
        <w:t xml:space="preserve"> </w:t>
      </w:r>
      <w:r>
        <w:t xml:space="preserve">is selected for the purpose of this study. </w:t>
      </w:r>
      <w:r w:rsidRPr="00287A00">
        <w:t>In decommissioned and abandoned wells, loss of integrity may lead to the following pathways for water migration</w:t>
      </w:r>
      <w:r w:rsidR="00FE4021">
        <w:t xml:space="preserve"> </w:t>
      </w:r>
      <w:r w:rsidR="00FE4021" w:rsidRPr="00A2214B">
        <w:fldChar w:fldCharType="begin"/>
      </w:r>
      <w:r w:rsidR="00FE4021">
        <w:instrText xml:space="preserve"> ADDIN EN.CITE &lt;EndNote&gt;&lt;Cite&gt;&lt;Author&gt;Wu&lt;/Author&gt;&lt;Year&gt;2016&lt;/Year&gt;&lt;RecNum&gt;2632&lt;/RecNum&gt;&lt;DisplayText&gt;[&lt;style face="italic"&gt;Wu et al.&lt;/style&gt;, 2016]&lt;/DisplayText&gt;&lt;record&gt;&lt;rec-number&gt;2632&lt;/rec-number&gt;&lt;foreign-keys&gt;&lt;key app="EN" db-id="sawsrtr20e9dd8ewz5evfttuv5erw5fa22tr"&gt;2632&lt;/key&gt;&lt;/foreign-keys&gt;&lt;ref-type name="Report"&gt;27&lt;/ref-type&gt;&lt;contributors&gt;&lt;authors&gt;&lt;author&gt;Wu, B.&lt;/author&gt;&lt;author&gt;Doble, R.&lt;/author&gt;&lt;author&gt;Turnadge, C.&lt;/author&gt;&lt;author&gt;Mallants, D.&lt;/author&gt;&lt;/authors&gt;&lt;/contributors&gt;&lt;titles&gt;&lt;title&gt;Bore and well induced inter-aquifer connectivity: a review of literature on failure mechanisms and conceptualisation of hydrocarbon reservoir-aquifer failure pathways. Prepared by the Commonwealth Scientific and Industrial Research Organisation CSIRO, Canberra.&lt;/title&gt;&lt;/titles&gt;&lt;dates&gt;&lt;year&gt;2016&lt;/year&gt;&lt;/dates&gt;&lt;urls&gt;&lt;/urls&gt;&lt;/record&gt;&lt;/Cite&gt;&lt;/EndNote&gt;</w:instrText>
      </w:r>
      <w:r w:rsidR="00FE4021" w:rsidRPr="00A2214B">
        <w:fldChar w:fldCharType="separate"/>
      </w:r>
      <w:r w:rsidR="00FE4021">
        <w:rPr>
          <w:noProof/>
        </w:rPr>
        <w:t>[</w:t>
      </w:r>
      <w:hyperlink w:anchor="_ENREF_25" w:tooltip="Wu, 2016 #2632" w:history="1">
        <w:r w:rsidR="007A7BC9" w:rsidRPr="00336753">
          <w:rPr>
            <w:noProof/>
          </w:rPr>
          <w:t>Wu et al.</w:t>
        </w:r>
        <w:r w:rsidR="007A7BC9">
          <w:rPr>
            <w:noProof/>
          </w:rPr>
          <w:t>, 201</w:t>
        </w:r>
      </w:hyperlink>
      <w:r w:rsidR="003D2865">
        <w:rPr>
          <w:noProof/>
        </w:rPr>
        <w:t>8</w:t>
      </w:r>
      <w:r w:rsidR="00FE4021">
        <w:rPr>
          <w:noProof/>
        </w:rPr>
        <w:t>]</w:t>
      </w:r>
      <w:r w:rsidR="00FE4021" w:rsidRPr="00A2214B">
        <w:fldChar w:fldCharType="end"/>
      </w:r>
      <w:r w:rsidRPr="00287A00">
        <w:t xml:space="preserve"> (</w:t>
      </w:r>
      <w:r>
        <w:fldChar w:fldCharType="begin"/>
      </w:r>
      <w:r>
        <w:instrText xml:space="preserve"> REF _Ref449523517 \h </w:instrText>
      </w:r>
      <w:r>
        <w:fldChar w:fldCharType="separate"/>
      </w:r>
      <w:r w:rsidR="002E45AF">
        <w:t xml:space="preserve">Figure </w:t>
      </w:r>
      <w:r w:rsidR="002E45AF">
        <w:rPr>
          <w:noProof/>
        </w:rPr>
        <w:t>1</w:t>
      </w:r>
      <w:r>
        <w:fldChar w:fldCharType="end"/>
      </w:r>
      <w:r w:rsidRPr="00287A00">
        <w:t>):</w:t>
      </w:r>
    </w:p>
    <w:p w14:paraId="4DD0A35E" w14:textId="6206C0A5" w:rsidR="005C0219" w:rsidRPr="00336753" w:rsidRDefault="005C0219" w:rsidP="006562EA">
      <w:pPr>
        <w:pStyle w:val="ListParagraph"/>
        <w:numPr>
          <w:ilvl w:val="0"/>
          <w:numId w:val="23"/>
        </w:numPr>
        <w:rPr>
          <w:sz w:val="22"/>
          <w:szCs w:val="22"/>
        </w:rPr>
      </w:pPr>
      <w:r w:rsidRPr="00336753">
        <w:rPr>
          <w:sz w:val="22"/>
          <w:szCs w:val="22"/>
        </w:rPr>
        <w:t>through a microannulus between the cement casing and the soil/rock matrix (1) or the steel well casing (2)</w:t>
      </w:r>
    </w:p>
    <w:p w14:paraId="58181946" w14:textId="527B91CF" w:rsidR="005C0219" w:rsidRPr="00336753" w:rsidRDefault="005C0219" w:rsidP="006562EA">
      <w:pPr>
        <w:pStyle w:val="ListParagraph"/>
        <w:numPr>
          <w:ilvl w:val="0"/>
          <w:numId w:val="23"/>
        </w:numPr>
        <w:rPr>
          <w:sz w:val="22"/>
          <w:szCs w:val="22"/>
        </w:rPr>
      </w:pPr>
      <w:r w:rsidRPr="00336753">
        <w:rPr>
          <w:sz w:val="22"/>
          <w:szCs w:val="22"/>
        </w:rPr>
        <w:t>through a deteriorated cement sheath between the well casing and soil/rock matrix (3)</w:t>
      </w:r>
    </w:p>
    <w:p w14:paraId="2F8E8140" w14:textId="69959C5F" w:rsidR="005C0219" w:rsidRPr="00336753" w:rsidRDefault="005C0219" w:rsidP="006562EA">
      <w:pPr>
        <w:pStyle w:val="ListParagraph"/>
        <w:numPr>
          <w:ilvl w:val="0"/>
          <w:numId w:val="23"/>
        </w:numPr>
        <w:rPr>
          <w:sz w:val="22"/>
          <w:szCs w:val="22"/>
        </w:rPr>
      </w:pPr>
      <w:r w:rsidRPr="00336753">
        <w:rPr>
          <w:sz w:val="22"/>
          <w:szCs w:val="22"/>
        </w:rPr>
        <w:t>through deteriorated cement plugs used in decommissioning (4, 5), and</w:t>
      </w:r>
    </w:p>
    <w:p w14:paraId="09014088" w14:textId="2B9CD11D" w:rsidR="005C0219" w:rsidRPr="00336753" w:rsidRDefault="005C0219" w:rsidP="006562EA">
      <w:pPr>
        <w:pStyle w:val="ListParagraph"/>
        <w:numPr>
          <w:ilvl w:val="0"/>
          <w:numId w:val="23"/>
        </w:numPr>
        <w:rPr>
          <w:sz w:val="22"/>
          <w:szCs w:val="22"/>
        </w:rPr>
      </w:pPr>
      <w:r w:rsidRPr="00336753">
        <w:rPr>
          <w:sz w:val="22"/>
          <w:szCs w:val="22"/>
        </w:rPr>
        <w:t>through the well itself, via corrosion holes, shear or tensile damage (6).</w:t>
      </w:r>
    </w:p>
    <w:p w14:paraId="6FB67043" w14:textId="5C6A816C" w:rsidR="002E1AE3" w:rsidRDefault="005C0219" w:rsidP="002E1AE3">
      <w:r w:rsidRPr="00287A00">
        <w:t xml:space="preserve">In </w:t>
      </w:r>
      <w:r w:rsidR="0059364C">
        <w:fldChar w:fldCharType="begin"/>
      </w:r>
      <w:r w:rsidR="0059364C">
        <w:instrText xml:space="preserve"> REF _Ref449523517 \h </w:instrText>
      </w:r>
      <w:r w:rsidR="00D530AE">
        <w:instrText xml:space="preserve"> \* MERGEFORMAT </w:instrText>
      </w:r>
      <w:r w:rsidR="0059364C">
        <w:fldChar w:fldCharType="separate"/>
      </w:r>
      <w:r w:rsidR="002E45AF">
        <w:t xml:space="preserve">Figure </w:t>
      </w:r>
      <w:r w:rsidR="002E45AF">
        <w:rPr>
          <w:noProof/>
        </w:rPr>
        <w:t>1</w:t>
      </w:r>
      <w:r w:rsidR="0059364C">
        <w:fldChar w:fldCharType="end"/>
      </w:r>
      <w:r w:rsidRPr="00287A00">
        <w:t xml:space="preserve"> flow is from upper aquifer to lower aquifer based on the downward head gradient (H1&gt;H2). This scenario represents the period of depressurisation during or long after gas extraction has ended (note that recovery to the initial hydraulic head condition in the coal seam formation may take hundreds of years</w:t>
      </w:r>
      <w:r w:rsidR="00A2214B">
        <w:t xml:space="preserve"> </w:t>
      </w:r>
      <w:r w:rsidR="00A2214B" w:rsidRPr="00A2214B">
        <w:fldChar w:fldCharType="begin"/>
      </w:r>
      <w:r w:rsidR="00A2214B">
        <w:instrText xml:space="preserve"> ADDIN EN.CITE &lt;EndNote&gt;&lt;Cite&gt;&lt;Author&gt;Wu&lt;/Author&gt;&lt;Year&gt;2016&lt;/Year&gt;&lt;RecNum&gt;2632&lt;/RecNum&gt;&lt;DisplayText&gt;[&lt;style face="italic"&gt;Wu et al.&lt;/style&gt;, 2016]&lt;/DisplayText&gt;&lt;record&gt;&lt;rec-number&gt;2632&lt;/rec-number&gt;&lt;foreign-keys&gt;&lt;key app="EN" db-id="sawsrtr20e9dd8ewz5evfttuv5erw5fa22tr"&gt;2632&lt;/key&gt;&lt;/foreign-keys&gt;&lt;ref-type name="Report"&gt;27&lt;/ref-type&gt;&lt;contributors&gt;&lt;authors&gt;&lt;author&gt;Wu, B.&lt;/author&gt;&lt;author&gt;Doble, R.&lt;/author&gt;&lt;author&gt;Turnadge, C.&lt;/author&gt;&lt;author&gt;Mallants, D.&lt;/author&gt;&lt;/authors&gt;&lt;/contributors&gt;&lt;titles&gt;&lt;title&gt;Bore and well induced inter-aquifer connectivity: a review of literature on failure mechanisms and conceptualisation of hydrocarbon reservoir-aquifer failure pathways. Prepared by the Commonwealth Scientific and Industrial Research Organisation CSIRO, Canberra.&lt;/title&gt;&lt;/titles&gt;&lt;dates&gt;&lt;year&gt;2016&lt;/year&gt;&lt;/dates&gt;&lt;urls&gt;&lt;/urls&gt;&lt;/record&gt;&lt;/Cite&gt;&lt;/EndNote&gt;</w:instrText>
      </w:r>
      <w:r w:rsidR="00A2214B" w:rsidRPr="00A2214B">
        <w:fldChar w:fldCharType="separate"/>
      </w:r>
      <w:r w:rsidR="00A2214B">
        <w:rPr>
          <w:noProof/>
        </w:rPr>
        <w:t>[</w:t>
      </w:r>
      <w:hyperlink w:anchor="_ENREF_25" w:tooltip="Wu, 2016 #2632" w:history="1">
        <w:r w:rsidR="007A7BC9" w:rsidRPr="00336753">
          <w:rPr>
            <w:noProof/>
          </w:rPr>
          <w:t>Wu et al.</w:t>
        </w:r>
        <w:r w:rsidR="007A7BC9">
          <w:rPr>
            <w:noProof/>
          </w:rPr>
          <w:t>, 201</w:t>
        </w:r>
      </w:hyperlink>
      <w:r w:rsidR="003D2865">
        <w:rPr>
          <w:noProof/>
        </w:rPr>
        <w:t>8</w:t>
      </w:r>
      <w:r w:rsidR="00A2214B">
        <w:rPr>
          <w:noProof/>
        </w:rPr>
        <w:t>]</w:t>
      </w:r>
      <w:r w:rsidR="00A2214B" w:rsidRPr="00A2214B">
        <w:fldChar w:fldCharType="end"/>
      </w:r>
      <w:r w:rsidR="00365D10">
        <w:t>)</w:t>
      </w:r>
      <w:r w:rsidRPr="00287A00">
        <w:t>. When an upward gradient exists (H2&gt;H1</w:t>
      </w:r>
      <w:r w:rsidR="00ED487E">
        <w:t>+h, where h is the height of aquifer 2 above aquifer 1</w:t>
      </w:r>
      <w:r w:rsidRPr="00287A00">
        <w:t xml:space="preserve">), flow will be from the lower to the upper aquifer. The latter condition was observed both pre-CSG and post-CSG extraction in several locations of </w:t>
      </w:r>
      <w:r w:rsidR="00365D10">
        <w:t>a</w:t>
      </w:r>
      <w:r w:rsidRPr="00287A00">
        <w:t xml:space="preserve"> </w:t>
      </w:r>
      <w:r w:rsidR="0059364C">
        <w:t xml:space="preserve">regional </w:t>
      </w:r>
      <w:r w:rsidRPr="00287A00">
        <w:t xml:space="preserve">groundwater model </w:t>
      </w:r>
      <w:r w:rsidR="0059364C">
        <w:t>that provided realistic head boundary conditions</w:t>
      </w:r>
      <w:r w:rsidR="00365D10">
        <w:t xml:space="preserve"> for the current study</w:t>
      </w:r>
      <w:r w:rsidR="0059364C" w:rsidRPr="00365D10">
        <w:t xml:space="preserve"> </w:t>
      </w:r>
      <w:r w:rsidR="00A2214B" w:rsidRPr="00365D10">
        <w:fldChar w:fldCharType="begin"/>
      </w:r>
      <w:r w:rsidR="00A2214B" w:rsidRPr="00365D10">
        <w:instrText xml:space="preserve"> ADDIN EN.CITE &lt;EndNote&gt;&lt;Cite&gt;&lt;Author&gt;Wu&lt;/Author&gt;&lt;Year&gt;2016&lt;/Year&gt;&lt;RecNum&gt;2632&lt;/RecNum&gt;&lt;DisplayText&gt;[&lt;style face="italic"&gt;Wu et al.&lt;/style&gt;, 2016]&lt;/DisplayText&gt;&lt;record&gt;&lt;rec-number&gt;2632&lt;/rec-number&gt;&lt;foreign-keys&gt;&lt;key app="EN" db-id="sawsrtr20e9dd8ewz5evfttuv5erw5fa22tr"&gt;2632&lt;/key&gt;&lt;/foreign-keys&gt;&lt;ref-type name="Report"&gt;27&lt;/ref-type&gt;&lt;contributors&gt;&lt;authors&gt;&lt;author&gt;Wu, B.&lt;/author&gt;&lt;author&gt;Doble, R.&lt;/author&gt;&lt;author&gt;Turnadge, C.&lt;/author&gt;&lt;author&gt;Mallants, D.&lt;/author&gt;&lt;/authors&gt;&lt;/contributors&gt;&lt;titles&gt;&lt;title&gt;Bore and well induced inter-aquifer connectivity: a review of literature on failure mechanisms and conceptualisation of hydrocarbon reservoir-aquifer failure pathways. Prepared by the Commonwealth Scientific and Industrial Research Organisation CSIRO, Canberra.&lt;/title&gt;&lt;/titles&gt;&lt;dates&gt;&lt;year&gt;2016&lt;/year&gt;&lt;/dates&gt;&lt;urls&gt;&lt;/urls&gt;&lt;/record&gt;&lt;/Cite&gt;&lt;/EndNote&gt;</w:instrText>
      </w:r>
      <w:r w:rsidR="00A2214B" w:rsidRPr="00365D10">
        <w:fldChar w:fldCharType="separate"/>
      </w:r>
      <w:r w:rsidR="00A2214B" w:rsidRPr="00365D10">
        <w:rPr>
          <w:noProof/>
        </w:rPr>
        <w:t>[</w:t>
      </w:r>
      <w:hyperlink w:anchor="_ENREF_25" w:tooltip="Wu, 2016 #2632" w:history="1">
        <w:r w:rsidR="007A7BC9" w:rsidRPr="00336753">
          <w:rPr>
            <w:noProof/>
          </w:rPr>
          <w:t>Wu et al.</w:t>
        </w:r>
        <w:r w:rsidR="007A7BC9" w:rsidRPr="00365D10">
          <w:rPr>
            <w:noProof/>
          </w:rPr>
          <w:t>, 201</w:t>
        </w:r>
      </w:hyperlink>
      <w:r w:rsidR="003D2865">
        <w:rPr>
          <w:noProof/>
        </w:rPr>
        <w:t>8</w:t>
      </w:r>
      <w:r w:rsidR="00A2214B" w:rsidRPr="00365D10">
        <w:rPr>
          <w:noProof/>
        </w:rPr>
        <w:t>]</w:t>
      </w:r>
      <w:r w:rsidR="00A2214B" w:rsidRPr="00365D10">
        <w:fldChar w:fldCharType="end"/>
      </w:r>
      <w:r w:rsidRPr="00287A00">
        <w:t xml:space="preserve">. </w:t>
      </w:r>
      <w:r w:rsidR="002E1AE3">
        <w:t xml:space="preserve">Although this scenario involves a gas-saturated hydrocarbon reservoir, with a gradually decreasing gas phase as the reservoir re-saturates, it is conceptualised here as single-phase water-saturated system to allow use of a single-phase groundwater flow model. It has been demonstrated that conceptualisation of groundwater flow problems associated with CSG production using single-phase models will over predict drawdown, as higher pressures are required to remove water from rock matrix where gas replacement is not modelled </w:t>
      </w:r>
      <w:r w:rsidR="002E1AE3">
        <w:fldChar w:fldCharType="begin"/>
      </w:r>
      <w:r w:rsidR="002E1AE3">
        <w:instrText xml:space="preserve"> ADDIN EN.CITE &lt;EndNote&gt;&lt;Cite&gt;&lt;Author&gt;Moore&lt;/Author&gt;&lt;Year&gt;2014&lt;/Year&gt;&lt;RecNum&gt;2521&lt;/RecNum&gt;&lt;DisplayText&gt;[&lt;style face="italic"&gt;Moore et al.&lt;/style&gt;, 2014]&lt;/DisplayText&gt;&lt;record&gt;&lt;rec-number&gt;2521&lt;/rec-number&gt;&lt;foreign-keys&gt;&lt;key app="EN" db-id="sawsrtr20e9dd8ewz5evfttuv5erw5fa22tr"&gt;2521&lt;/key&gt;&lt;/foreign-keys&gt;&lt;ref-type name="Journal Article"&gt;17&lt;/ref-type&gt;&lt;contributors&gt;&lt;authors&gt;&lt;author&gt;Moore, Catherine R.&lt;/author&gt;&lt;author&gt;Doherty, John&lt;/author&gt;&lt;author&gt;Howell, Stephen&lt;/author&gt;&lt;author&gt;Erriah, Leon&lt;/author&gt;&lt;/authors&gt;&lt;/contributors&gt;&lt;titles&gt;&lt;title&gt;Some Challenges Posed by Coal Bed Methane Regional Assessment Modeling&lt;/title&gt;&lt;secondary-title&gt;Groundwater&lt;/secondary-title&gt;&lt;/titles&gt;&lt;periodical&gt;&lt;full-title&gt;Groundwater&lt;/full-title&gt;&lt;/periodical&gt;&lt;volume&gt;53&lt;/volume&gt;&lt;number&gt;5&lt;/number&gt;&lt;dates&gt;&lt;year&gt;2014&lt;/year&gt;&lt;/dates&gt;&lt;publisher&gt;Blackwell Publishing Ltd&lt;/publisher&gt;&lt;isbn&gt;1745-6584&lt;/isbn&gt;&lt;urls&gt;&lt;related-urls&gt;&lt;url&gt;http://dx.doi.org/10.1111/gwat.12276&lt;/url&gt;&lt;/related-urls&gt;&lt;/urls&gt;&lt;electronic-resource-num&gt;10.1111/gwat.12276&lt;/electronic-resource-num&gt;&lt;/record&gt;&lt;/Cite&gt;&lt;/EndNote&gt;</w:instrText>
      </w:r>
      <w:r w:rsidR="002E1AE3">
        <w:fldChar w:fldCharType="separate"/>
      </w:r>
      <w:r w:rsidR="002E1AE3">
        <w:rPr>
          <w:noProof/>
        </w:rPr>
        <w:t>[</w:t>
      </w:r>
      <w:hyperlink w:anchor="_ENREF_14" w:tooltip="Moore, 2014 #2521" w:history="1">
        <w:r w:rsidR="002E1AE3" w:rsidRPr="00D11A32">
          <w:rPr>
            <w:noProof/>
          </w:rPr>
          <w:t xml:space="preserve">Moore et al., </w:t>
        </w:r>
        <w:r w:rsidR="002E1AE3">
          <w:rPr>
            <w:noProof/>
          </w:rPr>
          <w:t>2014</w:t>
        </w:r>
      </w:hyperlink>
      <w:r w:rsidR="002E1AE3">
        <w:rPr>
          <w:noProof/>
        </w:rPr>
        <w:t>]</w:t>
      </w:r>
      <w:r w:rsidR="002E1AE3">
        <w:fldChar w:fldCharType="end"/>
      </w:r>
      <w:r w:rsidR="002E1AE3">
        <w:t xml:space="preserve">. For this reason, the drawdown results from the single-phase groundwater flow modelling presented in this report are </w:t>
      </w:r>
      <w:r w:rsidR="00786DA8">
        <w:t xml:space="preserve">likely </w:t>
      </w:r>
      <w:r w:rsidR="002E1AE3">
        <w:t xml:space="preserve">conservative. If the predicted impact is significant, a multi-phase flow modelling </w:t>
      </w:r>
      <w:r w:rsidR="00786DA8">
        <w:t xml:space="preserve">approach </w:t>
      </w:r>
      <w:r w:rsidR="002E1AE3">
        <w:t>may be necessary for a more exact quantification.</w:t>
      </w:r>
    </w:p>
    <w:p w14:paraId="7FBF79F4" w14:textId="77777777" w:rsidR="002E1AE3" w:rsidRPr="00287A00" w:rsidRDefault="002E1AE3" w:rsidP="00D530AE"/>
    <w:p w14:paraId="2436055A" w14:textId="77777777" w:rsidR="005C0219" w:rsidRDefault="005C0219" w:rsidP="005C0219">
      <w:pPr>
        <w:jc w:val="center"/>
        <w:rPr>
          <w:lang w:val="en-GB"/>
        </w:rPr>
      </w:pPr>
      <w:r>
        <w:rPr>
          <w:rFonts w:eastAsia="Times New Roman"/>
          <w:noProof/>
        </w:rPr>
        <w:drawing>
          <wp:inline distT="0" distB="0" distL="0" distR="0" wp14:anchorId="7CAD7C88" wp14:editId="22AA3C3E">
            <wp:extent cx="4502150" cy="5124302"/>
            <wp:effectExtent l="0" t="0" r="0" b="635"/>
            <wp:docPr id="97" name="Picture 3" descr="Diagram of a decommissioned production well"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Doble sect 2_11_ 2015.jpg"/>
                    <pic:cNvPicPr/>
                  </pic:nvPicPr>
                  <pic:blipFill>
                    <a:blip r:embed="rId16"/>
                    <a:stretch>
                      <a:fillRect/>
                    </a:stretch>
                  </pic:blipFill>
                  <pic:spPr>
                    <a:xfrm>
                      <a:off x="0" y="0"/>
                      <a:ext cx="4517916" cy="5142247"/>
                    </a:xfrm>
                    <a:prstGeom prst="rect">
                      <a:avLst/>
                    </a:prstGeom>
                  </pic:spPr>
                </pic:pic>
              </a:graphicData>
            </a:graphic>
          </wp:inline>
        </w:drawing>
      </w:r>
    </w:p>
    <w:p w14:paraId="47780AB0" w14:textId="76AD5B71" w:rsidR="005C0219" w:rsidRDefault="005C0219" w:rsidP="00D562B7">
      <w:pPr>
        <w:pStyle w:val="TableCaption"/>
      </w:pPr>
      <w:bookmarkStart w:id="469" w:name="_Ref449523517"/>
      <w:bookmarkStart w:id="470" w:name="_Ref448415154"/>
      <w:bookmarkStart w:id="471" w:name="_Toc508266507"/>
      <w:r>
        <w:t xml:space="preserve">Figure </w:t>
      </w:r>
      <w:r w:rsidR="00ED4C1C">
        <w:fldChar w:fldCharType="begin"/>
      </w:r>
      <w:r w:rsidR="00ED4C1C">
        <w:instrText xml:space="preserve"> SEQ Figure \* ARABIC </w:instrText>
      </w:r>
      <w:r w:rsidR="00ED4C1C">
        <w:fldChar w:fldCharType="separate"/>
      </w:r>
      <w:r w:rsidR="002E45AF">
        <w:rPr>
          <w:noProof/>
        </w:rPr>
        <w:t>1</w:t>
      </w:r>
      <w:r w:rsidR="00ED4C1C">
        <w:rPr>
          <w:noProof/>
        </w:rPr>
        <w:fldChar w:fldCharType="end"/>
      </w:r>
      <w:bookmarkEnd w:id="469"/>
      <w:bookmarkEnd w:id="470"/>
      <w:r>
        <w:t xml:space="preserve"> Pathways for water movement in cemented wellbores: flow through microannulus between cement and rock matrix (1) or steel casing (2), flow through deteriorated cemented annulus (3), flow through deteriorated cement plugs (4), flow through microannulus between plug and casing (5), and flow through corroded or sheared casing (6). Upward flow is equally possible when H</w:t>
      </w:r>
      <w:r w:rsidRPr="00AA3829">
        <w:rPr>
          <w:vertAlign w:val="subscript"/>
        </w:rPr>
        <w:t>2</w:t>
      </w:r>
      <w:r>
        <w:t xml:space="preserve"> &gt; H</w:t>
      </w:r>
      <w:r w:rsidRPr="00AA3829">
        <w:rPr>
          <w:vertAlign w:val="subscript"/>
        </w:rPr>
        <w:t>1</w:t>
      </w:r>
      <w:r>
        <w:t>.</w:t>
      </w:r>
      <w:r w:rsidR="00CF43F0">
        <w:t xml:space="preserve"> Not to scale</w:t>
      </w:r>
      <w:r w:rsidR="00D34998">
        <w:t xml:space="preserve"> [Wu et al. 201</w:t>
      </w:r>
      <w:r w:rsidR="003D2865">
        <w:t>8</w:t>
      </w:r>
      <w:r w:rsidR="00D34998">
        <w:t>]</w:t>
      </w:r>
      <w:r w:rsidR="003C62A3">
        <w:t>.</w:t>
      </w:r>
      <w:bookmarkEnd w:id="471"/>
    </w:p>
    <w:p w14:paraId="24417939" w14:textId="20126259" w:rsidR="00016C65" w:rsidRDefault="0086391A">
      <w:r>
        <w:t xml:space="preserve">For a single leaky </w:t>
      </w:r>
      <w:r w:rsidR="00016C65">
        <w:t>well, single</w:t>
      </w:r>
      <w:r w:rsidR="008F6A9C">
        <w:t>-</w:t>
      </w:r>
      <w:r w:rsidR="00016C65">
        <w:t xml:space="preserve">phase flow </w:t>
      </w:r>
      <w:r>
        <w:t xml:space="preserve">through the </w:t>
      </w:r>
      <w:r w:rsidR="00016C65">
        <w:t xml:space="preserve">well </w:t>
      </w:r>
      <w:r>
        <w:t xml:space="preserve">may be represented using </w:t>
      </w:r>
      <w:r w:rsidR="00016C65">
        <w:t xml:space="preserve">the </w:t>
      </w:r>
      <w:r>
        <w:t xml:space="preserve">Darcy flow </w:t>
      </w:r>
      <w:r w:rsidR="00016C65">
        <w:t>equat</w:t>
      </w:r>
      <w:r w:rsidR="005F5731">
        <w:t>ion with an effective</w:t>
      </w:r>
      <w:r w:rsidR="00016C65">
        <w:t xml:space="preserve"> well hydraulic conductivity. The flow through the well wi</w:t>
      </w:r>
      <w:r w:rsidR="005F5731">
        <w:t>ll be governed by the effective</w:t>
      </w:r>
      <w:r w:rsidR="00016C65">
        <w:t xml:space="preserve"> hydraulic conductivity, the radius of the bore hole and the head difference between the top and bottom of the well.</w:t>
      </w:r>
      <w:r w:rsidR="005C5E60">
        <w:t xml:space="preserve"> Where the effective bore conductivity is high, flow </w:t>
      </w:r>
      <w:r w:rsidR="0075292E">
        <w:t xml:space="preserve">through the bore </w:t>
      </w:r>
      <w:r w:rsidR="005C5E60">
        <w:t>may be limited by the transmissivity of the alluvial aquifer and the production zone</w:t>
      </w:r>
      <w:r w:rsidR="008F6A9C">
        <w:t xml:space="preserve"> (see discussion in </w:t>
      </w:r>
      <w:r w:rsidR="008F6A9C" w:rsidRPr="00693FC0">
        <w:t xml:space="preserve">Section </w:t>
      </w:r>
      <w:r w:rsidR="00693FC0" w:rsidRPr="00693FC0">
        <w:fldChar w:fldCharType="begin"/>
      </w:r>
      <w:r w:rsidR="00693FC0" w:rsidRPr="00693FC0">
        <w:instrText xml:space="preserve"> REF _Ref450573502 \r \h </w:instrText>
      </w:r>
      <w:r w:rsidR="00693FC0">
        <w:instrText xml:space="preserve"> \* MERGEFORMAT </w:instrText>
      </w:r>
      <w:r w:rsidR="00693FC0" w:rsidRPr="00693FC0">
        <w:fldChar w:fldCharType="separate"/>
      </w:r>
      <w:r w:rsidR="002E45AF">
        <w:t>2.2</w:t>
      </w:r>
      <w:r w:rsidR="00693FC0" w:rsidRPr="00693FC0">
        <w:fldChar w:fldCharType="end"/>
      </w:r>
      <w:r w:rsidR="008F6A9C">
        <w:t>)</w:t>
      </w:r>
      <w:r w:rsidR="005C5E60">
        <w:t>.</w:t>
      </w:r>
      <w:r w:rsidR="00EA022A">
        <w:t xml:space="preserve"> This was demonstrated </w:t>
      </w:r>
      <w:r w:rsidR="00B66D97">
        <w:t xml:space="preserve">by Silliman and Higgins </w:t>
      </w:r>
      <w:r w:rsidR="00B66D97">
        <w:fldChar w:fldCharType="begin"/>
      </w:r>
      <w:r w:rsidR="00B66D97">
        <w:instrText xml:space="preserve"> ADDIN EN.CITE &lt;EndNote&gt;&lt;Cite ExcludeAuth="1"&gt;&lt;Author&gt;Silliman&lt;/Author&gt;&lt;Year&gt;1990&lt;/Year&gt;&lt;RecNum&gt;2535&lt;/RecNum&gt;&lt;DisplayText&gt;[1990]&lt;/DisplayText&gt;&lt;record&gt;&lt;rec-number&gt;2535&lt;/rec-number&gt;&lt;foreign-keys&gt;&lt;key app="EN" db-id="sawsrtr20e9dd8ewz5evfttuv5erw5fa22tr"&gt;2535&lt;/key&gt;&lt;/foreign-keys&gt;&lt;ref-type name="Journal Article"&gt;17&lt;/ref-type&gt;&lt;contributors&gt;&lt;authors&gt;&lt;author&gt;Silliman, Stephen&lt;/author&gt;&lt;author&gt;Higgins, David&lt;/author&gt;&lt;/authors&gt;&lt;/contributors&gt;&lt;titles&gt;&lt;title&gt;An Analytical Solution for Steady‐State Flow Between Aquifers Through an Open Well&lt;/title&gt;&lt;secondary-title&gt;Groundwater&lt;/secondary-title&gt;&lt;/titles&gt;&lt;periodical&gt;&lt;full-title&gt;Groundwater&lt;/full-title&gt;&lt;/periodical&gt;&lt;pages&gt;184-190&lt;/pages&gt;&lt;volume&gt;28&lt;/volume&gt;&lt;number&gt;2&lt;/number&gt;&lt;dates&gt;&lt;year&gt;1990&lt;/year&gt;&lt;/dates&gt;&lt;isbn&gt;1745-6584&lt;/isbn&gt;&lt;urls&gt;&lt;/urls&gt;&lt;/record&gt;&lt;/Cite&gt;&lt;/EndNote&gt;</w:instrText>
      </w:r>
      <w:r w:rsidR="00B66D97">
        <w:fldChar w:fldCharType="separate"/>
      </w:r>
      <w:r w:rsidR="00B66D97">
        <w:rPr>
          <w:noProof/>
        </w:rPr>
        <w:t>[</w:t>
      </w:r>
      <w:hyperlink w:anchor="_ENREF_22" w:tooltip="Silliman, 1990 #2535" w:history="1">
        <w:r w:rsidR="007A7BC9">
          <w:rPr>
            <w:noProof/>
          </w:rPr>
          <w:t>1990</w:t>
        </w:r>
      </w:hyperlink>
      <w:r w:rsidR="00B66D97">
        <w:rPr>
          <w:noProof/>
        </w:rPr>
        <w:t>]</w:t>
      </w:r>
      <w:r w:rsidR="00B66D97">
        <w:fldChar w:fldCharType="end"/>
      </w:r>
      <w:r w:rsidR="00B66D97">
        <w:t xml:space="preserve"> </w:t>
      </w:r>
      <w:r w:rsidR="00EA022A">
        <w:t xml:space="preserve">for </w:t>
      </w:r>
      <w:r w:rsidR="00016C65">
        <w:t xml:space="preserve">a simplified </w:t>
      </w:r>
      <w:r w:rsidR="008A5C4F">
        <w:t>hydrogeological system with two aquifers separated by an aquitard</w:t>
      </w:r>
      <w:r w:rsidR="00EA022A">
        <w:t xml:space="preserve">. </w:t>
      </w:r>
      <w:r w:rsidR="008A5C4F">
        <w:t>When the well conductivity is high</w:t>
      </w:r>
      <w:r w:rsidR="00452F96">
        <w:t xml:space="preserve"> relative to aquifer transmissivity</w:t>
      </w:r>
      <w:r w:rsidR="008A5C4F">
        <w:t xml:space="preserve">, the aquifers can limit </w:t>
      </w:r>
      <w:r w:rsidR="00047F33">
        <w:t xml:space="preserve">radial </w:t>
      </w:r>
      <w:r w:rsidR="008A5C4F">
        <w:t xml:space="preserve">flow to </w:t>
      </w:r>
      <w:r w:rsidR="00047F33">
        <w:t xml:space="preserve">or from </w:t>
      </w:r>
      <w:r w:rsidR="008A5C4F">
        <w:t xml:space="preserve">the </w:t>
      </w:r>
      <w:r w:rsidR="00047F33">
        <w:t>well location.</w:t>
      </w:r>
    </w:p>
    <w:p w14:paraId="06C3699F" w14:textId="77777777" w:rsidR="008302B1" w:rsidRDefault="008302B1">
      <w:pPr>
        <w:spacing w:after="160" w:line="259" w:lineRule="auto"/>
        <w:rPr>
          <w:rFonts w:eastAsiaTheme="majorEastAsia" w:cstheme="majorBidi"/>
          <w:bCs/>
          <w:color w:val="004B87" w:themeColor="accent2"/>
          <w:sz w:val="32"/>
          <w:szCs w:val="26"/>
        </w:rPr>
      </w:pPr>
      <w:bookmarkStart w:id="472" w:name="_Ref450323791"/>
      <w:r>
        <w:br w:type="page"/>
      </w:r>
    </w:p>
    <w:p w14:paraId="55A97599" w14:textId="77777777" w:rsidR="007A7BC9" w:rsidRDefault="007A7BC9" w:rsidP="007A7BC9">
      <w:pPr>
        <w:pStyle w:val="Heading2"/>
      </w:pPr>
      <w:bookmarkStart w:id="473" w:name="_Toc452449145"/>
      <w:bookmarkStart w:id="474" w:name="_Ref450573502"/>
      <w:bookmarkStart w:id="475" w:name="_Toc452449144"/>
      <w:r>
        <w:t>Well hydraulic properties</w:t>
      </w:r>
      <w:bookmarkEnd w:id="473"/>
    </w:p>
    <w:p w14:paraId="54AACC3A" w14:textId="75070ACA" w:rsidR="00320CC0" w:rsidRDefault="007A7BC9" w:rsidP="00320CC0">
      <w:r>
        <w:t xml:space="preserve">To use a single-phase groundwater flow model to estimate leakage through a well, accurate information is required on the head gradient between the connected aquifer(s) and hydrocarbon production zone and on the effective well hydraulic conductivity. There are currently no known estimates of effective hydraulic conductivity for the degraded cement of a well annulus available for Australian conditions. </w:t>
      </w:r>
      <w:r w:rsidR="00B1282B">
        <w:t xml:space="preserve">However, as part of research into integrity of wellbore cement in CO2 storage wells, </w:t>
      </w:r>
      <w:r w:rsidR="00F9501A">
        <w:t>Connell et al. [</w:t>
      </w:r>
      <w:r w:rsidR="00B1282B" w:rsidRPr="00B1282B">
        <w:t>2014</w:t>
      </w:r>
      <w:r w:rsidR="00F9501A">
        <w:t>]</w:t>
      </w:r>
      <w:r w:rsidR="00B1282B" w:rsidRPr="00B1282B">
        <w:t xml:space="preserve"> carried out experimental and geochemical simulation studies on cement degradation </w:t>
      </w:r>
      <w:r w:rsidR="00B1282B">
        <w:t xml:space="preserve">under conditions </w:t>
      </w:r>
      <w:r w:rsidR="00B1282B" w:rsidRPr="00B1282B">
        <w:t>that reflect the cement-formation interface within a reservoir.</w:t>
      </w:r>
      <w:r w:rsidR="00320CC0">
        <w:t xml:space="preserve"> Although the effect of cement degradation on permeability was not quantified, the hypothetical scenarios illustrated the potential degradation rates and timeframes involved and summarised the sequence of conditions that could lead to cement degradation.</w:t>
      </w:r>
    </w:p>
    <w:p w14:paraId="6111644B" w14:textId="5E3DFDC4" w:rsidR="007A7BC9" w:rsidRDefault="007A7BC9" w:rsidP="007A7BC9">
      <w:r>
        <w:t xml:space="preserve">Surveys of field and laboratory measured cement hydraulic conductivity and effective well hydraulic conductivity in the US have been reported in Carey et al. </w:t>
      </w:r>
      <w:r>
        <w:fldChar w:fldCharType="begin"/>
      </w:r>
      <w:r>
        <w:instrText xml:space="preserve"> ADDIN EN.CITE &lt;EndNote&gt;&lt;Cite ExcludeAuth="1"&gt;&lt;Author&gt;Carey&lt;/Author&gt;&lt;Year&gt;2007&lt;/Year&gt;&lt;RecNum&gt;2559&lt;/RecNum&gt;&lt;DisplayText&gt;[2007]&lt;/DisplayText&gt;&lt;record&gt;&lt;rec-number&gt;2559&lt;/rec-number&gt;&lt;foreign-keys&gt;&lt;key app="EN" db-id="sawsrtr20e9dd8ewz5evfttuv5erw5fa22tr"&gt;2559&lt;/key&gt;&lt;/foreign-keys&gt;&lt;ref-type name="Journal Article"&gt;17&lt;/ref-type&gt;&lt;contributors&gt;&lt;authors&gt;&lt;author&gt;Carey, J William&lt;/author&gt;&lt;author&gt;Wigand, Marcus&lt;/author&gt;&lt;author&gt;Chipera, Steve J&lt;/author&gt;&lt;author&gt;WoldeGabriel, Giday&lt;/author&gt;&lt;author&gt;Pawar, Rajesh&lt;/author&gt;&lt;author&gt;Lichtner, Peter C&lt;/author&gt;&lt;author&gt;Wehner, Scott C&lt;/author&gt;&lt;author&gt;Raines, Michael A&lt;/author&gt;&lt;author&gt;Guthrie, George D&lt;/author&gt;&lt;/authors&gt;&lt;/contributors&gt;&lt;titles&gt;&lt;title&gt;Analysis and performance of oil well cement with 30 years of CO 2 exposure from the SACROC Unit, West Texas, USA&lt;/title&gt;&lt;secondary-title&gt;International Journal of Greenhouse Gas Control&lt;/secondary-title&gt;&lt;/titles&gt;&lt;periodical&gt;&lt;full-title&gt;International Journal of Greenhouse Gas Control&lt;/full-title&gt;&lt;/periodical&gt;&lt;pages&gt;75-85&lt;/pages&gt;&lt;volume&gt;1&lt;/volume&gt;&lt;number&gt;1&lt;/number&gt;&lt;dates&gt;&lt;year&gt;2007&lt;/year&gt;&lt;/dates&gt;&lt;isbn&gt;1750-5836&lt;/isbn&gt;&lt;urls&gt;&lt;/urls&gt;&lt;/record&gt;&lt;/Cite&gt;&lt;/EndNote&gt;</w:instrText>
      </w:r>
      <w:r>
        <w:fldChar w:fldCharType="separate"/>
      </w:r>
      <w:r>
        <w:rPr>
          <w:noProof/>
        </w:rPr>
        <w:t>[</w:t>
      </w:r>
      <w:hyperlink w:anchor="_ENREF_1" w:tooltip="Carey, 2007 #2559" w:history="1">
        <w:r>
          <w:rPr>
            <w:noProof/>
          </w:rPr>
          <w:t>2007</w:t>
        </w:r>
      </w:hyperlink>
      <w:r>
        <w:rPr>
          <w:noProof/>
        </w:rPr>
        <w:t>]</w:t>
      </w:r>
      <w:r>
        <w:fldChar w:fldCharType="end"/>
      </w:r>
      <w:r>
        <w:t xml:space="preserve">, Crow et al. </w:t>
      </w:r>
      <w:r>
        <w:fldChar w:fldCharType="begin"/>
      </w:r>
      <w:r>
        <w:instrText xml:space="preserve"> ADDIN EN.CITE &lt;EndNote&gt;&lt;Cite ExcludeAuth="1"&gt;&lt;Author&gt;Crow&lt;/Author&gt;&lt;Year&gt;2010&lt;/Year&gt;&lt;RecNum&gt;2554&lt;/RecNum&gt;&lt;DisplayText&gt;[2010]&lt;/DisplayText&gt;&lt;record&gt;&lt;rec-number&gt;2554&lt;/rec-number&gt;&lt;foreign-keys&gt;&lt;key app="EN" db-id="sawsrtr20e9dd8ewz5evfttuv5erw5fa22tr"&gt;2554&lt;/key&gt;&lt;/foreign-keys&gt;&lt;ref-type name="Journal Article"&gt;17&lt;/ref-type&gt;&lt;contributors&gt;&lt;authors&gt;&lt;author&gt;Crow, Walter&lt;/author&gt;&lt;author&gt;Carey, J. William&lt;/author&gt;&lt;author&gt;Gasda, Sarah&lt;/author&gt;&lt;author&gt;Brian Williams, D.&lt;/author&gt;&lt;author&gt;Celia, Michael&lt;/author&gt;&lt;/authors&gt;&lt;/contributors&gt;&lt;titles&gt;&lt;title&gt;Wellbore integrity analysis of a natural CO2 producer&lt;/title&gt;&lt;secondary-title&gt;International Journal of Greenhouse Gas Control&lt;/secondary-title&gt;&lt;/titles&gt;&lt;periodical&gt;&lt;full-title&gt;International Journal of Greenhouse Gas Control&lt;/full-title&gt;&lt;/periodical&gt;&lt;pages&gt;186-197&lt;/pages&gt;&lt;volume&gt;4&lt;/volume&gt;&lt;number&gt;2&lt;/number&gt;&lt;keywords&gt;&lt;keyword&gt;CO2 storage&lt;/keyword&gt;&lt;keyword&gt;Well integrity&lt;/keyword&gt;&lt;keyword&gt;Cement barrier&lt;/keyword&gt;&lt;keyword&gt;Cement capillary pressure&lt;/keyword&gt;&lt;keyword&gt;Effective permeability&lt;/keyword&gt;&lt;keyword&gt;Vertical interference test&lt;/keyword&gt;&lt;keyword&gt;Cement mineralogy&lt;/keyword&gt;&lt;/keywords&gt;&lt;dates&gt;&lt;year&gt;2010&lt;/year&gt;&lt;/dates&gt;&lt;isbn&gt;1750-5836&lt;/isbn&gt;&lt;urls&gt;&lt;related-urls&gt;&lt;url&gt;http://www.sciencedirect.com/science/article/pii/S1750583609001315&lt;/url&gt;&lt;/related-urls&gt;&lt;/urls&gt;&lt;electronic-resource-num&gt;http://dx.doi.org/10.1016/j.ijggc.2009.10.010&lt;/electronic-resource-num&gt;&lt;/record&gt;&lt;/Cite&gt;&lt;/EndNote&gt;</w:instrText>
      </w:r>
      <w:r>
        <w:fldChar w:fldCharType="separate"/>
      </w:r>
      <w:r>
        <w:rPr>
          <w:noProof/>
        </w:rPr>
        <w:t>[</w:t>
      </w:r>
      <w:hyperlink w:anchor="_ENREF_3" w:tooltip="Crow, 2010 #2554" w:history="1">
        <w:r>
          <w:rPr>
            <w:noProof/>
          </w:rPr>
          <w:t>2010</w:t>
        </w:r>
      </w:hyperlink>
      <w:r>
        <w:rPr>
          <w:noProof/>
        </w:rPr>
        <w:t>]</w:t>
      </w:r>
      <w:r>
        <w:fldChar w:fldCharType="end"/>
      </w:r>
      <w:r>
        <w:t xml:space="preserve">, Duguid et al. </w:t>
      </w:r>
      <w:r>
        <w:fldChar w:fldCharType="begin"/>
      </w:r>
      <w:r>
        <w:instrText xml:space="preserve"> ADDIN EN.CITE &lt;EndNote&gt;&lt;Cite ExcludeAuth="1"&gt;&lt;Author&gt;Duguid&lt;/Author&gt;&lt;Year&gt;2013&lt;/Year&gt;&lt;RecNum&gt;2557&lt;/RecNum&gt;&lt;DisplayText&gt;[2013]&lt;/DisplayText&gt;&lt;record&gt;&lt;rec-number&gt;2557&lt;/rec-number&gt;&lt;foreign-keys&gt;&lt;key app="EN" db-id="sawsrtr20e9dd8ewz5evfttuv5erw5fa22tr"&gt;2557&lt;/key&gt;&lt;/foreign-keys&gt;&lt;ref-type name="Journal Article"&gt;17&lt;/ref-type&gt;&lt;contributors&gt;&lt;authors&gt;&lt;author&gt;Duguid, Andrew&lt;/author&gt;&lt;author&gt;Butsch, Robert&lt;/author&gt;&lt;author&gt;Carey, J William&lt;/author&gt;&lt;author&gt;Celia, Michael&lt;/author&gt;&lt;author&gt;Chugunov, Nikita&lt;/author&gt;&lt;author&gt;Gasda, Sarah&lt;/author&gt;&lt;author&gt;Ramakrishnan, TS&lt;/author&gt;&lt;author&gt;Stamp, Vicki&lt;/author&gt;&lt;author&gt;Wang, James&lt;/author&gt;&lt;/authors&gt;&lt;/contributors&gt;&lt;titles&gt;&lt;title&gt;Pre-injection baseline data collection to establish existing wellbore leakage properties&lt;/title&gt;&lt;secondary-title&gt;Energy Procedia&lt;/secondary-title&gt;&lt;/titles&gt;&lt;periodical&gt;&lt;full-title&gt;Energy Procedia&lt;/full-title&gt;&lt;/periodical&gt;&lt;pages&gt;5661-5672&lt;/pages&gt;&lt;volume&gt;37&lt;/volume&gt;&lt;dates&gt;&lt;year&gt;2013&lt;/year&gt;&lt;/dates&gt;&lt;isbn&gt;1876-6102&lt;/isbn&gt;&lt;urls&gt;&lt;/urls&gt;&lt;/record&gt;&lt;/Cite&gt;&lt;/EndNote&gt;</w:instrText>
      </w:r>
      <w:r>
        <w:fldChar w:fldCharType="separate"/>
      </w:r>
      <w:r>
        <w:rPr>
          <w:noProof/>
        </w:rPr>
        <w:t>[</w:t>
      </w:r>
      <w:hyperlink w:anchor="_ENREF_4" w:tooltip="Duguid, 2013 #2557" w:history="1">
        <w:r>
          <w:rPr>
            <w:noProof/>
          </w:rPr>
          <w:t>2013</w:t>
        </w:r>
      </w:hyperlink>
      <w:r>
        <w:rPr>
          <w:noProof/>
        </w:rPr>
        <w:t>]</w:t>
      </w:r>
      <w:r>
        <w:fldChar w:fldCharType="end"/>
      </w:r>
      <w:r>
        <w:t xml:space="preserve"> and Hawkes and Gardner </w:t>
      </w:r>
      <w:r>
        <w:fldChar w:fldCharType="begin"/>
      </w:r>
      <w:r>
        <w:instrText xml:space="preserve"> ADDIN EN.CITE &lt;EndNote&gt;&lt;Cite ExcludeAuth="1"&gt;&lt;Author&gt;Hawkes&lt;/Author&gt;&lt;Year&gt;2013&lt;/Year&gt;&lt;RecNum&gt;2552&lt;/RecNum&gt;&lt;DisplayText&gt;[2013]&lt;/DisplayText&gt;&lt;record&gt;&lt;rec-number&gt;2552&lt;/rec-number&gt;&lt;foreign-keys&gt;&lt;key app="EN" db-id="sawsrtr20e9dd8ewz5evfttuv5erw5fa22tr"&gt;2552&lt;/key&gt;&lt;/foreign-keys&gt;&lt;ref-type name="Journal Article"&gt;17&lt;/ref-type&gt;&lt;contributors&gt;&lt;authors&gt;&lt;author&gt;Hawkes, Christopher D&lt;/author&gt;&lt;author&gt;Gardner, Craig&lt;/author&gt;&lt;/authors&gt;&lt;/contributors&gt;&lt;titles&gt;&lt;title&gt;Pressure transient testing for assessment of wellbore integrity in the IEAGHG Weyburn–Midale CO 2 Monitoring and Storage Project&lt;/title&gt;&lt;secondary-title&gt;International Journal of Greenhouse Gas Control&lt;/secondary-title&gt;&lt;/titles&gt;&lt;periodical&gt;&lt;full-title&gt;International Journal of Greenhouse Gas Control&lt;/full-title&gt;&lt;/periodical&gt;&lt;pages&gt;S50-S61&lt;/pages&gt;&lt;volume&gt;16&lt;/volume&gt;&lt;dates&gt;&lt;year&gt;2013&lt;/year&gt;&lt;/dates&gt;&lt;isbn&gt;1750-5836&lt;/isbn&gt;&lt;urls&gt;&lt;/urls&gt;&lt;/record&gt;&lt;/Cite&gt;&lt;/EndNote&gt;</w:instrText>
      </w:r>
      <w:r>
        <w:fldChar w:fldCharType="separate"/>
      </w:r>
      <w:r>
        <w:rPr>
          <w:noProof/>
        </w:rPr>
        <w:t>[</w:t>
      </w:r>
      <w:hyperlink w:anchor="_ENREF_8" w:tooltip="Hawkes, 2013 #2552" w:history="1">
        <w:r>
          <w:rPr>
            <w:noProof/>
          </w:rPr>
          <w:t>2013</w:t>
        </w:r>
      </w:hyperlink>
      <w:r>
        <w:rPr>
          <w:noProof/>
        </w:rPr>
        <w:t>]</w:t>
      </w:r>
      <w:r>
        <w:fldChar w:fldCharType="end"/>
      </w:r>
      <w:r>
        <w:t xml:space="preserve">. These data are summarised in </w:t>
      </w:r>
      <w:r>
        <w:fldChar w:fldCharType="begin"/>
      </w:r>
      <w:r>
        <w:instrText xml:space="preserve"> REF _Ref437250187 \h </w:instrText>
      </w:r>
      <w:r>
        <w:fldChar w:fldCharType="separate"/>
      </w:r>
      <w:r w:rsidR="002E45AF">
        <w:t xml:space="preserve">Figure </w:t>
      </w:r>
      <w:r w:rsidR="002E45AF">
        <w:rPr>
          <w:noProof/>
        </w:rPr>
        <w:t>2</w:t>
      </w:r>
      <w:r>
        <w:fldChar w:fldCharType="end"/>
      </w:r>
      <w:r>
        <w:t xml:space="preserve">. Note that the term permeability is used by reservoir engineers, while hydraulic conductivity is more commonly used by hydrogeologists. On average, there was a four order of magnitude difference between the cement conductivity and effective well conductivity. Effective well hydraulic conductivity depends on whether the flow is through the cement annulus or within the well itself, the type of cement used and its condition. Cement condition is a function of the age of the well and the chemical </w:t>
      </w:r>
      <w:r w:rsidRPr="003C62A3">
        <w:t>reactivity of</w:t>
      </w:r>
      <w:r>
        <w:t xml:space="preserve"> the in-situ water in contact with the cement.</w:t>
      </w:r>
      <w:r w:rsidRPr="008E0881">
        <w:t xml:space="preserve"> </w:t>
      </w:r>
    </w:p>
    <w:p w14:paraId="734178CB" w14:textId="159AA43E" w:rsidR="007A7BC9" w:rsidRDefault="007A7BC9" w:rsidP="007A7BC9"/>
    <w:p w14:paraId="31C40500" w14:textId="77777777" w:rsidR="007A7BC9" w:rsidRDefault="007A7BC9" w:rsidP="007A7BC9">
      <w:pPr>
        <w:jc w:val="center"/>
      </w:pPr>
      <w:r>
        <w:rPr>
          <w:noProof/>
        </w:rPr>
        <w:drawing>
          <wp:inline distT="0" distB="0" distL="0" distR="0" wp14:anchorId="411C9107" wp14:editId="0491AD75">
            <wp:extent cx="4663929" cy="3303270"/>
            <wp:effectExtent l="0" t="0" r="3810" b="0"/>
            <wp:docPr id="2" name="Picture 2" descr="Chart of the relationship between cement core porosity and hydraulic conductivity"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7791" cy="3348501"/>
                    </a:xfrm>
                    <a:prstGeom prst="rect">
                      <a:avLst/>
                    </a:prstGeom>
                    <a:noFill/>
                    <a:ln>
                      <a:noFill/>
                    </a:ln>
                  </pic:spPr>
                </pic:pic>
              </a:graphicData>
            </a:graphic>
          </wp:inline>
        </w:drawing>
      </w:r>
    </w:p>
    <w:p w14:paraId="48009137" w14:textId="047825ED" w:rsidR="007A7BC9" w:rsidRDefault="007A7BC9" w:rsidP="007A7BC9">
      <w:pPr>
        <w:pStyle w:val="TableCaption"/>
      </w:pPr>
      <w:bookmarkStart w:id="476" w:name="_Ref437250187"/>
      <w:bookmarkStart w:id="477" w:name="_Toc433992878"/>
      <w:bookmarkStart w:id="478" w:name="_Toc437243568"/>
      <w:bookmarkStart w:id="479" w:name="_Ref449021597"/>
      <w:bookmarkStart w:id="480" w:name="_Toc508266508"/>
      <w:r>
        <w:t xml:space="preserve">Figure </w:t>
      </w:r>
      <w:r w:rsidR="00ED4C1C">
        <w:fldChar w:fldCharType="begin"/>
      </w:r>
      <w:r w:rsidR="00ED4C1C">
        <w:instrText xml:space="preserve"> SEQ Figure \* ARABIC </w:instrText>
      </w:r>
      <w:r w:rsidR="00ED4C1C">
        <w:fldChar w:fldCharType="separate"/>
      </w:r>
      <w:r w:rsidR="002E45AF">
        <w:rPr>
          <w:noProof/>
        </w:rPr>
        <w:t>2</w:t>
      </w:r>
      <w:r w:rsidR="00ED4C1C">
        <w:rPr>
          <w:noProof/>
        </w:rPr>
        <w:fldChar w:fldCharType="end"/>
      </w:r>
      <w:bookmarkEnd w:id="476"/>
      <w:r>
        <w:t xml:space="preserve"> Relationship between cement core porosity and hydraulic conductivity, and where provided, effective well conductivity, based on data from</w:t>
      </w:r>
      <w:bookmarkEnd w:id="477"/>
      <w:r>
        <w:t xml:space="preserve"> the studies noted in the legend. Each study is indicated by a different symbol, cement conductivity is shown as solid symbols, effective well conductivity is shown as open symbols, and the age of the wellbore is indicated by the colour of the symbol: &lt; 20 years – black; 20-40 years – blue; &gt; 40 years – red.</w:t>
      </w:r>
      <w:bookmarkEnd w:id="478"/>
      <w:r>
        <w:t xml:space="preserve"> (Wu et al. 201</w:t>
      </w:r>
      <w:r w:rsidR="003D2865">
        <w:t>8</w:t>
      </w:r>
      <w:r>
        <w:t>).</w:t>
      </w:r>
      <w:bookmarkEnd w:id="479"/>
      <w:bookmarkEnd w:id="480"/>
    </w:p>
    <w:p w14:paraId="58CFB801" w14:textId="365C9772" w:rsidR="007A7BC9" w:rsidRDefault="00F9501A" w:rsidP="007A7BC9">
      <w:pPr>
        <w:pStyle w:val="Body"/>
      </w:pPr>
      <w:r>
        <w:t xml:space="preserve">Effective well conductivities have been used in some numerical studies. For instance, Nordbotten et al. </w:t>
      </w:r>
      <w:r>
        <w:fldChar w:fldCharType="begin"/>
      </w:r>
      <w:r>
        <w:instrText xml:space="preserve"> ADDIN EN.CITE &lt;EndNote&gt;&lt;Cite ExcludeAuth="1"&gt;&lt;Author&gt;Nordbotten&lt;/Author&gt;&lt;Year&gt;2008&lt;/Year&gt;&lt;RecNum&gt;2624&lt;/RecNum&gt;&lt;DisplayText&gt;[2008]&lt;/DisplayText&gt;&lt;record&gt;&lt;rec-number&gt;2624&lt;/rec-number&gt;&lt;foreign-keys&gt;&lt;key app="EN" db-id="sawsrtr20e9dd8ewz5evfttuv5erw5fa22tr"&gt;2624&lt;/key&gt;&lt;/foreign-keys&gt;&lt;ref-type name="Journal Article"&gt;17&lt;/ref-type&gt;&lt;contributors&gt;&lt;authors&gt;&lt;author&gt;Nordbotten, Jan M&lt;/author&gt;&lt;author&gt;Kavetski, Dmitri&lt;/author&gt;&lt;author&gt;Celia, Michael A&lt;/author&gt;&lt;author&gt;Bachu, Stefan&lt;/author&gt;&lt;/authors&gt;&lt;/contributors&gt;&lt;titles&gt;&lt;title&gt;Model for CO2 leakage including multiple geological layers and multiple leaky wells&lt;/title&gt;&lt;secondary-title&gt;Environmental science &amp;amp; technology&lt;/secondary-title&gt;&lt;/titles&gt;&lt;periodical&gt;&lt;full-title&gt;Environmental science &amp;amp; technology&lt;/full-title&gt;&lt;/periodical&gt;&lt;pages&gt;743-749&lt;/pages&gt;&lt;volume&gt;43&lt;/volume&gt;&lt;number&gt;3&lt;/number&gt;&lt;dates&gt;&lt;year&gt;2008&lt;/year&gt;&lt;/dates&gt;&lt;isbn&gt;0013-936X&lt;/isbn&gt;&lt;urls&gt;&lt;/urls&gt;&lt;/record&gt;&lt;/Cite&gt;&lt;/EndNote&gt;</w:instrText>
      </w:r>
      <w:r>
        <w:fldChar w:fldCharType="separate"/>
      </w:r>
      <w:r>
        <w:rPr>
          <w:noProof/>
        </w:rPr>
        <w:t>[</w:t>
      </w:r>
      <w:hyperlink w:anchor="_ENREF_17" w:tooltip="Nordbotten, 2008 #2624" w:history="1">
        <w:r>
          <w:rPr>
            <w:noProof/>
          </w:rPr>
          <w:t>200</w:t>
        </w:r>
        <w:r w:rsidR="00F57DF3">
          <w:rPr>
            <w:noProof/>
          </w:rPr>
          <w:t>9</w:t>
        </w:r>
      </w:hyperlink>
      <w:r>
        <w:rPr>
          <w:noProof/>
        </w:rPr>
        <w:t>]</w:t>
      </w:r>
      <w:r>
        <w:fldChar w:fldCharType="end"/>
      </w:r>
      <w:r>
        <w:t xml:space="preserve"> used an effective well conductivity of </w:t>
      </w:r>
      <w:r w:rsidRPr="00D53EC5">
        <w:t>7.42×10</w:t>
      </w:r>
      <w:r w:rsidRPr="00D53EC5">
        <w:rPr>
          <w:vertAlign w:val="superscript"/>
        </w:rPr>
        <w:t>-2</w:t>
      </w:r>
      <w:r>
        <w:t xml:space="preserve"> m/d (8</w:t>
      </w:r>
      <w:r w:rsidRPr="00D53EC5">
        <w:t>.</w:t>
      </w:r>
      <w:r>
        <w:t>6</w:t>
      </w:r>
      <w:r w:rsidRPr="00D53EC5">
        <w:t>×10</w:t>
      </w:r>
      <w:r w:rsidRPr="00D53EC5">
        <w:rPr>
          <w:vertAlign w:val="superscript"/>
        </w:rPr>
        <w:t>-7</w:t>
      </w:r>
      <w:r w:rsidRPr="00D53EC5">
        <w:t xml:space="preserve"> m/s)</w:t>
      </w:r>
      <w:r w:rsidRPr="008C3355">
        <w:t xml:space="preserve"> or 100 mD</w:t>
      </w:r>
      <w:r>
        <w:t xml:space="preserve"> (milliDarcy). As part of a broader US EPA study </w:t>
      </w:r>
      <w:r>
        <w:fldChar w:fldCharType="begin"/>
      </w:r>
      <w:r>
        <w:instrText xml:space="preserve"> ADDIN EN.CITE &lt;EndNote&gt;&lt;Cite&gt;&lt;Author&gt;US EPA&lt;/Author&gt;&lt;Year&gt;2015&lt;/Year&gt;&lt;RecNum&gt;2631&lt;/RecNum&gt;&lt;DisplayText&gt;[&lt;style face="italic"&gt;US EPA&lt;/style&gt;, 2015]&lt;/DisplayText&gt;&lt;record&gt;&lt;rec-number&gt;2631&lt;/rec-number&gt;&lt;foreign-keys&gt;&lt;key app="EN" db-id="sawsrtr20e9dd8ewz5evfttuv5erw5fa22tr"&gt;2631&lt;/key&gt;&lt;/foreign-keys&gt;&lt;ref-type name="Report"&gt;27&lt;/ref-type&gt;&lt;contributors&gt;&lt;authors&gt;&lt;author&gt;US EPA,&lt;/author&gt;&lt;/authors&gt;&lt;/contributors&gt;&lt;titles&gt;&lt;title&gt;Assessment of the Potential Impacts of Hydraulic Fracturing for Oil and Gas on Drinking Water Resources. EPA/600/R-15/047a.&lt;/title&gt;&lt;/titles&gt;&lt;volume&gt;EPA/600/R-15/047a.&lt;/volume&gt;&lt;dates&gt;&lt;year&gt;2015&lt;/year&gt;&lt;/dates&gt;&lt;urls&gt;&lt;/urls&gt;&lt;/record&gt;&lt;/Cite&gt;&lt;/EndNote&gt;</w:instrText>
      </w:r>
      <w:r>
        <w:fldChar w:fldCharType="separate"/>
      </w:r>
      <w:r>
        <w:rPr>
          <w:noProof/>
        </w:rPr>
        <w:t>[</w:t>
      </w:r>
      <w:hyperlink w:anchor="_ENREF_23" w:tooltip="US EPA, 2015 #2631" w:history="1">
        <w:r w:rsidRPr="003E6317">
          <w:rPr>
            <w:i/>
            <w:noProof/>
          </w:rPr>
          <w:t>US EPA</w:t>
        </w:r>
        <w:r>
          <w:rPr>
            <w:noProof/>
          </w:rPr>
          <w:t>, 2015</w:t>
        </w:r>
      </w:hyperlink>
      <w:r>
        <w:rPr>
          <w:noProof/>
        </w:rPr>
        <w:t>]</w:t>
      </w:r>
      <w:r>
        <w:fldChar w:fldCharType="end"/>
      </w:r>
      <w:r>
        <w:t xml:space="preserve"> on the relationship between hydraulic fracturing and drinking water quality, </w:t>
      </w:r>
      <w:r w:rsidRPr="00D8730A">
        <w:t>Reagan et al.</w:t>
      </w:r>
      <w:r>
        <w:t xml:space="preserve"> </w:t>
      </w:r>
      <w:r w:rsidRPr="00D8730A">
        <w:fldChar w:fldCharType="begin"/>
      </w:r>
      <w:r>
        <w:instrText xml:space="preserve"> ADDIN EN.CITE &lt;EndNote&gt;&lt;Cite ExcludeAuth="1"&gt;&lt;Author&gt;Reagan&lt;/Author&gt;&lt;Year&gt;2015&lt;/Year&gt;&lt;RecNum&gt;2630&lt;/RecNum&gt;&lt;DisplayText&gt;[2015]&lt;/DisplayText&gt;&lt;record&gt;&lt;rec-number&gt;2630&lt;/rec-number&gt;&lt;foreign-keys&gt;&lt;key app="EN" db-id="sawsrtr20e9dd8ewz5evfttuv5erw5fa22tr"&gt;2630&lt;/key&gt;&lt;/foreign-keys&gt;&lt;ref-type name="Journal Article"&gt;17&lt;/ref-type&gt;&lt;contributors&gt;&lt;authors&gt;&lt;author&gt;Reagan, Matthew T&lt;/author&gt;&lt;author&gt;Moridis, George J&lt;/author&gt;&lt;author&gt;Keen, Noel D&lt;/author&gt;&lt;author&gt;Johnson, Jeffrey N&lt;/author&gt;&lt;/authors&gt;&lt;/contributors&gt;&lt;titles&gt;&lt;title&gt;Numerical simulation of the environmental impact of hydraulic fracturing of tight/shale gas reservoirs on near-surface groundwater: Background, base cases, shallow reservoirs, short-term gas, and water transport&lt;/title&gt;&lt;secondary-title&gt;Water Resources Research&lt;/secondary-title&gt;&lt;/titles&gt;&lt;periodical&gt;&lt;full-title&gt;Water Resources Research&lt;/full-title&gt;&lt;/periodical&gt;&lt;pages&gt;2543-2573&lt;/pages&gt;&lt;volume&gt;51&lt;/volume&gt;&lt;number&gt;4&lt;/number&gt;&lt;dates&gt;&lt;year&gt;2015&lt;/year&gt;&lt;/dates&gt;&lt;isbn&gt;1944-7973&lt;/isbn&gt;&lt;urls&gt;&lt;/urls&gt;&lt;/record&gt;&lt;/Cite&gt;&lt;/EndNote&gt;</w:instrText>
      </w:r>
      <w:r w:rsidRPr="00D8730A">
        <w:fldChar w:fldCharType="separate"/>
      </w:r>
      <w:r>
        <w:rPr>
          <w:noProof/>
        </w:rPr>
        <w:t>[</w:t>
      </w:r>
      <w:hyperlink w:anchor="_ENREF_20" w:tooltip="Reagan, 2015 #2630" w:history="1">
        <w:r>
          <w:rPr>
            <w:noProof/>
          </w:rPr>
          <w:t>2015</w:t>
        </w:r>
      </w:hyperlink>
      <w:r>
        <w:rPr>
          <w:noProof/>
        </w:rPr>
        <w:t>]</w:t>
      </w:r>
      <w:r w:rsidRPr="00D8730A">
        <w:fldChar w:fldCharType="end"/>
      </w:r>
      <w:r>
        <w:t xml:space="preserve"> carried out numerical simulations of water and gas transport between a shallow tight-gas reservoir (characterised by an ultralow permeability in the range of a nano-Darcy) </w:t>
      </w:r>
      <w:r w:rsidRPr="00D4539E">
        <w:t>and a shallower freshwater aquifer following hydraulic fracturing operations. The failed well behaviour was investigated for the following cement permeabilities: k=10</w:t>
      </w:r>
      <w:r w:rsidRPr="00D4539E">
        <w:rPr>
          <w:vertAlign w:val="superscript"/>
        </w:rPr>
        <w:t>-9</w:t>
      </w:r>
      <w:r w:rsidRPr="00D4539E">
        <w:t xml:space="preserve"> m</w:t>
      </w:r>
      <w:r w:rsidRPr="00D4539E">
        <w:rPr>
          <w:vertAlign w:val="superscript"/>
        </w:rPr>
        <w:t>2</w:t>
      </w:r>
      <w:r>
        <w:t>,</w:t>
      </w:r>
      <w:r w:rsidRPr="00D4539E">
        <w:t xml:space="preserve"> k=</w:t>
      </w:r>
      <w:r w:rsidR="00250185">
        <w:br/>
      </w:r>
      <w:r w:rsidRPr="00D4539E">
        <w:t>10</w:t>
      </w:r>
      <w:r w:rsidRPr="00D4539E">
        <w:rPr>
          <w:vertAlign w:val="superscript"/>
        </w:rPr>
        <w:t>-12</w:t>
      </w:r>
      <w:r w:rsidRPr="00D4539E">
        <w:t xml:space="preserve"> m</w:t>
      </w:r>
      <w:r w:rsidRPr="00D4539E">
        <w:rPr>
          <w:vertAlign w:val="superscript"/>
        </w:rPr>
        <w:t>2</w:t>
      </w:r>
      <w:r>
        <w:t>,</w:t>
      </w:r>
      <w:r w:rsidRPr="00D4539E">
        <w:t xml:space="preserve"> k=10</w:t>
      </w:r>
      <w:r w:rsidRPr="00D4539E">
        <w:rPr>
          <w:vertAlign w:val="superscript"/>
        </w:rPr>
        <w:t>-15</w:t>
      </w:r>
      <w:r w:rsidRPr="00D4539E">
        <w:t xml:space="preserve"> m</w:t>
      </w:r>
      <w:r w:rsidRPr="00D4539E">
        <w:rPr>
          <w:vertAlign w:val="superscript"/>
        </w:rPr>
        <w:t>2</w:t>
      </w:r>
      <w:r w:rsidRPr="00D4539E">
        <w:t xml:space="preserve"> and k=10</w:t>
      </w:r>
      <w:r w:rsidRPr="00D4539E">
        <w:rPr>
          <w:vertAlign w:val="superscript"/>
        </w:rPr>
        <w:t>-18</w:t>
      </w:r>
      <w:r w:rsidRPr="00D4539E">
        <w:t xml:space="preserve"> m</w:t>
      </w:r>
      <w:r w:rsidRPr="00D4539E">
        <w:rPr>
          <w:vertAlign w:val="superscript"/>
        </w:rPr>
        <w:t>2</w:t>
      </w:r>
      <w:r w:rsidRPr="00D4539E">
        <w:t xml:space="preserve"> (1000 D, 1 D, 1 mD, and 1 µD, respectively).</w:t>
      </w:r>
    </w:p>
    <w:p w14:paraId="33D2F414" w14:textId="77777777" w:rsidR="007A7BC9" w:rsidRDefault="007A7BC9" w:rsidP="007A7BC9">
      <w:pPr>
        <w:pStyle w:val="Heading2"/>
      </w:pPr>
      <w:bookmarkStart w:id="481" w:name="_Toc452449146"/>
      <w:r>
        <w:t>Well hydraulic gradient</w:t>
      </w:r>
      <w:bookmarkEnd w:id="481"/>
    </w:p>
    <w:p w14:paraId="66ACB26A" w14:textId="7101FFDB" w:rsidR="007A7BC9" w:rsidRDefault="007A7BC9" w:rsidP="007A7BC9">
      <w:r>
        <w:t xml:space="preserve">The head difference between a water bearing aquifer and underlying hydrocarbon reservoir varies depending on the specific hydrogeological conditions for the site. This was recently substantiated using the numerical groundwater model for the proposed Narrabri CSG production area in New South Wales, Australia, where </w:t>
      </w:r>
      <w:r w:rsidRPr="00A2214B">
        <w:t xml:space="preserve">Wu et al. </w:t>
      </w:r>
      <w:r w:rsidRPr="00A2214B">
        <w:fldChar w:fldCharType="begin"/>
      </w:r>
      <w:r w:rsidRPr="00A2214B">
        <w:instrText xml:space="preserve"> ADDIN EN.CITE &lt;EndNote&gt;&lt;Cite ExcludeAuth="1"&gt;&lt;Author&gt;Wu&lt;/Author&gt;&lt;Year&gt;2016&lt;/Year&gt;&lt;RecNum&gt;2632&lt;/RecNum&gt;&lt;DisplayText&gt;[2016]&lt;/DisplayText&gt;&lt;record&gt;&lt;rec-number&gt;2632&lt;/rec-number&gt;&lt;foreign-keys&gt;&lt;key app="EN" db-id="sawsrtr20e9dd8ewz5evfttuv5erw5fa22tr"&gt;2632&lt;/key&gt;&lt;/foreign-keys&gt;&lt;ref-type name="Report"&gt;27&lt;/ref-type&gt;&lt;contributors&gt;&lt;authors&gt;&lt;author&gt;Wu, B.&lt;/author&gt;&lt;author&gt;Doble, R.&lt;/author&gt;&lt;author&gt;Turnadge, C.&lt;/author&gt;&lt;author&gt;Mallants, D.&lt;/author&gt;&lt;/authors&gt;&lt;/contributors&gt;&lt;titles&gt;&lt;title&gt;Bore and well induced inter-aquifer connectivity: a review of literature on failure mechanisms and conceptualisation of hydrocarbon reservoir-aquifer failure pathways. Prepared by the Commonwealth Scientific and Industrial Research Organisation CSIRO, Canberra.&lt;/title&gt;&lt;/titles&gt;&lt;dates&gt;&lt;year&gt;2016&lt;/year&gt;&lt;/dates&gt;&lt;urls&gt;&lt;/urls&gt;&lt;/record&gt;&lt;/Cite&gt;&lt;/EndNote&gt;</w:instrText>
      </w:r>
      <w:r w:rsidRPr="00A2214B">
        <w:fldChar w:fldCharType="separate"/>
      </w:r>
      <w:r w:rsidRPr="00A2214B">
        <w:rPr>
          <w:noProof/>
        </w:rPr>
        <w:t>[</w:t>
      </w:r>
      <w:hyperlink w:anchor="_ENREF_25" w:tooltip="Wu, 2016 #2632" w:history="1">
        <w:r w:rsidRPr="00A2214B">
          <w:rPr>
            <w:noProof/>
          </w:rPr>
          <w:t>201</w:t>
        </w:r>
      </w:hyperlink>
      <w:r w:rsidR="003D2865">
        <w:rPr>
          <w:noProof/>
        </w:rPr>
        <w:t>8</w:t>
      </w:r>
      <w:r w:rsidRPr="00A2214B">
        <w:rPr>
          <w:noProof/>
        </w:rPr>
        <w:t>]</w:t>
      </w:r>
      <w:r w:rsidRPr="00A2214B">
        <w:fldChar w:fldCharType="end"/>
      </w:r>
      <w:r>
        <w:t xml:space="preserve"> identified spatially varying, pre-production head differences of between 49 m downward and 25 m upward over a vertical distance of around 800 m between water bearing aquifers and the CSG reservoir. After gas production ceased, the head differences further increased and reached a maximum of up to 115 m, with flow in the downward direction. These head differences across various low-permeable formations were used here to develop a generic, yet realistic numerical model of a leaky single-well. </w:t>
      </w:r>
    </w:p>
    <w:p w14:paraId="1D79FAC7" w14:textId="61A742E3" w:rsidR="007A7BC9" w:rsidRDefault="007A7BC9" w:rsidP="007A7BC9">
      <w:pPr>
        <w:spacing w:after="160" w:line="259" w:lineRule="auto"/>
      </w:pPr>
      <w:r>
        <w:br w:type="page"/>
      </w:r>
    </w:p>
    <w:p w14:paraId="639D5737" w14:textId="47D87718" w:rsidR="0075292E" w:rsidRDefault="00CE0632" w:rsidP="00287A00">
      <w:pPr>
        <w:pStyle w:val="Heading2"/>
      </w:pPr>
      <w:r>
        <w:t>Exploring the potential impact space with a</w:t>
      </w:r>
      <w:r w:rsidR="0075292E">
        <w:t>nalytical solutions</w:t>
      </w:r>
      <w:bookmarkEnd w:id="472"/>
      <w:bookmarkEnd w:id="474"/>
      <w:bookmarkEnd w:id="475"/>
    </w:p>
    <w:p w14:paraId="45E5A88D" w14:textId="2C582B52" w:rsidR="0092550A" w:rsidRDefault="0092550A">
      <w:r>
        <w:t xml:space="preserve">On the basis of </w:t>
      </w:r>
      <w:r w:rsidR="005E2118">
        <w:t xml:space="preserve">a set of </w:t>
      </w:r>
      <w:r>
        <w:t xml:space="preserve">analytical solutions we explore the conditions, both in terms of flow properties of the seepage pathway and the hydrogeological properties of the aquifers/aquitard system, which may lead to noticeable impacts on the groundwater balance. </w:t>
      </w:r>
      <w:r w:rsidR="001C203B">
        <w:t>For this purpose a highly simplified three-layer system is considered comprising two aquifers separated by an aquitard (</w:t>
      </w:r>
      <w:r w:rsidR="00474DA6">
        <w:fldChar w:fldCharType="begin"/>
      </w:r>
      <w:r w:rsidR="00474DA6">
        <w:instrText xml:space="preserve"> REF _Ref450405792 \h </w:instrText>
      </w:r>
      <w:r w:rsidR="00474DA6">
        <w:fldChar w:fldCharType="separate"/>
      </w:r>
      <w:r w:rsidR="002E45AF">
        <w:t xml:space="preserve">Figure </w:t>
      </w:r>
      <w:r w:rsidR="002E45AF">
        <w:rPr>
          <w:noProof/>
        </w:rPr>
        <w:t>3</w:t>
      </w:r>
      <w:r w:rsidR="00474DA6">
        <w:fldChar w:fldCharType="end"/>
      </w:r>
      <w:r w:rsidR="001C203B">
        <w:t xml:space="preserve">). </w:t>
      </w:r>
      <w:r w:rsidR="00474DA6">
        <w:t>A hydrocarbon well or water bore is screened in the deepest aquifer, but has lost its integrity due to casing corrosion</w:t>
      </w:r>
      <w:r w:rsidR="006D24B4">
        <w:t xml:space="preserve"> or other well failure mechanisms </w:t>
      </w:r>
      <w:r w:rsidR="000D4D48">
        <w:t>[</w:t>
      </w:r>
      <w:r w:rsidR="006D24B4">
        <w:t>Wu et al. 201</w:t>
      </w:r>
      <w:r w:rsidR="003D2865">
        <w:t>8</w:t>
      </w:r>
      <w:r w:rsidR="000D4D48">
        <w:t>]</w:t>
      </w:r>
      <w:r w:rsidR="006D24B4">
        <w:t>). This has resulted in a continuous flow pathway effectively connecting the two previously non-connected aquifers.</w:t>
      </w:r>
      <w:r w:rsidR="00474DA6">
        <w:t xml:space="preserve"> </w:t>
      </w:r>
      <w:r w:rsidR="001C203B">
        <w:t xml:space="preserve"> </w:t>
      </w:r>
    </w:p>
    <w:p w14:paraId="7F1F814A" w14:textId="77777777" w:rsidR="006E7B97" w:rsidRDefault="006E7B97" w:rsidP="006E7B97">
      <w:pPr>
        <w:jc w:val="center"/>
      </w:pPr>
      <w:r w:rsidRPr="0083547D">
        <w:rPr>
          <w:noProof/>
        </w:rPr>
        <w:drawing>
          <wp:inline distT="0" distB="0" distL="0" distR="0" wp14:anchorId="573F4138" wp14:editId="5D42F891">
            <wp:extent cx="3096979" cy="4827494"/>
            <wp:effectExtent l="0" t="0" r="8255" b="0"/>
            <wp:docPr id="23" name="Picture 23" descr="Schematic of aquifer-aquitard system and bore"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03316" cy="4837371"/>
                    </a:xfrm>
                    <a:prstGeom prst="rect">
                      <a:avLst/>
                    </a:prstGeom>
                    <a:noFill/>
                    <a:ln>
                      <a:noFill/>
                    </a:ln>
                  </pic:spPr>
                </pic:pic>
              </a:graphicData>
            </a:graphic>
          </wp:inline>
        </w:drawing>
      </w:r>
    </w:p>
    <w:p w14:paraId="76AFF462" w14:textId="77777777" w:rsidR="006E7B97" w:rsidRDefault="006E7B97" w:rsidP="006E7B97">
      <w:pPr>
        <w:pStyle w:val="TableCaption"/>
      </w:pPr>
      <w:bookmarkStart w:id="482" w:name="_Ref450405792"/>
      <w:bookmarkStart w:id="483" w:name="_Toc508266509"/>
      <w:r>
        <w:t xml:space="preserve">Figure </w:t>
      </w:r>
      <w:r w:rsidR="00ED4C1C">
        <w:fldChar w:fldCharType="begin"/>
      </w:r>
      <w:r w:rsidR="00ED4C1C">
        <w:instrText xml:space="preserve"> SEQ Figure \* ARABIC </w:instrText>
      </w:r>
      <w:r w:rsidR="00ED4C1C">
        <w:fldChar w:fldCharType="separate"/>
      </w:r>
      <w:r w:rsidR="002E45AF">
        <w:rPr>
          <w:noProof/>
        </w:rPr>
        <w:t>3</w:t>
      </w:r>
      <w:r w:rsidR="00ED4C1C">
        <w:rPr>
          <w:noProof/>
        </w:rPr>
        <w:fldChar w:fldCharType="end"/>
      </w:r>
      <w:bookmarkEnd w:id="482"/>
      <w:r>
        <w:t xml:space="preserve"> Schematic of aquifer-aquitard system considered for impact assessments using analytical solutions.</w:t>
      </w:r>
      <w:bookmarkEnd w:id="483"/>
    </w:p>
    <w:p w14:paraId="415455C7" w14:textId="3757217A" w:rsidR="00005441" w:rsidRDefault="003A76D0" w:rsidP="00E701E0">
      <w:r>
        <w:t>Although the aquifers are considered to be non-connected, t</w:t>
      </w:r>
      <w:r w:rsidR="00B66D97">
        <w:t xml:space="preserve">here </w:t>
      </w:r>
      <w:r>
        <w:t xml:space="preserve">generally </w:t>
      </w:r>
      <w:r w:rsidR="00B66D97">
        <w:t xml:space="preserve">is </w:t>
      </w:r>
      <w:r>
        <w:t>some</w:t>
      </w:r>
      <w:r w:rsidR="00B66D97">
        <w:t xml:space="preserve"> </w:t>
      </w:r>
      <w:r>
        <w:t>very small</w:t>
      </w:r>
      <w:r w:rsidR="00B66D97">
        <w:t xml:space="preserve"> diffuse migration of water through the aquitard</w:t>
      </w:r>
      <w:r>
        <w:t>, e.g.</w:t>
      </w:r>
      <w:r w:rsidR="00B66D97">
        <w:t xml:space="preserve"> </w:t>
      </w:r>
      <w:r w:rsidR="00005441">
        <w:t>from the upper to lower aquifers</w:t>
      </w:r>
      <w:r>
        <w:t xml:space="preserve"> based on the hydraulic gradient conditions of </w:t>
      </w:r>
      <w:r>
        <w:fldChar w:fldCharType="begin"/>
      </w:r>
      <w:r>
        <w:instrText xml:space="preserve"> REF _Ref450405792 \h </w:instrText>
      </w:r>
      <w:r>
        <w:fldChar w:fldCharType="separate"/>
      </w:r>
      <w:r w:rsidR="002E45AF">
        <w:t xml:space="preserve">Figure </w:t>
      </w:r>
      <w:r w:rsidR="002E45AF">
        <w:rPr>
          <w:noProof/>
        </w:rPr>
        <w:t>3</w:t>
      </w:r>
      <w:r>
        <w:fldChar w:fldCharType="end"/>
      </w:r>
      <w:r w:rsidR="00005441">
        <w:t xml:space="preserve">. Whether </w:t>
      </w:r>
      <w:r>
        <w:t xml:space="preserve">or not </w:t>
      </w:r>
      <w:r w:rsidR="00005441">
        <w:t xml:space="preserve">a leaky well will have an impact on the regional </w:t>
      </w:r>
      <w:r>
        <w:t xml:space="preserve">groundwater </w:t>
      </w:r>
      <w:r w:rsidR="00005441">
        <w:t xml:space="preserve">system depends on whether this </w:t>
      </w:r>
      <w:r>
        <w:t>diffuse</w:t>
      </w:r>
      <w:r w:rsidR="00005441">
        <w:t xml:space="preserve"> flow rate </w:t>
      </w:r>
      <w:r>
        <w:t>has</w:t>
      </w:r>
      <w:r w:rsidR="00005441">
        <w:t xml:space="preserve"> perceivably increased. This can be assessed by comparing the vertical hydraulic conductivity of a number of leaky wells within a production area with the vertical hydraulic conductivity of the aquitard over the same area. </w:t>
      </w:r>
    </w:p>
    <w:p w14:paraId="7273877D" w14:textId="3E65F4C1" w:rsidR="00207DA6" w:rsidRDefault="00207DA6" w:rsidP="00E701E0">
      <w:r>
        <w:t xml:space="preserve">We first develop a simple relationship between the density of leaky wells </w:t>
      </w:r>
      <w:r w:rsidR="00734F06">
        <w:t>within a specified area of an aquitard –</w:t>
      </w:r>
      <w:r>
        <w:t xml:space="preserve"> </w:t>
      </w:r>
      <w:r w:rsidR="00734F06">
        <w:t xml:space="preserve">as a proxy for well failure rate – </w:t>
      </w:r>
      <w:r>
        <w:t>and the e</w:t>
      </w:r>
      <w:r w:rsidR="00826113">
        <w:t>quivalent</w:t>
      </w:r>
      <w:r>
        <w:t xml:space="preserve"> hydraulic conductivity of</w:t>
      </w:r>
      <w:r w:rsidR="008E5F86" w:rsidRPr="008E5F86">
        <w:t xml:space="preserve"> the combined aquitard / leaky bore population which </w:t>
      </w:r>
      <w:r w:rsidR="00734F06">
        <w:t xml:space="preserve">accounts for </w:t>
      </w:r>
      <w:r w:rsidR="005E2118">
        <w:t xml:space="preserve">the combined </w:t>
      </w:r>
      <w:r w:rsidR="00734F06">
        <w:t>flow through leaky wells and aquitard</w:t>
      </w:r>
      <w:r>
        <w:t>.</w:t>
      </w:r>
      <w:r w:rsidR="00734F06">
        <w:t xml:space="preserve"> We subsequently develop a set of analytical solutions that identify </w:t>
      </w:r>
      <w:r w:rsidR="006E7B97">
        <w:t>for</w:t>
      </w:r>
      <w:r w:rsidR="00734F06">
        <w:t xml:space="preserve"> which </w:t>
      </w:r>
      <w:r w:rsidR="005E2118">
        <w:t xml:space="preserve">hydrogeological </w:t>
      </w:r>
      <w:r w:rsidR="00734F06">
        <w:t xml:space="preserve">conditions flow through leaky wells, required to </w:t>
      </w:r>
      <w:r w:rsidR="005A6DC0">
        <w:t>significantly increase the e</w:t>
      </w:r>
      <w:r w:rsidR="00826113">
        <w:t>quivalent</w:t>
      </w:r>
      <w:r w:rsidR="005A6DC0">
        <w:t xml:space="preserve"> conductivity of the aquitard</w:t>
      </w:r>
      <w:r w:rsidR="00734F06">
        <w:t xml:space="preserve">, is physically possible.   </w:t>
      </w:r>
    </w:p>
    <w:p w14:paraId="473C9520" w14:textId="44A940CB" w:rsidR="00E701E0" w:rsidRDefault="00E701E0" w:rsidP="00E701E0">
      <w:r>
        <w:t xml:space="preserve">Consider an aquitard where </w:t>
      </w:r>
      <w:r w:rsidRPr="003A1E2E">
        <w:rPr>
          <w:i/>
        </w:rPr>
        <w:t>A</w:t>
      </w:r>
      <w:r w:rsidRPr="00976756">
        <w:rPr>
          <w:vertAlign w:val="subscript"/>
        </w:rPr>
        <w:t>ref</w:t>
      </w:r>
      <w:r>
        <w:t xml:space="preserve"> </w:t>
      </w:r>
      <w:r w:rsidR="008E5F86">
        <w:t>(m</w:t>
      </w:r>
      <w:r w:rsidR="008E5F86" w:rsidRPr="008E5F86">
        <w:rPr>
          <w:vertAlign w:val="superscript"/>
        </w:rPr>
        <w:t>2</w:t>
      </w:r>
      <w:r w:rsidR="008E5F86">
        <w:t xml:space="preserve">) </w:t>
      </w:r>
      <w:r>
        <w:t xml:space="preserve">is the area of the reference aquitard considered in the analysis; the aquitard hosts </w:t>
      </w:r>
      <w:r w:rsidR="007F4938">
        <w:t xml:space="preserve">both </w:t>
      </w:r>
      <w:r>
        <w:t xml:space="preserve">a number of intact </w:t>
      </w:r>
      <w:r w:rsidR="007F4938">
        <w:t xml:space="preserve">and leaky </w:t>
      </w:r>
      <w:r>
        <w:t>well or bores</w:t>
      </w:r>
      <w:r w:rsidR="005A6DC0">
        <w:t xml:space="preserve"> (</w:t>
      </w:r>
      <w:r w:rsidR="005A6DC0">
        <w:fldChar w:fldCharType="begin"/>
      </w:r>
      <w:r w:rsidR="005A6DC0">
        <w:instrText xml:space="preserve"> REF _Ref450433613 \h </w:instrText>
      </w:r>
      <w:r w:rsidR="005A6DC0">
        <w:fldChar w:fldCharType="separate"/>
      </w:r>
      <w:r w:rsidR="002E45AF">
        <w:t xml:space="preserve">Figure </w:t>
      </w:r>
      <w:r w:rsidR="002E45AF">
        <w:rPr>
          <w:noProof/>
        </w:rPr>
        <w:t>4</w:t>
      </w:r>
      <w:r w:rsidR="005A6DC0">
        <w:fldChar w:fldCharType="end"/>
      </w:r>
      <w:r w:rsidR="005A6DC0">
        <w:t>)</w:t>
      </w:r>
      <w:r>
        <w:t>. The cross sectional area of each leaky</w:t>
      </w:r>
      <w:r w:rsidRPr="00E32FB9">
        <w:t xml:space="preserve"> </w:t>
      </w:r>
      <w:r>
        <w:t xml:space="preserve">well </w:t>
      </w:r>
      <w:r w:rsidRPr="00ED6391">
        <w:rPr>
          <w:i/>
        </w:rPr>
        <w:t>i</w:t>
      </w:r>
      <w:r>
        <w:t xml:space="preserve"> is</w:t>
      </w:r>
      <w:r w:rsidRPr="00A04A05">
        <w:rPr>
          <w:i/>
        </w:rPr>
        <w:t xml:space="preserve"> </w:t>
      </w:r>
      <w:r>
        <w:rPr>
          <w:i/>
        </w:rPr>
        <w:t>A</w:t>
      </w:r>
      <w:r w:rsidRPr="00976756">
        <w:rPr>
          <w:vertAlign w:val="subscript"/>
        </w:rPr>
        <w:t>well,i</w:t>
      </w:r>
      <w:r>
        <w:t xml:space="preserve"> </w:t>
      </w:r>
      <w:r w:rsidR="008E5F86">
        <w:t>(</w:t>
      </w:r>
      <w:r w:rsidR="0085151C">
        <w:t>m</w:t>
      </w:r>
      <w:r w:rsidR="0085151C" w:rsidRPr="0085151C">
        <w:rPr>
          <w:vertAlign w:val="superscript"/>
        </w:rPr>
        <w:t>2</w:t>
      </w:r>
      <w:r w:rsidR="008E5F86">
        <w:t>).</w:t>
      </w:r>
      <w:r>
        <w:t xml:space="preserve">The density of failed wells, </w:t>
      </w:r>
      <w:r w:rsidRPr="003A1E2E">
        <w:rPr>
          <w:i/>
        </w:rPr>
        <w:t>ρ</w:t>
      </w:r>
      <w:r>
        <w:t>, is defined as:</w:t>
      </w:r>
    </w:p>
    <w:p w14:paraId="7A31BC45" w14:textId="1EAF7F56" w:rsidR="00E701E0" w:rsidRPr="003A0C90" w:rsidRDefault="00FF2C3D" w:rsidP="002C7C04">
      <w:pPr>
        <w:pStyle w:val="CaptionNote"/>
        <w:tabs>
          <w:tab w:val="center" w:pos="3686"/>
        </w:tabs>
        <w:jc w:val="right"/>
        <w:rPr>
          <w:b w:val="0"/>
        </w:rPr>
      </w:pPr>
      <m:oMath>
        <m:r>
          <m:rPr>
            <m:sty m:val="bi"/>
          </m:rPr>
          <w:rPr>
            <w:rFonts w:ascii="Cambria Math" w:hAnsi="Cambria Math"/>
            <w:color w:val="auto"/>
            <w:sz w:val="28"/>
            <w:szCs w:val="28"/>
          </w:rPr>
          <m:t>ρ=</m:t>
        </m:r>
        <m:f>
          <m:fPr>
            <m:ctrlPr>
              <w:rPr>
                <w:rFonts w:ascii="Cambria Math" w:hAnsi="Cambria Math"/>
                <w:b w:val="0"/>
                <w:i/>
                <w:iCs/>
                <w:color w:val="auto"/>
                <w:sz w:val="28"/>
                <w:szCs w:val="28"/>
              </w:rPr>
            </m:ctrlPr>
          </m:fPr>
          <m:num>
            <m:r>
              <m:rPr>
                <m:sty m:val="bi"/>
              </m:rPr>
              <w:rPr>
                <w:rFonts w:ascii="Cambria Math" w:hAnsi="Cambria Math"/>
                <w:color w:val="auto"/>
                <w:sz w:val="28"/>
                <w:szCs w:val="28"/>
              </w:rPr>
              <m:t>1</m:t>
            </m:r>
          </m:num>
          <m:den>
            <m:sSub>
              <m:sSubPr>
                <m:ctrlPr>
                  <w:rPr>
                    <w:rFonts w:ascii="Cambria Math" w:hAnsi="Cambria Math"/>
                    <w:b w:val="0"/>
                    <w:i/>
                    <w:iCs/>
                    <w:color w:val="auto"/>
                    <w:sz w:val="28"/>
                    <w:szCs w:val="28"/>
                  </w:rPr>
                </m:ctrlPr>
              </m:sSubPr>
              <m:e>
                <m:r>
                  <m:rPr>
                    <m:sty m:val="bi"/>
                  </m:rPr>
                  <w:rPr>
                    <w:rFonts w:ascii="Cambria Math" w:hAnsi="Cambria Math"/>
                    <w:color w:val="auto"/>
                    <w:sz w:val="28"/>
                    <w:szCs w:val="28"/>
                  </w:rPr>
                  <m:t>A</m:t>
                </m:r>
              </m:e>
              <m:sub>
                <m:r>
                  <m:rPr>
                    <m:sty m:val="bi"/>
                  </m:rPr>
                  <w:rPr>
                    <w:rFonts w:ascii="Cambria Math" w:hAnsi="Cambria Math"/>
                    <w:color w:val="auto"/>
                    <w:sz w:val="28"/>
                    <w:szCs w:val="28"/>
                  </w:rPr>
                  <m:t>ref</m:t>
                </m:r>
              </m:sub>
            </m:sSub>
          </m:den>
        </m:f>
        <m:nary>
          <m:naryPr>
            <m:chr m:val="∑"/>
            <m:limLoc m:val="undOvr"/>
            <m:ctrlPr>
              <w:rPr>
                <w:rFonts w:ascii="Cambria Math" w:hAnsi="Cambria Math"/>
                <w:b w:val="0"/>
                <w:i/>
                <w:iCs/>
                <w:color w:val="auto"/>
                <w:sz w:val="28"/>
                <w:szCs w:val="28"/>
              </w:rPr>
            </m:ctrlPr>
          </m:naryPr>
          <m:sub>
            <m:r>
              <m:rPr>
                <m:sty m:val="bi"/>
              </m:rPr>
              <w:rPr>
                <w:rFonts w:ascii="Cambria Math" w:hAnsi="Cambria Math"/>
                <w:color w:val="auto"/>
                <w:sz w:val="28"/>
                <w:szCs w:val="28"/>
              </w:rPr>
              <m:t>i=0</m:t>
            </m:r>
          </m:sub>
          <m:sup>
            <m:r>
              <m:rPr>
                <m:sty m:val="bi"/>
              </m:rPr>
              <w:rPr>
                <w:rFonts w:ascii="Cambria Math" w:hAnsi="Cambria Math"/>
                <w:color w:val="auto"/>
                <w:sz w:val="28"/>
                <w:szCs w:val="28"/>
              </w:rPr>
              <m:t>n</m:t>
            </m:r>
          </m:sup>
          <m:e>
            <m:sSub>
              <m:sSubPr>
                <m:ctrlPr>
                  <w:rPr>
                    <w:rFonts w:ascii="Cambria Math" w:hAnsi="Cambria Math"/>
                    <w:b w:val="0"/>
                    <w:i/>
                    <w:iCs/>
                    <w:color w:val="auto"/>
                    <w:sz w:val="28"/>
                    <w:szCs w:val="28"/>
                  </w:rPr>
                </m:ctrlPr>
              </m:sSubPr>
              <m:e>
                <m:r>
                  <m:rPr>
                    <m:sty m:val="bi"/>
                  </m:rPr>
                  <w:rPr>
                    <w:rFonts w:ascii="Cambria Math" w:hAnsi="Cambria Math"/>
                    <w:color w:val="auto"/>
                    <w:sz w:val="28"/>
                    <w:szCs w:val="28"/>
                  </w:rPr>
                  <m:t>A</m:t>
                </m:r>
              </m:e>
              <m:sub>
                <m:r>
                  <m:rPr>
                    <m:sty m:val="bi"/>
                  </m:rPr>
                  <w:rPr>
                    <w:rFonts w:ascii="Cambria Math" w:hAnsi="Cambria Math"/>
                    <w:color w:val="auto"/>
                    <w:sz w:val="28"/>
                    <w:szCs w:val="28"/>
                  </w:rPr>
                  <m:t>well, i</m:t>
                </m:r>
              </m:sub>
            </m:sSub>
            <m:r>
              <m:rPr>
                <m:sty m:val="bi"/>
              </m:rPr>
              <w:rPr>
                <w:rFonts w:ascii="Cambria Math" w:hAnsi="Cambria Math"/>
                <w:color w:val="auto"/>
                <w:sz w:val="28"/>
                <w:szCs w:val="28"/>
              </w:rPr>
              <m:t xml:space="preserve">                                                  </m:t>
            </m:r>
          </m:e>
        </m:nary>
        <m:r>
          <m:rPr>
            <m:sty m:val="bi"/>
          </m:rPr>
          <w:rPr>
            <w:rFonts w:ascii="Cambria Math" w:hAnsi="Cambria Math"/>
            <w:sz w:val="28"/>
            <w:szCs w:val="28"/>
          </w:rPr>
          <m:t xml:space="preserve"> </m:t>
        </m:r>
      </m:oMath>
      <w:r w:rsidR="00E701E0" w:rsidRPr="00FF2C3D">
        <w:t xml:space="preserve">Equation </w:t>
      </w:r>
      <w:r w:rsidR="00ED4C1C">
        <w:fldChar w:fldCharType="begin"/>
      </w:r>
      <w:r w:rsidR="00ED4C1C">
        <w:instrText xml:space="preserve"> SEQ Equation \* ARABIC </w:instrText>
      </w:r>
      <w:r w:rsidR="00ED4C1C">
        <w:fldChar w:fldCharType="separate"/>
      </w:r>
      <w:r w:rsidR="002E45AF">
        <w:rPr>
          <w:noProof/>
        </w:rPr>
        <w:t>1</w:t>
      </w:r>
      <w:r w:rsidR="00ED4C1C">
        <w:rPr>
          <w:noProof/>
        </w:rPr>
        <w:fldChar w:fldCharType="end"/>
      </w:r>
    </w:p>
    <w:p w14:paraId="6110A67D" w14:textId="0ACECBD9" w:rsidR="00E701E0" w:rsidRDefault="00E701E0" w:rsidP="00E701E0">
      <w:r>
        <w:t>The fl</w:t>
      </w:r>
      <w:r w:rsidR="003C769F">
        <w:t>ux</w:t>
      </w:r>
      <w:r>
        <w:t xml:space="preserve"> </w:t>
      </w:r>
      <w:r w:rsidR="003C769F" w:rsidRPr="00976756">
        <w:rPr>
          <w:i/>
        </w:rPr>
        <w:t>Q</w:t>
      </w:r>
      <w:r w:rsidR="003C769F">
        <w:t xml:space="preserve"> </w:t>
      </w:r>
      <w:r w:rsidR="003C769F" w:rsidRPr="00ED6391">
        <w:t>(</w:t>
      </w:r>
      <w:r w:rsidR="003C769F">
        <w:t>m</w:t>
      </w:r>
      <w:r w:rsidR="003C769F" w:rsidRPr="00ED6391">
        <w:rPr>
          <w:vertAlign w:val="superscript"/>
        </w:rPr>
        <w:t>3</w:t>
      </w:r>
      <w:r w:rsidR="003C769F">
        <w:t>/d</w:t>
      </w:r>
      <w:r w:rsidR="003C769F" w:rsidRPr="00ED6391">
        <w:t>)</w:t>
      </w:r>
      <w:r w:rsidR="003C769F">
        <w:t xml:space="preserve"> </w:t>
      </w:r>
      <w:r>
        <w:t xml:space="preserve">across the aquitard reference area </w:t>
      </w:r>
      <w:r w:rsidRPr="00976756">
        <w:rPr>
          <w:i/>
        </w:rPr>
        <w:t>A</w:t>
      </w:r>
      <w:r w:rsidRPr="00ED6391">
        <w:rPr>
          <w:vertAlign w:val="subscript"/>
        </w:rPr>
        <w:t>ref</w:t>
      </w:r>
      <w:r>
        <w:t xml:space="preserve"> </w:t>
      </w:r>
      <w:r w:rsidR="003C769F">
        <w:t>is</w:t>
      </w:r>
      <w:r>
        <w:t xml:space="preserve"> calculated using Darcy’s Law:</w:t>
      </w:r>
    </w:p>
    <w:p w14:paraId="56CFFA53" w14:textId="3BA7980D" w:rsidR="00E701E0" w:rsidRPr="003A0C90" w:rsidRDefault="00FF2C3D" w:rsidP="00E701E0">
      <w:pPr>
        <w:pStyle w:val="CaptionNote"/>
        <w:jc w:val="right"/>
        <w:rPr>
          <w:b w:val="0"/>
        </w:rPr>
      </w:pPr>
      <m:oMath>
        <m:r>
          <m:rPr>
            <m:sty m:val="bi"/>
          </m:rPr>
          <w:rPr>
            <w:rFonts w:ascii="Cambria Math" w:hAnsi="Cambria Math"/>
            <w:color w:val="000000" w:themeColor="text1"/>
            <w:sz w:val="28"/>
            <w:szCs w:val="28"/>
          </w:rPr>
          <m:t>Q=</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eq</m:t>
            </m:r>
          </m:sub>
        </m:sSub>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A</m:t>
            </m:r>
          </m:e>
          <m:sub>
            <m:r>
              <m:rPr>
                <m:sty m:val="bi"/>
              </m:rPr>
              <w:rPr>
                <w:rFonts w:ascii="Cambria Math" w:hAnsi="Cambria Math"/>
                <w:color w:val="000000" w:themeColor="text1"/>
                <w:sz w:val="28"/>
                <w:szCs w:val="28"/>
              </w:rPr>
              <m:t>ref</m:t>
            </m:r>
          </m:sub>
        </m:sSub>
        <m:f>
          <m:fPr>
            <m:ctrlPr>
              <w:rPr>
                <w:rFonts w:ascii="Cambria Math" w:hAnsi="Cambria Math"/>
                <w:b w:val="0"/>
                <w:i/>
                <w:iCs/>
                <w:color w:val="000000" w:themeColor="text1"/>
                <w:sz w:val="28"/>
                <w:szCs w:val="28"/>
              </w:rPr>
            </m:ctrlPr>
          </m:fPr>
          <m:num>
            <m:r>
              <m:rPr>
                <m:sty m:val="bi"/>
              </m:rPr>
              <w:rPr>
                <w:rFonts w:ascii="Cambria Math" w:hAnsi="Cambria Math"/>
                <w:color w:val="000000" w:themeColor="text1"/>
                <w:sz w:val="28"/>
                <w:szCs w:val="28"/>
              </w:rPr>
              <m:t>dh</m:t>
            </m:r>
          </m:num>
          <m:den>
            <m:r>
              <m:rPr>
                <m:sty m:val="bi"/>
              </m:rPr>
              <w:rPr>
                <w:rFonts w:ascii="Cambria Math" w:hAnsi="Cambria Math"/>
                <w:color w:val="000000" w:themeColor="text1"/>
                <w:sz w:val="28"/>
                <w:szCs w:val="28"/>
              </w:rPr>
              <m:t>dz</m:t>
            </m:r>
          </m:den>
        </m:f>
        <m:r>
          <m:rPr>
            <m:sty m:val="bi"/>
          </m:rPr>
          <w:rPr>
            <w:rFonts w:ascii="Cambria Math" w:hAnsi="Cambria Math"/>
            <w:color w:val="000000" w:themeColor="text1"/>
            <w:sz w:val="28"/>
            <w:szCs w:val="28"/>
          </w:rPr>
          <m:t xml:space="preserve">     </m:t>
        </m:r>
        <m:r>
          <m:rPr>
            <m:sty m:val="bi"/>
          </m:rPr>
          <w:rPr>
            <w:rFonts w:ascii="Cambria Math" w:hAnsi="Cambria Math"/>
            <w:sz w:val="28"/>
            <w:szCs w:val="28"/>
          </w:rPr>
          <m:t xml:space="preserve">                                                       </m:t>
        </m:r>
      </m:oMath>
      <w:r w:rsidR="00E701E0" w:rsidRPr="00FF2C3D">
        <w:t xml:space="preserve">Equation </w:t>
      </w:r>
      <w:r w:rsidR="00ED4C1C">
        <w:fldChar w:fldCharType="begin"/>
      </w:r>
      <w:r w:rsidR="00ED4C1C">
        <w:instrText xml:space="preserve"> SEQ Equation \* ARABIC </w:instrText>
      </w:r>
      <w:r w:rsidR="00ED4C1C">
        <w:fldChar w:fldCharType="separate"/>
      </w:r>
      <w:r w:rsidR="002E45AF">
        <w:rPr>
          <w:noProof/>
        </w:rPr>
        <w:t>2</w:t>
      </w:r>
      <w:r w:rsidR="00ED4C1C">
        <w:rPr>
          <w:noProof/>
        </w:rPr>
        <w:fldChar w:fldCharType="end"/>
      </w:r>
    </w:p>
    <w:p w14:paraId="03C33818" w14:textId="6F3C2BD0" w:rsidR="00E701E0" w:rsidRPr="00A6268F" w:rsidRDefault="00E701E0" w:rsidP="00E701E0">
      <w:r>
        <w:t xml:space="preserve">where </w:t>
      </w:r>
      <w:r>
        <w:rPr>
          <w:i/>
        </w:rPr>
        <w:t>K</w:t>
      </w:r>
      <w:r w:rsidRPr="00976756">
        <w:rPr>
          <w:vertAlign w:val="subscript"/>
        </w:rPr>
        <w:t>eq</w:t>
      </w:r>
      <w:r>
        <w:t xml:space="preserve"> (m/d) is the equivalent hydraulic conductivity of the combined aquitard and the leaky wells, </w:t>
      </w:r>
      <w:r w:rsidR="003005E9">
        <w:t>∂</w:t>
      </w:r>
      <w:r>
        <w:rPr>
          <w:i/>
        </w:rPr>
        <w:t>h</w:t>
      </w:r>
      <w:r>
        <w:t xml:space="preserve"> (m) is the head difference between the aquifers and </w:t>
      </w:r>
      <w:r w:rsidR="00A07ED2">
        <w:t>∂</w:t>
      </w:r>
      <w:r>
        <w:rPr>
          <w:i/>
        </w:rPr>
        <w:t>z</w:t>
      </w:r>
      <w:r>
        <w:t xml:space="preserve"> (m) is the </w:t>
      </w:r>
      <w:r w:rsidR="00A07ED2">
        <w:t xml:space="preserve">vertical separation distance between the two aquifers, i.e. the </w:t>
      </w:r>
      <w:r>
        <w:t xml:space="preserve">thickness of the aquitard. </w:t>
      </w:r>
      <w:r>
        <w:rPr>
          <w:i/>
        </w:rPr>
        <w:t>Q</w:t>
      </w:r>
      <w:r>
        <w:t xml:space="preserve"> is also equal to the sum of the flow through the aquitard, </w:t>
      </w:r>
      <w:r>
        <w:rPr>
          <w:i/>
        </w:rPr>
        <w:t>Q</w:t>
      </w:r>
      <w:r w:rsidRPr="00976756">
        <w:rPr>
          <w:vertAlign w:val="subscript"/>
        </w:rPr>
        <w:t>ref</w:t>
      </w:r>
      <w:r w:rsidRPr="00A315F5">
        <w:t xml:space="preserve"> </w:t>
      </w:r>
      <w:r>
        <w:t>(m</w:t>
      </w:r>
      <w:r w:rsidRPr="00ED6391">
        <w:rPr>
          <w:vertAlign w:val="superscript"/>
        </w:rPr>
        <w:t>3</w:t>
      </w:r>
      <w:r>
        <w:t xml:space="preserve">/d), </w:t>
      </w:r>
      <w:r w:rsidRPr="00A315F5">
        <w:t xml:space="preserve">and </w:t>
      </w:r>
      <w:r>
        <w:t xml:space="preserve">flow through the leaky bores </w:t>
      </w:r>
      <w:r>
        <w:rPr>
          <w:i/>
        </w:rPr>
        <w:t>Q</w:t>
      </w:r>
      <w:r w:rsidRPr="00976756">
        <w:rPr>
          <w:vertAlign w:val="subscript"/>
        </w:rPr>
        <w:t>wel</w:t>
      </w:r>
      <w:r w:rsidR="003C769F" w:rsidRPr="00976756">
        <w:rPr>
          <w:vertAlign w:val="subscript"/>
        </w:rPr>
        <w:t>l</w:t>
      </w:r>
      <w:r>
        <w:rPr>
          <w:i/>
          <w:vertAlign w:val="subscript"/>
        </w:rPr>
        <w:t>.</w:t>
      </w:r>
      <w:r w:rsidRPr="00ED6391">
        <w:t>(</w:t>
      </w:r>
      <w:r>
        <w:t>m</w:t>
      </w:r>
      <w:r w:rsidRPr="00ED6391">
        <w:rPr>
          <w:vertAlign w:val="superscript"/>
        </w:rPr>
        <w:t>3</w:t>
      </w:r>
      <w:r>
        <w:t>/d</w:t>
      </w:r>
      <w:r w:rsidRPr="00ED6391">
        <w:t>)</w:t>
      </w:r>
      <w:r>
        <w:t>:</w:t>
      </w:r>
    </w:p>
    <w:p w14:paraId="734BA072" w14:textId="277C9D13" w:rsidR="00E701E0" w:rsidRPr="003A0C90" w:rsidRDefault="00FF2C3D" w:rsidP="00E701E0">
      <w:pPr>
        <w:pStyle w:val="CaptionNote"/>
        <w:jc w:val="right"/>
        <w:rPr>
          <w:b w:val="0"/>
        </w:rPr>
      </w:pPr>
      <m:oMath>
        <m:r>
          <m:rPr>
            <m:sty m:val="bi"/>
          </m:rPr>
          <w:rPr>
            <w:rFonts w:ascii="Cambria Math" w:hAnsi="Cambria Math"/>
            <w:color w:val="000000" w:themeColor="text1"/>
            <w:sz w:val="28"/>
            <w:szCs w:val="28"/>
          </w:rPr>
          <m:t>Q=</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Q</m:t>
            </m:r>
          </m:e>
          <m:sub>
            <m:r>
              <m:rPr>
                <m:sty m:val="bi"/>
              </m:rPr>
              <w:rPr>
                <w:rFonts w:ascii="Cambria Math" w:hAnsi="Cambria Math"/>
                <w:color w:val="000000" w:themeColor="text1"/>
                <w:sz w:val="28"/>
                <w:szCs w:val="28"/>
              </w:rPr>
              <m:t>ref</m:t>
            </m:r>
          </m:sub>
        </m:sSub>
        <m:r>
          <m:rPr>
            <m:sty m:val="bi"/>
          </m:rPr>
          <w:rPr>
            <w:rFonts w:ascii="Cambria Math" w:hAnsi="Cambria Math"/>
            <w:color w:val="000000" w:themeColor="text1"/>
            <w:sz w:val="28"/>
            <w:szCs w:val="28"/>
          </w:rPr>
          <m: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Q</m:t>
            </m:r>
          </m:e>
          <m:sub>
            <m:r>
              <m:rPr>
                <m:sty m:val="bi"/>
              </m:rPr>
              <w:rPr>
                <w:rFonts w:ascii="Cambria Math" w:hAnsi="Cambria Math"/>
                <w:color w:val="000000" w:themeColor="text1"/>
                <w:sz w:val="28"/>
                <w:szCs w:val="28"/>
              </w:rPr>
              <m:t>well</m:t>
            </m:r>
          </m:sub>
        </m:sSub>
        <m:r>
          <m:rPr>
            <m:sty m:val="bi"/>
          </m:rPr>
          <w:rPr>
            <w:rFonts w:ascii="Cambria Math" w:hAnsi="Cambria Math"/>
            <w:color w:val="000000" w:themeColor="text1"/>
            <w:sz w:val="28"/>
            <w:szCs w:val="28"/>
          </w:rPr>
          <m:t>   =</m:t>
        </m:r>
        <m:d>
          <m:dPr>
            <m:ctrlPr>
              <w:rPr>
                <w:rFonts w:ascii="Cambria Math" w:hAnsi="Cambria Math"/>
                <w:b w:val="0"/>
                <w:i/>
                <w:iCs/>
                <w:color w:val="000000" w:themeColor="text1"/>
                <w:sz w:val="28"/>
                <w:szCs w:val="28"/>
              </w:rPr>
            </m:ctrlPr>
          </m:dPr>
          <m:e>
            <m:sSub>
              <m:sSubPr>
                <m:ctrlPr>
                  <w:rPr>
                    <w:rFonts w:ascii="Cambria Math" w:hAnsi="Cambria Math"/>
                    <w:b w:val="0"/>
                    <w:i/>
                    <w:iCs/>
                    <w:color w:val="000000" w:themeColor="text1"/>
                    <w:sz w:val="28"/>
                    <w:szCs w:val="28"/>
                  </w:rPr>
                </m:ctrlPr>
              </m:sSubPr>
              <m:e>
                <m:d>
                  <m:dPr>
                    <m:ctrlPr>
                      <w:rPr>
                        <w:rFonts w:ascii="Cambria Math" w:hAnsi="Cambria Math"/>
                        <w:b w:val="0"/>
                        <w:i/>
                        <w:iCs/>
                        <w:color w:val="000000" w:themeColor="text1"/>
                        <w:sz w:val="28"/>
                        <w:szCs w:val="28"/>
                      </w:rPr>
                    </m:ctrlPr>
                  </m:dPr>
                  <m:e>
                    <m:r>
                      <m:rPr>
                        <m:sty m:val="bi"/>
                      </m:rPr>
                      <w:rPr>
                        <w:rFonts w:ascii="Cambria Math" w:hAnsi="Cambria Math"/>
                        <w:color w:val="000000" w:themeColor="text1"/>
                        <w:sz w:val="28"/>
                        <w:szCs w:val="28"/>
                      </w:rPr>
                      <m:t>1-ρ</m:t>
                    </m:r>
                  </m:e>
                </m:d>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ref</m:t>
                </m:r>
              </m:sub>
            </m:sSub>
            <m:r>
              <m:rPr>
                <m:sty m:val="bi"/>
              </m:rPr>
              <w:rPr>
                <w:rFonts w:ascii="Cambria Math" w:hAnsi="Cambria Math"/>
                <w:color w:val="000000" w:themeColor="text1"/>
                <w:sz w:val="28"/>
                <w:szCs w:val="28"/>
              </w:rPr>
              <m: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ρK</m:t>
                </m:r>
              </m:e>
              <m:sub>
                <m:r>
                  <m:rPr>
                    <m:sty m:val="bi"/>
                  </m:rPr>
                  <w:rPr>
                    <w:rFonts w:ascii="Cambria Math" w:hAnsi="Cambria Math"/>
                    <w:color w:val="000000" w:themeColor="text1"/>
                    <w:sz w:val="28"/>
                    <w:szCs w:val="28"/>
                  </w:rPr>
                  <m:t>well</m:t>
                </m:r>
              </m:sub>
            </m:sSub>
          </m:e>
        </m:d>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A</m:t>
            </m:r>
          </m:e>
          <m:sub>
            <m:r>
              <m:rPr>
                <m:sty m:val="bi"/>
              </m:rPr>
              <w:rPr>
                <w:rFonts w:ascii="Cambria Math" w:hAnsi="Cambria Math"/>
                <w:color w:val="000000" w:themeColor="text1"/>
                <w:sz w:val="28"/>
                <w:szCs w:val="28"/>
              </w:rPr>
              <m:t>ref</m:t>
            </m:r>
          </m:sub>
        </m:sSub>
        <m:f>
          <m:fPr>
            <m:ctrlPr>
              <w:rPr>
                <w:rFonts w:ascii="Cambria Math" w:hAnsi="Cambria Math"/>
                <w:b w:val="0"/>
                <w:i/>
                <w:iCs/>
                <w:color w:val="000000" w:themeColor="text1"/>
                <w:sz w:val="28"/>
                <w:szCs w:val="28"/>
              </w:rPr>
            </m:ctrlPr>
          </m:fPr>
          <m:num>
            <m:r>
              <m:rPr>
                <m:sty m:val="bi"/>
              </m:rPr>
              <w:rPr>
                <w:rFonts w:ascii="Cambria Math" w:hAnsi="Cambria Math"/>
                <w:color w:val="000000" w:themeColor="text1"/>
                <w:sz w:val="28"/>
                <w:szCs w:val="28"/>
              </w:rPr>
              <m:t>dh</m:t>
            </m:r>
          </m:num>
          <m:den>
            <m:r>
              <m:rPr>
                <m:sty m:val="bi"/>
              </m:rPr>
              <w:rPr>
                <w:rFonts w:ascii="Cambria Math" w:hAnsi="Cambria Math"/>
                <w:color w:val="000000" w:themeColor="text1"/>
                <w:sz w:val="28"/>
                <w:szCs w:val="28"/>
              </w:rPr>
              <m:t>dz</m:t>
            </m:r>
          </m:den>
        </m:f>
        <m:r>
          <m:rPr>
            <m:sty m:val="bi"/>
          </m:rPr>
          <w:rPr>
            <w:rFonts w:ascii="Cambria Math" w:hAnsi="Cambria Math"/>
            <w:color w:val="000000" w:themeColor="text1"/>
            <w:sz w:val="28"/>
            <w:szCs w:val="28"/>
          </w:rPr>
          <m:t xml:space="preserve">   </m:t>
        </m:r>
        <m:r>
          <m:rPr>
            <m:sty m:val="bi"/>
          </m:rPr>
          <w:rPr>
            <w:rFonts w:ascii="Cambria Math" w:hAnsi="Cambria Math"/>
            <w:sz w:val="28"/>
            <w:szCs w:val="28"/>
          </w:rPr>
          <m:t xml:space="preserve">       </m:t>
        </m:r>
      </m:oMath>
      <w:r w:rsidR="00E701E0" w:rsidRPr="00FF2C3D">
        <w:t xml:space="preserve">Equation </w:t>
      </w:r>
      <w:r w:rsidR="00ED4C1C">
        <w:fldChar w:fldCharType="begin"/>
      </w:r>
      <w:r w:rsidR="00ED4C1C">
        <w:instrText xml:space="preserve"> SEQ Equation \* ARABIC </w:instrText>
      </w:r>
      <w:r w:rsidR="00ED4C1C">
        <w:fldChar w:fldCharType="separate"/>
      </w:r>
      <w:r w:rsidR="002E45AF">
        <w:rPr>
          <w:noProof/>
        </w:rPr>
        <w:t>3</w:t>
      </w:r>
      <w:r w:rsidR="00ED4C1C">
        <w:rPr>
          <w:noProof/>
        </w:rPr>
        <w:fldChar w:fldCharType="end"/>
      </w:r>
    </w:p>
    <w:p w14:paraId="37572A4E" w14:textId="11F3E495" w:rsidR="00E701E0" w:rsidRPr="00A6268F" w:rsidRDefault="00336AB4" w:rsidP="00E701E0">
      <w:r>
        <w:t>T</w:t>
      </w:r>
      <w:r w:rsidR="00E701E0">
        <w:t xml:space="preserve">he equivalent hydraulic conductivity </w:t>
      </w:r>
      <w:r w:rsidR="00E701E0">
        <w:rPr>
          <w:i/>
        </w:rPr>
        <w:t>K</w:t>
      </w:r>
      <w:r w:rsidR="00E701E0" w:rsidRPr="00976756">
        <w:rPr>
          <w:vertAlign w:val="subscript"/>
        </w:rPr>
        <w:t>eq</w:t>
      </w:r>
      <w:r w:rsidR="00E701E0">
        <w:t xml:space="preserve"> is calculated from the conductivity of the aquitard, </w:t>
      </w:r>
      <w:r w:rsidR="00E701E0" w:rsidRPr="00976756">
        <w:rPr>
          <w:i/>
        </w:rPr>
        <w:t>K</w:t>
      </w:r>
      <w:r w:rsidR="00E701E0" w:rsidRPr="00ED6391">
        <w:rPr>
          <w:vertAlign w:val="subscript"/>
        </w:rPr>
        <w:t>ref</w:t>
      </w:r>
      <w:r w:rsidR="00276604">
        <w:t xml:space="preserve"> (m/d),</w:t>
      </w:r>
      <w:r w:rsidR="00E701E0">
        <w:t xml:space="preserve"> and the wells, </w:t>
      </w:r>
      <w:r w:rsidR="00E701E0" w:rsidRPr="00976756">
        <w:rPr>
          <w:i/>
        </w:rPr>
        <w:t>K</w:t>
      </w:r>
      <w:r w:rsidR="00E701E0" w:rsidRPr="00ED6391">
        <w:rPr>
          <w:vertAlign w:val="subscript"/>
        </w:rPr>
        <w:t>well</w:t>
      </w:r>
      <w:r w:rsidR="00276604">
        <w:t xml:space="preserve"> (m/d):</w:t>
      </w:r>
    </w:p>
    <w:p w14:paraId="25FEB39A" w14:textId="50A92204" w:rsidR="00E701E0" w:rsidRPr="003A0C90" w:rsidRDefault="00ED4C1C" w:rsidP="00E701E0">
      <w:pPr>
        <w:pStyle w:val="CaptionNote"/>
        <w:jc w:val="right"/>
        <w:rPr>
          <w:b w:val="0"/>
        </w:rPr>
      </w:pPr>
      <m:oMath>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eq</m:t>
            </m:r>
          </m:sub>
        </m:sSub>
        <m:r>
          <m:rPr>
            <m:sty m:val="bi"/>
          </m:rPr>
          <w:rPr>
            <w:rFonts w:ascii="Cambria Math" w:hAnsi="Cambria Math"/>
            <w:color w:val="000000" w:themeColor="text1"/>
            <w:sz w:val="28"/>
            <w:szCs w:val="28"/>
          </w:rPr>
          <m:t>=</m:t>
        </m:r>
        <m:sSub>
          <m:sSubPr>
            <m:ctrlPr>
              <w:rPr>
                <w:rFonts w:ascii="Cambria Math" w:hAnsi="Cambria Math"/>
                <w:b w:val="0"/>
                <w:i/>
                <w:iCs/>
                <w:color w:val="000000" w:themeColor="text1"/>
                <w:sz w:val="28"/>
                <w:szCs w:val="28"/>
              </w:rPr>
            </m:ctrlPr>
          </m:sSubPr>
          <m:e>
            <m:d>
              <m:dPr>
                <m:ctrlPr>
                  <w:rPr>
                    <w:rFonts w:ascii="Cambria Math" w:hAnsi="Cambria Math"/>
                    <w:b w:val="0"/>
                    <w:i/>
                    <w:iCs/>
                    <w:color w:val="000000" w:themeColor="text1"/>
                    <w:sz w:val="28"/>
                    <w:szCs w:val="28"/>
                  </w:rPr>
                </m:ctrlPr>
              </m:dPr>
              <m:e>
                <m:r>
                  <m:rPr>
                    <m:sty m:val="bi"/>
                  </m:rPr>
                  <w:rPr>
                    <w:rFonts w:ascii="Cambria Math" w:hAnsi="Cambria Math"/>
                    <w:color w:val="000000" w:themeColor="text1"/>
                    <w:sz w:val="28"/>
                    <w:szCs w:val="28"/>
                  </w:rPr>
                  <m:t>1-ρ</m:t>
                </m:r>
              </m:e>
            </m:d>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ref</m:t>
            </m:r>
          </m:sub>
        </m:sSub>
        <m:r>
          <m:rPr>
            <m:sty m:val="bi"/>
          </m:rPr>
          <w:rPr>
            <w:rFonts w:ascii="Cambria Math" w:hAnsi="Cambria Math"/>
            <w:color w:val="000000" w:themeColor="text1"/>
            <w:sz w:val="28"/>
            <w:szCs w:val="28"/>
          </w:rPr>
          <m: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ρK</m:t>
            </m:r>
          </m:e>
          <m:sub>
            <m:r>
              <m:rPr>
                <m:sty m:val="bi"/>
              </m:rPr>
              <w:rPr>
                <w:rFonts w:ascii="Cambria Math" w:hAnsi="Cambria Math"/>
                <w:color w:val="000000" w:themeColor="text1"/>
                <w:sz w:val="28"/>
                <w:szCs w:val="28"/>
              </w:rPr>
              <m:t>well</m:t>
            </m:r>
          </m:sub>
        </m:sSub>
        <m:r>
          <m:rPr>
            <m:sty m:val="bi"/>
          </m:rPr>
          <w:rPr>
            <w:rFonts w:ascii="Cambria Math" w:hAnsi="Cambria Math"/>
            <w:color w:val="000000" w:themeColor="text1"/>
            <w:sz w:val="28"/>
            <w:szCs w:val="28"/>
          </w:rPr>
          <m:t xml:space="preserve">  </m:t>
        </m:r>
        <m:r>
          <m:rPr>
            <m:sty m:val="bi"/>
          </m:rPr>
          <w:rPr>
            <w:rFonts w:ascii="Cambria Math" w:hAnsi="Cambria Math"/>
            <w:sz w:val="28"/>
            <w:szCs w:val="28"/>
          </w:rPr>
          <m:t xml:space="preserve">                                          </m:t>
        </m:r>
      </m:oMath>
      <w:r w:rsidR="00E701E0" w:rsidRPr="00FF2C3D">
        <w:t xml:space="preserve">Equation </w:t>
      </w:r>
      <w:r>
        <w:fldChar w:fldCharType="begin"/>
      </w:r>
      <w:r>
        <w:instrText xml:space="preserve"> SEQ Equation \* ARABIC </w:instrText>
      </w:r>
      <w:r>
        <w:fldChar w:fldCharType="separate"/>
      </w:r>
      <w:r w:rsidR="002E45AF">
        <w:rPr>
          <w:noProof/>
        </w:rPr>
        <w:t>4</w:t>
      </w:r>
      <w:r>
        <w:rPr>
          <w:noProof/>
        </w:rPr>
        <w:fldChar w:fldCharType="end"/>
      </w:r>
    </w:p>
    <w:p w14:paraId="55A47103" w14:textId="22E7F6B8" w:rsidR="00535606" w:rsidRDefault="00336AB4" w:rsidP="00E701E0">
      <w:r>
        <w:t xml:space="preserve">It is then possible to </w:t>
      </w:r>
      <w:r w:rsidR="00E701E0">
        <w:t xml:space="preserve">define the density </w:t>
      </w:r>
      <w:r w:rsidR="00E701E0" w:rsidRPr="00ED6391">
        <w:rPr>
          <w:i/>
        </w:rPr>
        <w:t>ρ</w:t>
      </w:r>
      <w:r w:rsidR="00E701E0">
        <w:t xml:space="preserve"> of leaky wells, i.e. the surface area of all leaky wells relative to the flow area </w:t>
      </w:r>
      <w:r w:rsidR="00E71206">
        <w:t>through</w:t>
      </w:r>
      <w:r w:rsidR="00E701E0">
        <w:t xml:space="preserve"> the aquitard</w:t>
      </w:r>
      <w:r w:rsidR="00535606">
        <w:t xml:space="preserve"> in terms of </w:t>
      </w:r>
      <w:r w:rsidR="00535606" w:rsidRPr="00C00807">
        <w:rPr>
          <w:i/>
        </w:rPr>
        <w:t>K</w:t>
      </w:r>
      <w:r w:rsidR="00535606" w:rsidRPr="00976756">
        <w:rPr>
          <w:vertAlign w:val="subscript"/>
        </w:rPr>
        <w:t>eq</w:t>
      </w:r>
      <w:r w:rsidR="00535606">
        <w:rPr>
          <w:vertAlign w:val="superscript"/>
        </w:rPr>
        <w:t xml:space="preserve"> </w:t>
      </w:r>
      <w:r w:rsidR="00535606" w:rsidRPr="00535606">
        <w:t>and</w:t>
      </w:r>
      <w:r w:rsidR="00535606">
        <w:rPr>
          <w:vertAlign w:val="superscript"/>
        </w:rPr>
        <w:t xml:space="preserve"> </w:t>
      </w:r>
      <w:r w:rsidR="00535606" w:rsidRPr="00C00807">
        <w:rPr>
          <w:i/>
        </w:rPr>
        <w:t>K</w:t>
      </w:r>
      <w:r w:rsidR="00535606" w:rsidRPr="00976756">
        <w:rPr>
          <w:vertAlign w:val="subscript"/>
        </w:rPr>
        <w:t>ref</w:t>
      </w:r>
      <w:r w:rsidR="00535606">
        <w:t>.</w:t>
      </w:r>
      <w:r w:rsidR="00E701E0">
        <w:t xml:space="preserve"> </w:t>
      </w:r>
    </w:p>
    <w:p w14:paraId="5B230676" w14:textId="38196983" w:rsidR="00535606" w:rsidRDefault="00535606" w:rsidP="00E701E0">
      <w:r>
        <w:t>Assuming the density of leaky wells (</w:t>
      </w:r>
      <w:r w:rsidRPr="00535606">
        <w:t>A</w:t>
      </w:r>
      <w:r w:rsidRPr="00535606">
        <w:rPr>
          <w:vertAlign w:val="subscript"/>
        </w:rPr>
        <w:t>well</w:t>
      </w:r>
      <w:r>
        <w:t>/A</w:t>
      </w:r>
      <w:r>
        <w:rPr>
          <w:vertAlign w:val="subscript"/>
        </w:rPr>
        <w:t>ref</w:t>
      </w:r>
      <w:r>
        <w:t xml:space="preserve">) </w:t>
      </w:r>
      <w:r w:rsidRPr="00535606">
        <w:t>is</w:t>
      </w:r>
      <w:r>
        <w:t xml:space="preserve"> very small (&lt;</w:t>
      </w:r>
      <w:r w:rsidRPr="00450ED1">
        <w:t>10</w:t>
      </w:r>
      <w:r w:rsidRPr="00450ED1">
        <w:rPr>
          <w:vertAlign w:val="superscript"/>
        </w:rPr>
        <w:t>-5</w:t>
      </w:r>
      <w:r w:rsidRPr="00450ED1">
        <w:t>)</w:t>
      </w:r>
      <w:r>
        <w:t xml:space="preserve">, or </w:t>
      </w:r>
      <w:r w:rsidRPr="00535606">
        <w:rPr>
          <w:i/>
        </w:rPr>
        <w:t>ρ</w:t>
      </w:r>
      <w:r>
        <w:t>&lt;1, then</w:t>
      </w:r>
    </w:p>
    <w:p w14:paraId="1C300176" w14:textId="17B76548" w:rsidR="00535606" w:rsidRPr="003A0C90" w:rsidRDefault="00ED4C1C" w:rsidP="00535606">
      <w:pPr>
        <w:pStyle w:val="CaptionNote"/>
        <w:jc w:val="right"/>
        <w:rPr>
          <w:b w:val="0"/>
        </w:rPr>
      </w:pPr>
      <m:oMath>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eq</m:t>
            </m:r>
          </m:sub>
        </m:sSub>
        <m:r>
          <m:rPr>
            <m:sty m:val="bi"/>
          </m:rPr>
          <w:rPr>
            <w:rFonts w:ascii="Cambria Math" w:hAnsi="Cambria Math"/>
            <w:color w:val="000000" w:themeColor="text1"/>
            <w:sz w:val="28"/>
            <w:szCs w:val="28"/>
          </w:rPr>
          <m: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ref</m:t>
            </m:r>
          </m:sub>
        </m:sSub>
        <m:r>
          <m:rPr>
            <m:sty m:val="bi"/>
          </m:rPr>
          <w:rPr>
            <w:rFonts w:ascii="Cambria Math" w:hAnsi="Cambria Math"/>
            <w:color w:val="000000" w:themeColor="text1"/>
            <w:sz w:val="28"/>
            <w:szCs w:val="28"/>
          </w:rPr>
          <m: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ρK</m:t>
            </m:r>
          </m:e>
          <m:sub>
            <m:r>
              <m:rPr>
                <m:sty m:val="bi"/>
              </m:rPr>
              <w:rPr>
                <w:rFonts w:ascii="Cambria Math" w:hAnsi="Cambria Math"/>
                <w:color w:val="000000" w:themeColor="text1"/>
                <w:sz w:val="28"/>
                <w:szCs w:val="28"/>
              </w:rPr>
              <m:t>well</m:t>
            </m:r>
          </m:sub>
        </m:sSub>
        <m:r>
          <m:rPr>
            <m:sty m:val="bi"/>
          </m:rPr>
          <w:rPr>
            <w:rFonts w:ascii="Cambria Math" w:hAnsi="Cambria Math"/>
            <w:color w:val="000000" w:themeColor="text1"/>
            <w:sz w:val="28"/>
            <w:szCs w:val="28"/>
          </w:rPr>
          <m:t xml:space="preserve"> </m:t>
        </m:r>
        <m:r>
          <m:rPr>
            <m:sty m:val="bi"/>
          </m:rPr>
          <w:rPr>
            <w:rFonts w:ascii="Cambria Math" w:hAnsi="Cambria Math"/>
            <w:sz w:val="28"/>
            <w:szCs w:val="28"/>
          </w:rPr>
          <m:t xml:space="preserve">                                               </m:t>
        </m:r>
      </m:oMath>
      <w:r w:rsidR="00535606" w:rsidRPr="00FF2C3D">
        <w:t xml:space="preserve">Equation </w:t>
      </w:r>
      <w:r>
        <w:fldChar w:fldCharType="begin"/>
      </w:r>
      <w:r>
        <w:instrText xml:space="preserve"> SEQ Equation \* ARABIC </w:instrText>
      </w:r>
      <w:r>
        <w:fldChar w:fldCharType="separate"/>
      </w:r>
      <w:r w:rsidR="002E45AF">
        <w:rPr>
          <w:noProof/>
        </w:rPr>
        <w:t>5</w:t>
      </w:r>
      <w:r>
        <w:rPr>
          <w:noProof/>
        </w:rPr>
        <w:fldChar w:fldCharType="end"/>
      </w:r>
    </w:p>
    <w:p w14:paraId="373CD670" w14:textId="5C77F73D" w:rsidR="00E701E0" w:rsidRDefault="00535606" w:rsidP="00E701E0">
      <w:r>
        <w:t>We define</w:t>
      </w:r>
      <w:r>
        <w:rPr>
          <w:i/>
        </w:rPr>
        <w:t xml:space="preserve"> </w:t>
      </w:r>
      <w:r w:rsidR="00E701E0" w:rsidRPr="00C00807">
        <w:rPr>
          <w:i/>
        </w:rPr>
        <w:t>K</w:t>
      </w:r>
      <w:r w:rsidR="00E701E0" w:rsidRPr="00976756">
        <w:rPr>
          <w:vertAlign w:val="subscript"/>
        </w:rPr>
        <w:t>eq</w:t>
      </w:r>
      <w:r w:rsidR="00E701E0" w:rsidRPr="00C00807">
        <w:rPr>
          <w:i/>
        </w:rPr>
        <w:t xml:space="preserve"> </w:t>
      </w:r>
      <w:r>
        <w:t xml:space="preserve">to be </w:t>
      </w:r>
      <w:r w:rsidR="00E701E0">
        <w:t xml:space="preserve">significantly different from </w:t>
      </w:r>
      <w:r w:rsidR="00E701E0" w:rsidRPr="00C00807">
        <w:rPr>
          <w:i/>
        </w:rPr>
        <w:t>K</w:t>
      </w:r>
      <w:r w:rsidR="00E701E0" w:rsidRPr="00976756">
        <w:rPr>
          <w:vertAlign w:val="subscript"/>
        </w:rPr>
        <w:t>ref</w:t>
      </w:r>
      <w:r>
        <w:t xml:space="preserve">, </w:t>
      </w:r>
      <w:r w:rsidR="002C7C04">
        <w:t>i.e.</w:t>
      </w:r>
      <w:r>
        <w:t xml:space="preserve"> </w:t>
      </w:r>
      <w:r w:rsidRPr="00535606">
        <w:rPr>
          <w:i/>
        </w:rPr>
        <w:t>K</w:t>
      </w:r>
      <w:r w:rsidRPr="00535606">
        <w:rPr>
          <w:i/>
          <w:vertAlign w:val="subscript"/>
        </w:rPr>
        <w:t>eq</w:t>
      </w:r>
      <w:r w:rsidR="00336AB4">
        <w:rPr>
          <w:vertAlign w:val="subscript"/>
        </w:rPr>
        <w:t xml:space="preserve"> </w:t>
      </w:r>
      <w:r>
        <w:t>&gt;</w:t>
      </w:r>
      <w:r w:rsidR="002C7C04">
        <w:t xml:space="preserve"> </w:t>
      </w:r>
      <w:r>
        <w:t>2</w:t>
      </w:r>
      <w:r w:rsidR="00336AB4">
        <w:t xml:space="preserve"> K</w:t>
      </w:r>
      <w:r w:rsidR="00336AB4">
        <w:rPr>
          <w:vertAlign w:val="subscript"/>
        </w:rPr>
        <w:t>ref</w:t>
      </w:r>
      <w:r>
        <w:t>,</w:t>
      </w:r>
      <w:r w:rsidR="00336AB4">
        <w:t xml:space="preserve"> </w:t>
      </w:r>
      <w:r>
        <w:t>therefore</w:t>
      </w:r>
      <w:r w:rsidR="00E71206">
        <w:t>:</w:t>
      </w:r>
      <w:r w:rsidR="00E701E0">
        <w:t xml:space="preserve"> </w:t>
      </w:r>
    </w:p>
    <w:p w14:paraId="75C6DE8D" w14:textId="325C109E" w:rsidR="00535606" w:rsidRPr="003A0C90" w:rsidRDefault="00ED4C1C" w:rsidP="00535606">
      <w:pPr>
        <w:pStyle w:val="CaptionNote"/>
        <w:jc w:val="right"/>
        <w:rPr>
          <w:b w:val="0"/>
          <w:noProof/>
        </w:rPr>
      </w:pPr>
      <m:oMath>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2</m:t>
            </m:r>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ref</m:t>
            </m:r>
          </m:sub>
        </m:sSub>
        <m:r>
          <m:rPr>
            <m:sty m:val="bi"/>
          </m:rPr>
          <w:rPr>
            <w:rFonts w:ascii="Cambria Math" w:hAnsi="Cambria Math"/>
            <w:color w:val="000000" w:themeColor="text1"/>
            <w:sz w:val="28"/>
            <w:szCs w:val="28"/>
          </w:rPr>
          <m:t>&lt;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ref</m:t>
            </m:r>
          </m:sub>
        </m:sSub>
        <m:r>
          <m:rPr>
            <m:sty m:val="bi"/>
          </m:rPr>
          <w:rPr>
            <w:rFonts w:ascii="Cambria Math" w:hAnsi="Cambria Math"/>
            <w:color w:val="000000" w:themeColor="text1"/>
            <w:sz w:val="28"/>
            <w:szCs w:val="28"/>
          </w:rPr>
          <m: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ρK</m:t>
            </m:r>
          </m:e>
          <m:sub>
            <m:r>
              <m:rPr>
                <m:sty m:val="bi"/>
              </m:rPr>
              <w:rPr>
                <w:rFonts w:ascii="Cambria Math" w:hAnsi="Cambria Math"/>
                <w:color w:val="000000" w:themeColor="text1"/>
                <w:sz w:val="28"/>
                <w:szCs w:val="28"/>
              </w:rPr>
              <m:t>well</m:t>
            </m:r>
          </m:sub>
        </m:sSub>
        <m:r>
          <m:rPr>
            <m:sty m:val="bi"/>
          </m:rPr>
          <w:rPr>
            <w:rFonts w:ascii="Cambria Math" w:hAnsi="Cambria Math"/>
            <w:color w:val="000000" w:themeColor="text1"/>
            <w:sz w:val="28"/>
            <w:szCs w:val="28"/>
          </w:rPr>
          <m:t xml:space="preserve">  </m:t>
        </m:r>
        <m:r>
          <m:rPr>
            <m:sty m:val="bi"/>
          </m:rPr>
          <w:rPr>
            <w:rFonts w:ascii="Cambria Math" w:hAnsi="Cambria Math"/>
            <w:sz w:val="28"/>
            <w:szCs w:val="28"/>
          </w:rPr>
          <m:t xml:space="preserve">                                            </m:t>
        </m:r>
      </m:oMath>
      <w:r w:rsidR="00535606" w:rsidRPr="00FF2C3D">
        <w:t xml:space="preserve">Equation </w:t>
      </w:r>
      <w:r>
        <w:fldChar w:fldCharType="begin"/>
      </w:r>
      <w:r>
        <w:instrText xml:space="preserve"> SEQ Equation \* ARABIC </w:instrText>
      </w:r>
      <w:r>
        <w:fldChar w:fldCharType="separate"/>
      </w:r>
      <w:r w:rsidR="002E45AF">
        <w:rPr>
          <w:noProof/>
        </w:rPr>
        <w:t>6</w:t>
      </w:r>
      <w:r>
        <w:rPr>
          <w:noProof/>
        </w:rPr>
        <w:fldChar w:fldCharType="end"/>
      </w:r>
    </w:p>
    <w:p w14:paraId="3C382CEC" w14:textId="77777777" w:rsidR="00D7303C" w:rsidRPr="002966A8" w:rsidRDefault="00D7303C" w:rsidP="002966A8">
      <w:pPr>
        <w:rPr>
          <w:sz w:val="4"/>
          <w:szCs w:val="4"/>
        </w:rPr>
      </w:pPr>
    </w:p>
    <w:p w14:paraId="4106D671" w14:textId="54BCF97F" w:rsidR="00535606" w:rsidRPr="003A0C90" w:rsidRDefault="00ED4C1C" w:rsidP="00535606">
      <w:pPr>
        <w:pStyle w:val="CaptionNote"/>
        <w:jc w:val="right"/>
        <w:rPr>
          <w:b w:val="0"/>
        </w:rPr>
      </w:pPr>
      <m:oMath>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ref</m:t>
            </m:r>
          </m:sub>
        </m:sSub>
        <m:r>
          <m:rPr>
            <m:sty m:val="bi"/>
          </m:rPr>
          <w:rPr>
            <w:rFonts w:ascii="Cambria Math" w:hAnsi="Cambria Math"/>
            <w:color w:val="000000" w:themeColor="text1"/>
            <w:sz w:val="28"/>
            <w:szCs w:val="28"/>
          </w:rPr>
          <m:t>&lt;</m:t>
        </m:r>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ρK</m:t>
            </m:r>
          </m:e>
          <m:sub>
            <m:r>
              <m:rPr>
                <m:sty m:val="bi"/>
              </m:rPr>
              <w:rPr>
                <w:rFonts w:ascii="Cambria Math" w:hAnsi="Cambria Math"/>
                <w:color w:val="000000" w:themeColor="text1"/>
                <w:sz w:val="28"/>
                <w:szCs w:val="28"/>
              </w:rPr>
              <m:t>well</m:t>
            </m:r>
          </m:sub>
        </m:sSub>
        <m:r>
          <m:rPr>
            <m:sty m:val="bi"/>
          </m:rPr>
          <w:rPr>
            <w:rFonts w:ascii="Cambria Math" w:hAnsi="Cambria Math"/>
            <w:color w:val="000000" w:themeColor="text1"/>
            <w:sz w:val="28"/>
            <w:szCs w:val="28"/>
          </w:rPr>
          <m:t xml:space="preserve">  </m:t>
        </m:r>
        <m:r>
          <m:rPr>
            <m:sty m:val="bi"/>
          </m:rPr>
          <w:rPr>
            <w:rFonts w:ascii="Cambria Math" w:hAnsi="Cambria Math"/>
            <w:sz w:val="28"/>
            <w:szCs w:val="28"/>
          </w:rPr>
          <m:t xml:space="preserve">                                                    </m:t>
        </m:r>
      </m:oMath>
      <w:r w:rsidR="00535606" w:rsidRPr="00FF2C3D">
        <w:t xml:space="preserve">Equation </w:t>
      </w:r>
      <w:r>
        <w:fldChar w:fldCharType="begin"/>
      </w:r>
      <w:r>
        <w:instrText xml:space="preserve"> SEQ Equation \* ARABIC </w:instrText>
      </w:r>
      <w:r>
        <w:fldChar w:fldCharType="separate"/>
      </w:r>
      <w:r w:rsidR="002E45AF">
        <w:rPr>
          <w:noProof/>
        </w:rPr>
        <w:t>7</w:t>
      </w:r>
      <w:r>
        <w:rPr>
          <w:noProof/>
        </w:rPr>
        <w:fldChar w:fldCharType="end"/>
      </w:r>
    </w:p>
    <w:p w14:paraId="6561D8CB" w14:textId="5C96A550" w:rsidR="00535606" w:rsidRPr="00C00807" w:rsidRDefault="00B95176" w:rsidP="00E701E0">
      <w:r>
        <w:t xml:space="preserve">which finally yields an alternative expression for </w:t>
      </w:r>
      <w:r w:rsidR="003B1B53">
        <w:t xml:space="preserve">the density of failed wells, </w:t>
      </w:r>
      <w:r w:rsidR="003B1B53" w:rsidRPr="003A1E2E">
        <w:rPr>
          <w:i/>
        </w:rPr>
        <w:t>ρ</w:t>
      </w:r>
      <w:r w:rsidR="00535606">
        <w:t>:</w:t>
      </w:r>
    </w:p>
    <w:p w14:paraId="33FB6912" w14:textId="05729A36" w:rsidR="00E701E0" w:rsidRPr="003A0C90" w:rsidRDefault="004915E7" w:rsidP="00976756">
      <w:pPr>
        <w:pStyle w:val="CaptionNote"/>
        <w:jc w:val="right"/>
        <w:rPr>
          <w:b w:val="0"/>
          <w:noProof/>
        </w:rPr>
      </w:pPr>
      <w:bookmarkStart w:id="484" w:name="_Ref450556898"/>
      <w:r w:rsidRPr="003A0C90">
        <w:rPr>
          <w:rFonts w:ascii="Cambria Math" w:hAnsi="Cambria Math"/>
          <w:b w:val="0"/>
          <w:i/>
          <w:iCs/>
          <w:color w:val="000000" w:themeColor="text1"/>
        </w:rPr>
        <w:tab/>
      </w:r>
      <w:r w:rsidRPr="003A0C90">
        <w:rPr>
          <w:b w:val="0"/>
          <w:iCs/>
        </w:rPr>
        <w:tab/>
      </w:r>
      <m:oMath>
        <m:r>
          <m:rPr>
            <m:sty m:val="bi"/>
          </m:rPr>
          <w:rPr>
            <w:rFonts w:ascii="Cambria Math" w:hAnsi="Cambria Math"/>
            <w:color w:val="000000" w:themeColor="text1"/>
            <w:sz w:val="28"/>
            <w:szCs w:val="28"/>
          </w:rPr>
          <m:t>ρ&gt;</m:t>
        </m:r>
        <m:f>
          <m:fPr>
            <m:ctrlPr>
              <w:rPr>
                <w:rFonts w:ascii="Cambria Math" w:hAnsi="Cambria Math"/>
                <w:b w:val="0"/>
                <w:i/>
                <w:iCs/>
                <w:color w:val="000000" w:themeColor="text1"/>
                <w:sz w:val="28"/>
                <w:szCs w:val="28"/>
              </w:rPr>
            </m:ctrlPr>
          </m:fPr>
          <m:num>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ref</m:t>
                </m:r>
              </m:sub>
            </m:sSub>
          </m:num>
          <m:den>
            <m:sSub>
              <m:sSubPr>
                <m:ctrlPr>
                  <w:rPr>
                    <w:rFonts w:ascii="Cambria Math" w:hAnsi="Cambria Math"/>
                    <w:b w:val="0"/>
                    <w:i/>
                    <w:iCs/>
                    <w:color w:val="000000" w:themeColor="text1"/>
                    <w:sz w:val="28"/>
                    <w:szCs w:val="28"/>
                  </w:rPr>
                </m:ctrlPr>
              </m:sSubPr>
              <m:e>
                <m:r>
                  <m:rPr>
                    <m:sty m:val="bi"/>
                  </m:rPr>
                  <w:rPr>
                    <w:rFonts w:ascii="Cambria Math" w:hAnsi="Cambria Math"/>
                    <w:color w:val="000000" w:themeColor="text1"/>
                    <w:sz w:val="28"/>
                    <w:szCs w:val="28"/>
                  </w:rPr>
                  <m:t>K</m:t>
                </m:r>
              </m:e>
              <m:sub>
                <m:r>
                  <m:rPr>
                    <m:sty m:val="bi"/>
                  </m:rPr>
                  <w:rPr>
                    <w:rFonts w:ascii="Cambria Math" w:hAnsi="Cambria Math"/>
                    <w:color w:val="000000" w:themeColor="text1"/>
                    <w:sz w:val="28"/>
                    <w:szCs w:val="28"/>
                  </w:rPr>
                  <m:t>well</m:t>
                </m:r>
              </m:sub>
            </m:sSub>
          </m:den>
        </m:f>
      </m:oMath>
      <w:r w:rsidR="00FF2C3D">
        <w:rPr>
          <w:b w:val="0"/>
          <w:iCs/>
        </w:rPr>
        <w:t xml:space="preserve">               </w:t>
      </w:r>
      <w:r w:rsidRPr="003A0C90">
        <w:rPr>
          <w:b w:val="0"/>
          <w:iCs/>
        </w:rPr>
        <w:tab/>
      </w:r>
      <w:r w:rsidRPr="003A0C90">
        <w:rPr>
          <w:b w:val="0"/>
          <w:iCs/>
        </w:rPr>
        <w:tab/>
      </w:r>
      <w:r w:rsidRPr="003A0C90">
        <w:rPr>
          <w:b w:val="0"/>
          <w:iCs/>
        </w:rPr>
        <w:tab/>
      </w:r>
      <w:r w:rsidRPr="003A0C90">
        <w:rPr>
          <w:b w:val="0"/>
          <w:iCs/>
        </w:rPr>
        <w:tab/>
      </w:r>
      <w:r w:rsidRPr="00281F04">
        <w:t xml:space="preserve">Equation </w:t>
      </w:r>
      <w:r w:rsidR="00ED4C1C">
        <w:fldChar w:fldCharType="begin"/>
      </w:r>
      <w:r w:rsidR="00ED4C1C">
        <w:instrText xml:space="preserve"> SEQ Equation \* ARABIC </w:instrText>
      </w:r>
      <w:r w:rsidR="00ED4C1C">
        <w:fldChar w:fldCharType="separate"/>
      </w:r>
      <w:r w:rsidR="002E45AF">
        <w:rPr>
          <w:noProof/>
        </w:rPr>
        <w:t>8</w:t>
      </w:r>
      <w:r w:rsidR="00ED4C1C">
        <w:rPr>
          <w:noProof/>
        </w:rPr>
        <w:fldChar w:fldCharType="end"/>
      </w:r>
      <w:bookmarkEnd w:id="484"/>
    </w:p>
    <w:p w14:paraId="3F389BBF" w14:textId="77777777" w:rsidR="00535606" w:rsidRPr="00535606" w:rsidRDefault="00535606" w:rsidP="00535606">
      <w:pPr>
        <w:pStyle w:val="BodyText"/>
      </w:pPr>
    </w:p>
    <w:p w14:paraId="6BEEE7B9" w14:textId="50C358AB" w:rsidR="00E701E0" w:rsidRDefault="0015769F" w:rsidP="00976756">
      <w:pPr>
        <w:jc w:val="center"/>
      </w:pPr>
      <w:r w:rsidRPr="0015769F">
        <w:rPr>
          <w:noProof/>
        </w:rPr>
        <w:drawing>
          <wp:inline distT="0" distB="0" distL="0" distR="0" wp14:anchorId="2982F862" wp14:editId="3D69A9AC">
            <wp:extent cx="3366770" cy="4495800"/>
            <wp:effectExtent l="0" t="0" r="5080" b="0"/>
            <wp:docPr id="18" name="Picture 18" descr="Diagram of leaky wells within an aquitard."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66770" cy="4495800"/>
                    </a:xfrm>
                    <a:prstGeom prst="rect">
                      <a:avLst/>
                    </a:prstGeom>
                    <a:noFill/>
                    <a:ln>
                      <a:noFill/>
                    </a:ln>
                  </pic:spPr>
                </pic:pic>
              </a:graphicData>
            </a:graphic>
          </wp:inline>
        </w:drawing>
      </w:r>
    </w:p>
    <w:p w14:paraId="0DB8FC80" w14:textId="7435B3D8" w:rsidR="003C470D" w:rsidRDefault="003C470D" w:rsidP="00976756">
      <w:pPr>
        <w:pStyle w:val="TableCaption"/>
      </w:pPr>
      <w:bookmarkStart w:id="485" w:name="_Ref450433613"/>
      <w:bookmarkStart w:id="486" w:name="_Toc508266510"/>
      <w:r>
        <w:t xml:space="preserve">Figure </w:t>
      </w:r>
      <w:r w:rsidR="00ED4C1C">
        <w:fldChar w:fldCharType="begin"/>
      </w:r>
      <w:r w:rsidR="00ED4C1C">
        <w:instrText xml:space="preserve"> SEQ Figure \* ARABIC </w:instrText>
      </w:r>
      <w:r w:rsidR="00ED4C1C">
        <w:fldChar w:fldCharType="separate"/>
      </w:r>
      <w:r w:rsidR="002E45AF">
        <w:rPr>
          <w:noProof/>
        </w:rPr>
        <w:t>4</w:t>
      </w:r>
      <w:r w:rsidR="00ED4C1C">
        <w:rPr>
          <w:noProof/>
        </w:rPr>
        <w:fldChar w:fldCharType="end"/>
      </w:r>
      <w:bookmarkEnd w:id="485"/>
      <w:r>
        <w:t xml:space="preserve"> Leaky wells within an aquitard</w:t>
      </w:r>
      <w:r w:rsidR="00734F06">
        <w:t>.</w:t>
      </w:r>
      <w:bookmarkEnd w:id="486"/>
    </w:p>
    <w:p w14:paraId="37BC397A" w14:textId="77777777" w:rsidR="006E7B97" w:rsidRDefault="006E7B97"/>
    <w:p w14:paraId="584DA7A3" w14:textId="651529CD" w:rsidR="004915E7" w:rsidRDefault="004915E7">
      <w:r>
        <w:t xml:space="preserve">To illustrate the significance of Equation </w:t>
      </w:r>
      <w:r w:rsidR="008D0C42">
        <w:t>8</w:t>
      </w:r>
      <w:r>
        <w:t xml:space="preserve">, consider an aquitard with </w:t>
      </w:r>
      <w:r w:rsidRPr="00976756">
        <w:rPr>
          <w:i/>
        </w:rPr>
        <w:t>K</w:t>
      </w:r>
      <w:r w:rsidRPr="00976756">
        <w:rPr>
          <w:vertAlign w:val="subscript"/>
        </w:rPr>
        <w:t>ref</w:t>
      </w:r>
      <w:r>
        <w:t xml:space="preserve"> = 10</w:t>
      </w:r>
      <w:r w:rsidRPr="00976756">
        <w:rPr>
          <w:vertAlign w:val="superscript"/>
        </w:rPr>
        <w:t>-4</w:t>
      </w:r>
      <w:r>
        <w:t xml:space="preserve"> m/d and </w:t>
      </w:r>
      <w:r w:rsidR="00656E89">
        <w:t xml:space="preserve">a series of leaky wells </w:t>
      </w:r>
      <w:r w:rsidR="00656E89" w:rsidRPr="00B117E1">
        <w:t xml:space="preserve">with </w:t>
      </w:r>
      <w:r w:rsidR="00656E89" w:rsidRPr="00B117E1">
        <w:rPr>
          <w:i/>
        </w:rPr>
        <w:t>K</w:t>
      </w:r>
      <w:r w:rsidR="00656E89" w:rsidRPr="00B117E1">
        <w:rPr>
          <w:vertAlign w:val="subscript"/>
        </w:rPr>
        <w:t>w</w:t>
      </w:r>
      <w:r w:rsidR="00535606">
        <w:rPr>
          <w:vertAlign w:val="subscript"/>
        </w:rPr>
        <w:t>ell</w:t>
      </w:r>
      <w:r w:rsidR="00656E89" w:rsidRPr="00B117E1">
        <w:t xml:space="preserve"> = 100 m/d</w:t>
      </w:r>
      <w:r w:rsidR="00450ED1">
        <w:t xml:space="preserve"> (representing a value between open well flow and flow through a degraded </w:t>
      </w:r>
      <w:r w:rsidR="003A5AEF">
        <w:t xml:space="preserve">cement </w:t>
      </w:r>
      <w:r w:rsidR="00450ED1">
        <w:t>annulus)</w:t>
      </w:r>
      <w:r w:rsidR="00656E89">
        <w:t>, such that the density of leaky wells</w:t>
      </w:r>
      <w:r w:rsidR="00656E89" w:rsidRPr="00656E89">
        <w:rPr>
          <w:i/>
        </w:rPr>
        <w:t xml:space="preserve"> </w:t>
      </w:r>
      <w:r w:rsidR="00656E89" w:rsidRPr="00ED6391">
        <w:rPr>
          <w:i/>
        </w:rPr>
        <w:t>ρ</w:t>
      </w:r>
      <w:r w:rsidR="00656E89">
        <w:rPr>
          <w:i/>
        </w:rPr>
        <w:t xml:space="preserve"> = </w:t>
      </w:r>
      <w:r w:rsidR="00656E89" w:rsidRPr="00355A87">
        <w:rPr>
          <w:i/>
        </w:rPr>
        <w:t>K</w:t>
      </w:r>
      <w:r w:rsidR="00656E89" w:rsidRPr="00355A87">
        <w:rPr>
          <w:vertAlign w:val="subscript"/>
        </w:rPr>
        <w:t>ref</w:t>
      </w:r>
      <w:r w:rsidR="00656E89" w:rsidRPr="00656E89">
        <w:rPr>
          <w:i/>
        </w:rPr>
        <w:t xml:space="preserve"> </w:t>
      </w:r>
      <w:r w:rsidR="00656E89">
        <w:rPr>
          <w:i/>
        </w:rPr>
        <w:t xml:space="preserve">/ </w:t>
      </w:r>
      <w:r w:rsidR="00656E89" w:rsidRPr="00355A87">
        <w:rPr>
          <w:i/>
        </w:rPr>
        <w:t>K</w:t>
      </w:r>
      <w:r w:rsidR="00656E89" w:rsidRPr="00355A87">
        <w:rPr>
          <w:vertAlign w:val="subscript"/>
        </w:rPr>
        <w:t>w</w:t>
      </w:r>
      <w:r w:rsidR="00D422F0">
        <w:rPr>
          <w:vertAlign w:val="subscript"/>
        </w:rPr>
        <w:t>ell</w:t>
      </w:r>
      <w:r w:rsidR="00656E89">
        <w:rPr>
          <w:vertAlign w:val="subscript"/>
        </w:rPr>
        <w:t xml:space="preserve"> </w:t>
      </w:r>
      <w:r w:rsidR="00656E89" w:rsidRPr="00976756">
        <w:t>=</w:t>
      </w:r>
      <w:r w:rsidR="00656E89">
        <w:t xml:space="preserve"> 10</w:t>
      </w:r>
      <w:r w:rsidR="00656E89">
        <w:rPr>
          <w:vertAlign w:val="superscript"/>
        </w:rPr>
        <w:t>-6</w:t>
      </w:r>
      <w:r w:rsidR="00656E89" w:rsidRPr="00976756">
        <w:t>.</w:t>
      </w:r>
      <w:r w:rsidR="0083458D">
        <w:t xml:space="preserve"> This is equivalent to five leaky wells with a total flow area of 1 m</w:t>
      </w:r>
      <w:r w:rsidR="0083458D" w:rsidRPr="00976756">
        <w:rPr>
          <w:vertAlign w:val="superscript"/>
        </w:rPr>
        <w:t>2</w:t>
      </w:r>
      <w:r w:rsidR="0083458D">
        <w:t xml:space="preserve"> (well radius of 0.25 m or 0.2 m</w:t>
      </w:r>
      <w:r w:rsidR="0083458D" w:rsidRPr="00976756">
        <w:rPr>
          <w:vertAlign w:val="superscript"/>
        </w:rPr>
        <w:t>2</w:t>
      </w:r>
      <w:r w:rsidR="0083458D">
        <w:t xml:space="preserve"> flow area per well</w:t>
      </w:r>
      <w:r w:rsidR="000D4D48">
        <w:t>; a similarly large radius of 0.2 m was used by Nordbotten et al. 2009</w:t>
      </w:r>
      <w:r w:rsidR="0083458D">
        <w:t>) per km</w:t>
      </w:r>
      <w:r w:rsidR="0083458D" w:rsidRPr="00976756">
        <w:rPr>
          <w:vertAlign w:val="superscript"/>
        </w:rPr>
        <w:t>2</w:t>
      </w:r>
      <w:r w:rsidR="0083458D">
        <w:t xml:space="preserve"> of aquitard.</w:t>
      </w:r>
      <w:r w:rsidR="00AC529D">
        <w:t xml:space="preserve"> The dependency of </w:t>
      </w:r>
      <w:r w:rsidR="00AC529D" w:rsidRPr="00976756">
        <w:rPr>
          <w:i/>
        </w:rPr>
        <w:t>K</w:t>
      </w:r>
      <w:r w:rsidR="00AC529D" w:rsidRPr="00976756">
        <w:rPr>
          <w:vertAlign w:val="subscript"/>
        </w:rPr>
        <w:t>e</w:t>
      </w:r>
      <w:r w:rsidR="00D422F0">
        <w:rPr>
          <w:vertAlign w:val="subscript"/>
        </w:rPr>
        <w:t>q</w:t>
      </w:r>
      <w:r w:rsidR="00AC529D">
        <w:t xml:space="preserve"> for the combined aquitard-leaky well system on the density of leaky wells is illustrated in </w:t>
      </w:r>
      <w:r w:rsidR="00AC529D">
        <w:fldChar w:fldCharType="begin"/>
      </w:r>
      <w:r w:rsidR="00AC529D">
        <w:instrText xml:space="preserve"> REF _Ref450472748 \h </w:instrText>
      </w:r>
      <w:r w:rsidR="00AC529D">
        <w:fldChar w:fldCharType="separate"/>
      </w:r>
      <w:r w:rsidR="002E45AF">
        <w:t xml:space="preserve">Figure </w:t>
      </w:r>
      <w:r w:rsidR="002E45AF">
        <w:rPr>
          <w:noProof/>
        </w:rPr>
        <w:t>5</w:t>
      </w:r>
      <w:r w:rsidR="00AC529D">
        <w:fldChar w:fldCharType="end"/>
      </w:r>
      <w:r w:rsidR="00AC529D">
        <w:t xml:space="preserve">. The value of </w:t>
      </w:r>
      <w:r w:rsidR="00AC529D" w:rsidRPr="00976756">
        <w:rPr>
          <w:i/>
        </w:rPr>
        <w:t>K</w:t>
      </w:r>
      <w:r w:rsidR="00AC529D" w:rsidRPr="00976756">
        <w:rPr>
          <w:vertAlign w:val="subscript"/>
        </w:rPr>
        <w:t>e</w:t>
      </w:r>
      <w:r w:rsidR="00D422F0">
        <w:rPr>
          <w:vertAlign w:val="subscript"/>
        </w:rPr>
        <w:t>q</w:t>
      </w:r>
      <w:r w:rsidR="00AC529D">
        <w:t xml:space="preserve"> become</w:t>
      </w:r>
      <w:r w:rsidR="00352808">
        <w:t>s</w:t>
      </w:r>
      <w:r w:rsidR="00AC529D">
        <w:t xml:space="preserve"> significantly larger than </w:t>
      </w:r>
      <w:r w:rsidR="00AC529D" w:rsidRPr="00976756">
        <w:rPr>
          <w:i/>
        </w:rPr>
        <w:t>K</w:t>
      </w:r>
      <w:r w:rsidR="00AC529D" w:rsidRPr="00976756">
        <w:rPr>
          <w:vertAlign w:val="subscript"/>
        </w:rPr>
        <w:t>ref</w:t>
      </w:r>
      <w:r w:rsidR="00AC529D">
        <w:t xml:space="preserve"> (background conductivity of an aquitard without leaky wells) once </w:t>
      </w:r>
      <w:r w:rsidR="00AC529D" w:rsidRPr="00ED6391">
        <w:rPr>
          <w:i/>
        </w:rPr>
        <w:t>ρ</w:t>
      </w:r>
      <w:r w:rsidR="00AC529D">
        <w:rPr>
          <w:i/>
        </w:rPr>
        <w:t xml:space="preserve"> </w:t>
      </w:r>
      <w:r w:rsidR="00AC529D" w:rsidRPr="00976756">
        <w:t>exceeds approximately</w:t>
      </w:r>
      <w:r w:rsidR="00AC529D">
        <w:t xml:space="preserve"> 10</w:t>
      </w:r>
      <w:r w:rsidR="00AC529D">
        <w:rPr>
          <w:vertAlign w:val="superscript"/>
        </w:rPr>
        <w:t>-6</w:t>
      </w:r>
      <w:r w:rsidR="00AC529D" w:rsidRPr="00976756">
        <w:t>.</w:t>
      </w:r>
      <w:r w:rsidR="00AC529D">
        <w:t xml:space="preserve"> At this point </w:t>
      </w:r>
      <w:r w:rsidR="00AC529D" w:rsidRPr="00976756">
        <w:rPr>
          <w:i/>
        </w:rPr>
        <w:t>K</w:t>
      </w:r>
      <w:r w:rsidR="00AC529D" w:rsidRPr="00976756">
        <w:rPr>
          <w:vertAlign w:val="subscript"/>
        </w:rPr>
        <w:t>e</w:t>
      </w:r>
      <w:r w:rsidR="00D422F0">
        <w:rPr>
          <w:vertAlign w:val="subscript"/>
        </w:rPr>
        <w:t>q</w:t>
      </w:r>
      <w:r w:rsidR="00AC529D">
        <w:t xml:space="preserve"> exceeds </w:t>
      </w:r>
      <w:r w:rsidR="00AC529D" w:rsidRPr="00976756">
        <w:rPr>
          <w:i/>
        </w:rPr>
        <w:t>K</w:t>
      </w:r>
      <w:r w:rsidR="00AC529D" w:rsidRPr="00976756">
        <w:rPr>
          <w:vertAlign w:val="subscript"/>
        </w:rPr>
        <w:t>ref</w:t>
      </w:r>
      <w:r w:rsidR="00AC529D">
        <w:t xml:space="preserve"> by about 10%.</w:t>
      </w:r>
      <w:r w:rsidR="00CB5D62">
        <w:t xml:space="preserve"> For the remainder of the discussion, this condition is considered to represent the case where </w:t>
      </w:r>
      <w:r w:rsidR="00CB5D62" w:rsidRPr="00976756">
        <w:rPr>
          <w:i/>
        </w:rPr>
        <w:t>K</w:t>
      </w:r>
      <w:r w:rsidR="00CB5D62" w:rsidRPr="00976756">
        <w:rPr>
          <w:vertAlign w:val="subscript"/>
        </w:rPr>
        <w:t>e</w:t>
      </w:r>
      <w:r w:rsidR="00D422F0">
        <w:rPr>
          <w:vertAlign w:val="subscript"/>
        </w:rPr>
        <w:t>q</w:t>
      </w:r>
      <w:r w:rsidR="00CB5D62">
        <w:t xml:space="preserve"> is ‘</w:t>
      </w:r>
      <w:r w:rsidR="00CB5D62" w:rsidRPr="00976756">
        <w:rPr>
          <w:i/>
        </w:rPr>
        <w:t>significantly different</w:t>
      </w:r>
      <w:r w:rsidR="00CB5D62">
        <w:t xml:space="preserve">’ from </w:t>
      </w:r>
      <w:r w:rsidR="00CB5D62" w:rsidRPr="00976756">
        <w:rPr>
          <w:i/>
        </w:rPr>
        <w:t>K</w:t>
      </w:r>
      <w:r w:rsidR="00CB5D62" w:rsidRPr="00976756">
        <w:rPr>
          <w:vertAlign w:val="subscript"/>
        </w:rPr>
        <w:t>ref</w:t>
      </w:r>
      <w:r w:rsidR="00CB5D62">
        <w:t>.</w:t>
      </w:r>
      <w:r w:rsidR="00885219">
        <w:t xml:space="preserve"> </w:t>
      </w:r>
    </w:p>
    <w:p w14:paraId="0F6F04BC" w14:textId="77777777" w:rsidR="00FE4A3A" w:rsidRDefault="00FE4A3A" w:rsidP="00FE4A3A">
      <w:r>
        <w:t>Consider now a gas production area which consists of 425 CSG wells on an area of 425 km</w:t>
      </w:r>
      <w:r w:rsidRPr="00976756">
        <w:rPr>
          <w:vertAlign w:val="superscript"/>
        </w:rPr>
        <w:t>2</w:t>
      </w:r>
      <w:r>
        <w:t>, i.e. one well per km</w:t>
      </w:r>
      <w:r w:rsidRPr="00976756">
        <w:rPr>
          <w:vertAlign w:val="superscript"/>
        </w:rPr>
        <w:t>2</w:t>
      </w:r>
      <w:r>
        <w:t>. The density of leaky wells is calculated for well failure rates of 1, 5, 10, 50 and 100%, assuming again 0.2 m</w:t>
      </w:r>
      <w:r w:rsidRPr="00355A87">
        <w:rPr>
          <w:vertAlign w:val="superscript"/>
        </w:rPr>
        <w:t>2</w:t>
      </w:r>
      <w:r>
        <w:t xml:space="preserve"> flow area per leaky well (</w:t>
      </w:r>
      <w:r>
        <w:fldChar w:fldCharType="begin"/>
      </w:r>
      <w:r>
        <w:instrText xml:space="preserve"> REF _Ref450474428 \h </w:instrText>
      </w:r>
      <w:r>
        <w:fldChar w:fldCharType="separate"/>
      </w:r>
      <w:r w:rsidR="002E45AF">
        <w:t xml:space="preserve">Table </w:t>
      </w:r>
      <w:r w:rsidR="002E45AF">
        <w:rPr>
          <w:noProof/>
        </w:rPr>
        <w:t>1</w:t>
      </w:r>
      <w:r>
        <w:fldChar w:fldCharType="end"/>
      </w:r>
      <w:r>
        <w:t xml:space="preserve">). Calculated values of </w:t>
      </w:r>
      <w:r w:rsidRPr="00ED6391">
        <w:rPr>
          <w:i/>
        </w:rPr>
        <w:t>ρ</w:t>
      </w:r>
      <w:r>
        <w:t xml:space="preserve"> range from 0.02×10</w:t>
      </w:r>
      <w:r w:rsidRPr="00355A87">
        <w:rPr>
          <w:vertAlign w:val="superscript"/>
        </w:rPr>
        <w:t>-7</w:t>
      </w:r>
      <w:r>
        <w:t xml:space="preserve"> to 2×10</w:t>
      </w:r>
      <w:r w:rsidRPr="00355A87">
        <w:rPr>
          <w:vertAlign w:val="superscript"/>
        </w:rPr>
        <w:t>-7</w:t>
      </w:r>
      <w:r w:rsidRPr="00976756">
        <w:t>,</w:t>
      </w:r>
      <w:r>
        <w:rPr>
          <w:vertAlign w:val="superscript"/>
        </w:rPr>
        <w:t xml:space="preserve"> </w:t>
      </w:r>
      <w:r w:rsidRPr="00976756">
        <w:t>which</w:t>
      </w:r>
      <w:r>
        <w:t xml:space="preserve"> demonstrates that for these conditions the equivalent hydraulic conductivity of the combined aquitard-leaky well system would not become significantly different from the aquitard background </w:t>
      </w:r>
      <w:r w:rsidRPr="00976756">
        <w:rPr>
          <w:i/>
        </w:rPr>
        <w:t>K</w:t>
      </w:r>
      <w:r w:rsidRPr="00976756">
        <w:rPr>
          <w:vertAlign w:val="subscript"/>
        </w:rPr>
        <w:t>ref</w:t>
      </w:r>
      <w:r>
        <w:t xml:space="preserve"> of 10</w:t>
      </w:r>
      <w:r w:rsidRPr="00976756">
        <w:rPr>
          <w:vertAlign w:val="superscript"/>
        </w:rPr>
        <w:t>-</w:t>
      </w:r>
      <w:r>
        <w:rPr>
          <w:vertAlign w:val="superscript"/>
        </w:rPr>
        <w:t>4</w:t>
      </w:r>
      <w:r>
        <w:t xml:space="preserve"> m/d or ~10</w:t>
      </w:r>
      <w:r>
        <w:rPr>
          <w:vertAlign w:val="superscript"/>
        </w:rPr>
        <w:t>-9</w:t>
      </w:r>
      <w:r>
        <w:t xml:space="preserve"> m/s. In other words, at a density of one leaky well per km</w:t>
      </w:r>
      <w:r w:rsidRPr="00976756">
        <w:rPr>
          <w:vertAlign w:val="superscript"/>
        </w:rPr>
        <w:t>2</w:t>
      </w:r>
      <w:r>
        <w:t xml:space="preserve"> the flow through the aquitard, however low, would not be significantly influenced by the additional flow through the leaky well. Based on </w:t>
      </w:r>
      <w:r>
        <w:fldChar w:fldCharType="begin"/>
      </w:r>
      <w:r>
        <w:instrText xml:space="preserve"> REF _Ref450472748 \h </w:instrText>
      </w:r>
      <w:r>
        <w:fldChar w:fldCharType="separate"/>
      </w:r>
      <w:r w:rsidR="002E45AF">
        <w:t xml:space="preserve">Figure </w:t>
      </w:r>
      <w:r w:rsidR="002E45AF">
        <w:rPr>
          <w:noProof/>
        </w:rPr>
        <w:t>5</w:t>
      </w:r>
      <w:r>
        <w:fldChar w:fldCharType="end"/>
      </w:r>
      <w:r>
        <w:t xml:space="preserve"> and </w:t>
      </w:r>
      <w:r>
        <w:fldChar w:fldCharType="begin"/>
      </w:r>
      <w:r>
        <w:instrText xml:space="preserve"> REF _Ref450474428 \h </w:instrText>
      </w:r>
      <w:r>
        <w:fldChar w:fldCharType="separate"/>
      </w:r>
      <w:r w:rsidR="002E45AF">
        <w:t xml:space="preserve">Table </w:t>
      </w:r>
      <w:r w:rsidR="002E45AF">
        <w:rPr>
          <w:noProof/>
        </w:rPr>
        <w:t>1</w:t>
      </w:r>
      <w:r>
        <w:fldChar w:fldCharType="end"/>
      </w:r>
      <w:r>
        <w:t>, a five times higher well density of 5 wells/km</w:t>
      </w:r>
      <w:r w:rsidRPr="00976756">
        <w:rPr>
          <w:vertAlign w:val="superscript"/>
        </w:rPr>
        <w:t>2</w:t>
      </w:r>
      <w:r>
        <w:t xml:space="preserve"> would be required to create a situation that would significantly alter </w:t>
      </w:r>
      <w:r>
        <w:rPr>
          <w:i/>
        </w:rPr>
        <w:t>K</w:t>
      </w:r>
      <w:r w:rsidRPr="00272259">
        <w:rPr>
          <w:i/>
          <w:vertAlign w:val="subscript"/>
        </w:rPr>
        <w:t>eq</w:t>
      </w:r>
      <w:r>
        <w:t xml:space="preserve"> resulting in significant increase (i.e. 10% above background) in flux across the combined aquitard-leaky well system. Such a high CSG well density is not common in the active CSG production areas in Queensland and New South Wales; a CSG well density of approximately 1 per km</w:t>
      </w:r>
      <w:r w:rsidRPr="00976756">
        <w:rPr>
          <w:vertAlign w:val="superscript"/>
        </w:rPr>
        <w:t>2</w:t>
      </w:r>
      <w:r>
        <w:t xml:space="preserve"> is the standard.</w:t>
      </w:r>
    </w:p>
    <w:p w14:paraId="2A1F5790" w14:textId="77777777" w:rsidR="00FE4A3A" w:rsidRDefault="00FE4A3A"/>
    <w:p w14:paraId="0C3E6F84" w14:textId="6E22697C" w:rsidR="0083458D" w:rsidRDefault="004B3311" w:rsidP="00741D62">
      <w:pPr>
        <w:jc w:val="center"/>
      </w:pPr>
      <w:r>
        <w:object w:dxaOrig="11415" w:dyaOrig="11651" w14:anchorId="071783E6">
          <v:shape id="_x0000_i1025" type="#_x0000_t75" alt="Figure 5.&#10;Chart of equivalent hydraulic conductivity of an aquitard and density of well failure or leaky wells" style="width:375pt;height:389.25pt" o:ole="">
            <v:imagedata r:id="rId20" o:title=""/>
          </v:shape>
          <o:OLEObject Type="Embed" ProgID="Grapher.Document" ShapeID="_x0000_i1025" DrawAspect="Content" ObjectID="_1582025559" r:id="rId21"/>
        </w:object>
      </w:r>
    </w:p>
    <w:p w14:paraId="34B87FEB" w14:textId="0338CD08" w:rsidR="0083458D" w:rsidRDefault="0083458D" w:rsidP="00976756">
      <w:pPr>
        <w:pStyle w:val="TableCaption"/>
      </w:pPr>
      <w:bookmarkStart w:id="487" w:name="_Ref450472748"/>
      <w:bookmarkStart w:id="488" w:name="_Toc508266511"/>
      <w:r>
        <w:t xml:space="preserve">Figure </w:t>
      </w:r>
      <w:r w:rsidR="00ED4C1C">
        <w:fldChar w:fldCharType="begin"/>
      </w:r>
      <w:r w:rsidR="00ED4C1C">
        <w:instrText xml:space="preserve"> SEQ Figure \* ARABIC </w:instrText>
      </w:r>
      <w:r w:rsidR="00ED4C1C">
        <w:fldChar w:fldCharType="separate"/>
      </w:r>
      <w:r w:rsidR="002E45AF">
        <w:rPr>
          <w:noProof/>
        </w:rPr>
        <w:t>5</w:t>
      </w:r>
      <w:r w:rsidR="00ED4C1C">
        <w:rPr>
          <w:noProof/>
        </w:rPr>
        <w:fldChar w:fldCharType="end"/>
      </w:r>
      <w:bookmarkEnd w:id="487"/>
      <w:r>
        <w:t xml:space="preserve"> </w:t>
      </w:r>
      <w:r w:rsidR="00D422F0">
        <w:t>Equivalent</w:t>
      </w:r>
      <w:r w:rsidR="00AC529D">
        <w:t xml:space="preserve"> hydraulic conductivity of an aquitard with a series of leaky wells</w:t>
      </w:r>
      <w:r w:rsidR="00D00A8B">
        <w:t xml:space="preserve"> as function of well failure density</w:t>
      </w:r>
      <w:r w:rsidR="00AC529D">
        <w:t xml:space="preserve">. </w:t>
      </w:r>
      <w:r w:rsidR="00A63A44">
        <w:t>In the grey shaded area the number of leaky wells/km</w:t>
      </w:r>
      <w:r w:rsidR="00A63A44" w:rsidRPr="00976756">
        <w:rPr>
          <w:vertAlign w:val="superscript"/>
        </w:rPr>
        <w:t>2</w:t>
      </w:r>
      <w:r w:rsidR="00A63A44">
        <w:t xml:space="preserve"> ranges from 0.5 to 5. </w:t>
      </w:r>
      <w:r w:rsidR="000C4386">
        <w:t>Vertical black line is for one leaky well/km</w:t>
      </w:r>
      <w:r w:rsidR="000C4386" w:rsidRPr="00976756">
        <w:rPr>
          <w:vertAlign w:val="superscript"/>
        </w:rPr>
        <w:t>2</w:t>
      </w:r>
      <w:r w:rsidR="000C4386">
        <w:t>.</w:t>
      </w:r>
      <w:bookmarkEnd w:id="488"/>
    </w:p>
    <w:p w14:paraId="58FF8017" w14:textId="77777777" w:rsidR="00FF6934" w:rsidRDefault="00FF6934"/>
    <w:p w14:paraId="1CF71176" w14:textId="77777777" w:rsidR="001E6D84" w:rsidRDefault="001E6D84"/>
    <w:p w14:paraId="35B74B92" w14:textId="58E4B1ED" w:rsidR="007B24EC" w:rsidRDefault="007B24EC" w:rsidP="00976756">
      <w:pPr>
        <w:pStyle w:val="TableCaption"/>
        <w:pBdr>
          <w:top w:val="none" w:sz="0" w:space="0" w:color="auto"/>
        </w:pBdr>
      </w:pPr>
      <w:bookmarkStart w:id="489" w:name="_Ref450474428"/>
      <w:bookmarkStart w:id="490" w:name="_Toc452449187"/>
      <w:r>
        <w:t xml:space="preserve">Table </w:t>
      </w:r>
      <w:r w:rsidR="00ED4C1C">
        <w:fldChar w:fldCharType="begin"/>
      </w:r>
      <w:r w:rsidR="00ED4C1C">
        <w:instrText xml:space="preserve"> SEQ Table \* ARABIC </w:instrText>
      </w:r>
      <w:r w:rsidR="00ED4C1C">
        <w:fldChar w:fldCharType="separate"/>
      </w:r>
      <w:r w:rsidR="002E45AF">
        <w:rPr>
          <w:noProof/>
        </w:rPr>
        <w:t>1</w:t>
      </w:r>
      <w:r w:rsidR="00ED4C1C">
        <w:rPr>
          <w:noProof/>
        </w:rPr>
        <w:fldChar w:fldCharType="end"/>
      </w:r>
      <w:bookmarkEnd w:id="489"/>
      <w:r>
        <w:t xml:space="preserve"> Well failure rates with corresponding total well flow area</w:t>
      </w:r>
      <w:r w:rsidR="00CE46FD">
        <w:t xml:space="preserve"> and density of leaky wells.</w:t>
      </w:r>
      <w:r w:rsidR="00B2245A">
        <w:t xml:space="preserve"> Total number of wells is 425.</w:t>
      </w:r>
      <w:bookmarkEnd w:id="490"/>
    </w:p>
    <w:tbl>
      <w:tblPr>
        <w:tblStyle w:val="TableCSIRO"/>
        <w:tblW w:w="0" w:type="auto"/>
        <w:tblLook w:val="04A0" w:firstRow="1" w:lastRow="0" w:firstColumn="1" w:lastColumn="0" w:noHBand="0" w:noVBand="1"/>
        <w:tblCaption w:val="Table 1"/>
        <w:tblDescription w:val="Table of well failure rates with corresponding total well flow area and density of leaky wells"/>
      </w:tblPr>
      <w:tblGrid>
        <w:gridCol w:w="2970"/>
        <w:gridCol w:w="2969"/>
        <w:gridCol w:w="2974"/>
      </w:tblGrid>
      <w:tr w:rsidR="00885219" w14:paraId="5D7823F3" w14:textId="77777777" w:rsidTr="00976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8" w:type="dxa"/>
            <w:tcBorders>
              <w:top w:val="single" w:sz="4" w:space="0" w:color="auto"/>
              <w:bottom w:val="single" w:sz="4" w:space="0" w:color="auto"/>
            </w:tcBorders>
            <w:shd w:val="clear" w:color="auto" w:fill="F2F2F2" w:themeFill="background1" w:themeFillShade="F2"/>
          </w:tcPr>
          <w:p w14:paraId="21FB3A3D" w14:textId="52CE3AAC" w:rsidR="00885219" w:rsidRDefault="00885219" w:rsidP="00976756">
            <w:pPr>
              <w:jc w:val="center"/>
            </w:pPr>
            <w:r>
              <w:t>Well failure rate (%)</w:t>
            </w:r>
          </w:p>
        </w:tc>
        <w:tc>
          <w:tcPr>
            <w:tcW w:w="3009" w:type="dxa"/>
            <w:tcBorders>
              <w:top w:val="single" w:sz="4" w:space="0" w:color="auto"/>
              <w:bottom w:val="single" w:sz="4" w:space="0" w:color="auto"/>
            </w:tcBorders>
            <w:shd w:val="clear" w:color="auto" w:fill="F2F2F2" w:themeFill="background1" w:themeFillShade="F2"/>
          </w:tcPr>
          <w:p w14:paraId="3DF5F27A" w14:textId="0E6BDBBA" w:rsidR="00885219" w:rsidRDefault="00885219" w:rsidP="00976756">
            <w:pPr>
              <w:jc w:val="center"/>
              <w:cnfStyle w:val="100000000000" w:firstRow="1" w:lastRow="0" w:firstColumn="0" w:lastColumn="0" w:oddVBand="0" w:evenVBand="0" w:oddHBand="0" w:evenHBand="0" w:firstRowFirstColumn="0" w:firstRowLastColumn="0" w:lastRowFirstColumn="0" w:lastRowLastColumn="0"/>
            </w:pPr>
            <w:r>
              <w:t xml:space="preserve">Well flow area, </w:t>
            </w:r>
            <w:r w:rsidRPr="009806D6">
              <w:rPr>
                <w:i/>
              </w:rPr>
              <w:t>A</w:t>
            </w:r>
            <w:r w:rsidRPr="00976756">
              <w:rPr>
                <w:vertAlign w:val="subscript"/>
              </w:rPr>
              <w:t>well</w:t>
            </w:r>
            <w:r>
              <w:rPr>
                <w:vertAlign w:val="subscript"/>
              </w:rPr>
              <w:t xml:space="preserve"> </w:t>
            </w:r>
            <w:r w:rsidRPr="00976756">
              <w:t>(m</w:t>
            </w:r>
            <w:r w:rsidRPr="00976756">
              <w:rPr>
                <w:vertAlign w:val="superscript"/>
              </w:rPr>
              <w:t>2</w:t>
            </w:r>
            <w:r w:rsidRPr="00976756">
              <w:t>)</w:t>
            </w:r>
          </w:p>
        </w:tc>
        <w:tc>
          <w:tcPr>
            <w:tcW w:w="3009" w:type="dxa"/>
            <w:tcBorders>
              <w:top w:val="single" w:sz="4" w:space="0" w:color="auto"/>
              <w:bottom w:val="single" w:sz="4" w:space="0" w:color="auto"/>
            </w:tcBorders>
            <w:shd w:val="clear" w:color="auto" w:fill="F2F2F2" w:themeFill="background1" w:themeFillShade="F2"/>
          </w:tcPr>
          <w:p w14:paraId="1F6414A1" w14:textId="5671FE3D" w:rsidR="00885219" w:rsidRDefault="00885219">
            <w:pPr>
              <w:cnfStyle w:val="100000000000" w:firstRow="1" w:lastRow="0" w:firstColumn="0" w:lastColumn="0" w:oddVBand="0" w:evenVBand="0" w:oddHBand="0" w:evenHBand="0" w:firstRowFirstColumn="0" w:firstRowLastColumn="0" w:lastRowFirstColumn="0" w:lastRowLastColumn="0"/>
            </w:pPr>
            <w:r>
              <w:t xml:space="preserve">Density, </w:t>
            </w:r>
            <w:r w:rsidRPr="00ED6391">
              <w:rPr>
                <w:i/>
              </w:rPr>
              <w:t>ρ</w:t>
            </w:r>
            <w:r>
              <w:rPr>
                <w:i/>
              </w:rPr>
              <w:t xml:space="preserve"> </w:t>
            </w:r>
            <w:r w:rsidRPr="00976756">
              <w:t>(-)</w:t>
            </w:r>
          </w:p>
        </w:tc>
      </w:tr>
      <w:tr w:rsidR="00885219" w14:paraId="07EADB65" w14:textId="77777777" w:rsidTr="009767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8" w:type="dxa"/>
            <w:tcBorders>
              <w:top w:val="single" w:sz="4" w:space="0" w:color="auto"/>
            </w:tcBorders>
          </w:tcPr>
          <w:p w14:paraId="65081BB5" w14:textId="70780129" w:rsidR="00885219" w:rsidRPr="00976756" w:rsidRDefault="00885219" w:rsidP="00976756">
            <w:pPr>
              <w:jc w:val="center"/>
              <w:rPr>
                <w:b w:val="0"/>
              </w:rPr>
            </w:pPr>
            <w:r w:rsidRPr="003436E6">
              <w:t>1</w:t>
            </w:r>
          </w:p>
        </w:tc>
        <w:tc>
          <w:tcPr>
            <w:tcW w:w="3009" w:type="dxa"/>
            <w:tcBorders>
              <w:top w:val="single" w:sz="4" w:space="0" w:color="auto"/>
            </w:tcBorders>
          </w:tcPr>
          <w:p w14:paraId="031BE751" w14:textId="03F7273D" w:rsidR="00885219" w:rsidRDefault="00885219" w:rsidP="00976756">
            <w:pPr>
              <w:jc w:val="center"/>
              <w:cnfStyle w:val="000000100000" w:firstRow="0" w:lastRow="0" w:firstColumn="0" w:lastColumn="0" w:oddVBand="0" w:evenVBand="0" w:oddHBand="1" w:evenHBand="0" w:firstRowFirstColumn="0" w:firstRowLastColumn="0" w:lastRowFirstColumn="0" w:lastRowLastColumn="0"/>
            </w:pPr>
            <w:r>
              <w:t>0.85</w:t>
            </w:r>
          </w:p>
        </w:tc>
        <w:tc>
          <w:tcPr>
            <w:tcW w:w="3009" w:type="dxa"/>
            <w:tcBorders>
              <w:top w:val="single" w:sz="4" w:space="0" w:color="auto"/>
            </w:tcBorders>
          </w:tcPr>
          <w:p w14:paraId="6085CBDE" w14:textId="17EA69E2" w:rsidR="00885219" w:rsidRDefault="00506293">
            <w:pPr>
              <w:cnfStyle w:val="000000100000" w:firstRow="0" w:lastRow="0" w:firstColumn="0" w:lastColumn="0" w:oddVBand="0" w:evenVBand="0" w:oddHBand="1" w:evenHBand="0" w:firstRowFirstColumn="0" w:firstRowLastColumn="0" w:lastRowFirstColumn="0" w:lastRowLastColumn="0"/>
            </w:pPr>
            <w:r>
              <w:t>0.02×10</w:t>
            </w:r>
            <w:r w:rsidRPr="00355A87">
              <w:rPr>
                <w:vertAlign w:val="superscript"/>
              </w:rPr>
              <w:t>-7</w:t>
            </w:r>
          </w:p>
        </w:tc>
      </w:tr>
      <w:tr w:rsidR="00885219" w14:paraId="773D0CAA" w14:textId="77777777" w:rsidTr="00885219">
        <w:tc>
          <w:tcPr>
            <w:cnfStyle w:val="001000000000" w:firstRow="0" w:lastRow="0" w:firstColumn="1" w:lastColumn="0" w:oddVBand="0" w:evenVBand="0" w:oddHBand="0" w:evenHBand="0" w:firstRowFirstColumn="0" w:firstRowLastColumn="0" w:lastRowFirstColumn="0" w:lastRowLastColumn="0"/>
            <w:tcW w:w="3008" w:type="dxa"/>
          </w:tcPr>
          <w:p w14:paraId="57EF70B4" w14:textId="2C87AAE3" w:rsidR="00885219" w:rsidRPr="00976756" w:rsidRDefault="00885219" w:rsidP="00976756">
            <w:pPr>
              <w:jc w:val="center"/>
              <w:rPr>
                <w:b w:val="0"/>
              </w:rPr>
            </w:pPr>
            <w:r w:rsidRPr="003436E6">
              <w:t>5</w:t>
            </w:r>
          </w:p>
        </w:tc>
        <w:tc>
          <w:tcPr>
            <w:tcW w:w="3009" w:type="dxa"/>
          </w:tcPr>
          <w:p w14:paraId="17C3A061" w14:textId="3BA91212" w:rsidR="00885219" w:rsidRDefault="00885219" w:rsidP="00976756">
            <w:pPr>
              <w:jc w:val="center"/>
              <w:cnfStyle w:val="000000000000" w:firstRow="0" w:lastRow="0" w:firstColumn="0" w:lastColumn="0" w:oddVBand="0" w:evenVBand="0" w:oddHBand="0" w:evenHBand="0" w:firstRowFirstColumn="0" w:firstRowLastColumn="0" w:lastRowFirstColumn="0" w:lastRowLastColumn="0"/>
            </w:pPr>
            <w:r>
              <w:t>4.25</w:t>
            </w:r>
          </w:p>
        </w:tc>
        <w:tc>
          <w:tcPr>
            <w:tcW w:w="3009" w:type="dxa"/>
          </w:tcPr>
          <w:p w14:paraId="46EC6DCC" w14:textId="15163B8F" w:rsidR="00885219" w:rsidRDefault="00506293">
            <w:pPr>
              <w:cnfStyle w:val="000000000000" w:firstRow="0" w:lastRow="0" w:firstColumn="0" w:lastColumn="0" w:oddVBand="0" w:evenVBand="0" w:oddHBand="0" w:evenHBand="0" w:firstRowFirstColumn="0" w:firstRowLastColumn="0" w:lastRowFirstColumn="0" w:lastRowLastColumn="0"/>
            </w:pPr>
            <w:r>
              <w:t>0.1×10</w:t>
            </w:r>
            <w:r w:rsidRPr="00355A87">
              <w:rPr>
                <w:vertAlign w:val="superscript"/>
              </w:rPr>
              <w:t>-7</w:t>
            </w:r>
          </w:p>
        </w:tc>
      </w:tr>
      <w:tr w:rsidR="00885219" w14:paraId="7F030ED9" w14:textId="77777777" w:rsidTr="008852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8" w:type="dxa"/>
          </w:tcPr>
          <w:p w14:paraId="7C1BC2A0" w14:textId="638FD3B9" w:rsidR="00885219" w:rsidRPr="00976756" w:rsidRDefault="00885219" w:rsidP="00976756">
            <w:pPr>
              <w:jc w:val="center"/>
              <w:rPr>
                <w:b w:val="0"/>
              </w:rPr>
            </w:pPr>
            <w:r w:rsidRPr="003436E6">
              <w:t>10</w:t>
            </w:r>
          </w:p>
        </w:tc>
        <w:tc>
          <w:tcPr>
            <w:tcW w:w="3009" w:type="dxa"/>
          </w:tcPr>
          <w:p w14:paraId="5006717B" w14:textId="60271E3E" w:rsidR="00885219" w:rsidRDefault="00885219" w:rsidP="00976756">
            <w:pPr>
              <w:jc w:val="center"/>
              <w:cnfStyle w:val="000000100000" w:firstRow="0" w:lastRow="0" w:firstColumn="0" w:lastColumn="0" w:oddVBand="0" w:evenVBand="0" w:oddHBand="1" w:evenHBand="0" w:firstRowFirstColumn="0" w:firstRowLastColumn="0" w:lastRowFirstColumn="0" w:lastRowLastColumn="0"/>
            </w:pPr>
            <w:r>
              <w:t>8.5</w:t>
            </w:r>
          </w:p>
        </w:tc>
        <w:tc>
          <w:tcPr>
            <w:tcW w:w="3009" w:type="dxa"/>
          </w:tcPr>
          <w:p w14:paraId="223C512E" w14:textId="0386819F" w:rsidR="00885219" w:rsidRDefault="00506293">
            <w:pPr>
              <w:cnfStyle w:val="000000100000" w:firstRow="0" w:lastRow="0" w:firstColumn="0" w:lastColumn="0" w:oddVBand="0" w:evenVBand="0" w:oddHBand="1" w:evenHBand="0" w:firstRowFirstColumn="0" w:firstRowLastColumn="0" w:lastRowFirstColumn="0" w:lastRowLastColumn="0"/>
            </w:pPr>
            <w:r>
              <w:t>0.2×10</w:t>
            </w:r>
            <w:r w:rsidRPr="00355A87">
              <w:rPr>
                <w:vertAlign w:val="superscript"/>
              </w:rPr>
              <w:t>-7</w:t>
            </w:r>
          </w:p>
        </w:tc>
      </w:tr>
      <w:tr w:rsidR="00885219" w14:paraId="0C34CB61" w14:textId="77777777" w:rsidTr="00885219">
        <w:tc>
          <w:tcPr>
            <w:cnfStyle w:val="001000000000" w:firstRow="0" w:lastRow="0" w:firstColumn="1" w:lastColumn="0" w:oddVBand="0" w:evenVBand="0" w:oddHBand="0" w:evenHBand="0" w:firstRowFirstColumn="0" w:firstRowLastColumn="0" w:lastRowFirstColumn="0" w:lastRowLastColumn="0"/>
            <w:tcW w:w="3008" w:type="dxa"/>
          </w:tcPr>
          <w:p w14:paraId="335DA36D" w14:textId="1FBA552C" w:rsidR="00885219" w:rsidRPr="00976756" w:rsidRDefault="00885219" w:rsidP="00976756">
            <w:pPr>
              <w:jc w:val="center"/>
              <w:rPr>
                <w:b w:val="0"/>
              </w:rPr>
            </w:pPr>
            <w:r w:rsidRPr="003436E6">
              <w:t>50</w:t>
            </w:r>
          </w:p>
        </w:tc>
        <w:tc>
          <w:tcPr>
            <w:tcW w:w="3009" w:type="dxa"/>
          </w:tcPr>
          <w:p w14:paraId="2A536B89" w14:textId="57C02B54" w:rsidR="00885219" w:rsidRDefault="00885219" w:rsidP="00976756">
            <w:pPr>
              <w:jc w:val="center"/>
              <w:cnfStyle w:val="000000000000" w:firstRow="0" w:lastRow="0" w:firstColumn="0" w:lastColumn="0" w:oddVBand="0" w:evenVBand="0" w:oddHBand="0" w:evenHBand="0" w:firstRowFirstColumn="0" w:firstRowLastColumn="0" w:lastRowFirstColumn="0" w:lastRowLastColumn="0"/>
            </w:pPr>
            <w:r>
              <w:t>42.5</w:t>
            </w:r>
          </w:p>
        </w:tc>
        <w:tc>
          <w:tcPr>
            <w:tcW w:w="3009" w:type="dxa"/>
          </w:tcPr>
          <w:p w14:paraId="5D511F90" w14:textId="31D62582" w:rsidR="00885219" w:rsidRDefault="00506293">
            <w:pPr>
              <w:cnfStyle w:val="000000000000" w:firstRow="0" w:lastRow="0" w:firstColumn="0" w:lastColumn="0" w:oddVBand="0" w:evenVBand="0" w:oddHBand="0" w:evenHBand="0" w:firstRowFirstColumn="0" w:firstRowLastColumn="0" w:lastRowFirstColumn="0" w:lastRowLastColumn="0"/>
            </w:pPr>
            <w:r>
              <w:t>1×10</w:t>
            </w:r>
            <w:r w:rsidRPr="00355A87">
              <w:rPr>
                <w:vertAlign w:val="superscript"/>
              </w:rPr>
              <w:t>-7</w:t>
            </w:r>
          </w:p>
        </w:tc>
      </w:tr>
      <w:tr w:rsidR="00885219" w14:paraId="3AE613B0" w14:textId="77777777" w:rsidTr="008852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8" w:type="dxa"/>
          </w:tcPr>
          <w:p w14:paraId="606B0993" w14:textId="4A624137" w:rsidR="00885219" w:rsidRPr="00976756" w:rsidRDefault="00885219" w:rsidP="00976756">
            <w:pPr>
              <w:jc w:val="center"/>
              <w:rPr>
                <w:b w:val="0"/>
              </w:rPr>
            </w:pPr>
            <w:r w:rsidRPr="003436E6">
              <w:t>100</w:t>
            </w:r>
          </w:p>
        </w:tc>
        <w:tc>
          <w:tcPr>
            <w:tcW w:w="3009" w:type="dxa"/>
          </w:tcPr>
          <w:p w14:paraId="055B353B" w14:textId="366CB8B7" w:rsidR="00885219" w:rsidRDefault="00885219" w:rsidP="00976756">
            <w:pPr>
              <w:jc w:val="center"/>
              <w:cnfStyle w:val="000000100000" w:firstRow="0" w:lastRow="0" w:firstColumn="0" w:lastColumn="0" w:oddVBand="0" w:evenVBand="0" w:oddHBand="1" w:evenHBand="0" w:firstRowFirstColumn="0" w:firstRowLastColumn="0" w:lastRowFirstColumn="0" w:lastRowLastColumn="0"/>
            </w:pPr>
            <w:r>
              <w:t>85</w:t>
            </w:r>
          </w:p>
        </w:tc>
        <w:tc>
          <w:tcPr>
            <w:tcW w:w="3009" w:type="dxa"/>
          </w:tcPr>
          <w:p w14:paraId="1715D055" w14:textId="6C9E3814" w:rsidR="00885219" w:rsidRDefault="00885219">
            <w:pPr>
              <w:cnfStyle w:val="000000100000" w:firstRow="0" w:lastRow="0" w:firstColumn="0" w:lastColumn="0" w:oddVBand="0" w:evenVBand="0" w:oddHBand="1" w:evenHBand="0" w:firstRowFirstColumn="0" w:firstRowLastColumn="0" w:lastRowFirstColumn="0" w:lastRowLastColumn="0"/>
            </w:pPr>
            <w:r>
              <w:t>2</w:t>
            </w:r>
            <w:r w:rsidR="00506293">
              <w:t>×</w:t>
            </w:r>
            <w:r>
              <w:t>10</w:t>
            </w:r>
            <w:r w:rsidRPr="00976756">
              <w:rPr>
                <w:vertAlign w:val="superscript"/>
              </w:rPr>
              <w:t>-7</w:t>
            </w:r>
          </w:p>
        </w:tc>
      </w:tr>
    </w:tbl>
    <w:p w14:paraId="29C8A8C2" w14:textId="77777777" w:rsidR="006C59FE" w:rsidRDefault="006C59FE"/>
    <w:p w14:paraId="31155679" w14:textId="77777777" w:rsidR="00FE4A3A" w:rsidRDefault="00FE4A3A"/>
    <w:p w14:paraId="11FEDCA4" w14:textId="73703899" w:rsidR="006C59FE" w:rsidRDefault="006C59FE">
      <w:r>
        <w:t xml:space="preserve">The above analysis is now repeated for both higher and lower values of </w:t>
      </w:r>
      <w:r w:rsidRPr="00976756">
        <w:rPr>
          <w:i/>
        </w:rPr>
        <w:t>K</w:t>
      </w:r>
      <w:r w:rsidRPr="00976756">
        <w:rPr>
          <w:vertAlign w:val="subscript"/>
        </w:rPr>
        <w:t>ref</w:t>
      </w:r>
      <w:r>
        <w:t xml:space="preserve">, i.e. for </w:t>
      </w:r>
      <w:r w:rsidRPr="00976756">
        <w:rPr>
          <w:i/>
        </w:rPr>
        <w:t>K</w:t>
      </w:r>
      <w:r w:rsidRPr="00976756">
        <w:rPr>
          <w:vertAlign w:val="subscript"/>
        </w:rPr>
        <w:t>ref</w:t>
      </w:r>
      <w:r>
        <w:t xml:space="preserve"> = 10</w:t>
      </w:r>
      <w:r w:rsidRPr="00976756">
        <w:rPr>
          <w:vertAlign w:val="superscript"/>
        </w:rPr>
        <w:t>-</w:t>
      </w:r>
      <w:r w:rsidR="00782D05">
        <w:rPr>
          <w:vertAlign w:val="superscript"/>
        </w:rPr>
        <w:t>3</w:t>
      </w:r>
      <w:r w:rsidR="00AC6306">
        <w:t xml:space="preserve"> a</w:t>
      </w:r>
      <w:r>
        <w:t>nd 10</w:t>
      </w:r>
      <w:r w:rsidRPr="00976756">
        <w:rPr>
          <w:vertAlign w:val="superscript"/>
        </w:rPr>
        <w:t>-</w:t>
      </w:r>
      <w:r w:rsidR="00782D05">
        <w:rPr>
          <w:vertAlign w:val="superscript"/>
        </w:rPr>
        <w:t>2</w:t>
      </w:r>
      <w:r>
        <w:t xml:space="preserve"> m/d </w:t>
      </w:r>
      <w:r w:rsidR="00AC6306">
        <w:t>(or ~10</w:t>
      </w:r>
      <w:r w:rsidR="00782D05">
        <w:rPr>
          <w:vertAlign w:val="superscript"/>
        </w:rPr>
        <w:t>-8</w:t>
      </w:r>
      <w:r w:rsidR="00AC6306">
        <w:t xml:space="preserve"> to 10</w:t>
      </w:r>
      <w:r w:rsidR="00C04D86">
        <w:rPr>
          <w:vertAlign w:val="superscript"/>
        </w:rPr>
        <w:t>-</w:t>
      </w:r>
      <w:r w:rsidR="00782D05">
        <w:rPr>
          <w:vertAlign w:val="superscript"/>
        </w:rPr>
        <w:t>7</w:t>
      </w:r>
      <w:r w:rsidR="00AC6306">
        <w:t xml:space="preserve"> m/s) </w:t>
      </w:r>
      <w:r>
        <w:t xml:space="preserve">and </w:t>
      </w:r>
      <w:r w:rsidRPr="00976756">
        <w:rPr>
          <w:i/>
        </w:rPr>
        <w:t>K</w:t>
      </w:r>
      <w:r w:rsidRPr="00976756">
        <w:rPr>
          <w:vertAlign w:val="subscript"/>
        </w:rPr>
        <w:t>ref</w:t>
      </w:r>
      <w:r>
        <w:t xml:space="preserve"> = 10</w:t>
      </w:r>
      <w:r w:rsidRPr="00976756">
        <w:rPr>
          <w:vertAlign w:val="superscript"/>
        </w:rPr>
        <w:t>-</w:t>
      </w:r>
      <w:r w:rsidR="00782D05">
        <w:rPr>
          <w:vertAlign w:val="superscript"/>
        </w:rPr>
        <w:t>5</w:t>
      </w:r>
      <w:r>
        <w:t xml:space="preserve"> and 10</w:t>
      </w:r>
      <w:r w:rsidRPr="00976756">
        <w:rPr>
          <w:vertAlign w:val="superscript"/>
        </w:rPr>
        <w:t>-</w:t>
      </w:r>
      <w:r w:rsidR="00782D05">
        <w:rPr>
          <w:vertAlign w:val="superscript"/>
        </w:rPr>
        <w:t>6</w:t>
      </w:r>
      <w:r>
        <w:t xml:space="preserve"> m/d</w:t>
      </w:r>
      <w:r w:rsidR="00C04D86">
        <w:t xml:space="preserve"> (or ~10</w:t>
      </w:r>
      <w:r w:rsidR="00782D05">
        <w:rPr>
          <w:vertAlign w:val="superscript"/>
        </w:rPr>
        <w:t>-10</w:t>
      </w:r>
      <w:r w:rsidR="00C04D86">
        <w:t xml:space="preserve"> to 10</w:t>
      </w:r>
      <w:r w:rsidR="00C04D86">
        <w:rPr>
          <w:vertAlign w:val="superscript"/>
        </w:rPr>
        <w:t>-1</w:t>
      </w:r>
      <w:r w:rsidR="00782D05">
        <w:rPr>
          <w:vertAlign w:val="superscript"/>
        </w:rPr>
        <w:t>1</w:t>
      </w:r>
      <w:r w:rsidR="00C04D86">
        <w:t xml:space="preserve"> m/s)</w:t>
      </w:r>
      <w:r>
        <w:t>.</w:t>
      </w:r>
      <w:r w:rsidR="00E5055C">
        <w:t xml:space="preserve"> The corresponding dependencies of </w:t>
      </w:r>
      <w:r w:rsidR="00E5055C" w:rsidRPr="00976756">
        <w:rPr>
          <w:i/>
        </w:rPr>
        <w:t>K</w:t>
      </w:r>
      <w:r w:rsidR="00E5055C" w:rsidRPr="00976756">
        <w:rPr>
          <w:vertAlign w:val="subscript"/>
        </w:rPr>
        <w:t>ref</w:t>
      </w:r>
      <w:r w:rsidR="00E5055C">
        <w:t xml:space="preserve"> on the density of leaky wells is shown in </w:t>
      </w:r>
      <w:r w:rsidR="00E5055C">
        <w:fldChar w:fldCharType="begin"/>
      </w:r>
      <w:r w:rsidR="00E5055C">
        <w:instrText xml:space="preserve"> REF _Ref450472748 \h </w:instrText>
      </w:r>
      <w:r w:rsidR="00E5055C">
        <w:fldChar w:fldCharType="separate"/>
      </w:r>
      <w:r w:rsidR="002E45AF">
        <w:t xml:space="preserve">Figure </w:t>
      </w:r>
      <w:r w:rsidR="002E45AF">
        <w:rPr>
          <w:noProof/>
        </w:rPr>
        <w:t>5</w:t>
      </w:r>
      <w:r w:rsidR="00E5055C">
        <w:fldChar w:fldCharType="end"/>
      </w:r>
      <w:r w:rsidR="00E5055C">
        <w:t>.</w:t>
      </w:r>
      <w:r w:rsidR="00DD35C7">
        <w:t xml:space="preserve"> As the background hydraulic conductivity of the aquitard increases, the less sensitive it becomes to additional flow pathways through leaky wells. Indeed, for </w:t>
      </w:r>
      <w:r w:rsidR="00DD35C7" w:rsidRPr="00355A87">
        <w:rPr>
          <w:i/>
        </w:rPr>
        <w:t>K</w:t>
      </w:r>
      <w:r w:rsidR="00DD35C7" w:rsidRPr="00355A87">
        <w:rPr>
          <w:vertAlign w:val="subscript"/>
        </w:rPr>
        <w:t>ref</w:t>
      </w:r>
      <w:r w:rsidR="00DD35C7">
        <w:t xml:space="preserve"> = 10</w:t>
      </w:r>
      <w:r w:rsidR="00DD35C7" w:rsidRPr="00355A87">
        <w:rPr>
          <w:vertAlign w:val="superscript"/>
        </w:rPr>
        <w:t>-3</w:t>
      </w:r>
      <w:r w:rsidR="00DD35C7">
        <w:t xml:space="preserve"> and 10</w:t>
      </w:r>
      <w:r w:rsidR="00DD35C7" w:rsidRPr="00355A87">
        <w:rPr>
          <w:vertAlign w:val="superscript"/>
        </w:rPr>
        <w:t>-</w:t>
      </w:r>
      <w:r w:rsidR="00DD35C7">
        <w:rPr>
          <w:vertAlign w:val="superscript"/>
        </w:rPr>
        <w:t>2</w:t>
      </w:r>
      <w:r w:rsidR="00DD35C7">
        <w:t xml:space="preserve"> m/d the aquitard would need to </w:t>
      </w:r>
      <w:r w:rsidR="00272259">
        <w:t xml:space="preserve">be </w:t>
      </w:r>
      <w:r w:rsidR="00DD35C7">
        <w:t xml:space="preserve">punctured by at least 5 to 50 leaky </w:t>
      </w:r>
      <w:r w:rsidR="00272259">
        <w:t>wells, respectively, to obtain</w:t>
      </w:r>
      <w:r w:rsidR="00DD35C7">
        <w:t xml:space="preserve"> values for </w:t>
      </w:r>
      <w:r w:rsidR="00DD35C7" w:rsidRPr="00976756">
        <w:rPr>
          <w:i/>
        </w:rPr>
        <w:t>K</w:t>
      </w:r>
      <w:r w:rsidR="00DD35C7" w:rsidRPr="00976756">
        <w:rPr>
          <w:vertAlign w:val="subscript"/>
        </w:rPr>
        <w:t>e</w:t>
      </w:r>
      <w:r w:rsidR="00272259">
        <w:rPr>
          <w:vertAlign w:val="subscript"/>
        </w:rPr>
        <w:t>q</w:t>
      </w:r>
      <w:r w:rsidR="00DD35C7">
        <w:t xml:space="preserve"> exceeding the background value by 10% or more. However, for lower background hydraulic conductivities </w:t>
      </w:r>
      <w:r w:rsidR="00DD35C7" w:rsidRPr="00355A87">
        <w:rPr>
          <w:i/>
        </w:rPr>
        <w:t>K</w:t>
      </w:r>
      <w:r w:rsidR="00DD35C7" w:rsidRPr="00355A87">
        <w:rPr>
          <w:vertAlign w:val="subscript"/>
        </w:rPr>
        <w:t>ref</w:t>
      </w:r>
      <w:r w:rsidR="00DD35C7">
        <w:t xml:space="preserve"> of 10</w:t>
      </w:r>
      <w:r w:rsidR="00DD35C7" w:rsidRPr="00355A87">
        <w:rPr>
          <w:vertAlign w:val="superscript"/>
        </w:rPr>
        <w:t>-5</w:t>
      </w:r>
      <w:r w:rsidR="00DD35C7">
        <w:t xml:space="preserve"> and 10</w:t>
      </w:r>
      <w:r w:rsidR="00DD35C7" w:rsidRPr="00355A87">
        <w:rPr>
          <w:vertAlign w:val="superscript"/>
        </w:rPr>
        <w:t>-6</w:t>
      </w:r>
      <w:r w:rsidR="00DD35C7">
        <w:t xml:space="preserve"> m/d, the aquitard becomes increasingly more sensitive such that a density of </w:t>
      </w:r>
      <w:r w:rsidR="004E10EE">
        <w:t xml:space="preserve">0.05 to 0.005 </w:t>
      </w:r>
      <w:r w:rsidR="00962454">
        <w:t xml:space="preserve">leaky </w:t>
      </w:r>
      <w:r w:rsidR="004E10EE">
        <w:t>wells/km</w:t>
      </w:r>
      <w:r w:rsidR="004E10EE" w:rsidRPr="00976756">
        <w:rPr>
          <w:vertAlign w:val="superscript"/>
        </w:rPr>
        <w:t>2</w:t>
      </w:r>
      <w:r w:rsidR="004E10EE">
        <w:t xml:space="preserve"> would suffice to increase </w:t>
      </w:r>
      <w:r w:rsidR="004E10EE" w:rsidRPr="00976756">
        <w:rPr>
          <w:i/>
        </w:rPr>
        <w:t>K</w:t>
      </w:r>
      <w:r w:rsidR="00272259">
        <w:rPr>
          <w:vertAlign w:val="subscript"/>
        </w:rPr>
        <w:t>eq</w:t>
      </w:r>
      <w:r w:rsidR="004E10EE">
        <w:t xml:space="preserve"> above its background value by 10% or more.</w:t>
      </w:r>
      <w:r w:rsidR="0032581D">
        <w:t xml:space="preserve"> Because aquitards easily have hydraulic conductivities less than 10</w:t>
      </w:r>
      <w:r w:rsidR="0032581D" w:rsidRPr="00355A87">
        <w:rPr>
          <w:vertAlign w:val="superscript"/>
        </w:rPr>
        <w:t>-5</w:t>
      </w:r>
      <w:r w:rsidR="0032581D">
        <w:t xml:space="preserve"> and 10</w:t>
      </w:r>
      <w:r w:rsidR="0032581D" w:rsidRPr="00355A87">
        <w:rPr>
          <w:vertAlign w:val="superscript"/>
        </w:rPr>
        <w:t>-6</w:t>
      </w:r>
      <w:r w:rsidR="0032581D">
        <w:t xml:space="preserve"> m/d, there is a need to investigate if the assumed </w:t>
      </w:r>
      <w:r w:rsidR="00272259">
        <w:t>hydraulic conductivity</w:t>
      </w:r>
      <w:r w:rsidR="0032581D">
        <w:t xml:space="preserve"> of 100 m/d, or any other high value for that matter, is physically plausible for typical hydrogeological – and thus flow – conditions with</w:t>
      </w:r>
      <w:r w:rsidR="00272259">
        <w:t>in</w:t>
      </w:r>
      <w:r w:rsidR="0032581D">
        <w:t xml:space="preserve"> sedimentary aquifers and coal formations.</w:t>
      </w:r>
    </w:p>
    <w:p w14:paraId="67974BDE" w14:textId="042CF964" w:rsidR="008579DA" w:rsidRDefault="007740DB">
      <w:r>
        <w:t xml:space="preserve">The subsequent analysis is about determining the hydrological parameter space for which the conditions identified in the previous analysis are possible. </w:t>
      </w:r>
      <w:r w:rsidR="008579DA">
        <w:t xml:space="preserve">Whether or not flow through leaky wells or bores will have an impact on the water balance of an aquifer (e.g. aquifer 1 in </w:t>
      </w:r>
      <w:r w:rsidR="008579DA">
        <w:fldChar w:fldCharType="begin"/>
      </w:r>
      <w:r w:rsidR="008579DA">
        <w:instrText xml:space="preserve"> REF _Ref450405792 \h </w:instrText>
      </w:r>
      <w:r w:rsidR="008579DA">
        <w:fldChar w:fldCharType="separate"/>
      </w:r>
      <w:r w:rsidR="002E45AF">
        <w:t xml:space="preserve">Figure </w:t>
      </w:r>
      <w:r w:rsidR="002E45AF">
        <w:rPr>
          <w:noProof/>
        </w:rPr>
        <w:t>3</w:t>
      </w:r>
      <w:r w:rsidR="008579DA">
        <w:fldChar w:fldCharType="end"/>
      </w:r>
      <w:r w:rsidR="008579DA">
        <w:t xml:space="preserve">), will depend on whether such flow is controlled by the effective hydraulic conductivity of the well or bore </w:t>
      </w:r>
      <w:r w:rsidR="008579DA" w:rsidRPr="00DB6A8A">
        <w:t>(</w:t>
      </w:r>
      <w:r w:rsidR="008579DA" w:rsidRPr="00806F59">
        <w:rPr>
          <w:i/>
        </w:rPr>
        <w:t>K</w:t>
      </w:r>
      <w:r w:rsidR="001D3D09">
        <w:rPr>
          <w:vertAlign w:val="subscript"/>
        </w:rPr>
        <w:t>well</w:t>
      </w:r>
      <w:r w:rsidR="008579DA" w:rsidRPr="00DB6A8A">
        <w:t>)</w:t>
      </w:r>
      <w:r w:rsidR="008579DA">
        <w:t xml:space="preserve"> or whether it is controlled by the transmissivities of the aquifers. </w:t>
      </w:r>
      <w:r w:rsidR="008B7E23">
        <w:t>When it is controlled by the transmissivity of the aquifers</w:t>
      </w:r>
      <w:r w:rsidR="008579DA">
        <w:t xml:space="preserve">, whatever the value of </w:t>
      </w:r>
      <w:r w:rsidR="008579DA" w:rsidRPr="00806F59">
        <w:rPr>
          <w:i/>
        </w:rPr>
        <w:t>K</w:t>
      </w:r>
      <w:r w:rsidR="001D3D09">
        <w:rPr>
          <w:vertAlign w:val="subscript"/>
        </w:rPr>
        <w:t>well</w:t>
      </w:r>
      <w:r w:rsidR="008579DA">
        <w:t xml:space="preserve"> </w:t>
      </w:r>
      <w:r w:rsidR="0029489A">
        <w:t xml:space="preserve">(low to very low </w:t>
      </w:r>
      <w:r w:rsidR="001C2DD8">
        <w:t>without</w:t>
      </w:r>
      <w:r w:rsidR="0029489A">
        <w:t xml:space="preserve"> loss of integrity</w:t>
      </w:r>
      <w:r w:rsidR="001C2DD8">
        <w:t xml:space="preserve"> or high to very high if fully degraded), the flow through the wells will not be sensitive to the degree of well integrity, and to a certain degree, the cumulative flux through many wells will also not be</w:t>
      </w:r>
      <w:r w:rsidR="008579DA">
        <w:t xml:space="preserve"> </w:t>
      </w:r>
      <w:r w:rsidR="001C2DD8">
        <w:t xml:space="preserve">sensitive to the number of wells. </w:t>
      </w:r>
      <w:r w:rsidR="002E5602">
        <w:t xml:space="preserve">If the </w:t>
      </w:r>
      <w:r w:rsidR="008B7E23">
        <w:t>flow is controlled by the effective well conductivity</w:t>
      </w:r>
      <w:r w:rsidR="002E5602">
        <w:t xml:space="preserve">, the flow is sensitive to the value of </w:t>
      </w:r>
      <w:r w:rsidR="002E5602" w:rsidRPr="00806F59">
        <w:rPr>
          <w:i/>
        </w:rPr>
        <w:t>K</w:t>
      </w:r>
      <w:r w:rsidR="001D3D09">
        <w:rPr>
          <w:vertAlign w:val="subscript"/>
        </w:rPr>
        <w:t>well</w:t>
      </w:r>
      <w:r w:rsidR="002E5602">
        <w:t xml:space="preserve">, and the cumulative flux depends on the number of wells that have lost integrity. </w:t>
      </w:r>
      <w:r w:rsidR="00F41BB2">
        <w:t>By using a set of analytical solutions we will define more precisely under which hydrogeological and well conditions flows through wells or bores are considered important enough to alter the groundwater balance.</w:t>
      </w:r>
      <w:r w:rsidR="008579DA">
        <w:t xml:space="preserve">  </w:t>
      </w:r>
    </w:p>
    <w:p w14:paraId="7ED44191" w14:textId="71ED7B51" w:rsidR="00BC2FAD" w:rsidRDefault="0092550A">
      <w:r>
        <w:t xml:space="preserve">The system of equations considered in this </w:t>
      </w:r>
      <w:r w:rsidR="000B7367">
        <w:t xml:space="preserve">analysis is developed as follows. First of all, </w:t>
      </w:r>
      <w:r w:rsidR="00064D04">
        <w:t>a</w:t>
      </w:r>
      <w:r w:rsidR="0096604A">
        <w:t xml:space="preserve">ssume flow </w:t>
      </w:r>
      <w:r w:rsidR="004A2435">
        <w:t>in</w:t>
      </w:r>
      <w:r w:rsidR="004D22D5">
        <w:t xml:space="preserve">to the well </w:t>
      </w:r>
      <w:r w:rsidR="0096604A">
        <w:t xml:space="preserve">in </w:t>
      </w:r>
      <w:r w:rsidR="004A2435">
        <w:t xml:space="preserve">the top </w:t>
      </w:r>
      <w:r w:rsidR="0096604A">
        <w:t xml:space="preserve">aquifer </w:t>
      </w:r>
      <w:r w:rsidR="004A2435">
        <w:t>(aquifer-</w:t>
      </w:r>
      <w:r w:rsidR="0096604A">
        <w:t>1</w:t>
      </w:r>
      <w:r w:rsidR="004A2435">
        <w:t xml:space="preserve">), </w:t>
      </w:r>
      <w:r w:rsidR="004A2435" w:rsidRPr="00806F59">
        <w:rPr>
          <w:i/>
        </w:rPr>
        <w:t>Q</w:t>
      </w:r>
      <w:r w:rsidR="00043FE8">
        <w:rPr>
          <w:i/>
          <w:vertAlign w:val="subscript"/>
        </w:rPr>
        <w:t>1</w:t>
      </w:r>
      <w:r w:rsidR="004A2435">
        <w:t>,</w:t>
      </w:r>
      <w:r w:rsidR="0096604A">
        <w:t xml:space="preserve"> can be represented by the Thiem equation</w:t>
      </w:r>
      <w:r w:rsidR="000B7367">
        <w:t xml:space="preserve"> [Silliman and Higgins, </w:t>
      </w:r>
      <w:r w:rsidR="000B7367">
        <w:fldChar w:fldCharType="begin"/>
      </w:r>
      <w:r w:rsidR="00336753">
        <w:instrText xml:space="preserve"> ADDIN EN.CITE &lt;EndNote&gt;&lt;Cite ExcludeAuth="1"&gt;&lt;Author&gt;Silliman&lt;/Author&gt;&lt;Year&gt;1990&lt;/Year&gt;&lt;RecNum&gt;2535&lt;/RecNum&gt;&lt;DisplayText&gt;[1990]&lt;/DisplayText&gt;&lt;record&gt;&lt;rec-number&gt;2535&lt;/rec-number&gt;&lt;foreign-keys&gt;&lt;key app="EN" db-id="sawsrtr20e9dd8ewz5evfttuv5erw5fa22tr"&gt;2535&lt;/key&gt;&lt;/foreign-keys&gt;&lt;ref-type name="Journal Article"&gt;17&lt;/ref-type&gt;&lt;contributors&gt;&lt;authors&gt;&lt;author&gt;Silliman, Stephen&lt;/author&gt;&lt;author&gt;Higgins, David&lt;/author&gt;&lt;/authors&gt;&lt;/contributors&gt;&lt;titles&gt;&lt;title&gt;An Analytical Solution for Steady‐State Flow Between Aquifers Through an Open Well&lt;/title&gt;&lt;secondary-title&gt;Groundwater&lt;/secondary-title&gt;&lt;/titles&gt;&lt;periodical&gt;&lt;full-title&gt;Groundwater&lt;/full-title&gt;&lt;/periodical&gt;&lt;pages&gt;184-190&lt;/pages&gt;&lt;volume&gt;28&lt;/volume&gt;&lt;number&gt;2&lt;/number&gt;&lt;dates&gt;&lt;year&gt;1990&lt;/year&gt;&lt;/dates&gt;&lt;isbn&gt;1745-6584&lt;/isbn&gt;&lt;urls&gt;&lt;/urls&gt;&lt;/record&gt;&lt;/Cite&gt;&lt;/EndNote&gt;</w:instrText>
      </w:r>
      <w:r w:rsidR="000B7367">
        <w:fldChar w:fldCharType="separate"/>
      </w:r>
      <w:r w:rsidR="00336753">
        <w:rPr>
          <w:noProof/>
        </w:rPr>
        <w:t>[</w:t>
      </w:r>
      <w:hyperlink w:anchor="_ENREF_22" w:tooltip="Silliman, 1990 #2535" w:history="1">
        <w:r w:rsidR="007A7BC9">
          <w:rPr>
            <w:noProof/>
          </w:rPr>
          <w:t>1990</w:t>
        </w:r>
      </w:hyperlink>
      <w:r w:rsidR="00336753">
        <w:rPr>
          <w:noProof/>
        </w:rPr>
        <w:t>]</w:t>
      </w:r>
      <w:r w:rsidR="000B7367">
        <w:fldChar w:fldCharType="end"/>
      </w:r>
      <w:r w:rsidR="001F502B">
        <w:t>. The Thiem equ</w:t>
      </w:r>
      <w:r w:rsidR="001F502B" w:rsidRPr="001F502B">
        <w:t xml:space="preserve">ation assumes that the system is at equilibrium, the </w:t>
      </w:r>
      <w:r w:rsidR="001F502B">
        <w:t>p</w:t>
      </w:r>
      <w:r w:rsidR="001F502B" w:rsidRPr="001F502B">
        <w:t>umping well</w:t>
      </w:r>
      <w:r w:rsidR="001F502B">
        <w:t xml:space="preserve"> and observation wells are</w:t>
      </w:r>
      <w:r w:rsidR="001F502B" w:rsidRPr="001F502B">
        <w:t xml:space="preserve"> only screened in tested aquifer</w:t>
      </w:r>
      <w:r w:rsidR="001F502B">
        <w:t xml:space="preserve"> and are fully penetrating, and that the aquifer is fully confined:</w:t>
      </w:r>
    </w:p>
    <w:bookmarkStart w:id="491" w:name="_Ref448923674"/>
    <w:p w14:paraId="641ADAEE" w14:textId="475DD9F7" w:rsidR="008D7940" w:rsidRPr="00D530AE" w:rsidRDefault="00ED4C1C" w:rsidP="002D3BA2">
      <w:pPr>
        <w:pStyle w:val="CaptionNote"/>
        <w:jc w:val="right"/>
      </w:pPr>
      <m:oMath>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Q</m:t>
            </m:r>
          </m:e>
          <m:sub>
            <m:r>
              <m:rPr>
                <m:sty m:val="bi"/>
              </m:rPr>
              <w:rPr>
                <w:rStyle w:val="BodyChar"/>
                <w:rFonts w:ascii="Cambria Math" w:hAnsi="Cambria Math"/>
                <w:color w:val="auto"/>
                <w:sz w:val="28"/>
                <w:szCs w:val="28"/>
              </w:rPr>
              <m:t>1</m:t>
            </m:r>
          </m:sub>
        </m:sSub>
        <m:r>
          <m:rPr>
            <m:sty m:val="bi"/>
          </m:rPr>
          <w:rPr>
            <w:rStyle w:val="BodyChar"/>
            <w:rFonts w:ascii="Cambria Math" w:hAnsi="Cambria Math"/>
            <w:color w:val="auto"/>
            <w:sz w:val="28"/>
            <w:szCs w:val="28"/>
          </w:rPr>
          <m:t>=</m:t>
        </m:r>
        <m:f>
          <m:fPr>
            <m:ctrlPr>
              <w:rPr>
                <w:rStyle w:val="BodyChar"/>
                <w:rFonts w:ascii="Cambria Math" w:hAnsi="Cambria Math"/>
                <w:b w:val="0"/>
                <w:color w:val="auto"/>
                <w:sz w:val="28"/>
                <w:szCs w:val="28"/>
                <w:lang w:val="en-AU" w:eastAsia="en-AU"/>
              </w:rPr>
            </m:ctrlPr>
          </m:fPr>
          <m:num>
            <m:r>
              <m:rPr>
                <m:sty m:val="bi"/>
              </m:rPr>
              <w:rPr>
                <w:rStyle w:val="BodyChar"/>
                <w:rFonts w:ascii="Cambria Math" w:hAnsi="Cambria Math"/>
                <w:color w:val="auto"/>
                <w:sz w:val="28"/>
                <w:szCs w:val="28"/>
              </w:rPr>
              <m:t>2</m:t>
            </m:r>
            <m:r>
              <m:rPr>
                <m:sty m:val="bi"/>
              </m:rPr>
              <w:rPr>
                <w:rStyle w:val="BodyChar"/>
                <w:rFonts w:ascii="Cambria Math" w:hAnsi="Cambria Math"/>
                <w:color w:val="auto"/>
                <w:sz w:val="28"/>
                <w:szCs w:val="28"/>
              </w:rPr>
              <m:t>π</m:t>
            </m:r>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T</m:t>
                </m:r>
              </m:e>
              <m:sub>
                <m:r>
                  <m:rPr>
                    <m:sty m:val="bi"/>
                  </m:rPr>
                  <w:rPr>
                    <w:rStyle w:val="BodyChar"/>
                    <w:rFonts w:ascii="Cambria Math" w:hAnsi="Cambria Math"/>
                    <w:color w:val="auto"/>
                    <w:sz w:val="28"/>
                    <w:szCs w:val="28"/>
                  </w:rPr>
                  <m:t>1</m:t>
                </m:r>
              </m:sub>
            </m:sSub>
            <m:d>
              <m:dPr>
                <m:ctrlPr>
                  <w:rPr>
                    <w:rStyle w:val="BodyChar"/>
                    <w:rFonts w:ascii="Cambria Math" w:hAnsi="Cambria Math"/>
                    <w:b w:val="0"/>
                    <w:i/>
                    <w:color w:val="auto"/>
                    <w:sz w:val="28"/>
                    <w:szCs w:val="28"/>
                  </w:rPr>
                </m:ctrlPr>
              </m:dPr>
              <m:e>
                <m:sSub>
                  <m:sSubPr>
                    <m:ctrlPr>
                      <w:rPr>
                        <w:rStyle w:val="BodyChar"/>
                        <w:rFonts w:ascii="Cambria Math" w:hAnsi="Cambria Math"/>
                        <w:b w:val="0"/>
                        <w:color w:val="auto"/>
                        <w:sz w:val="28"/>
                        <w:szCs w:val="28"/>
                        <w:lang w:val="en-AU" w:eastAsia="en-AU"/>
                      </w:rPr>
                    </m:ctrlPr>
                  </m:sSubPr>
                  <m:e>
                    <m:r>
                      <m:rPr>
                        <m:sty m:val="b"/>
                      </m:rPr>
                      <w:rPr>
                        <w:rStyle w:val="BodyChar"/>
                        <w:rFonts w:ascii="Cambria Math" w:hAnsi="Cambria Math"/>
                        <w:color w:val="auto"/>
                        <w:sz w:val="28"/>
                        <w:szCs w:val="28"/>
                        <w:lang w:val="en-AU" w:eastAsia="en-AU"/>
                      </w:rPr>
                      <m:t>H</m:t>
                    </m:r>
                  </m:e>
                  <m:sub>
                    <m:r>
                      <m:rPr>
                        <m:sty m:val="bi"/>
                      </m:rPr>
                      <w:rPr>
                        <w:rStyle w:val="BodyChar"/>
                        <w:rFonts w:ascii="Cambria Math" w:hAnsi="Cambria Math"/>
                        <w:color w:val="auto"/>
                        <w:sz w:val="28"/>
                        <w:szCs w:val="28"/>
                        <w:lang w:val="en-AU" w:eastAsia="en-AU"/>
                      </w:rPr>
                      <m:t>1</m:t>
                    </m:r>
                  </m:sub>
                </m:sSub>
                <m:sSub>
                  <m:sSubPr>
                    <m:ctrlPr>
                      <w:rPr>
                        <w:rStyle w:val="BodyChar"/>
                        <w:rFonts w:ascii="Cambria Math" w:hAnsi="Cambria Math"/>
                        <w:b w:val="0"/>
                        <w:color w:val="auto"/>
                        <w:sz w:val="28"/>
                        <w:szCs w:val="28"/>
                        <w:lang w:val="en-AU" w:eastAsia="en-AU"/>
                      </w:rPr>
                    </m:ctrlPr>
                  </m:sSubPr>
                  <m:e>
                    <m:r>
                      <m:rPr>
                        <m:sty m:val="bi"/>
                      </m:rPr>
                      <w:rPr>
                        <w:rStyle w:val="BodyChar"/>
                        <w:rFonts w:ascii="Cambria Math" w:hAnsi="Cambria Math"/>
                        <w:color w:val="auto"/>
                        <w:sz w:val="28"/>
                        <w:szCs w:val="28"/>
                      </w:rPr>
                      <m:t>-h</m:t>
                    </m:r>
                  </m:e>
                  <m:sub>
                    <m:r>
                      <m:rPr>
                        <m:sty m:val="bi"/>
                      </m:rPr>
                      <w:rPr>
                        <w:rStyle w:val="BodyChar"/>
                        <w:rFonts w:ascii="Cambria Math" w:hAnsi="Cambria Math"/>
                        <w:color w:val="auto"/>
                        <w:sz w:val="28"/>
                        <w:szCs w:val="28"/>
                        <w:lang w:val="en-AU" w:eastAsia="en-AU"/>
                      </w:rPr>
                      <m:t>1</m:t>
                    </m:r>
                  </m:sub>
                </m:sSub>
              </m:e>
            </m:d>
          </m:num>
          <m:den>
            <m:r>
              <m:rPr>
                <m:sty m:val="bi"/>
              </m:rPr>
              <w:rPr>
                <w:rStyle w:val="BodyChar"/>
                <w:rFonts w:ascii="Cambria Math" w:hAnsi="Cambria Math"/>
                <w:color w:val="auto"/>
                <w:sz w:val="28"/>
                <w:szCs w:val="28"/>
              </w:rPr>
              <m:t>log</m:t>
            </m:r>
            <m:d>
              <m:dPr>
                <m:ctrlPr>
                  <w:rPr>
                    <w:rStyle w:val="BodyChar"/>
                    <w:rFonts w:ascii="Cambria Math" w:hAnsi="Cambria Math"/>
                    <w:b w:val="0"/>
                    <w:i/>
                    <w:color w:val="auto"/>
                    <w:sz w:val="28"/>
                    <w:szCs w:val="28"/>
                  </w:rPr>
                </m:ctrlPr>
              </m:dPr>
              <m:e>
                <m:f>
                  <m:fPr>
                    <m:ctrlPr>
                      <w:rPr>
                        <w:rStyle w:val="BodyChar"/>
                        <w:rFonts w:ascii="Cambria Math" w:hAnsi="Cambria Math"/>
                        <w:b w:val="0"/>
                        <w:i/>
                        <w:color w:val="auto"/>
                        <w:sz w:val="28"/>
                        <w:szCs w:val="28"/>
                      </w:rPr>
                    </m:ctrlPr>
                  </m:fPr>
                  <m:num>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r</m:t>
                        </m:r>
                      </m:e>
                      <m:sub>
                        <m:r>
                          <m:rPr>
                            <m:sty m:val="bi"/>
                          </m:rPr>
                          <w:rPr>
                            <w:rStyle w:val="BodyChar"/>
                            <w:rFonts w:ascii="Cambria Math" w:hAnsi="Cambria Math"/>
                            <w:color w:val="auto"/>
                            <w:sz w:val="28"/>
                            <w:szCs w:val="28"/>
                          </w:rPr>
                          <m:t>1</m:t>
                        </m:r>
                      </m:sub>
                    </m:sSub>
                  </m:num>
                  <m:den>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r</m:t>
                        </m:r>
                      </m:e>
                      <m:sub>
                        <m:r>
                          <m:rPr>
                            <m:sty m:val="bi"/>
                          </m:rPr>
                          <w:rPr>
                            <w:rStyle w:val="BodyChar"/>
                            <w:rFonts w:ascii="Cambria Math" w:hAnsi="Cambria Math"/>
                            <w:color w:val="auto"/>
                            <w:sz w:val="28"/>
                            <w:szCs w:val="28"/>
                          </w:rPr>
                          <m:t>w</m:t>
                        </m:r>
                      </m:sub>
                    </m:sSub>
                  </m:den>
                </m:f>
              </m:e>
            </m:d>
          </m:den>
        </m:f>
        <m:r>
          <m:rPr>
            <m:sty m:val="bi"/>
          </m:rPr>
          <w:rPr>
            <w:rStyle w:val="BodyChar"/>
            <w:rFonts w:ascii="Cambria Math" w:hAnsi="Cambria Math"/>
            <w:color w:val="auto"/>
            <w:sz w:val="28"/>
            <w:szCs w:val="28"/>
            <w:lang w:val="en-AU" w:eastAsia="en-AU"/>
          </w:rPr>
          <m:t xml:space="preserve">                 </m:t>
        </m:r>
      </m:oMath>
      <w:r w:rsidR="002D3BA2">
        <w:tab/>
      </w:r>
      <w:r w:rsidR="002D3BA2">
        <w:tab/>
      </w:r>
      <w:r w:rsidR="002D3BA2">
        <w:tab/>
      </w:r>
      <w:r w:rsidR="008D7940" w:rsidRPr="00D530AE">
        <w:t xml:space="preserve">Equation </w:t>
      </w:r>
      <w:r>
        <w:fldChar w:fldCharType="begin"/>
      </w:r>
      <w:r>
        <w:instrText xml:space="preserve"> SEQ Equation \* ARABIC </w:instrText>
      </w:r>
      <w:r>
        <w:fldChar w:fldCharType="separate"/>
      </w:r>
      <w:r w:rsidR="002E45AF">
        <w:rPr>
          <w:noProof/>
        </w:rPr>
        <w:t>9</w:t>
      </w:r>
      <w:r>
        <w:rPr>
          <w:noProof/>
        </w:rPr>
        <w:fldChar w:fldCharType="end"/>
      </w:r>
    </w:p>
    <w:bookmarkEnd w:id="491"/>
    <w:p w14:paraId="754DDA30" w14:textId="664D0E94" w:rsidR="0096604A" w:rsidRDefault="00AB41F4">
      <w:r>
        <w:t>w</w:t>
      </w:r>
      <w:r w:rsidR="004A2435">
        <w:t xml:space="preserve">here </w:t>
      </w:r>
      <w:r w:rsidR="004A2435" w:rsidRPr="009806D6">
        <w:rPr>
          <w:i/>
        </w:rPr>
        <w:t>T</w:t>
      </w:r>
      <w:r w:rsidR="004A2435" w:rsidRPr="00976756">
        <w:rPr>
          <w:vertAlign w:val="subscript"/>
        </w:rPr>
        <w:t>1</w:t>
      </w:r>
      <w:r w:rsidR="004A2435">
        <w:t xml:space="preserve"> is transmissivity </w:t>
      </w:r>
      <w:r>
        <w:t>(m</w:t>
      </w:r>
      <w:r w:rsidRPr="00976756">
        <w:rPr>
          <w:vertAlign w:val="superscript"/>
        </w:rPr>
        <w:t>2</w:t>
      </w:r>
      <w:r>
        <w:t xml:space="preserve">/d) </w:t>
      </w:r>
      <w:r w:rsidR="004A2435">
        <w:t xml:space="preserve">for Aquifer-1, </w:t>
      </w:r>
      <w:r w:rsidR="004A2435" w:rsidRPr="009806D6">
        <w:rPr>
          <w:i/>
        </w:rPr>
        <w:t>H</w:t>
      </w:r>
      <w:r w:rsidR="004A2435" w:rsidRPr="00976756">
        <w:rPr>
          <w:vertAlign w:val="subscript"/>
        </w:rPr>
        <w:t>1</w:t>
      </w:r>
      <w:r w:rsidR="004A2435">
        <w:t xml:space="preserve"> is hydraulic head </w:t>
      </w:r>
      <w:r w:rsidR="00256F40">
        <w:t xml:space="preserve">(m) </w:t>
      </w:r>
      <w:r w:rsidR="004A2435">
        <w:t>in aquifer-1</w:t>
      </w:r>
      <w:r w:rsidR="00256F40">
        <w:t xml:space="preserve"> at radial distance</w:t>
      </w:r>
      <w:r w:rsidR="004A2435">
        <w:t xml:space="preserve"> </w:t>
      </w:r>
      <w:r w:rsidR="00F769C3" w:rsidRPr="009806D6">
        <w:rPr>
          <w:i/>
        </w:rPr>
        <w:t>r</w:t>
      </w:r>
      <w:r w:rsidR="00F769C3" w:rsidRPr="00976756">
        <w:rPr>
          <w:vertAlign w:val="subscript"/>
        </w:rPr>
        <w:t>1</w:t>
      </w:r>
      <w:r w:rsidR="00F769C3">
        <w:t xml:space="preserve"> </w:t>
      </w:r>
      <w:r w:rsidR="00256F40">
        <w:t xml:space="preserve">(m), </w:t>
      </w:r>
      <w:r w:rsidR="003C6B68">
        <w:t xml:space="preserve">and </w:t>
      </w:r>
      <w:r w:rsidR="003C6B68" w:rsidRPr="009806D6">
        <w:rPr>
          <w:i/>
        </w:rPr>
        <w:t>h</w:t>
      </w:r>
      <w:r w:rsidR="003C6B68" w:rsidRPr="005C3260">
        <w:rPr>
          <w:vertAlign w:val="subscript"/>
        </w:rPr>
        <w:t>1</w:t>
      </w:r>
      <w:r w:rsidR="003C6B68">
        <w:rPr>
          <w:vertAlign w:val="subscript"/>
        </w:rPr>
        <w:t xml:space="preserve"> </w:t>
      </w:r>
      <w:r w:rsidR="003C6B68">
        <w:t xml:space="preserve">(m) </w:t>
      </w:r>
      <w:r w:rsidR="00F769C3">
        <w:t xml:space="preserve">is the </w:t>
      </w:r>
      <w:r w:rsidR="00222EF2">
        <w:t xml:space="preserve">head at </w:t>
      </w:r>
      <w:r w:rsidR="00F72EE8">
        <w:t>well radius</w:t>
      </w:r>
      <w:r w:rsidR="003C6B68">
        <w:t xml:space="preserve"> </w:t>
      </w:r>
      <w:r w:rsidR="00F769C3" w:rsidRPr="009806D6">
        <w:rPr>
          <w:i/>
        </w:rPr>
        <w:t>r</w:t>
      </w:r>
      <w:r w:rsidR="00F769C3" w:rsidRPr="00976756">
        <w:rPr>
          <w:vertAlign w:val="subscript"/>
        </w:rPr>
        <w:t>w</w:t>
      </w:r>
      <w:r w:rsidR="003C6B68">
        <w:t xml:space="preserve"> (</w:t>
      </w:r>
      <w:r>
        <w:t>m)</w:t>
      </w:r>
      <w:r w:rsidR="003C6B68">
        <w:t>.</w:t>
      </w:r>
      <w:r w:rsidR="00F769C3">
        <w:t xml:space="preserve"> </w:t>
      </w:r>
      <w:r w:rsidR="0096604A">
        <w:t>Similarly, flow in</w:t>
      </w:r>
      <w:r w:rsidR="00272259">
        <w:t>to</w:t>
      </w:r>
      <w:r w:rsidR="0096604A">
        <w:t xml:space="preserve"> aquifer 2 </w:t>
      </w:r>
      <w:r w:rsidR="00272259">
        <w:t>from the well</w:t>
      </w:r>
      <w:r w:rsidR="00794063">
        <w:t>,</w:t>
      </w:r>
      <w:r w:rsidR="00272259">
        <w:t xml:space="preserve"> </w:t>
      </w:r>
      <w:r w:rsidR="00794063" w:rsidRPr="00806F59">
        <w:rPr>
          <w:i/>
        </w:rPr>
        <w:t>Q</w:t>
      </w:r>
      <w:r w:rsidR="00794063">
        <w:rPr>
          <w:i/>
          <w:vertAlign w:val="subscript"/>
        </w:rPr>
        <w:t>2</w:t>
      </w:r>
      <w:r w:rsidR="00794063">
        <w:t xml:space="preserve">, </w:t>
      </w:r>
      <w:r w:rsidR="0096604A">
        <w:t>can be represented in the same way</w:t>
      </w:r>
      <w:r w:rsidR="004D22D5">
        <w:t>:</w:t>
      </w:r>
    </w:p>
    <w:p w14:paraId="29A2AA09" w14:textId="2B387A99" w:rsidR="008D7940" w:rsidRDefault="002D3BA2" w:rsidP="002D3BA2">
      <w:pPr>
        <w:pStyle w:val="CaptionNote"/>
        <w:jc w:val="right"/>
      </w:pPr>
      <w:r>
        <w:tab/>
      </w:r>
      <w:r>
        <w:tab/>
      </w:r>
      <m:oMath>
        <m:r>
          <m:rPr>
            <m:sty m:val="bi"/>
          </m:rPr>
          <w:rPr>
            <w:rFonts w:ascii="Cambria Math" w:hAnsi="Cambria Math"/>
            <w:color w:val="auto"/>
          </w:rPr>
          <m:t>-</m:t>
        </m:r>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Q</m:t>
            </m:r>
          </m:e>
          <m:sub>
            <m:r>
              <m:rPr>
                <m:sty m:val="bi"/>
              </m:rPr>
              <w:rPr>
                <w:rStyle w:val="BodyChar"/>
                <w:rFonts w:ascii="Cambria Math" w:hAnsi="Cambria Math"/>
                <w:color w:val="auto"/>
                <w:sz w:val="28"/>
                <w:szCs w:val="28"/>
              </w:rPr>
              <m:t>2</m:t>
            </m:r>
          </m:sub>
        </m:sSub>
        <m:r>
          <m:rPr>
            <m:sty m:val="bi"/>
          </m:rPr>
          <w:rPr>
            <w:rStyle w:val="BodyChar"/>
            <w:rFonts w:ascii="Cambria Math" w:hAnsi="Cambria Math"/>
            <w:color w:val="auto"/>
            <w:sz w:val="28"/>
            <w:szCs w:val="28"/>
          </w:rPr>
          <m:t>=</m:t>
        </m:r>
        <m:f>
          <m:fPr>
            <m:ctrlPr>
              <w:rPr>
                <w:rStyle w:val="BodyChar"/>
                <w:rFonts w:ascii="Cambria Math" w:hAnsi="Cambria Math"/>
                <w:b w:val="0"/>
                <w:color w:val="auto"/>
                <w:sz w:val="28"/>
                <w:szCs w:val="28"/>
                <w:lang w:val="en-AU" w:eastAsia="en-AU"/>
              </w:rPr>
            </m:ctrlPr>
          </m:fPr>
          <m:num>
            <m:r>
              <m:rPr>
                <m:sty m:val="bi"/>
              </m:rPr>
              <w:rPr>
                <w:rStyle w:val="BodyChar"/>
                <w:rFonts w:ascii="Cambria Math" w:hAnsi="Cambria Math"/>
                <w:color w:val="auto"/>
                <w:sz w:val="28"/>
                <w:szCs w:val="28"/>
              </w:rPr>
              <m:t>2</m:t>
            </m:r>
            <m:r>
              <m:rPr>
                <m:sty m:val="bi"/>
              </m:rPr>
              <w:rPr>
                <w:rStyle w:val="BodyChar"/>
                <w:rFonts w:ascii="Cambria Math" w:hAnsi="Cambria Math"/>
                <w:color w:val="auto"/>
                <w:sz w:val="28"/>
                <w:szCs w:val="28"/>
              </w:rPr>
              <m:t>π</m:t>
            </m:r>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T</m:t>
                </m:r>
              </m:e>
              <m:sub>
                <m:r>
                  <m:rPr>
                    <m:sty m:val="bi"/>
                  </m:rPr>
                  <w:rPr>
                    <w:rStyle w:val="BodyChar"/>
                    <w:rFonts w:ascii="Cambria Math" w:hAnsi="Cambria Math"/>
                    <w:color w:val="auto"/>
                    <w:sz w:val="28"/>
                    <w:szCs w:val="28"/>
                  </w:rPr>
                  <m:t>2</m:t>
                </m:r>
              </m:sub>
            </m:sSub>
            <m:d>
              <m:dPr>
                <m:ctrlPr>
                  <w:rPr>
                    <w:rStyle w:val="BodyChar"/>
                    <w:rFonts w:ascii="Cambria Math" w:hAnsi="Cambria Math"/>
                    <w:b w:val="0"/>
                    <w:i/>
                    <w:color w:val="auto"/>
                    <w:sz w:val="28"/>
                    <w:szCs w:val="28"/>
                  </w:rPr>
                </m:ctrlPr>
              </m:dPr>
              <m:e>
                <m:sSub>
                  <m:sSubPr>
                    <m:ctrlPr>
                      <w:rPr>
                        <w:rStyle w:val="BodyChar"/>
                        <w:rFonts w:ascii="Cambria Math" w:hAnsi="Cambria Math"/>
                        <w:b w:val="0"/>
                        <w:color w:val="auto"/>
                        <w:sz w:val="28"/>
                        <w:szCs w:val="28"/>
                        <w:lang w:val="en-AU" w:eastAsia="en-AU"/>
                      </w:rPr>
                    </m:ctrlPr>
                  </m:sSubPr>
                  <m:e>
                    <m:r>
                      <m:rPr>
                        <m:sty m:val="b"/>
                      </m:rPr>
                      <w:rPr>
                        <w:rStyle w:val="BodyChar"/>
                        <w:rFonts w:ascii="Cambria Math" w:hAnsi="Cambria Math"/>
                        <w:color w:val="auto"/>
                        <w:sz w:val="28"/>
                        <w:szCs w:val="28"/>
                        <w:lang w:val="en-AU" w:eastAsia="en-AU"/>
                      </w:rPr>
                      <m:t>H</m:t>
                    </m:r>
                  </m:e>
                  <m:sub>
                    <m:r>
                      <m:rPr>
                        <m:sty m:val="bi"/>
                      </m:rPr>
                      <w:rPr>
                        <w:rStyle w:val="BodyChar"/>
                        <w:rFonts w:ascii="Cambria Math" w:hAnsi="Cambria Math"/>
                        <w:color w:val="auto"/>
                        <w:sz w:val="28"/>
                        <w:szCs w:val="28"/>
                        <w:lang w:val="en-AU" w:eastAsia="en-AU"/>
                      </w:rPr>
                      <m:t>2</m:t>
                    </m:r>
                  </m:sub>
                </m:sSub>
                <m:sSub>
                  <m:sSubPr>
                    <m:ctrlPr>
                      <w:rPr>
                        <w:rStyle w:val="BodyChar"/>
                        <w:rFonts w:ascii="Cambria Math" w:hAnsi="Cambria Math"/>
                        <w:b w:val="0"/>
                        <w:color w:val="auto"/>
                        <w:sz w:val="28"/>
                        <w:szCs w:val="28"/>
                        <w:lang w:val="en-AU" w:eastAsia="en-AU"/>
                      </w:rPr>
                    </m:ctrlPr>
                  </m:sSubPr>
                  <m:e>
                    <m:r>
                      <m:rPr>
                        <m:sty m:val="bi"/>
                      </m:rPr>
                      <w:rPr>
                        <w:rStyle w:val="BodyChar"/>
                        <w:rFonts w:ascii="Cambria Math" w:hAnsi="Cambria Math"/>
                        <w:color w:val="auto"/>
                        <w:sz w:val="28"/>
                        <w:szCs w:val="28"/>
                      </w:rPr>
                      <m:t>-h</m:t>
                    </m:r>
                  </m:e>
                  <m:sub>
                    <m:r>
                      <m:rPr>
                        <m:sty m:val="bi"/>
                      </m:rPr>
                      <w:rPr>
                        <w:rStyle w:val="BodyChar"/>
                        <w:rFonts w:ascii="Cambria Math" w:hAnsi="Cambria Math"/>
                        <w:color w:val="auto"/>
                        <w:sz w:val="28"/>
                        <w:szCs w:val="28"/>
                      </w:rPr>
                      <m:t>2</m:t>
                    </m:r>
                  </m:sub>
                </m:sSub>
              </m:e>
            </m:d>
          </m:num>
          <m:den>
            <m:r>
              <m:rPr>
                <m:sty m:val="bi"/>
              </m:rPr>
              <w:rPr>
                <w:rStyle w:val="BodyChar"/>
                <w:rFonts w:ascii="Cambria Math" w:hAnsi="Cambria Math"/>
                <w:color w:val="auto"/>
                <w:sz w:val="28"/>
                <w:szCs w:val="28"/>
              </w:rPr>
              <m:t>log</m:t>
            </m:r>
            <m:d>
              <m:dPr>
                <m:ctrlPr>
                  <w:rPr>
                    <w:rStyle w:val="BodyChar"/>
                    <w:rFonts w:ascii="Cambria Math" w:hAnsi="Cambria Math"/>
                    <w:b w:val="0"/>
                    <w:i/>
                    <w:color w:val="auto"/>
                    <w:sz w:val="28"/>
                    <w:szCs w:val="28"/>
                  </w:rPr>
                </m:ctrlPr>
              </m:dPr>
              <m:e>
                <m:f>
                  <m:fPr>
                    <m:ctrlPr>
                      <w:rPr>
                        <w:rStyle w:val="BodyChar"/>
                        <w:rFonts w:ascii="Cambria Math" w:hAnsi="Cambria Math"/>
                        <w:b w:val="0"/>
                        <w:i/>
                        <w:color w:val="auto"/>
                        <w:sz w:val="28"/>
                        <w:szCs w:val="28"/>
                      </w:rPr>
                    </m:ctrlPr>
                  </m:fPr>
                  <m:num>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r</m:t>
                        </m:r>
                      </m:e>
                      <m:sub>
                        <m:r>
                          <m:rPr>
                            <m:sty m:val="bi"/>
                          </m:rPr>
                          <w:rPr>
                            <w:rStyle w:val="BodyChar"/>
                            <w:rFonts w:ascii="Cambria Math" w:hAnsi="Cambria Math"/>
                            <w:color w:val="auto"/>
                            <w:sz w:val="28"/>
                            <w:szCs w:val="28"/>
                          </w:rPr>
                          <m:t>2</m:t>
                        </m:r>
                      </m:sub>
                    </m:sSub>
                  </m:num>
                  <m:den>
                    <m:sSub>
                      <m:sSubPr>
                        <m:ctrlPr>
                          <w:rPr>
                            <w:rStyle w:val="BodyChar"/>
                            <w:rFonts w:ascii="Cambria Math" w:hAnsi="Cambria Math"/>
                            <w:b w:val="0"/>
                            <w:i/>
                            <w:color w:val="auto"/>
                            <w:sz w:val="28"/>
                            <w:szCs w:val="28"/>
                          </w:rPr>
                        </m:ctrlPr>
                      </m:sSubPr>
                      <m:e>
                        <m:r>
                          <m:rPr>
                            <m:sty m:val="bi"/>
                          </m:rPr>
                          <w:rPr>
                            <w:rStyle w:val="BodyChar"/>
                            <w:rFonts w:ascii="Cambria Math" w:hAnsi="Cambria Math"/>
                            <w:color w:val="auto"/>
                            <w:sz w:val="28"/>
                            <w:szCs w:val="28"/>
                          </w:rPr>
                          <m:t>r</m:t>
                        </m:r>
                      </m:e>
                      <m:sub>
                        <m:r>
                          <m:rPr>
                            <m:sty m:val="bi"/>
                          </m:rPr>
                          <w:rPr>
                            <w:rStyle w:val="BodyChar"/>
                            <w:rFonts w:ascii="Cambria Math" w:hAnsi="Cambria Math"/>
                            <w:color w:val="auto"/>
                            <w:sz w:val="28"/>
                            <w:szCs w:val="28"/>
                          </w:rPr>
                          <m:t>w</m:t>
                        </m:r>
                      </m:sub>
                    </m:sSub>
                  </m:den>
                </m:f>
              </m:e>
            </m:d>
          </m:den>
        </m:f>
        <m:r>
          <m:rPr>
            <m:sty m:val="bi"/>
          </m:rPr>
          <w:rPr>
            <w:rStyle w:val="BodyChar"/>
            <w:rFonts w:ascii="Cambria Math" w:hAnsi="Cambria Math"/>
            <w:color w:val="auto"/>
            <w:sz w:val="28"/>
            <w:szCs w:val="28"/>
            <w:lang w:val="en-AU" w:eastAsia="en-AU"/>
          </w:rPr>
          <m:t xml:space="preserve">                                  </m:t>
        </m:r>
      </m:oMath>
      <w:r>
        <w:tab/>
      </w:r>
      <w:r w:rsidR="008D7940">
        <w:t xml:space="preserve">Equation </w:t>
      </w:r>
      <w:r w:rsidR="00ED4C1C">
        <w:fldChar w:fldCharType="begin"/>
      </w:r>
      <w:r w:rsidR="00ED4C1C">
        <w:instrText xml:space="preserve"> SEQ Equation \* ARABIC </w:instrText>
      </w:r>
      <w:r w:rsidR="00ED4C1C">
        <w:fldChar w:fldCharType="separate"/>
      </w:r>
      <w:r w:rsidR="002E45AF">
        <w:rPr>
          <w:noProof/>
        </w:rPr>
        <w:t>10</w:t>
      </w:r>
      <w:r w:rsidR="00ED4C1C">
        <w:rPr>
          <w:noProof/>
        </w:rPr>
        <w:fldChar w:fldCharType="end"/>
      </w:r>
    </w:p>
    <w:p w14:paraId="6061E419" w14:textId="5680F03E" w:rsidR="00F03F22" w:rsidRPr="00154530" w:rsidRDefault="00F00E72">
      <w:r>
        <w:t xml:space="preserve">where </w:t>
      </w:r>
      <w:r w:rsidRPr="009806D6">
        <w:rPr>
          <w:i/>
        </w:rPr>
        <w:t>T</w:t>
      </w:r>
      <w:r>
        <w:rPr>
          <w:vertAlign w:val="subscript"/>
        </w:rPr>
        <w:t>2</w:t>
      </w:r>
      <w:r>
        <w:t xml:space="preserve"> is transmissivity (m</w:t>
      </w:r>
      <w:r w:rsidRPr="00ED6391">
        <w:rPr>
          <w:vertAlign w:val="superscript"/>
        </w:rPr>
        <w:t>2</w:t>
      </w:r>
      <w:r>
        <w:t xml:space="preserve">/d) for Aquifer-2, </w:t>
      </w:r>
      <w:r w:rsidRPr="009806D6">
        <w:rPr>
          <w:i/>
        </w:rPr>
        <w:t>H</w:t>
      </w:r>
      <w:r>
        <w:rPr>
          <w:vertAlign w:val="subscript"/>
        </w:rPr>
        <w:t>2</w:t>
      </w:r>
      <w:r>
        <w:t xml:space="preserve"> is hydraulic head (m) in aquifer-2 at radial distance </w:t>
      </w:r>
      <w:r w:rsidRPr="009806D6">
        <w:rPr>
          <w:i/>
        </w:rPr>
        <w:t>r</w:t>
      </w:r>
      <w:r>
        <w:rPr>
          <w:vertAlign w:val="subscript"/>
        </w:rPr>
        <w:t>2</w:t>
      </w:r>
      <w:r>
        <w:t xml:space="preserve"> (m), and </w:t>
      </w:r>
      <w:r w:rsidRPr="009806D6">
        <w:rPr>
          <w:i/>
        </w:rPr>
        <w:t>h</w:t>
      </w:r>
      <w:r>
        <w:rPr>
          <w:vertAlign w:val="subscript"/>
        </w:rPr>
        <w:t xml:space="preserve">2 </w:t>
      </w:r>
      <w:r>
        <w:t xml:space="preserve">(m) is the head at radial distance </w:t>
      </w:r>
      <w:r w:rsidRPr="009806D6">
        <w:rPr>
          <w:i/>
        </w:rPr>
        <w:t>r</w:t>
      </w:r>
      <w:r w:rsidRPr="00ED6391">
        <w:rPr>
          <w:vertAlign w:val="subscript"/>
        </w:rPr>
        <w:t>w</w:t>
      </w:r>
      <w:r>
        <w:t xml:space="preserve"> (m). </w:t>
      </w:r>
      <w:r w:rsidR="003A7498">
        <w:t>F</w:t>
      </w:r>
      <w:r w:rsidR="009B40D8">
        <w:t xml:space="preserve">inally, </w:t>
      </w:r>
      <w:r w:rsidR="00043FE8">
        <w:t xml:space="preserve">the potential </w:t>
      </w:r>
      <w:r w:rsidR="009B40D8">
        <w:t>f</w:t>
      </w:r>
      <w:r w:rsidR="004D22D5">
        <w:t xml:space="preserve">low </w:t>
      </w:r>
      <w:r w:rsidR="00043FE8">
        <w:t xml:space="preserve">through the leaky well </w:t>
      </w:r>
      <w:r w:rsidR="003A7498" w:rsidRPr="009806D6">
        <w:rPr>
          <w:i/>
        </w:rPr>
        <w:t>Q</w:t>
      </w:r>
      <w:r w:rsidR="00043FE8">
        <w:rPr>
          <w:i/>
          <w:vertAlign w:val="subscript"/>
        </w:rPr>
        <w:t>well</w:t>
      </w:r>
      <w:r w:rsidR="003A7498">
        <w:t xml:space="preserve"> (m</w:t>
      </w:r>
      <w:r w:rsidR="003A7498" w:rsidRPr="00976756">
        <w:rPr>
          <w:vertAlign w:val="superscript"/>
        </w:rPr>
        <w:t>3</w:t>
      </w:r>
      <w:r w:rsidR="003A7498">
        <w:t>/d) is</w:t>
      </w:r>
      <w:r w:rsidR="004D22D5">
        <w:t xml:space="preserve"> described as flow through a cylinder with radius</w:t>
      </w:r>
      <w:r w:rsidR="009A0B6E">
        <w:t xml:space="preserve"> </w:t>
      </w:r>
      <w:r w:rsidR="009A0B6E" w:rsidRPr="00E57CC6">
        <w:rPr>
          <w:i/>
        </w:rPr>
        <w:t>r</w:t>
      </w:r>
      <w:r w:rsidR="009A0B6E" w:rsidRPr="00976756">
        <w:rPr>
          <w:vertAlign w:val="subscript"/>
        </w:rPr>
        <w:t>w</w:t>
      </w:r>
      <w:r w:rsidR="009514A0">
        <w:t xml:space="preserve"> (m)</w:t>
      </w:r>
      <w:r w:rsidR="00E57CC6">
        <w:t>,</w:t>
      </w:r>
      <w:r w:rsidR="004D22D5">
        <w:t xml:space="preserve"> length</w:t>
      </w:r>
      <w:r w:rsidR="00A22C40">
        <w:t xml:space="preserve"> </w:t>
      </w:r>
      <w:r w:rsidR="00A22C40" w:rsidRPr="00976756">
        <w:rPr>
          <w:i/>
        </w:rPr>
        <w:t>d</w:t>
      </w:r>
      <w:r w:rsidR="004D22D5">
        <w:t xml:space="preserve"> </w:t>
      </w:r>
      <w:r w:rsidR="009514A0">
        <w:t xml:space="preserve">(m) </w:t>
      </w:r>
      <w:r w:rsidR="005F5731">
        <w:t>and effective</w:t>
      </w:r>
      <w:r w:rsidR="004D22D5">
        <w:t xml:space="preserve"> hydraulic </w:t>
      </w:r>
      <w:r w:rsidR="004D22D5" w:rsidRPr="00154530">
        <w:t>conductivity</w:t>
      </w:r>
      <w:r w:rsidR="00A22C40" w:rsidRPr="00154530">
        <w:t xml:space="preserve"> </w:t>
      </w:r>
      <w:r w:rsidR="00A22C40" w:rsidRPr="00154530">
        <w:rPr>
          <w:i/>
        </w:rPr>
        <w:t>K</w:t>
      </w:r>
      <w:r w:rsidR="001D3D09" w:rsidRPr="00154530">
        <w:rPr>
          <w:vertAlign w:val="subscript"/>
        </w:rPr>
        <w:t>well</w:t>
      </w:r>
      <w:r w:rsidR="004D22D5" w:rsidRPr="00154530">
        <w:t xml:space="preserve"> </w:t>
      </w:r>
      <w:r w:rsidR="009514A0" w:rsidRPr="00154530">
        <w:t xml:space="preserve">(m/d), </w:t>
      </w:r>
      <w:r w:rsidR="003A7498" w:rsidRPr="00154530">
        <w:t xml:space="preserve">and is </w:t>
      </w:r>
      <w:r w:rsidR="004D22D5" w:rsidRPr="00154530">
        <w:t>expressed as (from Darcy's Law):</w:t>
      </w:r>
    </w:p>
    <w:p w14:paraId="41B374E4" w14:textId="151458F2" w:rsidR="00154530" w:rsidRPr="00154530" w:rsidRDefault="00154530" w:rsidP="002D3BA2">
      <w:pPr>
        <w:pStyle w:val="CaptionNote"/>
        <w:jc w:val="right"/>
        <w:rPr>
          <w:noProof/>
        </w:rPr>
      </w:pPr>
    </w:p>
    <w:p w14:paraId="7827C6AD" w14:textId="60C78C9C" w:rsidR="008D7940" w:rsidRPr="003A0C90" w:rsidRDefault="00ED4C1C" w:rsidP="002D3BA2">
      <w:pPr>
        <w:pStyle w:val="CaptionNote"/>
        <w:jc w:val="right"/>
        <w:rPr>
          <w:b w:val="0"/>
        </w:rPr>
      </w:pPr>
      <m:oMath>
        <m:sSub>
          <m:sSubPr>
            <m:ctrlPr>
              <w:rPr>
                <w:rFonts w:ascii="Cambria Math" w:hAnsi="Cambria Math"/>
                <w:b w:val="0"/>
                <w:i/>
                <w:sz w:val="28"/>
                <w:szCs w:val="28"/>
              </w:rPr>
            </m:ctrlPr>
          </m:sSubPr>
          <m:e>
            <m:r>
              <m:rPr>
                <m:sty m:val="bi"/>
              </m:rPr>
              <w:rPr>
                <w:rFonts w:ascii="Cambria Math" w:hAnsi="Cambria Math"/>
                <w:sz w:val="28"/>
                <w:szCs w:val="28"/>
              </w:rPr>
              <m:t xml:space="preserve"> </m:t>
            </m:r>
            <m:r>
              <m:rPr>
                <m:sty m:val="bi"/>
              </m:rPr>
              <w:rPr>
                <w:rStyle w:val="BodyChar"/>
                <w:rFonts w:ascii="Cambria Math" w:hAnsi="Cambria Math"/>
                <w:color w:val="auto"/>
                <w:sz w:val="28"/>
                <w:szCs w:val="28"/>
              </w:rPr>
              <m:t>Q</m:t>
            </m:r>
          </m:e>
          <m:sub>
            <m:r>
              <m:rPr>
                <m:sty m:val="bi"/>
              </m:rPr>
              <w:rPr>
                <w:rFonts w:ascii="Cambria Math" w:hAnsi="Cambria Math"/>
                <w:color w:val="auto"/>
                <w:sz w:val="28"/>
                <w:szCs w:val="28"/>
              </w:rPr>
              <m:t>well</m:t>
            </m:r>
          </m:sub>
        </m:sSub>
        <m:r>
          <m:rPr>
            <m:sty m:val="bi"/>
          </m:rPr>
          <w:rPr>
            <w:rStyle w:val="BodyChar"/>
            <w:rFonts w:ascii="Cambria Math" w:hAnsi="Cambria Math"/>
            <w:color w:val="auto"/>
            <w:sz w:val="28"/>
            <w:szCs w:val="28"/>
          </w:rPr>
          <m:t>=</m:t>
        </m:r>
        <m:f>
          <m:fPr>
            <m:ctrlPr>
              <w:rPr>
                <w:rStyle w:val="BodyChar"/>
                <w:rFonts w:ascii="Cambria Math" w:hAnsi="Cambria Math"/>
                <w:b w:val="0"/>
                <w:color w:val="auto"/>
                <w:sz w:val="28"/>
                <w:szCs w:val="28"/>
                <w:lang w:val="en-AU" w:eastAsia="en-AU"/>
              </w:rPr>
            </m:ctrlPr>
          </m:fPr>
          <m:num>
            <m:r>
              <m:rPr>
                <m:sty m:val="bi"/>
              </m:rPr>
              <w:rPr>
                <w:rStyle w:val="BodyChar"/>
                <w:rFonts w:ascii="Cambria Math" w:hAnsi="Cambria Math"/>
                <w:color w:val="auto"/>
                <w:sz w:val="28"/>
                <w:szCs w:val="28"/>
              </w:rPr>
              <m:t>π</m:t>
            </m:r>
            <m:sSub>
              <m:sSubPr>
                <m:ctrlPr>
                  <w:rPr>
                    <w:rStyle w:val="BodyChar"/>
                    <w:rFonts w:ascii="Cambria Math" w:hAnsi="Cambria Math"/>
                    <w:b w:val="0"/>
                    <w:color w:val="auto"/>
                    <w:sz w:val="28"/>
                    <w:szCs w:val="28"/>
                    <w:lang w:val="en-AU" w:eastAsia="en-AU"/>
                  </w:rPr>
                </m:ctrlPr>
              </m:sSubPr>
              <m:e>
                <m:r>
                  <m:rPr>
                    <m:sty m:val="bi"/>
                  </m:rPr>
                  <w:rPr>
                    <w:rStyle w:val="BodyChar"/>
                    <w:rFonts w:ascii="Cambria Math" w:hAnsi="Cambria Math"/>
                    <w:color w:val="auto"/>
                    <w:sz w:val="28"/>
                    <w:szCs w:val="28"/>
                  </w:rPr>
                  <m:t>K</m:t>
                </m:r>
              </m:e>
              <m:sub>
                <m:r>
                  <m:rPr>
                    <m:sty m:val="bi"/>
                  </m:rPr>
                  <w:rPr>
                    <w:rStyle w:val="BodyChar"/>
                    <w:rFonts w:ascii="Cambria Math" w:hAnsi="Cambria Math"/>
                    <w:color w:val="auto"/>
                    <w:sz w:val="28"/>
                    <w:szCs w:val="28"/>
                  </w:rPr>
                  <m:t>well</m:t>
                </m:r>
              </m:sub>
            </m:sSub>
          </m:num>
          <m:den>
            <m:r>
              <m:rPr>
                <m:sty m:val="bi"/>
              </m:rPr>
              <w:rPr>
                <w:rStyle w:val="BodyChar"/>
                <w:rFonts w:ascii="Cambria Math" w:hAnsi="Cambria Math"/>
                <w:color w:val="auto"/>
                <w:sz w:val="28"/>
                <w:szCs w:val="28"/>
              </w:rPr>
              <m:t>d</m:t>
            </m:r>
          </m:den>
        </m:f>
        <m:sSubSup>
          <m:sSubSupPr>
            <m:ctrlPr>
              <w:rPr>
                <w:rStyle w:val="BodyChar"/>
                <w:rFonts w:ascii="Cambria Math" w:hAnsi="Cambria Math"/>
                <w:b w:val="0"/>
                <w:color w:val="auto"/>
                <w:sz w:val="28"/>
                <w:szCs w:val="28"/>
                <w:lang w:val="en-AU" w:eastAsia="en-AU"/>
              </w:rPr>
            </m:ctrlPr>
          </m:sSubSupPr>
          <m:e>
            <m:r>
              <m:rPr>
                <m:sty m:val="bi"/>
              </m:rPr>
              <w:rPr>
                <w:rStyle w:val="BodyChar"/>
                <w:rFonts w:ascii="Cambria Math" w:hAnsi="Cambria Math"/>
                <w:color w:val="auto"/>
                <w:sz w:val="28"/>
                <w:szCs w:val="28"/>
              </w:rPr>
              <m:t>r</m:t>
            </m:r>
          </m:e>
          <m:sub>
            <m:r>
              <m:rPr>
                <m:sty m:val="bi"/>
              </m:rPr>
              <w:rPr>
                <w:rStyle w:val="BodyChar"/>
                <w:rFonts w:ascii="Cambria Math" w:hAnsi="Cambria Math"/>
                <w:color w:val="auto"/>
                <w:sz w:val="28"/>
                <w:szCs w:val="28"/>
              </w:rPr>
              <m:t>w</m:t>
            </m:r>
          </m:sub>
          <m:sup>
            <m:r>
              <m:rPr>
                <m:sty m:val="bi"/>
              </m:rPr>
              <w:rPr>
                <w:rStyle w:val="BodyChar"/>
                <w:rFonts w:ascii="Cambria Math" w:hAnsi="Cambria Math"/>
                <w:color w:val="auto"/>
                <w:sz w:val="28"/>
                <w:szCs w:val="28"/>
              </w:rPr>
              <m:t>2</m:t>
            </m:r>
          </m:sup>
        </m:sSubSup>
        <m:d>
          <m:dPr>
            <m:ctrlPr>
              <w:rPr>
                <w:rStyle w:val="BodyChar"/>
                <w:rFonts w:ascii="Cambria Math" w:hAnsi="Cambria Math"/>
                <w:b w:val="0"/>
                <w:color w:val="auto"/>
                <w:sz w:val="28"/>
                <w:szCs w:val="28"/>
                <w:lang w:val="en-AU" w:eastAsia="en-AU"/>
              </w:rPr>
            </m:ctrlPr>
          </m:dPr>
          <m:e>
            <m:sSub>
              <m:sSubPr>
                <m:ctrlPr>
                  <w:rPr>
                    <w:rStyle w:val="BodyChar"/>
                    <w:rFonts w:ascii="Cambria Math" w:hAnsi="Cambria Math"/>
                    <w:b w:val="0"/>
                    <w:color w:val="auto"/>
                    <w:sz w:val="28"/>
                    <w:szCs w:val="28"/>
                    <w:lang w:val="en-AU" w:eastAsia="en-AU"/>
                  </w:rPr>
                </m:ctrlPr>
              </m:sSubPr>
              <m:e>
                <m:r>
                  <m:rPr>
                    <m:sty m:val="bi"/>
                  </m:rPr>
                  <w:rPr>
                    <w:rStyle w:val="BodyChar"/>
                    <w:rFonts w:ascii="Cambria Math" w:hAnsi="Cambria Math"/>
                    <w:color w:val="auto"/>
                    <w:sz w:val="28"/>
                    <w:szCs w:val="28"/>
                  </w:rPr>
                  <m:t>h</m:t>
                </m:r>
              </m:e>
              <m:sub>
                <m:r>
                  <m:rPr>
                    <m:sty m:val="bi"/>
                  </m:rPr>
                  <w:rPr>
                    <w:rStyle w:val="BodyChar"/>
                    <w:rFonts w:ascii="Cambria Math" w:hAnsi="Cambria Math"/>
                    <w:color w:val="auto"/>
                    <w:sz w:val="28"/>
                    <w:szCs w:val="28"/>
                  </w:rPr>
                  <m:t>1</m:t>
                </m:r>
              </m:sub>
            </m:sSub>
            <m:sSub>
              <m:sSubPr>
                <m:ctrlPr>
                  <w:rPr>
                    <w:rStyle w:val="BodyChar"/>
                    <w:rFonts w:ascii="Cambria Math" w:hAnsi="Cambria Math"/>
                    <w:b w:val="0"/>
                    <w:color w:val="auto"/>
                    <w:sz w:val="28"/>
                    <w:szCs w:val="28"/>
                    <w:lang w:val="en-AU" w:eastAsia="en-AU"/>
                  </w:rPr>
                </m:ctrlPr>
              </m:sSubPr>
              <m:e>
                <m:r>
                  <m:rPr>
                    <m:sty m:val="bi"/>
                  </m:rPr>
                  <w:rPr>
                    <w:rStyle w:val="BodyChar"/>
                    <w:rFonts w:ascii="Cambria Math" w:hAnsi="Cambria Math"/>
                    <w:color w:val="auto"/>
                    <w:sz w:val="28"/>
                    <w:szCs w:val="28"/>
                  </w:rPr>
                  <m:t>-h</m:t>
                </m:r>
              </m:e>
              <m:sub>
                <m:r>
                  <m:rPr>
                    <m:sty m:val="bi"/>
                  </m:rPr>
                  <w:rPr>
                    <w:rStyle w:val="BodyChar"/>
                    <w:rFonts w:ascii="Cambria Math" w:hAnsi="Cambria Math"/>
                    <w:color w:val="auto"/>
                    <w:sz w:val="28"/>
                    <w:szCs w:val="28"/>
                  </w:rPr>
                  <m:t>2</m:t>
                </m:r>
              </m:sub>
            </m:sSub>
          </m:e>
        </m:d>
      </m:oMath>
      <w:r w:rsidR="002D3BA2" w:rsidRPr="003A0C90">
        <w:rPr>
          <w:b w:val="0"/>
        </w:rPr>
        <w:tab/>
      </w:r>
      <w:r w:rsidR="002D3BA2" w:rsidRPr="003A0C90">
        <w:rPr>
          <w:b w:val="0"/>
        </w:rPr>
        <w:tab/>
      </w:r>
      <w:r w:rsidR="00154530" w:rsidRPr="003A0C90">
        <w:rPr>
          <w:b w:val="0"/>
        </w:rPr>
        <w:t xml:space="preserve">                         </w:t>
      </w:r>
      <w:r w:rsidR="002D3BA2" w:rsidRPr="003A0C90">
        <w:rPr>
          <w:b w:val="0"/>
        </w:rPr>
        <w:tab/>
      </w:r>
      <w:r w:rsidR="008D7940" w:rsidRPr="00FF2C3D">
        <w:t xml:space="preserve">Equation </w:t>
      </w:r>
      <w:r>
        <w:fldChar w:fldCharType="begin"/>
      </w:r>
      <w:r>
        <w:instrText xml:space="preserve"> SEQ Equation \* ARABIC </w:instrText>
      </w:r>
      <w:r>
        <w:fldChar w:fldCharType="separate"/>
      </w:r>
      <w:r w:rsidR="002E45AF">
        <w:rPr>
          <w:noProof/>
        </w:rPr>
        <w:t>11</w:t>
      </w:r>
      <w:r>
        <w:rPr>
          <w:noProof/>
        </w:rPr>
        <w:fldChar w:fldCharType="end"/>
      </w:r>
    </w:p>
    <w:p w14:paraId="1CDD3D17" w14:textId="77777777" w:rsidR="00794063" w:rsidRDefault="009514A0">
      <w:r>
        <w:t xml:space="preserve">where </w:t>
      </w:r>
      <w:r w:rsidRPr="009806D6">
        <w:rPr>
          <w:i/>
        </w:rPr>
        <w:t>h</w:t>
      </w:r>
      <w:r w:rsidRPr="00976756">
        <w:rPr>
          <w:vertAlign w:val="subscript"/>
        </w:rPr>
        <w:t>1</w:t>
      </w:r>
      <w:r>
        <w:t xml:space="preserve"> and </w:t>
      </w:r>
      <w:r w:rsidRPr="009806D6">
        <w:rPr>
          <w:i/>
        </w:rPr>
        <w:t>h</w:t>
      </w:r>
      <w:r w:rsidRPr="00976756">
        <w:rPr>
          <w:vertAlign w:val="subscript"/>
        </w:rPr>
        <w:t>2</w:t>
      </w:r>
      <w:r>
        <w:t xml:space="preserve"> are the hydraulic head (m) at the entry </w:t>
      </w:r>
      <w:r w:rsidR="009B40D8">
        <w:t xml:space="preserve">(top aquifer) </w:t>
      </w:r>
      <w:r>
        <w:t xml:space="preserve">and exit </w:t>
      </w:r>
      <w:r w:rsidR="009B40D8">
        <w:t xml:space="preserve">(bottom aquifer) </w:t>
      </w:r>
      <w:r>
        <w:t xml:space="preserve">point of the leakage pathway. </w:t>
      </w:r>
      <w:r w:rsidR="00794063">
        <w:t>When the system is in equilibrium, the flow rates into the well, through the well and out of the well are equal.</w:t>
      </w:r>
    </w:p>
    <w:p w14:paraId="2376D1F8" w14:textId="3D9E0875" w:rsidR="00794063" w:rsidRPr="003A0C90" w:rsidRDefault="00ED4C1C" w:rsidP="00794063">
      <w:pPr>
        <w:pStyle w:val="CaptionNote"/>
        <w:jc w:val="right"/>
        <w:rPr>
          <w:b w:val="0"/>
        </w:rPr>
      </w:pPr>
      <m:oMath>
        <m:sSub>
          <m:sSubPr>
            <m:ctrlPr>
              <w:rPr>
                <w:rFonts w:ascii="Cambria Math" w:hAnsi="Cambria Math"/>
                <w:b w:val="0"/>
                <w:i/>
                <w:sz w:val="28"/>
                <w:szCs w:val="28"/>
              </w:rPr>
            </m:ctrlPr>
          </m:sSubPr>
          <m:e>
            <m:r>
              <m:rPr>
                <m:sty m:val="bi"/>
              </m:rPr>
              <w:rPr>
                <w:rFonts w:ascii="Cambria Math" w:hAnsi="Cambria Math"/>
                <w:sz w:val="28"/>
                <w:szCs w:val="28"/>
              </w:rPr>
              <m:t xml:space="preserve"> </m:t>
            </m:r>
            <m:r>
              <m:rPr>
                <m:sty m:val="bi"/>
              </m:rPr>
              <w:rPr>
                <w:rStyle w:val="BodyChar"/>
                <w:rFonts w:ascii="Cambria Math" w:hAnsi="Cambria Math"/>
                <w:color w:val="auto"/>
                <w:sz w:val="28"/>
                <w:szCs w:val="28"/>
              </w:rPr>
              <m:t>Q</m:t>
            </m:r>
          </m:e>
          <m:sub>
            <m:r>
              <m:rPr>
                <m:sty m:val="bi"/>
              </m:rPr>
              <w:rPr>
                <w:rFonts w:ascii="Cambria Math" w:hAnsi="Cambria Math"/>
                <w:color w:val="auto"/>
                <w:sz w:val="28"/>
                <w:szCs w:val="28"/>
              </w:rPr>
              <m:t>well</m:t>
            </m:r>
          </m:sub>
        </m:sSub>
        <m:r>
          <m:rPr>
            <m:sty m:val="bi"/>
          </m:rPr>
          <w:rPr>
            <w:rStyle w:val="BodyChar"/>
            <w:rFonts w:ascii="Cambria Math" w:hAnsi="Cambria Math"/>
            <w:color w:val="auto"/>
            <w:sz w:val="28"/>
            <w:szCs w:val="28"/>
          </w:rPr>
          <m:t>=</m:t>
        </m:r>
        <m:sSub>
          <m:sSubPr>
            <m:ctrlPr>
              <w:rPr>
                <w:rStyle w:val="BodyChar"/>
                <w:rFonts w:ascii="Cambria Math" w:hAnsi="Cambria Math"/>
                <w:b w:val="0"/>
                <w:i/>
                <w:color w:val="auto"/>
                <w:sz w:val="28"/>
                <w:szCs w:val="28"/>
                <w:lang w:val="en-AU" w:eastAsia="en-AU"/>
              </w:rPr>
            </m:ctrlPr>
          </m:sSubPr>
          <m:e>
            <m:r>
              <m:rPr>
                <m:sty m:val="bi"/>
              </m:rPr>
              <w:rPr>
                <w:rStyle w:val="BodyChar"/>
                <w:rFonts w:ascii="Cambria Math" w:hAnsi="Cambria Math"/>
                <w:color w:val="auto"/>
                <w:sz w:val="28"/>
                <w:szCs w:val="28"/>
                <w:lang w:val="en-AU" w:eastAsia="en-AU"/>
              </w:rPr>
              <m:t>Q</m:t>
            </m:r>
          </m:e>
          <m:sub>
            <m:r>
              <m:rPr>
                <m:sty m:val="bi"/>
              </m:rPr>
              <w:rPr>
                <w:rStyle w:val="BodyChar"/>
                <w:rFonts w:ascii="Cambria Math" w:hAnsi="Cambria Math"/>
                <w:color w:val="auto"/>
                <w:sz w:val="28"/>
                <w:szCs w:val="28"/>
                <w:lang w:val="en-AU" w:eastAsia="en-AU"/>
              </w:rPr>
              <m:t>1</m:t>
            </m:r>
          </m:sub>
        </m:sSub>
        <m:r>
          <m:rPr>
            <m:sty m:val="bi"/>
          </m:rPr>
          <w:rPr>
            <w:rStyle w:val="BodyChar"/>
            <w:rFonts w:ascii="Cambria Math" w:hAnsi="Cambria Math"/>
            <w:color w:val="auto"/>
            <w:sz w:val="28"/>
            <w:szCs w:val="28"/>
            <w:lang w:val="en-AU" w:eastAsia="en-AU"/>
          </w:rPr>
          <m:t>=</m:t>
        </m:r>
        <m:sSub>
          <m:sSubPr>
            <m:ctrlPr>
              <w:rPr>
                <w:rStyle w:val="BodyChar"/>
                <w:rFonts w:ascii="Cambria Math" w:hAnsi="Cambria Math"/>
                <w:b w:val="0"/>
                <w:i/>
                <w:color w:val="auto"/>
                <w:sz w:val="28"/>
                <w:szCs w:val="28"/>
                <w:lang w:val="en-AU" w:eastAsia="en-AU"/>
              </w:rPr>
            </m:ctrlPr>
          </m:sSubPr>
          <m:e>
            <m:r>
              <m:rPr>
                <m:sty m:val="bi"/>
              </m:rPr>
              <w:rPr>
                <w:rStyle w:val="BodyChar"/>
                <w:rFonts w:ascii="Cambria Math" w:hAnsi="Cambria Math"/>
                <w:color w:val="auto"/>
                <w:sz w:val="28"/>
                <w:szCs w:val="28"/>
                <w:lang w:val="en-AU" w:eastAsia="en-AU"/>
              </w:rPr>
              <m:t xml:space="preserve"> Q</m:t>
            </m:r>
          </m:e>
          <m:sub>
            <m:r>
              <m:rPr>
                <m:sty m:val="bi"/>
              </m:rPr>
              <w:rPr>
                <w:rStyle w:val="BodyChar"/>
                <w:rFonts w:ascii="Cambria Math" w:hAnsi="Cambria Math"/>
                <w:color w:val="auto"/>
                <w:sz w:val="28"/>
                <w:szCs w:val="28"/>
                <w:lang w:val="en-AU" w:eastAsia="en-AU"/>
              </w:rPr>
              <m:t>2</m:t>
            </m:r>
          </m:sub>
        </m:sSub>
        <m:r>
          <m:rPr>
            <m:sty m:val="bi"/>
          </m:rPr>
          <w:rPr>
            <w:rStyle w:val="BodyChar"/>
            <w:rFonts w:ascii="Cambria Math" w:hAnsi="Cambria Math"/>
            <w:color w:val="auto"/>
            <w:sz w:val="28"/>
            <w:szCs w:val="28"/>
            <w:lang w:val="en-AU" w:eastAsia="en-AU"/>
          </w:rPr>
          <m:t>=Q</m:t>
        </m:r>
      </m:oMath>
      <w:r w:rsidR="00794063" w:rsidRPr="003A0C90">
        <w:rPr>
          <w:b w:val="0"/>
        </w:rPr>
        <w:tab/>
      </w:r>
      <w:r w:rsidR="00794063" w:rsidRPr="003A0C90">
        <w:rPr>
          <w:b w:val="0"/>
        </w:rPr>
        <w:tab/>
        <w:t xml:space="preserve">                         </w:t>
      </w:r>
      <w:r w:rsidR="00794063" w:rsidRPr="003A0C90">
        <w:rPr>
          <w:b w:val="0"/>
        </w:rPr>
        <w:tab/>
      </w:r>
      <w:r w:rsidR="00794063" w:rsidRPr="00FF2C3D">
        <w:t xml:space="preserve">Equation </w:t>
      </w:r>
      <w:r>
        <w:fldChar w:fldCharType="begin"/>
      </w:r>
      <w:r>
        <w:instrText xml:space="preserve"> SEQ Equation \* ARABIC </w:instrText>
      </w:r>
      <w:r>
        <w:fldChar w:fldCharType="separate"/>
      </w:r>
      <w:r w:rsidR="002E45AF">
        <w:rPr>
          <w:noProof/>
        </w:rPr>
        <w:t>12</w:t>
      </w:r>
      <w:r>
        <w:rPr>
          <w:noProof/>
        </w:rPr>
        <w:fldChar w:fldCharType="end"/>
      </w:r>
    </w:p>
    <w:p w14:paraId="28FDC71F" w14:textId="0F2A93BE" w:rsidR="00B70A33" w:rsidRDefault="004D22D5">
      <w:r>
        <w:t xml:space="preserve">This </w:t>
      </w:r>
      <w:r w:rsidR="009B40D8">
        <w:t xml:space="preserve">system of </w:t>
      </w:r>
      <w:r>
        <w:t xml:space="preserve">three equations with three unknowns, </w:t>
      </w:r>
      <w:r w:rsidRPr="00976756">
        <w:rPr>
          <w:i/>
        </w:rPr>
        <w:t>h</w:t>
      </w:r>
      <w:r w:rsidRPr="00976756">
        <w:rPr>
          <w:vertAlign w:val="subscript"/>
        </w:rPr>
        <w:t>1</w:t>
      </w:r>
      <w:r>
        <w:t xml:space="preserve">, </w:t>
      </w:r>
      <w:r w:rsidRPr="00976756">
        <w:rPr>
          <w:i/>
        </w:rPr>
        <w:t>h</w:t>
      </w:r>
      <w:r w:rsidRPr="00976756">
        <w:rPr>
          <w:vertAlign w:val="subscript"/>
        </w:rPr>
        <w:t>2</w:t>
      </w:r>
      <w:r>
        <w:t xml:space="preserve"> and </w:t>
      </w:r>
      <w:r w:rsidRPr="00976756">
        <w:rPr>
          <w:i/>
        </w:rPr>
        <w:t>Q</w:t>
      </w:r>
      <w:r w:rsidR="009B40D8">
        <w:t xml:space="preserve"> is s</w:t>
      </w:r>
      <w:r>
        <w:t>olv</w:t>
      </w:r>
      <w:r w:rsidR="009B40D8">
        <w:t xml:space="preserve">ed </w:t>
      </w:r>
      <w:r>
        <w:t xml:space="preserve">for flow through the borehole </w:t>
      </w:r>
      <w:r w:rsidR="009B40D8">
        <w:t>as follows</w:t>
      </w:r>
      <w:r>
        <w:t>:</w:t>
      </w:r>
    </w:p>
    <w:p w14:paraId="0A69FC0A" w14:textId="5FFAE674" w:rsidR="008D7940" w:rsidRDefault="009F7699" w:rsidP="009F7699">
      <w:pPr>
        <w:tabs>
          <w:tab w:val="center" w:pos="3969"/>
          <w:tab w:val="right" w:pos="9026"/>
        </w:tabs>
      </w:pPr>
      <w:bookmarkStart w:id="492" w:name="_Ref448923932"/>
      <w:bookmarkStart w:id="493" w:name="_Ref448923678"/>
      <w:r>
        <w:tab/>
      </w:r>
      <m:oMath>
        <m:r>
          <m:rPr>
            <m:sty m:val="bi"/>
          </m:rPr>
          <w:rPr>
            <w:rFonts w:ascii="Cambria Math" w:hAnsi="Cambria Math"/>
            <w:sz w:val="28"/>
            <w:szCs w:val="28"/>
          </w:rPr>
          <m:t>Q=</m:t>
        </m:r>
        <m:f>
          <m:fPr>
            <m:ctrlPr>
              <w:rPr>
                <w:rFonts w:ascii="Cambria Math" w:hAnsi="Cambria Math"/>
                <w:b/>
                <w:i/>
                <w:sz w:val="28"/>
                <w:szCs w:val="28"/>
              </w:rPr>
            </m:ctrlPr>
          </m:fPr>
          <m:num>
            <m:r>
              <m:rPr>
                <m:sty m:val="bi"/>
              </m:rPr>
              <w:rPr>
                <w:rFonts w:ascii="Cambria Math" w:hAnsi="Cambria Math"/>
                <w:sz w:val="28"/>
                <w:szCs w:val="28"/>
              </w:rPr>
              <m:t>2</m:t>
            </m:r>
            <m:sSup>
              <m:sSupPr>
                <m:ctrlPr>
                  <w:rPr>
                    <w:rFonts w:ascii="Cambria Math" w:hAnsi="Cambria Math"/>
                    <w:b/>
                    <w:i/>
                    <w:sz w:val="28"/>
                    <w:szCs w:val="28"/>
                  </w:rPr>
                </m:ctrlPr>
              </m:sSupPr>
              <m:e>
                <m:r>
                  <m:rPr>
                    <m:sty m:val="bi"/>
                  </m:rPr>
                  <w:rPr>
                    <w:rFonts w:ascii="Cambria Math" w:hAnsi="Cambria Math"/>
                    <w:sz w:val="28"/>
                    <w:szCs w:val="28"/>
                  </w:rPr>
                  <m:t>π</m:t>
                </m:r>
              </m:e>
              <m:sup>
                <m:r>
                  <m:rPr>
                    <m:sty m:val="bi"/>
                  </m:rPr>
                  <w:rPr>
                    <w:rFonts w:ascii="Cambria Math" w:hAnsi="Cambria Math"/>
                    <w:sz w:val="28"/>
                    <w:szCs w:val="28"/>
                  </w:rPr>
                  <m:t>2</m:t>
                </m:r>
              </m:sup>
            </m:sSup>
            <m:sSub>
              <m:sSubPr>
                <m:ctrlPr>
                  <w:rPr>
                    <w:rFonts w:ascii="Cambria Math" w:hAnsi="Cambria Math"/>
                    <w:b/>
                    <w:i/>
                    <w:sz w:val="28"/>
                    <w:szCs w:val="28"/>
                  </w:rPr>
                </m:ctrlPr>
              </m:sSubPr>
              <m:e>
                <m:r>
                  <m:rPr>
                    <m:sty m:val="bi"/>
                  </m:rPr>
                  <w:rPr>
                    <w:rFonts w:ascii="Cambria Math" w:hAnsi="Cambria Math"/>
                    <w:sz w:val="28"/>
                    <w:szCs w:val="28"/>
                  </w:rPr>
                  <m:t>K</m:t>
                </m:r>
              </m:e>
              <m:sub>
                <m:r>
                  <m:rPr>
                    <m:sty m:val="bi"/>
                  </m:rPr>
                  <w:rPr>
                    <w:rFonts w:ascii="Cambria Math" w:hAnsi="Cambria Math"/>
                    <w:sz w:val="28"/>
                    <w:szCs w:val="28"/>
                  </w:rPr>
                  <m:t>well</m:t>
                </m:r>
              </m:sub>
            </m:sSub>
            <m:sSub>
              <m:sSubPr>
                <m:ctrlPr>
                  <w:rPr>
                    <w:rFonts w:ascii="Cambria Math" w:hAnsi="Cambria Math"/>
                    <w:b/>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1</m:t>
                </m:r>
              </m:sub>
            </m:sSub>
            <m:sSub>
              <m:sSubPr>
                <m:ctrlPr>
                  <w:rPr>
                    <w:rFonts w:ascii="Cambria Math" w:hAnsi="Cambria Math"/>
                    <w:b/>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2</m:t>
                </m:r>
              </m:sub>
            </m:sSub>
            <m:sSubSup>
              <m:sSubSupPr>
                <m:ctrlPr>
                  <w:rPr>
                    <w:rFonts w:ascii="Cambria Math" w:hAnsi="Cambria Math"/>
                    <w:b/>
                    <w:i/>
                    <w:sz w:val="28"/>
                    <w:szCs w:val="28"/>
                  </w:rPr>
                </m:ctrlPr>
              </m:sSubSupPr>
              <m:e>
                <m:r>
                  <m:rPr>
                    <m:sty m:val="bi"/>
                  </m:rPr>
                  <w:rPr>
                    <w:rFonts w:ascii="Cambria Math" w:hAnsi="Cambria Math"/>
                    <w:sz w:val="28"/>
                    <w:szCs w:val="28"/>
                  </w:rPr>
                  <m:t>r</m:t>
                </m:r>
              </m:e>
              <m:sub>
                <m:r>
                  <m:rPr>
                    <m:sty m:val="bi"/>
                  </m:rPr>
                  <w:rPr>
                    <w:rFonts w:ascii="Cambria Math" w:hAnsi="Cambria Math"/>
                    <w:sz w:val="28"/>
                    <w:szCs w:val="28"/>
                  </w:rPr>
                  <m:t>w</m:t>
                </m:r>
              </m:sub>
              <m:sup>
                <m:r>
                  <m:rPr>
                    <m:sty m:val="bi"/>
                  </m:rPr>
                  <w:rPr>
                    <w:rFonts w:ascii="Cambria Math" w:hAnsi="Cambria Math"/>
                    <w:sz w:val="28"/>
                    <w:szCs w:val="28"/>
                  </w:rPr>
                  <m:t>2</m:t>
                </m:r>
              </m:sup>
            </m:sSubSup>
            <m:d>
              <m:dPr>
                <m:ctrlPr>
                  <w:rPr>
                    <w:rFonts w:ascii="Cambria Math" w:hAnsi="Cambria Math"/>
                    <w:b/>
                    <w:i/>
                    <w:sz w:val="28"/>
                    <w:szCs w:val="28"/>
                  </w:rPr>
                </m:ctrlPr>
              </m:dPr>
              <m:e>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1</m:t>
                    </m:r>
                  </m:sub>
                </m:sSub>
                <m:r>
                  <m:rPr>
                    <m:sty m:val="bi"/>
                  </m:rPr>
                  <w:rPr>
                    <w:rFonts w:ascii="Cambria Math" w:hAnsi="Cambria Math"/>
                    <w:sz w:val="28"/>
                    <w:szCs w:val="28"/>
                  </w:rPr>
                  <m:t>-</m:t>
                </m:r>
                <m:sSub>
                  <m:sSubPr>
                    <m:ctrlPr>
                      <w:rPr>
                        <w:rFonts w:ascii="Cambria Math" w:hAnsi="Cambria Math"/>
                        <w:b/>
                        <w:i/>
                        <w:sz w:val="28"/>
                        <w:szCs w:val="28"/>
                      </w:rPr>
                    </m:ctrlPr>
                  </m:sSubPr>
                  <m:e>
                    <m:r>
                      <m:rPr>
                        <m:sty m:val="bi"/>
                      </m:rPr>
                      <w:rPr>
                        <w:rFonts w:ascii="Cambria Math" w:hAnsi="Cambria Math"/>
                        <w:sz w:val="28"/>
                        <w:szCs w:val="28"/>
                      </w:rPr>
                      <m:t>H</m:t>
                    </m:r>
                  </m:e>
                  <m:sub>
                    <m:r>
                      <m:rPr>
                        <m:sty m:val="bi"/>
                      </m:rPr>
                      <w:rPr>
                        <w:rFonts w:ascii="Cambria Math" w:hAnsi="Cambria Math"/>
                        <w:sz w:val="28"/>
                        <w:szCs w:val="28"/>
                      </w:rPr>
                      <m:t>2</m:t>
                    </m:r>
                  </m:sub>
                </m:sSub>
              </m:e>
            </m:d>
          </m:num>
          <m:den>
            <m:r>
              <m:rPr>
                <m:sty m:val="bi"/>
              </m:rPr>
              <w:rPr>
                <w:rFonts w:ascii="Cambria Math" w:hAnsi="Cambria Math"/>
                <w:sz w:val="28"/>
                <w:szCs w:val="28"/>
              </w:rPr>
              <m:t>π</m:t>
            </m:r>
            <m:sSub>
              <m:sSubPr>
                <m:ctrlPr>
                  <w:rPr>
                    <w:rFonts w:ascii="Cambria Math" w:hAnsi="Cambria Math"/>
                    <w:b/>
                    <w:i/>
                    <w:sz w:val="28"/>
                    <w:szCs w:val="28"/>
                  </w:rPr>
                </m:ctrlPr>
              </m:sSubPr>
              <m:e>
                <m:r>
                  <m:rPr>
                    <m:sty m:val="bi"/>
                  </m:rPr>
                  <w:rPr>
                    <w:rFonts w:ascii="Cambria Math" w:hAnsi="Cambria Math"/>
                    <w:sz w:val="28"/>
                    <w:szCs w:val="28"/>
                  </w:rPr>
                  <m:t>K</m:t>
                </m:r>
              </m:e>
              <m:sub>
                <m:r>
                  <m:rPr>
                    <m:sty m:val="bi"/>
                  </m:rPr>
                  <w:rPr>
                    <w:rFonts w:ascii="Cambria Math" w:hAnsi="Cambria Math"/>
                    <w:sz w:val="28"/>
                    <w:szCs w:val="28"/>
                  </w:rPr>
                  <m:t>well</m:t>
                </m:r>
              </m:sub>
            </m:sSub>
            <m:sSub>
              <m:sSubPr>
                <m:ctrlPr>
                  <w:rPr>
                    <w:rFonts w:ascii="Cambria Math" w:hAnsi="Cambria Math"/>
                    <w:b/>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1</m:t>
                </m:r>
              </m:sub>
            </m:sSub>
            <m:sSubSup>
              <m:sSubSupPr>
                <m:ctrlPr>
                  <w:rPr>
                    <w:rFonts w:ascii="Cambria Math" w:hAnsi="Cambria Math"/>
                    <w:b/>
                    <w:i/>
                    <w:sz w:val="28"/>
                    <w:szCs w:val="28"/>
                  </w:rPr>
                </m:ctrlPr>
              </m:sSubSupPr>
              <m:e>
                <m:r>
                  <m:rPr>
                    <m:sty m:val="bi"/>
                  </m:rPr>
                  <w:rPr>
                    <w:rFonts w:ascii="Cambria Math" w:hAnsi="Cambria Math"/>
                    <w:sz w:val="28"/>
                    <w:szCs w:val="28"/>
                  </w:rPr>
                  <m:t>r</m:t>
                </m:r>
              </m:e>
              <m:sub>
                <m:r>
                  <m:rPr>
                    <m:sty m:val="bi"/>
                  </m:rPr>
                  <w:rPr>
                    <w:rFonts w:ascii="Cambria Math" w:hAnsi="Cambria Math"/>
                    <w:sz w:val="28"/>
                    <w:szCs w:val="28"/>
                  </w:rPr>
                  <m:t>w</m:t>
                </m:r>
              </m:sub>
              <m:sup>
                <m:r>
                  <m:rPr>
                    <m:sty m:val="bi"/>
                  </m:rPr>
                  <w:rPr>
                    <w:rFonts w:ascii="Cambria Math" w:hAnsi="Cambria Math"/>
                    <w:sz w:val="28"/>
                    <w:szCs w:val="28"/>
                  </w:rPr>
                  <m:t>2</m:t>
                </m:r>
              </m:sup>
            </m:sSubSup>
            <m:r>
              <m:rPr>
                <m:sty m:val="bi"/>
              </m:rPr>
              <w:rPr>
                <w:rFonts w:ascii="Cambria Math" w:hAnsi="Cambria Math"/>
                <w:sz w:val="28"/>
                <w:szCs w:val="28"/>
              </w:rPr>
              <m:t>log</m:t>
            </m:r>
            <m:d>
              <m:dPr>
                <m:ctrlPr>
                  <w:rPr>
                    <w:rFonts w:ascii="Cambria Math" w:hAnsi="Cambria Math"/>
                    <w:b/>
                    <w:i/>
                    <w:sz w:val="28"/>
                    <w:szCs w:val="28"/>
                  </w:rPr>
                </m:ctrlPr>
              </m:dPr>
              <m:e>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2</m:t>
                        </m:r>
                      </m:sub>
                    </m:sSub>
                  </m:num>
                  <m:den>
                    <m:sSub>
                      <m:sSubPr>
                        <m:ctrlPr>
                          <w:rPr>
                            <w:rFonts w:ascii="Cambria Math" w:hAnsi="Cambria Math"/>
                            <w:b/>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w</m:t>
                        </m:r>
                      </m:sub>
                    </m:sSub>
                  </m:den>
                </m:f>
              </m:e>
            </m:d>
            <m:r>
              <m:rPr>
                <m:sty m:val="bi"/>
              </m:rPr>
              <w:rPr>
                <w:rFonts w:ascii="Cambria Math" w:hAnsi="Cambria Math"/>
                <w:sz w:val="28"/>
                <w:szCs w:val="28"/>
              </w:rPr>
              <m:t>+π</m:t>
            </m:r>
            <m:sSub>
              <m:sSubPr>
                <m:ctrlPr>
                  <w:rPr>
                    <w:rFonts w:ascii="Cambria Math" w:hAnsi="Cambria Math"/>
                    <w:b/>
                    <w:i/>
                    <w:sz w:val="28"/>
                    <w:szCs w:val="28"/>
                  </w:rPr>
                </m:ctrlPr>
              </m:sSubPr>
              <m:e>
                <m:r>
                  <m:rPr>
                    <m:sty m:val="bi"/>
                  </m:rPr>
                  <w:rPr>
                    <w:rFonts w:ascii="Cambria Math" w:hAnsi="Cambria Math"/>
                    <w:sz w:val="28"/>
                    <w:szCs w:val="28"/>
                  </w:rPr>
                  <m:t>K</m:t>
                </m:r>
              </m:e>
              <m:sub>
                <m:r>
                  <m:rPr>
                    <m:sty m:val="bi"/>
                  </m:rPr>
                  <w:rPr>
                    <w:rFonts w:ascii="Cambria Math" w:hAnsi="Cambria Math"/>
                    <w:sz w:val="28"/>
                    <w:szCs w:val="28"/>
                  </w:rPr>
                  <m:t>well</m:t>
                </m:r>
              </m:sub>
            </m:sSub>
            <m:sSub>
              <m:sSubPr>
                <m:ctrlPr>
                  <w:rPr>
                    <w:rFonts w:ascii="Cambria Math" w:hAnsi="Cambria Math"/>
                    <w:b/>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2</m:t>
                </m:r>
              </m:sub>
            </m:sSub>
            <m:sSubSup>
              <m:sSubSupPr>
                <m:ctrlPr>
                  <w:rPr>
                    <w:rFonts w:ascii="Cambria Math" w:hAnsi="Cambria Math"/>
                    <w:b/>
                    <w:i/>
                    <w:sz w:val="28"/>
                    <w:szCs w:val="28"/>
                  </w:rPr>
                </m:ctrlPr>
              </m:sSubSupPr>
              <m:e>
                <m:r>
                  <m:rPr>
                    <m:sty m:val="bi"/>
                  </m:rPr>
                  <w:rPr>
                    <w:rFonts w:ascii="Cambria Math" w:hAnsi="Cambria Math"/>
                    <w:sz w:val="28"/>
                    <w:szCs w:val="28"/>
                  </w:rPr>
                  <m:t>r</m:t>
                </m:r>
              </m:e>
              <m:sub>
                <m:r>
                  <m:rPr>
                    <m:sty m:val="bi"/>
                  </m:rPr>
                  <w:rPr>
                    <w:rFonts w:ascii="Cambria Math" w:hAnsi="Cambria Math"/>
                    <w:sz w:val="28"/>
                    <w:szCs w:val="28"/>
                  </w:rPr>
                  <m:t>w</m:t>
                </m:r>
              </m:sub>
              <m:sup>
                <m:r>
                  <m:rPr>
                    <m:sty m:val="bi"/>
                  </m:rPr>
                  <w:rPr>
                    <w:rFonts w:ascii="Cambria Math" w:hAnsi="Cambria Math"/>
                    <w:sz w:val="28"/>
                    <w:szCs w:val="28"/>
                  </w:rPr>
                  <m:t>2</m:t>
                </m:r>
              </m:sup>
            </m:sSubSup>
            <m:r>
              <m:rPr>
                <m:sty m:val="bi"/>
              </m:rPr>
              <w:rPr>
                <w:rFonts w:ascii="Cambria Math" w:hAnsi="Cambria Math"/>
                <w:sz w:val="28"/>
                <w:szCs w:val="28"/>
              </w:rPr>
              <m:t>log</m:t>
            </m:r>
            <m:d>
              <m:dPr>
                <m:ctrlPr>
                  <w:rPr>
                    <w:rFonts w:ascii="Cambria Math" w:hAnsi="Cambria Math"/>
                    <w:b/>
                    <w:i/>
                    <w:sz w:val="28"/>
                    <w:szCs w:val="28"/>
                  </w:rPr>
                </m:ctrlPr>
              </m:dPr>
              <m:e>
                <m:f>
                  <m:fPr>
                    <m:ctrlPr>
                      <w:rPr>
                        <w:rFonts w:ascii="Cambria Math" w:hAnsi="Cambria Math"/>
                        <w:b/>
                        <w:i/>
                        <w:sz w:val="28"/>
                        <w:szCs w:val="28"/>
                      </w:rPr>
                    </m:ctrlPr>
                  </m:fPr>
                  <m:num>
                    <m:sSub>
                      <m:sSubPr>
                        <m:ctrlPr>
                          <w:rPr>
                            <w:rFonts w:ascii="Cambria Math" w:hAnsi="Cambria Math"/>
                            <w:b/>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1</m:t>
                        </m:r>
                      </m:sub>
                    </m:sSub>
                  </m:num>
                  <m:den>
                    <m:sSub>
                      <m:sSubPr>
                        <m:ctrlPr>
                          <w:rPr>
                            <w:rFonts w:ascii="Cambria Math" w:hAnsi="Cambria Math"/>
                            <w:b/>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w</m:t>
                        </m:r>
                      </m:sub>
                    </m:sSub>
                  </m:den>
                </m:f>
              </m:e>
            </m:d>
            <m:r>
              <m:rPr>
                <m:sty m:val="bi"/>
              </m:rPr>
              <w:rPr>
                <w:rFonts w:ascii="Cambria Math" w:hAnsi="Cambria Math"/>
                <w:sz w:val="28"/>
                <w:szCs w:val="28"/>
              </w:rPr>
              <m:t>+2</m:t>
            </m:r>
            <m:sSub>
              <m:sSubPr>
                <m:ctrlPr>
                  <w:rPr>
                    <w:rFonts w:ascii="Cambria Math" w:hAnsi="Cambria Math"/>
                    <w:b/>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1</m:t>
                </m:r>
              </m:sub>
            </m:sSub>
            <m:sSub>
              <m:sSubPr>
                <m:ctrlPr>
                  <w:rPr>
                    <w:rFonts w:ascii="Cambria Math" w:hAnsi="Cambria Math"/>
                    <w:b/>
                    <w:i/>
                    <w:sz w:val="28"/>
                    <w:szCs w:val="28"/>
                  </w:rPr>
                </m:ctrlPr>
              </m:sSubPr>
              <m:e>
                <m:r>
                  <m:rPr>
                    <m:sty m:val="bi"/>
                  </m:rPr>
                  <w:rPr>
                    <w:rFonts w:ascii="Cambria Math" w:hAnsi="Cambria Math"/>
                    <w:sz w:val="28"/>
                    <w:szCs w:val="28"/>
                  </w:rPr>
                  <m:t>T</m:t>
                </m:r>
              </m:e>
              <m:sub>
                <m:r>
                  <m:rPr>
                    <m:sty m:val="bi"/>
                  </m:rPr>
                  <w:rPr>
                    <w:rFonts w:ascii="Cambria Math" w:hAnsi="Cambria Math"/>
                    <w:sz w:val="28"/>
                    <w:szCs w:val="28"/>
                  </w:rPr>
                  <m:t>2</m:t>
                </m:r>
              </m:sub>
            </m:sSub>
            <m:r>
              <m:rPr>
                <m:sty m:val="bi"/>
              </m:rPr>
              <w:rPr>
                <w:rFonts w:ascii="Cambria Math" w:hAnsi="Cambria Math"/>
                <w:sz w:val="28"/>
                <w:szCs w:val="28"/>
              </w:rPr>
              <m:t>d</m:t>
            </m:r>
          </m:den>
        </m:f>
      </m:oMath>
      <w:r w:rsidR="002D3BA2">
        <w:tab/>
      </w:r>
      <w:r w:rsidR="008D7940" w:rsidRPr="009F7699">
        <w:rPr>
          <w:b/>
          <w:bCs/>
          <w:color w:val="1991C2" w:themeColor="accent1" w:themeShade="BF"/>
          <w:sz w:val="20"/>
          <w:szCs w:val="18"/>
        </w:rPr>
        <w:t xml:space="preserve">Equation </w:t>
      </w:r>
      <w:r w:rsidR="006D79A0" w:rsidRPr="009F7699">
        <w:rPr>
          <w:b/>
          <w:bCs/>
          <w:color w:val="1991C2" w:themeColor="accent1" w:themeShade="BF"/>
          <w:sz w:val="20"/>
          <w:szCs w:val="18"/>
        </w:rPr>
        <w:fldChar w:fldCharType="begin"/>
      </w:r>
      <w:r w:rsidR="006D79A0" w:rsidRPr="009F7699">
        <w:rPr>
          <w:b/>
          <w:bCs/>
          <w:color w:val="1991C2" w:themeColor="accent1" w:themeShade="BF"/>
          <w:sz w:val="20"/>
          <w:szCs w:val="18"/>
        </w:rPr>
        <w:instrText xml:space="preserve"> SEQ Equation \* ARABIC </w:instrText>
      </w:r>
      <w:r w:rsidR="006D79A0" w:rsidRPr="009F7699">
        <w:rPr>
          <w:b/>
          <w:bCs/>
          <w:color w:val="1991C2" w:themeColor="accent1" w:themeShade="BF"/>
          <w:sz w:val="20"/>
          <w:szCs w:val="18"/>
        </w:rPr>
        <w:fldChar w:fldCharType="separate"/>
      </w:r>
      <w:r w:rsidR="002E45AF">
        <w:rPr>
          <w:b/>
          <w:bCs/>
          <w:noProof/>
          <w:color w:val="1991C2" w:themeColor="accent1" w:themeShade="BF"/>
          <w:sz w:val="20"/>
          <w:szCs w:val="18"/>
        </w:rPr>
        <w:t>13</w:t>
      </w:r>
      <w:r w:rsidR="006D79A0" w:rsidRPr="009F7699">
        <w:rPr>
          <w:b/>
          <w:bCs/>
          <w:color w:val="1991C2" w:themeColor="accent1" w:themeShade="BF"/>
          <w:sz w:val="20"/>
          <w:szCs w:val="18"/>
        </w:rPr>
        <w:fldChar w:fldCharType="end"/>
      </w:r>
      <w:bookmarkEnd w:id="492"/>
    </w:p>
    <w:bookmarkEnd w:id="493"/>
    <w:p w14:paraId="4DC64715" w14:textId="43F92B32" w:rsidR="003C2197" w:rsidRPr="008C2110" w:rsidRDefault="002917B2" w:rsidP="008A5C4F">
      <w:r>
        <w:t xml:space="preserve">Flow through the well was </w:t>
      </w:r>
      <w:r w:rsidR="007A2DF9">
        <w:t xml:space="preserve">calculated for different values of </w:t>
      </w:r>
      <w:r>
        <w:t xml:space="preserve">the head difference between aquifers 1 and 2, the effective well conductivity, </w:t>
      </w:r>
      <w:r w:rsidRPr="009806D6">
        <w:rPr>
          <w:i/>
        </w:rPr>
        <w:t>K</w:t>
      </w:r>
      <w:r w:rsidR="001D3D09">
        <w:rPr>
          <w:vertAlign w:val="subscript"/>
        </w:rPr>
        <w:t>well</w:t>
      </w:r>
      <w:r>
        <w:t xml:space="preserve">, and </w:t>
      </w:r>
      <w:r w:rsidR="00A12E5B">
        <w:t>aquifer transmissivity</w:t>
      </w:r>
      <w:r w:rsidR="007A2DF9">
        <w:t xml:space="preserve"> (</w:t>
      </w:r>
      <w:r w:rsidR="007A2DF9" w:rsidRPr="009806D6">
        <w:rPr>
          <w:i/>
        </w:rPr>
        <w:t>T</w:t>
      </w:r>
      <w:r w:rsidR="007A2DF9" w:rsidRPr="00976756">
        <w:rPr>
          <w:vertAlign w:val="subscript"/>
        </w:rPr>
        <w:t>1</w:t>
      </w:r>
      <w:r w:rsidR="007A2DF9">
        <w:t xml:space="preserve"> and </w:t>
      </w:r>
      <w:r w:rsidR="007A2DF9" w:rsidRPr="009806D6">
        <w:rPr>
          <w:i/>
        </w:rPr>
        <w:t>T</w:t>
      </w:r>
      <w:r w:rsidR="007A2DF9" w:rsidRPr="00976756">
        <w:rPr>
          <w:vertAlign w:val="subscript"/>
        </w:rPr>
        <w:t>2</w:t>
      </w:r>
      <w:r w:rsidR="007A2DF9">
        <w:t>)</w:t>
      </w:r>
      <w:r w:rsidR="00A12E5B">
        <w:t>.</w:t>
      </w:r>
      <w:r w:rsidR="007A2DF9">
        <w:t xml:space="preserve"> </w:t>
      </w:r>
      <w:r w:rsidR="00236B21" w:rsidRPr="008C2110">
        <w:t xml:space="preserve">Using Equation </w:t>
      </w:r>
      <w:r w:rsidR="008D0C42">
        <w:t>1</w:t>
      </w:r>
      <w:r w:rsidR="00FC2D08">
        <w:t>3</w:t>
      </w:r>
      <w:r w:rsidR="00236B21" w:rsidRPr="008C2110">
        <w:t xml:space="preserve">, </w:t>
      </w:r>
      <w:r w:rsidR="00F45D22" w:rsidRPr="008C2110">
        <w:t xml:space="preserve">it is possible to determine when the flow through the well is controlled by the well hydraulic conductivity, or </w:t>
      </w:r>
      <w:r w:rsidR="007A2DF9">
        <w:t xml:space="preserve">by </w:t>
      </w:r>
      <w:r w:rsidR="00F45D22" w:rsidRPr="008C2110">
        <w:t xml:space="preserve">the aquifer transmissivity. Where the flow is controlled by the </w:t>
      </w:r>
      <w:r w:rsidR="00131434" w:rsidRPr="008C2110">
        <w:t xml:space="preserve">conductivity of the well, </w:t>
      </w:r>
      <w:r w:rsidR="00FE01E0" w:rsidRPr="008C2110">
        <w:t xml:space="preserve">the density of the </w:t>
      </w:r>
      <w:r w:rsidR="003C2197" w:rsidRPr="008C2110">
        <w:t xml:space="preserve">leaky wells will determine the impact on the aquifers. </w:t>
      </w:r>
      <w:r w:rsidR="007A2DF9">
        <w:t>If, on the other hand,</w:t>
      </w:r>
      <w:r w:rsidR="003C2197" w:rsidRPr="008C2110">
        <w:t xml:space="preserve"> flow through the leaky well is controlled by </w:t>
      </w:r>
      <w:r w:rsidR="007A2DF9">
        <w:t xml:space="preserve">the </w:t>
      </w:r>
      <w:r w:rsidR="003C2197" w:rsidRPr="008C2110">
        <w:t>aquifer transmissivity, the density of leaky wells will be less important</w:t>
      </w:r>
      <w:r w:rsidR="00952D09">
        <w:t xml:space="preserve"> (see further)</w:t>
      </w:r>
      <w:r w:rsidR="003C2197" w:rsidRPr="008C2110">
        <w:t>.</w:t>
      </w:r>
    </w:p>
    <w:p w14:paraId="54452178" w14:textId="616C55CE" w:rsidR="003C2197" w:rsidRDefault="00566AB4" w:rsidP="008A5C4F">
      <w:r>
        <w:t xml:space="preserve">Based on Equation </w:t>
      </w:r>
      <w:r w:rsidR="008D0C42">
        <w:t>1</w:t>
      </w:r>
      <w:r w:rsidR="00FC2D08">
        <w:t>3</w:t>
      </w:r>
      <w:r>
        <w:t xml:space="preserve">, </w:t>
      </w:r>
      <w:r w:rsidR="00E937FE">
        <w:t xml:space="preserve">for any given head difference between the two aquifers </w:t>
      </w:r>
      <w:r w:rsidR="00E937FE" w:rsidRPr="009806D6">
        <w:rPr>
          <w:i/>
        </w:rPr>
        <w:t>H</w:t>
      </w:r>
      <w:r w:rsidR="00E937FE" w:rsidRPr="00976756">
        <w:rPr>
          <w:vertAlign w:val="subscript"/>
        </w:rPr>
        <w:t>1</w:t>
      </w:r>
      <w:r w:rsidR="00E937FE">
        <w:t>-</w:t>
      </w:r>
      <w:r w:rsidR="00E937FE" w:rsidRPr="009806D6">
        <w:rPr>
          <w:i/>
        </w:rPr>
        <w:t>H</w:t>
      </w:r>
      <w:r w:rsidR="00E937FE" w:rsidRPr="00976756">
        <w:rPr>
          <w:vertAlign w:val="subscript"/>
        </w:rPr>
        <w:t>2</w:t>
      </w:r>
      <w:r w:rsidR="00E937FE">
        <w:t xml:space="preserve">, </w:t>
      </w:r>
      <w:r>
        <w:t>f</w:t>
      </w:r>
      <w:r w:rsidR="0033776F">
        <w:t xml:space="preserve">low through the leaky well, </w:t>
      </w:r>
      <w:r w:rsidR="003C2197" w:rsidRPr="0033776F">
        <w:rPr>
          <w:i/>
        </w:rPr>
        <w:t>Q</w:t>
      </w:r>
      <w:r w:rsidR="003C2197">
        <w:t xml:space="preserve">, is controlled by the minimum of </w:t>
      </w:r>
      <w:r w:rsidR="003C2197" w:rsidRPr="003C2197">
        <w:rPr>
          <w:i/>
        </w:rPr>
        <w:t>K</w:t>
      </w:r>
      <w:r w:rsidR="001D3D09">
        <w:rPr>
          <w:i/>
          <w:vertAlign w:val="subscript"/>
        </w:rPr>
        <w:t>well</w:t>
      </w:r>
      <w:r w:rsidR="003C2197" w:rsidRPr="003C2197">
        <w:rPr>
          <w:i/>
        </w:rPr>
        <w:t>,</w:t>
      </w:r>
      <w:r w:rsidR="003C2197">
        <w:t xml:space="preserve"> </w:t>
      </w:r>
      <w:r w:rsidR="003C2197" w:rsidRPr="003C2197">
        <w:rPr>
          <w:i/>
        </w:rPr>
        <w:t>T</w:t>
      </w:r>
      <w:r w:rsidR="003C2197" w:rsidRPr="003C2197">
        <w:rPr>
          <w:i/>
          <w:vertAlign w:val="subscript"/>
        </w:rPr>
        <w:t>1</w:t>
      </w:r>
      <w:r w:rsidR="003C2197">
        <w:t xml:space="preserve"> or </w:t>
      </w:r>
      <w:r w:rsidR="003C2197" w:rsidRPr="003C2197">
        <w:rPr>
          <w:i/>
        </w:rPr>
        <w:t>T</w:t>
      </w:r>
      <w:r w:rsidR="003C2197" w:rsidRPr="003C2197">
        <w:rPr>
          <w:i/>
          <w:vertAlign w:val="subscript"/>
        </w:rPr>
        <w:t>2</w:t>
      </w:r>
      <w:r w:rsidR="004E1C00">
        <w:t>.</w:t>
      </w:r>
      <w:r w:rsidR="003C2197">
        <w:t xml:space="preserve"> </w:t>
      </w:r>
      <w:r w:rsidR="004E1C00">
        <w:t>F</w:t>
      </w:r>
      <w:r w:rsidR="0033776F">
        <w:t xml:space="preserve">rom Equation </w:t>
      </w:r>
      <w:r w:rsidR="008D0C42">
        <w:t>11</w:t>
      </w:r>
      <w:r w:rsidR="0033776F">
        <w:t>,</w:t>
      </w:r>
    </w:p>
    <w:p w14:paraId="4E97C48B" w14:textId="369553BD" w:rsidR="003C2197" w:rsidRPr="002D3BA2" w:rsidRDefault="00FF2C3D" w:rsidP="002D3BA2">
      <w:pPr>
        <w:pStyle w:val="CaptionNote"/>
        <w:jc w:val="right"/>
        <w:rPr>
          <w:rFonts w:eastAsiaTheme="minorEastAsia"/>
          <w:iCs/>
        </w:rPr>
      </w:pPr>
      <m:oMath>
        <m:r>
          <m:rPr>
            <m:sty m:val="bi"/>
          </m:rPr>
          <w:rPr>
            <w:rFonts w:ascii="Cambria Math" w:hAnsi="Cambria Math"/>
            <w:color w:val="auto"/>
            <w:sz w:val="28"/>
            <w:szCs w:val="28"/>
          </w:rPr>
          <m:t>Q≤</m:t>
        </m:r>
        <m:f>
          <m:fPr>
            <m:ctrlPr>
              <w:rPr>
                <w:rFonts w:ascii="Cambria Math" w:hAnsi="Cambria Math"/>
                <w:b w:val="0"/>
                <w:i/>
                <w:iCs/>
                <w:color w:val="auto"/>
                <w:sz w:val="28"/>
                <w:szCs w:val="28"/>
              </w:rPr>
            </m:ctrlPr>
          </m:fPr>
          <m:num>
            <m:r>
              <m:rPr>
                <m:sty m:val="bi"/>
              </m:rPr>
              <w:rPr>
                <w:rFonts w:ascii="Cambria Math" w:hAnsi="Cambria Math"/>
                <w:color w:val="auto"/>
                <w:sz w:val="28"/>
                <w:szCs w:val="28"/>
              </w:rPr>
              <m:t>π</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K</m:t>
                </m:r>
              </m:e>
              <m:sub>
                <m:r>
                  <m:rPr>
                    <m:sty m:val="bi"/>
                  </m:rPr>
                  <w:rPr>
                    <w:rFonts w:ascii="Cambria Math" w:hAnsi="Cambria Math"/>
                    <w:color w:val="auto"/>
                    <w:sz w:val="28"/>
                    <w:szCs w:val="28"/>
                  </w:rPr>
                  <m:t>well</m:t>
                </m:r>
              </m:sub>
            </m:sSub>
            <m:sSubSup>
              <m:sSubSupPr>
                <m:ctrlPr>
                  <w:rPr>
                    <w:rFonts w:ascii="Cambria Math" w:hAnsi="Cambria Math"/>
                    <w:b w:val="0"/>
                    <w:i/>
                    <w:iCs/>
                    <w:color w:val="auto"/>
                    <w:sz w:val="28"/>
                    <w:szCs w:val="28"/>
                  </w:rPr>
                </m:ctrlPr>
              </m:sSubSupPr>
              <m:e>
                <m:r>
                  <m:rPr>
                    <m:sty m:val="bi"/>
                  </m:rPr>
                  <w:rPr>
                    <w:rFonts w:ascii="Cambria Math" w:hAnsi="Cambria Math"/>
                    <w:color w:val="auto"/>
                    <w:sz w:val="28"/>
                    <w:szCs w:val="28"/>
                  </w:rPr>
                  <m:t>r</m:t>
                </m:r>
              </m:e>
              <m:sub>
                <m:r>
                  <m:rPr>
                    <m:sty m:val="bi"/>
                  </m:rPr>
                  <w:rPr>
                    <w:rFonts w:ascii="Cambria Math" w:hAnsi="Cambria Math"/>
                    <w:color w:val="auto"/>
                    <w:sz w:val="28"/>
                    <w:szCs w:val="28"/>
                  </w:rPr>
                  <m:t>w</m:t>
                </m:r>
              </m:sub>
              <m:sup>
                <m:r>
                  <m:rPr>
                    <m:sty m:val="bi"/>
                  </m:rPr>
                  <w:rPr>
                    <w:rFonts w:ascii="Cambria Math" w:hAnsi="Cambria Math"/>
                    <w:color w:val="auto"/>
                    <w:sz w:val="28"/>
                    <w:szCs w:val="28"/>
                  </w:rPr>
                  <m:t>2</m:t>
                </m:r>
              </m:sup>
            </m:sSubSup>
          </m:num>
          <m:den>
            <m:r>
              <m:rPr>
                <m:sty m:val="bi"/>
              </m:rPr>
              <w:rPr>
                <w:rFonts w:ascii="Cambria Math" w:hAnsi="Cambria Math"/>
                <w:color w:val="auto"/>
                <w:sz w:val="28"/>
                <w:szCs w:val="28"/>
              </w:rPr>
              <m:t>d</m:t>
            </m:r>
          </m:den>
        </m:f>
        <m:d>
          <m:dPr>
            <m:ctrlPr>
              <w:rPr>
                <w:rFonts w:ascii="Cambria Math" w:hAnsi="Cambria Math"/>
                <w:b w:val="0"/>
                <w:i/>
                <w:iCs/>
                <w:color w:val="auto"/>
                <w:sz w:val="28"/>
                <w:szCs w:val="28"/>
              </w:rPr>
            </m:ctrlPr>
          </m:dPr>
          <m:e>
            <m:sSub>
              <m:sSubPr>
                <m:ctrlPr>
                  <w:rPr>
                    <w:rFonts w:ascii="Cambria Math" w:hAnsi="Cambria Math"/>
                    <w:b w:val="0"/>
                    <w:i/>
                    <w:iCs/>
                    <w:color w:val="auto"/>
                    <w:sz w:val="28"/>
                    <w:szCs w:val="28"/>
                  </w:rPr>
                </m:ctrlPr>
              </m:sSubPr>
              <m:e>
                <m:r>
                  <m:rPr>
                    <m:sty m:val="bi"/>
                  </m:rPr>
                  <w:rPr>
                    <w:rFonts w:ascii="Cambria Math" w:hAnsi="Cambria Math"/>
                    <w:color w:val="auto"/>
                    <w:sz w:val="28"/>
                    <w:szCs w:val="28"/>
                  </w:rPr>
                  <m:t>H</m:t>
                </m:r>
              </m:e>
              <m:sub>
                <m:r>
                  <m:rPr>
                    <m:sty m:val="bi"/>
                  </m:rPr>
                  <w:rPr>
                    <w:rFonts w:ascii="Cambria Math" w:hAnsi="Cambria Math"/>
                    <w:color w:val="auto"/>
                    <w:sz w:val="28"/>
                    <w:szCs w:val="28"/>
                  </w:rPr>
                  <m:t>1</m:t>
                </m:r>
              </m:sub>
            </m:sSub>
            <m:r>
              <m:rPr>
                <m:sty m:val="bi"/>
              </m:rPr>
              <w:rPr>
                <w:rFonts w:ascii="Cambria Math" w:hAnsi="Cambria Math"/>
                <w:color w:val="auto"/>
                <w:sz w:val="28"/>
                <w:szCs w:val="28"/>
              </w:rPr>
              <m:t>-</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H</m:t>
                </m:r>
              </m:e>
              <m:sub>
                <m:r>
                  <m:rPr>
                    <m:sty m:val="bi"/>
                  </m:rPr>
                  <w:rPr>
                    <w:rFonts w:ascii="Cambria Math" w:hAnsi="Cambria Math"/>
                    <w:color w:val="auto"/>
                    <w:sz w:val="28"/>
                    <w:szCs w:val="28"/>
                  </w:rPr>
                  <m:t>2</m:t>
                </m:r>
              </m:sub>
            </m:sSub>
          </m:e>
        </m:d>
        <m:r>
          <m:rPr>
            <m:sty m:val="bi"/>
          </m:rPr>
          <w:rPr>
            <w:rFonts w:ascii="Cambria Math" w:hAnsi="Cambria Math"/>
            <w:color w:val="auto"/>
            <w:sz w:val="28"/>
            <w:szCs w:val="28"/>
          </w:rPr>
          <m:t xml:space="preserve"> </m:t>
        </m:r>
      </m:oMath>
      <w:r w:rsidR="002D3BA2" w:rsidRPr="00166B28">
        <w:rPr>
          <w:iCs/>
        </w:rPr>
        <w:tab/>
      </w:r>
      <w:r w:rsidR="002D3BA2">
        <w:rPr>
          <w:iCs/>
        </w:rPr>
        <w:tab/>
        <w:t xml:space="preserve">                </w:t>
      </w:r>
      <w:r w:rsidR="002D3BA2">
        <w:rPr>
          <w:iCs/>
        </w:rPr>
        <w:tab/>
      </w:r>
      <w:r w:rsidR="003C2197">
        <w:t xml:space="preserve">Equation </w:t>
      </w:r>
      <w:r w:rsidR="00ED4C1C">
        <w:fldChar w:fldCharType="begin"/>
      </w:r>
      <w:r w:rsidR="00ED4C1C">
        <w:instrText xml:space="preserve"> SEQ Equation \* ARABIC </w:instrText>
      </w:r>
      <w:r w:rsidR="00ED4C1C">
        <w:fldChar w:fldCharType="separate"/>
      </w:r>
      <w:r w:rsidR="002E45AF">
        <w:rPr>
          <w:noProof/>
        </w:rPr>
        <w:t>14</w:t>
      </w:r>
      <w:r w:rsidR="00ED4C1C">
        <w:rPr>
          <w:noProof/>
        </w:rPr>
        <w:fldChar w:fldCharType="end"/>
      </w:r>
    </w:p>
    <w:p w14:paraId="1C9BB9D0" w14:textId="48C65478" w:rsidR="004C4A33" w:rsidRDefault="008C2110" w:rsidP="008A5C4F">
      <w:r>
        <w:t>When flow through the well is controlled by the aquifer</w:t>
      </w:r>
      <w:r w:rsidR="00D70720">
        <w:t>’s</w:t>
      </w:r>
      <w:r>
        <w:t xml:space="preserve"> transmissivity</w:t>
      </w:r>
      <w:r w:rsidR="00D70720">
        <w:t xml:space="preserve"> </w:t>
      </w:r>
      <w:r w:rsidR="00D70720" w:rsidRPr="009806D6">
        <w:rPr>
          <w:i/>
        </w:rPr>
        <w:t>T</w:t>
      </w:r>
      <w:r w:rsidR="00D70720" w:rsidRPr="00976756">
        <w:rPr>
          <w:vertAlign w:val="subscript"/>
        </w:rPr>
        <w:t>1</w:t>
      </w:r>
      <w:r w:rsidR="00D70720">
        <w:t xml:space="preserve"> or </w:t>
      </w:r>
      <w:r w:rsidR="00D70720" w:rsidRPr="009806D6">
        <w:rPr>
          <w:i/>
        </w:rPr>
        <w:t>T</w:t>
      </w:r>
      <w:r w:rsidR="00D70720" w:rsidRPr="00976756">
        <w:rPr>
          <w:vertAlign w:val="subscript"/>
        </w:rPr>
        <w:t>2</w:t>
      </w:r>
      <w:r>
        <w:t xml:space="preserve">, </w:t>
      </w:r>
      <w:r>
        <w:rPr>
          <w:i/>
        </w:rPr>
        <w:t>Q</w:t>
      </w:r>
      <w:r>
        <w:t xml:space="preserve"> will be considerably less than </w:t>
      </w:r>
      <w:r w:rsidR="004C4A33">
        <w:t xml:space="preserve">the potential flow through the well, </w:t>
      </w:r>
      <w:r>
        <w:rPr>
          <w:i/>
        </w:rPr>
        <w:t>Q</w:t>
      </w:r>
      <w:r>
        <w:rPr>
          <w:i/>
          <w:vertAlign w:val="subscript"/>
        </w:rPr>
        <w:t>well</w:t>
      </w:r>
      <w:r w:rsidR="004C4A33">
        <w:t xml:space="preserve">. </w:t>
      </w:r>
      <w:r w:rsidR="00486590">
        <w:t xml:space="preserve">Here ‘considerably less’ </w:t>
      </w:r>
      <w:r w:rsidR="004C4A33">
        <w:t>is</w:t>
      </w:r>
      <w:r w:rsidR="00486590">
        <w:t xml:space="preserve"> defined as at least one tenth of the potential flow</w:t>
      </w:r>
      <w:r w:rsidR="004C4A33">
        <w:t>:</w:t>
      </w:r>
    </w:p>
    <w:p w14:paraId="512CF2C6" w14:textId="7BA3529C" w:rsidR="004C4A33" w:rsidRDefault="004C4A33" w:rsidP="002D3BA2">
      <w:pPr>
        <w:pStyle w:val="CaptionNote"/>
        <w:jc w:val="right"/>
      </w:pPr>
      <w:r w:rsidRPr="00FF2C3D">
        <w:rPr>
          <w:rFonts w:ascii="Cambria Math" w:hAnsi="Cambria Math"/>
          <w:b w:val="0"/>
          <w:i/>
          <w:color w:val="auto"/>
          <w:sz w:val="28"/>
          <w:szCs w:val="28"/>
        </w:rPr>
        <w:t>Q</w:t>
      </w:r>
      <w:r w:rsidRPr="00FF2C3D">
        <w:rPr>
          <w:rFonts w:ascii="Cambria Math" w:hAnsi="Cambria Math"/>
          <w:b w:val="0"/>
          <w:color w:val="auto"/>
          <w:sz w:val="28"/>
          <w:szCs w:val="28"/>
        </w:rPr>
        <w:t xml:space="preserve"> &lt; 0.1 </w:t>
      </w:r>
      <w:r w:rsidRPr="00FF2C3D">
        <w:rPr>
          <w:rFonts w:ascii="Cambria Math" w:hAnsi="Cambria Math"/>
          <w:b w:val="0"/>
          <w:i/>
          <w:color w:val="auto"/>
          <w:sz w:val="28"/>
          <w:szCs w:val="28"/>
        </w:rPr>
        <w:t>Q</w:t>
      </w:r>
      <w:r w:rsidRPr="00FF2C3D">
        <w:rPr>
          <w:rFonts w:ascii="Cambria Math" w:hAnsi="Cambria Math"/>
          <w:b w:val="0"/>
          <w:i/>
          <w:color w:val="auto"/>
          <w:sz w:val="28"/>
          <w:szCs w:val="28"/>
          <w:vertAlign w:val="subscript"/>
        </w:rPr>
        <w:t>well</w:t>
      </w:r>
      <w:r w:rsidR="002D3BA2" w:rsidRPr="002D3BA2">
        <w:rPr>
          <w:i/>
          <w:color w:val="auto"/>
          <w:vertAlign w:val="subscript"/>
        </w:rPr>
        <w:tab/>
      </w:r>
      <w:r w:rsidR="002D3BA2">
        <w:rPr>
          <w:i/>
          <w:vertAlign w:val="subscript"/>
        </w:rPr>
        <w:tab/>
      </w:r>
      <w:r w:rsidR="002D3BA2">
        <w:rPr>
          <w:i/>
          <w:vertAlign w:val="subscript"/>
        </w:rPr>
        <w:tab/>
      </w:r>
      <w:r w:rsidR="002D3BA2">
        <w:rPr>
          <w:i/>
          <w:vertAlign w:val="subscript"/>
        </w:rPr>
        <w:tab/>
      </w:r>
      <w:r w:rsidR="002D3BA2">
        <w:rPr>
          <w:i/>
          <w:vertAlign w:val="subscript"/>
        </w:rPr>
        <w:tab/>
      </w:r>
      <w:r>
        <w:t xml:space="preserve">Equation </w:t>
      </w:r>
      <w:r w:rsidR="00ED4C1C">
        <w:fldChar w:fldCharType="begin"/>
      </w:r>
      <w:r w:rsidR="00ED4C1C">
        <w:instrText xml:space="preserve"> SEQ Equation \* ARABIC </w:instrText>
      </w:r>
      <w:r w:rsidR="00ED4C1C">
        <w:fldChar w:fldCharType="separate"/>
      </w:r>
      <w:r w:rsidR="002E45AF">
        <w:rPr>
          <w:noProof/>
        </w:rPr>
        <w:t>15</w:t>
      </w:r>
      <w:r w:rsidR="00ED4C1C">
        <w:rPr>
          <w:noProof/>
        </w:rPr>
        <w:fldChar w:fldCharType="end"/>
      </w:r>
    </w:p>
    <w:p w14:paraId="449C96D1" w14:textId="53D33DC7" w:rsidR="004C4A33" w:rsidRDefault="0052559E" w:rsidP="008A5C4F">
      <w:r>
        <w:t xml:space="preserve">By </w:t>
      </w:r>
      <w:r w:rsidR="002966A8">
        <w:t xml:space="preserve">solving for </w:t>
      </w:r>
      <w:r w:rsidR="002966A8" w:rsidRPr="00FC2D08">
        <w:rPr>
          <w:i/>
        </w:rPr>
        <w:t>K</w:t>
      </w:r>
      <w:r w:rsidR="002966A8">
        <w:rPr>
          <w:vertAlign w:val="subscript"/>
        </w:rPr>
        <w:t>well</w:t>
      </w:r>
      <w:r w:rsidR="002966A8">
        <w:t xml:space="preserve"> in</w:t>
      </w:r>
      <w:r w:rsidR="004C4A33">
        <w:t xml:space="preserve"> Equations </w:t>
      </w:r>
      <w:r w:rsidR="007A7BC9">
        <w:t>11, 12</w:t>
      </w:r>
      <w:r w:rsidR="004C4A33">
        <w:t xml:space="preserve">, </w:t>
      </w:r>
      <w:r w:rsidR="00873703">
        <w:t>1</w:t>
      </w:r>
      <w:r w:rsidR="007A7BC9">
        <w:t>3</w:t>
      </w:r>
      <w:r w:rsidR="004C4A33">
        <w:t xml:space="preserve"> and </w:t>
      </w:r>
      <w:r w:rsidR="007A7BC9">
        <w:t xml:space="preserve">14 it is possible to derive </w:t>
      </w:r>
      <w:r w:rsidR="004C4A33">
        <w:t xml:space="preserve">the range of </w:t>
      </w:r>
      <w:r w:rsidR="004C4A33" w:rsidRPr="004C4A33">
        <w:rPr>
          <w:i/>
        </w:rPr>
        <w:t>K</w:t>
      </w:r>
      <w:r w:rsidR="001D3D09">
        <w:rPr>
          <w:i/>
          <w:vertAlign w:val="subscript"/>
        </w:rPr>
        <w:t>well</w:t>
      </w:r>
      <w:r w:rsidR="004C4A33">
        <w:t xml:space="preserve"> </w:t>
      </w:r>
      <w:r>
        <w:t xml:space="preserve">values </w:t>
      </w:r>
      <w:r w:rsidR="00D93AC0">
        <w:t xml:space="preserve">for which flow is </w:t>
      </w:r>
      <w:r w:rsidR="00A20614">
        <w:t xml:space="preserve">no longer controlled by the hydraulic conductivity of the leaky well or bore, but </w:t>
      </w:r>
      <w:r w:rsidR="00D93AC0">
        <w:t xml:space="preserve">controlled by </w:t>
      </w:r>
      <w:r w:rsidR="00A20614">
        <w:t xml:space="preserve">the </w:t>
      </w:r>
      <w:r w:rsidR="00D93AC0">
        <w:t>aquifer transmissivit</w:t>
      </w:r>
      <w:r>
        <w:t xml:space="preserve">ies </w:t>
      </w:r>
      <w:r w:rsidRPr="009806D6">
        <w:rPr>
          <w:i/>
        </w:rPr>
        <w:t>T</w:t>
      </w:r>
      <w:r w:rsidRPr="00976756">
        <w:rPr>
          <w:vertAlign w:val="subscript"/>
        </w:rPr>
        <w:t>1</w:t>
      </w:r>
      <w:r>
        <w:t xml:space="preserve"> and </w:t>
      </w:r>
      <w:r w:rsidRPr="00A20614">
        <w:t>T</w:t>
      </w:r>
      <w:r w:rsidRPr="00976756">
        <w:rPr>
          <w:vertAlign w:val="subscript"/>
        </w:rPr>
        <w:t>2</w:t>
      </w:r>
      <w:r w:rsidR="004C4A33">
        <w:t>:</w:t>
      </w:r>
    </w:p>
    <w:p w14:paraId="446A691A" w14:textId="11ABCE35" w:rsidR="004C4A33" w:rsidRDefault="00ED4C1C" w:rsidP="002D3BA2">
      <w:pPr>
        <w:pStyle w:val="CaptionNote"/>
        <w:jc w:val="right"/>
      </w:pPr>
      <m:oMath>
        <m:sSub>
          <m:sSubPr>
            <m:ctrlPr>
              <w:rPr>
                <w:rFonts w:ascii="Cambria Math" w:hAnsi="Cambria Math"/>
                <w:b w:val="0"/>
                <w:i/>
                <w:iCs/>
                <w:color w:val="auto"/>
                <w:sz w:val="28"/>
                <w:szCs w:val="28"/>
              </w:rPr>
            </m:ctrlPr>
          </m:sSubPr>
          <m:e>
            <m:r>
              <m:rPr>
                <m:sty m:val="bi"/>
              </m:rPr>
              <w:rPr>
                <w:rFonts w:ascii="Cambria Math" w:hAnsi="Cambria Math"/>
                <w:color w:val="auto"/>
                <w:sz w:val="28"/>
                <w:szCs w:val="28"/>
              </w:rPr>
              <m:t>K</m:t>
            </m:r>
          </m:e>
          <m:sub>
            <m:r>
              <m:rPr>
                <m:sty m:val="bi"/>
              </m:rPr>
              <w:rPr>
                <w:rFonts w:ascii="Cambria Math" w:hAnsi="Cambria Math"/>
                <w:color w:val="auto"/>
                <w:sz w:val="28"/>
                <w:szCs w:val="28"/>
              </w:rPr>
              <m:t>well</m:t>
            </m:r>
          </m:sub>
        </m:sSub>
        <m:r>
          <m:rPr>
            <m:sty m:val="bi"/>
          </m:rPr>
          <w:rPr>
            <w:rFonts w:ascii="Cambria Math" w:hAnsi="Cambria Math"/>
            <w:color w:val="auto"/>
            <w:sz w:val="28"/>
            <w:szCs w:val="28"/>
          </w:rPr>
          <m:t>≥</m:t>
        </m:r>
        <m:f>
          <m:fPr>
            <m:ctrlPr>
              <w:rPr>
                <w:rFonts w:ascii="Cambria Math" w:hAnsi="Cambria Math"/>
                <w:b w:val="0"/>
                <w:i/>
                <w:iCs/>
                <w:color w:val="auto"/>
                <w:sz w:val="28"/>
                <w:szCs w:val="28"/>
              </w:rPr>
            </m:ctrlPr>
          </m:fPr>
          <m:num>
            <m:r>
              <m:rPr>
                <m:sty m:val="bi"/>
              </m:rPr>
              <w:rPr>
                <w:rFonts w:ascii="Cambria Math" w:hAnsi="Cambria Math"/>
                <w:color w:val="auto"/>
                <w:sz w:val="28"/>
                <w:szCs w:val="28"/>
              </w:rPr>
              <m:t>5.7</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T</m:t>
                </m:r>
              </m:e>
              <m:sub>
                <m:r>
                  <m:rPr>
                    <m:sty m:val="bi"/>
                  </m:rPr>
                  <w:rPr>
                    <w:rFonts w:ascii="Cambria Math" w:hAnsi="Cambria Math"/>
                    <w:color w:val="auto"/>
                    <w:sz w:val="28"/>
                    <w:szCs w:val="28"/>
                  </w:rPr>
                  <m:t>1</m:t>
                </m:r>
              </m:sub>
            </m:sSub>
            <m:sSub>
              <m:sSubPr>
                <m:ctrlPr>
                  <w:rPr>
                    <w:rFonts w:ascii="Cambria Math" w:hAnsi="Cambria Math"/>
                    <w:b w:val="0"/>
                    <w:i/>
                    <w:iCs/>
                    <w:color w:val="auto"/>
                    <w:sz w:val="28"/>
                    <w:szCs w:val="28"/>
                  </w:rPr>
                </m:ctrlPr>
              </m:sSubPr>
              <m:e>
                <m:r>
                  <m:rPr>
                    <m:sty m:val="bi"/>
                  </m:rPr>
                  <w:rPr>
                    <w:rFonts w:ascii="Cambria Math" w:hAnsi="Cambria Math"/>
                    <w:color w:val="auto"/>
                    <w:sz w:val="28"/>
                    <w:szCs w:val="28"/>
                  </w:rPr>
                  <m:t>T</m:t>
                </m:r>
              </m:e>
              <m:sub>
                <m:r>
                  <m:rPr>
                    <m:sty m:val="bi"/>
                  </m:rPr>
                  <w:rPr>
                    <w:rFonts w:ascii="Cambria Math" w:hAnsi="Cambria Math"/>
                    <w:color w:val="auto"/>
                    <w:sz w:val="28"/>
                    <w:szCs w:val="28"/>
                  </w:rPr>
                  <m:t>2</m:t>
                </m:r>
              </m:sub>
            </m:sSub>
            <m:r>
              <m:rPr>
                <m:sty m:val="bi"/>
              </m:rPr>
              <w:rPr>
                <w:rFonts w:ascii="Cambria Math" w:hAnsi="Cambria Math"/>
                <w:color w:val="auto"/>
                <w:sz w:val="28"/>
                <w:szCs w:val="28"/>
              </w:rPr>
              <m:t>d</m:t>
            </m:r>
          </m:num>
          <m:den>
            <m:sSubSup>
              <m:sSubSupPr>
                <m:ctrlPr>
                  <w:rPr>
                    <w:rFonts w:ascii="Cambria Math" w:hAnsi="Cambria Math"/>
                    <w:b w:val="0"/>
                    <w:i/>
                    <w:iCs/>
                    <w:color w:val="auto"/>
                    <w:sz w:val="28"/>
                    <w:szCs w:val="28"/>
                  </w:rPr>
                </m:ctrlPr>
              </m:sSubSupPr>
              <m:e>
                <m:r>
                  <m:rPr>
                    <m:sty m:val="bi"/>
                  </m:rPr>
                  <w:rPr>
                    <w:rFonts w:ascii="Cambria Math" w:hAnsi="Cambria Math"/>
                    <w:color w:val="auto"/>
                    <w:sz w:val="28"/>
                    <w:szCs w:val="28"/>
                  </w:rPr>
                  <m:t>r</m:t>
                </m:r>
              </m:e>
              <m:sub>
                <m:r>
                  <m:rPr>
                    <m:sty m:val="bi"/>
                  </m:rPr>
                  <w:rPr>
                    <w:rFonts w:ascii="Cambria Math" w:hAnsi="Cambria Math"/>
                    <w:color w:val="auto"/>
                    <w:sz w:val="28"/>
                    <w:szCs w:val="28"/>
                  </w:rPr>
                  <m:t>w</m:t>
                </m:r>
              </m:sub>
              <m:sup>
                <m:r>
                  <m:rPr>
                    <m:sty m:val="bi"/>
                  </m:rPr>
                  <w:rPr>
                    <w:rFonts w:ascii="Cambria Math" w:hAnsi="Cambria Math"/>
                    <w:color w:val="auto"/>
                    <w:sz w:val="28"/>
                    <w:szCs w:val="28"/>
                  </w:rPr>
                  <m:t>2</m:t>
                </m:r>
              </m:sup>
            </m:sSubSup>
            <m:d>
              <m:dPr>
                <m:ctrlPr>
                  <w:rPr>
                    <w:rFonts w:ascii="Cambria Math" w:hAnsi="Cambria Math"/>
                    <w:b w:val="0"/>
                    <w:i/>
                    <w:iCs/>
                    <w:color w:val="auto"/>
                    <w:sz w:val="28"/>
                    <w:szCs w:val="28"/>
                  </w:rPr>
                </m:ctrlPr>
              </m:dPr>
              <m:e>
                <m:sSub>
                  <m:sSubPr>
                    <m:ctrlPr>
                      <w:rPr>
                        <w:rFonts w:ascii="Cambria Math" w:hAnsi="Cambria Math"/>
                        <w:b w:val="0"/>
                        <w:i/>
                        <w:iCs/>
                        <w:color w:val="auto"/>
                        <w:sz w:val="28"/>
                        <w:szCs w:val="28"/>
                      </w:rPr>
                    </m:ctrlPr>
                  </m:sSubPr>
                  <m:e>
                    <m:r>
                      <m:rPr>
                        <m:sty m:val="bi"/>
                      </m:rPr>
                      <w:rPr>
                        <w:rFonts w:ascii="Cambria Math" w:hAnsi="Cambria Math"/>
                        <w:color w:val="auto"/>
                        <w:sz w:val="28"/>
                        <w:szCs w:val="28"/>
                      </w:rPr>
                      <m:t>T</m:t>
                    </m:r>
                  </m:e>
                  <m:sub>
                    <m:r>
                      <m:rPr>
                        <m:sty m:val="bi"/>
                      </m:rPr>
                      <w:rPr>
                        <w:rFonts w:ascii="Cambria Math" w:hAnsi="Cambria Math"/>
                        <w:color w:val="auto"/>
                        <w:sz w:val="28"/>
                        <w:szCs w:val="28"/>
                      </w:rPr>
                      <m:t>1</m:t>
                    </m:r>
                  </m:sub>
                </m:sSub>
                <m:r>
                  <m:rPr>
                    <m:sty m:val="bi"/>
                  </m:rPr>
                  <w:rPr>
                    <w:rFonts w:ascii="Cambria Math" w:hAnsi="Cambria Math"/>
                    <w:color w:val="auto"/>
                    <w:sz w:val="28"/>
                    <w:szCs w:val="28"/>
                  </w:rPr>
                  <m:t>log</m:t>
                </m:r>
                <m:d>
                  <m:dPr>
                    <m:ctrlPr>
                      <w:rPr>
                        <w:rFonts w:ascii="Cambria Math" w:hAnsi="Cambria Math"/>
                        <w:b w:val="0"/>
                        <w:i/>
                        <w:iCs/>
                        <w:color w:val="auto"/>
                        <w:sz w:val="28"/>
                        <w:szCs w:val="28"/>
                      </w:rPr>
                    </m:ctrlPr>
                  </m:dPr>
                  <m:e>
                    <m:f>
                      <m:fPr>
                        <m:ctrlPr>
                          <w:rPr>
                            <w:rFonts w:ascii="Cambria Math" w:hAnsi="Cambria Math"/>
                            <w:b w:val="0"/>
                            <w:i/>
                            <w:iCs/>
                            <w:color w:val="auto"/>
                            <w:sz w:val="28"/>
                            <w:szCs w:val="28"/>
                          </w:rPr>
                        </m:ctrlPr>
                      </m:fPr>
                      <m:num>
                        <m:sSub>
                          <m:sSubPr>
                            <m:ctrlPr>
                              <w:rPr>
                                <w:rFonts w:ascii="Cambria Math" w:hAnsi="Cambria Math"/>
                                <w:b w:val="0"/>
                                <w:i/>
                                <w:iCs/>
                                <w:color w:val="auto"/>
                                <w:sz w:val="28"/>
                                <w:szCs w:val="28"/>
                              </w:rPr>
                            </m:ctrlPr>
                          </m:sSubPr>
                          <m:e>
                            <m:r>
                              <m:rPr>
                                <m:sty m:val="bi"/>
                              </m:rPr>
                              <w:rPr>
                                <w:rFonts w:ascii="Cambria Math" w:hAnsi="Cambria Math"/>
                                <w:color w:val="auto"/>
                                <w:sz w:val="28"/>
                                <w:szCs w:val="28"/>
                              </w:rPr>
                              <m:t>r</m:t>
                            </m:r>
                          </m:e>
                          <m:sub>
                            <m:r>
                              <m:rPr>
                                <m:sty m:val="bi"/>
                              </m:rPr>
                              <w:rPr>
                                <w:rFonts w:ascii="Cambria Math" w:hAnsi="Cambria Math"/>
                                <w:color w:val="auto"/>
                                <w:sz w:val="28"/>
                                <w:szCs w:val="28"/>
                              </w:rPr>
                              <m:t>2</m:t>
                            </m:r>
                          </m:sub>
                        </m:sSub>
                      </m:num>
                      <m:den>
                        <m:sSub>
                          <m:sSubPr>
                            <m:ctrlPr>
                              <w:rPr>
                                <w:rFonts w:ascii="Cambria Math" w:hAnsi="Cambria Math"/>
                                <w:b w:val="0"/>
                                <w:i/>
                                <w:iCs/>
                                <w:color w:val="auto"/>
                                <w:sz w:val="28"/>
                                <w:szCs w:val="28"/>
                              </w:rPr>
                            </m:ctrlPr>
                          </m:sSubPr>
                          <m:e>
                            <m:r>
                              <m:rPr>
                                <m:sty m:val="bi"/>
                              </m:rPr>
                              <w:rPr>
                                <w:rFonts w:ascii="Cambria Math" w:hAnsi="Cambria Math"/>
                                <w:color w:val="auto"/>
                                <w:sz w:val="28"/>
                                <w:szCs w:val="28"/>
                              </w:rPr>
                              <m:t>r</m:t>
                            </m:r>
                          </m:e>
                          <m:sub>
                            <m:r>
                              <m:rPr>
                                <m:sty m:val="bi"/>
                              </m:rPr>
                              <w:rPr>
                                <w:rFonts w:ascii="Cambria Math" w:hAnsi="Cambria Math"/>
                                <w:color w:val="auto"/>
                                <w:sz w:val="28"/>
                                <w:szCs w:val="28"/>
                              </w:rPr>
                              <m:t>w</m:t>
                            </m:r>
                          </m:sub>
                        </m:sSub>
                      </m:den>
                    </m:f>
                  </m:e>
                </m:d>
                <m:r>
                  <m:rPr>
                    <m:sty m:val="bi"/>
                  </m:rPr>
                  <w:rPr>
                    <w:rFonts w:ascii="Cambria Math" w:hAnsi="Cambria Math"/>
                    <w:color w:val="auto"/>
                    <w:sz w:val="28"/>
                    <w:szCs w:val="28"/>
                  </w:rPr>
                  <m:t>+</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T</m:t>
                    </m:r>
                  </m:e>
                  <m:sub>
                    <m:r>
                      <m:rPr>
                        <m:sty m:val="bi"/>
                      </m:rPr>
                      <w:rPr>
                        <w:rFonts w:ascii="Cambria Math" w:hAnsi="Cambria Math"/>
                        <w:color w:val="auto"/>
                        <w:sz w:val="28"/>
                        <w:szCs w:val="28"/>
                      </w:rPr>
                      <m:t>2</m:t>
                    </m:r>
                  </m:sub>
                </m:sSub>
                <m:r>
                  <m:rPr>
                    <m:sty m:val="bi"/>
                  </m:rPr>
                  <w:rPr>
                    <w:rFonts w:ascii="Cambria Math" w:hAnsi="Cambria Math"/>
                    <w:color w:val="auto"/>
                    <w:sz w:val="28"/>
                    <w:szCs w:val="28"/>
                  </w:rPr>
                  <m:t>log</m:t>
                </m:r>
                <m:d>
                  <m:dPr>
                    <m:ctrlPr>
                      <w:rPr>
                        <w:rFonts w:ascii="Cambria Math" w:hAnsi="Cambria Math"/>
                        <w:b w:val="0"/>
                        <w:i/>
                        <w:iCs/>
                        <w:color w:val="auto"/>
                        <w:sz w:val="28"/>
                        <w:szCs w:val="28"/>
                      </w:rPr>
                    </m:ctrlPr>
                  </m:dPr>
                  <m:e>
                    <m:f>
                      <m:fPr>
                        <m:ctrlPr>
                          <w:rPr>
                            <w:rFonts w:ascii="Cambria Math" w:hAnsi="Cambria Math"/>
                            <w:b w:val="0"/>
                            <w:i/>
                            <w:iCs/>
                            <w:color w:val="auto"/>
                            <w:sz w:val="28"/>
                            <w:szCs w:val="28"/>
                          </w:rPr>
                        </m:ctrlPr>
                      </m:fPr>
                      <m:num>
                        <m:sSub>
                          <m:sSubPr>
                            <m:ctrlPr>
                              <w:rPr>
                                <w:rFonts w:ascii="Cambria Math" w:hAnsi="Cambria Math"/>
                                <w:b w:val="0"/>
                                <w:i/>
                                <w:iCs/>
                                <w:color w:val="auto"/>
                                <w:sz w:val="28"/>
                                <w:szCs w:val="28"/>
                              </w:rPr>
                            </m:ctrlPr>
                          </m:sSubPr>
                          <m:e>
                            <m:r>
                              <m:rPr>
                                <m:sty m:val="bi"/>
                              </m:rPr>
                              <w:rPr>
                                <w:rFonts w:ascii="Cambria Math" w:hAnsi="Cambria Math"/>
                                <w:color w:val="auto"/>
                                <w:sz w:val="28"/>
                                <w:szCs w:val="28"/>
                              </w:rPr>
                              <m:t>r</m:t>
                            </m:r>
                          </m:e>
                          <m:sub>
                            <m:r>
                              <m:rPr>
                                <m:sty m:val="bi"/>
                              </m:rPr>
                              <w:rPr>
                                <w:rFonts w:ascii="Cambria Math" w:hAnsi="Cambria Math"/>
                                <w:color w:val="auto"/>
                                <w:sz w:val="28"/>
                                <w:szCs w:val="28"/>
                              </w:rPr>
                              <m:t>1</m:t>
                            </m:r>
                          </m:sub>
                        </m:sSub>
                      </m:num>
                      <m:den>
                        <m:sSub>
                          <m:sSubPr>
                            <m:ctrlPr>
                              <w:rPr>
                                <w:rFonts w:ascii="Cambria Math" w:hAnsi="Cambria Math"/>
                                <w:b w:val="0"/>
                                <w:i/>
                                <w:iCs/>
                                <w:color w:val="auto"/>
                                <w:sz w:val="28"/>
                                <w:szCs w:val="28"/>
                              </w:rPr>
                            </m:ctrlPr>
                          </m:sSubPr>
                          <m:e>
                            <m:r>
                              <m:rPr>
                                <m:sty m:val="bi"/>
                              </m:rPr>
                              <w:rPr>
                                <w:rFonts w:ascii="Cambria Math" w:hAnsi="Cambria Math"/>
                                <w:color w:val="auto"/>
                                <w:sz w:val="28"/>
                                <w:szCs w:val="28"/>
                              </w:rPr>
                              <m:t>r</m:t>
                            </m:r>
                          </m:e>
                          <m:sub>
                            <m:r>
                              <m:rPr>
                                <m:sty m:val="bi"/>
                              </m:rPr>
                              <w:rPr>
                                <w:rFonts w:ascii="Cambria Math" w:hAnsi="Cambria Math"/>
                                <w:color w:val="auto"/>
                                <w:sz w:val="28"/>
                                <w:szCs w:val="28"/>
                              </w:rPr>
                              <m:t>w</m:t>
                            </m:r>
                          </m:sub>
                        </m:sSub>
                      </m:den>
                    </m:f>
                  </m:e>
                </m:d>
              </m:e>
            </m:d>
          </m:den>
        </m:f>
        <m:r>
          <m:rPr>
            <m:sty m:val="bi"/>
          </m:rPr>
          <w:rPr>
            <w:rFonts w:ascii="Cambria Math" w:hAnsi="Cambria Math"/>
            <w:color w:val="auto"/>
            <w:sz w:val="28"/>
            <w:szCs w:val="28"/>
          </w:rPr>
          <m:t xml:space="preserve">                                            </m:t>
        </m:r>
      </m:oMath>
      <w:r w:rsidR="004C4A33">
        <w:t xml:space="preserve">Equation </w:t>
      </w:r>
      <w:r>
        <w:fldChar w:fldCharType="begin"/>
      </w:r>
      <w:r>
        <w:instrText xml:space="preserve"> SEQ Equation \* ARABIC </w:instrText>
      </w:r>
      <w:r>
        <w:fldChar w:fldCharType="separate"/>
      </w:r>
      <w:r w:rsidR="002E45AF">
        <w:rPr>
          <w:noProof/>
        </w:rPr>
        <w:t>16</w:t>
      </w:r>
      <w:r>
        <w:rPr>
          <w:noProof/>
        </w:rPr>
        <w:fldChar w:fldCharType="end"/>
      </w:r>
    </w:p>
    <w:p w14:paraId="3EDEBDD6" w14:textId="619A905C" w:rsidR="004C4A33" w:rsidRPr="004C4A33" w:rsidRDefault="00794063" w:rsidP="008A5C4F">
      <w:r>
        <w:t xml:space="preserve">If it is assumed that aquifer 1 is a thick weathered or alluvial aquifer, </w:t>
      </w:r>
      <w:r w:rsidR="004C4A33">
        <w:t xml:space="preserve">Equation </w:t>
      </w:r>
      <w:r w:rsidR="007A7BC9">
        <w:t>16</w:t>
      </w:r>
      <w:r w:rsidR="004C4A33">
        <w:t xml:space="preserve"> can be simplified by </w:t>
      </w:r>
      <w:r>
        <w:t xml:space="preserve">defining </w:t>
      </w:r>
      <w:r w:rsidR="004C4A33">
        <w:t xml:space="preserve">the transmissivity of the production zone </w:t>
      </w:r>
      <w:r w:rsidR="005D341E">
        <w:t xml:space="preserve">(here aquifer 2) </w:t>
      </w:r>
      <w:r w:rsidR="004C4A33">
        <w:t>to be significantly lower than the water bearing aquifer</w:t>
      </w:r>
      <w:r w:rsidR="005D341E">
        <w:t xml:space="preserve"> (aquifer 1)</w:t>
      </w:r>
      <w:r w:rsidR="004C4A33">
        <w:t xml:space="preserve">. Similarly, </w:t>
      </w:r>
      <w:r w:rsidR="004C4A33" w:rsidRPr="004C4A33">
        <w:rPr>
          <w:i/>
        </w:rPr>
        <w:t>r</w:t>
      </w:r>
      <w:r w:rsidR="004C4A33" w:rsidRPr="004C4A33">
        <w:rPr>
          <w:i/>
          <w:vertAlign w:val="subscript"/>
        </w:rPr>
        <w:t>1</w:t>
      </w:r>
      <w:r w:rsidR="004C4A33">
        <w:t xml:space="preserve"> and </w:t>
      </w:r>
      <w:r w:rsidR="004C4A33" w:rsidRPr="004C4A33">
        <w:rPr>
          <w:i/>
        </w:rPr>
        <w:t>r</w:t>
      </w:r>
      <w:r w:rsidR="004C4A33" w:rsidRPr="004C4A33">
        <w:rPr>
          <w:i/>
          <w:vertAlign w:val="subscript"/>
        </w:rPr>
        <w:t>2</w:t>
      </w:r>
      <w:r w:rsidR="004C4A33">
        <w:t>, the distances from the leaky bore</w:t>
      </w:r>
      <w:r w:rsidR="005D341E">
        <w:t xml:space="preserve"> where head drop is considered negligible</w:t>
      </w:r>
      <w:r w:rsidR="004C4A33">
        <w:t xml:space="preserve">, are likely to be greater than ten times the bore radius and less than 1000 times the bore radius where hydrogeological </w:t>
      </w:r>
      <w:r w:rsidR="006E0365">
        <w:t xml:space="preserve">properties </w:t>
      </w:r>
      <w:r w:rsidR="004C4A33">
        <w:t xml:space="preserve">would </w:t>
      </w:r>
      <w:r w:rsidR="006E0365">
        <w:t xml:space="preserve">be different from </w:t>
      </w:r>
      <w:r w:rsidR="006E0365" w:rsidRPr="009806D6">
        <w:rPr>
          <w:i/>
        </w:rPr>
        <w:t>T</w:t>
      </w:r>
      <w:r w:rsidR="006E0365" w:rsidRPr="00176769">
        <w:rPr>
          <w:vertAlign w:val="subscript"/>
        </w:rPr>
        <w:t>1</w:t>
      </w:r>
      <w:r w:rsidR="006E0365">
        <w:t xml:space="preserve"> and </w:t>
      </w:r>
      <w:r w:rsidR="006E0365" w:rsidRPr="009806D6">
        <w:rPr>
          <w:i/>
        </w:rPr>
        <w:t>T</w:t>
      </w:r>
      <w:r w:rsidR="006E0365" w:rsidRPr="00176769">
        <w:rPr>
          <w:vertAlign w:val="subscript"/>
        </w:rPr>
        <w:t>2</w:t>
      </w:r>
      <w:r w:rsidR="006E0365">
        <w:t xml:space="preserve"> and thus invalidate use of a simple equation like Equation </w:t>
      </w:r>
      <w:r w:rsidR="00E901E4">
        <w:t>1</w:t>
      </w:r>
      <w:r w:rsidR="007A7BC9">
        <w:t>9 which assumes heterogeneous aquifers</w:t>
      </w:r>
      <w:r w:rsidR="004C4A33">
        <w:t xml:space="preserve">. </w:t>
      </w:r>
      <w:r w:rsidR="006E0365">
        <w:t>By</w:t>
      </w:r>
      <w:r w:rsidR="004C4A33">
        <w:t xml:space="preserve"> assuming that:</w:t>
      </w:r>
      <w:r w:rsidR="002D3BA2">
        <w:tab/>
      </w:r>
    </w:p>
    <w:p w14:paraId="53A30075" w14:textId="66E4F38C" w:rsidR="004C4A33" w:rsidRPr="002D3BA2" w:rsidRDefault="00ED4C1C" w:rsidP="002D3BA2">
      <w:pPr>
        <w:pStyle w:val="CaptionNote"/>
        <w:jc w:val="right"/>
        <w:rPr>
          <w:rFonts w:eastAsiaTheme="minorEastAsia"/>
          <w:iCs/>
        </w:rPr>
      </w:pPr>
      <m:oMath>
        <m:sSub>
          <m:sSubPr>
            <m:ctrlPr>
              <w:rPr>
                <w:rFonts w:ascii="Cambria Math" w:hAnsi="Cambria Math"/>
                <w:b w:val="0"/>
                <w:i/>
                <w:iCs/>
                <w:color w:val="auto"/>
                <w:sz w:val="28"/>
                <w:szCs w:val="28"/>
              </w:rPr>
            </m:ctrlPr>
          </m:sSubPr>
          <m:e>
            <m:r>
              <m:rPr>
                <m:sty m:val="bi"/>
              </m:rPr>
              <w:rPr>
                <w:rFonts w:ascii="Cambria Math" w:hAnsi="Cambria Math"/>
                <w:color w:val="auto"/>
                <w:sz w:val="28"/>
                <w:szCs w:val="28"/>
              </w:rPr>
              <m:t>T</m:t>
            </m:r>
          </m:e>
          <m:sub>
            <m:r>
              <m:rPr>
                <m:sty m:val="bi"/>
              </m:rPr>
              <w:rPr>
                <w:rFonts w:ascii="Cambria Math" w:hAnsi="Cambria Math"/>
                <w:color w:val="auto"/>
                <w:sz w:val="28"/>
                <w:szCs w:val="28"/>
              </w:rPr>
              <m:t>1</m:t>
            </m:r>
          </m:sub>
        </m:sSub>
        <m:r>
          <m:rPr>
            <m:sty m:val="bi"/>
          </m:rPr>
          <w:rPr>
            <w:rFonts w:ascii="Cambria Math" w:hAnsi="Cambria Math"/>
            <w:color w:val="auto"/>
            <w:sz w:val="28"/>
            <w:szCs w:val="28"/>
          </w:rPr>
          <m:t>≫</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T</m:t>
            </m:r>
          </m:e>
          <m:sub>
            <m:r>
              <m:rPr>
                <m:sty m:val="bi"/>
              </m:rPr>
              <w:rPr>
                <w:rFonts w:ascii="Cambria Math" w:hAnsi="Cambria Math"/>
                <w:color w:val="auto"/>
                <w:sz w:val="28"/>
                <w:szCs w:val="28"/>
              </w:rPr>
              <m:t>2</m:t>
            </m:r>
          </m:sub>
        </m:sSub>
        <m:r>
          <m:rPr>
            <m:sty m:val="bi"/>
          </m:rPr>
          <w:rPr>
            <w:rFonts w:ascii="Cambria Math" w:hAnsi="Cambria Math"/>
            <w:color w:val="auto"/>
            <w:sz w:val="28"/>
            <w:szCs w:val="28"/>
          </w:rPr>
          <m:t xml:space="preserve">                                                           </m:t>
        </m:r>
      </m:oMath>
      <w:r w:rsidR="004C4A33">
        <w:t xml:space="preserve">Equation </w:t>
      </w:r>
      <w:r>
        <w:fldChar w:fldCharType="begin"/>
      </w:r>
      <w:r>
        <w:instrText xml:space="preserve"> SEQ Equation \* ARABIC </w:instrText>
      </w:r>
      <w:r>
        <w:fldChar w:fldCharType="separate"/>
      </w:r>
      <w:r w:rsidR="002E45AF">
        <w:rPr>
          <w:noProof/>
        </w:rPr>
        <w:t>17</w:t>
      </w:r>
      <w:r>
        <w:rPr>
          <w:noProof/>
        </w:rPr>
        <w:fldChar w:fldCharType="end"/>
      </w:r>
    </w:p>
    <w:p w14:paraId="6F11DE9A" w14:textId="1B95BB93" w:rsidR="004C4A33" w:rsidRDefault="004C4A33" w:rsidP="004C4A33">
      <w:r>
        <w:rPr>
          <w:rFonts w:eastAsiaTheme="minorEastAsia"/>
          <w:iCs/>
        </w:rPr>
        <w:t>and</w:t>
      </w:r>
    </w:p>
    <w:p w14:paraId="2F557D2B" w14:textId="226309AA" w:rsidR="004C4A33" w:rsidRDefault="00FF2C3D" w:rsidP="00166B28">
      <w:pPr>
        <w:pStyle w:val="CaptionNote"/>
        <w:jc w:val="right"/>
      </w:pPr>
      <m:oMath>
        <m:r>
          <m:rPr>
            <m:sty m:val="bi"/>
          </m:rPr>
          <w:rPr>
            <w:rFonts w:ascii="Cambria Math" w:hAnsi="Cambria Math"/>
            <w:color w:val="auto"/>
            <w:sz w:val="28"/>
            <w:szCs w:val="28"/>
          </w:rPr>
          <m:t>10</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r</m:t>
            </m:r>
          </m:e>
          <m:sub>
            <m:r>
              <m:rPr>
                <m:sty m:val="bi"/>
              </m:rPr>
              <w:rPr>
                <w:rFonts w:ascii="Cambria Math" w:hAnsi="Cambria Math"/>
                <w:color w:val="auto"/>
                <w:sz w:val="28"/>
                <w:szCs w:val="28"/>
              </w:rPr>
              <m:t>w</m:t>
            </m:r>
          </m:sub>
        </m:sSub>
        <m:r>
          <m:rPr>
            <m:sty m:val="bi"/>
          </m:rPr>
          <w:rPr>
            <w:rFonts w:ascii="Cambria Math" w:hAnsi="Cambria Math"/>
            <w:color w:val="auto"/>
            <w:sz w:val="28"/>
            <w:szCs w:val="28"/>
          </w:rPr>
          <m:t>&lt;</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r</m:t>
            </m:r>
          </m:e>
          <m:sub>
            <m:r>
              <m:rPr>
                <m:sty m:val="bi"/>
              </m:rPr>
              <w:rPr>
                <w:rFonts w:ascii="Cambria Math" w:hAnsi="Cambria Math"/>
                <w:color w:val="auto"/>
                <w:sz w:val="28"/>
                <w:szCs w:val="28"/>
              </w:rPr>
              <m:t>2</m:t>
            </m:r>
          </m:sub>
        </m:sSub>
        <m:r>
          <m:rPr>
            <m:sty m:val="bi"/>
          </m:rPr>
          <w:rPr>
            <w:rFonts w:ascii="Cambria Math" w:hAnsi="Cambria Math"/>
            <w:color w:val="auto"/>
            <w:sz w:val="28"/>
            <w:szCs w:val="28"/>
          </w:rPr>
          <m:t>&lt;1000</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r</m:t>
            </m:r>
          </m:e>
          <m:sub>
            <m:r>
              <m:rPr>
                <m:sty m:val="bi"/>
              </m:rPr>
              <w:rPr>
                <w:rFonts w:ascii="Cambria Math" w:hAnsi="Cambria Math"/>
                <w:color w:val="auto"/>
                <w:sz w:val="28"/>
                <w:szCs w:val="28"/>
              </w:rPr>
              <m:t>w</m:t>
            </m:r>
          </m:sub>
        </m:sSub>
        <m:r>
          <m:rPr>
            <m:sty m:val="bi"/>
          </m:rPr>
          <w:rPr>
            <w:rFonts w:ascii="Cambria Math" w:hAnsi="Cambria Math"/>
            <w:color w:val="auto"/>
            <w:sz w:val="28"/>
            <w:szCs w:val="28"/>
          </w:rPr>
          <m:t xml:space="preserve">  </m:t>
        </m:r>
        <m:r>
          <m:rPr>
            <m:sty m:val="bi"/>
          </m:rPr>
          <w:rPr>
            <w:rFonts w:ascii="Cambria Math" w:hAnsi="Cambria Math"/>
            <w:sz w:val="28"/>
            <w:szCs w:val="28"/>
          </w:rPr>
          <m:t xml:space="preserve">                                            </m:t>
        </m:r>
      </m:oMath>
      <w:r w:rsidR="004C4A33">
        <w:t xml:space="preserve">Equation </w:t>
      </w:r>
      <w:r w:rsidR="00ED4C1C">
        <w:fldChar w:fldCharType="begin"/>
      </w:r>
      <w:r w:rsidR="00ED4C1C">
        <w:instrText xml:space="preserve"> SEQ Equation \* ARABIC </w:instrText>
      </w:r>
      <w:r w:rsidR="00ED4C1C">
        <w:fldChar w:fldCharType="separate"/>
      </w:r>
      <w:r w:rsidR="002E45AF">
        <w:rPr>
          <w:noProof/>
        </w:rPr>
        <w:t>18</w:t>
      </w:r>
      <w:r w:rsidR="00ED4C1C">
        <w:rPr>
          <w:noProof/>
        </w:rPr>
        <w:fldChar w:fldCharType="end"/>
      </w:r>
    </w:p>
    <w:p w14:paraId="7DAFAD57" w14:textId="50D6ED84" w:rsidR="004C4A33" w:rsidRDefault="006E0365" w:rsidP="008A5C4F">
      <w:r>
        <w:t>E</w:t>
      </w:r>
      <w:r w:rsidR="004C4A33">
        <w:t xml:space="preserve">quation </w:t>
      </w:r>
      <w:r w:rsidR="00E901E4">
        <w:t>1</w:t>
      </w:r>
      <w:r w:rsidR="007A7BC9">
        <w:t>3</w:t>
      </w:r>
      <w:r w:rsidR="004C4A33">
        <w:t xml:space="preserve"> can </w:t>
      </w:r>
      <w:r>
        <w:t xml:space="preserve">then </w:t>
      </w:r>
      <w:r w:rsidR="004C4A33">
        <w:t>be simplified to:</w:t>
      </w:r>
    </w:p>
    <w:p w14:paraId="3455AB48" w14:textId="6D1AA4E4" w:rsidR="004C4A33" w:rsidRDefault="00ED4C1C" w:rsidP="00166B28">
      <w:pPr>
        <w:pStyle w:val="CaptionNote"/>
        <w:jc w:val="right"/>
      </w:pPr>
      <m:oMath>
        <m:sSub>
          <m:sSubPr>
            <m:ctrlPr>
              <w:rPr>
                <w:rFonts w:ascii="Cambria Math" w:hAnsi="Cambria Math"/>
                <w:b w:val="0"/>
                <w:i/>
                <w:iCs/>
                <w:color w:val="auto"/>
                <w:sz w:val="28"/>
                <w:szCs w:val="28"/>
              </w:rPr>
            </m:ctrlPr>
          </m:sSubPr>
          <m:e>
            <m:r>
              <m:rPr>
                <m:sty m:val="bi"/>
              </m:rPr>
              <w:rPr>
                <w:rFonts w:ascii="Cambria Math" w:hAnsi="Cambria Math"/>
                <w:color w:val="auto"/>
                <w:sz w:val="28"/>
                <w:szCs w:val="28"/>
              </w:rPr>
              <m:t>K</m:t>
            </m:r>
          </m:e>
          <m:sub>
            <m:r>
              <m:rPr>
                <m:sty m:val="bi"/>
              </m:rPr>
              <w:rPr>
                <w:rFonts w:ascii="Cambria Math" w:hAnsi="Cambria Math"/>
                <w:color w:val="auto"/>
                <w:sz w:val="28"/>
                <w:szCs w:val="28"/>
              </w:rPr>
              <m:t>well</m:t>
            </m:r>
          </m:sub>
        </m:sSub>
        <m:r>
          <m:rPr>
            <m:sty m:val="bi"/>
          </m:rPr>
          <w:rPr>
            <w:rFonts w:ascii="Cambria Math" w:hAnsi="Cambria Math"/>
            <w:color w:val="auto"/>
            <w:sz w:val="28"/>
            <w:szCs w:val="28"/>
          </w:rPr>
          <m:t>≥</m:t>
        </m:r>
        <m:f>
          <m:fPr>
            <m:ctrlPr>
              <w:rPr>
                <w:rFonts w:ascii="Cambria Math" w:hAnsi="Cambria Math"/>
                <w:b w:val="0"/>
                <w:i/>
                <w:iCs/>
                <w:color w:val="auto"/>
                <w:sz w:val="28"/>
                <w:szCs w:val="28"/>
              </w:rPr>
            </m:ctrlPr>
          </m:fPr>
          <m:num>
            <m:r>
              <m:rPr>
                <m:sty m:val="bi"/>
              </m:rPr>
              <w:rPr>
                <w:rFonts w:ascii="Cambria Math" w:hAnsi="Cambria Math"/>
                <w:color w:val="auto"/>
                <w:sz w:val="28"/>
                <w:szCs w:val="28"/>
              </w:rPr>
              <m:t>1.9</m:t>
            </m:r>
            <m:sSub>
              <m:sSubPr>
                <m:ctrlPr>
                  <w:rPr>
                    <w:rFonts w:ascii="Cambria Math" w:hAnsi="Cambria Math"/>
                    <w:b w:val="0"/>
                    <w:i/>
                    <w:iCs/>
                    <w:color w:val="auto"/>
                    <w:sz w:val="28"/>
                    <w:szCs w:val="28"/>
                  </w:rPr>
                </m:ctrlPr>
              </m:sSubPr>
              <m:e>
                <m:r>
                  <m:rPr>
                    <m:sty m:val="bi"/>
                  </m:rPr>
                  <w:rPr>
                    <w:rFonts w:ascii="Cambria Math" w:hAnsi="Cambria Math"/>
                    <w:color w:val="auto"/>
                    <w:sz w:val="28"/>
                    <w:szCs w:val="28"/>
                  </w:rPr>
                  <m:t>T</m:t>
                </m:r>
              </m:e>
              <m:sub>
                <m:r>
                  <m:rPr>
                    <m:sty m:val="bi"/>
                  </m:rPr>
                  <w:rPr>
                    <w:rFonts w:ascii="Cambria Math" w:hAnsi="Cambria Math"/>
                    <w:color w:val="auto"/>
                    <w:sz w:val="28"/>
                    <w:szCs w:val="28"/>
                  </w:rPr>
                  <m:t>2</m:t>
                </m:r>
              </m:sub>
            </m:sSub>
            <m:r>
              <m:rPr>
                <m:sty m:val="bi"/>
              </m:rPr>
              <w:rPr>
                <w:rFonts w:ascii="Cambria Math" w:hAnsi="Cambria Math"/>
                <w:color w:val="auto"/>
                <w:sz w:val="28"/>
                <w:szCs w:val="28"/>
              </w:rPr>
              <m:t>d</m:t>
            </m:r>
          </m:num>
          <m:den>
            <m:sSubSup>
              <m:sSubSupPr>
                <m:ctrlPr>
                  <w:rPr>
                    <w:rFonts w:ascii="Cambria Math" w:hAnsi="Cambria Math"/>
                    <w:b w:val="0"/>
                    <w:i/>
                    <w:iCs/>
                    <w:color w:val="auto"/>
                    <w:sz w:val="28"/>
                    <w:szCs w:val="28"/>
                  </w:rPr>
                </m:ctrlPr>
              </m:sSubSupPr>
              <m:e>
                <m:r>
                  <m:rPr>
                    <m:sty m:val="bi"/>
                  </m:rPr>
                  <w:rPr>
                    <w:rFonts w:ascii="Cambria Math" w:hAnsi="Cambria Math"/>
                    <w:color w:val="auto"/>
                    <w:sz w:val="28"/>
                    <w:szCs w:val="28"/>
                  </w:rPr>
                  <m:t>r</m:t>
                </m:r>
              </m:e>
              <m:sub>
                <m:r>
                  <m:rPr>
                    <m:sty m:val="bi"/>
                  </m:rPr>
                  <w:rPr>
                    <w:rFonts w:ascii="Cambria Math" w:hAnsi="Cambria Math"/>
                    <w:color w:val="auto"/>
                    <w:sz w:val="28"/>
                    <w:szCs w:val="28"/>
                  </w:rPr>
                  <m:t>w</m:t>
                </m:r>
              </m:sub>
              <m:sup>
                <m:r>
                  <m:rPr>
                    <m:sty m:val="bi"/>
                  </m:rPr>
                  <w:rPr>
                    <w:rFonts w:ascii="Cambria Math" w:hAnsi="Cambria Math"/>
                    <w:color w:val="auto"/>
                    <w:sz w:val="28"/>
                    <w:szCs w:val="28"/>
                  </w:rPr>
                  <m:t>2</m:t>
                </m:r>
              </m:sup>
            </m:sSubSup>
          </m:den>
        </m:f>
        <m:r>
          <m:rPr>
            <m:sty m:val="bi"/>
          </m:rPr>
          <w:rPr>
            <w:rFonts w:ascii="Cambria Math" w:hAnsi="Cambria Math"/>
            <w:sz w:val="28"/>
            <w:szCs w:val="28"/>
          </w:rPr>
          <m:t xml:space="preserve">                                                        </m:t>
        </m:r>
      </m:oMath>
      <w:r w:rsidR="004C4A33">
        <w:t xml:space="preserve">Equation </w:t>
      </w:r>
      <w:r>
        <w:fldChar w:fldCharType="begin"/>
      </w:r>
      <w:r>
        <w:instrText xml:space="preserve"> SEQ Equation \* ARABIC </w:instrText>
      </w:r>
      <w:r>
        <w:fldChar w:fldCharType="separate"/>
      </w:r>
      <w:r w:rsidR="002E45AF">
        <w:rPr>
          <w:noProof/>
        </w:rPr>
        <w:t>19</w:t>
      </w:r>
      <w:r>
        <w:rPr>
          <w:noProof/>
        </w:rPr>
        <w:fldChar w:fldCharType="end"/>
      </w:r>
    </w:p>
    <w:p w14:paraId="42BCCD6B" w14:textId="7CDC9A40" w:rsidR="00D527B0" w:rsidRDefault="00084F5C" w:rsidP="008A5C4F">
      <w:r>
        <w:t>Equation 1</w:t>
      </w:r>
      <w:r w:rsidR="007A7BC9">
        <w:t>9</w:t>
      </w:r>
      <w:r>
        <w:t xml:space="preserve"> defines the </w:t>
      </w:r>
      <w:r w:rsidR="00D527B0">
        <w:t xml:space="preserve">values of </w:t>
      </w:r>
      <w:r w:rsidR="00D527B0" w:rsidRPr="00D527B0">
        <w:rPr>
          <w:i/>
        </w:rPr>
        <w:t>K</w:t>
      </w:r>
      <w:r w:rsidR="001D3D09">
        <w:rPr>
          <w:i/>
          <w:vertAlign w:val="subscript"/>
        </w:rPr>
        <w:t>well</w:t>
      </w:r>
      <w:r w:rsidR="00D527B0">
        <w:t xml:space="preserve"> </w:t>
      </w:r>
      <w:r>
        <w:t xml:space="preserve">for which flow through the well or bore is not limited </w:t>
      </w:r>
      <w:r w:rsidR="00597FBB">
        <w:t xml:space="preserve">by </w:t>
      </w:r>
      <w:r>
        <w:t>its hydraulic conductivity</w:t>
      </w:r>
      <w:r w:rsidR="00597FBB">
        <w:t>,</w:t>
      </w:r>
      <w:r>
        <w:t xml:space="preserve"> but by </w:t>
      </w:r>
      <w:r w:rsidR="00D527B0">
        <w:t xml:space="preserve">the transmissivity of </w:t>
      </w:r>
      <w:r>
        <w:t xml:space="preserve">aquifer 2, i.e. </w:t>
      </w:r>
      <w:r w:rsidRPr="009806D6">
        <w:rPr>
          <w:i/>
        </w:rPr>
        <w:t>T</w:t>
      </w:r>
      <w:r w:rsidRPr="00976756">
        <w:rPr>
          <w:vertAlign w:val="subscript"/>
        </w:rPr>
        <w:t>2</w:t>
      </w:r>
      <w:r>
        <w:t xml:space="preserve">. </w:t>
      </w:r>
      <w:r w:rsidR="00597FBB">
        <w:t xml:space="preserve">Under such conditions, </w:t>
      </w:r>
      <w:r w:rsidR="00D527B0">
        <w:t>the aquifer</w:t>
      </w:r>
      <w:r w:rsidR="00544BC7">
        <w:t xml:space="preserve"> transmissivity</w:t>
      </w:r>
      <w:r w:rsidR="00D527B0">
        <w:t xml:space="preserve"> makes the density of leaky wells </w:t>
      </w:r>
      <w:r w:rsidR="00794063">
        <w:t>less important</w:t>
      </w:r>
      <w:r w:rsidR="00D527B0">
        <w:t>.</w:t>
      </w:r>
    </w:p>
    <w:p w14:paraId="4EB2900C" w14:textId="3ED23993" w:rsidR="00103B67" w:rsidRDefault="00544BC7" w:rsidP="002058BB">
      <w:r>
        <w:t xml:space="preserve">Continuing the example problem from this section, we will include the effects of the aquifer transmissivity on flow through the well. </w:t>
      </w:r>
      <w:r w:rsidR="003B3F54">
        <w:t xml:space="preserve">Equation </w:t>
      </w:r>
      <w:r w:rsidR="00873703">
        <w:t>1</w:t>
      </w:r>
      <w:r w:rsidR="00F26844">
        <w:t>3</w:t>
      </w:r>
      <w:r w:rsidR="003B3F54">
        <w:t xml:space="preserve"> was evaluated for </w:t>
      </w:r>
      <w:r w:rsidR="00402D71">
        <w:t xml:space="preserve">an aquifer system </w:t>
      </w:r>
      <w:r w:rsidR="00166CD2">
        <w:t xml:space="preserve">based on the proposed CSG development area in </w:t>
      </w:r>
      <w:r w:rsidR="00794063">
        <w:t>the Narrabri groundwater model [CDM</w:t>
      </w:r>
      <w:r w:rsidR="00F26844">
        <w:t xml:space="preserve"> </w:t>
      </w:r>
      <w:r w:rsidR="00794063">
        <w:t>Smith 2014]</w:t>
      </w:r>
      <w:r w:rsidR="00166CD2">
        <w:t xml:space="preserve">. The  example had a </w:t>
      </w:r>
      <w:r w:rsidR="00402D71">
        <w:t xml:space="preserve">114 m thick surficial aquifer, 600 m thick </w:t>
      </w:r>
      <w:r w:rsidR="00166CD2">
        <w:t xml:space="preserve">series of </w:t>
      </w:r>
      <w:r w:rsidR="00402D71">
        <w:t>aquitard</w:t>
      </w:r>
      <w:r w:rsidR="00166CD2">
        <w:t>s</w:t>
      </w:r>
      <w:r w:rsidR="00402D71">
        <w:t xml:space="preserve"> and 21 m thick production interval</w:t>
      </w:r>
      <w:r w:rsidR="002058BB">
        <w:t xml:space="preserve"> and head difference of 100 m</w:t>
      </w:r>
      <w:r w:rsidR="00103B67">
        <w:t xml:space="preserve"> between surficial aquifer and production interval</w:t>
      </w:r>
      <w:r w:rsidR="00402D71">
        <w:t xml:space="preserve">, as described in Section </w:t>
      </w:r>
      <w:r w:rsidR="00402D71">
        <w:fldChar w:fldCharType="begin"/>
      </w:r>
      <w:r w:rsidR="00402D71">
        <w:instrText xml:space="preserve"> REF _Ref450564769 \r \h </w:instrText>
      </w:r>
      <w:r w:rsidR="00402D71">
        <w:fldChar w:fldCharType="separate"/>
      </w:r>
      <w:r w:rsidR="002E45AF">
        <w:t>3</w:t>
      </w:r>
      <w:r w:rsidR="00402D71">
        <w:fldChar w:fldCharType="end"/>
      </w:r>
      <w:r w:rsidR="00402D71">
        <w:t xml:space="preserve"> below. Flow through the well was calculated for a range of effective well conductivities</w:t>
      </w:r>
      <w:r w:rsidR="009806D6">
        <w:t xml:space="preserve"> (assuming open communication with the aquifer)</w:t>
      </w:r>
      <w:r w:rsidR="00103B67">
        <w:t>:</w:t>
      </w:r>
    </w:p>
    <w:p w14:paraId="40BB7F5F" w14:textId="666FED29" w:rsidR="00103B67" w:rsidRDefault="00272259" w:rsidP="00103B67">
      <w:pPr>
        <w:pStyle w:val="ListParagraph"/>
        <w:numPr>
          <w:ilvl w:val="0"/>
          <w:numId w:val="28"/>
        </w:numPr>
        <w:rPr>
          <w:sz w:val="22"/>
          <w:szCs w:val="22"/>
        </w:rPr>
      </w:pPr>
      <w:r>
        <w:rPr>
          <w:i/>
          <w:sz w:val="22"/>
          <w:szCs w:val="22"/>
        </w:rPr>
        <w:t>K</w:t>
      </w:r>
      <w:r w:rsidR="00694154">
        <w:rPr>
          <w:i/>
          <w:sz w:val="22"/>
          <w:szCs w:val="22"/>
          <w:vertAlign w:val="subscript"/>
        </w:rPr>
        <w:t>well</w:t>
      </w:r>
      <w:r w:rsidR="00103B67">
        <w:rPr>
          <w:sz w:val="22"/>
          <w:szCs w:val="22"/>
        </w:rPr>
        <w:t xml:space="preserve"> </w:t>
      </w:r>
      <w:r w:rsidR="00103B67" w:rsidRPr="00103B67">
        <w:rPr>
          <w:sz w:val="22"/>
          <w:szCs w:val="22"/>
        </w:rPr>
        <w:t xml:space="preserve">from </w:t>
      </w:r>
      <w:r w:rsidR="00402D71" w:rsidRPr="00103B67">
        <w:rPr>
          <w:sz w:val="22"/>
          <w:szCs w:val="22"/>
        </w:rPr>
        <w:t>10</w:t>
      </w:r>
      <w:r w:rsidR="00402D71" w:rsidRPr="00103B67">
        <w:rPr>
          <w:sz w:val="22"/>
          <w:szCs w:val="22"/>
          <w:vertAlign w:val="superscript"/>
        </w:rPr>
        <w:t>-4</w:t>
      </w:r>
      <w:r w:rsidR="00402D71" w:rsidRPr="00103B67">
        <w:rPr>
          <w:sz w:val="22"/>
          <w:szCs w:val="22"/>
        </w:rPr>
        <w:t> m/d to 10</w:t>
      </w:r>
      <w:r w:rsidR="00402D71" w:rsidRPr="00103B67">
        <w:rPr>
          <w:sz w:val="22"/>
          <w:szCs w:val="22"/>
          <w:vertAlign w:val="superscript"/>
        </w:rPr>
        <w:t>8</w:t>
      </w:r>
      <w:r w:rsidR="00402D71" w:rsidRPr="00103B67">
        <w:rPr>
          <w:sz w:val="22"/>
          <w:szCs w:val="22"/>
        </w:rPr>
        <w:t xml:space="preserve"> m/d, with a fixed aquifer conductivity of 0.1 m/d, and </w:t>
      </w:r>
    </w:p>
    <w:p w14:paraId="2F4611CA" w14:textId="478CD2CC" w:rsidR="00544BC7" w:rsidRPr="00103B67" w:rsidRDefault="00272259" w:rsidP="00103B67">
      <w:pPr>
        <w:pStyle w:val="ListParagraph"/>
        <w:numPr>
          <w:ilvl w:val="0"/>
          <w:numId w:val="28"/>
        </w:numPr>
        <w:rPr>
          <w:sz w:val="22"/>
          <w:szCs w:val="22"/>
        </w:rPr>
      </w:pPr>
      <w:r>
        <w:rPr>
          <w:i/>
          <w:sz w:val="22"/>
          <w:szCs w:val="22"/>
        </w:rPr>
        <w:t>K</w:t>
      </w:r>
      <w:r w:rsidR="00694154">
        <w:rPr>
          <w:i/>
          <w:sz w:val="22"/>
          <w:szCs w:val="22"/>
          <w:vertAlign w:val="subscript"/>
        </w:rPr>
        <w:t>well</w:t>
      </w:r>
      <w:r w:rsidR="00103B67" w:rsidRPr="00103B67">
        <w:rPr>
          <w:sz w:val="22"/>
          <w:szCs w:val="22"/>
        </w:rPr>
        <w:t xml:space="preserve"> of 10</w:t>
      </w:r>
      <w:r w:rsidR="00103B67" w:rsidRPr="00103B67">
        <w:rPr>
          <w:sz w:val="22"/>
          <w:szCs w:val="22"/>
          <w:vertAlign w:val="superscript"/>
        </w:rPr>
        <w:t>8</w:t>
      </w:r>
      <w:r w:rsidR="00103B67" w:rsidRPr="00103B67">
        <w:rPr>
          <w:sz w:val="22"/>
          <w:szCs w:val="22"/>
        </w:rPr>
        <w:t> m/d</w:t>
      </w:r>
      <w:r w:rsidR="00103B67">
        <w:rPr>
          <w:sz w:val="22"/>
          <w:szCs w:val="22"/>
        </w:rPr>
        <w:t xml:space="preserve"> (</w:t>
      </w:r>
      <w:r w:rsidR="00103B67" w:rsidRPr="00103B67">
        <w:rPr>
          <w:sz w:val="22"/>
          <w:szCs w:val="22"/>
        </w:rPr>
        <w:t>representing a</w:t>
      </w:r>
      <w:r w:rsidR="00103B67">
        <w:rPr>
          <w:sz w:val="22"/>
          <w:szCs w:val="22"/>
        </w:rPr>
        <w:t xml:space="preserve"> fully</w:t>
      </w:r>
      <w:r w:rsidR="00103B67" w:rsidRPr="00103B67">
        <w:rPr>
          <w:sz w:val="22"/>
          <w:szCs w:val="22"/>
        </w:rPr>
        <w:t xml:space="preserve"> open flowing well</w:t>
      </w:r>
      <w:r w:rsidR="00103B67">
        <w:rPr>
          <w:sz w:val="22"/>
          <w:szCs w:val="22"/>
        </w:rPr>
        <w:t>)</w:t>
      </w:r>
      <w:r w:rsidR="00103B67" w:rsidRPr="00103B67">
        <w:rPr>
          <w:sz w:val="22"/>
          <w:szCs w:val="22"/>
        </w:rPr>
        <w:t xml:space="preserve">, 100 m/d </w:t>
      </w:r>
      <w:r w:rsidR="00103B67">
        <w:rPr>
          <w:sz w:val="22"/>
          <w:szCs w:val="22"/>
        </w:rPr>
        <w:t>(</w:t>
      </w:r>
      <w:r w:rsidR="00103B67" w:rsidRPr="00103B67">
        <w:rPr>
          <w:sz w:val="22"/>
          <w:szCs w:val="22"/>
        </w:rPr>
        <w:t xml:space="preserve">the well conductivity from </w:t>
      </w:r>
      <w:r w:rsidR="00103B67" w:rsidRPr="00103B67">
        <w:rPr>
          <w:sz w:val="22"/>
          <w:szCs w:val="22"/>
        </w:rPr>
        <w:fldChar w:fldCharType="begin"/>
      </w:r>
      <w:r w:rsidR="00103B67" w:rsidRPr="00103B67">
        <w:rPr>
          <w:sz w:val="22"/>
          <w:szCs w:val="22"/>
        </w:rPr>
        <w:instrText xml:space="preserve"> REF _Ref450472748 \h </w:instrText>
      </w:r>
      <w:r w:rsidR="00103B67">
        <w:rPr>
          <w:sz w:val="22"/>
          <w:szCs w:val="22"/>
        </w:rPr>
        <w:instrText xml:space="preserve"> \* MERGEFORMAT </w:instrText>
      </w:r>
      <w:r w:rsidR="00103B67" w:rsidRPr="00103B67">
        <w:rPr>
          <w:sz w:val="22"/>
          <w:szCs w:val="22"/>
        </w:rPr>
      </w:r>
      <w:r w:rsidR="00103B67" w:rsidRPr="00103B67">
        <w:rPr>
          <w:sz w:val="22"/>
          <w:szCs w:val="22"/>
        </w:rPr>
        <w:fldChar w:fldCharType="separate"/>
      </w:r>
      <w:r w:rsidR="002E45AF" w:rsidRPr="002E45AF">
        <w:rPr>
          <w:sz w:val="22"/>
          <w:szCs w:val="22"/>
        </w:rPr>
        <w:t>Figure 5</w:t>
      </w:r>
      <w:r w:rsidR="00103B67" w:rsidRPr="00103B67">
        <w:rPr>
          <w:sz w:val="22"/>
          <w:szCs w:val="22"/>
        </w:rPr>
        <w:fldChar w:fldCharType="end"/>
      </w:r>
      <w:r w:rsidR="00103B67">
        <w:rPr>
          <w:sz w:val="22"/>
          <w:szCs w:val="22"/>
        </w:rPr>
        <w:t xml:space="preserve">) </w:t>
      </w:r>
      <w:r w:rsidR="00103B67" w:rsidRPr="00103B67">
        <w:rPr>
          <w:sz w:val="22"/>
          <w:szCs w:val="22"/>
        </w:rPr>
        <w:t>and 0.1 m/d</w:t>
      </w:r>
      <w:r w:rsidR="00103B67">
        <w:rPr>
          <w:sz w:val="22"/>
          <w:szCs w:val="22"/>
        </w:rPr>
        <w:t xml:space="preserve"> (</w:t>
      </w:r>
      <w:r w:rsidR="00103B67" w:rsidRPr="00103B67">
        <w:rPr>
          <w:sz w:val="22"/>
          <w:szCs w:val="22"/>
        </w:rPr>
        <w:t>well leaking through the degraded cement annulus</w:t>
      </w:r>
      <w:r w:rsidR="00103B67">
        <w:rPr>
          <w:sz w:val="22"/>
          <w:szCs w:val="22"/>
        </w:rPr>
        <w:t>)</w:t>
      </w:r>
      <w:r w:rsidR="00103B67" w:rsidRPr="00103B67">
        <w:rPr>
          <w:sz w:val="22"/>
          <w:szCs w:val="22"/>
        </w:rPr>
        <w:t xml:space="preserve">, </w:t>
      </w:r>
      <w:r w:rsidR="00103B67">
        <w:rPr>
          <w:sz w:val="22"/>
          <w:szCs w:val="22"/>
        </w:rPr>
        <w:t xml:space="preserve">for </w:t>
      </w:r>
      <w:r w:rsidR="00402D71" w:rsidRPr="00103B67">
        <w:rPr>
          <w:sz w:val="22"/>
          <w:szCs w:val="22"/>
        </w:rPr>
        <w:t>a range of aquifer conductivities of 10</w:t>
      </w:r>
      <w:r w:rsidR="00402D71" w:rsidRPr="00103B67">
        <w:rPr>
          <w:sz w:val="22"/>
          <w:szCs w:val="22"/>
          <w:vertAlign w:val="superscript"/>
        </w:rPr>
        <w:t>-4</w:t>
      </w:r>
      <w:r w:rsidR="00402D71" w:rsidRPr="00103B67">
        <w:rPr>
          <w:sz w:val="22"/>
          <w:szCs w:val="22"/>
        </w:rPr>
        <w:t> m/d to 10</w:t>
      </w:r>
      <w:r w:rsidR="00402D71" w:rsidRPr="00103B67">
        <w:rPr>
          <w:sz w:val="22"/>
          <w:szCs w:val="22"/>
          <w:vertAlign w:val="superscript"/>
        </w:rPr>
        <w:t>8</w:t>
      </w:r>
      <w:r w:rsidR="00402D71" w:rsidRPr="00103B67">
        <w:rPr>
          <w:sz w:val="22"/>
          <w:szCs w:val="22"/>
        </w:rPr>
        <w:t> m/d</w:t>
      </w:r>
      <w:r w:rsidR="00103B67">
        <w:rPr>
          <w:sz w:val="22"/>
          <w:szCs w:val="22"/>
        </w:rPr>
        <w:t>.</w:t>
      </w:r>
      <w:r w:rsidR="00402D71" w:rsidRPr="00103B67">
        <w:rPr>
          <w:sz w:val="22"/>
          <w:szCs w:val="22"/>
        </w:rPr>
        <w:t xml:space="preserve"> </w:t>
      </w:r>
    </w:p>
    <w:p w14:paraId="7E11D1AB" w14:textId="2D5878E5" w:rsidR="007C60FC" w:rsidRPr="007C60FC" w:rsidRDefault="00A11DA8" w:rsidP="007E4903">
      <w:r>
        <w:t xml:space="preserve">As shown in </w:t>
      </w:r>
      <w:r>
        <w:fldChar w:fldCharType="begin"/>
      </w:r>
      <w:r>
        <w:instrText xml:space="preserve"> REF _Ref450568798 \h </w:instrText>
      </w:r>
      <w:r>
        <w:fldChar w:fldCharType="separate"/>
      </w:r>
      <w:r w:rsidR="002E45AF">
        <w:t xml:space="preserve">Figure </w:t>
      </w:r>
      <w:r w:rsidR="002E45AF">
        <w:rPr>
          <w:noProof/>
        </w:rPr>
        <w:t>6</w:t>
      </w:r>
      <w:r>
        <w:fldChar w:fldCharType="end"/>
      </w:r>
      <w:r w:rsidR="001B0FA2">
        <w:t>,</w:t>
      </w:r>
      <w:r>
        <w:t xml:space="preserve"> </w:t>
      </w:r>
      <w:r w:rsidR="001B0FA2">
        <w:t>f</w:t>
      </w:r>
      <w:r w:rsidR="0099399A">
        <w:t xml:space="preserve">low through the leaky well, </w:t>
      </w:r>
      <w:r w:rsidR="0099399A" w:rsidRPr="00ED3FB0">
        <w:rPr>
          <w:i/>
        </w:rPr>
        <w:t>Q</w:t>
      </w:r>
      <w:r w:rsidR="0099399A">
        <w:t xml:space="preserve">, </w:t>
      </w:r>
      <w:r w:rsidR="001B0FA2">
        <w:t>i</w:t>
      </w:r>
      <w:r w:rsidR="0099399A">
        <w:t xml:space="preserve">s linearly related to the head difference between the water producing aquifer and the production zone for </w:t>
      </w:r>
      <w:r w:rsidR="001B0FA2">
        <w:t>a</w:t>
      </w:r>
      <w:r w:rsidR="0099399A">
        <w:t xml:space="preserve"> realistic range of well effective hydraulic conductivity, </w:t>
      </w:r>
      <w:r w:rsidR="0099399A" w:rsidRPr="00ED3FB0">
        <w:rPr>
          <w:i/>
        </w:rPr>
        <w:t>K</w:t>
      </w:r>
      <w:r w:rsidR="0099399A" w:rsidRPr="00ED3FB0">
        <w:rPr>
          <w:i/>
          <w:vertAlign w:val="subscript"/>
        </w:rPr>
        <w:t>well</w:t>
      </w:r>
      <w:r w:rsidR="0099399A" w:rsidRPr="00ED3FB0">
        <w:rPr>
          <w:i/>
        </w:rPr>
        <w:t>.</w:t>
      </w:r>
      <w:r w:rsidR="0099399A">
        <w:t xml:space="preserve"> Flow, </w:t>
      </w:r>
      <w:r w:rsidR="0099399A" w:rsidRPr="00ED3FB0">
        <w:rPr>
          <w:i/>
        </w:rPr>
        <w:t>Q</w:t>
      </w:r>
      <w:r w:rsidR="0099399A">
        <w:t xml:space="preserve">, is logarithmically related to </w:t>
      </w:r>
      <w:r w:rsidR="0099399A" w:rsidRPr="00ED3FB0">
        <w:rPr>
          <w:i/>
        </w:rPr>
        <w:t>K</w:t>
      </w:r>
      <w:r w:rsidR="0099399A" w:rsidRPr="00ED3FB0">
        <w:rPr>
          <w:i/>
          <w:vertAlign w:val="subscript"/>
        </w:rPr>
        <w:t>well</w:t>
      </w:r>
      <w:r w:rsidR="0099399A">
        <w:t xml:space="preserve"> while </w:t>
      </w:r>
      <w:r w:rsidR="0099399A" w:rsidRPr="00ED3FB0">
        <w:rPr>
          <w:i/>
        </w:rPr>
        <w:t>K</w:t>
      </w:r>
      <w:r w:rsidR="0099399A" w:rsidRPr="00ED3FB0">
        <w:rPr>
          <w:i/>
          <w:vertAlign w:val="subscript"/>
        </w:rPr>
        <w:t>well</w:t>
      </w:r>
      <w:r w:rsidR="0099399A" w:rsidRPr="00ED3FB0">
        <w:rPr>
          <w:i/>
        </w:rPr>
        <w:t xml:space="preserve"> </w:t>
      </w:r>
      <w:r w:rsidR="0099399A">
        <w:t xml:space="preserve">is low, then limited by the aquifer transmissivity </w:t>
      </w:r>
      <w:r w:rsidR="00570834">
        <w:t xml:space="preserve">(aquifer </w:t>
      </w:r>
      <w:r w:rsidR="00570834" w:rsidRPr="00570834">
        <w:rPr>
          <w:i/>
        </w:rPr>
        <w:t>K</w:t>
      </w:r>
      <w:r w:rsidR="00570834">
        <w:t xml:space="preserve"> = 0.1 m/d) </w:t>
      </w:r>
      <w:r w:rsidR="0099399A">
        <w:t xml:space="preserve">to a constant flow rate when </w:t>
      </w:r>
      <w:r w:rsidR="0099399A" w:rsidRPr="00ED3FB0">
        <w:rPr>
          <w:i/>
        </w:rPr>
        <w:t>K</w:t>
      </w:r>
      <w:r w:rsidR="0099399A" w:rsidRPr="00ED3FB0">
        <w:rPr>
          <w:i/>
          <w:vertAlign w:val="subscript"/>
        </w:rPr>
        <w:t>well</w:t>
      </w:r>
      <w:r w:rsidR="0099399A">
        <w:t xml:space="preserve"> is high (</w:t>
      </w:r>
      <w:r w:rsidR="007E4903">
        <w:fldChar w:fldCharType="begin"/>
      </w:r>
      <w:r w:rsidR="007E4903">
        <w:instrText xml:space="preserve"> REF _Ref450568798 \h </w:instrText>
      </w:r>
      <w:r w:rsidR="007E4903">
        <w:fldChar w:fldCharType="separate"/>
      </w:r>
      <w:r w:rsidR="002E45AF">
        <w:t xml:space="preserve">Figure </w:t>
      </w:r>
      <w:r w:rsidR="002E45AF">
        <w:rPr>
          <w:noProof/>
        </w:rPr>
        <w:t>6</w:t>
      </w:r>
      <w:r w:rsidR="007E4903">
        <w:fldChar w:fldCharType="end"/>
      </w:r>
      <w:r w:rsidR="0099399A">
        <w:t xml:space="preserve">). </w:t>
      </w:r>
      <w:r w:rsidR="007C60FC">
        <w:t xml:space="preserve">Flow through the well is limited by the aquifer </w:t>
      </w:r>
      <w:r w:rsidR="005D4732" w:rsidRPr="005D4732">
        <w:rPr>
          <w:i/>
        </w:rPr>
        <w:t>K</w:t>
      </w:r>
      <w:r w:rsidR="005D4732">
        <w:t xml:space="preserve"> </w:t>
      </w:r>
      <w:r w:rsidR="007C60FC">
        <w:t xml:space="preserve">when </w:t>
      </w:r>
      <w:r w:rsidR="007C60FC" w:rsidRPr="00ED78EB">
        <w:rPr>
          <w:i/>
        </w:rPr>
        <w:t>K</w:t>
      </w:r>
      <w:r w:rsidR="007C60FC">
        <w:rPr>
          <w:vertAlign w:val="subscript"/>
        </w:rPr>
        <w:t>well</w:t>
      </w:r>
      <w:r w:rsidR="007C60FC">
        <w:t xml:space="preserve"> is greater than 10</w:t>
      </w:r>
      <w:r w:rsidR="007C60FC">
        <w:rPr>
          <w:vertAlign w:val="superscript"/>
        </w:rPr>
        <w:t>4</w:t>
      </w:r>
      <w:r w:rsidR="005D4732">
        <w:t xml:space="preserve"> m/d.</w:t>
      </w:r>
    </w:p>
    <w:p w14:paraId="44BB9334" w14:textId="27AD1C4C" w:rsidR="00B0499C" w:rsidRDefault="00214391" w:rsidP="00741D62">
      <w:pPr>
        <w:jc w:val="center"/>
      </w:pPr>
      <w:r>
        <w:rPr>
          <w:noProof/>
        </w:rPr>
        <w:drawing>
          <wp:inline distT="0" distB="0" distL="0" distR="0" wp14:anchorId="3F9F77C1" wp14:editId="0374ADF1">
            <wp:extent cx="3848400" cy="2808000"/>
            <wp:effectExtent l="0" t="0" r="0" b="0"/>
            <wp:docPr id="27" name="Picture 27" descr="Chart of the relationship between flow through a leaky bore and the effective well hydraulic conductivity"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oreKwellGraph.TIF"/>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3848400" cy="2808000"/>
                    </a:xfrm>
                    <a:prstGeom prst="rect">
                      <a:avLst/>
                    </a:prstGeom>
                    <a:ln>
                      <a:noFill/>
                    </a:ln>
                    <a:extLst>
                      <a:ext uri="{53640926-AAD7-44D8-BBD7-CCE9431645EC}">
                        <a14:shadowObscured xmlns:a14="http://schemas.microsoft.com/office/drawing/2010/main"/>
                      </a:ext>
                    </a:extLst>
                  </pic:spPr>
                </pic:pic>
              </a:graphicData>
            </a:graphic>
          </wp:inline>
        </w:drawing>
      </w:r>
    </w:p>
    <w:p w14:paraId="519AE96E" w14:textId="4CF99795" w:rsidR="007E4903" w:rsidRDefault="007E4903" w:rsidP="007E4903">
      <w:pPr>
        <w:pStyle w:val="TableCaption"/>
      </w:pPr>
      <w:bookmarkStart w:id="494" w:name="_Ref450568798"/>
      <w:bookmarkStart w:id="495" w:name="_Toc508266512"/>
      <w:r>
        <w:t xml:space="preserve">Figure </w:t>
      </w:r>
      <w:r w:rsidR="00ED4C1C">
        <w:fldChar w:fldCharType="begin"/>
      </w:r>
      <w:r w:rsidR="00ED4C1C">
        <w:instrText xml:space="preserve"> SEQ Figure \* ARABIC </w:instrText>
      </w:r>
      <w:r w:rsidR="00ED4C1C">
        <w:fldChar w:fldCharType="separate"/>
      </w:r>
      <w:r w:rsidR="002E45AF">
        <w:rPr>
          <w:noProof/>
        </w:rPr>
        <w:t>6</w:t>
      </w:r>
      <w:r w:rsidR="00ED4C1C">
        <w:rPr>
          <w:noProof/>
        </w:rPr>
        <w:fldChar w:fldCharType="end"/>
      </w:r>
      <w:bookmarkEnd w:id="494"/>
      <w:r>
        <w:t xml:space="preserve"> Relationship between flow through a leaky bore a</w:t>
      </w:r>
      <w:r w:rsidRPr="007F0A8E">
        <w:t xml:space="preserve">nd the effective well hydraulic conductivity </w:t>
      </w:r>
      <w:r w:rsidR="00154530" w:rsidRPr="007F0A8E">
        <w:t>(</w:t>
      </w:r>
      <w:r w:rsidR="00154530">
        <w:t>K</w:t>
      </w:r>
      <w:r w:rsidR="00154530" w:rsidRPr="00154530">
        <w:rPr>
          <w:vertAlign w:val="subscript"/>
        </w:rPr>
        <w:t>well</w:t>
      </w:r>
      <w:r w:rsidR="00154530">
        <w:t xml:space="preserve">) </w:t>
      </w:r>
      <w:r>
        <w:t xml:space="preserve">calculated using </w:t>
      </w:r>
      <w:r w:rsidR="00F13BB8">
        <w:t xml:space="preserve">Equation </w:t>
      </w:r>
      <w:r w:rsidR="00873703">
        <w:t>1</w:t>
      </w:r>
      <w:r w:rsidR="00072859">
        <w:t>3</w:t>
      </w:r>
      <w:r w:rsidR="00F13BB8">
        <w:t xml:space="preserve"> </w:t>
      </w:r>
      <w:r>
        <w:t xml:space="preserve">and parameters shown in </w:t>
      </w:r>
      <w:r>
        <w:fldChar w:fldCharType="begin"/>
      </w:r>
      <w:r>
        <w:instrText xml:space="preserve"> REF _Ref447227143 \h </w:instrText>
      </w:r>
      <w:r>
        <w:fldChar w:fldCharType="separate"/>
      </w:r>
      <w:r w:rsidR="002E45AF">
        <w:t xml:space="preserve">Table </w:t>
      </w:r>
      <w:r w:rsidR="002E45AF">
        <w:rPr>
          <w:noProof/>
        </w:rPr>
        <w:t>2</w:t>
      </w:r>
      <w:r>
        <w:fldChar w:fldCharType="end"/>
      </w:r>
      <w:r>
        <w:t xml:space="preserve">. </w:t>
      </w:r>
      <w:r w:rsidR="007C60FC">
        <w:t xml:space="preserve">Dashed lines show the effective well conductivities for a leaky well (0.1 m/d), the example in </w:t>
      </w:r>
      <w:r w:rsidR="007C60FC">
        <w:fldChar w:fldCharType="begin"/>
      </w:r>
      <w:r w:rsidR="007C60FC">
        <w:instrText xml:space="preserve"> REF _Ref450472748 \h </w:instrText>
      </w:r>
      <w:r w:rsidR="007C60FC">
        <w:fldChar w:fldCharType="separate"/>
      </w:r>
      <w:r w:rsidR="002E45AF">
        <w:t xml:space="preserve">Figure </w:t>
      </w:r>
      <w:r w:rsidR="002E45AF">
        <w:rPr>
          <w:noProof/>
        </w:rPr>
        <w:t>5</w:t>
      </w:r>
      <w:r w:rsidR="007C60FC">
        <w:fldChar w:fldCharType="end"/>
      </w:r>
      <w:r w:rsidR="007C60FC">
        <w:t xml:space="preserve"> (100 m/d), and an open well </w:t>
      </w:r>
      <w:r w:rsidR="00FF604A">
        <w:t>10</w:t>
      </w:r>
      <w:r w:rsidR="00FF604A">
        <w:rPr>
          <w:vertAlign w:val="superscript"/>
        </w:rPr>
        <w:t xml:space="preserve">8 </w:t>
      </w:r>
      <w:r w:rsidR="007C60FC">
        <w:t>(m/d).</w:t>
      </w:r>
      <w:bookmarkEnd w:id="495"/>
    </w:p>
    <w:p w14:paraId="0EF21F27" w14:textId="77777777" w:rsidR="007E4903" w:rsidRPr="002B7934" w:rsidRDefault="007E4903" w:rsidP="0099399A"/>
    <w:p w14:paraId="7A53D015" w14:textId="323628D3" w:rsidR="001C5F21" w:rsidRDefault="007E4903" w:rsidP="007E4903">
      <w:r>
        <w:t xml:space="preserve">For the example shown in </w:t>
      </w:r>
      <w:r>
        <w:fldChar w:fldCharType="begin"/>
      </w:r>
      <w:r>
        <w:instrText xml:space="preserve"> REF _Ref450472748 \h </w:instrText>
      </w:r>
      <w:r>
        <w:fldChar w:fldCharType="separate"/>
      </w:r>
      <w:r w:rsidR="002E45AF">
        <w:t xml:space="preserve">Figure </w:t>
      </w:r>
      <w:r w:rsidR="002E45AF">
        <w:rPr>
          <w:noProof/>
        </w:rPr>
        <w:t>5</w:t>
      </w:r>
      <w:r>
        <w:fldChar w:fldCharType="end"/>
      </w:r>
      <w:r>
        <w:t xml:space="preserve">, flow through the well </w:t>
      </w:r>
      <w:r w:rsidR="003755E7">
        <w:t xml:space="preserve">(with </w:t>
      </w:r>
      <w:r w:rsidR="003755E7" w:rsidRPr="003755E7">
        <w:rPr>
          <w:i/>
        </w:rPr>
        <w:t>K</w:t>
      </w:r>
      <w:r w:rsidR="003755E7" w:rsidRPr="003755E7">
        <w:rPr>
          <w:vertAlign w:val="subscript"/>
        </w:rPr>
        <w:t>well</w:t>
      </w:r>
      <w:r w:rsidR="003755E7">
        <w:t xml:space="preserve"> = 100 m/d) </w:t>
      </w:r>
      <w:r>
        <w:t xml:space="preserve">will be limited by aquifer conductivity when </w:t>
      </w:r>
      <w:r w:rsidR="00C50798">
        <w:t>it</w:t>
      </w:r>
      <w:r>
        <w:t xml:space="preserve"> is less than 0.1 m/d</w:t>
      </w:r>
      <w:r w:rsidR="001D5E6F">
        <w:t xml:space="preserve"> (</w:t>
      </w:r>
      <w:r w:rsidR="00E2401C">
        <w:fldChar w:fldCharType="begin"/>
      </w:r>
      <w:r w:rsidR="00E2401C">
        <w:instrText xml:space="preserve"> REF _Ref449207527 \h </w:instrText>
      </w:r>
      <w:r w:rsidR="00E2401C">
        <w:fldChar w:fldCharType="separate"/>
      </w:r>
      <w:r w:rsidR="002E45AF">
        <w:t xml:space="preserve">Figure </w:t>
      </w:r>
      <w:r w:rsidR="002E45AF">
        <w:rPr>
          <w:noProof/>
        </w:rPr>
        <w:t>7</w:t>
      </w:r>
      <w:r w:rsidR="00E2401C">
        <w:fldChar w:fldCharType="end"/>
      </w:r>
      <w:r w:rsidR="00E2401C">
        <w:t xml:space="preserve">, </w:t>
      </w:r>
      <w:r w:rsidR="001D5E6F">
        <w:t>dashed line)</w:t>
      </w:r>
      <w:r>
        <w:t>. Th</w:t>
      </w:r>
      <w:r w:rsidR="001C5F21">
        <w:t xml:space="preserve">e latter conductivity </w:t>
      </w:r>
      <w:r>
        <w:t>is a realistic condition</w:t>
      </w:r>
      <w:r w:rsidR="00C50798">
        <w:t xml:space="preserve"> for many groundwater aquifers</w:t>
      </w:r>
      <w:r w:rsidR="001C5F21">
        <w:t>;</w:t>
      </w:r>
      <w:r>
        <w:t xml:space="preserve"> </w:t>
      </w:r>
      <w:r w:rsidR="001C5F21">
        <w:t>considering</w:t>
      </w:r>
      <w:r>
        <w:t xml:space="preserve"> this parameter combination, flow through the well may be limited by either aquifer or well effective conductivity</w:t>
      </w:r>
      <w:r w:rsidR="001C5F21">
        <w:t>. As a result,</w:t>
      </w:r>
      <w:r>
        <w:t xml:space="preserve"> bore density is </w:t>
      </w:r>
      <w:r w:rsidR="001C5F21">
        <w:t xml:space="preserve">an </w:t>
      </w:r>
      <w:r>
        <w:t xml:space="preserve">important </w:t>
      </w:r>
      <w:r w:rsidR="001C5F21">
        <w:t xml:space="preserve">parameter </w:t>
      </w:r>
      <w:r>
        <w:t>to consider</w:t>
      </w:r>
      <w:r w:rsidR="001C5F21">
        <w:t xml:space="preserve"> when assessments are being made about the potential impact of leaky wells on e</w:t>
      </w:r>
      <w:r w:rsidR="00826113">
        <w:t>quivalent</w:t>
      </w:r>
      <w:r w:rsidR="001C5F21">
        <w:t xml:space="preserve"> conductivity of aquitards, and thus on the groundwater balance</w:t>
      </w:r>
      <w:r>
        <w:t xml:space="preserve">. </w:t>
      </w:r>
    </w:p>
    <w:p w14:paraId="384B6354" w14:textId="7D3CEC92" w:rsidR="00F22434" w:rsidRPr="00310010" w:rsidRDefault="009A29DC" w:rsidP="00741D62">
      <w:pPr>
        <w:jc w:val="center"/>
        <w:rPr>
          <w:vertAlign w:val="subscript"/>
        </w:rPr>
      </w:pPr>
      <w:r>
        <w:rPr>
          <w:noProof/>
          <w:vertAlign w:val="subscript"/>
        </w:rPr>
        <w:drawing>
          <wp:inline distT="0" distB="0" distL="0" distR="0" wp14:anchorId="254C8F9B" wp14:editId="3FF748AD">
            <wp:extent cx="3790800" cy="2721600"/>
            <wp:effectExtent l="0" t="0" r="635" b="3175"/>
            <wp:docPr id="90" name="Picture 90" descr="Chart of the relationship between flow through a leaky bore and the aquifer hydraulic conductivity."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oreKhGraph.TIF"/>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3790800" cy="2721600"/>
                    </a:xfrm>
                    <a:prstGeom prst="rect">
                      <a:avLst/>
                    </a:prstGeom>
                    <a:ln>
                      <a:noFill/>
                    </a:ln>
                    <a:extLst>
                      <a:ext uri="{53640926-AAD7-44D8-BBD7-CCE9431645EC}">
                        <a14:shadowObscured xmlns:a14="http://schemas.microsoft.com/office/drawing/2010/main"/>
                      </a:ext>
                    </a:extLst>
                  </pic:spPr>
                </pic:pic>
              </a:graphicData>
            </a:graphic>
          </wp:inline>
        </w:drawing>
      </w:r>
    </w:p>
    <w:p w14:paraId="0DBFE55A" w14:textId="320F735E" w:rsidR="0099399A" w:rsidRDefault="0099399A" w:rsidP="0099399A">
      <w:pPr>
        <w:pStyle w:val="TableCaption"/>
      </w:pPr>
      <w:bookmarkStart w:id="496" w:name="_Ref449821476"/>
      <w:bookmarkStart w:id="497" w:name="_Ref449207527"/>
      <w:bookmarkStart w:id="498" w:name="_Toc508266513"/>
      <w:r>
        <w:t xml:space="preserve">Figure </w:t>
      </w:r>
      <w:r w:rsidR="00ED4C1C">
        <w:fldChar w:fldCharType="begin"/>
      </w:r>
      <w:r w:rsidR="00ED4C1C">
        <w:instrText xml:space="preserve"> SEQ Figure \* ARABIC </w:instrText>
      </w:r>
      <w:r w:rsidR="00ED4C1C">
        <w:fldChar w:fldCharType="separate"/>
      </w:r>
      <w:r w:rsidR="002E45AF">
        <w:rPr>
          <w:noProof/>
        </w:rPr>
        <w:t>7</w:t>
      </w:r>
      <w:r w:rsidR="00ED4C1C">
        <w:rPr>
          <w:noProof/>
        </w:rPr>
        <w:fldChar w:fldCharType="end"/>
      </w:r>
      <w:bookmarkEnd w:id="496"/>
      <w:bookmarkEnd w:id="497"/>
      <w:r>
        <w:t xml:space="preserve"> Relationship between flow through a leaky bore and the </w:t>
      </w:r>
      <w:r w:rsidR="0058253B">
        <w:t xml:space="preserve">aquifer </w:t>
      </w:r>
      <w:r>
        <w:t>hydraulic conductivity calculated using</w:t>
      </w:r>
      <w:r w:rsidR="00F13BB8">
        <w:t xml:space="preserve"> Equation </w:t>
      </w:r>
      <w:r w:rsidR="00873703">
        <w:t>1</w:t>
      </w:r>
      <w:r w:rsidR="000E133B">
        <w:t>3</w:t>
      </w:r>
      <w:r>
        <w:t xml:space="preserve"> and parameters shown in </w:t>
      </w:r>
      <w:r>
        <w:fldChar w:fldCharType="begin"/>
      </w:r>
      <w:r>
        <w:instrText xml:space="preserve"> REF _Ref447227143 \h </w:instrText>
      </w:r>
      <w:r>
        <w:fldChar w:fldCharType="separate"/>
      </w:r>
      <w:r w:rsidR="002E45AF">
        <w:t xml:space="preserve">Table </w:t>
      </w:r>
      <w:r w:rsidR="002E45AF">
        <w:rPr>
          <w:noProof/>
        </w:rPr>
        <w:t>2</w:t>
      </w:r>
      <w:r>
        <w:fldChar w:fldCharType="end"/>
      </w:r>
      <w:r>
        <w:t>. Higher bore hydraulic conductivities may violate the Forchheimer assumption in Darcy’s equation, and require further analysis using turbulent flow equations.</w:t>
      </w:r>
      <w:r w:rsidR="00F649F7">
        <w:t xml:space="preserve"> The dashed line represents the aquifer hydraulic conductivity used in the analysis.</w:t>
      </w:r>
      <w:bookmarkEnd w:id="498"/>
    </w:p>
    <w:p w14:paraId="4DE8D0C8" w14:textId="10E1AC05" w:rsidR="00843959" w:rsidRDefault="00843959" w:rsidP="0099399A">
      <w:r>
        <w:t>With an effective well conductivity of 100 m/d, and a production zone with a transmissivity of 2.1 m</w:t>
      </w:r>
      <w:r>
        <w:rPr>
          <w:vertAlign w:val="superscript"/>
        </w:rPr>
        <w:t>2</w:t>
      </w:r>
      <w:r>
        <w:t>/d (21 m thick with conductivity of 0.1 m/d), the formation do</w:t>
      </w:r>
      <w:r w:rsidR="001C72B6">
        <w:t>es</w:t>
      </w:r>
      <w:r>
        <w:t xml:space="preserve"> have the capacity to transport water to the leaky well without limiting its flow.</w:t>
      </w:r>
      <w:r w:rsidR="007F0629">
        <w:t xml:space="preserve"> Flow would be limited when </w:t>
      </w:r>
      <w:r w:rsidR="007F0629" w:rsidRPr="00B40ED3">
        <w:rPr>
          <w:i/>
        </w:rPr>
        <w:t>K</w:t>
      </w:r>
      <w:r w:rsidR="007F0A8E">
        <w:rPr>
          <w:vertAlign w:val="subscript"/>
        </w:rPr>
        <w:t>h</w:t>
      </w:r>
      <w:r w:rsidR="007F0629">
        <w:t xml:space="preserve"> is 0.01 m/d or less.</w:t>
      </w:r>
      <w:r>
        <w:t xml:space="preserve"> </w:t>
      </w:r>
      <w:r w:rsidR="00AB2546">
        <w:t xml:space="preserve">Projecting this non-limiting case onto </w:t>
      </w:r>
      <w:r w:rsidR="001B45BF">
        <w:fldChar w:fldCharType="begin"/>
      </w:r>
      <w:r w:rsidR="001B45BF">
        <w:instrText xml:space="preserve"> REF _Ref450472748 \h </w:instrText>
      </w:r>
      <w:r w:rsidR="001B45BF">
        <w:fldChar w:fldCharType="separate"/>
      </w:r>
      <w:r w:rsidR="002E45AF">
        <w:t xml:space="preserve">Figure </w:t>
      </w:r>
      <w:r w:rsidR="002E45AF">
        <w:rPr>
          <w:noProof/>
        </w:rPr>
        <w:t>5</w:t>
      </w:r>
      <w:r w:rsidR="001B45BF">
        <w:fldChar w:fldCharType="end"/>
      </w:r>
      <w:r w:rsidR="001B45BF">
        <w:t xml:space="preserve"> </w:t>
      </w:r>
      <w:r w:rsidR="00AB2546">
        <w:t xml:space="preserve">shows that the aquitard </w:t>
      </w:r>
      <w:r w:rsidR="00272259">
        <w:rPr>
          <w:i/>
        </w:rPr>
        <w:t>K</w:t>
      </w:r>
      <w:r w:rsidR="00272259" w:rsidRPr="00272259">
        <w:rPr>
          <w:i/>
          <w:vertAlign w:val="subscript"/>
        </w:rPr>
        <w:t>eq</w:t>
      </w:r>
      <w:r w:rsidR="00AB2546">
        <w:t xml:space="preserve"> would significantly </w:t>
      </w:r>
      <w:r w:rsidR="001B45BF">
        <w:t>change</w:t>
      </w:r>
      <w:r w:rsidR="00AB2546">
        <w:t xml:space="preserve"> from its background value </w:t>
      </w:r>
      <w:r w:rsidR="000439E9">
        <w:t>if</w:t>
      </w:r>
      <w:r w:rsidR="00AB2546">
        <w:t xml:space="preserve"> </w:t>
      </w:r>
      <w:r w:rsidR="000439E9">
        <w:t xml:space="preserve">the following conditions are met: </w:t>
      </w:r>
      <w:r w:rsidR="00BC0EEA">
        <w:t xml:space="preserve">for a </w:t>
      </w:r>
      <w:r w:rsidR="000439E9">
        <w:t>background aquitard</w:t>
      </w:r>
      <w:r w:rsidR="00BC0EEA">
        <w:t xml:space="preserve"> </w:t>
      </w:r>
      <w:r w:rsidR="00BC0EEA" w:rsidRPr="00BC0EEA">
        <w:rPr>
          <w:i/>
        </w:rPr>
        <w:t>K</w:t>
      </w:r>
      <w:r w:rsidR="00BC0EEA">
        <w:t xml:space="preserve"> equal to</w:t>
      </w:r>
      <w:r w:rsidR="000439E9">
        <w:t xml:space="preserve"> 10</w:t>
      </w:r>
      <w:r w:rsidR="000439E9" w:rsidRPr="000439E9">
        <w:rPr>
          <w:vertAlign w:val="superscript"/>
        </w:rPr>
        <w:t>-4</w:t>
      </w:r>
      <w:r w:rsidR="000439E9">
        <w:t xml:space="preserve"> m/d </w:t>
      </w:r>
      <w:r w:rsidR="00BC0EEA">
        <w:t xml:space="preserve">when </w:t>
      </w:r>
      <w:r w:rsidR="000439E9">
        <w:t xml:space="preserve">the number of </w:t>
      </w:r>
      <w:r w:rsidR="00AB2546">
        <w:t>leaky well</w:t>
      </w:r>
      <w:r w:rsidR="00BC0EEA">
        <w:t>s</w:t>
      </w:r>
      <w:r w:rsidR="00AB2546">
        <w:t>/km</w:t>
      </w:r>
      <w:r w:rsidR="00AB2546" w:rsidRPr="00B40ED3">
        <w:rPr>
          <w:vertAlign w:val="superscript"/>
        </w:rPr>
        <w:t>2</w:t>
      </w:r>
      <w:r w:rsidR="001B45BF">
        <w:t xml:space="preserve"> </w:t>
      </w:r>
      <w:r w:rsidR="000439E9">
        <w:t xml:space="preserve">is </w:t>
      </w:r>
      <w:r w:rsidR="00BC0EEA">
        <w:t xml:space="preserve">larger </w:t>
      </w:r>
      <w:r w:rsidR="000439E9">
        <w:t>than or equal to one</w:t>
      </w:r>
      <w:r w:rsidR="00BC0EEA">
        <w:t xml:space="preserve">; for a background aquitard </w:t>
      </w:r>
      <w:r w:rsidR="00BC0EEA" w:rsidRPr="00BC0EEA">
        <w:rPr>
          <w:i/>
        </w:rPr>
        <w:t>K</w:t>
      </w:r>
      <w:r w:rsidR="00BC0EEA">
        <w:t xml:space="preserve"> equal to 10</w:t>
      </w:r>
      <w:r w:rsidR="00BC0EEA">
        <w:rPr>
          <w:vertAlign w:val="superscript"/>
        </w:rPr>
        <w:t>-5</w:t>
      </w:r>
      <w:r w:rsidR="00BC0EEA">
        <w:t xml:space="preserve"> m/d when the number of leaky well</w:t>
      </w:r>
      <w:r w:rsidR="00F90DA2">
        <w:t>s</w:t>
      </w:r>
      <w:r w:rsidR="00BC0EEA">
        <w:t>/km</w:t>
      </w:r>
      <w:r w:rsidR="00BC0EEA" w:rsidRPr="00B40ED3">
        <w:rPr>
          <w:vertAlign w:val="superscript"/>
        </w:rPr>
        <w:t>2</w:t>
      </w:r>
      <w:r w:rsidR="00BC0EEA">
        <w:t xml:space="preserve"> is larger than or equal to 0.1, etc.</w:t>
      </w:r>
    </w:p>
    <w:p w14:paraId="4ACBBB09" w14:textId="15C99FEA" w:rsidR="00AD216B" w:rsidRDefault="00AD216B" w:rsidP="00AD216B">
      <w:r>
        <w:t>For a fully open well, the aquifer will limit flow for an aquifer conductivity less than 100 m/d (</w:t>
      </w:r>
      <w:r>
        <w:fldChar w:fldCharType="begin"/>
      </w:r>
      <w:r>
        <w:instrText xml:space="preserve"> REF _Ref449207527 \h </w:instrText>
      </w:r>
      <w:r>
        <w:fldChar w:fldCharType="separate"/>
      </w:r>
      <w:r w:rsidR="002E45AF">
        <w:t xml:space="preserve">Figure </w:t>
      </w:r>
      <w:r w:rsidR="002E45AF">
        <w:rPr>
          <w:noProof/>
        </w:rPr>
        <w:t>7</w:t>
      </w:r>
      <w:r>
        <w:fldChar w:fldCharType="end"/>
      </w:r>
      <w:r>
        <w:t xml:space="preserve">, </w:t>
      </w:r>
      <w:r w:rsidR="00C808A6">
        <w:t>the point at which the solid line levels off</w:t>
      </w:r>
      <w:r>
        <w:t>). This is a very high conductivity, typical for sands and gravel, but not representative for major aquifers such as the Pilliga Sandstone [CDM</w:t>
      </w:r>
      <w:r w:rsidR="000E133B">
        <w:t xml:space="preserve"> </w:t>
      </w:r>
      <w:r>
        <w:t xml:space="preserve">Smith 2014] in NSW. Therefore, for all instances where an open well is present in the system, flow is likely to be limited by aquifer conductivity. In other words, flow through an open well is governed by aquifer parameters, not by the parameters of the well. </w:t>
      </w:r>
      <w:r w:rsidR="00713200">
        <w:t>Because flow through a fully open well will be at least equal to or higher than flow through a leaky well (</w:t>
      </w:r>
      <w:r w:rsidR="00713200" w:rsidRPr="00713200">
        <w:rPr>
          <w:i/>
        </w:rPr>
        <w:t>K</w:t>
      </w:r>
      <w:r w:rsidR="00713200" w:rsidRPr="00713200">
        <w:rPr>
          <w:vertAlign w:val="subscript"/>
        </w:rPr>
        <w:t>well</w:t>
      </w:r>
      <w:r w:rsidR="00713200">
        <w:t xml:space="preserve"> = 100 m/d)</w:t>
      </w:r>
      <w:r w:rsidR="00C048B8">
        <w:t xml:space="preserve">, the effect of such open wells on modifying the background conductivity of an aquitards will be at least as important as for the leaky well with </w:t>
      </w:r>
      <w:r w:rsidR="00C048B8" w:rsidRPr="00713200">
        <w:rPr>
          <w:i/>
        </w:rPr>
        <w:t>K</w:t>
      </w:r>
      <w:r w:rsidR="00C048B8" w:rsidRPr="00713200">
        <w:rPr>
          <w:vertAlign w:val="subscript"/>
        </w:rPr>
        <w:t>well</w:t>
      </w:r>
      <w:r w:rsidR="00C048B8">
        <w:t xml:space="preserve"> = 100 m/d. Therefore, fully open wells have the capacity to significantly change the hydraulic conductivity of an aquitard.</w:t>
      </w:r>
      <w:r>
        <w:t xml:space="preserve"> </w:t>
      </w:r>
    </w:p>
    <w:p w14:paraId="7B37B562" w14:textId="50BF298D" w:rsidR="00F90DA2" w:rsidRDefault="00F90DA2" w:rsidP="00F90DA2">
      <w:r>
        <w:t>In the case of a well leaking through the degraded cement annulus (</w:t>
      </w:r>
      <w:r w:rsidRPr="001C5F21">
        <w:rPr>
          <w:i/>
        </w:rPr>
        <w:t>K</w:t>
      </w:r>
      <w:r w:rsidRPr="001C5F21">
        <w:rPr>
          <w:vertAlign w:val="subscript"/>
        </w:rPr>
        <w:t>well</w:t>
      </w:r>
      <w:r>
        <w:t xml:space="preserve"> = 0.1 m/d), flow is limited solely by the flow through the well for all realistic values of aquifer conductivity (</w:t>
      </w:r>
      <w:r>
        <w:fldChar w:fldCharType="begin"/>
      </w:r>
      <w:r>
        <w:instrText xml:space="preserve"> REF _Ref449207527 \h </w:instrText>
      </w:r>
      <w:r>
        <w:fldChar w:fldCharType="separate"/>
      </w:r>
      <w:r w:rsidR="002E45AF">
        <w:t xml:space="preserve">Figure </w:t>
      </w:r>
      <w:r w:rsidR="002E45AF">
        <w:rPr>
          <w:noProof/>
        </w:rPr>
        <w:t>7</w:t>
      </w:r>
      <w:r>
        <w:fldChar w:fldCharType="end"/>
      </w:r>
      <w:r>
        <w:t xml:space="preserve">, dot-dash line). </w:t>
      </w:r>
      <w:r w:rsidR="00983682">
        <w:t>The conditions for which the background e</w:t>
      </w:r>
      <w:r w:rsidR="00826113">
        <w:t>quivalent</w:t>
      </w:r>
      <w:r w:rsidR="00983682">
        <w:t xml:space="preserve"> conductivity of an aquitard becomes significantly modified are shown in </w:t>
      </w:r>
      <w:r w:rsidR="00983682">
        <w:fldChar w:fldCharType="begin"/>
      </w:r>
      <w:r w:rsidR="00983682">
        <w:instrText xml:space="preserve"> REF _Ref450587495 \h </w:instrText>
      </w:r>
      <w:r w:rsidR="00983682">
        <w:fldChar w:fldCharType="separate"/>
      </w:r>
      <w:r w:rsidR="002E45AF">
        <w:t xml:space="preserve">Figure </w:t>
      </w:r>
      <w:r w:rsidR="002E45AF">
        <w:rPr>
          <w:noProof/>
        </w:rPr>
        <w:t>8</w:t>
      </w:r>
      <w:r w:rsidR="00983682">
        <w:fldChar w:fldCharType="end"/>
      </w:r>
      <w:r w:rsidR="00983682">
        <w:t xml:space="preserve">: </w:t>
      </w:r>
      <w:r w:rsidR="0009161A">
        <w:t>for a broad range of aquitard conductivities (10</w:t>
      </w:r>
      <w:r w:rsidR="0009161A" w:rsidRPr="0009161A">
        <w:rPr>
          <w:vertAlign w:val="superscript"/>
        </w:rPr>
        <w:t>-2</w:t>
      </w:r>
      <w:r w:rsidR="0009161A">
        <w:t xml:space="preserve"> to 10</w:t>
      </w:r>
      <w:r w:rsidR="0009161A" w:rsidRPr="0009161A">
        <w:rPr>
          <w:vertAlign w:val="superscript"/>
        </w:rPr>
        <w:t>-6</w:t>
      </w:r>
      <w:r w:rsidR="0009161A">
        <w:t xml:space="preserve"> m/d), the number of leaky wells/km</w:t>
      </w:r>
      <w:r w:rsidR="0009161A" w:rsidRPr="0009161A">
        <w:rPr>
          <w:vertAlign w:val="superscript"/>
        </w:rPr>
        <w:t>2</w:t>
      </w:r>
      <w:r w:rsidR="0009161A">
        <w:t xml:space="preserve"> has to be larger than five</w:t>
      </w:r>
      <w:r w:rsidR="00FB1EAE">
        <w:t>. Because this is highly unlikely, the conclusion is that a leaky well with a degraded cement annulus (</w:t>
      </w:r>
      <w:r w:rsidR="00FB1EAE" w:rsidRPr="001C5F21">
        <w:rPr>
          <w:i/>
        </w:rPr>
        <w:t>K</w:t>
      </w:r>
      <w:r w:rsidR="00FB1EAE" w:rsidRPr="001C5F21">
        <w:rPr>
          <w:vertAlign w:val="subscript"/>
        </w:rPr>
        <w:t>well</w:t>
      </w:r>
      <w:r w:rsidR="00FB1EAE">
        <w:t xml:space="preserve"> = 0.1 m/d) would not normally modify the e</w:t>
      </w:r>
      <w:r w:rsidR="00826113">
        <w:t>quivalent</w:t>
      </w:r>
      <w:r w:rsidR="00FB1EAE">
        <w:t xml:space="preserve"> hydraulic conductivity of an aquitard.</w:t>
      </w:r>
    </w:p>
    <w:p w14:paraId="6358DB19" w14:textId="6F6132FC" w:rsidR="00983682" w:rsidRDefault="00983682" w:rsidP="00F90DA2"/>
    <w:p w14:paraId="0AF5B435" w14:textId="5516D1ED" w:rsidR="0049042B" w:rsidRDefault="001E6D84" w:rsidP="00741D62">
      <w:pPr>
        <w:jc w:val="center"/>
      </w:pPr>
      <w:r w:rsidRPr="001E6D84">
        <w:rPr>
          <w:noProof/>
        </w:rPr>
        <w:drawing>
          <wp:inline distT="0" distB="0" distL="0" distR="0" wp14:anchorId="3ECE5826" wp14:editId="07FE9C84">
            <wp:extent cx="4349115" cy="4437380"/>
            <wp:effectExtent l="0" t="0" r="0" b="1270"/>
            <wp:docPr id="24" name="Picture 24" descr="Chart of the equivalent hydraulic conductivity of an aquitard with a series of leaky wells as a function of well failure density.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49115" cy="4437380"/>
                    </a:xfrm>
                    <a:prstGeom prst="rect">
                      <a:avLst/>
                    </a:prstGeom>
                    <a:noFill/>
                    <a:ln>
                      <a:noFill/>
                    </a:ln>
                  </pic:spPr>
                </pic:pic>
              </a:graphicData>
            </a:graphic>
          </wp:inline>
        </w:drawing>
      </w:r>
    </w:p>
    <w:p w14:paraId="0E24CEE9" w14:textId="036EA83B" w:rsidR="0049042B" w:rsidRDefault="0049042B" w:rsidP="0049042B">
      <w:pPr>
        <w:pStyle w:val="TableCaption"/>
      </w:pPr>
      <w:bookmarkStart w:id="499" w:name="_Ref450587495"/>
      <w:bookmarkStart w:id="500" w:name="_Toc508266514"/>
      <w:r>
        <w:t xml:space="preserve">Figure </w:t>
      </w:r>
      <w:r w:rsidR="00ED4C1C">
        <w:fldChar w:fldCharType="begin"/>
      </w:r>
      <w:r w:rsidR="00ED4C1C">
        <w:instrText xml:space="preserve"> SEQ Figure \* ARABIC </w:instrText>
      </w:r>
      <w:r w:rsidR="00ED4C1C">
        <w:fldChar w:fldCharType="separate"/>
      </w:r>
      <w:r w:rsidR="002E45AF">
        <w:rPr>
          <w:noProof/>
        </w:rPr>
        <w:t>8</w:t>
      </w:r>
      <w:r w:rsidR="00ED4C1C">
        <w:rPr>
          <w:noProof/>
        </w:rPr>
        <w:fldChar w:fldCharType="end"/>
      </w:r>
      <w:bookmarkEnd w:id="499"/>
      <w:r w:rsidR="00352808">
        <w:t xml:space="preserve"> Equivalent</w:t>
      </w:r>
      <w:r>
        <w:t xml:space="preserve"> hydraulic conductivity of an aquitard with a series of leaky wells (K</w:t>
      </w:r>
      <w:r w:rsidRPr="0049042B">
        <w:rPr>
          <w:vertAlign w:val="subscript"/>
        </w:rPr>
        <w:t>well</w:t>
      </w:r>
      <w:r>
        <w:t xml:space="preserve"> = 0.1 m/d) as </w:t>
      </w:r>
      <w:r w:rsidR="00C808A6">
        <w:t xml:space="preserve">a </w:t>
      </w:r>
      <w:r>
        <w:t>function of well failure density.</w:t>
      </w:r>
      <w:bookmarkEnd w:id="500"/>
      <w:r>
        <w:t xml:space="preserve"> </w:t>
      </w:r>
    </w:p>
    <w:p w14:paraId="2562EB3F" w14:textId="2ACB31FD" w:rsidR="00544BC7" w:rsidRDefault="00544BC7" w:rsidP="00544BC7">
      <w:r>
        <w:t>The</w:t>
      </w:r>
      <w:r w:rsidR="007F0629">
        <w:t>se</w:t>
      </w:r>
      <w:r>
        <w:t xml:space="preserve"> analytical equations </w:t>
      </w:r>
      <w:r w:rsidRPr="00D8730A">
        <w:t>provide a broade</w:t>
      </w:r>
      <w:r w:rsidR="00176769">
        <w:t>r</w:t>
      </w:r>
      <w:r w:rsidRPr="00D8730A">
        <w:t xml:space="preserve"> parameter space and conceptualisations</w:t>
      </w:r>
      <w:r>
        <w:t xml:space="preserve"> to assess the potential for flow through a leaky CSG well</w:t>
      </w:r>
      <w:r w:rsidR="00C808A6">
        <w:t xml:space="preserve"> or water bore</w:t>
      </w:r>
      <w:r>
        <w:t xml:space="preserve">. However, they do not include the leakage and storage effects of the thick aquitard that separates the production zone and </w:t>
      </w:r>
      <w:r w:rsidR="007A7BC9">
        <w:t xml:space="preserve">surface </w:t>
      </w:r>
      <w:r>
        <w:t xml:space="preserve">alluvial aquifer. Numerical modelling of the problem is warranted to assess these effects, therefore a numerical model with a more limited parameter space that is representative of real world conditions </w:t>
      </w:r>
      <w:r w:rsidR="00A67A22">
        <w:t>i</w:t>
      </w:r>
      <w:r>
        <w:t xml:space="preserve">s </w:t>
      </w:r>
      <w:r w:rsidR="00A67A22">
        <w:t xml:space="preserve">subsequently </w:t>
      </w:r>
      <w:r>
        <w:t>applied to the problem.</w:t>
      </w:r>
    </w:p>
    <w:p w14:paraId="542740BF" w14:textId="1790EF21" w:rsidR="006D5FE9" w:rsidRDefault="004C332D" w:rsidP="00AE21EF">
      <w:pPr>
        <w:pStyle w:val="Heading1"/>
      </w:pPr>
      <w:bookmarkStart w:id="501" w:name="_Ref450564769"/>
      <w:bookmarkStart w:id="502" w:name="_Toc452449147"/>
      <w:r>
        <w:t>Numerical m</w:t>
      </w:r>
      <w:r w:rsidR="00AE21EF">
        <w:t>odel development</w:t>
      </w:r>
      <w:bookmarkEnd w:id="501"/>
      <w:bookmarkEnd w:id="502"/>
    </w:p>
    <w:p w14:paraId="00EBD39B" w14:textId="0A4B9581" w:rsidR="00AE21EF" w:rsidRDefault="004D2EE8" w:rsidP="00AE21EF">
      <w:r>
        <w:t>A single well</w:t>
      </w:r>
      <w:r w:rsidR="00911067">
        <w:t xml:space="preserve"> </w:t>
      </w:r>
      <w:r w:rsidR="00A31D2D">
        <w:t xml:space="preserve">groundwater flow </w:t>
      </w:r>
      <w:r w:rsidR="00911067">
        <w:t xml:space="preserve">model was developed to represent a three layer system, which </w:t>
      </w:r>
      <w:r w:rsidR="00201AD7">
        <w:t xml:space="preserve">is </w:t>
      </w:r>
      <w:r w:rsidR="00911067">
        <w:t>a simplification of the hydrogeological st</w:t>
      </w:r>
      <w:r w:rsidR="008B7B3C">
        <w:t>ructure of the proposed Narrabr</w:t>
      </w:r>
      <w:r w:rsidR="00911067">
        <w:t xml:space="preserve">i CSG development </w:t>
      </w:r>
      <w:r w:rsidR="00A31D2D">
        <w:t>area, NSW</w:t>
      </w:r>
      <w:r w:rsidR="00911067">
        <w:t xml:space="preserve">. </w:t>
      </w:r>
      <w:r w:rsidR="006A506C">
        <w:t xml:space="preserve">The model was developed in MODFLOW USG </w:t>
      </w:r>
      <w:r w:rsidR="0088713D">
        <w:fldChar w:fldCharType="begin"/>
      </w:r>
      <w:r w:rsidR="008677F5">
        <w:instrText xml:space="preserve"> ADDIN EN.CITE &lt;EndNote&gt;&lt;Cite&gt;&lt;Author&gt;Panday&lt;/Author&gt;&lt;Year&gt;2013&lt;/Year&gt;&lt;RecNum&gt;2495&lt;/RecNum&gt;&lt;DisplayText&gt;[&lt;style face="italic"&gt;Panday et al.&lt;/style&gt;, 2013]&lt;/DisplayText&gt;&lt;record&gt;&lt;rec-number&gt;2495&lt;/rec-number&gt;&lt;foreign-keys&gt;&lt;key app="EN" db-id="sawsrtr20e9dd8ewz5evfttuv5erw5fa22tr"&gt;2495&lt;/key&gt;&lt;/foreign-keys&gt;&lt;ref-type name="Report"&gt;27&lt;/ref-type&gt;&lt;contributors&gt;&lt;authors&gt;&lt;author&gt;Panday, Sorab&lt;/author&gt;&lt;author&gt;Langevin, Christian D.&lt;/author&gt;&lt;author&gt;Niswonger, Richard G.&lt;/author&gt;&lt;author&gt;Ibaraki, Motomu&lt;/author&gt;&lt;author&gt;Hughes, Joseph D.&lt;/author&gt;&lt;/authors&gt;&lt;tertiary-authors&gt;&lt;author&gt;U. S. Geological Survey&lt;/author&gt;&lt;/tertiary-authors&gt;&lt;/contributors&gt;&lt;titles&gt;&lt;title&gt;MODFLOW–USG version 1: An unstructured grid version of MODFLOW for simulating groundwater flow and tightly coupled processes using a control volume finite-difference formulation&lt;/title&gt;&lt;secondary-title&gt;Techniques and Methods&lt;/secondary-title&gt;&lt;/titles&gt;&lt;pages&gt;78&lt;/pages&gt;&lt;dates&gt;&lt;year&gt;2013&lt;/year&gt;&lt;/dates&gt;&lt;pub-location&gt;Reston, VA&lt;/pub-location&gt;&lt;isbn&gt;6-A45&lt;/isbn&gt;&lt;work-type&gt;Report&lt;/work-type&gt;&lt;urls&gt;&lt;related-urls&gt;&lt;url&gt;http://pubs.er.usgs.gov/publication/tm6A45&lt;/url&gt;&lt;/related-urls&gt;&lt;/urls&gt;&lt;remote-database-name&gt;USGS Publications Warehouse&lt;/remote-database-name&gt;&lt;language&gt;English&lt;/language&gt;&lt;/record&gt;&lt;/Cite&gt;&lt;/EndNote&gt;</w:instrText>
      </w:r>
      <w:r w:rsidR="0088713D">
        <w:fldChar w:fldCharType="separate"/>
      </w:r>
      <w:r w:rsidR="008677F5">
        <w:rPr>
          <w:noProof/>
        </w:rPr>
        <w:t>[</w:t>
      </w:r>
      <w:hyperlink w:anchor="_ENREF_19" w:tooltip="Panday, 2013 #2495" w:history="1">
        <w:r w:rsidR="007A7BC9" w:rsidRPr="00336753">
          <w:rPr>
            <w:noProof/>
          </w:rPr>
          <w:t>Panday et al.</w:t>
        </w:r>
        <w:r w:rsidR="007A7BC9" w:rsidRPr="007B6101">
          <w:rPr>
            <w:noProof/>
          </w:rPr>
          <w:t>,</w:t>
        </w:r>
        <w:r w:rsidR="007A7BC9">
          <w:rPr>
            <w:noProof/>
          </w:rPr>
          <w:t xml:space="preserve"> 2013</w:t>
        </w:r>
      </w:hyperlink>
      <w:r w:rsidR="008677F5">
        <w:rPr>
          <w:noProof/>
        </w:rPr>
        <w:t>]</w:t>
      </w:r>
      <w:r w:rsidR="0088713D">
        <w:fldChar w:fldCharType="end"/>
      </w:r>
      <w:r w:rsidR="006A506C">
        <w:t xml:space="preserve">, using a </w:t>
      </w:r>
      <w:r w:rsidR="00A06BCD">
        <w:t>V</w:t>
      </w:r>
      <w:r w:rsidR="006A506C">
        <w:t>oronoi unstructured grid developed using Algo</w:t>
      </w:r>
      <w:r w:rsidR="0088713D">
        <w:t xml:space="preserve">Mesh </w:t>
      </w:r>
      <w:r w:rsidR="0088713D">
        <w:fldChar w:fldCharType="begin"/>
      </w:r>
      <w:r w:rsidR="008677F5">
        <w:instrText xml:space="preserve"> ADDIN EN.CITE &lt;EndNote&gt;&lt;Cite&gt;&lt;Author&gt;Merrick&lt;/Author&gt;&lt;Year&gt;2015&lt;/Year&gt;&lt;RecNum&gt;2529&lt;/RecNum&gt;&lt;DisplayText&gt;[&lt;style face="italic"&gt;Merrick&lt;/style&gt;, 2015]&lt;/DisplayText&gt;&lt;record&gt;&lt;rec-number&gt;2529&lt;/rec-number&gt;&lt;foreign-keys&gt;&lt;key app="EN" db-id="sawsrtr20e9dd8ewz5evfttuv5erw5fa22tr"&gt;2529&lt;/key&gt;&lt;/foreign-keys&gt;&lt;ref-type name="Conference Paper"&gt;47&lt;/ref-type&gt;&lt;contributors&gt;&lt;authors&gt;&lt;author&gt;Merrick, D&lt;/author&gt;&lt;/authors&gt;&lt;/contributors&gt;&lt;titles&gt;&lt;title&gt;AlgoMesh: A new software tool for building unstructured grid models&lt;/title&gt;&lt;secondary-title&gt;Modflow and More 2015: Modeling a Complex World&lt;/secondary-title&gt;&lt;/titles&gt;&lt;dates&gt;&lt;year&gt;2015&lt;/year&gt;&lt;/dates&gt;&lt;pub-location&gt;Colorado School of Mines, Golden, Colorado, USA. May 31–June 3 2015&lt;/pub-location&gt;&lt;urls&gt;&lt;/urls&gt;&lt;/record&gt;&lt;/Cite&gt;&lt;/EndNote&gt;</w:instrText>
      </w:r>
      <w:r w:rsidR="0088713D">
        <w:fldChar w:fldCharType="separate"/>
      </w:r>
      <w:r w:rsidR="008677F5">
        <w:rPr>
          <w:noProof/>
        </w:rPr>
        <w:t>[</w:t>
      </w:r>
      <w:hyperlink w:anchor="_ENREF_13" w:tooltip="Merrick, 2015 #2529" w:history="1">
        <w:r w:rsidR="007A7BC9" w:rsidRPr="00336753">
          <w:rPr>
            <w:noProof/>
          </w:rPr>
          <w:t>Merrick</w:t>
        </w:r>
        <w:r w:rsidR="007A7BC9" w:rsidRPr="007B6101">
          <w:rPr>
            <w:noProof/>
          </w:rPr>
          <w:t>,</w:t>
        </w:r>
        <w:r w:rsidR="007A7BC9">
          <w:rPr>
            <w:noProof/>
          </w:rPr>
          <w:t xml:space="preserve"> 2015</w:t>
        </w:r>
      </w:hyperlink>
      <w:r w:rsidR="008677F5">
        <w:rPr>
          <w:noProof/>
        </w:rPr>
        <w:t>]</w:t>
      </w:r>
      <w:r w:rsidR="0088713D">
        <w:fldChar w:fldCharType="end"/>
      </w:r>
      <w:r w:rsidR="006A506C">
        <w:t>.</w:t>
      </w:r>
    </w:p>
    <w:p w14:paraId="72218A37" w14:textId="27A00D06" w:rsidR="00F5129E" w:rsidRDefault="006A506C">
      <w:r>
        <w:t xml:space="preserve">The model domain consisted of an upper, </w:t>
      </w:r>
      <w:r w:rsidR="00A64C51">
        <w:t xml:space="preserve">confined water bearing aquifer, 114 m in thickness </w:t>
      </w:r>
      <w:r w:rsidR="00AB6D25">
        <w:t>(Layer 1)</w:t>
      </w:r>
      <w:r>
        <w:t xml:space="preserve">, </w:t>
      </w:r>
      <w:r w:rsidR="00A64C51">
        <w:t xml:space="preserve">a series of aquitards represented as a single layer of 600 m thickness </w:t>
      </w:r>
      <w:r w:rsidR="00AB6D25">
        <w:t xml:space="preserve">(Layer 2) </w:t>
      </w:r>
      <w:r>
        <w:t xml:space="preserve">and </w:t>
      </w:r>
      <w:r w:rsidR="00DE24FB">
        <w:t>an underlying, 21-m-</w:t>
      </w:r>
      <w:r w:rsidR="00A64C51">
        <w:t xml:space="preserve">thick </w:t>
      </w:r>
      <w:r>
        <w:t xml:space="preserve">aquifer </w:t>
      </w:r>
      <w:r w:rsidR="00C57806">
        <w:t xml:space="preserve">comprising the coal seam targets </w:t>
      </w:r>
      <w:r>
        <w:t>used for CSG production</w:t>
      </w:r>
      <w:r w:rsidR="00AB6D25">
        <w:t xml:space="preserve"> (Layer 3) (</w:t>
      </w:r>
      <w:r w:rsidR="00AB6D25">
        <w:fldChar w:fldCharType="begin"/>
      </w:r>
      <w:r w:rsidR="00AB6D25">
        <w:instrText xml:space="preserve"> REF _Ref447227122 \h </w:instrText>
      </w:r>
      <w:r w:rsidR="00AB6D25">
        <w:fldChar w:fldCharType="separate"/>
      </w:r>
      <w:r w:rsidR="002E45AF">
        <w:t xml:space="preserve">Figure </w:t>
      </w:r>
      <w:r w:rsidR="002E45AF">
        <w:rPr>
          <w:noProof/>
        </w:rPr>
        <w:t>9</w:t>
      </w:r>
      <w:r w:rsidR="00AB6D25">
        <w:fldChar w:fldCharType="end"/>
      </w:r>
      <w:r w:rsidR="00AB6D25">
        <w:t>)</w:t>
      </w:r>
      <w:r>
        <w:t>.</w:t>
      </w:r>
      <w:r w:rsidR="00AB6D25">
        <w:t xml:space="preserve"> The</w:t>
      </w:r>
      <w:r w:rsidR="00603E50">
        <w:t xml:space="preserve"> total thickness of the model was</w:t>
      </w:r>
      <w:r w:rsidR="00AB6D25">
        <w:t xml:space="preserve"> </w:t>
      </w:r>
      <w:r w:rsidR="00603E50">
        <w:t>735</w:t>
      </w:r>
      <w:r w:rsidR="00AB6D25">
        <w:t> m.</w:t>
      </w:r>
      <w:r w:rsidR="00422954">
        <w:t xml:space="preserve"> </w:t>
      </w:r>
      <w:r w:rsidR="00091F18">
        <w:t>To reduce the influence of boundary conditions, t</w:t>
      </w:r>
      <w:r w:rsidR="00422954">
        <w:t xml:space="preserve">he model domain was defined as a 10,000 m radius </w:t>
      </w:r>
      <w:r w:rsidR="00091F18">
        <w:t xml:space="preserve">around the </w:t>
      </w:r>
      <w:r w:rsidR="00201AD7">
        <w:t xml:space="preserve">gas </w:t>
      </w:r>
      <w:r w:rsidR="00091F18">
        <w:t>production well.</w:t>
      </w:r>
      <w:r w:rsidR="00FC2EC5">
        <w:t xml:space="preserve"> The </w:t>
      </w:r>
      <w:r w:rsidR="00146AB1">
        <w:t>V</w:t>
      </w:r>
      <w:r w:rsidR="00FC2EC5">
        <w:t xml:space="preserve">oronoi mesh was defined to have a </w:t>
      </w:r>
      <w:r w:rsidR="00201AD7">
        <w:t xml:space="preserve">maximum horizontal </w:t>
      </w:r>
      <w:r w:rsidR="00FC2EC5">
        <w:t xml:space="preserve">cell dimension of 750 m for the majority of the model and minimum </w:t>
      </w:r>
      <w:r w:rsidR="00201AD7">
        <w:t xml:space="preserve">horizontal </w:t>
      </w:r>
      <w:r w:rsidR="00FC2EC5">
        <w:t>cell dimensions at the production well</w:t>
      </w:r>
      <w:r w:rsidR="00C57806">
        <w:t xml:space="preserve">. The minimum cell dimensions </w:t>
      </w:r>
      <w:r w:rsidR="00FC2EC5">
        <w:t>vary from 0.5 m to 1000 m</w:t>
      </w:r>
      <w:r w:rsidR="00603E50">
        <w:t xml:space="preserve"> to assess the impact of discretisation on flow in a leaky bore</w:t>
      </w:r>
      <w:r w:rsidR="00C81EFE">
        <w:t>.</w:t>
      </w:r>
      <w:r w:rsidR="005909E6">
        <w:t xml:space="preserve"> </w:t>
      </w:r>
    </w:p>
    <w:p w14:paraId="0BC066EE" w14:textId="3FC78186" w:rsidR="00F5129E" w:rsidRDefault="00F5129E" w:rsidP="00F5129E">
      <w:r>
        <w:t xml:space="preserve">Horizontal and vertical hydraulic conductivity, specific yield and specific storage for each of the layers are shown in </w:t>
      </w:r>
      <w:r>
        <w:fldChar w:fldCharType="begin"/>
      </w:r>
      <w:r>
        <w:instrText xml:space="preserve"> REF _Ref447227143 \h </w:instrText>
      </w:r>
      <w:r>
        <w:fldChar w:fldCharType="separate"/>
      </w:r>
      <w:r w:rsidR="002E45AF">
        <w:t xml:space="preserve">Table </w:t>
      </w:r>
      <w:r w:rsidR="002E45AF">
        <w:rPr>
          <w:noProof/>
        </w:rPr>
        <w:t>2</w:t>
      </w:r>
      <w:r>
        <w:fldChar w:fldCharType="end"/>
      </w:r>
      <w:r>
        <w:t xml:space="preserve">. </w:t>
      </w:r>
      <w:r w:rsidR="003E3CFA">
        <w:t>For the basic model conceptualisation, i</w:t>
      </w:r>
      <w:r w:rsidR="007178EF">
        <w:t>nitial</w:t>
      </w:r>
      <w:r w:rsidR="00C92BFF">
        <w:t xml:space="preserve"> conditions </w:t>
      </w:r>
      <w:r w:rsidR="003E3CFA">
        <w:t xml:space="preserve">were </w:t>
      </w:r>
      <w:r w:rsidR="00C92BFF">
        <w:t>defined by a 49</w:t>
      </w:r>
      <w:r>
        <w:t xml:space="preserve"> m downward head difference, being the largest pre-production head </w:t>
      </w:r>
      <w:r w:rsidR="008B7B3C">
        <w:t>difference found in the Narrabr</w:t>
      </w:r>
      <w:r>
        <w:t xml:space="preserve">i model </w:t>
      </w:r>
      <w:r>
        <w:fldChar w:fldCharType="begin"/>
      </w:r>
      <w:r w:rsidR="008677F5">
        <w:instrText xml:space="preserve"> ADDIN EN.CITE &lt;EndNote&gt;&lt;Cite&gt;&lt;Author&gt;CDM Smith&lt;/Author&gt;&lt;Year&gt;2014&lt;/Year&gt;&lt;RecNum&gt;2544&lt;/RecNum&gt;&lt;DisplayText&gt;[&lt;style face="italic"&gt;CDM Smith&lt;/style&gt;, 2014]&lt;/DisplayText&gt;&lt;record&gt;&lt;rec-number&gt;2544&lt;/rec-number&gt;&lt;foreign-keys&gt;&lt;key app="EN" db-id="sawsrtr20e9dd8ewz5evfttuv5erw5fa22tr"&gt;2544&lt;/key&gt;&lt;/foreign-keys&gt;&lt;ref-type name="Report"&gt;27&lt;/ref-type&gt;&lt;contributors&gt;&lt;authors&gt;&lt;author&gt;CDM Smith,&lt;/author&gt;&lt;/authors&gt;&lt;/contributors&gt;&lt;titles&gt;&lt;title&gt;Santos Narrabri Gas Project: Groundwater modelling report. &lt;/title&gt;&lt;/titles&gt;&lt;pages&gt;291&lt;/pages&gt;&lt;dates&gt;&lt;year&gt;2014&lt;/year&gt;&lt;/dates&gt;&lt;pub-location&gt;Subiaco, WA&lt;/pub-location&gt;&lt;urls&gt;&lt;/urls&gt;&lt;/record&gt;&lt;/Cite&gt;&lt;/EndNote&gt;</w:instrText>
      </w:r>
      <w:r>
        <w:fldChar w:fldCharType="separate"/>
      </w:r>
      <w:r w:rsidR="008677F5">
        <w:rPr>
          <w:noProof/>
        </w:rPr>
        <w:t>[</w:t>
      </w:r>
      <w:hyperlink w:anchor="_ENREF_2" w:tooltip="CDM Smith, 2014 #2544" w:history="1">
        <w:r w:rsidR="007A7BC9" w:rsidRPr="00336753">
          <w:rPr>
            <w:noProof/>
          </w:rPr>
          <w:t>CDM Smith</w:t>
        </w:r>
        <w:r w:rsidR="007A7BC9">
          <w:rPr>
            <w:noProof/>
          </w:rPr>
          <w:t>, 2014</w:t>
        </w:r>
      </w:hyperlink>
      <w:r w:rsidR="008677F5">
        <w:rPr>
          <w:noProof/>
        </w:rPr>
        <w:t>]</w:t>
      </w:r>
      <w:r>
        <w:fldChar w:fldCharType="end"/>
      </w:r>
      <w:r>
        <w:t>.</w:t>
      </w:r>
      <w:r w:rsidR="003E3CFA">
        <w:t xml:space="preserve"> The head difference in both upward and downward gradients was varied for other scenarios as shown below.</w:t>
      </w:r>
      <w:r>
        <w:t xml:space="preserve"> At a 10,000 m radius from the production bore, Layer 1 had a constant head boundary (CHB) of </w:t>
      </w:r>
      <w:r w:rsidR="00C92BFF">
        <w:t>328</w:t>
      </w:r>
      <w:r>
        <w:t xml:space="preserve"> m and Layer 3 had a CHB of </w:t>
      </w:r>
      <w:r w:rsidR="00C92BFF">
        <w:t>279</w:t>
      </w:r>
      <w:r>
        <w:t> m</w:t>
      </w:r>
      <w:r w:rsidR="003E3CFA">
        <w:t>, applied across the depth of the layer</w:t>
      </w:r>
      <w:r w:rsidR="00C030AA">
        <w:t>, while Layer 2 had a no-flow boundary condition at its perimeter.</w:t>
      </w:r>
    </w:p>
    <w:p w14:paraId="5A1AD7DA" w14:textId="77777777" w:rsidR="00E07213" w:rsidRDefault="00E07213" w:rsidP="00F5129E"/>
    <w:p w14:paraId="6F397CB8" w14:textId="77777777" w:rsidR="00F5129E" w:rsidRDefault="00F5129E" w:rsidP="00F5129E">
      <w:r>
        <w:rPr>
          <w:noProof/>
        </w:rPr>
        <w:drawing>
          <wp:inline distT="0" distB="0" distL="0" distR="0" wp14:anchorId="521041D9" wp14:editId="1A85E68D">
            <wp:extent cx="5506869" cy="3040911"/>
            <wp:effectExtent l="0" t="0" r="0" b="7620"/>
            <wp:docPr id="4" name="Picture 4" descr="Image of the model domain in AlgoMesh."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597" t="30495" r="21831" b="6465"/>
                    <a:stretch/>
                  </pic:blipFill>
                  <pic:spPr bwMode="auto">
                    <a:xfrm>
                      <a:off x="0" y="0"/>
                      <a:ext cx="5518848" cy="3047526"/>
                    </a:xfrm>
                    <a:prstGeom prst="rect">
                      <a:avLst/>
                    </a:prstGeom>
                    <a:ln>
                      <a:noFill/>
                    </a:ln>
                    <a:extLst>
                      <a:ext uri="{53640926-AAD7-44D8-BBD7-CCE9431645EC}">
                        <a14:shadowObscured xmlns:a14="http://schemas.microsoft.com/office/drawing/2010/main"/>
                      </a:ext>
                    </a:extLst>
                  </pic:spPr>
                </pic:pic>
              </a:graphicData>
            </a:graphic>
          </wp:inline>
        </w:drawing>
      </w:r>
    </w:p>
    <w:p w14:paraId="0B728AE5" w14:textId="703B5388" w:rsidR="00F5129E" w:rsidRDefault="00F5129E" w:rsidP="00D562B7">
      <w:pPr>
        <w:pStyle w:val="TableCaption"/>
      </w:pPr>
      <w:bookmarkStart w:id="503" w:name="_Ref447227122"/>
      <w:bookmarkStart w:id="504" w:name="_Toc508266515"/>
      <w:r>
        <w:t xml:space="preserve">Figure </w:t>
      </w:r>
      <w:r w:rsidR="00ED4C1C">
        <w:fldChar w:fldCharType="begin"/>
      </w:r>
      <w:r w:rsidR="00ED4C1C">
        <w:instrText xml:space="preserve"> SEQ Figure \* ARABIC </w:instrText>
      </w:r>
      <w:r w:rsidR="00ED4C1C">
        <w:fldChar w:fldCharType="separate"/>
      </w:r>
      <w:r w:rsidR="002E45AF">
        <w:rPr>
          <w:noProof/>
        </w:rPr>
        <w:t>9</w:t>
      </w:r>
      <w:r w:rsidR="00ED4C1C">
        <w:rPr>
          <w:noProof/>
        </w:rPr>
        <w:fldChar w:fldCharType="end"/>
      </w:r>
      <w:bookmarkEnd w:id="503"/>
      <w:r>
        <w:t xml:space="preserve"> Model domain in AlgoMesh </w:t>
      </w:r>
      <w:r w:rsidR="009910B5">
        <w:t>indicating the three model layers and grid refinement around the well at the centre of the domain.</w:t>
      </w:r>
      <w:bookmarkEnd w:id="504"/>
    </w:p>
    <w:p w14:paraId="444723F8" w14:textId="77777777" w:rsidR="00F5129E" w:rsidRDefault="00F5129E" w:rsidP="00AB6D25"/>
    <w:p w14:paraId="7C757CFA" w14:textId="04D37CA8" w:rsidR="00D61860" w:rsidRPr="000645A2" w:rsidRDefault="00D61860" w:rsidP="00AB6D25">
      <w:r>
        <w:t>The horizontal (</w:t>
      </w:r>
      <w:r w:rsidRPr="00287A00">
        <w:rPr>
          <w:i/>
        </w:rPr>
        <w:t>K</w:t>
      </w:r>
      <w:r w:rsidRPr="00287A00">
        <w:rPr>
          <w:i/>
          <w:vertAlign w:val="subscript"/>
        </w:rPr>
        <w:t>h</w:t>
      </w:r>
      <w:r>
        <w:t xml:space="preserve">) </w:t>
      </w:r>
      <w:r w:rsidRPr="00D61860">
        <w:t>and</w:t>
      </w:r>
      <w:r>
        <w:t xml:space="preserve"> vertical (</w:t>
      </w:r>
      <w:r w:rsidRPr="00287A00">
        <w:rPr>
          <w:i/>
        </w:rPr>
        <w:t>K</w:t>
      </w:r>
      <w:r w:rsidRPr="00287A00">
        <w:rPr>
          <w:i/>
          <w:vertAlign w:val="subscript"/>
        </w:rPr>
        <w:t>v</w:t>
      </w:r>
      <w:r>
        <w:t xml:space="preserve">) hydraulic conductivities for each of the model layers were </w:t>
      </w:r>
      <w:r w:rsidR="009648A9">
        <w:t xml:space="preserve">sourced from the CDM Smith </w:t>
      </w:r>
      <w:r w:rsidR="009648A9">
        <w:fldChar w:fldCharType="begin"/>
      </w:r>
      <w:r w:rsidR="009648A9">
        <w:instrText xml:space="preserve"> ADDIN EN.CITE &lt;EndNote&gt;&lt;Cite ExcludeAuth="1"&gt;&lt;Author&gt;CDM Smith&lt;/Author&gt;&lt;Year&gt;2014&lt;/Year&gt;&lt;RecNum&gt;2544&lt;/RecNum&gt;&lt;DisplayText&gt;[2014]&lt;/DisplayText&gt;&lt;record&gt;&lt;rec-number&gt;2544&lt;/rec-number&gt;&lt;foreign-keys&gt;&lt;key app="EN" db-id="sawsrtr20e9dd8ewz5evfttuv5erw5fa22tr"&gt;2544&lt;/key&gt;&lt;/foreign-keys&gt;&lt;ref-type name="Report"&gt;27&lt;/ref-type&gt;&lt;contributors&gt;&lt;authors&gt;&lt;author&gt;CDM Smith,&lt;/author&gt;&lt;/authors&gt;&lt;/contributors&gt;&lt;titles&gt;&lt;title&gt;Santos Narrabri Gas Project: Groundwater modelling report. &lt;/title&gt;&lt;/titles&gt;&lt;pages&gt;291&lt;/pages&gt;&lt;dates&gt;&lt;year&gt;2014&lt;/year&gt;&lt;/dates&gt;&lt;pub-location&gt;Subiaco, WA&lt;/pub-location&gt;&lt;urls&gt;&lt;/urls&gt;&lt;/record&gt;&lt;/Cite&gt;&lt;/EndNote&gt;</w:instrText>
      </w:r>
      <w:r w:rsidR="009648A9">
        <w:fldChar w:fldCharType="separate"/>
      </w:r>
      <w:r w:rsidR="009648A9">
        <w:rPr>
          <w:noProof/>
        </w:rPr>
        <w:t>[</w:t>
      </w:r>
      <w:hyperlink w:anchor="_ENREF_2" w:tooltip="CDM Smith, 2014 #2544" w:history="1">
        <w:r w:rsidR="007A7BC9">
          <w:rPr>
            <w:noProof/>
          </w:rPr>
          <w:t>2014</w:t>
        </w:r>
      </w:hyperlink>
      <w:r w:rsidR="009648A9">
        <w:rPr>
          <w:noProof/>
        </w:rPr>
        <w:t>]</w:t>
      </w:r>
      <w:r w:rsidR="009648A9">
        <w:fldChar w:fldCharType="end"/>
      </w:r>
      <w:r w:rsidR="009648A9">
        <w:t xml:space="preserve"> Narrabri models, with </w:t>
      </w:r>
      <w:r w:rsidR="00EE2854">
        <w:t>the median value used as bulk properties in the aquitard (Layer 2)</w:t>
      </w:r>
      <w:r w:rsidR="00C06C02" w:rsidRPr="00C06C02">
        <w:t xml:space="preserve"> </w:t>
      </w:r>
      <w:r w:rsidR="00C06C02">
        <w:t>(</w:t>
      </w:r>
      <w:r w:rsidR="00C06C02">
        <w:fldChar w:fldCharType="begin"/>
      </w:r>
      <w:r w:rsidR="00C06C02">
        <w:instrText xml:space="preserve"> REF _Ref447227143 \h </w:instrText>
      </w:r>
      <w:r w:rsidR="00C06C02">
        <w:fldChar w:fldCharType="separate"/>
      </w:r>
      <w:r w:rsidR="002E45AF">
        <w:t xml:space="preserve">Table </w:t>
      </w:r>
      <w:r w:rsidR="002E45AF">
        <w:rPr>
          <w:noProof/>
        </w:rPr>
        <w:t>2</w:t>
      </w:r>
      <w:r w:rsidR="00C06C02">
        <w:fldChar w:fldCharType="end"/>
      </w:r>
      <w:r w:rsidR="00C06C02">
        <w:t>)</w:t>
      </w:r>
      <w:r w:rsidR="00EE2854">
        <w:t>.</w:t>
      </w:r>
      <w:r w:rsidR="00C06C02">
        <w:t xml:space="preserve"> </w:t>
      </w:r>
      <w:r w:rsidR="0092716E">
        <w:t>Specific yield (</w:t>
      </w:r>
      <w:r w:rsidR="0092716E" w:rsidRPr="00287A00">
        <w:rPr>
          <w:i/>
        </w:rPr>
        <w:t>S</w:t>
      </w:r>
      <w:r w:rsidR="0092716E" w:rsidRPr="00287A00">
        <w:rPr>
          <w:i/>
          <w:vertAlign w:val="subscript"/>
        </w:rPr>
        <w:t>y</w:t>
      </w:r>
      <w:r w:rsidR="0092716E">
        <w:t>) and specific storage (</w:t>
      </w:r>
      <w:r w:rsidR="0092716E" w:rsidRPr="00287A00">
        <w:rPr>
          <w:i/>
        </w:rPr>
        <w:t>S</w:t>
      </w:r>
      <w:r w:rsidR="0092716E" w:rsidRPr="00287A00">
        <w:rPr>
          <w:i/>
          <w:vertAlign w:val="subscript"/>
        </w:rPr>
        <w:t>s</w:t>
      </w:r>
      <w:r w:rsidR="0092716E">
        <w:t xml:space="preserve">) were also taken from the CDM Smith </w:t>
      </w:r>
      <w:r w:rsidR="0092716E">
        <w:fldChar w:fldCharType="begin"/>
      </w:r>
      <w:r w:rsidR="0092716E">
        <w:instrText xml:space="preserve"> ADDIN EN.CITE &lt;EndNote&gt;&lt;Cite ExcludeAuth="1"&gt;&lt;Author&gt;CDM Smith&lt;/Author&gt;&lt;Year&gt;2014&lt;/Year&gt;&lt;RecNum&gt;2544&lt;/RecNum&gt;&lt;DisplayText&gt;[2014]&lt;/DisplayText&gt;&lt;record&gt;&lt;rec-number&gt;2544&lt;/rec-number&gt;&lt;foreign-keys&gt;&lt;key app="EN" db-id="sawsrtr20e9dd8ewz5evfttuv5erw5fa22tr"&gt;2544&lt;/key&gt;&lt;/foreign-keys&gt;&lt;ref-type name="Report"&gt;27&lt;/ref-type&gt;&lt;contributors&gt;&lt;authors&gt;&lt;author&gt;CDM Smith,&lt;/author&gt;&lt;/authors&gt;&lt;/contributors&gt;&lt;titles&gt;&lt;title&gt;Santos Narrabri Gas Project: Groundwater modelling report. &lt;/title&gt;&lt;/titles&gt;&lt;pages&gt;291&lt;/pages&gt;&lt;dates&gt;&lt;year&gt;2014&lt;/year&gt;&lt;/dates&gt;&lt;pub-location&gt;Subiaco, WA&lt;/pub-location&gt;&lt;urls&gt;&lt;/urls&gt;&lt;/record&gt;&lt;/Cite&gt;&lt;/EndNote&gt;</w:instrText>
      </w:r>
      <w:r w:rsidR="0092716E">
        <w:fldChar w:fldCharType="separate"/>
      </w:r>
      <w:r w:rsidR="0092716E">
        <w:rPr>
          <w:noProof/>
        </w:rPr>
        <w:t>[</w:t>
      </w:r>
      <w:hyperlink w:anchor="_ENREF_2" w:tooltip="CDM Smith, 2014 #2544" w:history="1">
        <w:r w:rsidR="007A7BC9">
          <w:rPr>
            <w:noProof/>
          </w:rPr>
          <w:t>2014</w:t>
        </w:r>
      </w:hyperlink>
      <w:r w:rsidR="0092716E">
        <w:rPr>
          <w:noProof/>
        </w:rPr>
        <w:t>]</w:t>
      </w:r>
      <w:r w:rsidR="0092716E">
        <w:fldChar w:fldCharType="end"/>
      </w:r>
      <w:r w:rsidR="00DB3C2A">
        <w:t xml:space="preserve"> model</w:t>
      </w:r>
      <w:r w:rsidR="00DD2DB2">
        <w:t>, to be representative of actual hydrogeological properties</w:t>
      </w:r>
      <w:r w:rsidR="00DB3C2A">
        <w:t>.</w:t>
      </w:r>
      <w:r w:rsidR="00604F2D">
        <w:t xml:space="preserve"> A well skin factor of 10 was used to reduce the sharp change in hydraulic conductivity between the well and the surrounding rock or soil matrix.</w:t>
      </w:r>
    </w:p>
    <w:p w14:paraId="48B11EC9" w14:textId="77777777" w:rsidR="007E2ED9" w:rsidRPr="00AB6D25" w:rsidRDefault="007E2ED9" w:rsidP="00AB6D25"/>
    <w:p w14:paraId="27EC4413" w14:textId="0DEADCC8" w:rsidR="00CA5AD5" w:rsidRDefault="00CA5AD5" w:rsidP="00277595">
      <w:pPr>
        <w:pStyle w:val="TableCaption"/>
        <w:pBdr>
          <w:top w:val="none" w:sz="0" w:space="0" w:color="auto"/>
        </w:pBdr>
        <w:jc w:val="center"/>
      </w:pPr>
      <w:bookmarkStart w:id="505" w:name="_Ref447227143"/>
      <w:bookmarkStart w:id="506" w:name="_Ref447227138"/>
      <w:bookmarkStart w:id="507" w:name="_Toc452449188"/>
      <w:r>
        <w:t xml:space="preserve">Table </w:t>
      </w:r>
      <w:r w:rsidR="00ED4C1C">
        <w:fldChar w:fldCharType="begin"/>
      </w:r>
      <w:r w:rsidR="00ED4C1C">
        <w:instrText xml:space="preserve"> SEQ Table \* ARABIC </w:instrText>
      </w:r>
      <w:r w:rsidR="00ED4C1C">
        <w:fldChar w:fldCharType="separate"/>
      </w:r>
      <w:r w:rsidR="002E45AF">
        <w:rPr>
          <w:noProof/>
        </w:rPr>
        <w:t>2</w:t>
      </w:r>
      <w:r w:rsidR="00ED4C1C">
        <w:rPr>
          <w:noProof/>
        </w:rPr>
        <w:fldChar w:fldCharType="end"/>
      </w:r>
      <w:bookmarkEnd w:id="505"/>
      <w:r w:rsidR="004905EA">
        <w:t xml:space="preserve"> </w:t>
      </w:r>
      <w:r w:rsidR="003436E6">
        <w:t>M</w:t>
      </w:r>
      <w:r w:rsidR="004905EA">
        <w:t>odel parameter</w:t>
      </w:r>
      <w:r w:rsidR="003436E6">
        <w:t>s</w:t>
      </w:r>
      <w:r w:rsidR="004905EA">
        <w:t xml:space="preserve"> sourced from </w:t>
      </w:r>
      <w:r w:rsidR="003436E6">
        <w:t xml:space="preserve">the </w:t>
      </w:r>
      <w:r w:rsidR="004905EA">
        <w:t xml:space="preserve">CDM Smith </w:t>
      </w:r>
      <w:r w:rsidR="004905EA">
        <w:fldChar w:fldCharType="begin"/>
      </w:r>
      <w:r w:rsidR="008677F5">
        <w:instrText xml:space="preserve"> ADDIN EN.CITE &lt;EndNote&gt;&lt;Cite ExcludeAuth="1"&gt;&lt;Author&gt;CDM Smith&lt;/Author&gt;&lt;Year&gt;2014&lt;/Year&gt;&lt;RecNum&gt;2544&lt;/RecNum&gt;&lt;DisplayText&gt;[2014]&lt;/DisplayText&gt;&lt;record&gt;&lt;rec-number&gt;2544&lt;/rec-number&gt;&lt;foreign-keys&gt;&lt;key app="EN" db-id="sawsrtr20e9dd8ewz5evfttuv5erw5fa22tr"&gt;2544&lt;/key&gt;&lt;/foreign-keys&gt;&lt;ref-type name="Report"&gt;27&lt;/ref-type&gt;&lt;contributors&gt;&lt;authors&gt;&lt;author&gt;CDM Smith,&lt;/author&gt;&lt;/authors&gt;&lt;/contributors&gt;&lt;titles&gt;&lt;title&gt;Santos Narrabri Gas Project: Groundwater modelling report. &lt;/title&gt;&lt;/titles&gt;&lt;pages&gt;291&lt;/pages&gt;&lt;dates&gt;&lt;year&gt;2014&lt;/year&gt;&lt;/dates&gt;&lt;pub-location&gt;Subiaco, WA&lt;/pub-location&gt;&lt;urls&gt;&lt;/urls&gt;&lt;/record&gt;&lt;/Cite&gt;&lt;/EndNote&gt;</w:instrText>
      </w:r>
      <w:r w:rsidR="004905EA">
        <w:fldChar w:fldCharType="separate"/>
      </w:r>
      <w:r w:rsidR="008677F5">
        <w:rPr>
          <w:noProof/>
        </w:rPr>
        <w:t>[</w:t>
      </w:r>
      <w:hyperlink w:anchor="_ENREF_2" w:tooltip="CDM Smith, 2014 #2544" w:history="1">
        <w:r w:rsidR="007A7BC9">
          <w:rPr>
            <w:noProof/>
          </w:rPr>
          <w:t>2014</w:t>
        </w:r>
      </w:hyperlink>
      <w:r w:rsidR="008677F5">
        <w:rPr>
          <w:noProof/>
        </w:rPr>
        <w:t>]</w:t>
      </w:r>
      <w:r w:rsidR="004905EA">
        <w:fldChar w:fldCharType="end"/>
      </w:r>
      <w:bookmarkEnd w:id="506"/>
      <w:r w:rsidR="0012677A">
        <w:t xml:space="preserve"> Narrabri model</w:t>
      </w:r>
      <w:r w:rsidR="006520DB">
        <w:t>. Parameters are defined in the text.</w:t>
      </w:r>
      <w:bookmarkEnd w:id="507"/>
    </w:p>
    <w:tbl>
      <w:tblPr>
        <w:tblStyle w:val="GridTable1Light-Accent5"/>
        <w:tblW w:w="0" w:type="auto"/>
        <w:jc w:val="center"/>
        <w:tblLook w:val="04A0" w:firstRow="1" w:lastRow="0" w:firstColumn="1" w:lastColumn="0" w:noHBand="0" w:noVBand="1"/>
        <w:tblCaption w:val="Table 2"/>
        <w:tblDescription w:val="Table of model parameters."/>
      </w:tblPr>
      <w:tblGrid>
        <w:gridCol w:w="1875"/>
        <w:gridCol w:w="1093"/>
        <w:gridCol w:w="1167"/>
        <w:gridCol w:w="1105"/>
        <w:gridCol w:w="1355"/>
        <w:gridCol w:w="1405"/>
      </w:tblGrid>
      <w:tr w:rsidR="0090296A" w14:paraId="7096BD35" w14:textId="77777777" w:rsidTr="002775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4" w:space="0" w:color="000000" w:themeColor="text1"/>
              <w:left w:val="nil"/>
              <w:bottom w:val="single" w:sz="4" w:space="0" w:color="000000" w:themeColor="text1"/>
              <w:right w:val="nil"/>
            </w:tcBorders>
            <w:shd w:val="clear" w:color="auto" w:fill="D9D9D9" w:themeFill="background1" w:themeFillShade="D9"/>
          </w:tcPr>
          <w:p w14:paraId="2DFC4DB7" w14:textId="77777777" w:rsidR="0090296A" w:rsidRDefault="0090296A" w:rsidP="002F509C">
            <w:r>
              <w:t>Parameter</w:t>
            </w:r>
          </w:p>
        </w:tc>
        <w:tc>
          <w:tcPr>
            <w:tcW w:w="1093" w:type="dxa"/>
            <w:tcBorders>
              <w:top w:val="single" w:sz="4" w:space="0" w:color="000000" w:themeColor="text1"/>
              <w:left w:val="nil"/>
              <w:bottom w:val="single" w:sz="4" w:space="0" w:color="000000" w:themeColor="text1"/>
              <w:right w:val="nil"/>
            </w:tcBorders>
            <w:shd w:val="clear" w:color="auto" w:fill="D9D9D9" w:themeFill="background1" w:themeFillShade="D9"/>
          </w:tcPr>
          <w:p w14:paraId="433E43E4" w14:textId="77777777" w:rsidR="0090296A" w:rsidRDefault="0090296A" w:rsidP="002F509C">
            <w:pPr>
              <w:cnfStyle w:val="100000000000" w:firstRow="1" w:lastRow="0" w:firstColumn="0" w:lastColumn="0" w:oddVBand="0" w:evenVBand="0" w:oddHBand="0" w:evenHBand="0" w:firstRowFirstColumn="0" w:firstRowLastColumn="0" w:lastRowFirstColumn="0" w:lastRowLastColumn="0"/>
            </w:pPr>
            <w:r>
              <w:t>Layer 1</w:t>
            </w:r>
          </w:p>
        </w:tc>
        <w:tc>
          <w:tcPr>
            <w:tcW w:w="1167" w:type="dxa"/>
            <w:tcBorders>
              <w:top w:val="single" w:sz="4" w:space="0" w:color="000000" w:themeColor="text1"/>
              <w:left w:val="nil"/>
              <w:bottom w:val="single" w:sz="4" w:space="0" w:color="000000" w:themeColor="text1"/>
              <w:right w:val="nil"/>
            </w:tcBorders>
            <w:shd w:val="clear" w:color="auto" w:fill="D9D9D9" w:themeFill="background1" w:themeFillShade="D9"/>
          </w:tcPr>
          <w:p w14:paraId="46BF5692" w14:textId="77777777" w:rsidR="0090296A" w:rsidRDefault="0090296A" w:rsidP="002F509C">
            <w:pPr>
              <w:cnfStyle w:val="100000000000" w:firstRow="1" w:lastRow="0" w:firstColumn="0" w:lastColumn="0" w:oddVBand="0" w:evenVBand="0" w:oddHBand="0" w:evenHBand="0" w:firstRowFirstColumn="0" w:firstRowLastColumn="0" w:lastRowFirstColumn="0" w:lastRowLastColumn="0"/>
            </w:pPr>
            <w:r>
              <w:t>Layer 2</w:t>
            </w:r>
          </w:p>
        </w:tc>
        <w:tc>
          <w:tcPr>
            <w:tcW w:w="1105" w:type="dxa"/>
            <w:tcBorders>
              <w:top w:val="single" w:sz="4" w:space="0" w:color="000000" w:themeColor="text1"/>
              <w:left w:val="nil"/>
              <w:bottom w:val="single" w:sz="4" w:space="0" w:color="000000" w:themeColor="text1"/>
              <w:right w:val="nil"/>
            </w:tcBorders>
            <w:shd w:val="clear" w:color="auto" w:fill="D9D9D9" w:themeFill="background1" w:themeFillShade="D9"/>
          </w:tcPr>
          <w:p w14:paraId="35690997" w14:textId="77777777" w:rsidR="0090296A" w:rsidRDefault="0090296A" w:rsidP="002F509C">
            <w:pPr>
              <w:cnfStyle w:val="100000000000" w:firstRow="1" w:lastRow="0" w:firstColumn="0" w:lastColumn="0" w:oddVBand="0" w:evenVBand="0" w:oddHBand="0" w:evenHBand="0" w:firstRowFirstColumn="0" w:firstRowLastColumn="0" w:lastRowFirstColumn="0" w:lastRowLastColumn="0"/>
            </w:pPr>
            <w:r>
              <w:t>Layer 3</w:t>
            </w:r>
          </w:p>
        </w:tc>
        <w:tc>
          <w:tcPr>
            <w:tcW w:w="1355" w:type="dxa"/>
            <w:tcBorders>
              <w:top w:val="single" w:sz="4" w:space="0" w:color="000000" w:themeColor="text1"/>
              <w:left w:val="nil"/>
              <w:bottom w:val="single" w:sz="4" w:space="0" w:color="000000" w:themeColor="text1"/>
              <w:right w:val="nil"/>
            </w:tcBorders>
            <w:shd w:val="clear" w:color="auto" w:fill="D9D9D9" w:themeFill="background1" w:themeFillShade="D9"/>
          </w:tcPr>
          <w:p w14:paraId="19A1A493" w14:textId="43CDB52D" w:rsidR="0090296A" w:rsidRDefault="0090296A" w:rsidP="002F509C">
            <w:pPr>
              <w:cnfStyle w:val="100000000000" w:firstRow="1" w:lastRow="0" w:firstColumn="0" w:lastColumn="0" w:oddVBand="0" w:evenVBand="0" w:oddHBand="0" w:evenHBand="0" w:firstRowFirstColumn="0" w:firstRowLastColumn="0" w:lastRowFirstColumn="0" w:lastRowLastColumn="0"/>
            </w:pPr>
            <w:r>
              <w:t>Leaky well</w:t>
            </w:r>
            <w:r w:rsidR="00850F7B">
              <w:t xml:space="preserve"> (scenario 2)</w:t>
            </w:r>
          </w:p>
        </w:tc>
        <w:tc>
          <w:tcPr>
            <w:tcW w:w="1405" w:type="dxa"/>
            <w:tcBorders>
              <w:top w:val="single" w:sz="4" w:space="0" w:color="000000" w:themeColor="text1"/>
              <w:left w:val="nil"/>
              <w:bottom w:val="single" w:sz="4" w:space="0" w:color="000000" w:themeColor="text1"/>
              <w:right w:val="nil"/>
            </w:tcBorders>
            <w:shd w:val="clear" w:color="auto" w:fill="D9D9D9" w:themeFill="background1" w:themeFillShade="D9"/>
          </w:tcPr>
          <w:p w14:paraId="69335026" w14:textId="45AC5BA9" w:rsidR="0090296A" w:rsidRDefault="00AA7655" w:rsidP="002F509C">
            <w:pPr>
              <w:cnfStyle w:val="100000000000" w:firstRow="1" w:lastRow="0" w:firstColumn="0" w:lastColumn="0" w:oddVBand="0" w:evenVBand="0" w:oddHBand="0" w:evenHBand="0" w:firstRowFirstColumn="0" w:firstRowLastColumn="0" w:lastRowFirstColumn="0" w:lastRowLastColumn="0"/>
            </w:pPr>
            <w:r>
              <w:t>Open well</w:t>
            </w:r>
            <w:r w:rsidR="00850F7B">
              <w:t xml:space="preserve"> (scenario 3)</w:t>
            </w:r>
          </w:p>
        </w:tc>
      </w:tr>
      <w:tr w:rsidR="0090296A" w:rsidRPr="00032EB8" w14:paraId="2A546A32"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single" w:sz="4" w:space="0" w:color="000000" w:themeColor="text1"/>
              <w:left w:val="nil"/>
              <w:bottom w:val="nil"/>
              <w:right w:val="nil"/>
            </w:tcBorders>
            <w:shd w:val="clear" w:color="auto" w:fill="F2F2F2" w:themeFill="background1" w:themeFillShade="F2"/>
          </w:tcPr>
          <w:p w14:paraId="61E5A0AC" w14:textId="77777777" w:rsidR="0090296A" w:rsidRPr="00032EB8" w:rsidRDefault="0090296A" w:rsidP="002F509C">
            <w:pPr>
              <w:rPr>
                <w:b w:val="0"/>
              </w:rPr>
            </w:pPr>
            <w:r>
              <w:rPr>
                <w:b w:val="0"/>
              </w:rPr>
              <w:t>Thickness (m)</w:t>
            </w:r>
          </w:p>
        </w:tc>
        <w:tc>
          <w:tcPr>
            <w:tcW w:w="1093" w:type="dxa"/>
            <w:tcBorders>
              <w:top w:val="single" w:sz="4" w:space="0" w:color="000000" w:themeColor="text1"/>
              <w:left w:val="nil"/>
              <w:bottom w:val="nil"/>
              <w:right w:val="nil"/>
            </w:tcBorders>
            <w:shd w:val="clear" w:color="auto" w:fill="F2F2F2" w:themeFill="background1" w:themeFillShade="F2"/>
          </w:tcPr>
          <w:p w14:paraId="4151E198"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114</w:t>
            </w:r>
          </w:p>
        </w:tc>
        <w:tc>
          <w:tcPr>
            <w:tcW w:w="1167" w:type="dxa"/>
            <w:tcBorders>
              <w:top w:val="single" w:sz="4" w:space="0" w:color="000000" w:themeColor="text1"/>
              <w:left w:val="nil"/>
              <w:bottom w:val="nil"/>
              <w:right w:val="nil"/>
            </w:tcBorders>
            <w:shd w:val="clear" w:color="auto" w:fill="F2F2F2" w:themeFill="background1" w:themeFillShade="F2"/>
          </w:tcPr>
          <w:p w14:paraId="7D484866"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600</w:t>
            </w:r>
          </w:p>
        </w:tc>
        <w:tc>
          <w:tcPr>
            <w:tcW w:w="1105" w:type="dxa"/>
            <w:tcBorders>
              <w:top w:val="single" w:sz="4" w:space="0" w:color="000000" w:themeColor="text1"/>
              <w:left w:val="nil"/>
              <w:bottom w:val="nil"/>
              <w:right w:val="nil"/>
            </w:tcBorders>
            <w:shd w:val="clear" w:color="auto" w:fill="F2F2F2" w:themeFill="background1" w:themeFillShade="F2"/>
          </w:tcPr>
          <w:p w14:paraId="590E7C7F"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21</w:t>
            </w:r>
          </w:p>
        </w:tc>
        <w:tc>
          <w:tcPr>
            <w:tcW w:w="1355" w:type="dxa"/>
            <w:tcBorders>
              <w:top w:val="single" w:sz="4" w:space="0" w:color="000000" w:themeColor="text1"/>
              <w:left w:val="nil"/>
              <w:bottom w:val="nil"/>
              <w:right w:val="nil"/>
            </w:tcBorders>
            <w:shd w:val="clear" w:color="auto" w:fill="F2F2F2" w:themeFill="background1" w:themeFillShade="F2"/>
          </w:tcPr>
          <w:p w14:paraId="1BCAEF54"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single" w:sz="4" w:space="0" w:color="000000" w:themeColor="text1"/>
              <w:left w:val="nil"/>
              <w:bottom w:val="nil"/>
              <w:right w:val="nil"/>
            </w:tcBorders>
            <w:shd w:val="clear" w:color="auto" w:fill="F2F2F2" w:themeFill="background1" w:themeFillShade="F2"/>
          </w:tcPr>
          <w:p w14:paraId="534C1F2A" w14:textId="719768EE"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90296A" w:rsidRPr="00032EB8" w14:paraId="1079C233"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tcPr>
          <w:p w14:paraId="037AD523" w14:textId="77777777" w:rsidR="0090296A" w:rsidRPr="00AD674F" w:rsidRDefault="0090296A" w:rsidP="002F509C">
            <w:pPr>
              <w:rPr>
                <w:b w:val="0"/>
              </w:rPr>
            </w:pPr>
            <w:r w:rsidRPr="00AD674F">
              <w:rPr>
                <w:b w:val="0"/>
              </w:rPr>
              <w:t>Top elevation (mAHD)</w:t>
            </w:r>
          </w:p>
        </w:tc>
        <w:tc>
          <w:tcPr>
            <w:tcW w:w="1093" w:type="dxa"/>
            <w:tcBorders>
              <w:top w:val="nil"/>
              <w:left w:val="nil"/>
              <w:bottom w:val="nil"/>
              <w:right w:val="nil"/>
            </w:tcBorders>
          </w:tcPr>
          <w:p w14:paraId="1A4F5272"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363</w:t>
            </w:r>
          </w:p>
        </w:tc>
        <w:tc>
          <w:tcPr>
            <w:tcW w:w="1167" w:type="dxa"/>
            <w:tcBorders>
              <w:top w:val="nil"/>
              <w:left w:val="nil"/>
              <w:bottom w:val="nil"/>
              <w:right w:val="nil"/>
            </w:tcBorders>
          </w:tcPr>
          <w:p w14:paraId="701A91C3"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249</w:t>
            </w:r>
          </w:p>
        </w:tc>
        <w:tc>
          <w:tcPr>
            <w:tcW w:w="1105" w:type="dxa"/>
            <w:tcBorders>
              <w:top w:val="nil"/>
              <w:left w:val="nil"/>
              <w:bottom w:val="nil"/>
              <w:right w:val="nil"/>
            </w:tcBorders>
          </w:tcPr>
          <w:p w14:paraId="4656E871"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-351</w:t>
            </w:r>
          </w:p>
        </w:tc>
        <w:tc>
          <w:tcPr>
            <w:tcW w:w="1355" w:type="dxa"/>
            <w:tcBorders>
              <w:top w:val="nil"/>
              <w:left w:val="nil"/>
              <w:bottom w:val="nil"/>
              <w:right w:val="nil"/>
            </w:tcBorders>
          </w:tcPr>
          <w:p w14:paraId="0F20019C" w14:textId="3E9A3519"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nil"/>
              <w:left w:val="nil"/>
              <w:bottom w:val="nil"/>
              <w:right w:val="nil"/>
            </w:tcBorders>
          </w:tcPr>
          <w:p w14:paraId="59EA66E2" w14:textId="58A168FF"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90296A" w:rsidRPr="00032EB8" w14:paraId="30730305"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shd w:val="clear" w:color="auto" w:fill="F2F2F2" w:themeFill="background1" w:themeFillShade="F2"/>
          </w:tcPr>
          <w:p w14:paraId="2A1BC6B1" w14:textId="5B42D64F" w:rsidR="0090296A" w:rsidRPr="00AD674F" w:rsidRDefault="0090296A" w:rsidP="002F509C">
            <w:pPr>
              <w:rPr>
                <w:b w:val="0"/>
              </w:rPr>
            </w:pPr>
            <w:r w:rsidRPr="00AD674F">
              <w:rPr>
                <w:b w:val="0"/>
              </w:rPr>
              <w:t>Base elev</w:t>
            </w:r>
            <w:r w:rsidR="007E2ED9">
              <w:rPr>
                <w:b w:val="0"/>
              </w:rPr>
              <w:t>ation</w:t>
            </w:r>
            <w:r w:rsidRPr="00AD674F">
              <w:rPr>
                <w:b w:val="0"/>
              </w:rPr>
              <w:t xml:space="preserve"> (mAHD)</w:t>
            </w:r>
          </w:p>
        </w:tc>
        <w:tc>
          <w:tcPr>
            <w:tcW w:w="1093" w:type="dxa"/>
            <w:tcBorders>
              <w:top w:val="nil"/>
              <w:left w:val="nil"/>
              <w:bottom w:val="nil"/>
              <w:right w:val="nil"/>
            </w:tcBorders>
            <w:shd w:val="clear" w:color="auto" w:fill="F2F2F2" w:themeFill="background1" w:themeFillShade="F2"/>
          </w:tcPr>
          <w:p w14:paraId="06A23591"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249</w:t>
            </w:r>
          </w:p>
        </w:tc>
        <w:tc>
          <w:tcPr>
            <w:tcW w:w="1167" w:type="dxa"/>
            <w:tcBorders>
              <w:top w:val="nil"/>
              <w:left w:val="nil"/>
              <w:bottom w:val="nil"/>
              <w:right w:val="nil"/>
            </w:tcBorders>
            <w:shd w:val="clear" w:color="auto" w:fill="F2F2F2" w:themeFill="background1" w:themeFillShade="F2"/>
          </w:tcPr>
          <w:p w14:paraId="17EDB72C"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-351</w:t>
            </w:r>
          </w:p>
        </w:tc>
        <w:tc>
          <w:tcPr>
            <w:tcW w:w="1105" w:type="dxa"/>
            <w:tcBorders>
              <w:top w:val="nil"/>
              <w:left w:val="nil"/>
              <w:bottom w:val="nil"/>
              <w:right w:val="nil"/>
            </w:tcBorders>
            <w:shd w:val="clear" w:color="auto" w:fill="F2F2F2" w:themeFill="background1" w:themeFillShade="F2"/>
          </w:tcPr>
          <w:p w14:paraId="1598CF01"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-372</w:t>
            </w:r>
          </w:p>
        </w:tc>
        <w:tc>
          <w:tcPr>
            <w:tcW w:w="1355" w:type="dxa"/>
            <w:tcBorders>
              <w:top w:val="nil"/>
              <w:left w:val="nil"/>
              <w:bottom w:val="nil"/>
              <w:right w:val="nil"/>
            </w:tcBorders>
            <w:shd w:val="clear" w:color="auto" w:fill="F2F2F2" w:themeFill="background1" w:themeFillShade="F2"/>
          </w:tcPr>
          <w:p w14:paraId="224A1FCC" w14:textId="3CF3D74D"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nil"/>
              <w:left w:val="nil"/>
              <w:bottom w:val="nil"/>
              <w:right w:val="nil"/>
            </w:tcBorders>
            <w:shd w:val="clear" w:color="auto" w:fill="F2F2F2" w:themeFill="background1" w:themeFillShade="F2"/>
          </w:tcPr>
          <w:p w14:paraId="10B2A510" w14:textId="4345E643"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DB3C2A" w:rsidRPr="00032EB8" w14:paraId="3BD15ACB"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tcPr>
          <w:p w14:paraId="551D535C" w14:textId="24A600A9" w:rsidR="00DB3C2A" w:rsidRPr="00032EB8" w:rsidRDefault="003E578F" w:rsidP="00B65FE6">
            <w:pPr>
              <w:rPr>
                <w:b w:val="0"/>
              </w:rPr>
            </w:pPr>
            <w:r>
              <w:rPr>
                <w:b w:val="0"/>
              </w:rPr>
              <w:t>Constant head boundary (CHB)</w:t>
            </w:r>
            <w:r w:rsidR="00DB3C2A">
              <w:rPr>
                <w:b w:val="0"/>
              </w:rPr>
              <w:t xml:space="preserve"> outer (m)</w:t>
            </w:r>
          </w:p>
        </w:tc>
        <w:tc>
          <w:tcPr>
            <w:tcW w:w="1093" w:type="dxa"/>
            <w:tcBorders>
              <w:top w:val="nil"/>
              <w:left w:val="nil"/>
              <w:bottom w:val="nil"/>
              <w:right w:val="nil"/>
            </w:tcBorders>
          </w:tcPr>
          <w:p w14:paraId="6113C1A4" w14:textId="77777777" w:rsidR="00DB3C2A" w:rsidRPr="00032EB8" w:rsidRDefault="00DB3C2A" w:rsidP="00336753">
            <w:pPr>
              <w:jc w:val="center"/>
              <w:cnfStyle w:val="000000000000" w:firstRow="0" w:lastRow="0" w:firstColumn="0" w:lastColumn="0" w:oddVBand="0" w:evenVBand="0" w:oddHBand="0" w:evenHBand="0" w:firstRowFirstColumn="0" w:firstRowLastColumn="0" w:lastRowFirstColumn="0" w:lastRowLastColumn="0"/>
            </w:pPr>
            <w:r>
              <w:t>328</w:t>
            </w:r>
          </w:p>
        </w:tc>
        <w:tc>
          <w:tcPr>
            <w:tcW w:w="1167" w:type="dxa"/>
            <w:tcBorders>
              <w:top w:val="nil"/>
              <w:left w:val="nil"/>
              <w:bottom w:val="nil"/>
              <w:right w:val="nil"/>
            </w:tcBorders>
          </w:tcPr>
          <w:p w14:paraId="4DF8ACE2" w14:textId="77777777" w:rsidR="00DB3C2A" w:rsidRPr="00032EB8" w:rsidRDefault="00DB3C2A"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05" w:type="dxa"/>
            <w:tcBorders>
              <w:top w:val="nil"/>
              <w:left w:val="nil"/>
              <w:bottom w:val="nil"/>
              <w:right w:val="nil"/>
            </w:tcBorders>
          </w:tcPr>
          <w:p w14:paraId="580D410D" w14:textId="77777777" w:rsidR="00DB3C2A" w:rsidRPr="00032EB8" w:rsidRDefault="00DB3C2A" w:rsidP="00336753">
            <w:pPr>
              <w:jc w:val="center"/>
              <w:cnfStyle w:val="000000000000" w:firstRow="0" w:lastRow="0" w:firstColumn="0" w:lastColumn="0" w:oddVBand="0" w:evenVBand="0" w:oddHBand="0" w:evenHBand="0" w:firstRowFirstColumn="0" w:firstRowLastColumn="0" w:lastRowFirstColumn="0" w:lastRowLastColumn="0"/>
            </w:pPr>
            <w:r>
              <w:t>279</w:t>
            </w:r>
          </w:p>
        </w:tc>
        <w:tc>
          <w:tcPr>
            <w:tcW w:w="1355" w:type="dxa"/>
            <w:tcBorders>
              <w:top w:val="nil"/>
              <w:left w:val="nil"/>
              <w:bottom w:val="nil"/>
              <w:right w:val="nil"/>
            </w:tcBorders>
          </w:tcPr>
          <w:p w14:paraId="0F857F98" w14:textId="77777777" w:rsidR="00DB3C2A" w:rsidRPr="00032EB8" w:rsidRDefault="00DB3C2A"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nil"/>
              <w:left w:val="nil"/>
              <w:bottom w:val="nil"/>
              <w:right w:val="nil"/>
            </w:tcBorders>
          </w:tcPr>
          <w:p w14:paraId="0F7CA4F7" w14:textId="6B9F7A32" w:rsidR="00DB3C2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90296A" w:rsidRPr="00032EB8" w14:paraId="619C55EF"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shd w:val="clear" w:color="auto" w:fill="F2F2F2" w:themeFill="background1" w:themeFillShade="F2"/>
          </w:tcPr>
          <w:p w14:paraId="4747B719" w14:textId="39B0D4FA" w:rsidR="0090296A" w:rsidRPr="00032EB8" w:rsidRDefault="003E578F" w:rsidP="002F509C">
            <w:pPr>
              <w:rPr>
                <w:b w:val="0"/>
              </w:rPr>
            </w:pPr>
            <w:r>
              <w:rPr>
                <w:b w:val="0"/>
              </w:rPr>
              <w:t xml:space="preserve">Horizontal hydraulic conductivity </w:t>
            </w:r>
            <w:r w:rsidR="0090296A" w:rsidRPr="00032EB8">
              <w:rPr>
                <w:b w:val="0"/>
              </w:rPr>
              <w:t>K</w:t>
            </w:r>
            <w:r w:rsidR="0090296A" w:rsidRPr="00032EB8">
              <w:rPr>
                <w:b w:val="0"/>
                <w:vertAlign w:val="subscript"/>
              </w:rPr>
              <w:t>h</w:t>
            </w:r>
            <w:r w:rsidR="0090296A">
              <w:rPr>
                <w:b w:val="0"/>
              </w:rPr>
              <w:t xml:space="preserve"> (m/d)</w:t>
            </w:r>
          </w:p>
        </w:tc>
        <w:tc>
          <w:tcPr>
            <w:tcW w:w="1093" w:type="dxa"/>
            <w:tcBorders>
              <w:top w:val="nil"/>
              <w:left w:val="nil"/>
              <w:bottom w:val="nil"/>
              <w:right w:val="nil"/>
            </w:tcBorders>
            <w:shd w:val="clear" w:color="auto" w:fill="F2F2F2" w:themeFill="background1" w:themeFillShade="F2"/>
          </w:tcPr>
          <w:p w14:paraId="25482395"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0.1</w:t>
            </w:r>
          </w:p>
        </w:tc>
        <w:tc>
          <w:tcPr>
            <w:tcW w:w="1167" w:type="dxa"/>
            <w:tcBorders>
              <w:top w:val="nil"/>
              <w:left w:val="nil"/>
              <w:bottom w:val="nil"/>
              <w:right w:val="nil"/>
            </w:tcBorders>
            <w:shd w:val="clear" w:color="auto" w:fill="F2F2F2" w:themeFill="background1" w:themeFillShade="F2"/>
          </w:tcPr>
          <w:p w14:paraId="5B89DB60"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0.001</w:t>
            </w:r>
          </w:p>
        </w:tc>
        <w:tc>
          <w:tcPr>
            <w:tcW w:w="1105" w:type="dxa"/>
            <w:tcBorders>
              <w:top w:val="nil"/>
              <w:left w:val="nil"/>
              <w:bottom w:val="nil"/>
              <w:right w:val="nil"/>
            </w:tcBorders>
            <w:shd w:val="clear" w:color="auto" w:fill="F2F2F2" w:themeFill="background1" w:themeFillShade="F2"/>
          </w:tcPr>
          <w:p w14:paraId="52B1E052"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0.1</w:t>
            </w:r>
          </w:p>
        </w:tc>
        <w:tc>
          <w:tcPr>
            <w:tcW w:w="1355" w:type="dxa"/>
            <w:tcBorders>
              <w:top w:val="nil"/>
              <w:left w:val="nil"/>
              <w:bottom w:val="nil"/>
              <w:right w:val="nil"/>
            </w:tcBorders>
            <w:shd w:val="clear" w:color="auto" w:fill="F2F2F2" w:themeFill="background1" w:themeFillShade="F2"/>
          </w:tcPr>
          <w:p w14:paraId="0CF77997"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nil"/>
              <w:left w:val="nil"/>
              <w:bottom w:val="nil"/>
              <w:right w:val="nil"/>
            </w:tcBorders>
            <w:shd w:val="clear" w:color="auto" w:fill="F2F2F2" w:themeFill="background1" w:themeFillShade="F2"/>
          </w:tcPr>
          <w:p w14:paraId="0D005A7E" w14:textId="601FB28B"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90296A" w:rsidRPr="00032EB8" w14:paraId="6DBF2A95"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tcPr>
          <w:p w14:paraId="45999A93" w14:textId="6067254E" w:rsidR="0090296A" w:rsidRPr="00032EB8" w:rsidRDefault="003E578F" w:rsidP="002F509C">
            <w:pPr>
              <w:rPr>
                <w:b w:val="0"/>
              </w:rPr>
            </w:pPr>
            <w:r>
              <w:rPr>
                <w:b w:val="0"/>
              </w:rPr>
              <w:t>Vertical hydraulic conductivity</w:t>
            </w:r>
            <w:r w:rsidRPr="00032EB8">
              <w:rPr>
                <w:b w:val="0"/>
              </w:rPr>
              <w:t xml:space="preserve"> </w:t>
            </w:r>
            <w:r w:rsidR="0090296A" w:rsidRPr="00032EB8">
              <w:rPr>
                <w:b w:val="0"/>
              </w:rPr>
              <w:t>K</w:t>
            </w:r>
            <w:r w:rsidR="0090296A" w:rsidRPr="00032EB8">
              <w:rPr>
                <w:b w:val="0"/>
                <w:vertAlign w:val="subscript"/>
              </w:rPr>
              <w:t>v</w:t>
            </w:r>
            <w:r w:rsidR="0090296A">
              <w:rPr>
                <w:b w:val="0"/>
              </w:rPr>
              <w:t xml:space="preserve"> (m/d)</w:t>
            </w:r>
          </w:p>
        </w:tc>
        <w:tc>
          <w:tcPr>
            <w:tcW w:w="1093" w:type="dxa"/>
            <w:tcBorders>
              <w:top w:val="nil"/>
              <w:left w:val="nil"/>
              <w:bottom w:val="nil"/>
              <w:right w:val="nil"/>
            </w:tcBorders>
          </w:tcPr>
          <w:p w14:paraId="30CBD0B2"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0.01</w:t>
            </w:r>
          </w:p>
        </w:tc>
        <w:tc>
          <w:tcPr>
            <w:tcW w:w="1167" w:type="dxa"/>
            <w:tcBorders>
              <w:top w:val="nil"/>
              <w:left w:val="nil"/>
              <w:bottom w:val="nil"/>
              <w:right w:val="nil"/>
            </w:tcBorders>
          </w:tcPr>
          <w:p w14:paraId="16120798"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1E-05</w:t>
            </w:r>
          </w:p>
        </w:tc>
        <w:tc>
          <w:tcPr>
            <w:tcW w:w="1105" w:type="dxa"/>
            <w:tcBorders>
              <w:top w:val="nil"/>
              <w:left w:val="nil"/>
              <w:bottom w:val="nil"/>
              <w:right w:val="nil"/>
            </w:tcBorders>
          </w:tcPr>
          <w:p w14:paraId="4CBA1E45"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0.01</w:t>
            </w:r>
          </w:p>
        </w:tc>
        <w:tc>
          <w:tcPr>
            <w:tcW w:w="1355" w:type="dxa"/>
            <w:tcBorders>
              <w:top w:val="nil"/>
              <w:left w:val="nil"/>
              <w:bottom w:val="nil"/>
              <w:right w:val="nil"/>
            </w:tcBorders>
          </w:tcPr>
          <w:p w14:paraId="1B2824EB"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nil"/>
              <w:left w:val="nil"/>
              <w:bottom w:val="nil"/>
              <w:right w:val="nil"/>
            </w:tcBorders>
          </w:tcPr>
          <w:p w14:paraId="6E1D1BC4" w14:textId="3B116B5E"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90296A" w:rsidRPr="00032EB8" w14:paraId="0A37FAC6"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shd w:val="clear" w:color="auto" w:fill="F2F2F2" w:themeFill="background1" w:themeFillShade="F2"/>
          </w:tcPr>
          <w:p w14:paraId="59D1840C" w14:textId="700F1672" w:rsidR="0090296A" w:rsidRPr="00032EB8" w:rsidRDefault="003E578F" w:rsidP="002F509C">
            <w:pPr>
              <w:rPr>
                <w:b w:val="0"/>
              </w:rPr>
            </w:pPr>
            <w:r>
              <w:rPr>
                <w:b w:val="0"/>
              </w:rPr>
              <w:t xml:space="preserve">Specific yield </w:t>
            </w:r>
            <w:r w:rsidR="0090296A">
              <w:rPr>
                <w:b w:val="0"/>
              </w:rPr>
              <w:t>S</w:t>
            </w:r>
            <w:r w:rsidR="0090296A" w:rsidRPr="00001111">
              <w:rPr>
                <w:b w:val="0"/>
                <w:vertAlign w:val="subscript"/>
              </w:rPr>
              <w:t>y</w:t>
            </w:r>
            <w:r w:rsidR="0090296A">
              <w:rPr>
                <w:b w:val="0"/>
              </w:rPr>
              <w:t xml:space="preserve"> (-)</w:t>
            </w:r>
          </w:p>
        </w:tc>
        <w:tc>
          <w:tcPr>
            <w:tcW w:w="1093" w:type="dxa"/>
            <w:tcBorders>
              <w:top w:val="nil"/>
              <w:left w:val="nil"/>
              <w:bottom w:val="nil"/>
              <w:right w:val="nil"/>
            </w:tcBorders>
            <w:shd w:val="clear" w:color="auto" w:fill="F2F2F2" w:themeFill="background1" w:themeFillShade="F2"/>
          </w:tcPr>
          <w:p w14:paraId="55C3AC2E"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0.01</w:t>
            </w:r>
          </w:p>
        </w:tc>
        <w:tc>
          <w:tcPr>
            <w:tcW w:w="1167" w:type="dxa"/>
            <w:tcBorders>
              <w:top w:val="nil"/>
              <w:left w:val="nil"/>
              <w:bottom w:val="nil"/>
              <w:right w:val="nil"/>
            </w:tcBorders>
            <w:shd w:val="clear" w:color="auto" w:fill="F2F2F2" w:themeFill="background1" w:themeFillShade="F2"/>
          </w:tcPr>
          <w:p w14:paraId="4EB14929" w14:textId="3BF5059B" w:rsidR="0090296A" w:rsidRPr="00032EB8" w:rsidRDefault="007A7BC9"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05" w:type="dxa"/>
            <w:tcBorders>
              <w:top w:val="nil"/>
              <w:left w:val="nil"/>
              <w:bottom w:val="nil"/>
              <w:right w:val="nil"/>
            </w:tcBorders>
            <w:shd w:val="clear" w:color="auto" w:fill="F2F2F2" w:themeFill="background1" w:themeFillShade="F2"/>
          </w:tcPr>
          <w:p w14:paraId="02508BAE" w14:textId="59B210E2" w:rsidR="0090296A" w:rsidRPr="00032EB8" w:rsidRDefault="007A7BC9"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355" w:type="dxa"/>
            <w:tcBorders>
              <w:top w:val="nil"/>
              <w:left w:val="nil"/>
              <w:bottom w:val="nil"/>
              <w:right w:val="nil"/>
            </w:tcBorders>
            <w:shd w:val="clear" w:color="auto" w:fill="F2F2F2" w:themeFill="background1" w:themeFillShade="F2"/>
          </w:tcPr>
          <w:p w14:paraId="670B4742"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nil"/>
              <w:left w:val="nil"/>
              <w:bottom w:val="nil"/>
              <w:right w:val="nil"/>
            </w:tcBorders>
            <w:shd w:val="clear" w:color="auto" w:fill="F2F2F2" w:themeFill="background1" w:themeFillShade="F2"/>
          </w:tcPr>
          <w:p w14:paraId="36B99FE6" w14:textId="2650CC11"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90296A" w:rsidRPr="00032EB8" w14:paraId="05AA6AE2"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tcPr>
          <w:p w14:paraId="209C2498" w14:textId="0DDD0FF3" w:rsidR="0090296A" w:rsidRPr="00001111" w:rsidRDefault="003E578F" w:rsidP="002F509C">
            <w:pPr>
              <w:rPr>
                <w:b w:val="0"/>
              </w:rPr>
            </w:pPr>
            <w:r>
              <w:rPr>
                <w:b w:val="0"/>
              </w:rPr>
              <w:t xml:space="preserve">Storativity </w:t>
            </w:r>
            <w:r w:rsidR="0090296A">
              <w:rPr>
                <w:b w:val="0"/>
              </w:rPr>
              <w:t>S</w:t>
            </w:r>
            <w:r w:rsidR="0090296A">
              <w:rPr>
                <w:b w:val="0"/>
                <w:vertAlign w:val="subscript"/>
              </w:rPr>
              <w:t>s</w:t>
            </w:r>
            <w:r w:rsidR="0090296A">
              <w:rPr>
                <w:b w:val="0"/>
              </w:rPr>
              <w:t xml:space="preserve"> (1/m)</w:t>
            </w:r>
          </w:p>
        </w:tc>
        <w:tc>
          <w:tcPr>
            <w:tcW w:w="1093" w:type="dxa"/>
            <w:tcBorders>
              <w:top w:val="nil"/>
              <w:left w:val="nil"/>
              <w:bottom w:val="nil"/>
              <w:right w:val="nil"/>
            </w:tcBorders>
          </w:tcPr>
          <w:p w14:paraId="2134AA92"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1E-05</w:t>
            </w:r>
          </w:p>
        </w:tc>
        <w:tc>
          <w:tcPr>
            <w:tcW w:w="1167" w:type="dxa"/>
            <w:tcBorders>
              <w:top w:val="nil"/>
              <w:left w:val="nil"/>
              <w:bottom w:val="nil"/>
              <w:right w:val="nil"/>
            </w:tcBorders>
          </w:tcPr>
          <w:p w14:paraId="7C806439"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1E-05</w:t>
            </w:r>
          </w:p>
        </w:tc>
        <w:tc>
          <w:tcPr>
            <w:tcW w:w="1105" w:type="dxa"/>
            <w:tcBorders>
              <w:top w:val="nil"/>
              <w:left w:val="nil"/>
              <w:bottom w:val="nil"/>
              <w:right w:val="nil"/>
            </w:tcBorders>
          </w:tcPr>
          <w:p w14:paraId="6491DFF5"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1E-05</w:t>
            </w:r>
          </w:p>
        </w:tc>
        <w:tc>
          <w:tcPr>
            <w:tcW w:w="1355" w:type="dxa"/>
            <w:tcBorders>
              <w:top w:val="nil"/>
              <w:left w:val="nil"/>
              <w:bottom w:val="nil"/>
              <w:right w:val="nil"/>
            </w:tcBorders>
          </w:tcPr>
          <w:p w14:paraId="4B49A095"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405" w:type="dxa"/>
            <w:tcBorders>
              <w:top w:val="nil"/>
              <w:left w:val="nil"/>
              <w:bottom w:val="nil"/>
              <w:right w:val="nil"/>
            </w:tcBorders>
          </w:tcPr>
          <w:p w14:paraId="62A24127" w14:textId="04B176A1" w:rsidR="0090296A"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r>
      <w:tr w:rsidR="0090296A" w:rsidRPr="00032EB8" w14:paraId="4447F740"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shd w:val="clear" w:color="auto" w:fill="F2F2F2" w:themeFill="background1" w:themeFillShade="F2"/>
          </w:tcPr>
          <w:p w14:paraId="545750D0" w14:textId="7C1BE661" w:rsidR="0090296A" w:rsidRPr="00AD178B" w:rsidRDefault="003E578F" w:rsidP="0090296A">
            <w:pPr>
              <w:rPr>
                <w:b w:val="0"/>
              </w:rPr>
            </w:pPr>
            <w:r>
              <w:rPr>
                <w:b w:val="0"/>
              </w:rPr>
              <w:t>L</w:t>
            </w:r>
            <w:r w:rsidR="0090296A" w:rsidRPr="00AD178B">
              <w:rPr>
                <w:b w:val="0"/>
              </w:rPr>
              <w:t xml:space="preserve">ength </w:t>
            </w:r>
            <w:r>
              <w:rPr>
                <w:b w:val="0"/>
              </w:rPr>
              <w:t xml:space="preserve">of leaky well </w:t>
            </w:r>
            <w:r w:rsidR="0090296A" w:rsidRPr="00AD178B">
              <w:rPr>
                <w:b w:val="0"/>
              </w:rPr>
              <w:t>(m)</w:t>
            </w:r>
          </w:p>
        </w:tc>
        <w:tc>
          <w:tcPr>
            <w:tcW w:w="1093" w:type="dxa"/>
            <w:tcBorders>
              <w:top w:val="nil"/>
              <w:left w:val="nil"/>
              <w:bottom w:val="nil"/>
              <w:right w:val="nil"/>
            </w:tcBorders>
            <w:shd w:val="clear" w:color="auto" w:fill="F2F2F2" w:themeFill="background1" w:themeFillShade="F2"/>
          </w:tcPr>
          <w:p w14:paraId="34C427E9" w14:textId="2720B8C9"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67" w:type="dxa"/>
            <w:tcBorders>
              <w:top w:val="nil"/>
              <w:left w:val="nil"/>
              <w:bottom w:val="nil"/>
              <w:right w:val="nil"/>
            </w:tcBorders>
            <w:shd w:val="clear" w:color="auto" w:fill="F2F2F2" w:themeFill="background1" w:themeFillShade="F2"/>
          </w:tcPr>
          <w:p w14:paraId="643BE225" w14:textId="622F9124"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05" w:type="dxa"/>
            <w:tcBorders>
              <w:top w:val="nil"/>
              <w:left w:val="nil"/>
              <w:bottom w:val="nil"/>
              <w:right w:val="nil"/>
            </w:tcBorders>
            <w:shd w:val="clear" w:color="auto" w:fill="F2F2F2" w:themeFill="background1" w:themeFillShade="F2"/>
          </w:tcPr>
          <w:p w14:paraId="685F90BD" w14:textId="55DFEBEB"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355" w:type="dxa"/>
            <w:tcBorders>
              <w:top w:val="nil"/>
              <w:left w:val="nil"/>
              <w:bottom w:val="nil"/>
              <w:right w:val="nil"/>
            </w:tcBorders>
            <w:shd w:val="clear" w:color="auto" w:fill="F2F2F2" w:themeFill="background1" w:themeFillShade="F2"/>
          </w:tcPr>
          <w:p w14:paraId="354080B2"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735</w:t>
            </w:r>
          </w:p>
        </w:tc>
        <w:tc>
          <w:tcPr>
            <w:tcW w:w="1405" w:type="dxa"/>
            <w:tcBorders>
              <w:top w:val="nil"/>
              <w:left w:val="nil"/>
              <w:bottom w:val="nil"/>
              <w:right w:val="nil"/>
            </w:tcBorders>
            <w:shd w:val="clear" w:color="auto" w:fill="F2F2F2" w:themeFill="background1" w:themeFillShade="F2"/>
          </w:tcPr>
          <w:p w14:paraId="069604EF"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735</w:t>
            </w:r>
          </w:p>
        </w:tc>
      </w:tr>
      <w:tr w:rsidR="0090296A" w:rsidRPr="00032EB8" w14:paraId="786243B0"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tcPr>
          <w:p w14:paraId="17E53575" w14:textId="47DCB153" w:rsidR="0090296A" w:rsidRPr="00AD178B" w:rsidRDefault="003E578F" w:rsidP="0090296A">
            <w:pPr>
              <w:rPr>
                <w:b w:val="0"/>
              </w:rPr>
            </w:pPr>
            <w:r>
              <w:rPr>
                <w:b w:val="0"/>
              </w:rPr>
              <w:t xml:space="preserve">Well radius </w:t>
            </w:r>
            <w:r w:rsidR="0090296A">
              <w:rPr>
                <w:b w:val="0"/>
              </w:rPr>
              <w:t>r</w:t>
            </w:r>
            <w:r w:rsidR="0090296A">
              <w:rPr>
                <w:b w:val="0"/>
                <w:vertAlign w:val="subscript"/>
              </w:rPr>
              <w:t>w</w:t>
            </w:r>
            <w:r w:rsidR="0090296A">
              <w:rPr>
                <w:b w:val="0"/>
              </w:rPr>
              <w:t xml:space="preserve"> (m)</w:t>
            </w:r>
          </w:p>
        </w:tc>
        <w:tc>
          <w:tcPr>
            <w:tcW w:w="1093" w:type="dxa"/>
            <w:tcBorders>
              <w:top w:val="nil"/>
              <w:left w:val="nil"/>
              <w:bottom w:val="nil"/>
              <w:right w:val="nil"/>
            </w:tcBorders>
          </w:tcPr>
          <w:p w14:paraId="4F408FDC" w14:textId="2D5DB6A3"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67" w:type="dxa"/>
            <w:tcBorders>
              <w:top w:val="nil"/>
              <w:left w:val="nil"/>
              <w:bottom w:val="nil"/>
              <w:right w:val="nil"/>
            </w:tcBorders>
          </w:tcPr>
          <w:p w14:paraId="7ADBDA43" w14:textId="73D58A82"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05" w:type="dxa"/>
            <w:tcBorders>
              <w:top w:val="nil"/>
              <w:left w:val="nil"/>
              <w:bottom w:val="nil"/>
              <w:right w:val="nil"/>
            </w:tcBorders>
          </w:tcPr>
          <w:p w14:paraId="5F513965" w14:textId="0A6A680C"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355" w:type="dxa"/>
            <w:tcBorders>
              <w:top w:val="nil"/>
              <w:left w:val="nil"/>
              <w:bottom w:val="nil"/>
              <w:right w:val="nil"/>
            </w:tcBorders>
          </w:tcPr>
          <w:p w14:paraId="4A13B7AD"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0.25</w:t>
            </w:r>
          </w:p>
        </w:tc>
        <w:tc>
          <w:tcPr>
            <w:tcW w:w="1405" w:type="dxa"/>
            <w:tcBorders>
              <w:top w:val="nil"/>
              <w:left w:val="nil"/>
              <w:bottom w:val="nil"/>
              <w:right w:val="nil"/>
            </w:tcBorders>
          </w:tcPr>
          <w:p w14:paraId="717A3578" w14:textId="77777777" w:rsidR="0090296A" w:rsidRDefault="0090296A" w:rsidP="00336753">
            <w:pPr>
              <w:jc w:val="center"/>
              <w:cnfStyle w:val="000000000000" w:firstRow="0" w:lastRow="0" w:firstColumn="0" w:lastColumn="0" w:oddVBand="0" w:evenVBand="0" w:oddHBand="0" w:evenHBand="0" w:firstRowFirstColumn="0" w:firstRowLastColumn="0" w:lastRowFirstColumn="0" w:lastRowLastColumn="0"/>
            </w:pPr>
            <w:r>
              <w:t>0.25</w:t>
            </w:r>
          </w:p>
        </w:tc>
      </w:tr>
      <w:tr w:rsidR="0090296A" w:rsidRPr="00032EB8" w14:paraId="60801D7E"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shd w:val="clear" w:color="auto" w:fill="F2F2F2" w:themeFill="background1" w:themeFillShade="F2"/>
          </w:tcPr>
          <w:p w14:paraId="6CCBA3F5" w14:textId="4FE75F26" w:rsidR="0090296A" w:rsidRPr="00623C36" w:rsidRDefault="003E578F" w:rsidP="0090296A">
            <w:pPr>
              <w:rPr>
                <w:b w:val="0"/>
              </w:rPr>
            </w:pPr>
            <w:r>
              <w:rPr>
                <w:b w:val="0"/>
              </w:rPr>
              <w:t xml:space="preserve">Effective well conductivity </w:t>
            </w:r>
            <w:r w:rsidR="0090296A" w:rsidRPr="005759F3">
              <w:rPr>
                <w:b w:val="0"/>
                <w:i/>
              </w:rPr>
              <w:t>K</w:t>
            </w:r>
            <w:r w:rsidR="0090296A">
              <w:rPr>
                <w:b w:val="0"/>
                <w:vertAlign w:val="subscript"/>
              </w:rPr>
              <w:t>well</w:t>
            </w:r>
            <w:r w:rsidR="0090296A">
              <w:rPr>
                <w:b w:val="0"/>
              </w:rPr>
              <w:t xml:space="preserve"> (m/d)</w:t>
            </w:r>
          </w:p>
        </w:tc>
        <w:tc>
          <w:tcPr>
            <w:tcW w:w="1093" w:type="dxa"/>
            <w:tcBorders>
              <w:top w:val="nil"/>
              <w:left w:val="nil"/>
              <w:bottom w:val="nil"/>
              <w:right w:val="nil"/>
            </w:tcBorders>
            <w:shd w:val="clear" w:color="auto" w:fill="F2F2F2" w:themeFill="background1" w:themeFillShade="F2"/>
          </w:tcPr>
          <w:p w14:paraId="5B5DD2EE" w14:textId="7F3446DB"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67" w:type="dxa"/>
            <w:tcBorders>
              <w:top w:val="nil"/>
              <w:left w:val="nil"/>
              <w:bottom w:val="nil"/>
              <w:right w:val="nil"/>
            </w:tcBorders>
            <w:shd w:val="clear" w:color="auto" w:fill="F2F2F2" w:themeFill="background1" w:themeFillShade="F2"/>
          </w:tcPr>
          <w:p w14:paraId="3971E813" w14:textId="62EE879D"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05" w:type="dxa"/>
            <w:tcBorders>
              <w:top w:val="nil"/>
              <w:left w:val="nil"/>
              <w:bottom w:val="nil"/>
              <w:right w:val="nil"/>
            </w:tcBorders>
            <w:shd w:val="clear" w:color="auto" w:fill="F2F2F2" w:themeFill="background1" w:themeFillShade="F2"/>
          </w:tcPr>
          <w:p w14:paraId="61E10528" w14:textId="2F264763"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355" w:type="dxa"/>
            <w:tcBorders>
              <w:top w:val="nil"/>
              <w:left w:val="nil"/>
              <w:bottom w:val="nil"/>
              <w:right w:val="nil"/>
            </w:tcBorders>
            <w:shd w:val="clear" w:color="auto" w:fill="F2F2F2" w:themeFill="background1" w:themeFillShade="F2"/>
          </w:tcPr>
          <w:p w14:paraId="108FAAB9" w14:textId="2F3722A1" w:rsidR="0090296A" w:rsidRPr="00043F2D" w:rsidRDefault="00C030AA" w:rsidP="00572CE3">
            <w:pPr>
              <w:jc w:val="center"/>
              <w:cnfStyle w:val="000000000000" w:firstRow="0" w:lastRow="0" w:firstColumn="0" w:lastColumn="0" w:oddVBand="0" w:evenVBand="0" w:oddHBand="0" w:evenHBand="0" w:firstRowFirstColumn="0" w:firstRowLastColumn="0" w:lastRowFirstColumn="0" w:lastRowLastColumn="0"/>
              <w:rPr>
                <w:highlight w:val="yellow"/>
              </w:rPr>
            </w:pPr>
            <w:r w:rsidRPr="00D53EC5">
              <w:t>8.</w:t>
            </w:r>
            <w:r w:rsidR="00572CE3" w:rsidRPr="00D53EC5">
              <w:t>13</w:t>
            </w:r>
            <w:r w:rsidRPr="00D53EC5">
              <w:t>E</w:t>
            </w:r>
            <w:r w:rsidR="0017526C" w:rsidRPr="00D53EC5">
              <w:t>-01</w:t>
            </w:r>
          </w:p>
        </w:tc>
        <w:tc>
          <w:tcPr>
            <w:tcW w:w="1405" w:type="dxa"/>
            <w:tcBorders>
              <w:top w:val="nil"/>
              <w:left w:val="nil"/>
              <w:bottom w:val="nil"/>
              <w:right w:val="nil"/>
            </w:tcBorders>
            <w:shd w:val="clear" w:color="auto" w:fill="F2F2F2" w:themeFill="background1" w:themeFillShade="F2"/>
          </w:tcPr>
          <w:p w14:paraId="729530DA" w14:textId="10BF7CDF" w:rsidR="0090296A" w:rsidRPr="00043F2D" w:rsidRDefault="0017526C" w:rsidP="00336753">
            <w:pPr>
              <w:jc w:val="center"/>
              <w:cnfStyle w:val="000000000000" w:firstRow="0" w:lastRow="0" w:firstColumn="0" w:lastColumn="0" w:oddVBand="0" w:evenVBand="0" w:oddHBand="0" w:evenHBand="0" w:firstRowFirstColumn="0" w:firstRowLastColumn="0" w:lastRowFirstColumn="0" w:lastRowLastColumn="0"/>
              <w:rPr>
                <w:highlight w:val="yellow"/>
              </w:rPr>
            </w:pPr>
            <w:r w:rsidRPr="00D53EC5">
              <w:t>6</w:t>
            </w:r>
            <w:r w:rsidR="00043F2D" w:rsidRPr="00D53EC5">
              <w:t>.25</w:t>
            </w:r>
            <w:r w:rsidRPr="00D53EC5">
              <w:t>E</w:t>
            </w:r>
            <w:r w:rsidR="00043F2D" w:rsidRPr="00D53EC5">
              <w:t>0</w:t>
            </w:r>
            <w:r w:rsidRPr="00D53EC5">
              <w:t>8</w:t>
            </w:r>
          </w:p>
        </w:tc>
      </w:tr>
      <w:tr w:rsidR="0090296A" w:rsidRPr="00032EB8" w14:paraId="06B290C7"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nil"/>
              <w:right w:val="nil"/>
            </w:tcBorders>
          </w:tcPr>
          <w:p w14:paraId="2DF8662F" w14:textId="55621378" w:rsidR="0090296A" w:rsidRPr="00AD178B" w:rsidRDefault="003E578F">
            <w:pPr>
              <w:rPr>
                <w:b w:val="0"/>
              </w:rPr>
            </w:pPr>
            <w:r>
              <w:rPr>
                <w:b w:val="0"/>
              </w:rPr>
              <w:t xml:space="preserve">Constant head boundary for the initial production well </w:t>
            </w:r>
            <w:r w:rsidR="0090296A">
              <w:rPr>
                <w:b w:val="0"/>
              </w:rPr>
              <w:t>CHB (m)</w:t>
            </w:r>
          </w:p>
        </w:tc>
        <w:tc>
          <w:tcPr>
            <w:tcW w:w="1093" w:type="dxa"/>
            <w:tcBorders>
              <w:top w:val="nil"/>
              <w:left w:val="nil"/>
              <w:bottom w:val="nil"/>
              <w:right w:val="nil"/>
            </w:tcBorders>
          </w:tcPr>
          <w:p w14:paraId="2D74D2C5" w14:textId="138F2FE1"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67" w:type="dxa"/>
            <w:tcBorders>
              <w:top w:val="nil"/>
              <w:left w:val="nil"/>
              <w:bottom w:val="nil"/>
              <w:right w:val="nil"/>
            </w:tcBorders>
          </w:tcPr>
          <w:p w14:paraId="75C6A428" w14:textId="0696D177"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05" w:type="dxa"/>
            <w:tcBorders>
              <w:top w:val="nil"/>
              <w:left w:val="nil"/>
              <w:bottom w:val="nil"/>
              <w:right w:val="nil"/>
            </w:tcBorders>
          </w:tcPr>
          <w:p w14:paraId="60949581" w14:textId="6A8D6F30" w:rsidR="0090296A" w:rsidRPr="00032EB8"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355" w:type="dxa"/>
            <w:tcBorders>
              <w:top w:val="nil"/>
              <w:left w:val="nil"/>
              <w:bottom w:val="nil"/>
              <w:right w:val="nil"/>
            </w:tcBorders>
          </w:tcPr>
          <w:p w14:paraId="3F38632F"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211</w:t>
            </w:r>
          </w:p>
        </w:tc>
        <w:tc>
          <w:tcPr>
            <w:tcW w:w="1405" w:type="dxa"/>
            <w:tcBorders>
              <w:top w:val="nil"/>
              <w:left w:val="nil"/>
              <w:bottom w:val="nil"/>
              <w:right w:val="nil"/>
            </w:tcBorders>
          </w:tcPr>
          <w:p w14:paraId="7141DC6F" w14:textId="77777777" w:rsidR="0090296A" w:rsidRPr="00032EB8" w:rsidRDefault="0090296A" w:rsidP="00336753">
            <w:pPr>
              <w:jc w:val="center"/>
              <w:cnfStyle w:val="000000000000" w:firstRow="0" w:lastRow="0" w:firstColumn="0" w:lastColumn="0" w:oddVBand="0" w:evenVBand="0" w:oddHBand="0" w:evenHBand="0" w:firstRowFirstColumn="0" w:firstRowLastColumn="0" w:lastRowFirstColumn="0" w:lastRowLastColumn="0"/>
            </w:pPr>
            <w:r>
              <w:t>211</w:t>
            </w:r>
          </w:p>
        </w:tc>
      </w:tr>
      <w:tr w:rsidR="0090296A" w:rsidRPr="000027DE" w14:paraId="29FF6B33" w14:textId="77777777" w:rsidTr="00277595">
        <w:trPr>
          <w:jc w:val="center"/>
        </w:trPr>
        <w:tc>
          <w:tcPr>
            <w:cnfStyle w:val="001000000000" w:firstRow="0" w:lastRow="0" w:firstColumn="1" w:lastColumn="0" w:oddVBand="0" w:evenVBand="0" w:oddHBand="0" w:evenHBand="0" w:firstRowFirstColumn="0" w:firstRowLastColumn="0" w:lastRowFirstColumn="0" w:lastRowLastColumn="0"/>
            <w:tcW w:w="1875" w:type="dxa"/>
            <w:tcBorders>
              <w:top w:val="nil"/>
              <w:left w:val="nil"/>
              <w:bottom w:val="single" w:sz="4" w:space="0" w:color="000000" w:themeColor="text1"/>
              <w:right w:val="nil"/>
            </w:tcBorders>
            <w:shd w:val="clear" w:color="auto" w:fill="F2F2F2" w:themeFill="background1" w:themeFillShade="F2"/>
          </w:tcPr>
          <w:p w14:paraId="0B68DEEA" w14:textId="2E91C2BA" w:rsidR="0090296A" w:rsidRPr="000027DE" w:rsidRDefault="004A274C">
            <w:pPr>
              <w:rPr>
                <w:b w:val="0"/>
              </w:rPr>
            </w:pPr>
            <w:r>
              <w:rPr>
                <w:b w:val="0"/>
              </w:rPr>
              <w:t>Well s</w:t>
            </w:r>
            <w:r w:rsidR="0090296A" w:rsidRPr="000027DE">
              <w:rPr>
                <w:b w:val="0"/>
              </w:rPr>
              <w:t xml:space="preserve">kin </w:t>
            </w:r>
            <w:r w:rsidR="0090296A">
              <w:rPr>
                <w:b w:val="0"/>
              </w:rPr>
              <w:t>factor (-)</w:t>
            </w:r>
          </w:p>
        </w:tc>
        <w:tc>
          <w:tcPr>
            <w:tcW w:w="1093" w:type="dxa"/>
            <w:tcBorders>
              <w:top w:val="nil"/>
              <w:left w:val="nil"/>
              <w:bottom w:val="single" w:sz="4" w:space="0" w:color="000000" w:themeColor="text1"/>
              <w:right w:val="nil"/>
            </w:tcBorders>
            <w:shd w:val="clear" w:color="auto" w:fill="F2F2F2" w:themeFill="background1" w:themeFillShade="F2"/>
          </w:tcPr>
          <w:p w14:paraId="513C6876" w14:textId="772C8900" w:rsidR="0090296A" w:rsidRPr="000027DE"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67" w:type="dxa"/>
            <w:tcBorders>
              <w:top w:val="nil"/>
              <w:left w:val="nil"/>
              <w:bottom w:val="single" w:sz="4" w:space="0" w:color="000000" w:themeColor="text1"/>
              <w:right w:val="nil"/>
            </w:tcBorders>
            <w:shd w:val="clear" w:color="auto" w:fill="F2F2F2" w:themeFill="background1" w:themeFillShade="F2"/>
          </w:tcPr>
          <w:p w14:paraId="15804C37" w14:textId="0290C309" w:rsidR="0090296A" w:rsidRPr="000027DE"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105" w:type="dxa"/>
            <w:tcBorders>
              <w:top w:val="nil"/>
              <w:left w:val="nil"/>
              <w:bottom w:val="single" w:sz="4" w:space="0" w:color="000000" w:themeColor="text1"/>
              <w:right w:val="nil"/>
            </w:tcBorders>
            <w:shd w:val="clear" w:color="auto" w:fill="F2F2F2" w:themeFill="background1" w:themeFillShade="F2"/>
          </w:tcPr>
          <w:p w14:paraId="75F8892F" w14:textId="4EEF768D" w:rsidR="0090296A" w:rsidRPr="000027DE" w:rsidRDefault="00F55331" w:rsidP="00336753">
            <w:pPr>
              <w:jc w:val="center"/>
              <w:cnfStyle w:val="000000000000" w:firstRow="0" w:lastRow="0" w:firstColumn="0" w:lastColumn="0" w:oddVBand="0" w:evenVBand="0" w:oddHBand="0" w:evenHBand="0" w:firstRowFirstColumn="0" w:firstRowLastColumn="0" w:lastRowFirstColumn="0" w:lastRowLastColumn="0"/>
            </w:pPr>
            <w:r>
              <w:t>-</w:t>
            </w:r>
          </w:p>
        </w:tc>
        <w:tc>
          <w:tcPr>
            <w:tcW w:w="1355" w:type="dxa"/>
            <w:tcBorders>
              <w:top w:val="nil"/>
              <w:left w:val="nil"/>
              <w:bottom w:val="single" w:sz="4" w:space="0" w:color="000000" w:themeColor="text1"/>
              <w:right w:val="nil"/>
            </w:tcBorders>
            <w:shd w:val="clear" w:color="auto" w:fill="F2F2F2" w:themeFill="background1" w:themeFillShade="F2"/>
          </w:tcPr>
          <w:p w14:paraId="5AB3BA8C" w14:textId="77777777" w:rsidR="0090296A" w:rsidRPr="000027DE" w:rsidRDefault="008C3355" w:rsidP="00336753">
            <w:pPr>
              <w:jc w:val="center"/>
              <w:cnfStyle w:val="000000000000" w:firstRow="0" w:lastRow="0" w:firstColumn="0" w:lastColumn="0" w:oddVBand="0" w:evenVBand="0" w:oddHBand="0" w:evenHBand="0" w:firstRowFirstColumn="0" w:firstRowLastColumn="0" w:lastRowFirstColumn="0" w:lastRowLastColumn="0"/>
            </w:pPr>
            <w:r>
              <w:t>N/A</w:t>
            </w:r>
          </w:p>
        </w:tc>
        <w:tc>
          <w:tcPr>
            <w:tcW w:w="1405" w:type="dxa"/>
            <w:tcBorders>
              <w:top w:val="nil"/>
              <w:left w:val="nil"/>
              <w:bottom w:val="single" w:sz="4" w:space="0" w:color="000000" w:themeColor="text1"/>
              <w:right w:val="nil"/>
            </w:tcBorders>
            <w:shd w:val="clear" w:color="auto" w:fill="F2F2F2" w:themeFill="background1" w:themeFillShade="F2"/>
          </w:tcPr>
          <w:p w14:paraId="3C086B0B" w14:textId="77777777" w:rsidR="0090296A" w:rsidRPr="000027DE" w:rsidRDefault="0090296A" w:rsidP="00336753">
            <w:pPr>
              <w:jc w:val="center"/>
              <w:cnfStyle w:val="000000000000" w:firstRow="0" w:lastRow="0" w:firstColumn="0" w:lastColumn="0" w:oddVBand="0" w:evenVBand="0" w:oddHBand="0" w:evenHBand="0" w:firstRowFirstColumn="0" w:firstRowLastColumn="0" w:lastRowFirstColumn="0" w:lastRowLastColumn="0"/>
            </w:pPr>
            <w:r>
              <w:t>10</w:t>
            </w:r>
          </w:p>
        </w:tc>
      </w:tr>
    </w:tbl>
    <w:p w14:paraId="46C05413" w14:textId="77777777" w:rsidR="00223EF0" w:rsidRDefault="00223EF0" w:rsidP="00CA5AD5"/>
    <w:p w14:paraId="5B6640DB" w14:textId="3284A015" w:rsidR="0058588A" w:rsidRPr="00003417" w:rsidRDefault="0058588A" w:rsidP="0058588A">
      <w:r>
        <w:t xml:space="preserve">The system was </w:t>
      </w:r>
      <w:r w:rsidR="00A06BCD">
        <w:t xml:space="preserve">first </w:t>
      </w:r>
      <w:r>
        <w:t>modelled in steady</w:t>
      </w:r>
      <w:r w:rsidR="006236CB">
        <w:t>-</w:t>
      </w:r>
      <w:r>
        <w:t xml:space="preserve">state to find the pre-production quasi-equilibrium, then </w:t>
      </w:r>
      <w:r w:rsidR="00A06BCD">
        <w:t xml:space="preserve">followed by </w:t>
      </w:r>
      <w:r>
        <w:t xml:space="preserve">transient </w:t>
      </w:r>
      <w:r w:rsidR="00A06BCD">
        <w:t xml:space="preserve">simulations </w:t>
      </w:r>
      <w:r>
        <w:t xml:space="preserve">of the proposed 26 year </w:t>
      </w:r>
      <w:r w:rsidR="00A06BCD">
        <w:t xml:space="preserve">gas </w:t>
      </w:r>
      <w:r>
        <w:t>production period</w:t>
      </w:r>
      <w:r w:rsidR="00A06BCD">
        <w:t>.</w:t>
      </w:r>
      <w:r>
        <w:t xml:space="preserve"> </w:t>
      </w:r>
      <w:r w:rsidR="00A06BCD">
        <w:t xml:space="preserve">Final head distributions at the end of the gas production period were used as starting condition to simulate </w:t>
      </w:r>
      <w:r>
        <w:t>post</w:t>
      </w:r>
      <w:r w:rsidR="006236CB">
        <w:t>-</w:t>
      </w:r>
      <w:r>
        <w:t>production hydraulic conditions</w:t>
      </w:r>
      <w:r w:rsidR="00A06BCD">
        <w:t xml:space="preserve"> that characterise</w:t>
      </w:r>
      <w:r>
        <w:t xml:space="preserve"> the aquifer recovery </w:t>
      </w:r>
      <w:r w:rsidR="00A06BCD">
        <w:t>period</w:t>
      </w:r>
      <w:r>
        <w:t>.</w:t>
      </w:r>
    </w:p>
    <w:p w14:paraId="7CD2F73C" w14:textId="2AE775C3" w:rsidR="00997F26" w:rsidRDefault="002E79F2" w:rsidP="00CA5AD5">
      <w:r>
        <w:t xml:space="preserve">Groundwater heads during </w:t>
      </w:r>
      <w:r w:rsidR="00C030AA">
        <w:t xml:space="preserve">the </w:t>
      </w:r>
      <w:r>
        <w:t xml:space="preserve">production </w:t>
      </w:r>
      <w:r w:rsidR="0058588A">
        <w:t xml:space="preserve">period </w:t>
      </w:r>
      <w:r>
        <w:t xml:space="preserve">were </w:t>
      </w:r>
      <w:r w:rsidR="0058588A">
        <w:t xml:space="preserve">estimated </w:t>
      </w:r>
      <w:r>
        <w:t xml:space="preserve">by applying a </w:t>
      </w:r>
      <w:r w:rsidR="00665667">
        <w:t>211</w:t>
      </w:r>
      <w:r>
        <w:t xml:space="preserve"> m CHB condition at the </w:t>
      </w:r>
      <w:r w:rsidR="009519CC">
        <w:t xml:space="preserve">base of layer 3 at the </w:t>
      </w:r>
      <w:r>
        <w:t>production well for a period of 26 years</w:t>
      </w:r>
      <w:r w:rsidR="00FA53F8">
        <w:t>; the head difference with aquifer 1 is 328-211=117m</w:t>
      </w:r>
      <w:r>
        <w:t xml:space="preserve">. </w:t>
      </w:r>
      <w:r w:rsidR="00306011">
        <w:t xml:space="preserve">The </w:t>
      </w:r>
      <w:r w:rsidR="00FA53F8">
        <w:t xml:space="preserve">simulated </w:t>
      </w:r>
      <w:r w:rsidR="00306011">
        <w:t xml:space="preserve">heads </w:t>
      </w:r>
      <w:r w:rsidR="00862D8A">
        <w:t xml:space="preserve">at 26 years </w:t>
      </w:r>
      <w:r w:rsidR="00306011">
        <w:t xml:space="preserve">were used as initial heads </w:t>
      </w:r>
      <w:r w:rsidR="00982110">
        <w:t xml:space="preserve">for </w:t>
      </w:r>
      <w:r w:rsidR="00306011">
        <w:t>model</w:t>
      </w:r>
      <w:r w:rsidR="00982110">
        <w:t>ling</w:t>
      </w:r>
      <w:r w:rsidR="00306011">
        <w:t xml:space="preserve"> the groundwater recovery</w:t>
      </w:r>
      <w:r w:rsidR="00982110">
        <w:t xml:space="preserve"> process</w:t>
      </w:r>
      <w:r w:rsidR="00306011">
        <w:t>.</w:t>
      </w:r>
    </w:p>
    <w:p w14:paraId="3DC908AF" w14:textId="34F527D0" w:rsidR="002E79F2" w:rsidRDefault="00E2193E" w:rsidP="00CA5AD5">
      <w:r>
        <w:t xml:space="preserve">The leaky well was conceptualised using the continuous linear network </w:t>
      </w:r>
      <w:r w:rsidR="006B1A9A">
        <w:t xml:space="preserve">(CLN) </w:t>
      </w:r>
      <w:r w:rsidR="00221E23">
        <w:t>package</w:t>
      </w:r>
      <w:r>
        <w:t xml:space="preserve"> </w:t>
      </w:r>
      <w:r w:rsidR="00B33A9E">
        <w:t>from</w:t>
      </w:r>
      <w:r>
        <w:t xml:space="preserve"> MODFLOW-USG.</w:t>
      </w:r>
      <w:r w:rsidR="00B33A9E">
        <w:t xml:space="preserve"> </w:t>
      </w:r>
      <w:r w:rsidR="00221E23">
        <w:t>The CLN package</w:t>
      </w:r>
      <w:r w:rsidR="00B33A9E">
        <w:t xml:space="preserve"> </w:t>
      </w:r>
      <w:r w:rsidR="00221E23">
        <w:t xml:space="preserve">allows longitudinal flow through conduits that are much smaller than the model cell to be </w:t>
      </w:r>
      <w:r w:rsidR="00D44B3B">
        <w:t>represented</w:t>
      </w:r>
      <w:r w:rsidR="00221E23">
        <w:t xml:space="preserve"> without the need for additional detail to be built into the </w:t>
      </w:r>
      <w:r w:rsidR="00D44B3B">
        <w:t xml:space="preserve">mesh </w:t>
      </w:r>
      <w:r w:rsidR="00D44B3B">
        <w:fldChar w:fldCharType="begin"/>
      </w:r>
      <w:r w:rsidR="008677F5">
        <w:instrText xml:space="preserve"> ADDIN EN.CITE &lt;EndNote&gt;&lt;Cite&gt;&lt;Author&gt;Panday&lt;/Author&gt;&lt;Year&gt;2013&lt;/Year&gt;&lt;RecNum&gt;2495&lt;/RecNum&gt;&lt;DisplayText&gt;[&lt;style face="italic"&gt;Panday et al.&lt;/style&gt;, 2013]&lt;/DisplayText&gt;&lt;record&gt;&lt;rec-number&gt;2495&lt;/rec-number&gt;&lt;foreign-keys&gt;&lt;key app="EN" db-id="sawsrtr20e9dd8ewz5evfttuv5erw5fa22tr"&gt;2495&lt;/key&gt;&lt;/foreign-keys&gt;&lt;ref-type name="Report"&gt;27&lt;/ref-type&gt;&lt;contributors&gt;&lt;authors&gt;&lt;author&gt;Panday, Sorab&lt;/author&gt;&lt;author&gt;Langevin, Christian D.&lt;/author&gt;&lt;author&gt;Niswonger, Richard G.&lt;/author&gt;&lt;author&gt;Ibaraki, Motomu&lt;/author&gt;&lt;author&gt;Hughes, Joseph D.&lt;/author&gt;&lt;/authors&gt;&lt;tertiary-authors&gt;&lt;author&gt;U. S. Geological Survey&lt;/author&gt;&lt;/tertiary-authors&gt;&lt;/contributors&gt;&lt;titles&gt;&lt;title&gt;MODFLOW–USG version 1: An unstructured grid version of MODFLOW for simulating groundwater flow and tightly coupled processes using a control volume finite-difference formulation&lt;/title&gt;&lt;secondary-title&gt;Techniques and Methods&lt;/secondary-title&gt;&lt;/titles&gt;&lt;pages&gt;78&lt;/pages&gt;&lt;dates&gt;&lt;year&gt;2013&lt;/year&gt;&lt;/dates&gt;&lt;pub-location&gt;Reston, VA&lt;/pub-location&gt;&lt;isbn&gt;6-A45&lt;/isbn&gt;&lt;work-type&gt;Report&lt;/work-type&gt;&lt;urls&gt;&lt;related-urls&gt;&lt;url&gt;http://pubs.er.usgs.gov/publication/tm6A45&lt;/url&gt;&lt;/related-urls&gt;&lt;/urls&gt;&lt;remote-database-name&gt;USGS Publications Warehouse&lt;/remote-database-name&gt;&lt;language&gt;English&lt;/language&gt;&lt;/record&gt;&lt;/Cite&gt;&lt;/EndNote&gt;</w:instrText>
      </w:r>
      <w:r w:rsidR="00D44B3B">
        <w:fldChar w:fldCharType="separate"/>
      </w:r>
      <w:r w:rsidR="008677F5">
        <w:rPr>
          <w:noProof/>
        </w:rPr>
        <w:t>[</w:t>
      </w:r>
      <w:hyperlink w:anchor="_ENREF_19" w:tooltip="Panday, 2013 #2495" w:history="1">
        <w:r w:rsidR="007A7BC9" w:rsidRPr="00336753">
          <w:rPr>
            <w:noProof/>
          </w:rPr>
          <w:t>Panday et al.</w:t>
        </w:r>
        <w:r w:rsidR="007A7BC9">
          <w:rPr>
            <w:noProof/>
          </w:rPr>
          <w:t>, 2013</w:t>
        </w:r>
      </w:hyperlink>
      <w:r w:rsidR="008677F5">
        <w:rPr>
          <w:noProof/>
        </w:rPr>
        <w:t>]</w:t>
      </w:r>
      <w:r w:rsidR="00D44B3B">
        <w:fldChar w:fldCharType="end"/>
      </w:r>
      <w:r w:rsidR="00232EA9">
        <w:t>.</w:t>
      </w:r>
      <w:r w:rsidR="00A84DDC">
        <w:t xml:space="preserve"> It also facilitates passive flow through a conduit, which is governed by the head gradient along the conduit and the resistance to flow through the conduit (</w:t>
      </w:r>
      <w:r w:rsidR="00F6653B" w:rsidRPr="00287A00">
        <w:rPr>
          <w:i/>
        </w:rPr>
        <w:t>K</w:t>
      </w:r>
      <w:r w:rsidR="00F6653B" w:rsidRPr="00287A00">
        <w:rPr>
          <w:i/>
          <w:vertAlign w:val="subscript"/>
        </w:rPr>
        <w:t>well</w:t>
      </w:r>
      <w:r w:rsidR="00A84DDC">
        <w:t>), between the conduit and the aquifer matrix (skin factor), and through the connected aquifers (</w:t>
      </w:r>
      <w:r w:rsidR="00A84DDC" w:rsidRPr="00287A00">
        <w:rPr>
          <w:i/>
        </w:rPr>
        <w:t>K</w:t>
      </w:r>
      <w:r w:rsidR="00A84DDC" w:rsidRPr="00287A00">
        <w:rPr>
          <w:i/>
          <w:vertAlign w:val="subscript"/>
        </w:rPr>
        <w:t>aq</w:t>
      </w:r>
      <w:r w:rsidR="00A84DDC">
        <w:t>).</w:t>
      </w:r>
    </w:p>
    <w:p w14:paraId="4CFACB12" w14:textId="15CF7D21" w:rsidR="000645A2" w:rsidRDefault="000645A2" w:rsidP="000645A2">
      <w:r>
        <w:t xml:space="preserve">Recovery of groundwater heads </w:t>
      </w:r>
      <w:r w:rsidR="00FA53F8">
        <w:t xml:space="preserve">in the post-production period </w:t>
      </w:r>
      <w:r>
        <w:t xml:space="preserve">was modelled for three scenarios: (i) </w:t>
      </w:r>
      <w:r w:rsidR="00FA53F8">
        <w:t>a</w:t>
      </w:r>
      <w:r>
        <w:t xml:space="preserve"> perfectly sealed </w:t>
      </w:r>
      <w:r w:rsidR="00FA53F8">
        <w:t xml:space="preserve">well </w:t>
      </w:r>
      <w:r>
        <w:t xml:space="preserve">at decommissioning </w:t>
      </w:r>
      <w:r w:rsidR="00FA53F8">
        <w:t>which</w:t>
      </w:r>
      <w:r>
        <w:t xml:space="preserve"> does not present a seepage pathway, (ii) </w:t>
      </w:r>
      <w:r w:rsidR="003777D4">
        <w:t>a</w:t>
      </w:r>
      <w:r>
        <w:t xml:space="preserve"> </w:t>
      </w:r>
      <w:r w:rsidR="003777D4">
        <w:t xml:space="preserve">leaky </w:t>
      </w:r>
      <w:r>
        <w:t xml:space="preserve">well </w:t>
      </w:r>
      <w:r w:rsidR="00C030AA">
        <w:t xml:space="preserve">that </w:t>
      </w:r>
      <w:r>
        <w:t xml:space="preserve">is considered to be </w:t>
      </w:r>
      <w:r w:rsidR="00C030AA">
        <w:t xml:space="preserve">a </w:t>
      </w:r>
      <w:r>
        <w:t xml:space="preserve">major seepage pathway, and (iii) </w:t>
      </w:r>
      <w:r w:rsidR="003777D4">
        <w:t>a</w:t>
      </w:r>
      <w:r>
        <w:t xml:space="preserve"> well </w:t>
      </w:r>
      <w:r w:rsidR="00C030AA">
        <w:t xml:space="preserve">that </w:t>
      </w:r>
      <w:r>
        <w:t>represents a repurposed water bore (</w:t>
      </w:r>
      <w:r w:rsidR="003777D4">
        <w:t xml:space="preserve">fully </w:t>
      </w:r>
      <w:r>
        <w:t>open well). Scenario 1 represents aquifer</w:t>
      </w:r>
      <w:r w:rsidR="003777D4">
        <w:t xml:space="preserve"> 2</w:t>
      </w:r>
      <w:r>
        <w:t xml:space="preserve"> </w:t>
      </w:r>
      <w:r w:rsidR="00C030AA">
        <w:t xml:space="preserve">recovery </w:t>
      </w:r>
      <w:r>
        <w:t>through replenishment from the aquitard (an intrinsically slow process) and from the model boundary conditions</w:t>
      </w:r>
      <w:r w:rsidR="002477B9">
        <w:t>; recovery of aquifer 1 is only from the model boundary conditions</w:t>
      </w:r>
      <w:r>
        <w:t>.</w:t>
      </w:r>
      <w:r w:rsidR="00604F2D">
        <w:t xml:space="preserve"> Note that recharge from diffuse rainfall was not considered in these scenarios. </w:t>
      </w:r>
      <w:r>
        <w:t xml:space="preserve"> Scenario 2 represents flow through a leaky well with an effective </w:t>
      </w:r>
      <w:r w:rsidRPr="008E3879">
        <w:t>well conductivity (</w:t>
      </w:r>
      <w:r w:rsidRPr="008E3879">
        <w:rPr>
          <w:i/>
        </w:rPr>
        <w:t>K</w:t>
      </w:r>
      <w:r w:rsidRPr="008E3879">
        <w:rPr>
          <w:i/>
          <w:vertAlign w:val="subscript"/>
        </w:rPr>
        <w:t>well</w:t>
      </w:r>
      <w:r w:rsidRPr="008E3879">
        <w:t xml:space="preserve">) of </w:t>
      </w:r>
      <w:r w:rsidR="0053544B" w:rsidRPr="008E3879">
        <w:t>8.</w:t>
      </w:r>
      <w:r w:rsidR="00572CE3" w:rsidRPr="008E3879">
        <w:t>13</w:t>
      </w:r>
      <w:r w:rsidR="0053544B" w:rsidRPr="008E3879">
        <w:t>x10</w:t>
      </w:r>
      <w:r w:rsidR="00572CE3" w:rsidRPr="008E3879">
        <w:rPr>
          <w:vertAlign w:val="superscript"/>
        </w:rPr>
        <w:t>-1</w:t>
      </w:r>
      <w:r w:rsidRPr="008E3879">
        <w:t xml:space="preserve"> m/d, or 1</w:t>
      </w:r>
      <w:r w:rsidR="008E3879" w:rsidRPr="008E3879">
        <w:t>1</w:t>
      </w:r>
      <w:r w:rsidRPr="008E3879">
        <w:t>0</w:t>
      </w:r>
      <w:r w:rsidR="00572CE3" w:rsidRPr="008E3879">
        <w:t>0</w:t>
      </w:r>
      <w:r w:rsidRPr="008E3879">
        <w:t xml:space="preserve"> mD, </w:t>
      </w:r>
      <w:r w:rsidR="00EF7FB6" w:rsidRPr="008E3879">
        <w:t>which was chosen to be conservatively</w:t>
      </w:r>
      <w:r w:rsidR="00572CE3" w:rsidRPr="008E3879">
        <w:t xml:space="preserve"> one order of magnitude greater than that </w:t>
      </w:r>
      <w:r w:rsidRPr="008E3879">
        <w:t xml:space="preserve">used by Nordbotten et al. </w:t>
      </w:r>
      <w:r w:rsidRPr="008E3879">
        <w:fldChar w:fldCharType="begin"/>
      </w:r>
      <w:r w:rsidRPr="008E3879">
        <w:instrText xml:space="preserve"> ADDIN EN.CITE &lt;EndNote&gt;&lt;Cite ExcludeAuth="1"&gt;&lt;Author&gt;Nordbotten&lt;/Author&gt;&lt;Year&gt;2008&lt;/Year&gt;&lt;RecNum&gt;2624&lt;/RecNum&gt;&lt;DisplayText&gt;[2008]&lt;/DisplayText&gt;&lt;record&gt;&lt;rec-number&gt;2624&lt;/rec-number&gt;&lt;foreign-keys&gt;&lt;key app="EN" db-id="sawsrtr20e9dd8ewz5evfttuv5erw5fa22tr"&gt;2624&lt;/key&gt;&lt;/foreign-keys&gt;&lt;ref-type name="Journal Article"&gt;17&lt;/ref-type&gt;&lt;contributors&gt;&lt;authors&gt;&lt;author&gt;Nordbotten, Jan M&lt;/author&gt;&lt;author&gt;Kavetski, Dmitri&lt;/author&gt;&lt;author&gt;Celia, Michael A&lt;/author&gt;&lt;author&gt;Bachu, Stefan&lt;/author&gt;&lt;/authors&gt;&lt;/contributors&gt;&lt;titles&gt;&lt;title&gt;Model for CO2 leakage including multiple geological layers and multiple leaky wells&lt;/title&gt;&lt;secondary-title&gt;Environmental science &amp;amp; technology&lt;/secondary-title&gt;&lt;/titles&gt;&lt;periodical&gt;&lt;full-title&gt;Environmental science &amp;amp; technology&lt;/full-title&gt;&lt;/periodical&gt;&lt;pages&gt;743-749&lt;/pages&gt;&lt;volume&gt;43&lt;/volume&gt;&lt;number&gt;3&lt;/number&gt;&lt;dates&gt;&lt;year&gt;2008&lt;/year&gt;&lt;/dates&gt;&lt;isbn&gt;0013-936X&lt;/isbn&gt;&lt;urls&gt;&lt;/urls&gt;&lt;/record&gt;&lt;/Cite&gt;&lt;/EndNote&gt;</w:instrText>
      </w:r>
      <w:r w:rsidRPr="008E3879">
        <w:fldChar w:fldCharType="separate"/>
      </w:r>
      <w:r w:rsidRPr="008E3879">
        <w:rPr>
          <w:noProof/>
        </w:rPr>
        <w:t>[</w:t>
      </w:r>
      <w:hyperlink w:anchor="_ENREF_17" w:tooltip="Nordbotten, 2008 #2624" w:history="1">
        <w:r w:rsidR="007A7BC9" w:rsidRPr="008E3879">
          <w:rPr>
            <w:noProof/>
          </w:rPr>
          <w:t>200</w:t>
        </w:r>
        <w:r w:rsidR="00F57DF3">
          <w:rPr>
            <w:noProof/>
          </w:rPr>
          <w:t>9</w:t>
        </w:r>
      </w:hyperlink>
      <w:r w:rsidRPr="008E3879">
        <w:rPr>
          <w:noProof/>
        </w:rPr>
        <w:t>]</w:t>
      </w:r>
      <w:r w:rsidRPr="008E3879">
        <w:fldChar w:fldCharType="end"/>
      </w:r>
      <w:r w:rsidRPr="008E3879">
        <w:t xml:space="preserve"> (</w:t>
      </w:r>
      <w:r>
        <w:fldChar w:fldCharType="begin"/>
      </w:r>
      <w:r>
        <w:instrText xml:space="preserve"> REF _Ref447227143 \h </w:instrText>
      </w:r>
      <w:r>
        <w:fldChar w:fldCharType="separate"/>
      </w:r>
      <w:r w:rsidR="002E45AF">
        <w:t xml:space="preserve">Table </w:t>
      </w:r>
      <w:r w:rsidR="002E45AF">
        <w:rPr>
          <w:noProof/>
        </w:rPr>
        <w:t>2</w:t>
      </w:r>
      <w:r>
        <w:fldChar w:fldCharType="end"/>
      </w:r>
      <w:r>
        <w:t>). The final scenario considers a fully open and leaky well which represents the greatest potential for inter-aquifer connectivity due to the very high conductivity assigned to the borehole (</w:t>
      </w:r>
      <w:r>
        <w:fldChar w:fldCharType="begin"/>
      </w:r>
      <w:r>
        <w:instrText xml:space="preserve"> REF _Ref447227143 \h </w:instrText>
      </w:r>
      <w:r>
        <w:fldChar w:fldCharType="separate"/>
      </w:r>
      <w:r w:rsidR="002E45AF">
        <w:t xml:space="preserve">Table </w:t>
      </w:r>
      <w:r w:rsidR="002E45AF">
        <w:rPr>
          <w:noProof/>
        </w:rPr>
        <w:t>2</w:t>
      </w:r>
      <w:r>
        <w:fldChar w:fldCharType="end"/>
      </w:r>
      <w:r>
        <w:t xml:space="preserve">). </w:t>
      </w:r>
      <w:r w:rsidR="0053544B" w:rsidRPr="00EF7FB6">
        <w:t xml:space="preserve">An effective well conductivity </w:t>
      </w:r>
      <w:r w:rsidR="00572CE3" w:rsidRPr="00EF7FB6">
        <w:t>of 6</w:t>
      </w:r>
      <w:r w:rsidR="0053544B" w:rsidRPr="00EF7FB6">
        <w:t>.</w:t>
      </w:r>
      <w:r w:rsidR="00572CE3" w:rsidRPr="00EF7FB6">
        <w:t>2</w:t>
      </w:r>
      <w:r w:rsidR="0053544B" w:rsidRPr="00EF7FB6">
        <w:t>5x10</w:t>
      </w:r>
      <w:r w:rsidR="00572CE3" w:rsidRPr="00EF7FB6">
        <w:rPr>
          <w:vertAlign w:val="superscript"/>
        </w:rPr>
        <w:t>8</w:t>
      </w:r>
      <w:r w:rsidR="0053544B" w:rsidRPr="00EF7FB6">
        <w:t xml:space="preserve"> m/d was used</w:t>
      </w:r>
      <w:r w:rsidR="00C030AA" w:rsidRPr="00EF7FB6">
        <w:t xml:space="preserve"> to</w:t>
      </w:r>
      <w:r w:rsidR="00C030AA">
        <w:t xml:space="preserve"> represent the maximum limit of well conductivity</w:t>
      </w:r>
      <w:r w:rsidR="0053544B">
        <w:t xml:space="preserve">, from an example well problem in Panday et al. </w:t>
      </w:r>
      <w:r w:rsidR="0053544B">
        <w:fldChar w:fldCharType="begin"/>
      </w:r>
      <w:r w:rsidR="0053544B">
        <w:instrText xml:space="preserve"> ADDIN EN.CITE &lt;EndNote&gt;&lt;Cite ExcludeAuth="1"&gt;&lt;Author&gt;Panday&lt;/Author&gt;&lt;Year&gt;2013&lt;/Year&gt;&lt;RecNum&gt;2495&lt;/RecNum&gt;&lt;DisplayText&gt;[2013]&lt;/DisplayText&gt;&lt;record&gt;&lt;rec-number&gt;2495&lt;/rec-number&gt;&lt;foreign-keys&gt;&lt;key app="EN" db-id="sawsrtr20e9dd8ewz5evfttuv5erw5fa22tr"&gt;2495&lt;/key&gt;&lt;/foreign-keys&gt;&lt;ref-type name="Report"&gt;27&lt;/ref-type&gt;&lt;contributors&gt;&lt;authors&gt;&lt;author&gt;Panday, Sorab&lt;/author&gt;&lt;author&gt;Langevin, Christian D.&lt;/author&gt;&lt;author&gt;Niswonger, Richard G.&lt;/author&gt;&lt;author&gt;Ibaraki, Motomu&lt;/author&gt;&lt;author&gt;Hughes, Joseph D.&lt;/author&gt;&lt;/authors&gt;&lt;tertiary-authors&gt;&lt;author&gt;U. S. Geological Survey&lt;/author&gt;&lt;/tertiary-authors&gt;&lt;/contributors&gt;&lt;titles&gt;&lt;title&gt;MODFLOW–USG version 1: An unstructured grid version of MODFLOW for simulating groundwater flow and tightly coupled processes using a control volume finite-difference formulation&lt;/title&gt;&lt;secondary-title&gt;Techniques and Methods&lt;/secondary-title&gt;&lt;/titles&gt;&lt;pages&gt;78&lt;/pages&gt;&lt;dates&gt;&lt;year&gt;2013&lt;/year&gt;&lt;/dates&gt;&lt;pub-location&gt;Reston, VA&lt;/pub-location&gt;&lt;isbn&gt;6-A45&lt;/isbn&gt;&lt;work-type&gt;Report&lt;/work-type&gt;&lt;urls&gt;&lt;related-urls&gt;&lt;url&gt;http://pubs.er.usgs.gov/publication/tm6A45&lt;/url&gt;&lt;/related-urls&gt;&lt;/urls&gt;&lt;remote-database-name&gt;USGS Publications Warehouse&lt;/remote-database-name&gt;&lt;language&gt;English&lt;/language&gt;&lt;/record&gt;&lt;/Cite&gt;&lt;/EndNote&gt;</w:instrText>
      </w:r>
      <w:r w:rsidR="0053544B">
        <w:fldChar w:fldCharType="separate"/>
      </w:r>
      <w:r w:rsidR="0053544B">
        <w:rPr>
          <w:noProof/>
        </w:rPr>
        <w:t>[</w:t>
      </w:r>
      <w:hyperlink w:anchor="_ENREF_19" w:tooltip="Panday, 2013 #2495" w:history="1">
        <w:r w:rsidR="007A7BC9">
          <w:rPr>
            <w:noProof/>
          </w:rPr>
          <w:t>2013</w:t>
        </w:r>
      </w:hyperlink>
      <w:r w:rsidR="0053544B">
        <w:rPr>
          <w:noProof/>
        </w:rPr>
        <w:t>]</w:t>
      </w:r>
      <w:r w:rsidR="0053544B">
        <w:fldChar w:fldCharType="end"/>
      </w:r>
      <w:r w:rsidR="0053544B">
        <w:t xml:space="preserve">. </w:t>
      </w:r>
      <w:r w:rsidR="00B84E40">
        <w:t>Flow through the well was found to be insensitive to effective conductivities at values greater than 4x10</w:t>
      </w:r>
      <w:r w:rsidR="00B84E40" w:rsidRPr="00B84E40">
        <w:rPr>
          <w:vertAlign w:val="superscript"/>
        </w:rPr>
        <w:t>4</w:t>
      </w:r>
      <w:r w:rsidR="00B84E40">
        <w:t xml:space="preserve">. </w:t>
      </w:r>
      <w:r w:rsidR="00C6344F">
        <w:t>A skin factor of 10 was used to smooth the hydraulic conductivity difference between the groundwater cells and the well.</w:t>
      </w:r>
    </w:p>
    <w:p w14:paraId="25DA97D1" w14:textId="71326C32" w:rsidR="00850F7B" w:rsidRDefault="00850F7B" w:rsidP="00850F7B">
      <w:r>
        <w:t>The groundwater model is set up to produce the following simulation metrics: (i) the relative contribution to inter-aquifer groundwater exchange from leaky, abandoned or repurposed CSG wells versus flow through aquitards, (ii)</w:t>
      </w:r>
      <w:r w:rsidR="003000F2">
        <w:t xml:space="preserve"> </w:t>
      </w:r>
      <w:r>
        <w:t>the sensitivity of aquifer recovery time in the post-production phase to various hydrogeological parameters</w:t>
      </w:r>
      <w:r w:rsidR="003000F2">
        <w:t>, and (i</w:t>
      </w:r>
      <w:r w:rsidR="00BA4FAD">
        <w:t>i</w:t>
      </w:r>
      <w:r w:rsidR="003000F2">
        <w:t>i) t</w:t>
      </w:r>
      <w:r>
        <w:t>he (maximum) head changes during or after the gas extraction phase.</w:t>
      </w:r>
      <w:r w:rsidR="003000F2">
        <w:t xml:space="preserve"> Scenario 1 will serve as the baseline condition against which the two other scenarios will be compared. In this way the effect of a leaky well (scenario 2) and an open borehole (scenario 3) on the simulation metrics will be quantified.</w:t>
      </w:r>
    </w:p>
    <w:p w14:paraId="1BDB359B" w14:textId="31B9B811" w:rsidR="00EA312F" w:rsidRPr="00153281" w:rsidRDefault="00EA312F" w:rsidP="00CA5AD5">
      <w:r>
        <w:t xml:space="preserve">The first metric is concerned with the </w:t>
      </w:r>
      <w:r w:rsidR="006756D8">
        <w:t xml:space="preserve">flux of water through a leaky, abandoned or repurposed CSG well between the water bearing aquifer and the production interval, compared with the flux of water through the aquitard. </w:t>
      </w:r>
      <w:r w:rsidR="00AE2DE1">
        <w:t xml:space="preserve">Three different head differences between layers 1 and 3 were modelled </w:t>
      </w:r>
      <w:r w:rsidR="00EC0A07">
        <w:t>in steady</w:t>
      </w:r>
      <w:r w:rsidR="002477B9">
        <w:t>-</w:t>
      </w:r>
      <w:r w:rsidR="00EC0A07">
        <w:t xml:space="preserve">state using the parameters in </w:t>
      </w:r>
      <w:r w:rsidR="00EC0A07">
        <w:fldChar w:fldCharType="begin"/>
      </w:r>
      <w:r w:rsidR="00EC0A07">
        <w:instrText xml:space="preserve"> REF _Ref447227143 \h </w:instrText>
      </w:r>
      <w:r w:rsidR="00EC0A07">
        <w:fldChar w:fldCharType="separate"/>
      </w:r>
      <w:r w:rsidR="002E45AF">
        <w:t xml:space="preserve">Table </w:t>
      </w:r>
      <w:r w:rsidR="002E45AF">
        <w:rPr>
          <w:noProof/>
        </w:rPr>
        <w:t>2</w:t>
      </w:r>
      <w:r w:rsidR="00EC0A07">
        <w:fldChar w:fldCharType="end"/>
      </w:r>
      <w:r w:rsidR="00AE2DE1">
        <w:t xml:space="preserve">. The head </w:t>
      </w:r>
      <w:r w:rsidR="00656546">
        <w:t xml:space="preserve">differences </w:t>
      </w:r>
      <w:r w:rsidR="00AE2DE1">
        <w:t xml:space="preserve">of </w:t>
      </w:r>
      <w:r w:rsidR="00604F2D">
        <w:t>49</w:t>
      </w:r>
      <w:r w:rsidR="00AE2DE1">
        <w:t xml:space="preserve"> m </w:t>
      </w:r>
      <w:r w:rsidR="003E6317">
        <w:t xml:space="preserve">downward </w:t>
      </w:r>
      <w:r w:rsidR="00D30ADC">
        <w:t>and 25 m in a</w:t>
      </w:r>
      <w:r w:rsidR="00AE2DE1">
        <w:t>n</w:t>
      </w:r>
      <w:r w:rsidR="00D30ADC">
        <w:t xml:space="preserve"> </w:t>
      </w:r>
      <w:r w:rsidR="00AE2DE1">
        <w:t>upward</w:t>
      </w:r>
      <w:r w:rsidR="00D30ADC">
        <w:t xml:space="preserve"> direction</w:t>
      </w:r>
      <w:r w:rsidR="00656546">
        <w:t xml:space="preserve"> represented the largest head difference</w:t>
      </w:r>
      <w:r w:rsidR="00D30ADC">
        <w:t>s in each direction</w:t>
      </w:r>
      <w:r w:rsidR="00656546">
        <w:t xml:space="preserve"> prior to </w:t>
      </w:r>
      <w:r w:rsidR="00D30ADC">
        <w:t xml:space="preserve">CSG </w:t>
      </w:r>
      <w:r w:rsidR="00656546">
        <w:t>production</w:t>
      </w:r>
      <w:r w:rsidR="003E6317">
        <w:t xml:space="preserve"> </w:t>
      </w:r>
      <w:r w:rsidR="003E6317" w:rsidRPr="00A2214B">
        <w:fldChar w:fldCharType="begin"/>
      </w:r>
      <w:r w:rsidR="003E6317">
        <w:instrText xml:space="preserve"> ADDIN EN.CITE &lt;EndNote&gt;&lt;Cite&gt;&lt;Author&gt;Wu&lt;/Author&gt;&lt;Year&gt;2016&lt;/Year&gt;&lt;RecNum&gt;2632&lt;/RecNum&gt;&lt;DisplayText&gt;[&lt;style face="italic"&gt;Wu et al.&lt;/style&gt;, 2016]&lt;/DisplayText&gt;&lt;record&gt;&lt;rec-number&gt;2632&lt;/rec-number&gt;&lt;foreign-keys&gt;&lt;key app="EN" db-id="sawsrtr20e9dd8ewz5evfttuv5erw5fa22tr"&gt;2632&lt;/key&gt;&lt;/foreign-keys&gt;&lt;ref-type name="Report"&gt;27&lt;/ref-type&gt;&lt;contributors&gt;&lt;authors&gt;&lt;author&gt;Wu, B.&lt;/author&gt;&lt;author&gt;Doble, R.&lt;/author&gt;&lt;author&gt;Turnadge, C.&lt;/author&gt;&lt;author&gt;Mallants, D.&lt;/author&gt;&lt;/authors&gt;&lt;/contributors&gt;&lt;titles&gt;&lt;title&gt;Bore and well induced inter-aquifer connectivity: a review of literature on failure mechanisms and conceptualisation of hydrocarbon reservoir-aquifer failure pathways. Prepared by the Commonwealth Scientific and Industrial Research Organisation CSIRO, Canberra.&lt;/title&gt;&lt;/titles&gt;&lt;dates&gt;&lt;year&gt;2016&lt;/year&gt;&lt;/dates&gt;&lt;urls&gt;&lt;/urls&gt;&lt;/record&gt;&lt;/Cite&gt;&lt;/EndNote&gt;</w:instrText>
      </w:r>
      <w:r w:rsidR="003E6317" w:rsidRPr="00A2214B">
        <w:fldChar w:fldCharType="separate"/>
      </w:r>
      <w:r w:rsidR="003E6317">
        <w:rPr>
          <w:noProof/>
        </w:rPr>
        <w:t>[</w:t>
      </w:r>
      <w:hyperlink w:anchor="_ENREF_25" w:tooltip="Wu, 2016 #2632" w:history="1">
        <w:r w:rsidR="007A7BC9" w:rsidRPr="00336753">
          <w:rPr>
            <w:noProof/>
          </w:rPr>
          <w:t>Wu et al.</w:t>
        </w:r>
        <w:r w:rsidR="007A7BC9" w:rsidRPr="007B6101">
          <w:rPr>
            <w:noProof/>
          </w:rPr>
          <w:t>,</w:t>
        </w:r>
        <w:r w:rsidR="007A7BC9">
          <w:rPr>
            <w:noProof/>
          </w:rPr>
          <w:t xml:space="preserve"> 201</w:t>
        </w:r>
      </w:hyperlink>
      <w:r w:rsidR="003D2865">
        <w:rPr>
          <w:noProof/>
        </w:rPr>
        <w:t>8</w:t>
      </w:r>
      <w:r w:rsidR="003E6317">
        <w:rPr>
          <w:noProof/>
        </w:rPr>
        <w:t>]</w:t>
      </w:r>
      <w:r w:rsidR="003E6317" w:rsidRPr="00A2214B">
        <w:fldChar w:fldCharType="end"/>
      </w:r>
      <w:r w:rsidR="0001472F">
        <w:t xml:space="preserve">. </w:t>
      </w:r>
      <w:r w:rsidR="003E6317" w:rsidRPr="00A343C2">
        <w:t>The head difference of 115 m</w:t>
      </w:r>
      <w:r w:rsidR="003E6317">
        <w:t xml:space="preserve"> downward represented the maximum head difference i</w:t>
      </w:r>
      <w:r w:rsidR="0001472F">
        <w:t>mmediately after CSG production ceased</w:t>
      </w:r>
      <w:r w:rsidR="00D30ADC">
        <w:t xml:space="preserve"> </w:t>
      </w:r>
      <w:r w:rsidR="00D8730A" w:rsidRPr="00A2214B">
        <w:fldChar w:fldCharType="begin"/>
      </w:r>
      <w:r w:rsidR="00D8730A">
        <w:instrText xml:space="preserve"> ADDIN EN.CITE &lt;EndNote&gt;&lt;Cite&gt;&lt;Author&gt;Wu&lt;/Author&gt;&lt;Year&gt;2016&lt;/Year&gt;&lt;RecNum&gt;2632&lt;/RecNum&gt;&lt;DisplayText&gt;[&lt;style face="italic"&gt;Wu et al.&lt;/style&gt;, 2016]&lt;/DisplayText&gt;&lt;record&gt;&lt;rec-number&gt;2632&lt;/rec-number&gt;&lt;foreign-keys&gt;&lt;key app="EN" db-id="sawsrtr20e9dd8ewz5evfttuv5erw5fa22tr"&gt;2632&lt;/key&gt;&lt;/foreign-keys&gt;&lt;ref-type name="Report"&gt;27&lt;/ref-type&gt;&lt;contributors&gt;&lt;authors&gt;&lt;author&gt;Wu, B.&lt;/author&gt;&lt;author&gt;Doble, R.&lt;/author&gt;&lt;author&gt;Turnadge, C.&lt;/author&gt;&lt;author&gt;Mallants, D.&lt;/author&gt;&lt;/authors&gt;&lt;/contributors&gt;&lt;titles&gt;&lt;title&gt;Bore and well induced inter-aquifer connectivity: a review of literature on failure mechanisms and conceptualisation of hydrocarbon reservoir-aquifer failure pathways. Prepared by the Commonwealth Scientific and Industrial Research Organisation CSIRO, Canberra.&lt;/title&gt;&lt;/titles&gt;&lt;dates&gt;&lt;year&gt;2016&lt;/year&gt;&lt;/dates&gt;&lt;urls&gt;&lt;/urls&gt;&lt;/record&gt;&lt;/Cite&gt;&lt;/EndNote&gt;</w:instrText>
      </w:r>
      <w:r w:rsidR="00D8730A" w:rsidRPr="00A2214B">
        <w:fldChar w:fldCharType="separate"/>
      </w:r>
      <w:r w:rsidR="00D8730A">
        <w:rPr>
          <w:noProof/>
        </w:rPr>
        <w:t>[</w:t>
      </w:r>
      <w:hyperlink w:anchor="_ENREF_25" w:tooltip="Wu, 2016 #2632" w:history="1">
        <w:r w:rsidR="007A7BC9" w:rsidRPr="00336753">
          <w:rPr>
            <w:noProof/>
          </w:rPr>
          <w:t>Wu et al.</w:t>
        </w:r>
        <w:r w:rsidR="007A7BC9" w:rsidRPr="007B6101">
          <w:rPr>
            <w:noProof/>
          </w:rPr>
          <w:t>,</w:t>
        </w:r>
        <w:r w:rsidR="007A7BC9">
          <w:rPr>
            <w:noProof/>
          </w:rPr>
          <w:t xml:space="preserve"> 201</w:t>
        </w:r>
      </w:hyperlink>
      <w:r w:rsidR="003D2865">
        <w:rPr>
          <w:noProof/>
        </w:rPr>
        <w:t>8</w:t>
      </w:r>
      <w:r w:rsidR="00D8730A">
        <w:rPr>
          <w:noProof/>
        </w:rPr>
        <w:t>]</w:t>
      </w:r>
      <w:r w:rsidR="00D8730A" w:rsidRPr="00A2214B">
        <w:fldChar w:fldCharType="end"/>
      </w:r>
      <w:r w:rsidR="00EC0A07">
        <w:t xml:space="preserve">. </w:t>
      </w:r>
      <w:r w:rsidR="00B51702">
        <w:t xml:space="preserve">To test for sensitivity within the bounds of realistic parameters in the field, the model was also run </w:t>
      </w:r>
      <w:r w:rsidR="004C3BAC">
        <w:t xml:space="preserve">using </w:t>
      </w:r>
      <w:r w:rsidR="004B2724">
        <w:t xml:space="preserve">a </w:t>
      </w:r>
      <w:r w:rsidR="004C3BAC">
        <w:t xml:space="preserve">lower aquitard hydraulic conductivity, and </w:t>
      </w:r>
      <w:r w:rsidR="004B2724">
        <w:t xml:space="preserve">a </w:t>
      </w:r>
      <w:r w:rsidR="004C3BAC">
        <w:t>higher aquifer conductivity. The</w:t>
      </w:r>
      <w:r w:rsidR="00B51702">
        <w:t xml:space="preserve"> one order of magnitude lower aquitard (Layer 2) </w:t>
      </w:r>
      <w:r w:rsidR="00B51702" w:rsidRPr="00287A00">
        <w:rPr>
          <w:i/>
        </w:rPr>
        <w:t>K</w:t>
      </w:r>
      <w:r w:rsidR="00B51702" w:rsidRPr="00287A00">
        <w:rPr>
          <w:i/>
          <w:vertAlign w:val="subscript"/>
        </w:rPr>
        <w:t>h</w:t>
      </w:r>
      <w:r w:rsidR="00B51702">
        <w:t xml:space="preserve"> and </w:t>
      </w:r>
      <w:r w:rsidR="00B51702" w:rsidRPr="00287A00">
        <w:rPr>
          <w:i/>
        </w:rPr>
        <w:t>K</w:t>
      </w:r>
      <w:r w:rsidR="00B51702" w:rsidRPr="00287A00">
        <w:rPr>
          <w:i/>
          <w:vertAlign w:val="subscript"/>
        </w:rPr>
        <w:t>v</w:t>
      </w:r>
      <w:r w:rsidR="00B51702">
        <w:t>, represent</w:t>
      </w:r>
      <w:r w:rsidR="004B2724">
        <w:t>s</w:t>
      </w:r>
      <w:r w:rsidR="00B51702">
        <w:t xml:space="preserve"> a less permeable matrix between the aquifers, and a one order of magnitude higher aquifer (Layers 1 and 3) </w:t>
      </w:r>
      <w:r w:rsidR="00B51702" w:rsidRPr="00413939">
        <w:rPr>
          <w:i/>
        </w:rPr>
        <w:t>K</w:t>
      </w:r>
      <w:r w:rsidR="00B51702" w:rsidRPr="00413939">
        <w:rPr>
          <w:i/>
          <w:vertAlign w:val="subscript"/>
        </w:rPr>
        <w:t>h</w:t>
      </w:r>
      <w:r w:rsidR="00B51702">
        <w:t xml:space="preserve"> and </w:t>
      </w:r>
      <w:r w:rsidR="00B51702" w:rsidRPr="00413939">
        <w:rPr>
          <w:i/>
        </w:rPr>
        <w:t>K</w:t>
      </w:r>
      <w:r w:rsidR="00B51702" w:rsidRPr="00413939">
        <w:rPr>
          <w:i/>
          <w:vertAlign w:val="subscript"/>
        </w:rPr>
        <w:t>v</w:t>
      </w:r>
      <w:r w:rsidR="004C3BAC">
        <w:t xml:space="preserve"> represent</w:t>
      </w:r>
      <w:r w:rsidR="004B2724">
        <w:t>s</w:t>
      </w:r>
      <w:r w:rsidR="004C3BAC">
        <w:t xml:space="preserve"> </w:t>
      </w:r>
      <w:r w:rsidR="004B2724">
        <w:t xml:space="preserve">a </w:t>
      </w:r>
      <w:r w:rsidR="004C3BAC">
        <w:t>more permeable aquifer</w:t>
      </w:r>
      <w:r w:rsidR="004B2724">
        <w:t xml:space="preserve"> compared to the reference condition</w:t>
      </w:r>
      <w:r w:rsidR="004C3BAC">
        <w:t>.</w:t>
      </w:r>
    </w:p>
    <w:p w14:paraId="645F04A1" w14:textId="56F00984" w:rsidR="005043A1" w:rsidRPr="000C393F" w:rsidRDefault="00BA4FAD" w:rsidP="00CA5AD5">
      <w:r>
        <w:t xml:space="preserve">The second metric is about recovery of groundwater heads </w:t>
      </w:r>
      <w:r w:rsidR="005474E4">
        <w:t xml:space="preserve">over time </w:t>
      </w:r>
      <w:r>
        <w:t xml:space="preserve">in the post-production phase. </w:t>
      </w:r>
      <w:r w:rsidR="00F5129E">
        <w:t xml:space="preserve">Groundwater recovery was modelled for a period of </w:t>
      </w:r>
      <w:r w:rsidR="00F5129E" w:rsidRPr="00911067">
        <w:t>10</w:t>
      </w:r>
      <w:r w:rsidR="00911067" w:rsidRPr="00911067">
        <w:t>00</w:t>
      </w:r>
      <w:r w:rsidR="00F5129E" w:rsidRPr="00911067">
        <w:t xml:space="preserve"> years</w:t>
      </w:r>
      <w:r w:rsidR="00F5129E">
        <w:t xml:space="preserve">, and the head drawdown around the well was extracted from the MODFLOW-USG </w:t>
      </w:r>
      <w:r w:rsidR="004B2724">
        <w:t>simulation</w:t>
      </w:r>
      <w:r w:rsidR="00F5129E">
        <w:t xml:space="preserve">s. Time series of groundwater head were developed at distances of </w:t>
      </w:r>
      <w:r w:rsidR="00F5129E" w:rsidRPr="00911067">
        <w:t>0 m, 10 m, 100 m and 1000 m</w:t>
      </w:r>
      <w:r w:rsidR="00F5129E">
        <w:t xml:space="preserve"> from the production well. </w:t>
      </w:r>
      <w:r w:rsidR="000C393F">
        <w:t xml:space="preserve">The aquifer recovery time </w:t>
      </w:r>
      <w:r w:rsidR="000C393F" w:rsidRPr="00287A00">
        <w:rPr>
          <w:i/>
        </w:rPr>
        <w:t>t</w:t>
      </w:r>
      <w:r w:rsidR="000C393F">
        <w:rPr>
          <w:vertAlign w:val="subscript"/>
        </w:rPr>
        <w:t>r</w:t>
      </w:r>
      <w:r w:rsidR="000C393F">
        <w:t xml:space="preserve"> was defined as the duration of time between ceasing production and the groundwater head reaching the pre-production head</w:t>
      </w:r>
      <w:r w:rsidR="00A91A33">
        <w:t>, if at all,</w:t>
      </w:r>
      <w:r w:rsidR="000C393F" w:rsidRPr="000C393F">
        <w:t xml:space="preserve"> </w:t>
      </w:r>
      <w:r w:rsidR="000C393F">
        <w:t>at the point of interest.</w:t>
      </w:r>
    </w:p>
    <w:p w14:paraId="74A72929" w14:textId="43E673F3" w:rsidR="00F840DF" w:rsidRDefault="00F840DF" w:rsidP="00CA5AD5">
      <w:r>
        <w:t xml:space="preserve">The third metric is the </w:t>
      </w:r>
      <w:r w:rsidR="00E51C58" w:rsidRPr="005474E4">
        <w:t xml:space="preserve">maximum head changes </w:t>
      </w:r>
      <w:r w:rsidR="005474E4">
        <w:t xml:space="preserve">at different distances from a well </w:t>
      </w:r>
      <w:r w:rsidR="00DE24FB">
        <w:t xml:space="preserve">during </w:t>
      </w:r>
      <w:r w:rsidR="00E51C58" w:rsidRPr="00381A29">
        <w:t xml:space="preserve">the </w:t>
      </w:r>
      <w:r w:rsidR="00DE24FB">
        <w:t>post-</w:t>
      </w:r>
      <w:r w:rsidR="00381A29" w:rsidRPr="00381A29">
        <w:t>production</w:t>
      </w:r>
      <w:r w:rsidR="00E51C58" w:rsidRPr="00381A29">
        <w:t xml:space="preserve"> phase</w:t>
      </w:r>
      <w:r w:rsidR="00E51C58">
        <w:t xml:space="preserve">. </w:t>
      </w:r>
      <w:r w:rsidR="00901F00">
        <w:t>Groundwater recovery was modelled for 1000 years, and the drawdown curve away from the production well was plotted immediately after production ceased for times of 1 day, 1 year, 10 years, 100 years and 1000 years.</w:t>
      </w:r>
    </w:p>
    <w:p w14:paraId="2C417346" w14:textId="7B484D39" w:rsidR="00F5129E" w:rsidRDefault="009623DF" w:rsidP="00CA5AD5">
      <w:r>
        <w:t xml:space="preserve">To </w:t>
      </w:r>
      <w:r w:rsidR="00F8392A">
        <w:t xml:space="preserve">determine what level of </w:t>
      </w:r>
      <w:r w:rsidR="00BA4FAD">
        <w:t xml:space="preserve">horizontal </w:t>
      </w:r>
      <w:r w:rsidR="00F8392A">
        <w:t xml:space="preserve">cell </w:t>
      </w:r>
      <w:r w:rsidR="00BA4FAD">
        <w:t>size</w:t>
      </w:r>
      <w:r w:rsidR="00F8392A">
        <w:t xml:space="preserve"> would be </w:t>
      </w:r>
      <w:r w:rsidR="00BA4FAD">
        <w:t>acceptable when a few hundred CSG wells would be implemented in</w:t>
      </w:r>
      <w:r w:rsidR="00F8392A">
        <w:t xml:space="preserve"> </w:t>
      </w:r>
      <w:r w:rsidR="00BA4FAD">
        <w:t>a</w:t>
      </w:r>
      <w:r w:rsidR="00F8392A">
        <w:t xml:space="preserve"> regional </w:t>
      </w:r>
      <w:r w:rsidR="00BA4FAD">
        <w:t xml:space="preserve">groundwater </w:t>
      </w:r>
      <w:r w:rsidR="00F8392A">
        <w:t>model, the single</w:t>
      </w:r>
      <w:r w:rsidR="00B82E0A">
        <w:t>-</w:t>
      </w:r>
      <w:r w:rsidR="00F8392A">
        <w:t xml:space="preserve">well model was run with </w:t>
      </w:r>
      <w:r w:rsidR="00BA4FAD">
        <w:t xml:space="preserve">minimum cell dimensions </w:t>
      </w:r>
      <w:r w:rsidR="002E0995">
        <w:t xml:space="preserve">of </w:t>
      </w:r>
      <w:r w:rsidR="00F8392A">
        <w:t>0.5 m, 1 m, 10 m, 50 m, and 1000 m</w:t>
      </w:r>
      <w:r w:rsidR="00B82E0A" w:rsidRPr="00B82E0A">
        <w:t xml:space="preserve"> </w:t>
      </w:r>
      <w:r w:rsidR="00B82E0A">
        <w:t>around the leaky bore</w:t>
      </w:r>
      <w:r w:rsidR="00F8392A">
        <w:t xml:space="preserve">. </w:t>
      </w:r>
      <w:r w:rsidR="002E0995">
        <w:t>The 1000 m minimum cell discretisation represent</w:t>
      </w:r>
      <w:r w:rsidR="00B82E0A">
        <w:t>s</w:t>
      </w:r>
      <w:r w:rsidR="002E0995">
        <w:t xml:space="preserve"> the cell dimension of </w:t>
      </w:r>
      <w:r w:rsidR="00B82E0A">
        <w:t>a typical</w:t>
      </w:r>
      <w:r w:rsidR="002E0995">
        <w:t xml:space="preserve"> regional groundwater model, </w:t>
      </w:r>
      <w:r w:rsidR="00A91A33">
        <w:t xml:space="preserve">and the minimum </w:t>
      </w:r>
      <w:r w:rsidR="00C628DD">
        <w:t xml:space="preserve">cell dimensions </w:t>
      </w:r>
      <w:r w:rsidR="00A91A33">
        <w:t xml:space="preserve">was the same </w:t>
      </w:r>
      <w:r w:rsidR="002F607B">
        <w:t xml:space="preserve">as </w:t>
      </w:r>
      <w:r w:rsidR="002217F0">
        <w:t>the 0.5</w:t>
      </w:r>
      <w:r w:rsidR="00A36511">
        <w:t>-</w:t>
      </w:r>
      <w:r w:rsidR="002217F0">
        <w:t>m</w:t>
      </w:r>
      <w:r w:rsidR="00A36511">
        <w:t>-</w:t>
      </w:r>
      <w:r w:rsidR="002217F0">
        <w:t>diameter well.</w:t>
      </w:r>
    </w:p>
    <w:p w14:paraId="629E72D7" w14:textId="7F1F60A4" w:rsidR="00653EA8" w:rsidRDefault="00680E0A" w:rsidP="0085057F">
      <w:r>
        <w:t>A numerical model for the same system was also developed in MODHMS using the fracture well package (FWL4)</w:t>
      </w:r>
      <w:r w:rsidR="00C97850">
        <w:t xml:space="preserve"> </w:t>
      </w:r>
      <w:r w:rsidR="00C97850" w:rsidRPr="00C97850">
        <w:fldChar w:fldCharType="begin"/>
      </w:r>
      <w:r w:rsidR="00C97850" w:rsidRPr="00C97850">
        <w:instrText xml:space="preserve"> ADDIN EN.CITE &lt;EndNote&gt;&lt;Cite&gt;&lt;Author&gt;HydroGeoLogic&lt;/Author&gt;&lt;Year&gt;2006&lt;/Year&gt;&lt;RecNum&gt;1695&lt;/RecNum&gt;&lt;DisplayText&gt;[&lt;style face="italic"&gt;HydroGeoLogic&lt;/style&gt;, 2006]&lt;/DisplayText&gt;&lt;record&gt;&lt;rec-number&gt;1695&lt;/rec-number&gt;&lt;foreign-keys&gt;&lt;key app="EN" db-id="sawsrtr20e9dd8ewz5evfttuv5erw5fa22tr"&gt;1695&lt;/key&gt;&lt;/foreign-keys&gt;&lt;ref-type name="Report"&gt;27&lt;/ref-type&gt;&lt;contributors&gt;&lt;authors&gt;&lt;author&gt;HydroGeoLogic&lt;/author&gt;&lt;/authors&gt;&lt;/contributors&gt;&lt;titles&gt;&lt;title&gt;MODHMS: A comprehensive MODFLOW-based hydrologic modeling system, Version 3.0.&lt;/title&gt;&lt;/titles&gt;&lt;dates&gt;&lt;year&gt;2006&lt;/year&gt;&lt;/dates&gt;&lt;pub-location&gt;Herndon, VA.&lt;/pub-location&gt;&lt;publisher&gt;HydroGeoLogic Incorporated&lt;/publisher&gt;&lt;urls&gt;&lt;/urls&gt;&lt;/record&gt;&lt;/Cite&gt;&lt;/EndNote&gt;</w:instrText>
      </w:r>
      <w:r w:rsidR="00C97850" w:rsidRPr="00C97850">
        <w:fldChar w:fldCharType="separate"/>
      </w:r>
      <w:r w:rsidR="00C97850" w:rsidRPr="00C97850">
        <w:rPr>
          <w:noProof/>
        </w:rPr>
        <w:t>[</w:t>
      </w:r>
      <w:hyperlink w:anchor="_ENREF_9" w:tooltip="HydroGeoLogic, 2006 #1695" w:history="1">
        <w:r w:rsidR="007A7BC9" w:rsidRPr="00DE24FB">
          <w:rPr>
            <w:noProof/>
          </w:rPr>
          <w:t>HydroGeoLogic,</w:t>
        </w:r>
        <w:r w:rsidR="007A7BC9" w:rsidRPr="00C97850">
          <w:rPr>
            <w:noProof/>
          </w:rPr>
          <w:t xml:space="preserve"> 2006</w:t>
        </w:r>
      </w:hyperlink>
      <w:r w:rsidR="00C97850" w:rsidRPr="00C97850">
        <w:rPr>
          <w:noProof/>
        </w:rPr>
        <w:t>]</w:t>
      </w:r>
      <w:r w:rsidR="00C97850" w:rsidRPr="00C97850">
        <w:fldChar w:fldCharType="end"/>
      </w:r>
      <w:r w:rsidR="00D17A0D">
        <w:t xml:space="preserve"> to evaluate the difference between the modelling code, and an appropriate discretisation around the wells</w:t>
      </w:r>
      <w:r>
        <w:t>. A three</w:t>
      </w:r>
      <w:r w:rsidR="000E0622">
        <w:t>-</w:t>
      </w:r>
      <w:r>
        <w:t>layered model was constructed</w:t>
      </w:r>
      <w:r w:rsidR="000E0622">
        <w:t xml:space="preserve"> with t</w:t>
      </w:r>
      <w:r>
        <w:t>he total length of the domain set to 10</w:t>
      </w:r>
      <w:r w:rsidR="000E0622">
        <w:t xml:space="preserve"> </w:t>
      </w:r>
      <w:r>
        <w:t>km. Scenarios were constructed for minimum discretisations of 0.1, 1, 10, 100 and 1000</w:t>
      </w:r>
      <w:r w:rsidR="000E0622">
        <w:t xml:space="preserve"> </w:t>
      </w:r>
      <w:r>
        <w:t>m.</w:t>
      </w:r>
      <w:r w:rsidRPr="00145A3A">
        <w:rPr>
          <w:color w:val="auto"/>
        </w:rPr>
        <w:t xml:space="preserve"> </w:t>
      </w:r>
      <w:r w:rsidR="000E0622">
        <w:rPr>
          <w:color w:val="auto"/>
        </w:rPr>
        <w:t>Based on an axi-symmetrical model, t</w:t>
      </w:r>
      <w:r w:rsidR="00145A3A" w:rsidRPr="00145A3A">
        <w:rPr>
          <w:color w:val="auto"/>
        </w:rPr>
        <w:t xml:space="preserve">he spatial step was coarsened by 10% </w:t>
      </w:r>
      <w:r w:rsidR="000E0622">
        <w:rPr>
          <w:color w:val="auto"/>
        </w:rPr>
        <w:t xml:space="preserve">for </w:t>
      </w:r>
      <w:r w:rsidR="00145A3A" w:rsidRPr="00145A3A">
        <w:rPr>
          <w:color w:val="auto"/>
        </w:rPr>
        <w:t xml:space="preserve">each additional column </w:t>
      </w:r>
      <w:r>
        <w:t xml:space="preserve">until the </w:t>
      </w:r>
      <w:r w:rsidR="000E0622">
        <w:t xml:space="preserve">final </w:t>
      </w:r>
      <w:r>
        <w:t>grid size had been reached. An axi</w:t>
      </w:r>
      <w:r w:rsidR="000E0622">
        <w:t>-</w:t>
      </w:r>
      <w:r>
        <w:t xml:space="preserve">symmetric approach was used to simulate the pumping well. The same properties and head boundaries </w:t>
      </w:r>
      <w:r w:rsidR="000E0622">
        <w:t>of</w:t>
      </w:r>
      <w:r>
        <w:t xml:space="preserve"> the M</w:t>
      </w:r>
      <w:r w:rsidR="000E0622">
        <w:t>OD</w:t>
      </w:r>
      <w:r>
        <w:t>F</w:t>
      </w:r>
      <w:r w:rsidR="000E0622">
        <w:t>LOW-</w:t>
      </w:r>
      <w:r>
        <w:t>USG model were adopted for the model</w:t>
      </w:r>
      <w:r w:rsidR="000E0622">
        <w:t xml:space="preserve"> MODHMS</w:t>
      </w:r>
      <w:r>
        <w:t xml:space="preserve">. The specified properties of the fracture well were implemented to be the same as the properties of the CLN used in the </w:t>
      </w:r>
      <w:r w:rsidR="00A67897">
        <w:t>MODFLOW-USG</w:t>
      </w:r>
      <w:r w:rsidR="00A67897" w:rsidDel="00A67897">
        <w:t xml:space="preserve"> </w:t>
      </w:r>
      <w:r>
        <w:t xml:space="preserve">model </w:t>
      </w:r>
      <w:r w:rsidRPr="00D8730A">
        <w:t>without a well skin value.</w:t>
      </w:r>
      <w:r>
        <w:t xml:space="preserve"> Flow through the leaky well was compared </w:t>
      </w:r>
      <w:r w:rsidR="00FA691E">
        <w:t>between</w:t>
      </w:r>
      <w:r>
        <w:t xml:space="preserve"> </w:t>
      </w:r>
      <w:r w:rsidR="00A67897">
        <w:t>both MODHMS and MODFLOW-USG</w:t>
      </w:r>
      <w:r w:rsidR="00A67897" w:rsidDel="00A67897">
        <w:t xml:space="preserve"> </w:t>
      </w:r>
      <w:r w:rsidR="00A67897">
        <w:t xml:space="preserve">model, and for </w:t>
      </w:r>
      <w:r>
        <w:t>each minimum cell discretisation.</w:t>
      </w:r>
    </w:p>
    <w:p w14:paraId="0A8EB0A0" w14:textId="77777777" w:rsidR="00BC2FAD" w:rsidRDefault="00BC2FAD" w:rsidP="00BC2FAD">
      <w:pPr>
        <w:pStyle w:val="Heading1"/>
      </w:pPr>
      <w:bookmarkStart w:id="508" w:name="_Toc452449148"/>
      <w:r>
        <w:t>Results</w:t>
      </w:r>
      <w:bookmarkEnd w:id="508"/>
    </w:p>
    <w:p w14:paraId="485039B2" w14:textId="3D6FE839" w:rsidR="008D7940" w:rsidRPr="007C30F8" w:rsidRDefault="007A727C" w:rsidP="00287A00">
      <w:pPr>
        <w:pStyle w:val="Heading2"/>
      </w:pPr>
      <w:bookmarkStart w:id="509" w:name="_Toc452449149"/>
      <w:r w:rsidRPr="007C30F8">
        <w:t xml:space="preserve">Comparison </w:t>
      </w:r>
      <w:r w:rsidR="00216BFA">
        <w:t xml:space="preserve">numerical - </w:t>
      </w:r>
      <w:r w:rsidRPr="007C30F8">
        <w:t xml:space="preserve">analytical </w:t>
      </w:r>
      <w:r w:rsidR="00216BFA">
        <w:t>solutions</w:t>
      </w:r>
      <w:bookmarkEnd w:id="509"/>
    </w:p>
    <w:p w14:paraId="5B157AA6" w14:textId="221CEC11" w:rsidR="00A76044" w:rsidRDefault="00A76044" w:rsidP="00702CDD">
      <w:r>
        <w:t xml:space="preserve">It is not possible to directly compare the results from the analytical equations and the numerical model, as the numerical model conceptualisation and parameters void some of the assumptions of the analytical equations. </w:t>
      </w:r>
      <w:r w:rsidR="00C54983">
        <w:t xml:space="preserve">Most critically, the numerical model assumes that a semi-permeable aquitard separates the two aquifers, while the </w:t>
      </w:r>
      <w:r w:rsidR="00A91A33">
        <w:t xml:space="preserve">second series of </w:t>
      </w:r>
      <w:r w:rsidR="00C54983">
        <w:t xml:space="preserve">analytical </w:t>
      </w:r>
      <w:r w:rsidR="00C0524A">
        <w:t>equations (</w:t>
      </w:r>
      <w:r w:rsidR="00A91A33">
        <w:t>9</w:t>
      </w:r>
      <w:r w:rsidR="00C0524A">
        <w:t>-18) assume</w:t>
      </w:r>
      <w:r w:rsidR="00C54983">
        <w:t xml:space="preserve"> a completely impermeable separation. The numerical model has an unconfined water bearing aquifer (Layer 1), while the analytical equations were written specifically for confined conditions.</w:t>
      </w:r>
    </w:p>
    <w:p w14:paraId="56449594" w14:textId="1ACD0147" w:rsidR="001F462C" w:rsidRDefault="00C54983" w:rsidP="00702CDD">
      <w:r>
        <w:t xml:space="preserve">It is possible </w:t>
      </w:r>
      <w:r w:rsidR="005E0AF2">
        <w:t xml:space="preserve">though </w:t>
      </w:r>
      <w:r>
        <w:t xml:space="preserve">to obtain outputs from the numerical model that are similar to the analytical results using </w:t>
      </w:r>
      <w:r w:rsidR="00F318DF">
        <w:t xml:space="preserve">extremely </w:t>
      </w:r>
      <w:r>
        <w:t xml:space="preserve">low </w:t>
      </w:r>
      <w:r w:rsidR="007C30F8">
        <w:t>aquitard</w:t>
      </w:r>
      <w:r w:rsidR="007A727C">
        <w:t xml:space="preserve"> </w:t>
      </w:r>
      <w:r>
        <w:t>hydraulic conductivity values</w:t>
      </w:r>
      <w:r w:rsidR="00F318DF">
        <w:t xml:space="preserve"> to simulate an impermeable aquitard</w:t>
      </w:r>
      <w:r>
        <w:t xml:space="preserve">, and a fully saturated layer 1. </w:t>
      </w:r>
      <w:r w:rsidR="00A10150">
        <w:t xml:space="preserve">Alternatively, reducing the thickness of layer 1 in the analytical model </w:t>
      </w:r>
      <w:r w:rsidR="00C14E0E">
        <w:t xml:space="preserve">to represent drawdown around the well will produce similar flow rates down the </w:t>
      </w:r>
      <w:r w:rsidR="00D66A31">
        <w:t xml:space="preserve">leaky or open </w:t>
      </w:r>
      <w:r w:rsidR="00C14E0E">
        <w:t>well.</w:t>
      </w:r>
    </w:p>
    <w:p w14:paraId="1D3B8CA5" w14:textId="53D69894" w:rsidR="0072162E" w:rsidRPr="00724E00" w:rsidRDefault="00724E00" w:rsidP="00287A00">
      <w:pPr>
        <w:pStyle w:val="Heading2"/>
      </w:pPr>
      <w:bookmarkStart w:id="510" w:name="_Toc452449150"/>
      <w:r w:rsidRPr="00724E00">
        <w:t>Impact of cell dimensions</w:t>
      </w:r>
      <w:bookmarkEnd w:id="510"/>
    </w:p>
    <w:p w14:paraId="108F54CF" w14:textId="752C9204" w:rsidR="009E2E2B" w:rsidRDefault="0086119B" w:rsidP="00BC2FAD">
      <w:r>
        <w:t xml:space="preserve">For the parameter set described in </w:t>
      </w:r>
      <w:r>
        <w:fldChar w:fldCharType="begin"/>
      </w:r>
      <w:r>
        <w:instrText xml:space="preserve"> REF _Ref447227143 \h </w:instrText>
      </w:r>
      <w:r>
        <w:fldChar w:fldCharType="separate"/>
      </w:r>
      <w:r w:rsidR="002E45AF">
        <w:t xml:space="preserve">Table </w:t>
      </w:r>
      <w:r w:rsidR="002E45AF">
        <w:rPr>
          <w:noProof/>
        </w:rPr>
        <w:t>2</w:t>
      </w:r>
      <w:r>
        <w:fldChar w:fldCharType="end"/>
      </w:r>
      <w:r>
        <w:t>, f</w:t>
      </w:r>
      <w:r w:rsidR="009E2E2B">
        <w:t xml:space="preserve">low through the well was similar for all localised minimum cell dimensions </w:t>
      </w:r>
      <w:r w:rsidR="005C7C55">
        <w:t xml:space="preserve">using MODFLOW-USG with the CLN package representing </w:t>
      </w:r>
      <w:r w:rsidR="00991B34">
        <w:t xml:space="preserve">the </w:t>
      </w:r>
      <w:r>
        <w:t>open</w:t>
      </w:r>
      <w:r w:rsidR="00991B34">
        <w:t xml:space="preserve"> well</w:t>
      </w:r>
      <w:r>
        <w:t>,</w:t>
      </w:r>
      <w:r w:rsidR="00E35D22">
        <w:t xml:space="preserve"> </w:t>
      </w:r>
      <w:r>
        <w:t xml:space="preserve">scenario 3 </w:t>
      </w:r>
      <w:r w:rsidR="00E35D22">
        <w:t>(</w:t>
      </w:r>
      <w:r w:rsidR="00DD4CFC">
        <w:fldChar w:fldCharType="begin"/>
      </w:r>
      <w:r w:rsidR="00DD4CFC">
        <w:instrText xml:space="preserve"> REF _Ref449215987 \h </w:instrText>
      </w:r>
      <w:r w:rsidR="00DD4CFC">
        <w:fldChar w:fldCharType="separate"/>
      </w:r>
      <w:r w:rsidR="002E45AF">
        <w:t xml:space="preserve">Table </w:t>
      </w:r>
      <w:r w:rsidR="002E45AF">
        <w:rPr>
          <w:noProof/>
        </w:rPr>
        <w:t>3</w:t>
      </w:r>
      <w:r w:rsidR="00DD4CFC">
        <w:fldChar w:fldCharType="end"/>
      </w:r>
      <w:r w:rsidR="00E35D22">
        <w:t>)</w:t>
      </w:r>
      <w:r w:rsidR="009E2E2B">
        <w:t xml:space="preserve">. </w:t>
      </w:r>
      <w:r w:rsidRPr="004520DC">
        <w:t>Some initial modelling with higher well flows and larger aquifer transmissivities indicated that</w:t>
      </w:r>
      <w:r w:rsidR="00446854" w:rsidRPr="004520DC">
        <w:t xml:space="preserve"> </w:t>
      </w:r>
      <w:r w:rsidR="00E35D22" w:rsidRPr="004520DC">
        <w:t xml:space="preserve">flow through the </w:t>
      </w:r>
      <w:r w:rsidRPr="004520DC">
        <w:t xml:space="preserve">open </w:t>
      </w:r>
      <w:r w:rsidR="00E35D22" w:rsidRPr="004520DC">
        <w:t xml:space="preserve">well increased </w:t>
      </w:r>
      <w:r w:rsidRPr="004520DC">
        <w:t xml:space="preserve">for the 1 m and 0.5 m discretisation </w:t>
      </w:r>
      <w:r w:rsidR="00E35D22" w:rsidRPr="004520DC">
        <w:t xml:space="preserve">due to the larger </w:t>
      </w:r>
      <w:r w:rsidR="009E2E2B" w:rsidRPr="004520DC">
        <w:t xml:space="preserve">head gradient </w:t>
      </w:r>
      <w:r w:rsidR="00E35D22" w:rsidRPr="004520DC">
        <w:t xml:space="preserve">closer to </w:t>
      </w:r>
      <w:r w:rsidR="009E2E2B" w:rsidRPr="004520DC">
        <w:t>the well.</w:t>
      </w:r>
      <w:r w:rsidR="009E2E2B">
        <w:t xml:space="preserve"> </w:t>
      </w:r>
    </w:p>
    <w:p w14:paraId="65B54BE2" w14:textId="148A5578" w:rsidR="00F159A2" w:rsidRDefault="00F159A2" w:rsidP="00277595">
      <w:pPr>
        <w:pStyle w:val="TableCaption"/>
        <w:pBdr>
          <w:top w:val="none" w:sz="0" w:space="0" w:color="auto"/>
        </w:pBdr>
        <w:jc w:val="center"/>
      </w:pPr>
      <w:bookmarkStart w:id="511" w:name="_Ref449215987"/>
      <w:bookmarkStart w:id="512" w:name="_Toc452449189"/>
      <w:r>
        <w:t xml:space="preserve">Table </w:t>
      </w:r>
      <w:r w:rsidR="00ED4C1C">
        <w:fldChar w:fldCharType="begin"/>
      </w:r>
      <w:r w:rsidR="00ED4C1C">
        <w:instrText xml:space="preserve"> SEQ Table \* ARABIC </w:instrText>
      </w:r>
      <w:r w:rsidR="00ED4C1C">
        <w:fldChar w:fldCharType="separate"/>
      </w:r>
      <w:r w:rsidR="002E45AF">
        <w:rPr>
          <w:noProof/>
        </w:rPr>
        <w:t>3</w:t>
      </w:r>
      <w:r w:rsidR="00ED4C1C">
        <w:rPr>
          <w:noProof/>
        </w:rPr>
        <w:fldChar w:fldCharType="end"/>
      </w:r>
      <w:bookmarkEnd w:id="511"/>
      <w:r>
        <w:t xml:space="preserve"> Effect of mesh size on flow through </w:t>
      </w:r>
      <w:r w:rsidR="00E61F68">
        <w:t>an</w:t>
      </w:r>
      <w:r>
        <w:t xml:space="preserve"> abandoned well</w:t>
      </w:r>
      <w:r w:rsidR="00E61F68">
        <w:t xml:space="preserve"> (scenario 3)</w:t>
      </w:r>
      <w:r>
        <w:t>.</w:t>
      </w:r>
      <w:bookmarkEnd w:id="512"/>
    </w:p>
    <w:tbl>
      <w:tblPr>
        <w:tblStyle w:val="GridTable1Light-Accent5"/>
        <w:tblW w:w="0" w:type="auto"/>
        <w:jc w:val="center"/>
        <w:tblLook w:val="04A0" w:firstRow="1" w:lastRow="0" w:firstColumn="1" w:lastColumn="0" w:noHBand="0" w:noVBand="1"/>
        <w:tblCaption w:val="Table 3"/>
        <w:tblDescription w:val="Table of the effect of mesh size on flow through an abandoned well."/>
      </w:tblPr>
      <w:tblGrid>
        <w:gridCol w:w="1655"/>
        <w:gridCol w:w="2168"/>
        <w:gridCol w:w="2126"/>
      </w:tblGrid>
      <w:tr w:rsidR="00661F4B" w14:paraId="26392C24" w14:textId="4FD5CE67" w:rsidTr="002775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5" w:type="dxa"/>
            <w:tcBorders>
              <w:top w:val="single" w:sz="4" w:space="0" w:color="000000" w:themeColor="text1"/>
              <w:left w:val="nil"/>
              <w:bottom w:val="single" w:sz="4" w:space="0" w:color="000000" w:themeColor="text1"/>
              <w:right w:val="nil"/>
            </w:tcBorders>
            <w:shd w:val="clear" w:color="auto" w:fill="F2F2F2" w:themeFill="background1" w:themeFillShade="F2"/>
          </w:tcPr>
          <w:p w14:paraId="772D1043" w14:textId="77777777" w:rsidR="00661F4B" w:rsidRDefault="00661F4B" w:rsidP="00DD31EB">
            <w:pPr>
              <w:jc w:val="center"/>
            </w:pPr>
            <w:r>
              <w:t>Minimum cell dimension (m)</w:t>
            </w:r>
          </w:p>
        </w:tc>
        <w:tc>
          <w:tcPr>
            <w:tcW w:w="2168" w:type="dxa"/>
            <w:tcBorders>
              <w:top w:val="single" w:sz="4" w:space="0" w:color="000000" w:themeColor="text1"/>
              <w:left w:val="nil"/>
              <w:bottom w:val="single" w:sz="4" w:space="0" w:color="000000" w:themeColor="text1"/>
              <w:right w:val="nil"/>
            </w:tcBorders>
            <w:shd w:val="clear" w:color="auto" w:fill="F2F2F2" w:themeFill="background1" w:themeFillShade="F2"/>
          </w:tcPr>
          <w:p w14:paraId="16D5E183" w14:textId="05EE1A65" w:rsidR="00661F4B" w:rsidRPr="00484A1A" w:rsidRDefault="00661F4B" w:rsidP="00DD31EB">
            <w:pPr>
              <w:jc w:val="center"/>
              <w:cnfStyle w:val="100000000000" w:firstRow="1" w:lastRow="0" w:firstColumn="0" w:lastColumn="0" w:oddVBand="0" w:evenVBand="0" w:oddHBand="0" w:evenHBand="0" w:firstRowFirstColumn="0" w:firstRowLastColumn="0" w:lastRowFirstColumn="0" w:lastRowLastColumn="0"/>
            </w:pPr>
            <w:r>
              <w:t xml:space="preserve">Flow through well </w:t>
            </w:r>
            <w:r w:rsidR="001A6FFA">
              <w:t xml:space="preserve">using MODFLOW-USG / CLN package </w:t>
            </w:r>
            <w:r>
              <w:t>(m</w:t>
            </w:r>
            <w:r>
              <w:rPr>
                <w:vertAlign w:val="superscript"/>
              </w:rPr>
              <w:t>3</w:t>
            </w:r>
            <w:r>
              <w:t>d</w:t>
            </w:r>
            <w:r>
              <w:rPr>
                <w:vertAlign w:val="superscript"/>
              </w:rPr>
              <w:t>-1</w:t>
            </w:r>
            <w:r>
              <w:t>)</w:t>
            </w:r>
          </w:p>
        </w:tc>
        <w:tc>
          <w:tcPr>
            <w:tcW w:w="2126" w:type="dxa"/>
            <w:tcBorders>
              <w:top w:val="single" w:sz="4" w:space="0" w:color="000000" w:themeColor="text1"/>
              <w:left w:val="nil"/>
              <w:bottom w:val="single" w:sz="4" w:space="0" w:color="000000" w:themeColor="text1"/>
              <w:right w:val="nil"/>
            </w:tcBorders>
            <w:shd w:val="clear" w:color="auto" w:fill="F2F2F2" w:themeFill="background1" w:themeFillShade="F2"/>
          </w:tcPr>
          <w:p w14:paraId="4F18B7DB" w14:textId="10785B80" w:rsidR="00661F4B" w:rsidRDefault="001A6FFA" w:rsidP="00845550">
            <w:pPr>
              <w:jc w:val="center"/>
              <w:cnfStyle w:val="100000000000" w:firstRow="1" w:lastRow="0" w:firstColumn="0" w:lastColumn="0" w:oddVBand="0" w:evenVBand="0" w:oddHBand="0" w:evenHBand="0" w:firstRowFirstColumn="0" w:firstRowLastColumn="0" w:lastRowFirstColumn="0" w:lastRowLastColumn="0"/>
            </w:pPr>
            <w:r>
              <w:t xml:space="preserve">Flow through well using MODHMS / FWL4 </w:t>
            </w:r>
            <w:r w:rsidR="00CD05A0">
              <w:t xml:space="preserve">package </w:t>
            </w:r>
            <w:r w:rsidR="004C22EA">
              <w:t xml:space="preserve">   </w:t>
            </w:r>
            <w:r>
              <w:t>(m</w:t>
            </w:r>
            <w:r>
              <w:rPr>
                <w:vertAlign w:val="superscript"/>
              </w:rPr>
              <w:t>3</w:t>
            </w:r>
            <w:r>
              <w:t>d</w:t>
            </w:r>
            <w:r>
              <w:rPr>
                <w:vertAlign w:val="superscript"/>
              </w:rPr>
              <w:t>-1</w:t>
            </w:r>
            <w:r>
              <w:t>)</w:t>
            </w:r>
          </w:p>
        </w:tc>
      </w:tr>
      <w:tr w:rsidR="001B7EBE" w14:paraId="086A21DD" w14:textId="1CF1F27E" w:rsidTr="00277595">
        <w:trPr>
          <w:jc w:val="center"/>
        </w:trPr>
        <w:tc>
          <w:tcPr>
            <w:cnfStyle w:val="001000000000" w:firstRow="0" w:lastRow="0" w:firstColumn="1" w:lastColumn="0" w:oddVBand="0" w:evenVBand="0" w:oddHBand="0" w:evenHBand="0" w:firstRowFirstColumn="0" w:firstRowLastColumn="0" w:lastRowFirstColumn="0" w:lastRowLastColumn="0"/>
            <w:tcW w:w="1655" w:type="dxa"/>
            <w:tcBorders>
              <w:top w:val="single" w:sz="4" w:space="0" w:color="000000" w:themeColor="text1"/>
              <w:left w:val="nil"/>
              <w:bottom w:val="nil"/>
              <w:right w:val="nil"/>
            </w:tcBorders>
            <w:shd w:val="clear" w:color="auto" w:fill="F2F2F2" w:themeFill="background1" w:themeFillShade="F2"/>
          </w:tcPr>
          <w:p w14:paraId="307889DC" w14:textId="77777777" w:rsidR="001B7EBE" w:rsidRPr="00F37498" w:rsidRDefault="001B7EBE" w:rsidP="00DD31EB">
            <w:pPr>
              <w:jc w:val="center"/>
              <w:rPr>
                <w:b w:val="0"/>
              </w:rPr>
            </w:pPr>
            <w:r w:rsidRPr="00F37498">
              <w:rPr>
                <w:b w:val="0"/>
              </w:rPr>
              <w:t>0.5</w:t>
            </w:r>
          </w:p>
        </w:tc>
        <w:tc>
          <w:tcPr>
            <w:tcW w:w="2168" w:type="dxa"/>
            <w:tcBorders>
              <w:top w:val="single" w:sz="4" w:space="0" w:color="000000" w:themeColor="text1"/>
              <w:left w:val="nil"/>
              <w:bottom w:val="nil"/>
              <w:right w:val="nil"/>
            </w:tcBorders>
            <w:shd w:val="clear" w:color="auto" w:fill="F2F2F2" w:themeFill="background1" w:themeFillShade="F2"/>
          </w:tcPr>
          <w:p w14:paraId="1B4D8814" w14:textId="6AA84778" w:rsidR="001B7EBE" w:rsidRDefault="001B7EBE" w:rsidP="00DD31EB">
            <w:pPr>
              <w:jc w:val="center"/>
              <w:cnfStyle w:val="000000000000" w:firstRow="0" w:lastRow="0" w:firstColumn="0" w:lastColumn="0" w:oddVBand="0" w:evenVBand="0" w:oddHBand="0" w:evenHBand="0" w:firstRowFirstColumn="0" w:firstRowLastColumn="0" w:lastRowFirstColumn="0" w:lastRowLastColumn="0"/>
            </w:pPr>
            <w:r>
              <w:t>22.6</w:t>
            </w:r>
          </w:p>
        </w:tc>
        <w:tc>
          <w:tcPr>
            <w:tcW w:w="2126" w:type="dxa"/>
            <w:tcBorders>
              <w:top w:val="single" w:sz="4" w:space="0" w:color="000000" w:themeColor="text1"/>
              <w:left w:val="nil"/>
              <w:bottom w:val="nil"/>
              <w:right w:val="nil"/>
            </w:tcBorders>
            <w:shd w:val="clear" w:color="auto" w:fill="F2F2F2" w:themeFill="background1" w:themeFillShade="F2"/>
          </w:tcPr>
          <w:p w14:paraId="1C9DCB93" w14:textId="057A3C98" w:rsidR="001B7EBE" w:rsidRDefault="005A3378" w:rsidP="00DD31EB">
            <w:pPr>
              <w:jc w:val="center"/>
              <w:cnfStyle w:val="000000000000" w:firstRow="0" w:lastRow="0" w:firstColumn="0" w:lastColumn="0" w:oddVBand="0" w:evenVBand="0" w:oddHBand="0" w:evenHBand="0" w:firstRowFirstColumn="0" w:firstRowLastColumn="0" w:lastRowFirstColumn="0" w:lastRowLastColumn="0"/>
            </w:pPr>
            <w:r>
              <w:t>34.6</w:t>
            </w:r>
          </w:p>
        </w:tc>
      </w:tr>
      <w:tr w:rsidR="001B7EBE" w14:paraId="110FF494" w14:textId="0DE6E512" w:rsidTr="00277595">
        <w:trPr>
          <w:jc w:val="center"/>
        </w:trPr>
        <w:tc>
          <w:tcPr>
            <w:cnfStyle w:val="001000000000" w:firstRow="0" w:lastRow="0" w:firstColumn="1" w:lastColumn="0" w:oddVBand="0" w:evenVBand="0" w:oddHBand="0" w:evenHBand="0" w:firstRowFirstColumn="0" w:firstRowLastColumn="0" w:lastRowFirstColumn="0" w:lastRowLastColumn="0"/>
            <w:tcW w:w="1655" w:type="dxa"/>
            <w:tcBorders>
              <w:top w:val="nil"/>
              <w:left w:val="nil"/>
              <w:bottom w:val="nil"/>
              <w:right w:val="nil"/>
            </w:tcBorders>
          </w:tcPr>
          <w:p w14:paraId="6AA1D068" w14:textId="77777777" w:rsidR="001B7EBE" w:rsidRPr="00F37498" w:rsidRDefault="001B7EBE" w:rsidP="00DD31EB">
            <w:pPr>
              <w:jc w:val="center"/>
              <w:rPr>
                <w:b w:val="0"/>
              </w:rPr>
            </w:pPr>
            <w:r w:rsidRPr="00F37498">
              <w:rPr>
                <w:b w:val="0"/>
              </w:rPr>
              <w:t>1</w:t>
            </w:r>
          </w:p>
        </w:tc>
        <w:tc>
          <w:tcPr>
            <w:tcW w:w="2168" w:type="dxa"/>
            <w:tcBorders>
              <w:top w:val="nil"/>
              <w:left w:val="nil"/>
              <w:bottom w:val="nil"/>
              <w:right w:val="nil"/>
            </w:tcBorders>
          </w:tcPr>
          <w:p w14:paraId="5CC51DAA" w14:textId="54CAC166" w:rsidR="001B7EBE" w:rsidRDefault="001B7EBE" w:rsidP="00DD31EB">
            <w:pPr>
              <w:jc w:val="center"/>
              <w:cnfStyle w:val="000000000000" w:firstRow="0" w:lastRow="0" w:firstColumn="0" w:lastColumn="0" w:oddVBand="0" w:evenVBand="0" w:oddHBand="0" w:evenHBand="0" w:firstRowFirstColumn="0" w:firstRowLastColumn="0" w:lastRowFirstColumn="0" w:lastRowLastColumn="0"/>
            </w:pPr>
            <w:r>
              <w:t>22.5</w:t>
            </w:r>
          </w:p>
        </w:tc>
        <w:tc>
          <w:tcPr>
            <w:tcW w:w="2126" w:type="dxa"/>
            <w:tcBorders>
              <w:top w:val="nil"/>
              <w:left w:val="nil"/>
              <w:bottom w:val="nil"/>
              <w:right w:val="nil"/>
            </w:tcBorders>
          </w:tcPr>
          <w:p w14:paraId="0DA0D695" w14:textId="4873A50D" w:rsidR="001B7EBE" w:rsidRDefault="005A3378" w:rsidP="00DD31EB">
            <w:pPr>
              <w:jc w:val="center"/>
              <w:cnfStyle w:val="000000000000" w:firstRow="0" w:lastRow="0" w:firstColumn="0" w:lastColumn="0" w:oddVBand="0" w:evenVBand="0" w:oddHBand="0" w:evenHBand="0" w:firstRowFirstColumn="0" w:firstRowLastColumn="0" w:lastRowFirstColumn="0" w:lastRowLastColumn="0"/>
            </w:pPr>
            <w:r>
              <w:t>37.2</w:t>
            </w:r>
          </w:p>
        </w:tc>
      </w:tr>
      <w:tr w:rsidR="001B7EBE" w14:paraId="2D53537A" w14:textId="76D65298" w:rsidTr="00277595">
        <w:trPr>
          <w:jc w:val="center"/>
        </w:trPr>
        <w:tc>
          <w:tcPr>
            <w:cnfStyle w:val="001000000000" w:firstRow="0" w:lastRow="0" w:firstColumn="1" w:lastColumn="0" w:oddVBand="0" w:evenVBand="0" w:oddHBand="0" w:evenHBand="0" w:firstRowFirstColumn="0" w:firstRowLastColumn="0" w:lastRowFirstColumn="0" w:lastRowLastColumn="0"/>
            <w:tcW w:w="1655" w:type="dxa"/>
            <w:tcBorders>
              <w:top w:val="nil"/>
              <w:left w:val="nil"/>
              <w:bottom w:val="nil"/>
              <w:right w:val="nil"/>
            </w:tcBorders>
            <w:shd w:val="clear" w:color="auto" w:fill="F2F2F2" w:themeFill="background1" w:themeFillShade="F2"/>
          </w:tcPr>
          <w:p w14:paraId="2C2681DF" w14:textId="77777777" w:rsidR="001B7EBE" w:rsidRPr="00F37498" w:rsidRDefault="001B7EBE" w:rsidP="00DD31EB">
            <w:pPr>
              <w:jc w:val="center"/>
              <w:rPr>
                <w:b w:val="0"/>
              </w:rPr>
            </w:pPr>
            <w:r w:rsidRPr="00F37498">
              <w:rPr>
                <w:b w:val="0"/>
              </w:rPr>
              <w:t>10</w:t>
            </w:r>
          </w:p>
        </w:tc>
        <w:tc>
          <w:tcPr>
            <w:tcW w:w="2168" w:type="dxa"/>
            <w:tcBorders>
              <w:top w:val="nil"/>
              <w:left w:val="nil"/>
              <w:bottom w:val="nil"/>
              <w:right w:val="nil"/>
            </w:tcBorders>
            <w:shd w:val="clear" w:color="auto" w:fill="F2F2F2" w:themeFill="background1" w:themeFillShade="F2"/>
          </w:tcPr>
          <w:p w14:paraId="5C511303" w14:textId="016A5B19" w:rsidR="001B7EBE" w:rsidRDefault="001B7EBE" w:rsidP="00DD31EB">
            <w:pPr>
              <w:jc w:val="center"/>
              <w:cnfStyle w:val="000000000000" w:firstRow="0" w:lastRow="0" w:firstColumn="0" w:lastColumn="0" w:oddVBand="0" w:evenVBand="0" w:oddHBand="0" w:evenHBand="0" w:firstRowFirstColumn="0" w:firstRowLastColumn="0" w:lastRowFirstColumn="0" w:lastRowLastColumn="0"/>
            </w:pPr>
            <w:r>
              <w:t>22.6</w:t>
            </w:r>
          </w:p>
        </w:tc>
        <w:tc>
          <w:tcPr>
            <w:tcW w:w="2126" w:type="dxa"/>
            <w:tcBorders>
              <w:top w:val="nil"/>
              <w:left w:val="nil"/>
              <w:bottom w:val="nil"/>
              <w:right w:val="nil"/>
            </w:tcBorders>
            <w:shd w:val="clear" w:color="auto" w:fill="F2F2F2" w:themeFill="background1" w:themeFillShade="F2"/>
          </w:tcPr>
          <w:p w14:paraId="44A3A330" w14:textId="6C8AB1D1" w:rsidR="001B7EBE" w:rsidRDefault="005A3378" w:rsidP="00DD31EB">
            <w:pPr>
              <w:jc w:val="center"/>
              <w:cnfStyle w:val="000000000000" w:firstRow="0" w:lastRow="0" w:firstColumn="0" w:lastColumn="0" w:oddVBand="0" w:evenVBand="0" w:oddHBand="0" w:evenHBand="0" w:firstRowFirstColumn="0" w:firstRowLastColumn="0" w:lastRowFirstColumn="0" w:lastRowLastColumn="0"/>
            </w:pPr>
            <w:r>
              <w:t>49.1</w:t>
            </w:r>
          </w:p>
        </w:tc>
      </w:tr>
      <w:tr w:rsidR="001B7EBE" w14:paraId="1B0914C4" w14:textId="7C237D3D" w:rsidTr="00277595">
        <w:trPr>
          <w:jc w:val="center"/>
        </w:trPr>
        <w:tc>
          <w:tcPr>
            <w:cnfStyle w:val="001000000000" w:firstRow="0" w:lastRow="0" w:firstColumn="1" w:lastColumn="0" w:oddVBand="0" w:evenVBand="0" w:oddHBand="0" w:evenHBand="0" w:firstRowFirstColumn="0" w:firstRowLastColumn="0" w:lastRowFirstColumn="0" w:lastRowLastColumn="0"/>
            <w:tcW w:w="1655" w:type="dxa"/>
            <w:tcBorders>
              <w:top w:val="nil"/>
              <w:left w:val="nil"/>
              <w:bottom w:val="nil"/>
              <w:right w:val="nil"/>
            </w:tcBorders>
          </w:tcPr>
          <w:p w14:paraId="70B62CAF" w14:textId="683576EA" w:rsidR="001B7EBE" w:rsidRPr="00F37498" w:rsidRDefault="001B7EBE" w:rsidP="00DD31EB">
            <w:pPr>
              <w:jc w:val="center"/>
              <w:rPr>
                <w:b w:val="0"/>
              </w:rPr>
            </w:pPr>
            <w:r>
              <w:rPr>
                <w:b w:val="0"/>
              </w:rPr>
              <w:t>10</w:t>
            </w:r>
            <w:r w:rsidRPr="00F37498">
              <w:rPr>
                <w:b w:val="0"/>
              </w:rPr>
              <w:t>0</w:t>
            </w:r>
          </w:p>
        </w:tc>
        <w:tc>
          <w:tcPr>
            <w:tcW w:w="2168" w:type="dxa"/>
            <w:tcBorders>
              <w:top w:val="nil"/>
              <w:left w:val="nil"/>
              <w:bottom w:val="nil"/>
              <w:right w:val="nil"/>
            </w:tcBorders>
          </w:tcPr>
          <w:p w14:paraId="17DD2CB7" w14:textId="661FEEFC" w:rsidR="001B7EBE" w:rsidRDefault="001B7EBE" w:rsidP="00DD31EB">
            <w:pPr>
              <w:jc w:val="center"/>
              <w:cnfStyle w:val="000000000000" w:firstRow="0" w:lastRow="0" w:firstColumn="0" w:lastColumn="0" w:oddVBand="0" w:evenVBand="0" w:oddHBand="0" w:evenHBand="0" w:firstRowFirstColumn="0" w:firstRowLastColumn="0" w:lastRowFirstColumn="0" w:lastRowLastColumn="0"/>
            </w:pPr>
            <w:r>
              <w:t>22.5</w:t>
            </w:r>
          </w:p>
        </w:tc>
        <w:tc>
          <w:tcPr>
            <w:tcW w:w="2126" w:type="dxa"/>
            <w:tcBorders>
              <w:top w:val="nil"/>
              <w:left w:val="nil"/>
              <w:bottom w:val="nil"/>
              <w:right w:val="nil"/>
            </w:tcBorders>
          </w:tcPr>
          <w:p w14:paraId="3CADE5A3" w14:textId="7CC7FBD6" w:rsidR="001B7EBE" w:rsidRDefault="005A3378" w:rsidP="00DD31EB">
            <w:pPr>
              <w:jc w:val="center"/>
              <w:cnfStyle w:val="000000000000" w:firstRow="0" w:lastRow="0" w:firstColumn="0" w:lastColumn="0" w:oddVBand="0" w:evenVBand="0" w:oddHBand="0" w:evenHBand="0" w:firstRowFirstColumn="0" w:firstRowLastColumn="0" w:lastRowFirstColumn="0" w:lastRowLastColumn="0"/>
            </w:pPr>
            <w:r>
              <w:t>72.1</w:t>
            </w:r>
          </w:p>
        </w:tc>
      </w:tr>
      <w:tr w:rsidR="001B7EBE" w14:paraId="45831BEB" w14:textId="28C0E4AD" w:rsidTr="00277595">
        <w:trPr>
          <w:jc w:val="center"/>
        </w:trPr>
        <w:tc>
          <w:tcPr>
            <w:cnfStyle w:val="001000000000" w:firstRow="0" w:lastRow="0" w:firstColumn="1" w:lastColumn="0" w:oddVBand="0" w:evenVBand="0" w:oddHBand="0" w:evenHBand="0" w:firstRowFirstColumn="0" w:firstRowLastColumn="0" w:lastRowFirstColumn="0" w:lastRowLastColumn="0"/>
            <w:tcW w:w="1655" w:type="dxa"/>
            <w:tcBorders>
              <w:top w:val="nil"/>
              <w:left w:val="nil"/>
              <w:bottom w:val="single" w:sz="4" w:space="0" w:color="000000" w:themeColor="text1"/>
              <w:right w:val="nil"/>
            </w:tcBorders>
            <w:shd w:val="clear" w:color="auto" w:fill="F2F2F2" w:themeFill="background1" w:themeFillShade="F2"/>
          </w:tcPr>
          <w:p w14:paraId="466E6417" w14:textId="77777777" w:rsidR="001B7EBE" w:rsidRPr="00F37498" w:rsidRDefault="001B7EBE" w:rsidP="00DD31EB">
            <w:pPr>
              <w:jc w:val="center"/>
              <w:rPr>
                <w:b w:val="0"/>
              </w:rPr>
            </w:pPr>
            <w:r w:rsidRPr="00F37498">
              <w:rPr>
                <w:b w:val="0"/>
              </w:rPr>
              <w:t>1000</w:t>
            </w:r>
          </w:p>
        </w:tc>
        <w:tc>
          <w:tcPr>
            <w:tcW w:w="2168" w:type="dxa"/>
            <w:tcBorders>
              <w:top w:val="nil"/>
              <w:left w:val="nil"/>
              <w:bottom w:val="single" w:sz="4" w:space="0" w:color="000000" w:themeColor="text1"/>
              <w:right w:val="nil"/>
            </w:tcBorders>
            <w:shd w:val="clear" w:color="auto" w:fill="F2F2F2" w:themeFill="background1" w:themeFillShade="F2"/>
          </w:tcPr>
          <w:p w14:paraId="1402ABBD" w14:textId="72202823" w:rsidR="001B7EBE" w:rsidRDefault="001B7EBE" w:rsidP="00DD31EB">
            <w:pPr>
              <w:jc w:val="center"/>
              <w:cnfStyle w:val="000000000000" w:firstRow="0" w:lastRow="0" w:firstColumn="0" w:lastColumn="0" w:oddVBand="0" w:evenVBand="0" w:oddHBand="0" w:evenHBand="0" w:firstRowFirstColumn="0" w:firstRowLastColumn="0" w:lastRowFirstColumn="0" w:lastRowLastColumn="0"/>
            </w:pPr>
            <w:r>
              <w:t>22.5</w:t>
            </w:r>
          </w:p>
        </w:tc>
        <w:tc>
          <w:tcPr>
            <w:tcW w:w="2126" w:type="dxa"/>
            <w:tcBorders>
              <w:top w:val="nil"/>
              <w:left w:val="nil"/>
              <w:bottom w:val="single" w:sz="4" w:space="0" w:color="000000" w:themeColor="text1"/>
              <w:right w:val="nil"/>
            </w:tcBorders>
            <w:shd w:val="clear" w:color="auto" w:fill="F2F2F2" w:themeFill="background1" w:themeFillShade="F2"/>
          </w:tcPr>
          <w:p w14:paraId="60BACE65" w14:textId="489345A7" w:rsidR="001B7EBE" w:rsidRDefault="005A3378" w:rsidP="00DD31EB">
            <w:pPr>
              <w:jc w:val="center"/>
              <w:cnfStyle w:val="000000000000" w:firstRow="0" w:lastRow="0" w:firstColumn="0" w:lastColumn="0" w:oddVBand="0" w:evenVBand="0" w:oddHBand="0" w:evenHBand="0" w:firstRowFirstColumn="0" w:firstRowLastColumn="0" w:lastRowFirstColumn="0" w:lastRowLastColumn="0"/>
            </w:pPr>
            <w:r>
              <w:t>131.4</w:t>
            </w:r>
          </w:p>
        </w:tc>
      </w:tr>
    </w:tbl>
    <w:p w14:paraId="51D2F14B" w14:textId="77777777" w:rsidR="00F159A2" w:rsidRDefault="00F159A2" w:rsidP="00F159A2"/>
    <w:p w14:paraId="44E9F935" w14:textId="398C6E06" w:rsidR="00FF13D9" w:rsidRDefault="00892562" w:rsidP="00BC2FAD">
      <w:r>
        <w:t>In contrast, f</w:t>
      </w:r>
      <w:r w:rsidR="00CD05A0">
        <w:t>low through the well us</w:t>
      </w:r>
      <w:r>
        <w:t>ing MODHMS and the FWL4 package increased as the minimum cell dimension grew larger.</w:t>
      </w:r>
      <w:r w:rsidR="000D0DA5">
        <w:t xml:space="preserve"> This is </w:t>
      </w:r>
      <w:r w:rsidR="00FF13D9">
        <w:t>because although the FWL4 package requires a well radius as an input, it does not use this radius to reduce the well flow due</w:t>
      </w:r>
      <w:r w:rsidR="00491715">
        <w:t xml:space="preserve"> to</w:t>
      </w:r>
      <w:r w:rsidR="00FF13D9">
        <w:t xml:space="preserve"> converging flow lines within the groundwater cell associated with the well </w:t>
      </w:r>
      <w:r w:rsidR="00FF13D9">
        <w:fldChar w:fldCharType="begin"/>
      </w:r>
      <w:r w:rsidR="00FF13D9">
        <w:instrText xml:space="preserve"> ADDIN EN.CITE &lt;EndNote&gt;&lt;Cite&gt;&lt;Author&gt;Neville&lt;/Author&gt;&lt;Year&gt;2001&lt;/Year&gt;&lt;RecNum&gt;2633&lt;/RecNum&gt;&lt;DisplayText&gt;[&lt;style face="italic"&gt;Neville and Tonkin&lt;/style&gt;, 2001]&lt;/DisplayText&gt;&lt;record&gt;&lt;rec-number&gt;2633&lt;/rec-number&gt;&lt;foreign-keys&gt;&lt;key app="EN" db-id="sawsrtr20e9dd8ewz5evfttuv5erw5fa22tr"&gt;2633&lt;/key&gt;&lt;/foreign-keys&gt;&lt;ref-type name="Conference Proceedings"&gt;10&lt;/ref-type&gt;&lt;contributors&gt;&lt;authors&gt;&lt;author&gt;Neville, Christopher J&lt;/author&gt;&lt;author&gt;Tonkin, Matthew J&lt;/author&gt;&lt;/authors&gt;&lt;/contributors&gt;&lt;titles&gt;&lt;title&gt;Representation of multiaquifer wells in MODFLOW&lt;/title&gt;&lt;secondary-title&gt;Proceedings of Modflow 2001 Conference at the International Ground Water Modeling Center, Golden, Colorado&lt;/secondary-title&gt;&lt;/titles&gt;&lt;pages&gt;51-59&lt;/pages&gt;&lt;volume&gt;1&lt;/volume&gt;&lt;dates&gt;&lt;year&gt;2001&lt;/year&gt;&lt;/dates&gt;&lt;urls&gt;&lt;/urls&gt;&lt;/record&gt;&lt;/Cite&gt;&lt;/EndNote&gt;</w:instrText>
      </w:r>
      <w:r w:rsidR="00FF13D9">
        <w:fldChar w:fldCharType="separate"/>
      </w:r>
      <w:r w:rsidR="00FF13D9">
        <w:rPr>
          <w:noProof/>
        </w:rPr>
        <w:t>[</w:t>
      </w:r>
      <w:hyperlink w:anchor="_ENREF_16" w:tooltip="Neville, 2001 #2633" w:history="1">
        <w:r w:rsidR="007A7BC9" w:rsidRPr="007C1732">
          <w:rPr>
            <w:noProof/>
          </w:rPr>
          <w:t>Neville and Tonkin</w:t>
        </w:r>
        <w:r w:rsidR="007A7BC9">
          <w:rPr>
            <w:noProof/>
          </w:rPr>
          <w:t>, 2001</w:t>
        </w:r>
      </w:hyperlink>
      <w:r w:rsidR="00FF13D9">
        <w:rPr>
          <w:noProof/>
        </w:rPr>
        <w:t>]</w:t>
      </w:r>
      <w:r w:rsidR="00FF13D9">
        <w:fldChar w:fldCharType="end"/>
      </w:r>
      <w:r w:rsidR="00FF13D9">
        <w:t xml:space="preserve">. Neville and Tonkin </w:t>
      </w:r>
      <w:r w:rsidR="00FF13D9">
        <w:fldChar w:fldCharType="begin"/>
      </w:r>
      <w:r w:rsidR="00FF13D9">
        <w:instrText xml:space="preserve"> ADDIN EN.CITE &lt;EndNote&gt;&lt;Cite ExcludeAuth="1"&gt;&lt;Author&gt;Neville&lt;/Author&gt;&lt;Year&gt;2001&lt;/Year&gt;&lt;RecNum&gt;2633&lt;/RecNum&gt;&lt;DisplayText&gt;[2001]&lt;/DisplayText&gt;&lt;record&gt;&lt;rec-number&gt;2633&lt;/rec-number&gt;&lt;foreign-keys&gt;&lt;key app="EN" db-id="sawsrtr20e9dd8ewz5evfttuv5erw5fa22tr"&gt;2633&lt;/key&gt;&lt;/foreign-keys&gt;&lt;ref-type name="Conference Proceedings"&gt;10&lt;/ref-type&gt;&lt;contributors&gt;&lt;authors&gt;&lt;author&gt;Neville, Christopher J&lt;/author&gt;&lt;author&gt;Tonkin, Matthew J&lt;/author&gt;&lt;/authors&gt;&lt;/contributors&gt;&lt;titles&gt;&lt;title&gt;Representation of multiaquifer wells in MODFLOW&lt;/title&gt;&lt;secondary-title&gt;Proceedings of Modflow 2001 Conference at the International Ground Water Modeling Center, Golden, Colorado&lt;/secondary-title&gt;&lt;/titles&gt;&lt;pages&gt;51-59&lt;/pages&gt;&lt;volume&gt;1&lt;/volume&gt;&lt;dates&gt;&lt;year&gt;2001&lt;/year&gt;&lt;/dates&gt;&lt;urls&gt;&lt;/urls&gt;&lt;/record&gt;&lt;/Cite&gt;&lt;/EndNote&gt;</w:instrText>
      </w:r>
      <w:r w:rsidR="00FF13D9">
        <w:fldChar w:fldCharType="separate"/>
      </w:r>
      <w:r w:rsidR="00FF13D9">
        <w:rPr>
          <w:noProof/>
        </w:rPr>
        <w:t>[</w:t>
      </w:r>
      <w:hyperlink w:anchor="_ENREF_16" w:tooltip="Neville, 2001 #2633" w:history="1">
        <w:r w:rsidR="007A7BC9">
          <w:rPr>
            <w:noProof/>
          </w:rPr>
          <w:t>2001</w:t>
        </w:r>
      </w:hyperlink>
      <w:r w:rsidR="00FF13D9">
        <w:rPr>
          <w:noProof/>
        </w:rPr>
        <w:t>]</w:t>
      </w:r>
      <w:r w:rsidR="00FF13D9">
        <w:fldChar w:fldCharType="end"/>
      </w:r>
      <w:r w:rsidR="00FF13D9">
        <w:t xml:space="preserve"> suggest that for the results from the FWL4 package to match the results of the exact solution, the model grid must be refined as close as possible to the dimen</w:t>
      </w:r>
      <w:r w:rsidR="004520DC">
        <w:t>sion of the actual well radius.</w:t>
      </w:r>
      <w:r w:rsidR="00A91A33">
        <w:t xml:space="preserve"> It is unclear why they are not identical at </w:t>
      </w:r>
      <w:r w:rsidR="0001116F">
        <w:t>a minimum cell dimension of 0.5 m.</w:t>
      </w:r>
    </w:p>
    <w:p w14:paraId="3437F2BB" w14:textId="4E10FF25" w:rsidR="007F15BB" w:rsidRDefault="004520DC" w:rsidP="00BC2FAD">
      <w:r>
        <w:t xml:space="preserve">If MODHMS and the fracture well (FWL4) package are used </w:t>
      </w:r>
      <w:r w:rsidR="00491715">
        <w:t xml:space="preserve">in </w:t>
      </w:r>
      <w:r>
        <w:t xml:space="preserve">the regional model, then </w:t>
      </w:r>
      <w:r w:rsidR="000D0DA5">
        <w:t xml:space="preserve">localised </w:t>
      </w:r>
      <w:r>
        <w:t>grid refinement around each well, equal to the actual well radius, is required</w:t>
      </w:r>
      <w:r w:rsidR="000D0DA5">
        <w:t>.</w:t>
      </w:r>
      <w:r>
        <w:t xml:space="preserve"> </w:t>
      </w:r>
    </w:p>
    <w:p w14:paraId="72EF3AE2" w14:textId="554218F8" w:rsidR="003344A2" w:rsidRPr="00201A43" w:rsidRDefault="00407A39" w:rsidP="00287A00">
      <w:pPr>
        <w:pStyle w:val="Heading2"/>
      </w:pPr>
      <w:bookmarkStart w:id="513" w:name="_Toc452449151"/>
      <w:r>
        <w:t xml:space="preserve">Metric 1: </w:t>
      </w:r>
      <w:r w:rsidR="003344A2" w:rsidRPr="00201A43">
        <w:t>Comparison between flow through the well and flow through the aquitard</w:t>
      </w:r>
      <w:bookmarkEnd w:id="513"/>
    </w:p>
    <w:p w14:paraId="5EB2E4EA" w14:textId="2906F34F" w:rsidR="00F41AC7" w:rsidRDefault="00CF1662" w:rsidP="00995CB8">
      <w:r>
        <w:t>Comparison between flow through a leaky well, flow through an open well and regional leakage through the aquitard</w:t>
      </w:r>
      <w:r w:rsidR="00B51702">
        <w:t xml:space="preserve"> </w:t>
      </w:r>
      <w:r w:rsidR="006A50C0">
        <w:t xml:space="preserve">per square kilometre </w:t>
      </w:r>
      <w:r w:rsidR="00B51702">
        <w:t xml:space="preserve">is shown in </w:t>
      </w:r>
      <w:r w:rsidR="00B51702">
        <w:fldChar w:fldCharType="begin"/>
      </w:r>
      <w:r w:rsidR="00B51702">
        <w:instrText xml:space="preserve"> REF _Ref449819265 \h </w:instrText>
      </w:r>
      <w:r w:rsidR="00B51702">
        <w:fldChar w:fldCharType="separate"/>
      </w:r>
      <w:r w:rsidR="002E45AF">
        <w:t xml:space="preserve">Table </w:t>
      </w:r>
      <w:r w:rsidR="002E45AF">
        <w:rPr>
          <w:noProof/>
        </w:rPr>
        <w:t>4</w:t>
      </w:r>
      <w:r w:rsidR="00B51702">
        <w:fldChar w:fldCharType="end"/>
      </w:r>
      <w:r w:rsidR="00B51702">
        <w:t xml:space="preserve"> to </w:t>
      </w:r>
      <w:r w:rsidR="00B51702">
        <w:fldChar w:fldCharType="begin"/>
      </w:r>
      <w:r w:rsidR="00B51702">
        <w:instrText xml:space="preserve"> REF _Ref449819267 \h </w:instrText>
      </w:r>
      <w:r w:rsidR="00B51702">
        <w:fldChar w:fldCharType="separate"/>
      </w:r>
      <w:r w:rsidR="002E45AF">
        <w:t xml:space="preserve">Table </w:t>
      </w:r>
      <w:r w:rsidR="002E45AF">
        <w:rPr>
          <w:noProof/>
        </w:rPr>
        <w:t>6</w:t>
      </w:r>
      <w:r w:rsidR="00B51702">
        <w:fldChar w:fldCharType="end"/>
      </w:r>
      <w:r>
        <w:t>.</w:t>
      </w:r>
      <w:r w:rsidR="00465ACA">
        <w:t xml:space="preserve"> </w:t>
      </w:r>
      <w:r w:rsidR="006A50C0">
        <w:t>The 1 kilometre square area for which aquitard leakage was calculated was based on a</w:t>
      </w:r>
      <w:r w:rsidR="00D117E4">
        <w:t xml:space="preserve"> density of one CSG well per </w:t>
      </w:r>
      <w:r w:rsidR="006A50C0">
        <w:t>km</w:t>
      </w:r>
      <w:r w:rsidR="00D117E4" w:rsidRPr="00976756">
        <w:rPr>
          <w:vertAlign w:val="superscript"/>
        </w:rPr>
        <w:t>2</w:t>
      </w:r>
      <w:r w:rsidR="006A50C0">
        <w:t xml:space="preserve"> </w:t>
      </w:r>
      <w:r w:rsidR="00D117E4">
        <w:t>as described for the Narrabri</w:t>
      </w:r>
      <w:r w:rsidR="00E877DC">
        <w:t xml:space="preserve"> Gas Project Area by CDM</w:t>
      </w:r>
      <w:r w:rsidR="00A343C2">
        <w:t xml:space="preserve"> </w:t>
      </w:r>
      <w:r w:rsidR="00E877DC">
        <w:t>Smith [</w:t>
      </w:r>
      <w:r w:rsidR="00D117E4">
        <w:t>2014</w:t>
      </w:r>
      <w:r w:rsidR="00E877DC">
        <w:t>]</w:t>
      </w:r>
      <w:r w:rsidR="006A50C0">
        <w:t>.</w:t>
      </w:r>
    </w:p>
    <w:p w14:paraId="1004C5BE" w14:textId="4B0DAD58" w:rsidR="00F41AC7" w:rsidRDefault="005020D3" w:rsidP="00DD31EB">
      <w:pPr>
        <w:pStyle w:val="TableCaption"/>
        <w:pBdr>
          <w:top w:val="none" w:sz="0" w:space="0" w:color="auto"/>
        </w:pBdr>
      </w:pPr>
      <w:bookmarkStart w:id="514" w:name="_Ref449819265"/>
      <w:bookmarkStart w:id="515" w:name="_Toc452449190"/>
      <w:r>
        <w:t xml:space="preserve">Table </w:t>
      </w:r>
      <w:r w:rsidR="00ED4C1C">
        <w:fldChar w:fldCharType="begin"/>
      </w:r>
      <w:r w:rsidR="00ED4C1C">
        <w:instrText xml:space="preserve"> SEQ Table \* ARABIC </w:instrText>
      </w:r>
      <w:r w:rsidR="00ED4C1C">
        <w:fldChar w:fldCharType="separate"/>
      </w:r>
      <w:r w:rsidR="002E45AF">
        <w:rPr>
          <w:noProof/>
        </w:rPr>
        <w:t>4</w:t>
      </w:r>
      <w:r w:rsidR="00ED4C1C">
        <w:rPr>
          <w:noProof/>
        </w:rPr>
        <w:fldChar w:fldCharType="end"/>
      </w:r>
      <w:bookmarkEnd w:id="514"/>
      <w:r>
        <w:t xml:space="preserve"> Comparison between flow through a leaky</w:t>
      </w:r>
      <w:r w:rsidR="0084056B">
        <w:t xml:space="preserve"> and </w:t>
      </w:r>
      <w:r w:rsidR="00D117E4">
        <w:t xml:space="preserve">fully </w:t>
      </w:r>
      <w:r w:rsidR="0084056B">
        <w:t xml:space="preserve">open </w:t>
      </w:r>
      <w:r>
        <w:t>well compared with regional flow through the aquitard</w:t>
      </w:r>
      <w:r w:rsidR="001818CD">
        <w:t>,</w:t>
      </w:r>
      <w:r w:rsidR="0084056B">
        <w:t xml:space="preserve"> using parameters shown in </w:t>
      </w:r>
      <w:r w:rsidR="0084056B">
        <w:fldChar w:fldCharType="begin"/>
      </w:r>
      <w:r w:rsidR="0084056B">
        <w:instrText xml:space="preserve"> REF _Ref447227143 \h </w:instrText>
      </w:r>
      <w:r w:rsidR="0084056B">
        <w:fldChar w:fldCharType="separate"/>
      </w:r>
      <w:r w:rsidR="002E45AF">
        <w:t xml:space="preserve">Table </w:t>
      </w:r>
      <w:r w:rsidR="002E45AF">
        <w:rPr>
          <w:noProof/>
        </w:rPr>
        <w:t>2</w:t>
      </w:r>
      <w:r w:rsidR="0084056B">
        <w:fldChar w:fldCharType="end"/>
      </w:r>
      <w:r w:rsidR="00D117E4" w:rsidRPr="00D117E4">
        <w:t xml:space="preserve"> </w:t>
      </w:r>
      <w:r w:rsidR="00D117E4">
        <w:t>and a steady-state model</w:t>
      </w:r>
      <w:r w:rsidR="0084056B">
        <w:t>.</w:t>
      </w:r>
      <w:bookmarkEnd w:id="515"/>
    </w:p>
    <w:tbl>
      <w:tblPr>
        <w:tblStyle w:val="GridTable1Light-Accent5"/>
        <w:tblW w:w="0" w:type="auto"/>
        <w:jc w:val="center"/>
        <w:tblLook w:val="04A0" w:firstRow="1" w:lastRow="0" w:firstColumn="1" w:lastColumn="0" w:noHBand="0" w:noVBand="1"/>
        <w:tblCaption w:val="Table 4"/>
        <w:tblDescription w:val="Comparison between flow through a leaky, fully open well and regional flow through an aquitard."/>
      </w:tblPr>
      <w:tblGrid>
        <w:gridCol w:w="1770"/>
        <w:gridCol w:w="1374"/>
        <w:gridCol w:w="1465"/>
        <w:gridCol w:w="1560"/>
        <w:gridCol w:w="1481"/>
        <w:gridCol w:w="1366"/>
      </w:tblGrid>
      <w:tr w:rsidR="00821D40" w14:paraId="03260B4C" w14:textId="2AF40BE4" w:rsidTr="002775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70" w:type="dxa"/>
            <w:tcBorders>
              <w:top w:val="single" w:sz="4" w:space="0" w:color="000000" w:themeColor="text1"/>
              <w:left w:val="nil"/>
              <w:bottom w:val="single" w:sz="4" w:space="0" w:color="000000" w:themeColor="text1"/>
              <w:right w:val="nil"/>
            </w:tcBorders>
            <w:shd w:val="clear" w:color="auto" w:fill="F2F2F2" w:themeFill="background1" w:themeFillShade="F2"/>
          </w:tcPr>
          <w:p w14:paraId="2222D09C" w14:textId="77777777" w:rsidR="00821D40" w:rsidRDefault="00821D40" w:rsidP="00DD31EB">
            <w:r>
              <w:t>Head difference between Layers 1 and 3 (m)</w:t>
            </w:r>
          </w:p>
        </w:tc>
        <w:tc>
          <w:tcPr>
            <w:tcW w:w="1374" w:type="dxa"/>
            <w:tcBorders>
              <w:top w:val="single" w:sz="4" w:space="0" w:color="000000" w:themeColor="text1"/>
              <w:left w:val="nil"/>
              <w:bottom w:val="single" w:sz="4" w:space="0" w:color="000000" w:themeColor="text1"/>
              <w:right w:val="nil"/>
            </w:tcBorders>
            <w:shd w:val="clear" w:color="auto" w:fill="F2F2F2" w:themeFill="background1" w:themeFillShade="F2"/>
          </w:tcPr>
          <w:p w14:paraId="2CA9A832" w14:textId="16D026B2" w:rsidR="00821D40" w:rsidRPr="005020D3" w:rsidRDefault="00821D40" w:rsidP="005020D3">
            <w:pPr>
              <w:cnfStyle w:val="100000000000" w:firstRow="1" w:lastRow="0" w:firstColumn="0" w:lastColumn="0" w:oddVBand="0" w:evenVBand="0" w:oddHBand="0" w:evenHBand="0" w:firstRowFirstColumn="0" w:firstRowLastColumn="0" w:lastRowFirstColumn="0" w:lastRowLastColumn="0"/>
              <w:rPr>
                <w:vertAlign w:val="subscript"/>
              </w:rPr>
            </w:pPr>
            <w:r>
              <w:t>Flow through leaky well (m</w:t>
            </w:r>
            <w:r>
              <w:rPr>
                <w:vertAlign w:val="superscript"/>
              </w:rPr>
              <w:t>3</w:t>
            </w:r>
            <w:r w:rsidRPr="005020D3">
              <w:t>/d)</w:t>
            </w:r>
          </w:p>
        </w:tc>
        <w:tc>
          <w:tcPr>
            <w:tcW w:w="1465" w:type="dxa"/>
            <w:tcBorders>
              <w:top w:val="single" w:sz="4" w:space="0" w:color="000000" w:themeColor="text1"/>
              <w:left w:val="nil"/>
              <w:bottom w:val="single" w:sz="4" w:space="0" w:color="000000" w:themeColor="text1"/>
              <w:right w:val="nil"/>
            </w:tcBorders>
            <w:shd w:val="clear" w:color="auto" w:fill="F2F2F2" w:themeFill="background1" w:themeFillShade="F2"/>
          </w:tcPr>
          <w:p w14:paraId="71B44625" w14:textId="17CDBD68" w:rsidR="00821D40" w:rsidRDefault="00821D40">
            <w:pPr>
              <w:cnfStyle w:val="100000000000" w:firstRow="1" w:lastRow="0" w:firstColumn="0" w:lastColumn="0" w:oddVBand="0" w:evenVBand="0" w:oddHBand="0" w:evenHBand="0" w:firstRowFirstColumn="0" w:firstRowLastColumn="0" w:lastRowFirstColumn="0" w:lastRowLastColumn="0"/>
            </w:pPr>
            <w:r>
              <w:t>Flow through open well (m</w:t>
            </w:r>
            <w:r>
              <w:rPr>
                <w:vertAlign w:val="superscript"/>
              </w:rPr>
              <w:t>3</w:t>
            </w:r>
            <w:r w:rsidRPr="005020D3">
              <w:t>/d)</w:t>
            </w:r>
          </w:p>
        </w:tc>
        <w:tc>
          <w:tcPr>
            <w:tcW w:w="1560" w:type="dxa"/>
            <w:tcBorders>
              <w:top w:val="single" w:sz="4" w:space="0" w:color="000000" w:themeColor="text1"/>
              <w:left w:val="nil"/>
              <w:bottom w:val="single" w:sz="4" w:space="0" w:color="000000" w:themeColor="text1"/>
              <w:right w:val="nil"/>
            </w:tcBorders>
            <w:shd w:val="clear" w:color="auto" w:fill="F2F2F2" w:themeFill="background1" w:themeFillShade="F2"/>
          </w:tcPr>
          <w:p w14:paraId="03A6507F" w14:textId="572A8A43" w:rsidR="00821D40" w:rsidRDefault="00821D40" w:rsidP="00995CB8">
            <w:pPr>
              <w:cnfStyle w:val="100000000000" w:firstRow="1" w:lastRow="0" w:firstColumn="0" w:lastColumn="0" w:oddVBand="0" w:evenVBand="0" w:oddHBand="0" w:evenHBand="0" w:firstRowFirstColumn="0" w:firstRowLastColumn="0" w:lastRowFirstColumn="0" w:lastRowLastColumn="0"/>
            </w:pPr>
            <w:r>
              <w:t>Regional leakage through aquitard (m</w:t>
            </w:r>
            <w:r>
              <w:rPr>
                <w:vertAlign w:val="superscript"/>
              </w:rPr>
              <w:t>3</w:t>
            </w:r>
            <w:r w:rsidRPr="005020D3">
              <w:t>/d</w:t>
            </w:r>
            <w:r w:rsidR="006A50C0">
              <w:t>/km</w:t>
            </w:r>
            <w:r w:rsidR="006A50C0">
              <w:rPr>
                <w:vertAlign w:val="superscript"/>
              </w:rPr>
              <w:t>2</w:t>
            </w:r>
            <w:r w:rsidRPr="005020D3">
              <w:t>)</w:t>
            </w:r>
          </w:p>
        </w:tc>
        <w:tc>
          <w:tcPr>
            <w:tcW w:w="1481" w:type="dxa"/>
            <w:tcBorders>
              <w:top w:val="single" w:sz="4" w:space="0" w:color="000000" w:themeColor="text1"/>
              <w:left w:val="nil"/>
              <w:bottom w:val="single" w:sz="4" w:space="0" w:color="000000" w:themeColor="text1"/>
              <w:right w:val="nil"/>
            </w:tcBorders>
            <w:shd w:val="clear" w:color="auto" w:fill="F2F2F2" w:themeFill="background1" w:themeFillShade="F2"/>
          </w:tcPr>
          <w:p w14:paraId="1E6AD2CF" w14:textId="5C054A6A" w:rsidR="00821D40" w:rsidRDefault="00821D40" w:rsidP="00995CB8">
            <w:pPr>
              <w:cnfStyle w:val="100000000000" w:firstRow="1" w:lastRow="0" w:firstColumn="0" w:lastColumn="0" w:oddVBand="0" w:evenVBand="0" w:oddHBand="0" w:evenHBand="0" w:firstRowFirstColumn="0" w:firstRowLastColumn="0" w:lastRowFirstColumn="0" w:lastRowLastColumn="0"/>
            </w:pPr>
            <w:r>
              <w:t xml:space="preserve">Ratio of </w:t>
            </w:r>
            <w:r w:rsidR="00EB5054">
              <w:t xml:space="preserve">leaky </w:t>
            </w:r>
            <w:r>
              <w:t>well flow to aquitard leakage</w:t>
            </w:r>
          </w:p>
        </w:tc>
        <w:tc>
          <w:tcPr>
            <w:tcW w:w="1366" w:type="dxa"/>
            <w:tcBorders>
              <w:top w:val="single" w:sz="4" w:space="0" w:color="000000" w:themeColor="text1"/>
              <w:left w:val="nil"/>
              <w:bottom w:val="single" w:sz="4" w:space="0" w:color="000000" w:themeColor="text1"/>
              <w:right w:val="nil"/>
            </w:tcBorders>
            <w:shd w:val="clear" w:color="auto" w:fill="F2F2F2" w:themeFill="background1" w:themeFillShade="F2"/>
          </w:tcPr>
          <w:p w14:paraId="6F78EC23" w14:textId="6CA7773B" w:rsidR="00821D40" w:rsidRDefault="00EB5054" w:rsidP="00153281">
            <w:pPr>
              <w:cnfStyle w:val="100000000000" w:firstRow="1" w:lastRow="0" w:firstColumn="0" w:lastColumn="0" w:oddVBand="0" w:evenVBand="0" w:oddHBand="0" w:evenHBand="0" w:firstRowFirstColumn="0" w:firstRowLastColumn="0" w:lastRowFirstColumn="0" w:lastRowLastColumn="0"/>
            </w:pPr>
            <w:r>
              <w:t>Ratio of open well flow to aquitard leakage</w:t>
            </w:r>
          </w:p>
        </w:tc>
      </w:tr>
      <w:tr w:rsidR="00D4539E" w14:paraId="347A85D7" w14:textId="0D07F168" w:rsidTr="00277595">
        <w:trPr>
          <w:jc w:val="center"/>
        </w:trPr>
        <w:tc>
          <w:tcPr>
            <w:cnfStyle w:val="001000000000" w:firstRow="0" w:lastRow="0" w:firstColumn="1" w:lastColumn="0" w:oddVBand="0" w:evenVBand="0" w:oddHBand="0" w:evenHBand="0" w:firstRowFirstColumn="0" w:firstRowLastColumn="0" w:lastRowFirstColumn="0" w:lastRowLastColumn="0"/>
            <w:tcW w:w="1770" w:type="dxa"/>
            <w:tcBorders>
              <w:top w:val="single" w:sz="4" w:space="0" w:color="000000" w:themeColor="text1"/>
              <w:left w:val="nil"/>
              <w:bottom w:val="nil"/>
              <w:right w:val="nil"/>
            </w:tcBorders>
            <w:shd w:val="clear" w:color="auto" w:fill="F2F2F2" w:themeFill="background1" w:themeFillShade="F2"/>
          </w:tcPr>
          <w:p w14:paraId="658C09A5" w14:textId="2969B022" w:rsidR="00D4539E" w:rsidRPr="00AD06F5" w:rsidRDefault="00D4539E" w:rsidP="00D4539E">
            <w:pPr>
              <w:rPr>
                <w:b w:val="0"/>
              </w:rPr>
            </w:pPr>
            <w:r>
              <w:rPr>
                <w:b w:val="0"/>
              </w:rPr>
              <w:t>49 (downward)</w:t>
            </w:r>
          </w:p>
        </w:tc>
        <w:tc>
          <w:tcPr>
            <w:tcW w:w="1374" w:type="dxa"/>
            <w:tcBorders>
              <w:top w:val="single" w:sz="4" w:space="0" w:color="000000" w:themeColor="text1"/>
              <w:left w:val="nil"/>
              <w:bottom w:val="nil"/>
              <w:right w:val="nil"/>
            </w:tcBorders>
            <w:shd w:val="clear" w:color="auto" w:fill="F2F2F2" w:themeFill="background1" w:themeFillShade="F2"/>
          </w:tcPr>
          <w:p w14:paraId="485AF122" w14:textId="5696E3D7" w:rsidR="00D4539E" w:rsidRDefault="00D4539E" w:rsidP="00D4539E">
            <w:pPr>
              <w:cnfStyle w:val="000000000000" w:firstRow="0" w:lastRow="0" w:firstColumn="0" w:lastColumn="0" w:oddVBand="0" w:evenVBand="0" w:oddHBand="0" w:evenHBand="0" w:firstRowFirstColumn="0" w:firstRowLastColumn="0" w:lastRowFirstColumn="0" w:lastRowLastColumn="0"/>
            </w:pPr>
            <w:r>
              <w:t>7.6x10</w:t>
            </w:r>
            <w:r>
              <w:rPr>
                <w:vertAlign w:val="superscript"/>
              </w:rPr>
              <w:t>-3</w:t>
            </w:r>
          </w:p>
        </w:tc>
        <w:tc>
          <w:tcPr>
            <w:tcW w:w="1465" w:type="dxa"/>
            <w:tcBorders>
              <w:top w:val="single" w:sz="4" w:space="0" w:color="000000" w:themeColor="text1"/>
              <w:left w:val="nil"/>
              <w:bottom w:val="nil"/>
              <w:right w:val="nil"/>
            </w:tcBorders>
            <w:shd w:val="clear" w:color="auto" w:fill="F2F2F2" w:themeFill="background1" w:themeFillShade="F2"/>
          </w:tcPr>
          <w:p w14:paraId="4AB71583" w14:textId="5E8E5511" w:rsidR="00D4539E" w:rsidRDefault="00D4539E" w:rsidP="00D4539E">
            <w:pPr>
              <w:cnfStyle w:val="000000000000" w:firstRow="0" w:lastRow="0" w:firstColumn="0" w:lastColumn="0" w:oddVBand="0" w:evenVBand="0" w:oddHBand="0" w:evenHBand="0" w:firstRowFirstColumn="0" w:firstRowLastColumn="0" w:lastRowFirstColumn="0" w:lastRowLastColumn="0"/>
            </w:pPr>
            <w:r>
              <w:t>22.5</w:t>
            </w:r>
          </w:p>
        </w:tc>
        <w:tc>
          <w:tcPr>
            <w:tcW w:w="1560" w:type="dxa"/>
            <w:tcBorders>
              <w:top w:val="single" w:sz="4" w:space="0" w:color="000000" w:themeColor="text1"/>
              <w:left w:val="nil"/>
              <w:bottom w:val="nil"/>
              <w:right w:val="nil"/>
            </w:tcBorders>
            <w:shd w:val="clear" w:color="auto" w:fill="F2F2F2" w:themeFill="background1" w:themeFillShade="F2"/>
            <w:vAlign w:val="bottom"/>
          </w:tcPr>
          <w:p w14:paraId="63E18F4C" w14:textId="697F0F28" w:rsidR="00D4539E" w:rsidRDefault="00D4539E" w:rsidP="00D4539E">
            <w:pPr>
              <w:cnfStyle w:val="000000000000" w:firstRow="0" w:lastRow="0" w:firstColumn="0" w:lastColumn="0" w:oddVBand="0" w:evenVBand="0" w:oddHBand="0" w:evenHBand="0" w:firstRowFirstColumn="0" w:firstRowLastColumn="0" w:lastRowFirstColumn="0" w:lastRowLastColumn="0"/>
            </w:pPr>
            <w:r>
              <w:t>0.60</w:t>
            </w:r>
          </w:p>
        </w:tc>
        <w:tc>
          <w:tcPr>
            <w:tcW w:w="1481" w:type="dxa"/>
            <w:tcBorders>
              <w:top w:val="single" w:sz="4" w:space="0" w:color="000000" w:themeColor="text1"/>
              <w:left w:val="nil"/>
              <w:bottom w:val="nil"/>
              <w:right w:val="nil"/>
            </w:tcBorders>
            <w:shd w:val="clear" w:color="auto" w:fill="F2F2F2" w:themeFill="background1" w:themeFillShade="F2"/>
            <w:vAlign w:val="bottom"/>
          </w:tcPr>
          <w:p w14:paraId="5F4350AA" w14:textId="1406C896" w:rsidR="00D4539E" w:rsidRDefault="00D4539E" w:rsidP="00D4539E">
            <w:pPr>
              <w:cnfStyle w:val="000000000000" w:firstRow="0" w:lastRow="0" w:firstColumn="0" w:lastColumn="0" w:oddVBand="0" w:evenVBand="0" w:oddHBand="0" w:evenHBand="0" w:firstRowFirstColumn="0" w:firstRowLastColumn="0" w:lastRowFirstColumn="0" w:lastRowLastColumn="0"/>
            </w:pPr>
            <w:r>
              <w:t>1.26E-02</w:t>
            </w:r>
          </w:p>
        </w:tc>
        <w:tc>
          <w:tcPr>
            <w:tcW w:w="1366" w:type="dxa"/>
            <w:tcBorders>
              <w:top w:val="single" w:sz="4" w:space="0" w:color="000000" w:themeColor="text1"/>
              <w:left w:val="nil"/>
              <w:bottom w:val="nil"/>
              <w:right w:val="nil"/>
            </w:tcBorders>
            <w:shd w:val="clear" w:color="auto" w:fill="F2F2F2" w:themeFill="background1" w:themeFillShade="F2"/>
            <w:vAlign w:val="bottom"/>
          </w:tcPr>
          <w:p w14:paraId="04C4CB79" w14:textId="260395D7" w:rsidR="00D4539E" w:rsidDel="008C6320" w:rsidRDefault="00D4539E" w:rsidP="00D4539E">
            <w:pPr>
              <w:cnfStyle w:val="000000000000" w:firstRow="0" w:lastRow="0" w:firstColumn="0" w:lastColumn="0" w:oddVBand="0" w:evenVBand="0" w:oddHBand="0" w:evenHBand="0" w:firstRowFirstColumn="0" w:firstRowLastColumn="0" w:lastRowFirstColumn="0" w:lastRowLastColumn="0"/>
            </w:pPr>
            <w:r>
              <w:t>37.2</w:t>
            </w:r>
          </w:p>
        </w:tc>
      </w:tr>
      <w:tr w:rsidR="00D4539E" w14:paraId="1D59F5E5" w14:textId="0CBE8646" w:rsidTr="00277595">
        <w:trPr>
          <w:jc w:val="center"/>
        </w:trPr>
        <w:tc>
          <w:tcPr>
            <w:cnfStyle w:val="001000000000" w:firstRow="0" w:lastRow="0" w:firstColumn="1" w:lastColumn="0" w:oddVBand="0" w:evenVBand="0" w:oddHBand="0" w:evenHBand="0" w:firstRowFirstColumn="0" w:firstRowLastColumn="0" w:lastRowFirstColumn="0" w:lastRowLastColumn="0"/>
            <w:tcW w:w="1770" w:type="dxa"/>
            <w:tcBorders>
              <w:top w:val="nil"/>
              <w:left w:val="nil"/>
              <w:bottom w:val="nil"/>
              <w:right w:val="nil"/>
            </w:tcBorders>
          </w:tcPr>
          <w:p w14:paraId="5B6D5B27" w14:textId="77777777" w:rsidR="00D4539E" w:rsidRPr="00AD06F5" w:rsidRDefault="00D4539E" w:rsidP="00D4539E">
            <w:pPr>
              <w:rPr>
                <w:b w:val="0"/>
              </w:rPr>
            </w:pPr>
            <w:r>
              <w:rPr>
                <w:b w:val="0"/>
              </w:rPr>
              <w:t>-25 (upward)</w:t>
            </w:r>
          </w:p>
        </w:tc>
        <w:tc>
          <w:tcPr>
            <w:tcW w:w="1374" w:type="dxa"/>
            <w:tcBorders>
              <w:top w:val="nil"/>
              <w:left w:val="nil"/>
              <w:bottom w:val="nil"/>
              <w:right w:val="nil"/>
            </w:tcBorders>
          </w:tcPr>
          <w:p w14:paraId="0D4EBD0A" w14:textId="0EFA11B2" w:rsidR="00D4539E" w:rsidRDefault="00D4539E" w:rsidP="00D4539E">
            <w:pPr>
              <w:cnfStyle w:val="000000000000" w:firstRow="0" w:lastRow="0" w:firstColumn="0" w:lastColumn="0" w:oddVBand="0" w:evenVBand="0" w:oddHBand="0" w:evenHBand="0" w:firstRowFirstColumn="0" w:firstRowLastColumn="0" w:lastRowFirstColumn="0" w:lastRowLastColumn="0"/>
            </w:pPr>
            <w:r>
              <w:t>-4.2x10</w:t>
            </w:r>
            <w:r>
              <w:rPr>
                <w:vertAlign w:val="superscript"/>
              </w:rPr>
              <w:t>-3</w:t>
            </w:r>
          </w:p>
        </w:tc>
        <w:tc>
          <w:tcPr>
            <w:tcW w:w="1465" w:type="dxa"/>
            <w:tcBorders>
              <w:top w:val="nil"/>
              <w:left w:val="nil"/>
              <w:bottom w:val="nil"/>
              <w:right w:val="nil"/>
            </w:tcBorders>
          </w:tcPr>
          <w:p w14:paraId="4775193F" w14:textId="10580E96" w:rsidR="00D4539E" w:rsidRDefault="00D4539E" w:rsidP="00D4539E">
            <w:pPr>
              <w:cnfStyle w:val="000000000000" w:firstRow="0" w:lastRow="0" w:firstColumn="0" w:lastColumn="0" w:oddVBand="0" w:evenVBand="0" w:oddHBand="0" w:evenHBand="0" w:firstRowFirstColumn="0" w:firstRowLastColumn="0" w:lastRowFirstColumn="0" w:lastRowLastColumn="0"/>
            </w:pPr>
            <w:r>
              <w:t>-11.6</w:t>
            </w:r>
          </w:p>
        </w:tc>
        <w:tc>
          <w:tcPr>
            <w:tcW w:w="1560" w:type="dxa"/>
            <w:tcBorders>
              <w:top w:val="nil"/>
              <w:left w:val="nil"/>
              <w:bottom w:val="nil"/>
              <w:right w:val="nil"/>
            </w:tcBorders>
            <w:vAlign w:val="bottom"/>
          </w:tcPr>
          <w:p w14:paraId="20B6E241" w14:textId="51EA767A" w:rsidR="00D4539E" w:rsidRDefault="00D4539E" w:rsidP="00D4539E">
            <w:pPr>
              <w:cnfStyle w:val="000000000000" w:firstRow="0" w:lastRow="0" w:firstColumn="0" w:lastColumn="0" w:oddVBand="0" w:evenVBand="0" w:oddHBand="0" w:evenHBand="0" w:firstRowFirstColumn="0" w:firstRowLastColumn="0" w:lastRowFirstColumn="0" w:lastRowLastColumn="0"/>
            </w:pPr>
            <w:r>
              <w:t>-0.34</w:t>
            </w:r>
          </w:p>
        </w:tc>
        <w:tc>
          <w:tcPr>
            <w:tcW w:w="1481" w:type="dxa"/>
            <w:tcBorders>
              <w:top w:val="nil"/>
              <w:left w:val="nil"/>
              <w:bottom w:val="nil"/>
              <w:right w:val="nil"/>
            </w:tcBorders>
            <w:vAlign w:val="bottom"/>
          </w:tcPr>
          <w:p w14:paraId="2312A53E" w14:textId="08A8B650" w:rsidR="00D4539E" w:rsidRDefault="00D4539E" w:rsidP="00D4539E">
            <w:pPr>
              <w:cnfStyle w:val="000000000000" w:firstRow="0" w:lastRow="0" w:firstColumn="0" w:lastColumn="0" w:oddVBand="0" w:evenVBand="0" w:oddHBand="0" w:evenHBand="0" w:firstRowFirstColumn="0" w:firstRowLastColumn="0" w:lastRowFirstColumn="0" w:lastRowLastColumn="0"/>
            </w:pPr>
            <w:r>
              <w:t>1.24E-02</w:t>
            </w:r>
          </w:p>
        </w:tc>
        <w:tc>
          <w:tcPr>
            <w:tcW w:w="1366" w:type="dxa"/>
            <w:tcBorders>
              <w:top w:val="nil"/>
              <w:left w:val="nil"/>
              <w:bottom w:val="nil"/>
              <w:right w:val="nil"/>
            </w:tcBorders>
            <w:vAlign w:val="bottom"/>
          </w:tcPr>
          <w:p w14:paraId="0431F071" w14:textId="40C0E4CF" w:rsidR="00D4539E" w:rsidDel="008C6320" w:rsidRDefault="00D4539E" w:rsidP="00D4539E">
            <w:pPr>
              <w:cnfStyle w:val="000000000000" w:firstRow="0" w:lastRow="0" w:firstColumn="0" w:lastColumn="0" w:oddVBand="0" w:evenVBand="0" w:oddHBand="0" w:evenHBand="0" w:firstRowFirstColumn="0" w:firstRowLastColumn="0" w:lastRowFirstColumn="0" w:lastRowLastColumn="0"/>
            </w:pPr>
            <w:r>
              <w:t>34.4</w:t>
            </w:r>
          </w:p>
        </w:tc>
      </w:tr>
      <w:tr w:rsidR="00D4539E" w14:paraId="0BE24367" w14:textId="0AE1DDB2" w:rsidTr="00277595">
        <w:trPr>
          <w:jc w:val="center"/>
        </w:trPr>
        <w:tc>
          <w:tcPr>
            <w:cnfStyle w:val="001000000000" w:firstRow="0" w:lastRow="0" w:firstColumn="1" w:lastColumn="0" w:oddVBand="0" w:evenVBand="0" w:oddHBand="0" w:evenHBand="0" w:firstRowFirstColumn="0" w:firstRowLastColumn="0" w:lastRowFirstColumn="0" w:lastRowLastColumn="0"/>
            <w:tcW w:w="1770" w:type="dxa"/>
            <w:tcBorders>
              <w:top w:val="nil"/>
              <w:left w:val="nil"/>
              <w:bottom w:val="single" w:sz="4" w:space="0" w:color="000000" w:themeColor="text1"/>
              <w:right w:val="nil"/>
            </w:tcBorders>
            <w:shd w:val="clear" w:color="auto" w:fill="F2F2F2" w:themeFill="background1" w:themeFillShade="F2"/>
          </w:tcPr>
          <w:p w14:paraId="1F3B18C7" w14:textId="77777777" w:rsidR="00D4539E" w:rsidRPr="00AD06F5" w:rsidRDefault="00D4539E" w:rsidP="00D4539E">
            <w:pPr>
              <w:rPr>
                <w:b w:val="0"/>
              </w:rPr>
            </w:pPr>
            <w:r>
              <w:rPr>
                <w:b w:val="0"/>
              </w:rPr>
              <w:t>115 (downward)</w:t>
            </w:r>
          </w:p>
        </w:tc>
        <w:tc>
          <w:tcPr>
            <w:tcW w:w="1374" w:type="dxa"/>
            <w:tcBorders>
              <w:top w:val="nil"/>
              <w:left w:val="nil"/>
              <w:bottom w:val="single" w:sz="4" w:space="0" w:color="000000" w:themeColor="text1"/>
              <w:right w:val="nil"/>
            </w:tcBorders>
            <w:shd w:val="clear" w:color="auto" w:fill="F2F2F2" w:themeFill="background1" w:themeFillShade="F2"/>
          </w:tcPr>
          <w:p w14:paraId="393241D1" w14:textId="4C2461E2" w:rsidR="00D4539E" w:rsidRDefault="00D4539E" w:rsidP="00D4539E">
            <w:pPr>
              <w:cnfStyle w:val="000000000000" w:firstRow="0" w:lastRow="0" w:firstColumn="0" w:lastColumn="0" w:oddVBand="0" w:evenVBand="0" w:oddHBand="0" w:evenHBand="0" w:firstRowFirstColumn="0" w:firstRowLastColumn="0" w:lastRowFirstColumn="0" w:lastRowLastColumn="0"/>
            </w:pPr>
            <w:r>
              <w:t>1.7x10</w:t>
            </w:r>
            <w:r>
              <w:rPr>
                <w:vertAlign w:val="superscript"/>
              </w:rPr>
              <w:t>-2</w:t>
            </w:r>
          </w:p>
        </w:tc>
        <w:tc>
          <w:tcPr>
            <w:tcW w:w="1465" w:type="dxa"/>
            <w:tcBorders>
              <w:top w:val="nil"/>
              <w:left w:val="nil"/>
              <w:bottom w:val="single" w:sz="4" w:space="0" w:color="000000" w:themeColor="text1"/>
              <w:right w:val="nil"/>
            </w:tcBorders>
            <w:shd w:val="clear" w:color="auto" w:fill="F2F2F2" w:themeFill="background1" w:themeFillShade="F2"/>
          </w:tcPr>
          <w:p w14:paraId="74BA8A3A" w14:textId="313797EE" w:rsidR="00D4539E" w:rsidRDefault="00D4539E" w:rsidP="00D4539E">
            <w:pPr>
              <w:cnfStyle w:val="000000000000" w:firstRow="0" w:lastRow="0" w:firstColumn="0" w:lastColumn="0" w:oddVBand="0" w:evenVBand="0" w:oddHBand="0" w:evenHBand="0" w:firstRowFirstColumn="0" w:firstRowLastColumn="0" w:lastRowFirstColumn="0" w:lastRowLastColumn="0"/>
            </w:pPr>
            <w:r>
              <w:t>51.4</w:t>
            </w:r>
          </w:p>
        </w:tc>
        <w:tc>
          <w:tcPr>
            <w:tcW w:w="1560" w:type="dxa"/>
            <w:tcBorders>
              <w:top w:val="nil"/>
              <w:left w:val="nil"/>
              <w:bottom w:val="single" w:sz="4" w:space="0" w:color="000000" w:themeColor="text1"/>
              <w:right w:val="nil"/>
            </w:tcBorders>
            <w:shd w:val="clear" w:color="auto" w:fill="F2F2F2" w:themeFill="background1" w:themeFillShade="F2"/>
            <w:vAlign w:val="bottom"/>
          </w:tcPr>
          <w:p w14:paraId="5813B941" w14:textId="55B4BCC6" w:rsidR="00D4539E" w:rsidRDefault="00D4539E" w:rsidP="00D4539E">
            <w:pPr>
              <w:cnfStyle w:val="000000000000" w:firstRow="0" w:lastRow="0" w:firstColumn="0" w:lastColumn="0" w:oddVBand="0" w:evenVBand="0" w:oddHBand="0" w:evenHBand="0" w:firstRowFirstColumn="0" w:firstRowLastColumn="0" w:lastRowFirstColumn="0" w:lastRowLastColumn="0"/>
            </w:pPr>
            <w:r>
              <w:t>1.41</w:t>
            </w:r>
          </w:p>
        </w:tc>
        <w:tc>
          <w:tcPr>
            <w:tcW w:w="1481" w:type="dxa"/>
            <w:tcBorders>
              <w:top w:val="nil"/>
              <w:left w:val="nil"/>
              <w:bottom w:val="single" w:sz="4" w:space="0" w:color="000000" w:themeColor="text1"/>
              <w:right w:val="nil"/>
            </w:tcBorders>
            <w:shd w:val="clear" w:color="auto" w:fill="F2F2F2" w:themeFill="background1" w:themeFillShade="F2"/>
            <w:vAlign w:val="bottom"/>
          </w:tcPr>
          <w:p w14:paraId="07B6D3A6" w14:textId="48AC319D" w:rsidR="00D4539E" w:rsidRDefault="00D4539E" w:rsidP="00D4539E">
            <w:pPr>
              <w:cnfStyle w:val="000000000000" w:firstRow="0" w:lastRow="0" w:firstColumn="0" w:lastColumn="0" w:oddVBand="0" w:evenVBand="0" w:oddHBand="0" w:evenHBand="0" w:firstRowFirstColumn="0" w:firstRowLastColumn="0" w:lastRowFirstColumn="0" w:lastRowLastColumn="0"/>
            </w:pPr>
            <w:r>
              <w:t>1.21E-02</w:t>
            </w:r>
          </w:p>
        </w:tc>
        <w:tc>
          <w:tcPr>
            <w:tcW w:w="1366" w:type="dxa"/>
            <w:tcBorders>
              <w:top w:val="nil"/>
              <w:left w:val="nil"/>
              <w:bottom w:val="single" w:sz="4" w:space="0" w:color="000000" w:themeColor="text1"/>
              <w:right w:val="nil"/>
            </w:tcBorders>
            <w:shd w:val="clear" w:color="auto" w:fill="F2F2F2" w:themeFill="background1" w:themeFillShade="F2"/>
            <w:vAlign w:val="bottom"/>
          </w:tcPr>
          <w:p w14:paraId="1602A373" w14:textId="1F0159A6" w:rsidR="00D4539E" w:rsidDel="008C6320" w:rsidRDefault="00D4539E" w:rsidP="00D4539E">
            <w:pPr>
              <w:cnfStyle w:val="000000000000" w:firstRow="0" w:lastRow="0" w:firstColumn="0" w:lastColumn="0" w:oddVBand="0" w:evenVBand="0" w:oddHBand="0" w:evenHBand="0" w:firstRowFirstColumn="0" w:firstRowLastColumn="0" w:lastRowFirstColumn="0" w:lastRowLastColumn="0"/>
            </w:pPr>
            <w:r>
              <w:t>36.5</w:t>
            </w:r>
          </w:p>
        </w:tc>
      </w:tr>
    </w:tbl>
    <w:p w14:paraId="47190D8B" w14:textId="77777777" w:rsidR="00C862A9" w:rsidRDefault="00C862A9" w:rsidP="00995CB8"/>
    <w:p w14:paraId="42069081" w14:textId="0A17BD97" w:rsidR="008F2498" w:rsidRPr="00153281" w:rsidRDefault="008F2498" w:rsidP="00976756">
      <w:pPr>
        <w:pStyle w:val="TableCaption"/>
        <w:pBdr>
          <w:top w:val="none" w:sz="0" w:space="0" w:color="auto"/>
        </w:pBdr>
      </w:pPr>
      <w:bookmarkStart w:id="516" w:name="_Toc452449191"/>
      <w:r>
        <w:t xml:space="preserve">Table </w:t>
      </w:r>
      <w:r w:rsidR="00ED4C1C">
        <w:fldChar w:fldCharType="begin"/>
      </w:r>
      <w:r w:rsidR="00ED4C1C">
        <w:instrText xml:space="preserve"> SEQ Table \* ARABIC </w:instrText>
      </w:r>
      <w:r w:rsidR="00ED4C1C">
        <w:fldChar w:fldCharType="separate"/>
      </w:r>
      <w:r w:rsidR="002E45AF">
        <w:rPr>
          <w:noProof/>
        </w:rPr>
        <w:t>5</w:t>
      </w:r>
      <w:r w:rsidR="00ED4C1C">
        <w:rPr>
          <w:noProof/>
        </w:rPr>
        <w:fldChar w:fldCharType="end"/>
      </w:r>
      <w:r>
        <w:t xml:space="preserve"> Comparison between flow through a leaky and open well compared with regional flow through the aquitard, for</w:t>
      </w:r>
      <w:r w:rsidR="00E17228">
        <w:t xml:space="preserve"> </w:t>
      </w:r>
      <w:r>
        <w:t xml:space="preserve">one order of magnitude lower aquitard </w:t>
      </w:r>
      <w:r w:rsidR="0084056B">
        <w:t xml:space="preserve">(Layer 2) </w:t>
      </w:r>
      <w:r>
        <w:t>K</w:t>
      </w:r>
      <w:r>
        <w:rPr>
          <w:vertAlign w:val="subscript"/>
        </w:rPr>
        <w:t>h</w:t>
      </w:r>
      <w:r>
        <w:t xml:space="preserve"> and K</w:t>
      </w:r>
      <w:r>
        <w:rPr>
          <w:vertAlign w:val="subscript"/>
        </w:rPr>
        <w:t>v</w:t>
      </w:r>
      <w:r>
        <w:t xml:space="preserve"> values</w:t>
      </w:r>
      <w:r w:rsidR="00E17228" w:rsidRPr="00E17228">
        <w:t xml:space="preserve"> </w:t>
      </w:r>
      <w:r w:rsidR="00E17228">
        <w:t>and a steady state model</w:t>
      </w:r>
      <w:r w:rsidR="0023768B">
        <w:t xml:space="preserve">. Flow through the leaky well is slightly higher in this example because the decreasing aquitard conductivity restricts flow through the aquitard </w:t>
      </w:r>
      <w:r w:rsidR="00790AF6">
        <w:t>in favour of flow through the well, just as turning off one tap will increase flow slightly through other taps in a multi-tap system.</w:t>
      </w:r>
      <w:bookmarkEnd w:id="516"/>
    </w:p>
    <w:tbl>
      <w:tblPr>
        <w:tblStyle w:val="GridTable1Light-Accent5"/>
        <w:tblW w:w="0" w:type="auto"/>
        <w:tblLook w:val="04A0" w:firstRow="1" w:lastRow="0" w:firstColumn="1" w:lastColumn="0" w:noHBand="0" w:noVBand="1"/>
        <w:tblCaption w:val="Table 5"/>
        <w:tblDescription w:val="Comparison between flow through a leaky and open well compared with regional flow through the aquitard, with modified conductivity."/>
      </w:tblPr>
      <w:tblGrid>
        <w:gridCol w:w="1770"/>
        <w:gridCol w:w="1374"/>
        <w:gridCol w:w="1465"/>
        <w:gridCol w:w="1560"/>
        <w:gridCol w:w="1481"/>
        <w:gridCol w:w="1366"/>
      </w:tblGrid>
      <w:tr w:rsidR="00EB5054" w14:paraId="681A8019" w14:textId="7B385746" w:rsidTr="00976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0" w:type="dxa"/>
            <w:tcBorders>
              <w:top w:val="single" w:sz="4" w:space="0" w:color="000000" w:themeColor="text1"/>
              <w:left w:val="nil"/>
              <w:bottom w:val="single" w:sz="4" w:space="0" w:color="000000" w:themeColor="text1"/>
              <w:right w:val="nil"/>
            </w:tcBorders>
            <w:shd w:val="clear" w:color="auto" w:fill="F2F2F2" w:themeFill="background1" w:themeFillShade="F2"/>
          </w:tcPr>
          <w:p w14:paraId="7E12AEB7" w14:textId="77777777" w:rsidR="00EB5054" w:rsidRDefault="00EB5054" w:rsidP="00EB5054">
            <w:r>
              <w:t>Head difference between Layers 1 and 3 (m)</w:t>
            </w:r>
          </w:p>
        </w:tc>
        <w:tc>
          <w:tcPr>
            <w:tcW w:w="1374" w:type="dxa"/>
            <w:tcBorders>
              <w:top w:val="single" w:sz="4" w:space="0" w:color="000000" w:themeColor="text1"/>
              <w:left w:val="nil"/>
              <w:bottom w:val="single" w:sz="4" w:space="0" w:color="000000" w:themeColor="text1"/>
              <w:right w:val="nil"/>
            </w:tcBorders>
            <w:shd w:val="clear" w:color="auto" w:fill="F2F2F2" w:themeFill="background1" w:themeFillShade="F2"/>
          </w:tcPr>
          <w:p w14:paraId="2DC5AF1F" w14:textId="77777777" w:rsidR="00EB5054" w:rsidRPr="005020D3" w:rsidRDefault="00EB5054" w:rsidP="00EB5054">
            <w:pPr>
              <w:cnfStyle w:val="100000000000" w:firstRow="1" w:lastRow="0" w:firstColumn="0" w:lastColumn="0" w:oddVBand="0" w:evenVBand="0" w:oddHBand="0" w:evenHBand="0" w:firstRowFirstColumn="0" w:firstRowLastColumn="0" w:lastRowFirstColumn="0" w:lastRowLastColumn="0"/>
              <w:rPr>
                <w:vertAlign w:val="subscript"/>
              </w:rPr>
            </w:pPr>
            <w:r>
              <w:t>Flow through leaky well (m</w:t>
            </w:r>
            <w:r>
              <w:rPr>
                <w:vertAlign w:val="superscript"/>
              </w:rPr>
              <w:t>3</w:t>
            </w:r>
            <w:r w:rsidRPr="005020D3">
              <w:t>/d)</w:t>
            </w:r>
          </w:p>
        </w:tc>
        <w:tc>
          <w:tcPr>
            <w:tcW w:w="1465" w:type="dxa"/>
            <w:tcBorders>
              <w:top w:val="single" w:sz="4" w:space="0" w:color="000000" w:themeColor="text1"/>
              <w:left w:val="nil"/>
              <w:bottom w:val="single" w:sz="4" w:space="0" w:color="000000" w:themeColor="text1"/>
              <w:right w:val="nil"/>
            </w:tcBorders>
            <w:shd w:val="clear" w:color="auto" w:fill="F2F2F2" w:themeFill="background1" w:themeFillShade="F2"/>
          </w:tcPr>
          <w:p w14:paraId="13DC0FDB" w14:textId="77777777" w:rsidR="00EB5054" w:rsidRDefault="00EB5054" w:rsidP="00EB5054">
            <w:pPr>
              <w:cnfStyle w:val="100000000000" w:firstRow="1" w:lastRow="0" w:firstColumn="0" w:lastColumn="0" w:oddVBand="0" w:evenVBand="0" w:oddHBand="0" w:evenHBand="0" w:firstRowFirstColumn="0" w:firstRowLastColumn="0" w:lastRowFirstColumn="0" w:lastRowLastColumn="0"/>
            </w:pPr>
            <w:r>
              <w:t>Flow through open well (m</w:t>
            </w:r>
            <w:r>
              <w:rPr>
                <w:vertAlign w:val="superscript"/>
              </w:rPr>
              <w:t>3</w:t>
            </w:r>
            <w:r w:rsidRPr="005020D3">
              <w:t>/d)</w:t>
            </w:r>
          </w:p>
        </w:tc>
        <w:tc>
          <w:tcPr>
            <w:tcW w:w="1560" w:type="dxa"/>
            <w:tcBorders>
              <w:top w:val="single" w:sz="4" w:space="0" w:color="000000" w:themeColor="text1"/>
              <w:left w:val="nil"/>
              <w:bottom w:val="single" w:sz="4" w:space="0" w:color="000000" w:themeColor="text1"/>
              <w:right w:val="nil"/>
            </w:tcBorders>
            <w:shd w:val="clear" w:color="auto" w:fill="F2F2F2" w:themeFill="background1" w:themeFillShade="F2"/>
          </w:tcPr>
          <w:p w14:paraId="7C5904FE" w14:textId="21E1313C" w:rsidR="00EB5054" w:rsidRDefault="00EB5054" w:rsidP="00EB5054">
            <w:pPr>
              <w:cnfStyle w:val="100000000000" w:firstRow="1" w:lastRow="0" w:firstColumn="0" w:lastColumn="0" w:oddVBand="0" w:evenVBand="0" w:oddHBand="0" w:evenHBand="0" w:firstRowFirstColumn="0" w:firstRowLastColumn="0" w:lastRowFirstColumn="0" w:lastRowLastColumn="0"/>
            </w:pPr>
            <w:r>
              <w:t>Regional leakage through aquitard (m</w:t>
            </w:r>
            <w:r>
              <w:rPr>
                <w:vertAlign w:val="superscript"/>
              </w:rPr>
              <w:t>3</w:t>
            </w:r>
            <w:r w:rsidRPr="005020D3">
              <w:t>/d</w:t>
            </w:r>
            <w:r w:rsidR="006A50C0">
              <w:t>/km</w:t>
            </w:r>
            <w:r w:rsidR="006A50C0">
              <w:rPr>
                <w:vertAlign w:val="superscript"/>
              </w:rPr>
              <w:t>2</w:t>
            </w:r>
            <w:r w:rsidRPr="005020D3">
              <w:t>)</w:t>
            </w:r>
          </w:p>
        </w:tc>
        <w:tc>
          <w:tcPr>
            <w:tcW w:w="1481" w:type="dxa"/>
            <w:tcBorders>
              <w:top w:val="single" w:sz="4" w:space="0" w:color="000000" w:themeColor="text1"/>
              <w:left w:val="nil"/>
              <w:bottom w:val="single" w:sz="4" w:space="0" w:color="000000" w:themeColor="text1"/>
              <w:right w:val="nil"/>
            </w:tcBorders>
            <w:shd w:val="clear" w:color="auto" w:fill="F2F2F2" w:themeFill="background1" w:themeFillShade="F2"/>
          </w:tcPr>
          <w:p w14:paraId="7E218C91" w14:textId="20FFA02F" w:rsidR="00EB5054" w:rsidRDefault="00EB5054" w:rsidP="00EB5054">
            <w:pPr>
              <w:cnfStyle w:val="100000000000" w:firstRow="1" w:lastRow="0" w:firstColumn="0" w:lastColumn="0" w:oddVBand="0" w:evenVBand="0" w:oddHBand="0" w:evenHBand="0" w:firstRowFirstColumn="0" w:firstRowLastColumn="0" w:lastRowFirstColumn="0" w:lastRowLastColumn="0"/>
            </w:pPr>
            <w:r>
              <w:t>Ratio of leaky well flow to aquitard leakage</w:t>
            </w:r>
          </w:p>
        </w:tc>
        <w:tc>
          <w:tcPr>
            <w:tcW w:w="1366" w:type="dxa"/>
            <w:tcBorders>
              <w:top w:val="single" w:sz="4" w:space="0" w:color="000000" w:themeColor="text1"/>
              <w:left w:val="nil"/>
              <w:bottom w:val="single" w:sz="4" w:space="0" w:color="000000" w:themeColor="text1"/>
              <w:right w:val="nil"/>
            </w:tcBorders>
            <w:shd w:val="clear" w:color="auto" w:fill="F2F2F2" w:themeFill="background1" w:themeFillShade="F2"/>
          </w:tcPr>
          <w:p w14:paraId="3B79170F" w14:textId="60398C03" w:rsidR="00EB5054" w:rsidRDefault="00EB5054" w:rsidP="00EB5054">
            <w:pPr>
              <w:cnfStyle w:val="100000000000" w:firstRow="1" w:lastRow="0" w:firstColumn="0" w:lastColumn="0" w:oddVBand="0" w:evenVBand="0" w:oddHBand="0" w:evenHBand="0" w:firstRowFirstColumn="0" w:firstRowLastColumn="0" w:lastRowFirstColumn="0" w:lastRowLastColumn="0"/>
            </w:pPr>
            <w:r>
              <w:t>Ratio of open well flow to aquitard leakage</w:t>
            </w:r>
          </w:p>
        </w:tc>
      </w:tr>
      <w:tr w:rsidR="00D4539E" w14:paraId="3FA9A82C" w14:textId="2F767364" w:rsidTr="00976756">
        <w:tc>
          <w:tcPr>
            <w:cnfStyle w:val="001000000000" w:firstRow="0" w:lastRow="0" w:firstColumn="1" w:lastColumn="0" w:oddVBand="0" w:evenVBand="0" w:oddHBand="0" w:evenHBand="0" w:firstRowFirstColumn="0" w:firstRowLastColumn="0" w:lastRowFirstColumn="0" w:lastRowLastColumn="0"/>
            <w:tcW w:w="1770" w:type="dxa"/>
            <w:tcBorders>
              <w:top w:val="single" w:sz="4" w:space="0" w:color="000000" w:themeColor="text1"/>
              <w:left w:val="nil"/>
              <w:bottom w:val="nil"/>
              <w:right w:val="nil"/>
            </w:tcBorders>
            <w:shd w:val="clear" w:color="auto" w:fill="F2F2F2" w:themeFill="background1" w:themeFillShade="F2"/>
          </w:tcPr>
          <w:p w14:paraId="5BB12ECC" w14:textId="77777777" w:rsidR="00D4539E" w:rsidRPr="00AD06F5" w:rsidRDefault="00D4539E" w:rsidP="00D4539E">
            <w:pPr>
              <w:rPr>
                <w:b w:val="0"/>
              </w:rPr>
            </w:pPr>
            <w:r>
              <w:rPr>
                <w:b w:val="0"/>
              </w:rPr>
              <w:t>49 (downward)</w:t>
            </w:r>
          </w:p>
        </w:tc>
        <w:tc>
          <w:tcPr>
            <w:tcW w:w="1374" w:type="dxa"/>
            <w:tcBorders>
              <w:top w:val="single" w:sz="4" w:space="0" w:color="000000" w:themeColor="text1"/>
              <w:left w:val="nil"/>
              <w:bottom w:val="nil"/>
              <w:right w:val="nil"/>
            </w:tcBorders>
            <w:shd w:val="clear" w:color="auto" w:fill="F2F2F2" w:themeFill="background1" w:themeFillShade="F2"/>
          </w:tcPr>
          <w:p w14:paraId="375D41A5" w14:textId="782A7442" w:rsidR="00D4539E" w:rsidRPr="00287A00" w:rsidRDefault="00D4539E" w:rsidP="00D4539E">
            <w:pPr>
              <w:cnfStyle w:val="000000000000" w:firstRow="0" w:lastRow="0" w:firstColumn="0" w:lastColumn="0" w:oddVBand="0" w:evenVBand="0" w:oddHBand="0" w:evenHBand="0" w:firstRowFirstColumn="0" w:firstRowLastColumn="0" w:lastRowFirstColumn="0" w:lastRowLastColumn="0"/>
              <w:rPr>
                <w:vertAlign w:val="superscript"/>
              </w:rPr>
            </w:pPr>
            <w:r>
              <w:t>8.8x10</w:t>
            </w:r>
            <w:r>
              <w:rPr>
                <w:vertAlign w:val="superscript"/>
              </w:rPr>
              <w:t>-3</w:t>
            </w:r>
          </w:p>
        </w:tc>
        <w:tc>
          <w:tcPr>
            <w:tcW w:w="1465" w:type="dxa"/>
            <w:tcBorders>
              <w:top w:val="single" w:sz="4" w:space="0" w:color="000000" w:themeColor="text1"/>
              <w:left w:val="nil"/>
              <w:bottom w:val="nil"/>
              <w:right w:val="nil"/>
            </w:tcBorders>
            <w:shd w:val="clear" w:color="auto" w:fill="F2F2F2" w:themeFill="background1" w:themeFillShade="F2"/>
          </w:tcPr>
          <w:p w14:paraId="0FAC223F" w14:textId="79C0A6E4" w:rsidR="00D4539E" w:rsidRDefault="00D4539E" w:rsidP="00D4539E">
            <w:pPr>
              <w:cnfStyle w:val="000000000000" w:firstRow="0" w:lastRow="0" w:firstColumn="0" w:lastColumn="0" w:oddVBand="0" w:evenVBand="0" w:oddHBand="0" w:evenHBand="0" w:firstRowFirstColumn="0" w:firstRowLastColumn="0" w:lastRowFirstColumn="0" w:lastRowLastColumn="0"/>
            </w:pPr>
            <w:r>
              <w:t>24.3</w:t>
            </w:r>
          </w:p>
        </w:tc>
        <w:tc>
          <w:tcPr>
            <w:tcW w:w="1560" w:type="dxa"/>
            <w:tcBorders>
              <w:top w:val="single" w:sz="4" w:space="0" w:color="000000" w:themeColor="text1"/>
              <w:left w:val="nil"/>
              <w:bottom w:val="nil"/>
              <w:right w:val="nil"/>
            </w:tcBorders>
            <w:shd w:val="clear" w:color="auto" w:fill="F2F2F2" w:themeFill="background1" w:themeFillShade="F2"/>
            <w:vAlign w:val="bottom"/>
          </w:tcPr>
          <w:p w14:paraId="59AA936B" w14:textId="15F840FB" w:rsidR="00D4539E" w:rsidRDefault="00D4539E" w:rsidP="00D4539E">
            <w:pPr>
              <w:cnfStyle w:val="000000000000" w:firstRow="0" w:lastRow="0" w:firstColumn="0" w:lastColumn="0" w:oddVBand="0" w:evenVBand="0" w:oddHBand="0" w:evenHBand="0" w:firstRowFirstColumn="0" w:firstRowLastColumn="0" w:lastRowFirstColumn="0" w:lastRowLastColumn="0"/>
            </w:pPr>
            <w:r>
              <w:t>0.07</w:t>
            </w:r>
          </w:p>
        </w:tc>
        <w:tc>
          <w:tcPr>
            <w:tcW w:w="1481" w:type="dxa"/>
            <w:tcBorders>
              <w:top w:val="single" w:sz="4" w:space="0" w:color="000000" w:themeColor="text1"/>
              <w:left w:val="nil"/>
              <w:bottom w:val="nil"/>
              <w:right w:val="nil"/>
            </w:tcBorders>
            <w:shd w:val="clear" w:color="auto" w:fill="F2F2F2" w:themeFill="background1" w:themeFillShade="F2"/>
            <w:vAlign w:val="bottom"/>
          </w:tcPr>
          <w:p w14:paraId="7FE6431D" w14:textId="3C072E9A" w:rsidR="00D4539E" w:rsidRDefault="00D4539E" w:rsidP="00D4539E">
            <w:pPr>
              <w:cnfStyle w:val="000000000000" w:firstRow="0" w:lastRow="0" w:firstColumn="0" w:lastColumn="0" w:oddVBand="0" w:evenVBand="0" w:oddHBand="0" w:evenHBand="0" w:firstRowFirstColumn="0" w:firstRowLastColumn="0" w:lastRowFirstColumn="0" w:lastRowLastColumn="0"/>
            </w:pPr>
            <w:r>
              <w:t>1.34E-01</w:t>
            </w:r>
          </w:p>
        </w:tc>
        <w:tc>
          <w:tcPr>
            <w:tcW w:w="1366" w:type="dxa"/>
            <w:tcBorders>
              <w:top w:val="single" w:sz="4" w:space="0" w:color="000000" w:themeColor="text1"/>
              <w:left w:val="nil"/>
              <w:bottom w:val="nil"/>
              <w:right w:val="nil"/>
            </w:tcBorders>
            <w:shd w:val="clear" w:color="auto" w:fill="F2F2F2" w:themeFill="background1" w:themeFillShade="F2"/>
            <w:vAlign w:val="bottom"/>
          </w:tcPr>
          <w:p w14:paraId="6E358E1B" w14:textId="0ACBC10B" w:rsidR="00D4539E" w:rsidRDefault="00D4539E" w:rsidP="00D4539E">
            <w:pPr>
              <w:cnfStyle w:val="000000000000" w:firstRow="0" w:lastRow="0" w:firstColumn="0" w:lastColumn="0" w:oddVBand="0" w:evenVBand="0" w:oddHBand="0" w:evenHBand="0" w:firstRowFirstColumn="0" w:firstRowLastColumn="0" w:lastRowFirstColumn="0" w:lastRowLastColumn="0"/>
            </w:pPr>
            <w:r>
              <w:t>368.8</w:t>
            </w:r>
          </w:p>
        </w:tc>
      </w:tr>
      <w:tr w:rsidR="00D4539E" w14:paraId="2CFC77EB" w14:textId="1799864A" w:rsidTr="00976756">
        <w:tc>
          <w:tcPr>
            <w:cnfStyle w:val="001000000000" w:firstRow="0" w:lastRow="0" w:firstColumn="1" w:lastColumn="0" w:oddVBand="0" w:evenVBand="0" w:oddHBand="0" w:evenHBand="0" w:firstRowFirstColumn="0" w:firstRowLastColumn="0" w:lastRowFirstColumn="0" w:lastRowLastColumn="0"/>
            <w:tcW w:w="1770" w:type="dxa"/>
            <w:tcBorders>
              <w:top w:val="nil"/>
              <w:left w:val="nil"/>
              <w:bottom w:val="nil"/>
              <w:right w:val="nil"/>
            </w:tcBorders>
          </w:tcPr>
          <w:p w14:paraId="6AA5648B" w14:textId="77777777" w:rsidR="00D4539E" w:rsidRPr="00AD06F5" w:rsidRDefault="00D4539E" w:rsidP="00D4539E">
            <w:pPr>
              <w:rPr>
                <w:b w:val="0"/>
              </w:rPr>
            </w:pPr>
            <w:r>
              <w:rPr>
                <w:b w:val="0"/>
              </w:rPr>
              <w:t>-25 (upward)</w:t>
            </w:r>
          </w:p>
        </w:tc>
        <w:tc>
          <w:tcPr>
            <w:tcW w:w="1374" w:type="dxa"/>
            <w:tcBorders>
              <w:top w:val="nil"/>
              <w:left w:val="nil"/>
              <w:bottom w:val="nil"/>
              <w:right w:val="nil"/>
            </w:tcBorders>
          </w:tcPr>
          <w:p w14:paraId="660F0A0D" w14:textId="2E0A14F4" w:rsidR="00D4539E" w:rsidRPr="00287A00" w:rsidRDefault="00D4539E" w:rsidP="00D4539E">
            <w:pPr>
              <w:cnfStyle w:val="000000000000" w:firstRow="0" w:lastRow="0" w:firstColumn="0" w:lastColumn="0" w:oddVBand="0" w:evenVBand="0" w:oddHBand="0" w:evenHBand="0" w:firstRowFirstColumn="0" w:firstRowLastColumn="0" w:lastRowFirstColumn="0" w:lastRowLastColumn="0"/>
              <w:rPr>
                <w:vertAlign w:val="superscript"/>
              </w:rPr>
            </w:pPr>
            <w:r>
              <w:t>-4.9x10</w:t>
            </w:r>
            <w:r>
              <w:rPr>
                <w:vertAlign w:val="superscript"/>
              </w:rPr>
              <w:t>-3</w:t>
            </w:r>
          </w:p>
        </w:tc>
        <w:tc>
          <w:tcPr>
            <w:tcW w:w="1465" w:type="dxa"/>
            <w:tcBorders>
              <w:top w:val="nil"/>
              <w:left w:val="nil"/>
              <w:bottom w:val="nil"/>
              <w:right w:val="nil"/>
            </w:tcBorders>
          </w:tcPr>
          <w:p w14:paraId="6A018197" w14:textId="1C8B7E45" w:rsidR="00D4539E" w:rsidRDefault="00D4539E" w:rsidP="00D4539E">
            <w:pPr>
              <w:cnfStyle w:val="000000000000" w:firstRow="0" w:lastRow="0" w:firstColumn="0" w:lastColumn="0" w:oddVBand="0" w:evenVBand="0" w:oddHBand="0" w:evenHBand="0" w:firstRowFirstColumn="0" w:firstRowLastColumn="0" w:lastRowFirstColumn="0" w:lastRowLastColumn="0"/>
            </w:pPr>
            <w:r>
              <w:t>-12.6</w:t>
            </w:r>
          </w:p>
        </w:tc>
        <w:tc>
          <w:tcPr>
            <w:tcW w:w="1560" w:type="dxa"/>
            <w:tcBorders>
              <w:top w:val="nil"/>
              <w:left w:val="nil"/>
              <w:bottom w:val="nil"/>
              <w:right w:val="nil"/>
            </w:tcBorders>
            <w:vAlign w:val="bottom"/>
          </w:tcPr>
          <w:p w14:paraId="56D57B22" w14:textId="7747CE86" w:rsidR="00D4539E" w:rsidRDefault="00D4539E" w:rsidP="00D4539E">
            <w:pPr>
              <w:cnfStyle w:val="000000000000" w:firstRow="0" w:lastRow="0" w:firstColumn="0" w:lastColumn="0" w:oddVBand="0" w:evenVBand="0" w:oddHBand="0" w:evenHBand="0" w:firstRowFirstColumn="0" w:firstRowLastColumn="0" w:lastRowFirstColumn="0" w:lastRowLastColumn="0"/>
            </w:pPr>
            <w:r>
              <w:t>-0.04</w:t>
            </w:r>
          </w:p>
        </w:tc>
        <w:tc>
          <w:tcPr>
            <w:tcW w:w="1481" w:type="dxa"/>
            <w:tcBorders>
              <w:top w:val="nil"/>
              <w:left w:val="nil"/>
              <w:bottom w:val="nil"/>
              <w:right w:val="nil"/>
            </w:tcBorders>
            <w:vAlign w:val="bottom"/>
          </w:tcPr>
          <w:p w14:paraId="56E1BC2A" w14:textId="383D98E8" w:rsidR="00D4539E" w:rsidRDefault="00D4539E" w:rsidP="00D4539E">
            <w:pPr>
              <w:cnfStyle w:val="000000000000" w:firstRow="0" w:lastRow="0" w:firstColumn="0" w:lastColumn="0" w:oddVBand="0" w:evenVBand="0" w:oddHBand="0" w:evenHBand="0" w:firstRowFirstColumn="0" w:firstRowLastColumn="0" w:lastRowFirstColumn="0" w:lastRowLastColumn="0"/>
            </w:pPr>
            <w:r>
              <w:t>1.33E-01</w:t>
            </w:r>
          </w:p>
        </w:tc>
        <w:tc>
          <w:tcPr>
            <w:tcW w:w="1366" w:type="dxa"/>
            <w:tcBorders>
              <w:top w:val="nil"/>
              <w:left w:val="nil"/>
              <w:bottom w:val="nil"/>
              <w:right w:val="nil"/>
            </w:tcBorders>
            <w:vAlign w:val="bottom"/>
          </w:tcPr>
          <w:p w14:paraId="77C18EAF" w14:textId="142A2EAC" w:rsidR="00D4539E" w:rsidRDefault="00D4539E" w:rsidP="00D4539E">
            <w:pPr>
              <w:cnfStyle w:val="000000000000" w:firstRow="0" w:lastRow="0" w:firstColumn="0" w:lastColumn="0" w:oddVBand="0" w:evenVBand="0" w:oddHBand="0" w:evenHBand="0" w:firstRowFirstColumn="0" w:firstRowLastColumn="0" w:lastRowFirstColumn="0" w:lastRowLastColumn="0"/>
            </w:pPr>
            <w:r>
              <w:t>341.2</w:t>
            </w:r>
          </w:p>
        </w:tc>
      </w:tr>
      <w:tr w:rsidR="00D4539E" w14:paraId="1AC1717D" w14:textId="578BCC8E" w:rsidTr="00976756">
        <w:tc>
          <w:tcPr>
            <w:cnfStyle w:val="001000000000" w:firstRow="0" w:lastRow="0" w:firstColumn="1" w:lastColumn="0" w:oddVBand="0" w:evenVBand="0" w:oddHBand="0" w:evenHBand="0" w:firstRowFirstColumn="0" w:firstRowLastColumn="0" w:lastRowFirstColumn="0" w:lastRowLastColumn="0"/>
            <w:tcW w:w="1770" w:type="dxa"/>
            <w:tcBorders>
              <w:top w:val="nil"/>
              <w:left w:val="nil"/>
              <w:bottom w:val="single" w:sz="4" w:space="0" w:color="000000" w:themeColor="text1"/>
              <w:right w:val="nil"/>
            </w:tcBorders>
            <w:shd w:val="clear" w:color="auto" w:fill="F2F2F2" w:themeFill="background1" w:themeFillShade="F2"/>
          </w:tcPr>
          <w:p w14:paraId="6C9131FC" w14:textId="77777777" w:rsidR="00D4539E" w:rsidRPr="00AD06F5" w:rsidRDefault="00D4539E" w:rsidP="00D4539E">
            <w:pPr>
              <w:rPr>
                <w:b w:val="0"/>
              </w:rPr>
            </w:pPr>
            <w:r>
              <w:rPr>
                <w:b w:val="0"/>
              </w:rPr>
              <w:t>115 (downward)</w:t>
            </w:r>
          </w:p>
        </w:tc>
        <w:tc>
          <w:tcPr>
            <w:tcW w:w="1374" w:type="dxa"/>
            <w:tcBorders>
              <w:top w:val="nil"/>
              <w:left w:val="nil"/>
              <w:bottom w:val="single" w:sz="4" w:space="0" w:color="000000" w:themeColor="text1"/>
              <w:right w:val="nil"/>
            </w:tcBorders>
            <w:shd w:val="clear" w:color="auto" w:fill="F2F2F2" w:themeFill="background1" w:themeFillShade="F2"/>
          </w:tcPr>
          <w:p w14:paraId="1937728E" w14:textId="302D8974" w:rsidR="00D4539E" w:rsidRPr="00287A00" w:rsidRDefault="00D4539E" w:rsidP="00D4539E">
            <w:pPr>
              <w:cnfStyle w:val="000000000000" w:firstRow="0" w:lastRow="0" w:firstColumn="0" w:lastColumn="0" w:oddVBand="0" w:evenVBand="0" w:oddHBand="0" w:evenHBand="0" w:firstRowFirstColumn="0" w:firstRowLastColumn="0" w:lastRowFirstColumn="0" w:lastRowLastColumn="0"/>
              <w:rPr>
                <w:vertAlign w:val="superscript"/>
              </w:rPr>
            </w:pPr>
            <w:r>
              <w:t>2.1x10</w:t>
            </w:r>
            <w:r>
              <w:rPr>
                <w:vertAlign w:val="superscript"/>
              </w:rPr>
              <w:t>-2</w:t>
            </w:r>
          </w:p>
        </w:tc>
        <w:tc>
          <w:tcPr>
            <w:tcW w:w="1465" w:type="dxa"/>
            <w:tcBorders>
              <w:top w:val="nil"/>
              <w:left w:val="nil"/>
              <w:bottom w:val="single" w:sz="4" w:space="0" w:color="000000" w:themeColor="text1"/>
              <w:right w:val="nil"/>
            </w:tcBorders>
            <w:shd w:val="clear" w:color="auto" w:fill="F2F2F2" w:themeFill="background1" w:themeFillShade="F2"/>
          </w:tcPr>
          <w:p w14:paraId="7F327B89" w14:textId="3328B639" w:rsidR="00D4539E" w:rsidRDefault="00D4539E" w:rsidP="00D4539E">
            <w:pPr>
              <w:cnfStyle w:val="000000000000" w:firstRow="0" w:lastRow="0" w:firstColumn="0" w:lastColumn="0" w:oddVBand="0" w:evenVBand="0" w:oddHBand="0" w:evenHBand="0" w:firstRowFirstColumn="0" w:firstRowLastColumn="0" w:lastRowFirstColumn="0" w:lastRowLastColumn="0"/>
            </w:pPr>
            <w:r>
              <w:t>55.9</w:t>
            </w:r>
          </w:p>
        </w:tc>
        <w:tc>
          <w:tcPr>
            <w:tcW w:w="1560" w:type="dxa"/>
            <w:tcBorders>
              <w:top w:val="nil"/>
              <w:left w:val="nil"/>
              <w:bottom w:val="single" w:sz="4" w:space="0" w:color="000000" w:themeColor="text1"/>
              <w:right w:val="nil"/>
            </w:tcBorders>
            <w:shd w:val="clear" w:color="auto" w:fill="F2F2F2" w:themeFill="background1" w:themeFillShade="F2"/>
            <w:vAlign w:val="bottom"/>
          </w:tcPr>
          <w:p w14:paraId="4EBA41B0" w14:textId="7B4F49DA" w:rsidR="00D4539E" w:rsidRDefault="00D4539E" w:rsidP="00D4539E">
            <w:pPr>
              <w:cnfStyle w:val="000000000000" w:firstRow="0" w:lastRow="0" w:firstColumn="0" w:lastColumn="0" w:oddVBand="0" w:evenVBand="0" w:oddHBand="0" w:evenHBand="0" w:firstRowFirstColumn="0" w:firstRowLastColumn="0" w:lastRowFirstColumn="0" w:lastRowLastColumn="0"/>
            </w:pPr>
            <w:r>
              <w:t>0.15</w:t>
            </w:r>
          </w:p>
        </w:tc>
        <w:tc>
          <w:tcPr>
            <w:tcW w:w="1481" w:type="dxa"/>
            <w:tcBorders>
              <w:top w:val="nil"/>
              <w:left w:val="nil"/>
              <w:bottom w:val="single" w:sz="4" w:space="0" w:color="000000" w:themeColor="text1"/>
              <w:right w:val="nil"/>
            </w:tcBorders>
            <w:shd w:val="clear" w:color="auto" w:fill="F2F2F2" w:themeFill="background1" w:themeFillShade="F2"/>
            <w:vAlign w:val="bottom"/>
          </w:tcPr>
          <w:p w14:paraId="5A76CDC9" w14:textId="12A7F153" w:rsidR="00D4539E" w:rsidRDefault="00D4539E" w:rsidP="00D4539E">
            <w:pPr>
              <w:cnfStyle w:val="000000000000" w:firstRow="0" w:lastRow="0" w:firstColumn="0" w:lastColumn="0" w:oddVBand="0" w:evenVBand="0" w:oddHBand="0" w:evenHBand="0" w:firstRowFirstColumn="0" w:firstRowLastColumn="0" w:lastRowFirstColumn="0" w:lastRowLastColumn="0"/>
            </w:pPr>
            <w:r>
              <w:t>1.36E-01</w:t>
            </w:r>
          </w:p>
        </w:tc>
        <w:tc>
          <w:tcPr>
            <w:tcW w:w="1366" w:type="dxa"/>
            <w:tcBorders>
              <w:top w:val="nil"/>
              <w:left w:val="nil"/>
              <w:bottom w:val="single" w:sz="4" w:space="0" w:color="000000" w:themeColor="text1"/>
              <w:right w:val="nil"/>
            </w:tcBorders>
            <w:shd w:val="clear" w:color="auto" w:fill="F2F2F2" w:themeFill="background1" w:themeFillShade="F2"/>
            <w:vAlign w:val="bottom"/>
          </w:tcPr>
          <w:p w14:paraId="29333C87" w14:textId="22F0E341" w:rsidR="00D4539E" w:rsidRDefault="00D4539E" w:rsidP="00D4539E">
            <w:pPr>
              <w:cnfStyle w:val="000000000000" w:firstRow="0" w:lastRow="0" w:firstColumn="0" w:lastColumn="0" w:oddVBand="0" w:evenVBand="0" w:oddHBand="0" w:evenHBand="0" w:firstRowFirstColumn="0" w:firstRowLastColumn="0" w:lastRowFirstColumn="0" w:lastRowLastColumn="0"/>
            </w:pPr>
            <w:r>
              <w:t>361.3</w:t>
            </w:r>
          </w:p>
        </w:tc>
      </w:tr>
    </w:tbl>
    <w:p w14:paraId="27296863" w14:textId="77777777" w:rsidR="00C862A9" w:rsidRDefault="00C862A9" w:rsidP="00995CB8"/>
    <w:p w14:paraId="6DD4DE53" w14:textId="17789DE9" w:rsidR="0084056B" w:rsidRPr="00413939" w:rsidRDefault="0084056B" w:rsidP="00976756">
      <w:pPr>
        <w:pStyle w:val="TableCaption"/>
        <w:pBdr>
          <w:top w:val="none" w:sz="0" w:space="0" w:color="auto"/>
        </w:pBdr>
      </w:pPr>
      <w:bookmarkStart w:id="517" w:name="_Ref449819267"/>
      <w:bookmarkStart w:id="518" w:name="_Toc452449192"/>
      <w:r>
        <w:t xml:space="preserve">Table </w:t>
      </w:r>
      <w:r w:rsidR="00ED4C1C">
        <w:fldChar w:fldCharType="begin"/>
      </w:r>
      <w:r w:rsidR="00ED4C1C">
        <w:instrText xml:space="preserve"> SEQ Table \* ARABIC </w:instrText>
      </w:r>
      <w:r w:rsidR="00ED4C1C">
        <w:fldChar w:fldCharType="separate"/>
      </w:r>
      <w:r w:rsidR="002E45AF">
        <w:rPr>
          <w:noProof/>
        </w:rPr>
        <w:t>6</w:t>
      </w:r>
      <w:r w:rsidR="00ED4C1C">
        <w:rPr>
          <w:noProof/>
        </w:rPr>
        <w:fldChar w:fldCharType="end"/>
      </w:r>
      <w:bookmarkEnd w:id="517"/>
      <w:r>
        <w:t xml:space="preserve"> Comparison between flow through a leaky and open well compared with regional flow through the aquitard, for one order of magnitude higher aquifer (Layers 1 and 3) K</w:t>
      </w:r>
      <w:r>
        <w:rPr>
          <w:vertAlign w:val="subscript"/>
        </w:rPr>
        <w:t>h</w:t>
      </w:r>
      <w:r>
        <w:t xml:space="preserve"> and K</w:t>
      </w:r>
      <w:r>
        <w:rPr>
          <w:vertAlign w:val="subscript"/>
        </w:rPr>
        <w:t>v</w:t>
      </w:r>
      <w:r>
        <w:t xml:space="preserve"> values</w:t>
      </w:r>
      <w:r w:rsidR="00E17228" w:rsidRPr="00E17228">
        <w:t xml:space="preserve"> </w:t>
      </w:r>
      <w:r w:rsidR="00E17228">
        <w:t>and a steady</w:t>
      </w:r>
      <w:r w:rsidR="006B59FF">
        <w:t>-</w:t>
      </w:r>
      <w:r w:rsidR="00E17228">
        <w:t>state model.</w:t>
      </w:r>
      <w:bookmarkEnd w:id="518"/>
    </w:p>
    <w:tbl>
      <w:tblPr>
        <w:tblStyle w:val="GridTable1Light-Accent5"/>
        <w:tblW w:w="0" w:type="auto"/>
        <w:tblLook w:val="04A0" w:firstRow="1" w:lastRow="0" w:firstColumn="1" w:lastColumn="0" w:noHBand="0" w:noVBand="1"/>
        <w:tblCaption w:val="Table 6"/>
        <w:tblDescription w:val="Comparison between flow through a leaky and open well compared with regional flow through the aquitard, with increase conductivity."/>
      </w:tblPr>
      <w:tblGrid>
        <w:gridCol w:w="1770"/>
        <w:gridCol w:w="1374"/>
        <w:gridCol w:w="1465"/>
        <w:gridCol w:w="1560"/>
        <w:gridCol w:w="1481"/>
        <w:gridCol w:w="1366"/>
      </w:tblGrid>
      <w:tr w:rsidR="00EB5054" w14:paraId="41F2BAA0" w14:textId="31DCBF45" w:rsidTr="009767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0" w:type="dxa"/>
            <w:tcBorders>
              <w:top w:val="single" w:sz="4" w:space="0" w:color="000000" w:themeColor="text1"/>
              <w:left w:val="nil"/>
              <w:bottom w:val="single" w:sz="4" w:space="0" w:color="000000" w:themeColor="text1"/>
              <w:right w:val="nil"/>
            </w:tcBorders>
            <w:shd w:val="clear" w:color="auto" w:fill="F2F2F2" w:themeFill="background1" w:themeFillShade="F2"/>
          </w:tcPr>
          <w:p w14:paraId="38BF8319" w14:textId="77777777" w:rsidR="00EB5054" w:rsidRDefault="00EB5054" w:rsidP="00EB5054">
            <w:r>
              <w:t>Head difference between Layers 1 and 3 (m)</w:t>
            </w:r>
          </w:p>
        </w:tc>
        <w:tc>
          <w:tcPr>
            <w:tcW w:w="1374" w:type="dxa"/>
            <w:tcBorders>
              <w:top w:val="single" w:sz="4" w:space="0" w:color="000000" w:themeColor="text1"/>
              <w:left w:val="nil"/>
              <w:bottom w:val="single" w:sz="4" w:space="0" w:color="000000" w:themeColor="text1"/>
              <w:right w:val="nil"/>
            </w:tcBorders>
            <w:shd w:val="clear" w:color="auto" w:fill="F2F2F2" w:themeFill="background1" w:themeFillShade="F2"/>
          </w:tcPr>
          <w:p w14:paraId="26151A0B" w14:textId="77777777" w:rsidR="00EB5054" w:rsidRPr="005020D3" w:rsidRDefault="00EB5054" w:rsidP="00EB5054">
            <w:pPr>
              <w:cnfStyle w:val="100000000000" w:firstRow="1" w:lastRow="0" w:firstColumn="0" w:lastColumn="0" w:oddVBand="0" w:evenVBand="0" w:oddHBand="0" w:evenHBand="0" w:firstRowFirstColumn="0" w:firstRowLastColumn="0" w:lastRowFirstColumn="0" w:lastRowLastColumn="0"/>
              <w:rPr>
                <w:vertAlign w:val="subscript"/>
              </w:rPr>
            </w:pPr>
            <w:r>
              <w:t>Flow through leaky well (m</w:t>
            </w:r>
            <w:r>
              <w:rPr>
                <w:vertAlign w:val="superscript"/>
              </w:rPr>
              <w:t>3</w:t>
            </w:r>
            <w:r w:rsidRPr="005020D3">
              <w:t>/d)</w:t>
            </w:r>
          </w:p>
        </w:tc>
        <w:tc>
          <w:tcPr>
            <w:tcW w:w="1465" w:type="dxa"/>
            <w:tcBorders>
              <w:top w:val="single" w:sz="4" w:space="0" w:color="000000" w:themeColor="text1"/>
              <w:left w:val="nil"/>
              <w:bottom w:val="single" w:sz="4" w:space="0" w:color="000000" w:themeColor="text1"/>
              <w:right w:val="nil"/>
            </w:tcBorders>
            <w:shd w:val="clear" w:color="auto" w:fill="F2F2F2" w:themeFill="background1" w:themeFillShade="F2"/>
          </w:tcPr>
          <w:p w14:paraId="1294E82C" w14:textId="77777777" w:rsidR="00EB5054" w:rsidRDefault="00EB5054" w:rsidP="00EB5054">
            <w:pPr>
              <w:cnfStyle w:val="100000000000" w:firstRow="1" w:lastRow="0" w:firstColumn="0" w:lastColumn="0" w:oddVBand="0" w:evenVBand="0" w:oddHBand="0" w:evenHBand="0" w:firstRowFirstColumn="0" w:firstRowLastColumn="0" w:lastRowFirstColumn="0" w:lastRowLastColumn="0"/>
            </w:pPr>
            <w:r>
              <w:t>Flow through open well (m</w:t>
            </w:r>
            <w:r>
              <w:rPr>
                <w:vertAlign w:val="superscript"/>
              </w:rPr>
              <w:t>3</w:t>
            </w:r>
            <w:r w:rsidRPr="005020D3">
              <w:t>/d)</w:t>
            </w:r>
          </w:p>
        </w:tc>
        <w:tc>
          <w:tcPr>
            <w:tcW w:w="1560" w:type="dxa"/>
            <w:tcBorders>
              <w:top w:val="single" w:sz="4" w:space="0" w:color="000000" w:themeColor="text1"/>
              <w:left w:val="nil"/>
              <w:bottom w:val="single" w:sz="4" w:space="0" w:color="000000" w:themeColor="text1"/>
              <w:right w:val="nil"/>
            </w:tcBorders>
            <w:shd w:val="clear" w:color="auto" w:fill="F2F2F2" w:themeFill="background1" w:themeFillShade="F2"/>
          </w:tcPr>
          <w:p w14:paraId="759BA118" w14:textId="0A3AA380" w:rsidR="00EB5054" w:rsidRDefault="00EB5054" w:rsidP="00EB5054">
            <w:pPr>
              <w:cnfStyle w:val="100000000000" w:firstRow="1" w:lastRow="0" w:firstColumn="0" w:lastColumn="0" w:oddVBand="0" w:evenVBand="0" w:oddHBand="0" w:evenHBand="0" w:firstRowFirstColumn="0" w:firstRowLastColumn="0" w:lastRowFirstColumn="0" w:lastRowLastColumn="0"/>
            </w:pPr>
            <w:r>
              <w:t>Regional leakage through aquitard (m</w:t>
            </w:r>
            <w:r>
              <w:rPr>
                <w:vertAlign w:val="superscript"/>
              </w:rPr>
              <w:t>3</w:t>
            </w:r>
            <w:r w:rsidRPr="005020D3">
              <w:t>/d</w:t>
            </w:r>
            <w:r w:rsidR="00D4539E">
              <w:t>/km</w:t>
            </w:r>
            <w:r w:rsidR="006A50C0">
              <w:rPr>
                <w:vertAlign w:val="superscript"/>
              </w:rPr>
              <w:t>2</w:t>
            </w:r>
            <w:r w:rsidRPr="005020D3">
              <w:t>)</w:t>
            </w:r>
          </w:p>
        </w:tc>
        <w:tc>
          <w:tcPr>
            <w:tcW w:w="1481" w:type="dxa"/>
            <w:tcBorders>
              <w:top w:val="single" w:sz="4" w:space="0" w:color="000000" w:themeColor="text1"/>
              <w:left w:val="nil"/>
              <w:bottom w:val="single" w:sz="4" w:space="0" w:color="000000" w:themeColor="text1"/>
              <w:right w:val="nil"/>
            </w:tcBorders>
            <w:shd w:val="clear" w:color="auto" w:fill="F2F2F2" w:themeFill="background1" w:themeFillShade="F2"/>
          </w:tcPr>
          <w:p w14:paraId="6E801000" w14:textId="63E5FB68" w:rsidR="00EB5054" w:rsidRDefault="00EB5054" w:rsidP="00EB5054">
            <w:pPr>
              <w:cnfStyle w:val="100000000000" w:firstRow="1" w:lastRow="0" w:firstColumn="0" w:lastColumn="0" w:oddVBand="0" w:evenVBand="0" w:oddHBand="0" w:evenHBand="0" w:firstRowFirstColumn="0" w:firstRowLastColumn="0" w:lastRowFirstColumn="0" w:lastRowLastColumn="0"/>
            </w:pPr>
            <w:r>
              <w:t>Ratio of leaky well flow to aquitard leakage</w:t>
            </w:r>
          </w:p>
        </w:tc>
        <w:tc>
          <w:tcPr>
            <w:tcW w:w="1366" w:type="dxa"/>
            <w:tcBorders>
              <w:top w:val="single" w:sz="4" w:space="0" w:color="000000" w:themeColor="text1"/>
              <w:left w:val="nil"/>
              <w:bottom w:val="single" w:sz="4" w:space="0" w:color="000000" w:themeColor="text1"/>
              <w:right w:val="nil"/>
            </w:tcBorders>
            <w:shd w:val="clear" w:color="auto" w:fill="F2F2F2" w:themeFill="background1" w:themeFillShade="F2"/>
          </w:tcPr>
          <w:p w14:paraId="7CA29866" w14:textId="10D03AB0" w:rsidR="00EB5054" w:rsidRDefault="00EB5054" w:rsidP="00EB5054">
            <w:pPr>
              <w:cnfStyle w:val="100000000000" w:firstRow="1" w:lastRow="0" w:firstColumn="0" w:lastColumn="0" w:oddVBand="0" w:evenVBand="0" w:oddHBand="0" w:evenHBand="0" w:firstRowFirstColumn="0" w:firstRowLastColumn="0" w:lastRowFirstColumn="0" w:lastRowLastColumn="0"/>
            </w:pPr>
            <w:r>
              <w:t>Ratio of open well flow to aquitard leakage</w:t>
            </w:r>
          </w:p>
        </w:tc>
      </w:tr>
      <w:tr w:rsidR="00D4539E" w14:paraId="51C5B3BF" w14:textId="04BD7533" w:rsidTr="00976756">
        <w:tc>
          <w:tcPr>
            <w:cnfStyle w:val="001000000000" w:firstRow="0" w:lastRow="0" w:firstColumn="1" w:lastColumn="0" w:oddVBand="0" w:evenVBand="0" w:oddHBand="0" w:evenHBand="0" w:firstRowFirstColumn="0" w:firstRowLastColumn="0" w:lastRowFirstColumn="0" w:lastRowLastColumn="0"/>
            <w:tcW w:w="1770" w:type="dxa"/>
            <w:tcBorders>
              <w:top w:val="single" w:sz="4" w:space="0" w:color="000000" w:themeColor="text1"/>
              <w:left w:val="nil"/>
              <w:bottom w:val="nil"/>
              <w:right w:val="nil"/>
            </w:tcBorders>
            <w:shd w:val="clear" w:color="auto" w:fill="F2F2F2" w:themeFill="background1" w:themeFillShade="F2"/>
          </w:tcPr>
          <w:p w14:paraId="17EE51E3" w14:textId="77777777" w:rsidR="00D4539E" w:rsidRPr="00AD06F5" w:rsidRDefault="00D4539E" w:rsidP="00D4539E">
            <w:pPr>
              <w:rPr>
                <w:b w:val="0"/>
              </w:rPr>
            </w:pPr>
            <w:r>
              <w:rPr>
                <w:b w:val="0"/>
              </w:rPr>
              <w:t>49 (downward)</w:t>
            </w:r>
          </w:p>
        </w:tc>
        <w:tc>
          <w:tcPr>
            <w:tcW w:w="1374" w:type="dxa"/>
            <w:tcBorders>
              <w:top w:val="single" w:sz="4" w:space="0" w:color="000000" w:themeColor="text1"/>
              <w:left w:val="nil"/>
              <w:bottom w:val="nil"/>
              <w:right w:val="nil"/>
            </w:tcBorders>
            <w:shd w:val="clear" w:color="auto" w:fill="F2F2F2" w:themeFill="background1" w:themeFillShade="F2"/>
          </w:tcPr>
          <w:p w14:paraId="2CC82910" w14:textId="2DA757A9" w:rsidR="00D4539E" w:rsidRPr="00413939" w:rsidRDefault="00D4539E" w:rsidP="00D4539E">
            <w:pPr>
              <w:cnfStyle w:val="000000000000" w:firstRow="0" w:lastRow="0" w:firstColumn="0" w:lastColumn="0" w:oddVBand="0" w:evenVBand="0" w:oddHBand="0" w:evenHBand="0" w:firstRowFirstColumn="0" w:firstRowLastColumn="0" w:lastRowFirstColumn="0" w:lastRowLastColumn="0"/>
              <w:rPr>
                <w:vertAlign w:val="superscript"/>
              </w:rPr>
            </w:pPr>
            <w:r>
              <w:t>8.8x10</w:t>
            </w:r>
            <w:r>
              <w:rPr>
                <w:vertAlign w:val="superscript"/>
              </w:rPr>
              <w:t>-3</w:t>
            </w:r>
          </w:p>
        </w:tc>
        <w:tc>
          <w:tcPr>
            <w:tcW w:w="1465" w:type="dxa"/>
            <w:tcBorders>
              <w:top w:val="single" w:sz="4" w:space="0" w:color="000000" w:themeColor="text1"/>
              <w:left w:val="nil"/>
              <w:bottom w:val="nil"/>
              <w:right w:val="nil"/>
            </w:tcBorders>
            <w:shd w:val="clear" w:color="auto" w:fill="F2F2F2" w:themeFill="background1" w:themeFillShade="F2"/>
          </w:tcPr>
          <w:p w14:paraId="15DC1C1D" w14:textId="46D8855F" w:rsidR="00D4539E" w:rsidRDefault="00D4539E" w:rsidP="00D4539E">
            <w:pPr>
              <w:cnfStyle w:val="000000000000" w:firstRow="0" w:lastRow="0" w:firstColumn="0" w:lastColumn="0" w:oddVBand="0" w:evenVBand="0" w:oddHBand="0" w:evenHBand="0" w:firstRowFirstColumn="0" w:firstRowLastColumn="0" w:lastRowFirstColumn="0" w:lastRowLastColumn="0"/>
            </w:pPr>
            <w:r>
              <w:t>243</w:t>
            </w:r>
          </w:p>
        </w:tc>
        <w:tc>
          <w:tcPr>
            <w:tcW w:w="1560" w:type="dxa"/>
            <w:tcBorders>
              <w:top w:val="single" w:sz="4" w:space="0" w:color="000000" w:themeColor="text1"/>
              <w:left w:val="nil"/>
              <w:bottom w:val="nil"/>
              <w:right w:val="nil"/>
            </w:tcBorders>
            <w:shd w:val="clear" w:color="auto" w:fill="F2F2F2" w:themeFill="background1" w:themeFillShade="F2"/>
            <w:vAlign w:val="bottom"/>
          </w:tcPr>
          <w:p w14:paraId="382F3B15" w14:textId="21A676D0" w:rsidR="00D4539E" w:rsidRDefault="00D4539E" w:rsidP="00D4539E">
            <w:pPr>
              <w:cnfStyle w:val="000000000000" w:firstRow="0" w:lastRow="0" w:firstColumn="0" w:lastColumn="0" w:oddVBand="0" w:evenVBand="0" w:oddHBand="0" w:evenHBand="0" w:firstRowFirstColumn="0" w:firstRowLastColumn="0" w:lastRowFirstColumn="0" w:lastRowLastColumn="0"/>
            </w:pPr>
            <w:r>
              <w:t>0.66</w:t>
            </w:r>
          </w:p>
        </w:tc>
        <w:tc>
          <w:tcPr>
            <w:tcW w:w="1481" w:type="dxa"/>
            <w:tcBorders>
              <w:top w:val="single" w:sz="4" w:space="0" w:color="000000" w:themeColor="text1"/>
              <w:left w:val="nil"/>
              <w:bottom w:val="nil"/>
              <w:right w:val="nil"/>
            </w:tcBorders>
            <w:shd w:val="clear" w:color="auto" w:fill="F2F2F2" w:themeFill="background1" w:themeFillShade="F2"/>
            <w:vAlign w:val="bottom"/>
          </w:tcPr>
          <w:p w14:paraId="06FA7777" w14:textId="5BABEEFB" w:rsidR="00D4539E" w:rsidRDefault="00D4539E" w:rsidP="00D4539E">
            <w:pPr>
              <w:cnfStyle w:val="000000000000" w:firstRow="0" w:lastRow="0" w:firstColumn="0" w:lastColumn="0" w:oddVBand="0" w:evenVBand="0" w:oddHBand="0" w:evenHBand="0" w:firstRowFirstColumn="0" w:firstRowLastColumn="0" w:lastRowFirstColumn="0" w:lastRowLastColumn="0"/>
            </w:pPr>
            <w:r>
              <w:t>1.34E-02</w:t>
            </w:r>
          </w:p>
        </w:tc>
        <w:tc>
          <w:tcPr>
            <w:tcW w:w="1366" w:type="dxa"/>
            <w:tcBorders>
              <w:top w:val="single" w:sz="4" w:space="0" w:color="000000" w:themeColor="text1"/>
              <w:left w:val="nil"/>
              <w:bottom w:val="nil"/>
              <w:right w:val="nil"/>
            </w:tcBorders>
            <w:shd w:val="clear" w:color="auto" w:fill="F2F2F2" w:themeFill="background1" w:themeFillShade="F2"/>
            <w:vAlign w:val="bottom"/>
          </w:tcPr>
          <w:p w14:paraId="7345C79E" w14:textId="74C3B0B8" w:rsidR="00D4539E" w:rsidRDefault="00D4539E" w:rsidP="00D4539E">
            <w:pPr>
              <w:cnfStyle w:val="000000000000" w:firstRow="0" w:lastRow="0" w:firstColumn="0" w:lastColumn="0" w:oddVBand="0" w:evenVBand="0" w:oddHBand="0" w:evenHBand="0" w:firstRowFirstColumn="0" w:firstRowLastColumn="0" w:lastRowFirstColumn="0" w:lastRowLastColumn="0"/>
            </w:pPr>
            <w:r>
              <w:t>368.8</w:t>
            </w:r>
          </w:p>
        </w:tc>
      </w:tr>
      <w:tr w:rsidR="00D4539E" w14:paraId="57F113C3" w14:textId="5707EB0A" w:rsidTr="00976756">
        <w:tc>
          <w:tcPr>
            <w:cnfStyle w:val="001000000000" w:firstRow="0" w:lastRow="0" w:firstColumn="1" w:lastColumn="0" w:oddVBand="0" w:evenVBand="0" w:oddHBand="0" w:evenHBand="0" w:firstRowFirstColumn="0" w:firstRowLastColumn="0" w:lastRowFirstColumn="0" w:lastRowLastColumn="0"/>
            <w:tcW w:w="1770" w:type="dxa"/>
            <w:tcBorders>
              <w:top w:val="nil"/>
              <w:left w:val="nil"/>
              <w:bottom w:val="nil"/>
              <w:right w:val="nil"/>
            </w:tcBorders>
          </w:tcPr>
          <w:p w14:paraId="288D83F9" w14:textId="77777777" w:rsidR="00D4539E" w:rsidRPr="00AD06F5" w:rsidRDefault="00D4539E" w:rsidP="00D4539E">
            <w:pPr>
              <w:rPr>
                <w:b w:val="0"/>
              </w:rPr>
            </w:pPr>
            <w:r>
              <w:rPr>
                <w:b w:val="0"/>
              </w:rPr>
              <w:t>-25 (upward)</w:t>
            </w:r>
          </w:p>
        </w:tc>
        <w:tc>
          <w:tcPr>
            <w:tcW w:w="1374" w:type="dxa"/>
            <w:tcBorders>
              <w:top w:val="nil"/>
              <w:left w:val="nil"/>
              <w:bottom w:val="nil"/>
              <w:right w:val="nil"/>
            </w:tcBorders>
          </w:tcPr>
          <w:p w14:paraId="580CBC46" w14:textId="54D88938" w:rsidR="00D4539E" w:rsidRPr="00413939" w:rsidRDefault="00D4539E" w:rsidP="00D4539E">
            <w:pPr>
              <w:cnfStyle w:val="000000000000" w:firstRow="0" w:lastRow="0" w:firstColumn="0" w:lastColumn="0" w:oddVBand="0" w:evenVBand="0" w:oddHBand="0" w:evenHBand="0" w:firstRowFirstColumn="0" w:firstRowLastColumn="0" w:lastRowFirstColumn="0" w:lastRowLastColumn="0"/>
              <w:rPr>
                <w:vertAlign w:val="superscript"/>
              </w:rPr>
            </w:pPr>
            <w:r>
              <w:t>-4.9x10</w:t>
            </w:r>
            <w:r>
              <w:rPr>
                <w:vertAlign w:val="superscript"/>
              </w:rPr>
              <w:t>-3</w:t>
            </w:r>
          </w:p>
        </w:tc>
        <w:tc>
          <w:tcPr>
            <w:tcW w:w="1465" w:type="dxa"/>
            <w:tcBorders>
              <w:top w:val="nil"/>
              <w:left w:val="nil"/>
              <w:bottom w:val="nil"/>
              <w:right w:val="nil"/>
            </w:tcBorders>
          </w:tcPr>
          <w:p w14:paraId="7B9FBAF1" w14:textId="570EB170" w:rsidR="00D4539E" w:rsidRDefault="00D4539E" w:rsidP="00D4539E">
            <w:pPr>
              <w:cnfStyle w:val="000000000000" w:firstRow="0" w:lastRow="0" w:firstColumn="0" w:lastColumn="0" w:oddVBand="0" w:evenVBand="0" w:oddHBand="0" w:evenHBand="0" w:firstRowFirstColumn="0" w:firstRowLastColumn="0" w:lastRowFirstColumn="0" w:lastRowLastColumn="0"/>
            </w:pPr>
            <w:r>
              <w:t>-126.4</w:t>
            </w:r>
          </w:p>
        </w:tc>
        <w:tc>
          <w:tcPr>
            <w:tcW w:w="1560" w:type="dxa"/>
            <w:tcBorders>
              <w:top w:val="nil"/>
              <w:left w:val="nil"/>
              <w:bottom w:val="nil"/>
              <w:right w:val="nil"/>
            </w:tcBorders>
            <w:vAlign w:val="bottom"/>
          </w:tcPr>
          <w:p w14:paraId="39D3B6DF" w14:textId="7486BCDD" w:rsidR="00D4539E" w:rsidRDefault="00D4539E" w:rsidP="00D4539E">
            <w:pPr>
              <w:cnfStyle w:val="000000000000" w:firstRow="0" w:lastRow="0" w:firstColumn="0" w:lastColumn="0" w:oddVBand="0" w:evenVBand="0" w:oddHBand="0" w:evenHBand="0" w:firstRowFirstColumn="0" w:firstRowLastColumn="0" w:lastRowFirstColumn="0" w:lastRowLastColumn="0"/>
            </w:pPr>
            <w:r>
              <w:t>-0.37</w:t>
            </w:r>
          </w:p>
        </w:tc>
        <w:tc>
          <w:tcPr>
            <w:tcW w:w="1481" w:type="dxa"/>
            <w:tcBorders>
              <w:top w:val="nil"/>
              <w:left w:val="nil"/>
              <w:bottom w:val="nil"/>
              <w:right w:val="nil"/>
            </w:tcBorders>
            <w:vAlign w:val="bottom"/>
          </w:tcPr>
          <w:p w14:paraId="0A1B64A7" w14:textId="0BB3C8B6" w:rsidR="00D4539E" w:rsidRDefault="00D4539E" w:rsidP="00D4539E">
            <w:pPr>
              <w:cnfStyle w:val="000000000000" w:firstRow="0" w:lastRow="0" w:firstColumn="0" w:lastColumn="0" w:oddVBand="0" w:evenVBand="0" w:oddHBand="0" w:evenHBand="0" w:firstRowFirstColumn="0" w:firstRowLastColumn="0" w:lastRowFirstColumn="0" w:lastRowLastColumn="0"/>
            </w:pPr>
            <w:r>
              <w:t>1.33E-02</w:t>
            </w:r>
          </w:p>
        </w:tc>
        <w:tc>
          <w:tcPr>
            <w:tcW w:w="1366" w:type="dxa"/>
            <w:tcBorders>
              <w:top w:val="nil"/>
              <w:left w:val="nil"/>
              <w:bottom w:val="nil"/>
              <w:right w:val="nil"/>
            </w:tcBorders>
            <w:vAlign w:val="bottom"/>
          </w:tcPr>
          <w:p w14:paraId="65D0B52C" w14:textId="0D65F3C1" w:rsidR="00D4539E" w:rsidRDefault="00D4539E" w:rsidP="00D4539E">
            <w:pPr>
              <w:cnfStyle w:val="000000000000" w:firstRow="0" w:lastRow="0" w:firstColumn="0" w:lastColumn="0" w:oddVBand="0" w:evenVBand="0" w:oddHBand="0" w:evenHBand="0" w:firstRowFirstColumn="0" w:firstRowLastColumn="0" w:lastRowFirstColumn="0" w:lastRowLastColumn="0"/>
            </w:pPr>
            <w:r>
              <w:t>342.3</w:t>
            </w:r>
          </w:p>
        </w:tc>
      </w:tr>
      <w:tr w:rsidR="00D4539E" w14:paraId="706F2F55" w14:textId="12C35153" w:rsidTr="00976756">
        <w:tc>
          <w:tcPr>
            <w:cnfStyle w:val="001000000000" w:firstRow="0" w:lastRow="0" w:firstColumn="1" w:lastColumn="0" w:oddVBand="0" w:evenVBand="0" w:oddHBand="0" w:evenHBand="0" w:firstRowFirstColumn="0" w:firstRowLastColumn="0" w:lastRowFirstColumn="0" w:lastRowLastColumn="0"/>
            <w:tcW w:w="1770" w:type="dxa"/>
            <w:tcBorders>
              <w:top w:val="nil"/>
              <w:left w:val="nil"/>
              <w:bottom w:val="single" w:sz="4" w:space="0" w:color="000000" w:themeColor="text1"/>
              <w:right w:val="nil"/>
            </w:tcBorders>
            <w:shd w:val="clear" w:color="auto" w:fill="F2F2F2" w:themeFill="background1" w:themeFillShade="F2"/>
          </w:tcPr>
          <w:p w14:paraId="5690096A" w14:textId="77777777" w:rsidR="00D4539E" w:rsidRPr="00AD06F5" w:rsidRDefault="00D4539E" w:rsidP="00D4539E">
            <w:pPr>
              <w:rPr>
                <w:b w:val="0"/>
              </w:rPr>
            </w:pPr>
            <w:r>
              <w:rPr>
                <w:b w:val="0"/>
              </w:rPr>
              <w:t>115 (downward)</w:t>
            </w:r>
          </w:p>
        </w:tc>
        <w:tc>
          <w:tcPr>
            <w:tcW w:w="1374" w:type="dxa"/>
            <w:tcBorders>
              <w:top w:val="nil"/>
              <w:left w:val="nil"/>
              <w:bottom w:val="single" w:sz="4" w:space="0" w:color="000000" w:themeColor="text1"/>
              <w:right w:val="nil"/>
            </w:tcBorders>
            <w:shd w:val="clear" w:color="auto" w:fill="F2F2F2" w:themeFill="background1" w:themeFillShade="F2"/>
          </w:tcPr>
          <w:p w14:paraId="6EC5FEB9" w14:textId="1446AA72" w:rsidR="00D4539E" w:rsidRPr="00413939" w:rsidRDefault="00D4539E" w:rsidP="00D4539E">
            <w:pPr>
              <w:cnfStyle w:val="000000000000" w:firstRow="0" w:lastRow="0" w:firstColumn="0" w:lastColumn="0" w:oddVBand="0" w:evenVBand="0" w:oddHBand="0" w:evenHBand="0" w:firstRowFirstColumn="0" w:firstRowLastColumn="0" w:lastRowFirstColumn="0" w:lastRowLastColumn="0"/>
              <w:rPr>
                <w:vertAlign w:val="superscript"/>
              </w:rPr>
            </w:pPr>
            <w:r>
              <w:t>2.1x10</w:t>
            </w:r>
            <w:r>
              <w:rPr>
                <w:vertAlign w:val="superscript"/>
              </w:rPr>
              <w:t>-2</w:t>
            </w:r>
          </w:p>
        </w:tc>
        <w:tc>
          <w:tcPr>
            <w:tcW w:w="1465" w:type="dxa"/>
            <w:tcBorders>
              <w:top w:val="nil"/>
              <w:left w:val="nil"/>
              <w:bottom w:val="single" w:sz="4" w:space="0" w:color="000000" w:themeColor="text1"/>
              <w:right w:val="nil"/>
            </w:tcBorders>
            <w:shd w:val="clear" w:color="auto" w:fill="F2F2F2" w:themeFill="background1" w:themeFillShade="F2"/>
          </w:tcPr>
          <w:p w14:paraId="3CC9E988" w14:textId="7E3BA2EB" w:rsidR="00D4539E" w:rsidRDefault="00D4539E" w:rsidP="00D4539E">
            <w:pPr>
              <w:cnfStyle w:val="000000000000" w:firstRow="0" w:lastRow="0" w:firstColumn="0" w:lastColumn="0" w:oddVBand="0" w:evenVBand="0" w:oddHBand="0" w:evenHBand="0" w:firstRowFirstColumn="0" w:firstRowLastColumn="0" w:lastRowFirstColumn="0" w:lastRowLastColumn="0"/>
            </w:pPr>
            <w:r>
              <w:t>559</w:t>
            </w:r>
          </w:p>
        </w:tc>
        <w:tc>
          <w:tcPr>
            <w:tcW w:w="1560" w:type="dxa"/>
            <w:tcBorders>
              <w:top w:val="nil"/>
              <w:left w:val="nil"/>
              <w:bottom w:val="single" w:sz="4" w:space="0" w:color="000000" w:themeColor="text1"/>
              <w:right w:val="nil"/>
            </w:tcBorders>
            <w:shd w:val="clear" w:color="auto" w:fill="F2F2F2" w:themeFill="background1" w:themeFillShade="F2"/>
            <w:vAlign w:val="bottom"/>
          </w:tcPr>
          <w:p w14:paraId="2910D6A8" w14:textId="3B2CD91A" w:rsidR="00D4539E" w:rsidRDefault="00D4539E" w:rsidP="00D4539E">
            <w:pPr>
              <w:cnfStyle w:val="000000000000" w:firstRow="0" w:lastRow="0" w:firstColumn="0" w:lastColumn="0" w:oddVBand="0" w:evenVBand="0" w:oddHBand="0" w:evenHBand="0" w:firstRowFirstColumn="0" w:firstRowLastColumn="0" w:lastRowFirstColumn="0" w:lastRowLastColumn="0"/>
            </w:pPr>
            <w:r>
              <w:t>1.55</w:t>
            </w:r>
          </w:p>
        </w:tc>
        <w:tc>
          <w:tcPr>
            <w:tcW w:w="1481" w:type="dxa"/>
            <w:tcBorders>
              <w:top w:val="nil"/>
              <w:left w:val="nil"/>
              <w:bottom w:val="single" w:sz="4" w:space="0" w:color="000000" w:themeColor="text1"/>
              <w:right w:val="nil"/>
            </w:tcBorders>
            <w:shd w:val="clear" w:color="auto" w:fill="F2F2F2" w:themeFill="background1" w:themeFillShade="F2"/>
            <w:vAlign w:val="bottom"/>
          </w:tcPr>
          <w:p w14:paraId="0607B31E" w14:textId="627D2E06" w:rsidR="00D4539E" w:rsidRDefault="00D4539E" w:rsidP="00D4539E">
            <w:pPr>
              <w:cnfStyle w:val="000000000000" w:firstRow="0" w:lastRow="0" w:firstColumn="0" w:lastColumn="0" w:oddVBand="0" w:evenVBand="0" w:oddHBand="0" w:evenHBand="0" w:firstRowFirstColumn="0" w:firstRowLastColumn="0" w:lastRowFirstColumn="0" w:lastRowLastColumn="0"/>
            </w:pPr>
            <w:r>
              <w:t>1.36E-02</w:t>
            </w:r>
          </w:p>
        </w:tc>
        <w:tc>
          <w:tcPr>
            <w:tcW w:w="1366" w:type="dxa"/>
            <w:tcBorders>
              <w:top w:val="nil"/>
              <w:left w:val="nil"/>
              <w:bottom w:val="single" w:sz="4" w:space="0" w:color="000000" w:themeColor="text1"/>
              <w:right w:val="nil"/>
            </w:tcBorders>
            <w:shd w:val="clear" w:color="auto" w:fill="F2F2F2" w:themeFill="background1" w:themeFillShade="F2"/>
            <w:vAlign w:val="bottom"/>
          </w:tcPr>
          <w:p w14:paraId="6A1385B0" w14:textId="0B38AA94" w:rsidR="00D4539E" w:rsidRDefault="00D4539E" w:rsidP="00D4539E">
            <w:pPr>
              <w:cnfStyle w:val="000000000000" w:firstRow="0" w:lastRow="0" w:firstColumn="0" w:lastColumn="0" w:oddVBand="0" w:evenVBand="0" w:oddHBand="0" w:evenHBand="0" w:firstRowFirstColumn="0" w:firstRowLastColumn="0" w:lastRowFirstColumn="0" w:lastRowLastColumn="0"/>
            </w:pPr>
            <w:r>
              <w:t>361.3</w:t>
            </w:r>
          </w:p>
        </w:tc>
      </w:tr>
    </w:tbl>
    <w:p w14:paraId="7A965E1A" w14:textId="77777777" w:rsidR="00C862A9" w:rsidRDefault="00C862A9" w:rsidP="00995CB8"/>
    <w:p w14:paraId="5733FE65" w14:textId="00BD868D" w:rsidR="00C04601" w:rsidRDefault="00443A21" w:rsidP="00C04601">
      <w:r>
        <w:t xml:space="preserve">Using the parameters in </w:t>
      </w:r>
      <w:r>
        <w:fldChar w:fldCharType="begin"/>
      </w:r>
      <w:r>
        <w:instrText xml:space="preserve"> REF _Ref447227143 \h </w:instrText>
      </w:r>
      <w:r>
        <w:fldChar w:fldCharType="separate"/>
      </w:r>
      <w:r w:rsidR="002E45AF">
        <w:t xml:space="preserve">Table </w:t>
      </w:r>
      <w:r w:rsidR="002E45AF">
        <w:rPr>
          <w:noProof/>
        </w:rPr>
        <w:t>2</w:t>
      </w:r>
      <w:r>
        <w:fldChar w:fldCharType="end"/>
      </w:r>
      <w:r>
        <w:t xml:space="preserve">, flow through a leaky </w:t>
      </w:r>
      <w:r w:rsidR="009B7B67">
        <w:t>well</w:t>
      </w:r>
      <w:r>
        <w:t xml:space="preserve"> was </w:t>
      </w:r>
      <w:r w:rsidR="00D4539E">
        <w:t xml:space="preserve">around </w:t>
      </w:r>
      <w:r>
        <w:t>1% of the flow of water from the water bearing aquifer to the production zone through the aquitard</w:t>
      </w:r>
      <w:r w:rsidR="009B7B67">
        <w:t xml:space="preserve"> (</w:t>
      </w:r>
      <w:r w:rsidR="009B7B67">
        <w:fldChar w:fldCharType="begin"/>
      </w:r>
      <w:r w:rsidR="009B7B67">
        <w:instrText xml:space="preserve"> REF _Ref449819265 \h </w:instrText>
      </w:r>
      <w:r w:rsidR="009B7B67">
        <w:fldChar w:fldCharType="separate"/>
      </w:r>
      <w:r w:rsidR="002E45AF">
        <w:t xml:space="preserve">Table </w:t>
      </w:r>
      <w:r w:rsidR="002E45AF">
        <w:rPr>
          <w:noProof/>
        </w:rPr>
        <w:t>4</w:t>
      </w:r>
      <w:r w:rsidR="009B7B67">
        <w:fldChar w:fldCharType="end"/>
      </w:r>
      <w:r w:rsidR="009B7B67">
        <w:t>)</w:t>
      </w:r>
      <w:r>
        <w:t xml:space="preserve">. </w:t>
      </w:r>
      <w:r w:rsidR="009B7B67">
        <w:t xml:space="preserve">The flow through a fully open well </w:t>
      </w:r>
      <w:r w:rsidR="0055324B">
        <w:t xml:space="preserve">was around </w:t>
      </w:r>
      <w:r w:rsidR="007B5651">
        <w:t xml:space="preserve">35 times greater than </w:t>
      </w:r>
      <w:r w:rsidR="0055324B">
        <w:t xml:space="preserve">the regional flow through the </w:t>
      </w:r>
      <w:r w:rsidR="00BD7E23">
        <w:t>aquitard</w:t>
      </w:r>
      <w:r w:rsidR="0055324B">
        <w:t xml:space="preserve">. </w:t>
      </w:r>
    </w:p>
    <w:p w14:paraId="7A4B1336" w14:textId="11F3504F" w:rsidR="00C04601" w:rsidRDefault="00F1081A" w:rsidP="00C04601">
      <w:r>
        <w:t xml:space="preserve">A decreased </w:t>
      </w:r>
      <w:r w:rsidR="0021143B">
        <w:t>aquitard</w:t>
      </w:r>
      <w:r>
        <w:t xml:space="preserve"> conductivity of one order of magnitude resulted in a one order of magnitude higher leakage ratio for scenario 2 and 3. </w:t>
      </w:r>
      <w:r w:rsidR="006D7E65">
        <w:t xml:space="preserve">Flow through the leaky and open wells was </w:t>
      </w:r>
      <w:r w:rsidR="0023768B">
        <w:t>only slightly larger as it is dependent on the relative conductivity between the well and aquitard</w:t>
      </w:r>
      <w:r w:rsidR="006D7E65">
        <w:t>, but aquitard leakage was decreased. Increasing the aquifer conductivity by one order of magnitude also increased the leakage ratio for the open well, but not as much for the leaky well. For the leaky well</w:t>
      </w:r>
      <w:r w:rsidR="00901024">
        <w:t xml:space="preserve"> (</w:t>
      </w:r>
      <w:r w:rsidR="006D7E65">
        <w:t>scenario 2</w:t>
      </w:r>
      <w:r w:rsidR="00901024">
        <w:t>)</w:t>
      </w:r>
      <w:r w:rsidR="006D7E65">
        <w:t xml:space="preserve"> it appears that flow through the well is limited by the well conductivity rather than aquifer transmissivity. The open well (scenario3) </w:t>
      </w:r>
      <w:r w:rsidR="00901024">
        <w:t xml:space="preserve">with the much higher effective well conductivity, is limited by the transmissivity of the aquifers, layers 1 and 3. This behaviour is similar to that described by the analytical equations in </w:t>
      </w:r>
      <w:r w:rsidR="00901024">
        <w:fldChar w:fldCharType="begin"/>
      </w:r>
      <w:r w:rsidR="00901024">
        <w:instrText xml:space="preserve"> REF _Ref449821476 \h </w:instrText>
      </w:r>
      <w:r w:rsidR="00901024">
        <w:fldChar w:fldCharType="separate"/>
      </w:r>
      <w:r w:rsidR="002E45AF">
        <w:t xml:space="preserve">Figure </w:t>
      </w:r>
      <w:r w:rsidR="002E45AF">
        <w:rPr>
          <w:noProof/>
        </w:rPr>
        <w:t>7</w:t>
      </w:r>
      <w:r w:rsidR="00901024">
        <w:fldChar w:fldCharType="end"/>
      </w:r>
      <w:r w:rsidR="00901024">
        <w:t>.</w:t>
      </w:r>
      <w:r w:rsidR="00C04601" w:rsidRPr="00C04601">
        <w:t xml:space="preserve"> </w:t>
      </w:r>
    </w:p>
    <w:p w14:paraId="3C319438" w14:textId="00A5D62F" w:rsidR="005020D3" w:rsidRDefault="006727A7" w:rsidP="00995CB8">
      <w:r>
        <w:t xml:space="preserve">From </w:t>
      </w:r>
      <w:r w:rsidR="00AC625A">
        <w:t xml:space="preserve">the analytical </w:t>
      </w:r>
      <w:r w:rsidR="00E17228">
        <w:t>solution</w:t>
      </w:r>
      <w:r w:rsidR="00AC625A">
        <w:t xml:space="preserve"> </w:t>
      </w:r>
      <w:r w:rsidR="00AC625A" w:rsidRPr="00B01A36">
        <w:t xml:space="preserve">equation </w:t>
      </w:r>
      <w:r w:rsidR="0069236E" w:rsidRPr="00B01A36">
        <w:t>1</w:t>
      </w:r>
      <w:r w:rsidR="00E17228" w:rsidRPr="00B01A36">
        <w:t>5</w:t>
      </w:r>
      <w:r w:rsidR="0069236E" w:rsidRPr="00B01A36">
        <w:t xml:space="preserve"> and the</w:t>
      </w:r>
      <w:r w:rsidR="0069236E">
        <w:t xml:space="preserve"> parameters from </w:t>
      </w:r>
      <w:r w:rsidR="0069236E">
        <w:fldChar w:fldCharType="begin"/>
      </w:r>
      <w:r w:rsidR="0069236E">
        <w:instrText xml:space="preserve"> REF _Ref447227143 \h </w:instrText>
      </w:r>
      <w:r w:rsidR="0069236E">
        <w:fldChar w:fldCharType="separate"/>
      </w:r>
      <w:r w:rsidR="002E45AF">
        <w:t xml:space="preserve">Table </w:t>
      </w:r>
      <w:r w:rsidR="002E45AF">
        <w:rPr>
          <w:noProof/>
        </w:rPr>
        <w:t>2</w:t>
      </w:r>
      <w:r w:rsidR="0069236E">
        <w:fldChar w:fldCharType="end"/>
      </w:r>
      <w:r w:rsidR="0069236E">
        <w:t xml:space="preserve">, the effective hydraulic conductivity of the well required </w:t>
      </w:r>
      <w:r w:rsidR="003E0CF5">
        <w:t xml:space="preserve">so that </w:t>
      </w:r>
      <w:r w:rsidR="003E0CF5" w:rsidRPr="006727A7">
        <w:t>inter</w:t>
      </w:r>
      <w:r w:rsidR="003E0CF5">
        <w:t>-</w:t>
      </w:r>
      <w:r w:rsidR="003E0CF5" w:rsidRPr="006727A7">
        <w:t xml:space="preserve">aquifer flow </w:t>
      </w:r>
      <w:r w:rsidR="003E0CF5">
        <w:t xml:space="preserve">is controlled by aquifer transmissivity, </w:t>
      </w:r>
      <w:r w:rsidR="0069236E" w:rsidRPr="006727A7">
        <w:t xml:space="preserve">is </w:t>
      </w:r>
      <w:r w:rsidR="0069236E" w:rsidRPr="00976756">
        <w:rPr>
          <w:i/>
        </w:rPr>
        <w:t>K</w:t>
      </w:r>
      <w:r w:rsidR="0069236E" w:rsidRPr="006727A7">
        <w:rPr>
          <w:vertAlign w:val="subscript"/>
        </w:rPr>
        <w:t>well</w:t>
      </w:r>
      <w:r w:rsidR="0069236E" w:rsidRPr="006727A7">
        <w:t xml:space="preserve"> = 4x10</w:t>
      </w:r>
      <w:r w:rsidR="0069236E" w:rsidRPr="006727A7">
        <w:rPr>
          <w:vertAlign w:val="superscript"/>
        </w:rPr>
        <w:t>4</w:t>
      </w:r>
      <w:r w:rsidR="00E17228">
        <w:rPr>
          <w:vertAlign w:val="superscript"/>
        </w:rPr>
        <w:t xml:space="preserve"> </w:t>
      </w:r>
      <w:r w:rsidR="00E17228">
        <w:t>(m/d).</w:t>
      </w:r>
      <w:r w:rsidR="0069236E" w:rsidRPr="006727A7">
        <w:t xml:space="preserve"> The effective well conductivity used for Scenario 3, the open well, </w:t>
      </w:r>
      <w:r w:rsidR="00262B50" w:rsidRPr="006727A7">
        <w:t>is greater than this</w:t>
      </w:r>
      <w:r w:rsidRPr="006727A7">
        <w:t xml:space="preserve">, while the effective well conductivity of a leaky bore is likely to be </w:t>
      </w:r>
      <w:r w:rsidR="003E0CF5">
        <w:t xml:space="preserve">many orders of magnitude </w:t>
      </w:r>
      <w:r w:rsidRPr="006727A7">
        <w:t>lower</w:t>
      </w:r>
      <w:r w:rsidR="00262B50" w:rsidRPr="006727A7">
        <w:t>.</w:t>
      </w:r>
    </w:p>
    <w:p w14:paraId="5992ABA9" w14:textId="119CE6D6" w:rsidR="0069236E" w:rsidRPr="00C67736" w:rsidRDefault="00C67736" w:rsidP="00766B48">
      <w:r>
        <w:t xml:space="preserve">From equation </w:t>
      </w:r>
      <w:r w:rsidR="00873703">
        <w:t>8</w:t>
      </w:r>
      <w:r>
        <w:t xml:space="preserve">, </w:t>
      </w:r>
      <w:r w:rsidR="00A13705">
        <w:t xml:space="preserve">621 leaky wells with </w:t>
      </w:r>
      <w:r w:rsidR="00A13705" w:rsidRPr="005759F3">
        <w:rPr>
          <w:i/>
        </w:rPr>
        <w:t>K</w:t>
      </w:r>
      <w:r w:rsidR="00A13705" w:rsidRPr="00A13705">
        <w:rPr>
          <w:vertAlign w:val="subscript"/>
        </w:rPr>
        <w:t>well</w:t>
      </w:r>
      <w:r w:rsidR="00A13705">
        <w:t xml:space="preserve"> of 8.2x10</w:t>
      </w:r>
      <w:r w:rsidR="00A13705" w:rsidRPr="00A13705">
        <w:rPr>
          <w:vertAlign w:val="superscript"/>
        </w:rPr>
        <w:t>-2</w:t>
      </w:r>
      <w:r w:rsidR="00A13705">
        <w:t xml:space="preserve"> are </w:t>
      </w:r>
      <w:r>
        <w:t xml:space="preserve">required per square kilometre to significantly change the average vertical hydraulic conductivity </w:t>
      </w:r>
      <w:r w:rsidR="00A13705">
        <w:t xml:space="preserve">of the regional system. As the flow through the open well is limited by the aquifer transmissivity, the effective </w:t>
      </w:r>
      <w:r w:rsidR="00CF48CD">
        <w:t>hydraulic conductivity of the system is 4x10</w:t>
      </w:r>
      <w:r w:rsidR="00CF48CD">
        <w:rPr>
          <w:vertAlign w:val="superscript"/>
        </w:rPr>
        <w:t>4</w:t>
      </w:r>
      <w:r w:rsidR="00CF48CD">
        <w:t xml:space="preserve"> m/d, based on the limit from </w:t>
      </w:r>
      <w:r w:rsidR="00CF48CD">
        <w:fldChar w:fldCharType="begin"/>
      </w:r>
      <w:r w:rsidR="00CF48CD">
        <w:instrText xml:space="preserve"> REF _Ref449821476 \h </w:instrText>
      </w:r>
      <w:r w:rsidR="00CF48CD">
        <w:fldChar w:fldCharType="separate"/>
      </w:r>
      <w:r w:rsidR="002E45AF">
        <w:t xml:space="preserve">Figure </w:t>
      </w:r>
      <w:r w:rsidR="002E45AF">
        <w:rPr>
          <w:noProof/>
        </w:rPr>
        <w:t>7</w:t>
      </w:r>
      <w:r w:rsidR="00CF48CD">
        <w:fldChar w:fldCharType="end"/>
      </w:r>
      <w:r w:rsidR="00CF48CD">
        <w:t>.</w:t>
      </w:r>
      <w:r w:rsidR="00766B48">
        <w:t xml:space="preserve"> At this effective conductivity, 1.2x10</w:t>
      </w:r>
      <w:r w:rsidR="00766B48">
        <w:rPr>
          <w:vertAlign w:val="superscript"/>
        </w:rPr>
        <w:t>-3</w:t>
      </w:r>
      <w:r w:rsidR="00766B48">
        <w:t xml:space="preserve"> bore per square km are required, which means that the </w:t>
      </w:r>
      <w:r w:rsidR="00FE48F2">
        <w:t>presence of a single open well will impact the rate of water flow between a</w:t>
      </w:r>
      <w:r w:rsidR="006727A7">
        <w:t>lluvial and production aquifers</w:t>
      </w:r>
      <w:r w:rsidR="00766B48">
        <w:t>.</w:t>
      </w:r>
      <w:r w:rsidR="006727A7">
        <w:t xml:space="preserve"> </w:t>
      </w:r>
    </w:p>
    <w:p w14:paraId="6172DF48" w14:textId="121DA0BD" w:rsidR="00995CB8" w:rsidRPr="008C2757" w:rsidRDefault="00104883" w:rsidP="00287A00">
      <w:pPr>
        <w:pStyle w:val="Heading2"/>
      </w:pPr>
      <w:bookmarkStart w:id="519" w:name="_Toc452449152"/>
      <w:r>
        <w:t xml:space="preserve">Metric 2: </w:t>
      </w:r>
      <w:r w:rsidR="00832400" w:rsidRPr="008C2757">
        <w:t>Impacts of the leaky well on aquifer recovery</w:t>
      </w:r>
      <w:bookmarkEnd w:id="519"/>
    </w:p>
    <w:p w14:paraId="6CFC8BF6" w14:textId="7DFB4B48" w:rsidR="00BF162B" w:rsidRDefault="00935F6D" w:rsidP="00BC2FAD">
      <w:r>
        <w:t>The h</w:t>
      </w:r>
      <w:r w:rsidR="00BC190D">
        <w:t xml:space="preserve">eads in layer 1 were </w:t>
      </w:r>
      <w:r w:rsidR="0001116F">
        <w:t xml:space="preserve">minimally </w:t>
      </w:r>
      <w:r w:rsidR="00BC190D">
        <w:t xml:space="preserve">affected by </w:t>
      </w:r>
      <w:r>
        <w:t xml:space="preserve">pumping during </w:t>
      </w:r>
      <w:r w:rsidR="00BC190D">
        <w:t xml:space="preserve">the </w:t>
      </w:r>
      <w:r w:rsidR="00F136F1">
        <w:t>26 year</w:t>
      </w:r>
      <w:r w:rsidR="00BF162B">
        <w:t xml:space="preserve"> </w:t>
      </w:r>
      <w:r>
        <w:t>production period</w:t>
      </w:r>
      <w:r w:rsidR="00BF162B">
        <w:t>. Any head variation was due to the loss of water through the well to layer 3, or diffuse leakage of water through the aquitard, layer 2</w:t>
      </w:r>
      <w:r w:rsidR="00F136F1">
        <w:t xml:space="preserve">. </w:t>
      </w:r>
      <w:r w:rsidR="00D441B3">
        <w:t>Nearl</w:t>
      </w:r>
      <w:r w:rsidR="00A14892">
        <w:t>y</w:t>
      </w:r>
      <w:r w:rsidR="00D441B3">
        <w:t xml:space="preserve"> a</w:t>
      </w:r>
      <w:r w:rsidR="00F136F1" w:rsidRPr="006B59FF">
        <w:t xml:space="preserve">ll </w:t>
      </w:r>
      <w:r w:rsidR="004A01B3" w:rsidRPr="006B59FF">
        <w:t xml:space="preserve">of the </w:t>
      </w:r>
      <w:r w:rsidR="00F136F1" w:rsidRPr="006B59FF">
        <w:t xml:space="preserve">head variation </w:t>
      </w:r>
      <w:r w:rsidR="004A01B3" w:rsidRPr="006B59FF">
        <w:t xml:space="preserve">that was observed </w:t>
      </w:r>
      <w:r w:rsidR="00F136F1" w:rsidRPr="006B59FF">
        <w:t xml:space="preserve">occurred </w:t>
      </w:r>
      <w:r w:rsidR="00E53521" w:rsidRPr="006B59FF">
        <w:t xml:space="preserve">during </w:t>
      </w:r>
      <w:r w:rsidR="00F136F1" w:rsidRPr="006B59FF">
        <w:t xml:space="preserve">the </w:t>
      </w:r>
      <w:r w:rsidR="00E53521" w:rsidRPr="006B59FF">
        <w:t>post-</w:t>
      </w:r>
      <w:r w:rsidR="00F136F1" w:rsidRPr="006B59FF">
        <w:t>production period</w:t>
      </w:r>
      <w:r w:rsidR="00BF162B">
        <w:t xml:space="preserve">. </w:t>
      </w:r>
    </w:p>
    <w:p w14:paraId="104011B7" w14:textId="742F2112" w:rsidR="006D38D1" w:rsidRDefault="006D38D1" w:rsidP="00BC2FAD">
      <w:r>
        <w:t xml:space="preserve">Layer 3 was drawn down during the production period and had an observable recovery period after production ceased. </w:t>
      </w:r>
      <w:r w:rsidR="00D3789C">
        <w:t xml:space="preserve">After recovery, there is a very slow decline in head due to flow out of the constant head boundary at the furthest extent of the model. In reality this would not occur due to groundwater recharge at the model surface and inflows to the system from adjacent parts of the regional aquifer system. </w:t>
      </w:r>
      <w:r w:rsidR="00CA5904">
        <w:t>Groundwater recharge and interactions between different parts of the larger system will be explored in the regional groundwater modelling</w:t>
      </w:r>
      <w:r w:rsidR="006A5A8F">
        <w:t xml:space="preserve"> activity of this project</w:t>
      </w:r>
      <w:r w:rsidR="00CA5904">
        <w:t>.</w:t>
      </w:r>
    </w:p>
    <w:p w14:paraId="743DAEC6" w14:textId="60B94ABB" w:rsidR="004262F9" w:rsidRDefault="004262F9" w:rsidP="004262F9">
      <w:pPr>
        <w:pStyle w:val="Heading3"/>
      </w:pPr>
      <w:bookmarkStart w:id="520" w:name="_Toc452449153"/>
      <w:r>
        <w:t>Scenario 1: baseline without leak</w:t>
      </w:r>
      <w:r w:rsidR="00A4506D">
        <w:t>y well</w:t>
      </w:r>
      <w:r>
        <w:t>s</w:t>
      </w:r>
      <w:bookmarkEnd w:id="520"/>
    </w:p>
    <w:p w14:paraId="472F0F2B" w14:textId="6F8F620B" w:rsidR="002B27AF" w:rsidRDefault="002B27AF" w:rsidP="00BC2FAD">
      <w:r>
        <w:t>For the system with a perfectly sealed well, there was no discernible variation in heads in layer 1</w:t>
      </w:r>
      <w:r w:rsidR="001801C3">
        <w:t xml:space="preserve"> </w:t>
      </w:r>
      <w:r w:rsidR="00A4506D">
        <w:t xml:space="preserve">after production ceased </w:t>
      </w:r>
      <w:r w:rsidR="001801C3">
        <w:t>(</w:t>
      </w:r>
      <w:r w:rsidR="001801C3">
        <w:fldChar w:fldCharType="begin"/>
      </w:r>
      <w:r w:rsidR="001801C3">
        <w:instrText xml:space="preserve"> REF _Ref450218262 \h </w:instrText>
      </w:r>
      <w:r w:rsidR="001801C3">
        <w:fldChar w:fldCharType="separate"/>
      </w:r>
      <w:r w:rsidR="002E45AF">
        <w:t xml:space="preserve">Figure </w:t>
      </w:r>
      <w:r w:rsidR="002E45AF">
        <w:rPr>
          <w:noProof/>
        </w:rPr>
        <w:t>10</w:t>
      </w:r>
      <w:r w:rsidR="001801C3">
        <w:fldChar w:fldCharType="end"/>
      </w:r>
      <w:r>
        <w:t>).</w:t>
      </w:r>
      <w:r w:rsidR="001801C3">
        <w:t xml:space="preserve"> Recovery of the layer 3 production aquifer in this example occurred after around two years (</w:t>
      </w:r>
      <w:r w:rsidR="001801C3">
        <w:fldChar w:fldCharType="begin"/>
      </w:r>
      <w:r w:rsidR="001801C3">
        <w:instrText xml:space="preserve"> REF _Ref450218362 \h </w:instrText>
      </w:r>
      <w:r w:rsidR="001801C3">
        <w:fldChar w:fldCharType="separate"/>
      </w:r>
      <w:r w:rsidR="002E45AF">
        <w:t xml:space="preserve">Figure </w:t>
      </w:r>
      <w:r w:rsidR="002E45AF">
        <w:rPr>
          <w:noProof/>
        </w:rPr>
        <w:t>11</w:t>
      </w:r>
      <w:r w:rsidR="001801C3">
        <w:fldChar w:fldCharType="end"/>
      </w:r>
      <w:r w:rsidR="001801C3">
        <w:t>).</w:t>
      </w:r>
      <w:r w:rsidR="001431DD">
        <w:t xml:space="preserve"> Drawdown of the aquifer was observed at distances of up to, and presumably over, 100 metres, but not as far as one kilometre.</w:t>
      </w:r>
      <w:r w:rsidR="00233613">
        <w:t xml:space="preserve"> </w:t>
      </w:r>
      <w:r w:rsidR="006C2F04">
        <w:t xml:space="preserve">At one kilometre distance from the production well, the starting head is higher, due to the initial head input from the steady state model run. </w:t>
      </w:r>
      <w:r w:rsidR="002E41D3">
        <w:t>T</w:t>
      </w:r>
      <w:r w:rsidR="006C2F04">
        <w:t xml:space="preserve">he </w:t>
      </w:r>
      <w:r w:rsidR="002E41D3">
        <w:t xml:space="preserve">long term equilibrium </w:t>
      </w:r>
      <w:r w:rsidR="006C2F04">
        <w:t xml:space="preserve">head </w:t>
      </w:r>
      <w:r w:rsidR="008F58A4">
        <w:t>near the well in</w:t>
      </w:r>
      <w:r w:rsidR="006C2F04">
        <w:t xml:space="preserve"> layer 3 was slightly higher than at the model boundaries due to the slow leakage of water from layer 1 through the aquitard. Over time, this head declines as the water replenishes the drawdown caused by production.</w:t>
      </w:r>
    </w:p>
    <w:p w14:paraId="48603A34" w14:textId="10C5062F" w:rsidR="009470DC" w:rsidRDefault="009470DC" w:rsidP="00BC2FAD"/>
    <w:p w14:paraId="2BD32ECD" w14:textId="114A85AF" w:rsidR="00CF4FC0" w:rsidRDefault="00CF4FC0" w:rsidP="00277595">
      <w:pPr>
        <w:jc w:val="center"/>
      </w:pPr>
      <w:r>
        <w:rPr>
          <w:noProof/>
        </w:rPr>
        <w:drawing>
          <wp:inline distT="0" distB="0" distL="0" distR="0" wp14:anchorId="72F73D5F" wp14:editId="03D51BD8">
            <wp:extent cx="5018400" cy="3218400"/>
            <wp:effectExtent l="0" t="0" r="0" b="1270"/>
            <wp:docPr id="15" name="Picture 15" descr="Chart of groundwater head through time"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10.tiff"/>
                    <pic:cNvPicPr/>
                  </pic:nvPicPr>
                  <pic:blipFill>
                    <a:blip r:embed="rId26">
                      <a:extLst>
                        <a:ext uri="{28A0092B-C50C-407E-A947-70E740481C1C}">
                          <a14:useLocalDpi xmlns:a14="http://schemas.microsoft.com/office/drawing/2010/main" val="0"/>
                        </a:ext>
                      </a:extLst>
                    </a:blip>
                    <a:stretch>
                      <a:fillRect/>
                    </a:stretch>
                  </pic:blipFill>
                  <pic:spPr>
                    <a:xfrm>
                      <a:off x="0" y="0"/>
                      <a:ext cx="5018400" cy="3218400"/>
                    </a:xfrm>
                    <a:prstGeom prst="rect">
                      <a:avLst/>
                    </a:prstGeom>
                  </pic:spPr>
                </pic:pic>
              </a:graphicData>
            </a:graphic>
          </wp:inline>
        </w:drawing>
      </w:r>
    </w:p>
    <w:p w14:paraId="5523D8AE" w14:textId="61D04A5B" w:rsidR="00486C7F" w:rsidRDefault="00486C7F" w:rsidP="00D562B7">
      <w:pPr>
        <w:pStyle w:val="TableCaption"/>
      </w:pPr>
      <w:bookmarkStart w:id="521" w:name="_Ref450218262"/>
      <w:bookmarkStart w:id="522" w:name="_Ref450218222"/>
      <w:bookmarkStart w:id="523" w:name="_Toc508266516"/>
      <w:r>
        <w:t xml:space="preserve">Figure </w:t>
      </w:r>
      <w:r w:rsidR="00ED4C1C">
        <w:fldChar w:fldCharType="begin"/>
      </w:r>
      <w:r w:rsidR="00ED4C1C">
        <w:instrText xml:space="preserve"> SEQ Figure \* ARABIC </w:instrText>
      </w:r>
      <w:r w:rsidR="00ED4C1C">
        <w:fldChar w:fldCharType="separate"/>
      </w:r>
      <w:r w:rsidR="002E45AF">
        <w:rPr>
          <w:noProof/>
        </w:rPr>
        <w:t>10</w:t>
      </w:r>
      <w:r w:rsidR="00ED4C1C">
        <w:rPr>
          <w:noProof/>
        </w:rPr>
        <w:fldChar w:fldCharType="end"/>
      </w:r>
      <w:bookmarkEnd w:id="521"/>
      <w:r>
        <w:t xml:space="preserve"> Time series of groundwater head </w:t>
      </w:r>
      <w:r w:rsidR="00654294">
        <w:t xml:space="preserve">in layer 1 </w:t>
      </w:r>
      <w:r>
        <w:t xml:space="preserve">at the production </w:t>
      </w:r>
      <w:r w:rsidR="007D1F6B">
        <w:t xml:space="preserve">well and </w:t>
      </w:r>
      <w:r w:rsidR="00A4506D">
        <w:t xml:space="preserve">at </w:t>
      </w:r>
      <w:r w:rsidR="007D1F6B">
        <w:t xml:space="preserve">10 m, 100 m, 1 km, and 10 km from </w:t>
      </w:r>
      <w:r w:rsidR="00654294">
        <w:t>the</w:t>
      </w:r>
      <w:r w:rsidR="007D1F6B">
        <w:t xml:space="preserve"> </w:t>
      </w:r>
      <w:r w:rsidR="00A07243">
        <w:t>production wel</w:t>
      </w:r>
      <w:r w:rsidR="002B27AF">
        <w:t>l</w:t>
      </w:r>
      <w:r w:rsidR="00007BD6">
        <w:t>, scenario 1 – perfectly sealed well</w:t>
      </w:r>
      <w:r w:rsidR="00A07243">
        <w:t>.</w:t>
      </w:r>
      <w:bookmarkEnd w:id="522"/>
      <w:r w:rsidR="00986E62">
        <w:t xml:space="preserve"> The year 2040 is the start of the post-production phase.</w:t>
      </w:r>
      <w:bookmarkEnd w:id="523"/>
    </w:p>
    <w:p w14:paraId="1ECDB84B" w14:textId="77777777" w:rsidR="00486C7F" w:rsidRDefault="00486C7F" w:rsidP="00BC2FAD"/>
    <w:p w14:paraId="1C860CB2" w14:textId="0D5B7C9E" w:rsidR="00F554C6" w:rsidRDefault="00CF4FC0" w:rsidP="00BC2FAD">
      <w:r>
        <w:rPr>
          <w:noProof/>
        </w:rPr>
        <w:drawing>
          <wp:inline distT="0" distB="0" distL="0" distR="0" wp14:anchorId="09C8677C" wp14:editId="0B187B33">
            <wp:extent cx="4993200" cy="3204000"/>
            <wp:effectExtent l="0" t="0" r="0" b="0"/>
            <wp:docPr id="16" name="Picture 16" descr="Chart of groundwater head through time"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11.tiff"/>
                    <pic:cNvPicPr/>
                  </pic:nvPicPr>
                  <pic:blipFill>
                    <a:blip r:embed="rId27">
                      <a:extLst>
                        <a:ext uri="{28A0092B-C50C-407E-A947-70E740481C1C}">
                          <a14:useLocalDpi xmlns:a14="http://schemas.microsoft.com/office/drawing/2010/main" val="0"/>
                        </a:ext>
                      </a:extLst>
                    </a:blip>
                    <a:stretch>
                      <a:fillRect/>
                    </a:stretch>
                  </pic:blipFill>
                  <pic:spPr>
                    <a:xfrm>
                      <a:off x="0" y="0"/>
                      <a:ext cx="4993200" cy="3204000"/>
                    </a:xfrm>
                    <a:prstGeom prst="rect">
                      <a:avLst/>
                    </a:prstGeom>
                  </pic:spPr>
                </pic:pic>
              </a:graphicData>
            </a:graphic>
          </wp:inline>
        </w:drawing>
      </w:r>
    </w:p>
    <w:p w14:paraId="0C802986" w14:textId="0474B4C6" w:rsidR="00FC7C23" w:rsidRDefault="00FC7C23" w:rsidP="00D562B7">
      <w:pPr>
        <w:pStyle w:val="TableCaption"/>
      </w:pPr>
      <w:bookmarkStart w:id="524" w:name="_Ref450218362"/>
      <w:bookmarkStart w:id="525" w:name="_Toc508266517"/>
      <w:r>
        <w:t xml:space="preserve">Figure </w:t>
      </w:r>
      <w:r w:rsidR="00ED4C1C">
        <w:fldChar w:fldCharType="begin"/>
      </w:r>
      <w:r w:rsidR="00ED4C1C">
        <w:instrText xml:space="preserve"> SEQ Figure \* ARABIC </w:instrText>
      </w:r>
      <w:r w:rsidR="00ED4C1C">
        <w:fldChar w:fldCharType="separate"/>
      </w:r>
      <w:r w:rsidR="002E45AF">
        <w:rPr>
          <w:noProof/>
        </w:rPr>
        <w:t>11</w:t>
      </w:r>
      <w:r w:rsidR="00ED4C1C">
        <w:rPr>
          <w:noProof/>
        </w:rPr>
        <w:fldChar w:fldCharType="end"/>
      </w:r>
      <w:bookmarkEnd w:id="524"/>
      <w:r>
        <w:t xml:space="preserve"> Time series of groundwater head in layer 3 at the production well and 10 m, 100 m, 1 km, and 10 km from the production well, scenario 1 – perfectly sealed well.</w:t>
      </w:r>
      <w:bookmarkEnd w:id="525"/>
    </w:p>
    <w:p w14:paraId="5B3C7755" w14:textId="77777777" w:rsidR="00486C7F" w:rsidRDefault="00486C7F" w:rsidP="00BC2FAD"/>
    <w:p w14:paraId="040FA085" w14:textId="68C8E979" w:rsidR="004262F9" w:rsidRDefault="004262F9" w:rsidP="004262F9">
      <w:pPr>
        <w:pStyle w:val="Heading3"/>
      </w:pPr>
      <w:bookmarkStart w:id="526" w:name="_Toc452449154"/>
      <w:r>
        <w:t>Scenario 2: Leaky well</w:t>
      </w:r>
      <w:bookmarkEnd w:id="526"/>
    </w:p>
    <w:p w14:paraId="162A23E5" w14:textId="14B93EC1" w:rsidR="00145A3A" w:rsidRDefault="008F00FA" w:rsidP="007939E0">
      <w:r>
        <w:t>The head time series for scenario 2, the leaky well</w:t>
      </w:r>
      <w:r w:rsidR="00986E62">
        <w:t xml:space="preserve"> (</w:t>
      </w:r>
      <w:r w:rsidR="00986E62">
        <w:fldChar w:fldCharType="begin"/>
      </w:r>
      <w:r w:rsidR="00986E62">
        <w:instrText xml:space="preserve"> REF _Ref450221305 \h  \* MERGEFORMAT </w:instrText>
      </w:r>
      <w:r w:rsidR="00986E62">
        <w:fldChar w:fldCharType="separate"/>
      </w:r>
      <w:r w:rsidR="002E45AF">
        <w:t xml:space="preserve">Figure </w:t>
      </w:r>
      <w:r w:rsidR="002E45AF">
        <w:rPr>
          <w:noProof/>
        </w:rPr>
        <w:t>12</w:t>
      </w:r>
      <w:r w:rsidR="00986E62">
        <w:fldChar w:fldCharType="end"/>
      </w:r>
      <w:r w:rsidR="00986E62">
        <w:t xml:space="preserve">, </w:t>
      </w:r>
      <w:r w:rsidR="00986E62">
        <w:fldChar w:fldCharType="begin"/>
      </w:r>
      <w:r w:rsidR="00986E62">
        <w:instrText xml:space="preserve"> REF _Ref450221306 \h  \* MERGEFORMAT </w:instrText>
      </w:r>
      <w:r w:rsidR="00986E62">
        <w:fldChar w:fldCharType="separate"/>
      </w:r>
      <w:r w:rsidR="002E45AF">
        <w:t xml:space="preserve">Figure </w:t>
      </w:r>
      <w:r w:rsidR="002E45AF">
        <w:rPr>
          <w:noProof/>
        </w:rPr>
        <w:t>13</w:t>
      </w:r>
      <w:r w:rsidR="00986E62">
        <w:fldChar w:fldCharType="end"/>
      </w:r>
      <w:r w:rsidR="00986E62">
        <w:t>)</w:t>
      </w:r>
      <w:r>
        <w:t>, was almost identical to scenario 1</w:t>
      </w:r>
      <w:r w:rsidR="00986E62">
        <w:t xml:space="preserve"> (</w:t>
      </w:r>
      <w:r w:rsidR="00986E62">
        <w:fldChar w:fldCharType="begin"/>
      </w:r>
      <w:r w:rsidR="00986E62">
        <w:instrText xml:space="preserve"> REF _Ref450218262 \h </w:instrText>
      </w:r>
      <w:r w:rsidR="00986E62">
        <w:fldChar w:fldCharType="separate"/>
      </w:r>
      <w:r w:rsidR="002E45AF">
        <w:t xml:space="preserve">Figure </w:t>
      </w:r>
      <w:r w:rsidR="002E45AF">
        <w:rPr>
          <w:noProof/>
        </w:rPr>
        <w:t>10</w:t>
      </w:r>
      <w:r w:rsidR="00986E62">
        <w:fldChar w:fldCharType="end"/>
      </w:r>
      <w:r w:rsidR="00986E62">
        <w:t>,</w:t>
      </w:r>
      <w:r w:rsidR="00986E62" w:rsidRPr="00986E62">
        <w:t xml:space="preserve"> </w:t>
      </w:r>
      <w:r w:rsidR="00986E62">
        <w:fldChar w:fldCharType="begin"/>
      </w:r>
      <w:r w:rsidR="00986E62">
        <w:instrText xml:space="preserve"> REF _Ref450218362 \h </w:instrText>
      </w:r>
      <w:r w:rsidR="00986E62">
        <w:fldChar w:fldCharType="separate"/>
      </w:r>
      <w:r w:rsidR="002E45AF">
        <w:t xml:space="preserve">Figure </w:t>
      </w:r>
      <w:r w:rsidR="002E45AF">
        <w:rPr>
          <w:noProof/>
        </w:rPr>
        <w:t>11</w:t>
      </w:r>
      <w:r w:rsidR="00986E62">
        <w:fldChar w:fldCharType="end"/>
      </w:r>
      <w:r w:rsidR="00986E62">
        <w:t xml:space="preserve">). </w:t>
      </w:r>
      <w:r w:rsidR="00E409DA">
        <w:t xml:space="preserve">Note the very small y-axis scale in </w:t>
      </w:r>
      <w:r w:rsidR="00E409DA">
        <w:fldChar w:fldCharType="begin"/>
      </w:r>
      <w:r w:rsidR="00E409DA">
        <w:instrText xml:space="preserve"> REF _Ref450221305 \h </w:instrText>
      </w:r>
      <w:r w:rsidR="007939E0">
        <w:instrText xml:space="preserve"> \* MERGEFORMAT </w:instrText>
      </w:r>
      <w:r w:rsidR="00E409DA">
        <w:fldChar w:fldCharType="separate"/>
      </w:r>
      <w:r w:rsidR="002E45AF">
        <w:t xml:space="preserve">Figure </w:t>
      </w:r>
      <w:r w:rsidR="002E45AF">
        <w:rPr>
          <w:noProof/>
        </w:rPr>
        <w:t>12</w:t>
      </w:r>
      <w:r w:rsidR="00E409DA">
        <w:fldChar w:fldCharType="end"/>
      </w:r>
      <w:r w:rsidR="00E409DA">
        <w:t>.</w:t>
      </w:r>
    </w:p>
    <w:p w14:paraId="42465619" w14:textId="3119DF43" w:rsidR="00CF4FC0" w:rsidRDefault="00CF4FC0" w:rsidP="00741D62">
      <w:pPr>
        <w:jc w:val="center"/>
      </w:pPr>
      <w:r>
        <w:rPr>
          <w:noProof/>
        </w:rPr>
        <w:drawing>
          <wp:inline distT="0" distB="0" distL="0" distR="0" wp14:anchorId="4896DA84" wp14:editId="453B1A2F">
            <wp:extent cx="5000400" cy="3207600"/>
            <wp:effectExtent l="0" t="0" r="0" b="0"/>
            <wp:docPr id="26" name="Picture 26" descr="Time series of groundwater head."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12.tiff"/>
                    <pic:cNvPicPr/>
                  </pic:nvPicPr>
                  <pic:blipFill>
                    <a:blip r:embed="rId28">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2C23988B" w14:textId="14229F72" w:rsidR="00932BF1" w:rsidRDefault="00932BF1" w:rsidP="00D562B7">
      <w:pPr>
        <w:pStyle w:val="TableCaption"/>
      </w:pPr>
      <w:bookmarkStart w:id="527" w:name="_Ref450221305"/>
      <w:bookmarkStart w:id="528" w:name="_Toc508266518"/>
      <w:r>
        <w:t xml:space="preserve">Figure </w:t>
      </w:r>
      <w:r w:rsidR="00ED4C1C">
        <w:fldChar w:fldCharType="begin"/>
      </w:r>
      <w:r w:rsidR="00ED4C1C">
        <w:instrText xml:space="preserve"> SEQ Figure \* ARABIC </w:instrText>
      </w:r>
      <w:r w:rsidR="00ED4C1C">
        <w:fldChar w:fldCharType="separate"/>
      </w:r>
      <w:r w:rsidR="002E45AF">
        <w:rPr>
          <w:noProof/>
        </w:rPr>
        <w:t>12</w:t>
      </w:r>
      <w:r w:rsidR="00ED4C1C">
        <w:rPr>
          <w:noProof/>
        </w:rPr>
        <w:fldChar w:fldCharType="end"/>
      </w:r>
      <w:bookmarkEnd w:id="527"/>
      <w:r>
        <w:t xml:space="preserve"> Time series of groundwater head in layer 1 at the production well and 10 m, 100 m, 1 km, and 10 km from the production well, scenario 2 – leaky well.</w:t>
      </w:r>
      <w:bookmarkEnd w:id="528"/>
    </w:p>
    <w:p w14:paraId="4015136C" w14:textId="77777777" w:rsidR="00A4506D" w:rsidRDefault="00A4506D" w:rsidP="00976756">
      <w:pPr>
        <w:pStyle w:val="Body"/>
      </w:pPr>
    </w:p>
    <w:p w14:paraId="1A871487" w14:textId="1C7089CB" w:rsidR="00F554C6" w:rsidRDefault="00CF4FC0" w:rsidP="00741D62">
      <w:pPr>
        <w:jc w:val="center"/>
      </w:pPr>
      <w:r>
        <w:rPr>
          <w:noProof/>
        </w:rPr>
        <w:drawing>
          <wp:inline distT="0" distB="0" distL="0" distR="0" wp14:anchorId="246304AB" wp14:editId="6BF05A87">
            <wp:extent cx="5000400" cy="3207600"/>
            <wp:effectExtent l="0" t="0" r="0" b="0"/>
            <wp:docPr id="31" name="Picture 31" descr="Time series of groundwater head"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13.tiff"/>
                    <pic:cNvPicPr/>
                  </pic:nvPicPr>
                  <pic:blipFill>
                    <a:blip r:embed="rId29">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1BCCADA8" w14:textId="04624C4C" w:rsidR="00932BF1" w:rsidRDefault="00932BF1" w:rsidP="00D562B7">
      <w:pPr>
        <w:pStyle w:val="TableCaption"/>
      </w:pPr>
      <w:bookmarkStart w:id="529" w:name="_Ref450221306"/>
      <w:bookmarkStart w:id="530" w:name="_Toc508266519"/>
      <w:r>
        <w:t xml:space="preserve">Figure </w:t>
      </w:r>
      <w:r w:rsidR="00ED4C1C">
        <w:fldChar w:fldCharType="begin"/>
      </w:r>
      <w:r w:rsidR="00ED4C1C">
        <w:instrText xml:space="preserve"> SEQ Figure \* ARABIC </w:instrText>
      </w:r>
      <w:r w:rsidR="00ED4C1C">
        <w:fldChar w:fldCharType="separate"/>
      </w:r>
      <w:r w:rsidR="002E45AF">
        <w:rPr>
          <w:noProof/>
        </w:rPr>
        <w:t>13</w:t>
      </w:r>
      <w:r w:rsidR="00ED4C1C">
        <w:rPr>
          <w:noProof/>
        </w:rPr>
        <w:fldChar w:fldCharType="end"/>
      </w:r>
      <w:bookmarkEnd w:id="529"/>
      <w:r>
        <w:t xml:space="preserve"> Time series of groundwater head in layer 3 at the production well and 10 m, 100 m, 1 km, and</w:t>
      </w:r>
      <w:r w:rsidR="002B27AF">
        <w:t xml:space="preserve"> 10 km from the production well</w:t>
      </w:r>
      <w:r>
        <w:t>, scenario 2 – leaky well.</w:t>
      </w:r>
      <w:bookmarkEnd w:id="530"/>
    </w:p>
    <w:p w14:paraId="3E4D6F75" w14:textId="77777777" w:rsidR="00644E2F" w:rsidRDefault="00644E2F" w:rsidP="00644E2F">
      <w:pPr>
        <w:pStyle w:val="Body"/>
      </w:pPr>
    </w:p>
    <w:p w14:paraId="7873B348" w14:textId="4E930DB4" w:rsidR="004262F9" w:rsidRDefault="004262F9" w:rsidP="004262F9">
      <w:pPr>
        <w:pStyle w:val="Heading3"/>
      </w:pPr>
      <w:bookmarkStart w:id="531" w:name="_Toc452449155"/>
      <w:r>
        <w:t>Scenario 3: Open well</w:t>
      </w:r>
      <w:bookmarkEnd w:id="531"/>
    </w:p>
    <w:p w14:paraId="241D6AEB" w14:textId="16879A0B" w:rsidR="00225909" w:rsidRDefault="00225909" w:rsidP="007939E0">
      <w:r>
        <w:t>For the open well scenario, there is a rapid decline in the groundwater heads of layer 1 at distances from the well of 100 m or less (</w:t>
      </w:r>
      <w:r>
        <w:fldChar w:fldCharType="begin"/>
      </w:r>
      <w:r>
        <w:instrText xml:space="preserve"> REF _Ref450293434 \h </w:instrText>
      </w:r>
      <w:r w:rsidR="007939E0">
        <w:instrText xml:space="preserve"> \* MERGEFORMAT </w:instrText>
      </w:r>
      <w:r>
        <w:fldChar w:fldCharType="separate"/>
      </w:r>
      <w:r w:rsidR="002E45AF">
        <w:t xml:space="preserve">Figure </w:t>
      </w:r>
      <w:r w:rsidR="002E45AF">
        <w:rPr>
          <w:noProof/>
        </w:rPr>
        <w:t>14</w:t>
      </w:r>
      <w:r>
        <w:fldChar w:fldCharType="end"/>
      </w:r>
      <w:r>
        <w:t xml:space="preserve">). The initial head decline is </w:t>
      </w:r>
      <w:r w:rsidR="007D7FD8">
        <w:t xml:space="preserve">around five metres at the well, two metres at a distance of ten metres from the well, and around 1 metre 100 m from the well. After the initial decline, all locations up to 1 km from the open well slowly </w:t>
      </w:r>
      <w:r w:rsidR="00976E7C">
        <w:t>decline due to a slow leakage through the well and the regional aquitard.</w:t>
      </w:r>
      <w:r w:rsidR="008F58A4">
        <w:t xml:space="preserve"> </w:t>
      </w:r>
      <w:r w:rsidR="00986E62">
        <w:t>In 2050, 1</w:t>
      </w:r>
      <w:r w:rsidR="008F58A4">
        <w:t>0 years post-production, all areas of the water bearing aquifer other than the constant head boundary have been drawn down to less than their pre-production levels</w:t>
      </w:r>
      <w:r w:rsidR="00763DDA">
        <w:t>, ranging from five metres close to the open well to around half a metre at one kilometre from the well</w:t>
      </w:r>
      <w:r w:rsidR="008F58A4">
        <w:t xml:space="preserve">. In </w:t>
      </w:r>
      <w:r w:rsidR="00763DDA">
        <w:t>a real situation</w:t>
      </w:r>
      <w:r w:rsidR="008F58A4">
        <w:t xml:space="preserve">, </w:t>
      </w:r>
      <w:r w:rsidR="00763DDA">
        <w:t>diffuse recharge is likely to compensate for the declines in the aquifer more distant from the open well. Recharge will be included in the regional groundwater model which is designed to investigate the cumulative impacts of a number of leaky wells in a CSG development.</w:t>
      </w:r>
    </w:p>
    <w:p w14:paraId="73AF4E2F" w14:textId="00FF6ECB" w:rsidR="00763DDA" w:rsidRDefault="00C06A9C" w:rsidP="007939E0">
      <w:r>
        <w:t>As for the other scenarios, t</w:t>
      </w:r>
      <w:r w:rsidR="00976E7C">
        <w:t>he groundwater head in layer 3 is again influenced by pumping in the production phase to a distance of over 100 m and less than 1 km (</w:t>
      </w:r>
      <w:r w:rsidR="00225909">
        <w:fldChar w:fldCharType="begin"/>
      </w:r>
      <w:r w:rsidR="00225909">
        <w:instrText xml:space="preserve"> REF _Ref450293440 \h </w:instrText>
      </w:r>
      <w:r w:rsidR="007939E0">
        <w:instrText xml:space="preserve"> \* MERGEFORMAT </w:instrText>
      </w:r>
      <w:r w:rsidR="00225909">
        <w:fldChar w:fldCharType="separate"/>
      </w:r>
      <w:r w:rsidR="002E45AF">
        <w:t xml:space="preserve">Figure </w:t>
      </w:r>
      <w:r w:rsidR="002E45AF">
        <w:rPr>
          <w:noProof/>
        </w:rPr>
        <w:t>15</w:t>
      </w:r>
      <w:r w:rsidR="00225909">
        <w:fldChar w:fldCharType="end"/>
      </w:r>
      <w:r w:rsidR="00976E7C">
        <w:t>)</w:t>
      </w:r>
      <w:r w:rsidR="00225909">
        <w:t xml:space="preserve">. </w:t>
      </w:r>
      <w:r>
        <w:t xml:space="preserve">There is a rapid initial recovery of groundwater heads in layer 3 in the first few </w:t>
      </w:r>
      <w:r w:rsidR="00AA25E7">
        <w:t>days</w:t>
      </w:r>
      <w:r>
        <w:t xml:space="preserve"> after production pumping had ceased.</w:t>
      </w:r>
      <w:r w:rsidR="00AA25E7">
        <w:t xml:space="preserve"> After the initial recovery, the piezometric head continues to </w:t>
      </w:r>
      <w:r w:rsidR="007D148A">
        <w:t>recover to levels above the initial pre-production heads for around two years.</w:t>
      </w:r>
      <w:r w:rsidR="008F58A4">
        <w:t xml:space="preserve"> </w:t>
      </w:r>
      <w:r w:rsidR="00763DDA">
        <w:t>The new, higher heads are up to 22 m higher than pre-production levels at the open well, and around ten metres higher at a distance of 100 m from the well. Compared with the five metre head increase from scenario 1 (</w:t>
      </w:r>
      <w:r w:rsidR="00763DDA">
        <w:fldChar w:fldCharType="begin"/>
      </w:r>
      <w:r w:rsidR="00763DDA">
        <w:instrText xml:space="preserve"> REF _Ref450218362 \h </w:instrText>
      </w:r>
      <w:r w:rsidR="007939E0">
        <w:instrText xml:space="preserve"> \* MERGEFORMAT </w:instrText>
      </w:r>
      <w:r w:rsidR="00763DDA">
        <w:fldChar w:fldCharType="separate"/>
      </w:r>
      <w:r w:rsidR="002E45AF">
        <w:t xml:space="preserve">Figure </w:t>
      </w:r>
      <w:r w:rsidR="002E45AF">
        <w:rPr>
          <w:noProof/>
        </w:rPr>
        <w:t>11</w:t>
      </w:r>
      <w:r w:rsidR="00763DDA">
        <w:fldChar w:fldCharType="end"/>
      </w:r>
      <w:r w:rsidR="00763DDA">
        <w:t>) which was due solely to diffuse leakage through the aquifer, there is a maximum 15 m head increase which is attributable to the presence of the open well.</w:t>
      </w:r>
    </w:p>
    <w:p w14:paraId="555D318B" w14:textId="5E00D212" w:rsidR="00F554C6" w:rsidRDefault="00CF4FC0" w:rsidP="00741D62">
      <w:pPr>
        <w:jc w:val="center"/>
      </w:pPr>
      <w:r>
        <w:rPr>
          <w:noProof/>
        </w:rPr>
        <w:drawing>
          <wp:inline distT="0" distB="0" distL="0" distR="0" wp14:anchorId="34BE12BC" wp14:editId="349DF971">
            <wp:extent cx="5000400" cy="3207600"/>
            <wp:effectExtent l="0" t="0" r="0" b="0"/>
            <wp:docPr id="64" name="Picture 64" descr="Time series of groundwater head"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14.tiff"/>
                    <pic:cNvPicPr/>
                  </pic:nvPicPr>
                  <pic:blipFill>
                    <a:blip r:embed="rId30">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531CB17E" w14:textId="41191018" w:rsidR="00657D39" w:rsidRDefault="00657D39" w:rsidP="00D562B7">
      <w:pPr>
        <w:pStyle w:val="TableCaption"/>
      </w:pPr>
      <w:bookmarkStart w:id="532" w:name="_Ref450293434"/>
      <w:bookmarkStart w:id="533" w:name="_Toc508266520"/>
      <w:r>
        <w:t xml:space="preserve">Figure </w:t>
      </w:r>
      <w:r w:rsidR="00ED4C1C">
        <w:fldChar w:fldCharType="begin"/>
      </w:r>
      <w:r w:rsidR="00ED4C1C">
        <w:instrText xml:space="preserve"> SEQ Figure \* ARABIC </w:instrText>
      </w:r>
      <w:r w:rsidR="00ED4C1C">
        <w:fldChar w:fldCharType="separate"/>
      </w:r>
      <w:r w:rsidR="002E45AF">
        <w:rPr>
          <w:noProof/>
        </w:rPr>
        <w:t>14</w:t>
      </w:r>
      <w:r w:rsidR="00ED4C1C">
        <w:rPr>
          <w:noProof/>
        </w:rPr>
        <w:fldChar w:fldCharType="end"/>
      </w:r>
      <w:bookmarkEnd w:id="532"/>
      <w:r>
        <w:t xml:space="preserve"> Time series of groundwater head in layer 1 at the production well and </w:t>
      </w:r>
      <w:r w:rsidR="00E55ABE">
        <w:t xml:space="preserve">at </w:t>
      </w:r>
      <w:r>
        <w:t>10 m, 100 m, 1 km, and</w:t>
      </w:r>
      <w:r w:rsidR="002B27AF">
        <w:t xml:space="preserve"> 10 km from the production well</w:t>
      </w:r>
      <w:r>
        <w:t>, scenario 3 – open well.</w:t>
      </w:r>
      <w:bookmarkEnd w:id="533"/>
    </w:p>
    <w:p w14:paraId="5F6037C7" w14:textId="77777777" w:rsidR="00644E2F" w:rsidRDefault="00644E2F" w:rsidP="00644E2F">
      <w:pPr>
        <w:pStyle w:val="Body"/>
      </w:pPr>
    </w:p>
    <w:p w14:paraId="0459CC95" w14:textId="1FFCEB71" w:rsidR="00183F6A" w:rsidRDefault="00CF4FC0" w:rsidP="00741D62">
      <w:pPr>
        <w:jc w:val="center"/>
      </w:pPr>
      <w:r>
        <w:rPr>
          <w:noProof/>
        </w:rPr>
        <w:drawing>
          <wp:inline distT="0" distB="0" distL="0" distR="0" wp14:anchorId="44E11695" wp14:editId="2B773919">
            <wp:extent cx="5000400" cy="3207600"/>
            <wp:effectExtent l="0" t="0" r="0" b="0"/>
            <wp:docPr id="92" name="Picture 92" descr="Time series of groundwater head"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15.tiff"/>
                    <pic:cNvPicPr/>
                  </pic:nvPicPr>
                  <pic:blipFill>
                    <a:blip r:embed="rId31">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340FEB1E" w14:textId="1F6D028F" w:rsidR="00657D39" w:rsidRDefault="00657D39" w:rsidP="00D562B7">
      <w:pPr>
        <w:pStyle w:val="TableCaption"/>
      </w:pPr>
      <w:bookmarkStart w:id="534" w:name="_Ref450293440"/>
      <w:bookmarkStart w:id="535" w:name="_Toc508266521"/>
      <w:r>
        <w:t xml:space="preserve">Figure </w:t>
      </w:r>
      <w:r w:rsidR="00ED4C1C">
        <w:fldChar w:fldCharType="begin"/>
      </w:r>
      <w:r w:rsidR="00ED4C1C">
        <w:instrText xml:space="preserve"> SEQ Figure \* ARABIC </w:instrText>
      </w:r>
      <w:r w:rsidR="00ED4C1C">
        <w:fldChar w:fldCharType="separate"/>
      </w:r>
      <w:r w:rsidR="002E45AF">
        <w:rPr>
          <w:noProof/>
        </w:rPr>
        <w:t>15</w:t>
      </w:r>
      <w:r w:rsidR="00ED4C1C">
        <w:rPr>
          <w:noProof/>
        </w:rPr>
        <w:fldChar w:fldCharType="end"/>
      </w:r>
      <w:bookmarkEnd w:id="534"/>
      <w:r>
        <w:t xml:space="preserve"> Time series of groundwater head in layer 3 at the production well and 10 m, 100 m, 1 km, and 10 km from the production well, scenario 3 – open well.</w:t>
      </w:r>
      <w:bookmarkEnd w:id="535"/>
    </w:p>
    <w:p w14:paraId="67375C1E" w14:textId="3CBF307B" w:rsidR="00F554C6" w:rsidRDefault="00F554C6" w:rsidP="009B1457">
      <w:pPr>
        <w:pStyle w:val="Heading2"/>
      </w:pPr>
      <w:bookmarkStart w:id="536" w:name="_Toc452449156"/>
      <w:r w:rsidRPr="00915273">
        <w:t>Metric 3:</w:t>
      </w:r>
      <w:r w:rsidR="00915273">
        <w:t xml:space="preserve"> </w:t>
      </w:r>
      <w:r w:rsidR="00912142">
        <w:t xml:space="preserve">head changes </w:t>
      </w:r>
      <w:r w:rsidR="00877D61">
        <w:t>around a well</w:t>
      </w:r>
      <w:bookmarkEnd w:id="536"/>
    </w:p>
    <w:p w14:paraId="77818FB5" w14:textId="5A1DF54B" w:rsidR="005D4E0F" w:rsidRPr="005D4E0F" w:rsidRDefault="0038681E" w:rsidP="007939E0">
      <w:r>
        <w:t xml:space="preserve">There is minimal evidence for drawdown associated with a flow down a failed CSG well for scenarios 1 and 2, </w:t>
      </w:r>
      <w:r w:rsidR="00E55ABE">
        <w:t xml:space="preserve">i.e. </w:t>
      </w:r>
      <w:r>
        <w:t xml:space="preserve">fully sealed and leaky wells. In these cases, flow through the well is insignificant compared with regional leakage through the aquitard. </w:t>
      </w:r>
      <w:r w:rsidR="00B97E9A">
        <w:t>In comparison, there is a concerning drawdown in the water bearing aquifer due to the presence of a fully-open exploration or repurposed bore.</w:t>
      </w:r>
    </w:p>
    <w:p w14:paraId="7985FB27" w14:textId="1461511D" w:rsidR="00D17AC9" w:rsidRDefault="00D17AC9" w:rsidP="009B1457">
      <w:pPr>
        <w:pStyle w:val="Heading3"/>
      </w:pPr>
      <w:bookmarkStart w:id="537" w:name="_Toc452449157"/>
      <w:r>
        <w:t>Scenario 1: baseline without leak</w:t>
      </w:r>
      <w:r w:rsidR="00E55ABE">
        <w:t>y well</w:t>
      </w:r>
      <w:r>
        <w:t>s</w:t>
      </w:r>
      <w:bookmarkEnd w:id="537"/>
    </w:p>
    <w:p w14:paraId="38031815" w14:textId="3DBC99A6" w:rsidR="005D4E0F" w:rsidRDefault="005D4E0F" w:rsidP="007939E0">
      <w:r>
        <w:t>Groundwater head drawdown around the production well for scenario 1, the fully sealed well, show no cone of depression in layers 1 or 2 (</w:t>
      </w:r>
      <w:r>
        <w:fldChar w:fldCharType="begin"/>
      </w:r>
      <w:r>
        <w:instrText xml:space="preserve"> REF _Ref450300187 \h </w:instrText>
      </w:r>
      <w:r w:rsidR="00B97E9A">
        <w:instrText xml:space="preserve"> \* MERGEFORMAT </w:instrText>
      </w:r>
      <w:r>
        <w:fldChar w:fldCharType="separate"/>
      </w:r>
      <w:r w:rsidR="002E45AF">
        <w:t xml:space="preserve">Figure </w:t>
      </w:r>
      <w:r w:rsidR="002E45AF">
        <w:rPr>
          <w:noProof/>
        </w:rPr>
        <w:t>16</w:t>
      </w:r>
      <w:r>
        <w:fldChar w:fldCharType="end"/>
      </w:r>
      <w:r>
        <w:t xml:space="preserve"> and </w:t>
      </w:r>
      <w:r>
        <w:fldChar w:fldCharType="begin"/>
      </w:r>
      <w:r>
        <w:instrText xml:space="preserve"> REF _Ref450300189 \h </w:instrText>
      </w:r>
      <w:r w:rsidR="00B97E9A">
        <w:instrText xml:space="preserve"> \* MERGEFORMAT </w:instrText>
      </w:r>
      <w:r>
        <w:fldChar w:fldCharType="separate"/>
      </w:r>
      <w:r w:rsidR="002E45AF">
        <w:t xml:space="preserve">Figure </w:t>
      </w:r>
      <w:r w:rsidR="002E45AF">
        <w:rPr>
          <w:noProof/>
        </w:rPr>
        <w:t>17</w:t>
      </w:r>
      <w:r>
        <w:fldChar w:fldCharType="end"/>
      </w:r>
      <w:r>
        <w:t>).</w:t>
      </w:r>
      <w:r w:rsidR="00AC1D98">
        <w:t xml:space="preserve"> There is a small regional drawdown in layer 1 (&lt;0.1 m) and moderate drawdown (1 m) in layer 2 after 1000 years.</w:t>
      </w:r>
      <w:r w:rsidR="00F5758B">
        <w:t xml:space="preserve"> In contrast, heads in layer 3 are around 20 m </w:t>
      </w:r>
      <w:r w:rsidR="00F5758B" w:rsidRPr="00381A29">
        <w:rPr>
          <w:i/>
        </w:rPr>
        <w:t>higher</w:t>
      </w:r>
      <w:r w:rsidR="00F5758B">
        <w:t xml:space="preserve"> than pre-production levels after 1000 years.</w:t>
      </w:r>
    </w:p>
    <w:p w14:paraId="1801A4C5" w14:textId="28F9D3BD" w:rsidR="00D17AC9" w:rsidRDefault="00626EF1" w:rsidP="00741D62">
      <w:pPr>
        <w:jc w:val="center"/>
      </w:pPr>
      <w:r>
        <w:rPr>
          <w:noProof/>
        </w:rPr>
        <w:drawing>
          <wp:inline distT="0" distB="0" distL="0" distR="0" wp14:anchorId="133CCE68" wp14:editId="12D979E7">
            <wp:extent cx="5000400" cy="3207600"/>
            <wp:effectExtent l="0" t="0" r="0" b="0"/>
            <wp:docPr id="96" name="Picture 96" descr="Chart of groundwater head and distance from production well."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Fig16.tiff"/>
                    <pic:cNvPicPr/>
                  </pic:nvPicPr>
                  <pic:blipFill>
                    <a:blip r:embed="rId32">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589D16A4" w14:textId="6218D00F" w:rsidR="00486C7F" w:rsidRDefault="00486C7F" w:rsidP="00D562B7">
      <w:pPr>
        <w:pStyle w:val="TableCaption"/>
      </w:pPr>
      <w:bookmarkStart w:id="538" w:name="_Ref450300187"/>
      <w:bookmarkStart w:id="539" w:name="_Toc508266522"/>
      <w:r>
        <w:t xml:space="preserve">Figure </w:t>
      </w:r>
      <w:r w:rsidR="00ED4C1C">
        <w:fldChar w:fldCharType="begin"/>
      </w:r>
      <w:r w:rsidR="00ED4C1C">
        <w:instrText xml:space="preserve"> SEQ Figure \* ARABIC </w:instrText>
      </w:r>
      <w:r w:rsidR="00ED4C1C">
        <w:fldChar w:fldCharType="separate"/>
      </w:r>
      <w:r w:rsidR="002E45AF">
        <w:rPr>
          <w:noProof/>
        </w:rPr>
        <w:t>16</w:t>
      </w:r>
      <w:r w:rsidR="00ED4C1C">
        <w:rPr>
          <w:noProof/>
        </w:rPr>
        <w:fldChar w:fldCharType="end"/>
      </w:r>
      <w:bookmarkEnd w:id="538"/>
      <w:r>
        <w:t xml:space="preserve"> </w:t>
      </w:r>
      <w:r w:rsidR="007B487B">
        <w:t>G</w:t>
      </w:r>
      <w:r>
        <w:t xml:space="preserve">roundwater head </w:t>
      </w:r>
      <w:r w:rsidR="007B487B">
        <w:t>drawdown cones in layer 1 with delays of between 0 and 1000 years</w:t>
      </w:r>
      <w:r w:rsidR="00DB111B">
        <w:t xml:space="preserve"> post-production</w:t>
      </w:r>
      <w:r w:rsidR="007B487B">
        <w:t>, for the fully sealed well, scenario 1.</w:t>
      </w:r>
      <w:bookmarkEnd w:id="539"/>
      <w:r w:rsidR="00DB111B">
        <w:t xml:space="preserve"> </w:t>
      </w:r>
    </w:p>
    <w:p w14:paraId="550CF897" w14:textId="49A73448" w:rsidR="00E832E8" w:rsidRDefault="00626EF1" w:rsidP="00741D62">
      <w:pPr>
        <w:jc w:val="center"/>
      </w:pPr>
      <w:r>
        <w:rPr>
          <w:noProof/>
        </w:rPr>
        <w:drawing>
          <wp:inline distT="0" distB="0" distL="0" distR="0" wp14:anchorId="608349D9" wp14:editId="3C26608B">
            <wp:extent cx="5000400" cy="3207600"/>
            <wp:effectExtent l="0" t="0" r="0" b="0"/>
            <wp:docPr id="98" name="Picture 98" descr="Chart of groundwater head and distance from production well."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17.tiff"/>
                    <pic:cNvPicPr/>
                  </pic:nvPicPr>
                  <pic:blipFill>
                    <a:blip r:embed="rId33">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24670552" w14:textId="71E4A3DB" w:rsidR="007B487B" w:rsidRDefault="007B487B" w:rsidP="007B487B">
      <w:pPr>
        <w:pStyle w:val="TableCaption"/>
      </w:pPr>
      <w:bookmarkStart w:id="540" w:name="_Ref450300189"/>
      <w:bookmarkStart w:id="541" w:name="_Toc508266523"/>
      <w:r>
        <w:t xml:space="preserve">Figure </w:t>
      </w:r>
      <w:r w:rsidR="00ED4C1C">
        <w:fldChar w:fldCharType="begin"/>
      </w:r>
      <w:r w:rsidR="00ED4C1C">
        <w:instrText xml:space="preserve"> SEQ Figure \* ARABIC </w:instrText>
      </w:r>
      <w:r w:rsidR="00ED4C1C">
        <w:fldChar w:fldCharType="separate"/>
      </w:r>
      <w:r w:rsidR="002E45AF">
        <w:rPr>
          <w:noProof/>
        </w:rPr>
        <w:t>17</w:t>
      </w:r>
      <w:r w:rsidR="00ED4C1C">
        <w:rPr>
          <w:noProof/>
        </w:rPr>
        <w:fldChar w:fldCharType="end"/>
      </w:r>
      <w:bookmarkEnd w:id="540"/>
      <w:r>
        <w:t xml:space="preserve"> Groundwater head drawdown cones in layer 2 </w:t>
      </w:r>
      <w:r w:rsidR="00E55ABE">
        <w:t xml:space="preserve">(aquitard) </w:t>
      </w:r>
      <w:r>
        <w:t>with delays of between 0 and 1000 years</w:t>
      </w:r>
      <w:r w:rsidR="00DB111B">
        <w:t xml:space="preserve"> post-production</w:t>
      </w:r>
      <w:r>
        <w:t>, for the fully sealed well, scenario 1.</w:t>
      </w:r>
      <w:bookmarkEnd w:id="541"/>
    </w:p>
    <w:p w14:paraId="5218E3FD" w14:textId="77777777" w:rsidR="00626EF1" w:rsidRDefault="00626EF1" w:rsidP="00626EF1"/>
    <w:p w14:paraId="5EAE6E89" w14:textId="0C3126EE" w:rsidR="00644E2F" w:rsidRDefault="00626EF1" w:rsidP="00741D62">
      <w:pPr>
        <w:pStyle w:val="Body"/>
        <w:jc w:val="center"/>
      </w:pPr>
      <w:r>
        <w:rPr>
          <w:noProof/>
          <w:lang w:val="en-AU" w:eastAsia="en-AU"/>
        </w:rPr>
        <w:drawing>
          <wp:inline distT="0" distB="0" distL="0" distR="0" wp14:anchorId="54AF365A" wp14:editId="2A33DA57">
            <wp:extent cx="5000400" cy="3207600"/>
            <wp:effectExtent l="0" t="0" r="0" b="0"/>
            <wp:docPr id="99" name="Picture 99" descr="Chart of groundwater head and distance from production well."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18.tiff"/>
                    <pic:cNvPicPr/>
                  </pic:nvPicPr>
                  <pic:blipFill>
                    <a:blip r:embed="rId34">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6DA99D7B" w14:textId="49308B29" w:rsidR="00E832E8" w:rsidRDefault="007B487B" w:rsidP="007B487B">
      <w:pPr>
        <w:pStyle w:val="TableCaption"/>
      </w:pPr>
      <w:bookmarkStart w:id="542" w:name="_Toc508266524"/>
      <w:r>
        <w:t xml:space="preserve">Figure </w:t>
      </w:r>
      <w:r w:rsidR="00ED4C1C">
        <w:fldChar w:fldCharType="begin"/>
      </w:r>
      <w:r w:rsidR="00ED4C1C">
        <w:instrText xml:space="preserve"> SEQ Figure \* ARABIC </w:instrText>
      </w:r>
      <w:r w:rsidR="00ED4C1C">
        <w:fldChar w:fldCharType="separate"/>
      </w:r>
      <w:r w:rsidR="002E45AF">
        <w:rPr>
          <w:noProof/>
        </w:rPr>
        <w:t>18</w:t>
      </w:r>
      <w:r w:rsidR="00ED4C1C">
        <w:rPr>
          <w:noProof/>
        </w:rPr>
        <w:fldChar w:fldCharType="end"/>
      </w:r>
      <w:r>
        <w:t xml:space="preserve"> Groundwater head drawdown cones in layer 3 </w:t>
      </w:r>
      <w:r w:rsidR="00E55ABE">
        <w:t xml:space="preserve">(aquifer) </w:t>
      </w:r>
      <w:r>
        <w:t>with delays of between 0 and 1000 years</w:t>
      </w:r>
      <w:r w:rsidR="00DB111B">
        <w:t xml:space="preserve"> post-production</w:t>
      </w:r>
      <w:r>
        <w:t>, for the fully sealed well, scenario 1</w:t>
      </w:r>
      <w:bookmarkEnd w:id="542"/>
    </w:p>
    <w:p w14:paraId="73E61ABE" w14:textId="58D40B19" w:rsidR="00357417" w:rsidRDefault="00104883" w:rsidP="009B1457">
      <w:pPr>
        <w:pStyle w:val="Heading3"/>
      </w:pPr>
      <w:bookmarkStart w:id="543" w:name="_Toc452449158"/>
      <w:r>
        <w:t>Scenario 2: Leaky</w:t>
      </w:r>
      <w:r w:rsidR="00357417">
        <w:t xml:space="preserve"> well</w:t>
      </w:r>
      <w:bookmarkEnd w:id="543"/>
    </w:p>
    <w:p w14:paraId="15192A49" w14:textId="1536076C" w:rsidR="001F4DAE" w:rsidRDefault="001F4DAE" w:rsidP="007939E0">
      <w:r>
        <w:t>Drawdown in layer 1 for the leaky well, scenario 2</w:t>
      </w:r>
      <w:r w:rsidR="006E5477">
        <w:t>,</w:t>
      </w:r>
      <w:r>
        <w:t xml:space="preserve"> was minimal, </w:t>
      </w:r>
      <w:r w:rsidR="006E5477">
        <w:t xml:space="preserve">i.e. </w:t>
      </w:r>
      <w:r>
        <w:t>less than 0.3 m over 1000 years (</w:t>
      </w:r>
      <w:r>
        <w:fldChar w:fldCharType="begin"/>
      </w:r>
      <w:r>
        <w:instrText xml:space="preserve"> REF _Ref450308276 \h </w:instrText>
      </w:r>
      <w:r w:rsidR="007939E0">
        <w:instrText xml:space="preserve"> \* MERGEFORMAT </w:instrText>
      </w:r>
      <w:r>
        <w:fldChar w:fldCharType="separate"/>
      </w:r>
      <w:r w:rsidR="002E45AF">
        <w:t xml:space="preserve">Figure </w:t>
      </w:r>
      <w:r w:rsidR="002E45AF">
        <w:rPr>
          <w:noProof/>
        </w:rPr>
        <w:t>19</w:t>
      </w:r>
      <w:r>
        <w:fldChar w:fldCharType="end"/>
      </w:r>
      <w:r>
        <w:t xml:space="preserve">). The overall decline can be attributed to both discreet leakage through the compromised production well and diffuse leakage through the aquitard. </w:t>
      </w:r>
    </w:p>
    <w:p w14:paraId="0680863C" w14:textId="4D8A8F7C" w:rsidR="001F4DAE" w:rsidRDefault="001F4DAE" w:rsidP="007939E0">
      <w:r>
        <w:t xml:space="preserve">Heads in the aquitard, layer 2, display a 0.3 m localised drawdown within 10 metres of the well that can be attributed to </w:t>
      </w:r>
      <w:r w:rsidR="007831C4">
        <w:t xml:space="preserve">leakage through a compromised well casing or annulus </w:t>
      </w:r>
      <w:r>
        <w:t>(</w:t>
      </w:r>
      <w:r>
        <w:fldChar w:fldCharType="begin"/>
      </w:r>
      <w:r>
        <w:instrText xml:space="preserve"> REF _Ref450308278 \h </w:instrText>
      </w:r>
      <w:r w:rsidR="007939E0">
        <w:instrText xml:space="preserve"> \* MERGEFORMAT </w:instrText>
      </w:r>
      <w:r>
        <w:fldChar w:fldCharType="separate"/>
      </w:r>
      <w:r w:rsidR="002E45AF">
        <w:t xml:space="preserve">Figure </w:t>
      </w:r>
      <w:r w:rsidR="002E45AF">
        <w:rPr>
          <w:noProof/>
        </w:rPr>
        <w:t>20</w:t>
      </w:r>
      <w:r>
        <w:fldChar w:fldCharType="end"/>
      </w:r>
      <w:r>
        <w:t>)</w:t>
      </w:r>
      <w:r w:rsidR="007831C4">
        <w:t xml:space="preserve">. However, this is insignificant compared with the drawdown of 17 m, 1000 years after production ceased due to diffuse water loss from the aquitard to replenish the production </w:t>
      </w:r>
      <w:r w:rsidR="006D1552">
        <w:t>interval</w:t>
      </w:r>
      <w:r w:rsidR="007831C4">
        <w:t>, layer 3.</w:t>
      </w:r>
      <w:r w:rsidR="009D642E">
        <w:t xml:space="preserve"> Within a realistic timeframe of 100 years post production, the head decline of around one metre due to diffuse leakage is still greater than the drawdown due to the presence of the leaky well.</w:t>
      </w:r>
    </w:p>
    <w:p w14:paraId="1F6CF114" w14:textId="57AF6E66" w:rsidR="001F4DAE" w:rsidRPr="001F4DAE" w:rsidRDefault="006D1552" w:rsidP="007939E0">
      <w:r>
        <w:t>Head recovery in the production interval is similar to the completely sealed well, scenario 1 (</w:t>
      </w:r>
      <w:r w:rsidR="001F4DAE">
        <w:fldChar w:fldCharType="begin"/>
      </w:r>
      <w:r w:rsidR="001F4DAE">
        <w:instrText xml:space="preserve"> REF _Ref450308280 \h </w:instrText>
      </w:r>
      <w:r w:rsidR="007939E0">
        <w:instrText xml:space="preserve"> \* MERGEFORMAT </w:instrText>
      </w:r>
      <w:r w:rsidR="001F4DAE">
        <w:fldChar w:fldCharType="separate"/>
      </w:r>
      <w:r w:rsidR="002E45AF">
        <w:t xml:space="preserve">Figure </w:t>
      </w:r>
      <w:r w:rsidR="002E45AF">
        <w:rPr>
          <w:noProof/>
        </w:rPr>
        <w:t>21</w:t>
      </w:r>
      <w:r w:rsidR="001F4DAE">
        <w:fldChar w:fldCharType="end"/>
      </w:r>
      <w:r w:rsidR="001F4DAE">
        <w:t>).</w:t>
      </w:r>
    </w:p>
    <w:p w14:paraId="0FADF043" w14:textId="447E759F" w:rsidR="00D17AC9" w:rsidRDefault="006108A0" w:rsidP="00741D62">
      <w:pPr>
        <w:jc w:val="center"/>
        <w:rPr>
          <w:noProof/>
        </w:rPr>
      </w:pPr>
      <w:r>
        <w:rPr>
          <w:noProof/>
        </w:rPr>
        <w:drawing>
          <wp:inline distT="0" distB="0" distL="0" distR="0" wp14:anchorId="42733C8A" wp14:editId="7E84EE03">
            <wp:extent cx="5000400" cy="3207600"/>
            <wp:effectExtent l="0" t="0" r="0" b="0"/>
            <wp:docPr id="100" name="Picture 100" descr="Chart of groundwater head and distance from production well."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ig19.tiff"/>
                    <pic:cNvPicPr/>
                  </pic:nvPicPr>
                  <pic:blipFill>
                    <a:blip r:embed="rId35">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076C76F5" w14:textId="4426767D" w:rsidR="007B487B" w:rsidRDefault="007B487B" w:rsidP="007B487B">
      <w:pPr>
        <w:pStyle w:val="TableCaption"/>
      </w:pPr>
      <w:bookmarkStart w:id="544" w:name="_Ref450308276"/>
      <w:bookmarkStart w:id="545" w:name="_Toc508266525"/>
      <w:r>
        <w:t xml:space="preserve">Figure </w:t>
      </w:r>
      <w:r w:rsidR="00ED4C1C">
        <w:fldChar w:fldCharType="begin"/>
      </w:r>
      <w:r w:rsidR="00ED4C1C">
        <w:instrText xml:space="preserve"> SEQ Figure \* ARABIC </w:instrText>
      </w:r>
      <w:r w:rsidR="00ED4C1C">
        <w:fldChar w:fldCharType="separate"/>
      </w:r>
      <w:r w:rsidR="002E45AF">
        <w:rPr>
          <w:noProof/>
        </w:rPr>
        <w:t>19</w:t>
      </w:r>
      <w:r w:rsidR="00ED4C1C">
        <w:rPr>
          <w:noProof/>
        </w:rPr>
        <w:fldChar w:fldCharType="end"/>
      </w:r>
      <w:bookmarkEnd w:id="544"/>
      <w:r>
        <w:t xml:space="preserve"> Groundwater head drawdown cones in layer 1 with delays of between 0 and 1000 years</w:t>
      </w:r>
      <w:r w:rsidR="00DB111B">
        <w:t xml:space="preserve"> post-production</w:t>
      </w:r>
      <w:r>
        <w:t>, for the leaky well, scenario 2.</w:t>
      </w:r>
      <w:bookmarkEnd w:id="545"/>
    </w:p>
    <w:p w14:paraId="4959FA56" w14:textId="77777777" w:rsidR="006E5477" w:rsidRDefault="006E5477" w:rsidP="00976756">
      <w:pPr>
        <w:pStyle w:val="Body"/>
      </w:pPr>
    </w:p>
    <w:p w14:paraId="666B51EB" w14:textId="3885A1A4" w:rsidR="00486C7F" w:rsidRDefault="006108A0" w:rsidP="00741D62">
      <w:pPr>
        <w:jc w:val="center"/>
        <w:rPr>
          <w:noProof/>
        </w:rPr>
      </w:pPr>
      <w:r>
        <w:rPr>
          <w:noProof/>
        </w:rPr>
        <w:drawing>
          <wp:inline distT="0" distB="0" distL="0" distR="0" wp14:anchorId="7996ECE3" wp14:editId="785A4DC7">
            <wp:extent cx="5000400" cy="3207600"/>
            <wp:effectExtent l="0" t="0" r="0" b="0"/>
            <wp:docPr id="101" name="Picture 101" descr="Chart of groundwater head and distance from production well."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ig20.tiff"/>
                    <pic:cNvPicPr/>
                  </pic:nvPicPr>
                  <pic:blipFill>
                    <a:blip r:embed="rId36">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671C410F" w14:textId="164BF7F1" w:rsidR="007B487B" w:rsidRDefault="007B487B" w:rsidP="007B487B">
      <w:pPr>
        <w:pStyle w:val="TableCaption"/>
      </w:pPr>
      <w:bookmarkStart w:id="546" w:name="_Ref450308278"/>
      <w:bookmarkStart w:id="547" w:name="_Toc508266526"/>
      <w:r>
        <w:t xml:space="preserve">Figure </w:t>
      </w:r>
      <w:r w:rsidR="00ED4C1C">
        <w:fldChar w:fldCharType="begin"/>
      </w:r>
      <w:r w:rsidR="00ED4C1C">
        <w:instrText xml:space="preserve"> SEQ Figure \* ARABIC </w:instrText>
      </w:r>
      <w:r w:rsidR="00ED4C1C">
        <w:fldChar w:fldCharType="separate"/>
      </w:r>
      <w:r w:rsidR="002E45AF">
        <w:rPr>
          <w:noProof/>
        </w:rPr>
        <w:t>20</w:t>
      </w:r>
      <w:r w:rsidR="00ED4C1C">
        <w:rPr>
          <w:noProof/>
        </w:rPr>
        <w:fldChar w:fldCharType="end"/>
      </w:r>
      <w:bookmarkEnd w:id="546"/>
      <w:r>
        <w:t xml:space="preserve"> Groundwater head drawdown cones in layer </w:t>
      </w:r>
      <w:r w:rsidR="000A1734">
        <w:t>2</w:t>
      </w:r>
      <w:r>
        <w:t xml:space="preserve"> with delays of between 0 and 1000 years</w:t>
      </w:r>
      <w:r w:rsidR="00DB111B">
        <w:t xml:space="preserve"> post-production</w:t>
      </w:r>
      <w:r>
        <w:t>, for t</w:t>
      </w:r>
      <w:r w:rsidR="000A1734">
        <w:t>he leaky</w:t>
      </w:r>
      <w:r w:rsidR="005D4E0F">
        <w:t xml:space="preserve"> well, scenario 2</w:t>
      </w:r>
      <w:r>
        <w:t>.</w:t>
      </w:r>
      <w:bookmarkEnd w:id="547"/>
    </w:p>
    <w:p w14:paraId="64D36B9D" w14:textId="77777777" w:rsidR="00644E2F" w:rsidRDefault="00644E2F" w:rsidP="00644E2F">
      <w:pPr>
        <w:pStyle w:val="Body"/>
      </w:pPr>
    </w:p>
    <w:p w14:paraId="1D7D4E3F" w14:textId="5FA7417E" w:rsidR="00D17AC9" w:rsidRDefault="006108A0" w:rsidP="00741D62">
      <w:pPr>
        <w:jc w:val="center"/>
      </w:pPr>
      <w:r>
        <w:rPr>
          <w:noProof/>
        </w:rPr>
        <w:drawing>
          <wp:inline distT="0" distB="0" distL="0" distR="0" wp14:anchorId="2E88638E" wp14:editId="48245835">
            <wp:extent cx="5000400" cy="3207600"/>
            <wp:effectExtent l="0" t="0" r="0" b="0"/>
            <wp:docPr id="102" name="Picture 102" descr="Chart of groundwater head and distance from production well."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ig21.tiff"/>
                    <pic:cNvPicPr/>
                  </pic:nvPicPr>
                  <pic:blipFill>
                    <a:blip r:embed="rId34">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41F8D529" w14:textId="1E8A0F48" w:rsidR="007B487B" w:rsidRDefault="007B487B" w:rsidP="007B487B">
      <w:pPr>
        <w:pStyle w:val="TableCaption"/>
      </w:pPr>
      <w:bookmarkStart w:id="548" w:name="_Ref450308280"/>
      <w:bookmarkStart w:id="549" w:name="_Toc508266527"/>
      <w:r>
        <w:t xml:space="preserve">Figure </w:t>
      </w:r>
      <w:r w:rsidR="00ED4C1C">
        <w:fldChar w:fldCharType="begin"/>
      </w:r>
      <w:r w:rsidR="00ED4C1C">
        <w:instrText xml:space="preserve"> SEQ Figure \* ARABIC </w:instrText>
      </w:r>
      <w:r w:rsidR="00ED4C1C">
        <w:fldChar w:fldCharType="separate"/>
      </w:r>
      <w:r w:rsidR="002E45AF">
        <w:rPr>
          <w:noProof/>
        </w:rPr>
        <w:t>21</w:t>
      </w:r>
      <w:r w:rsidR="00ED4C1C">
        <w:rPr>
          <w:noProof/>
        </w:rPr>
        <w:fldChar w:fldCharType="end"/>
      </w:r>
      <w:bookmarkEnd w:id="548"/>
      <w:r>
        <w:t xml:space="preserve"> Groundwater head drawdown cones i</w:t>
      </w:r>
      <w:r w:rsidR="000A1734">
        <w:t>n layer 3</w:t>
      </w:r>
      <w:r>
        <w:t xml:space="preserve"> with delays of between 0 and 1000 years</w:t>
      </w:r>
      <w:r w:rsidR="00DB111B">
        <w:t xml:space="preserve"> post-production</w:t>
      </w:r>
      <w:r>
        <w:t xml:space="preserve">, for the </w:t>
      </w:r>
      <w:r w:rsidR="000A1734">
        <w:t xml:space="preserve">leaky </w:t>
      </w:r>
      <w:r>
        <w:t xml:space="preserve">well, scenario </w:t>
      </w:r>
      <w:r w:rsidR="000A1734">
        <w:t>2</w:t>
      </w:r>
      <w:r>
        <w:t>.</w:t>
      </w:r>
      <w:bookmarkEnd w:id="549"/>
    </w:p>
    <w:p w14:paraId="3B023A9B" w14:textId="5702764C" w:rsidR="00894AA9" w:rsidRDefault="00104883" w:rsidP="009B1457">
      <w:pPr>
        <w:pStyle w:val="Heading3"/>
      </w:pPr>
      <w:bookmarkStart w:id="550" w:name="_Toc452449159"/>
      <w:r>
        <w:t xml:space="preserve">Scenario 3: Open </w:t>
      </w:r>
      <w:r w:rsidR="006E55A0">
        <w:t>well</w:t>
      </w:r>
      <w:bookmarkEnd w:id="550"/>
    </w:p>
    <w:p w14:paraId="5668F570" w14:textId="3F6A0FDF" w:rsidR="00631C57" w:rsidRDefault="006E55A0" w:rsidP="007939E0">
      <w:r>
        <w:t>Head drawdown in layer 1 for the open well</w:t>
      </w:r>
      <w:r w:rsidR="005224A6">
        <w:t>, scenario 3, was up to five metres (</w:t>
      </w:r>
      <w:r w:rsidR="005224A6">
        <w:fldChar w:fldCharType="begin"/>
      </w:r>
      <w:r w:rsidR="005224A6">
        <w:instrText xml:space="preserve"> REF _Ref450309155 \h </w:instrText>
      </w:r>
      <w:r w:rsidR="00B97E9A">
        <w:instrText xml:space="preserve"> \* MERGEFORMAT </w:instrText>
      </w:r>
      <w:r w:rsidR="005224A6">
        <w:fldChar w:fldCharType="separate"/>
      </w:r>
      <w:r w:rsidR="002E45AF">
        <w:t xml:space="preserve">Figure </w:t>
      </w:r>
      <w:r w:rsidR="002E45AF">
        <w:rPr>
          <w:noProof/>
        </w:rPr>
        <w:t>22</w:t>
      </w:r>
      <w:r w:rsidR="005224A6">
        <w:fldChar w:fldCharType="end"/>
      </w:r>
      <w:r w:rsidR="005224A6">
        <w:t xml:space="preserve">). Even for distances of more than 100 m from the production well, the likely decrease in piezometric level after 100 years was around 3.5 m. There is a rapid </w:t>
      </w:r>
      <w:r w:rsidR="00381A29">
        <w:t>recovery</w:t>
      </w:r>
      <w:r w:rsidR="005224A6">
        <w:t xml:space="preserve"> close to the well within days of the cessation of production pumping, which propagates out beyond 100 m from the well within a year. Although this conceptualisation does not take into account regional groundwater recharge, it is likely that there will still be an impact on water levels within the vicinity of an open bore.</w:t>
      </w:r>
    </w:p>
    <w:p w14:paraId="456808B9" w14:textId="4101C53E" w:rsidR="0095657D" w:rsidRDefault="00381A29" w:rsidP="007939E0">
      <w:r>
        <w:t>Recovery</w:t>
      </w:r>
      <w:r w:rsidR="0095657D">
        <w:t xml:space="preserve"> within the aquitard, layer 2, is also more rapid and extensive than the other scenarios (</w:t>
      </w:r>
      <w:r w:rsidR="00FA5FC7">
        <w:fldChar w:fldCharType="begin"/>
      </w:r>
      <w:r w:rsidR="00FA5FC7">
        <w:instrText xml:space="preserve"> REF _Ref450309165 \h </w:instrText>
      </w:r>
      <w:r w:rsidR="00B97E9A">
        <w:instrText xml:space="preserve"> \* MERGEFORMAT </w:instrText>
      </w:r>
      <w:r w:rsidR="00FA5FC7">
        <w:fldChar w:fldCharType="separate"/>
      </w:r>
      <w:r w:rsidR="002E45AF">
        <w:t xml:space="preserve">Figure </w:t>
      </w:r>
      <w:r w:rsidR="002E45AF">
        <w:rPr>
          <w:noProof/>
        </w:rPr>
        <w:t>23</w:t>
      </w:r>
      <w:r w:rsidR="00FA5FC7">
        <w:fldChar w:fldCharType="end"/>
      </w:r>
      <w:r w:rsidR="0095657D">
        <w:t>), although the ultimate level at 1000 years post-production is similar.</w:t>
      </w:r>
    </w:p>
    <w:p w14:paraId="47774B1C" w14:textId="3161D453" w:rsidR="00FA5FC7" w:rsidRPr="002E45FC" w:rsidRDefault="0095657D" w:rsidP="007939E0">
      <w:r>
        <w:t>An inverted cone of depression is present in the production interval due to water gains through the open bore (</w:t>
      </w:r>
      <w:r w:rsidR="00FA5FC7">
        <w:fldChar w:fldCharType="begin"/>
      </w:r>
      <w:r w:rsidR="00FA5FC7">
        <w:instrText xml:space="preserve"> REF _Ref450309157 \h </w:instrText>
      </w:r>
      <w:r w:rsidR="00B97E9A">
        <w:instrText xml:space="preserve"> \* MERGEFORMAT </w:instrText>
      </w:r>
      <w:r w:rsidR="00FA5FC7">
        <w:fldChar w:fldCharType="separate"/>
      </w:r>
      <w:r w:rsidR="002E45AF">
        <w:t xml:space="preserve">Figure </w:t>
      </w:r>
      <w:r w:rsidR="002E45AF">
        <w:rPr>
          <w:noProof/>
        </w:rPr>
        <w:t>24</w:t>
      </w:r>
      <w:r w:rsidR="00FA5FC7">
        <w:fldChar w:fldCharType="end"/>
      </w:r>
      <w:r>
        <w:t xml:space="preserve">). </w:t>
      </w:r>
      <w:r w:rsidR="002E45FC">
        <w:t xml:space="preserve">The initial head curve at </w:t>
      </w:r>
      <w:r w:rsidR="002E45FC" w:rsidRPr="00976756">
        <w:rPr>
          <w:i/>
        </w:rPr>
        <w:t>t</w:t>
      </w:r>
      <w:r w:rsidR="002E45FC">
        <w:t xml:space="preserve">=0, which reflects the first modelled time step </w:t>
      </w:r>
      <w:r w:rsidR="006E5477">
        <w:rPr>
          <w:i/>
        </w:rPr>
        <w:br/>
      </w:r>
      <w:r w:rsidR="002E45FC">
        <w:t>(1x10</w:t>
      </w:r>
      <w:r w:rsidR="002E45FC" w:rsidRPr="002E45FC">
        <w:rPr>
          <w:vertAlign w:val="superscript"/>
        </w:rPr>
        <w:t>-3</w:t>
      </w:r>
      <w:r w:rsidR="002E45FC" w:rsidRPr="002E45FC">
        <w:t xml:space="preserve"> </w:t>
      </w:r>
      <w:r w:rsidR="002E45FC">
        <w:t xml:space="preserve">days) demonstrates </w:t>
      </w:r>
      <w:r w:rsidR="008E7ED9">
        <w:t>the</w:t>
      </w:r>
      <w:r w:rsidR="002E45FC">
        <w:t xml:space="preserve"> </w:t>
      </w:r>
      <w:r w:rsidR="008E7ED9">
        <w:t>rapid</w:t>
      </w:r>
      <w:r w:rsidR="002E45FC">
        <w:t xml:space="preserve"> recovery of the production</w:t>
      </w:r>
      <w:r w:rsidR="008E7ED9">
        <w:t>-induced drawdown, with a groundwater mound adjacent the bore which overlies the initial cone of depression.</w:t>
      </w:r>
    </w:p>
    <w:p w14:paraId="16BCD1A3" w14:textId="38BE2B88" w:rsidR="00B87A4D" w:rsidRDefault="0038724B" w:rsidP="00741D62">
      <w:pPr>
        <w:jc w:val="center"/>
      </w:pPr>
      <w:r>
        <w:rPr>
          <w:noProof/>
        </w:rPr>
        <w:drawing>
          <wp:inline distT="0" distB="0" distL="0" distR="0" wp14:anchorId="7298CE07" wp14:editId="45131A3A">
            <wp:extent cx="5000400" cy="3207600"/>
            <wp:effectExtent l="0" t="0" r="0" b="0"/>
            <wp:docPr id="104" name="Picture 104" descr="Chart of groundwater head and distance from production well."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ig22.tiff"/>
                    <pic:cNvPicPr/>
                  </pic:nvPicPr>
                  <pic:blipFill>
                    <a:blip r:embed="rId37">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02165147" w14:textId="099732CD" w:rsidR="007B487B" w:rsidRDefault="007B487B" w:rsidP="007B487B">
      <w:pPr>
        <w:pStyle w:val="TableCaption"/>
      </w:pPr>
      <w:bookmarkStart w:id="551" w:name="_Ref450309155"/>
      <w:bookmarkStart w:id="552" w:name="_Toc508266528"/>
      <w:r>
        <w:t xml:space="preserve">Figure </w:t>
      </w:r>
      <w:r w:rsidR="00ED4C1C">
        <w:fldChar w:fldCharType="begin"/>
      </w:r>
      <w:r w:rsidR="00ED4C1C">
        <w:instrText xml:space="preserve"> SEQ Figure \* ARABIC </w:instrText>
      </w:r>
      <w:r w:rsidR="00ED4C1C">
        <w:fldChar w:fldCharType="separate"/>
      </w:r>
      <w:r w:rsidR="002E45AF">
        <w:rPr>
          <w:noProof/>
        </w:rPr>
        <w:t>22</w:t>
      </w:r>
      <w:r w:rsidR="00ED4C1C">
        <w:rPr>
          <w:noProof/>
        </w:rPr>
        <w:fldChar w:fldCharType="end"/>
      </w:r>
      <w:bookmarkEnd w:id="551"/>
      <w:r>
        <w:t xml:space="preserve"> Groundwater head drawdown cones in layer 1 with delays of between 0 and 1000 years</w:t>
      </w:r>
      <w:r w:rsidR="00DB111B">
        <w:t xml:space="preserve"> post-production</w:t>
      </w:r>
      <w:r>
        <w:t xml:space="preserve">, for the </w:t>
      </w:r>
      <w:r w:rsidR="000A1734">
        <w:t>open</w:t>
      </w:r>
      <w:r>
        <w:t xml:space="preserve"> well, scenario </w:t>
      </w:r>
      <w:r w:rsidR="000A1734">
        <w:t>3</w:t>
      </w:r>
      <w:r>
        <w:t>.</w:t>
      </w:r>
      <w:bookmarkEnd w:id="552"/>
    </w:p>
    <w:p w14:paraId="605F900E" w14:textId="77777777" w:rsidR="006E5477" w:rsidRDefault="006E5477" w:rsidP="00976756">
      <w:pPr>
        <w:pStyle w:val="Body"/>
      </w:pPr>
    </w:p>
    <w:p w14:paraId="64C31482" w14:textId="19753D18" w:rsidR="00B87A4D" w:rsidRDefault="0038724B" w:rsidP="00741D62">
      <w:pPr>
        <w:jc w:val="center"/>
      </w:pPr>
      <w:r>
        <w:rPr>
          <w:noProof/>
        </w:rPr>
        <w:drawing>
          <wp:inline distT="0" distB="0" distL="0" distR="0" wp14:anchorId="41B57F76" wp14:editId="7B98BD43">
            <wp:extent cx="5000400" cy="3207600"/>
            <wp:effectExtent l="0" t="0" r="0" b="0"/>
            <wp:docPr id="103" name="Picture 103" descr="Chart of groundwater head and distance from production well."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ig23.tiff"/>
                    <pic:cNvPicPr/>
                  </pic:nvPicPr>
                  <pic:blipFill>
                    <a:blip r:embed="rId38">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2D38B9EE" w14:textId="612320D4" w:rsidR="007B487B" w:rsidRDefault="007B487B" w:rsidP="007B487B">
      <w:pPr>
        <w:pStyle w:val="TableCaption"/>
      </w:pPr>
      <w:bookmarkStart w:id="553" w:name="_Ref450309165"/>
      <w:bookmarkStart w:id="554" w:name="_Toc508266529"/>
      <w:r>
        <w:t xml:space="preserve">Figure </w:t>
      </w:r>
      <w:r w:rsidR="00ED4C1C">
        <w:fldChar w:fldCharType="begin"/>
      </w:r>
      <w:r w:rsidR="00ED4C1C">
        <w:instrText xml:space="preserve"> SEQ Figure \* ARABIC </w:instrText>
      </w:r>
      <w:r w:rsidR="00ED4C1C">
        <w:fldChar w:fldCharType="separate"/>
      </w:r>
      <w:r w:rsidR="002E45AF">
        <w:rPr>
          <w:noProof/>
        </w:rPr>
        <w:t>23</w:t>
      </w:r>
      <w:r w:rsidR="00ED4C1C">
        <w:rPr>
          <w:noProof/>
        </w:rPr>
        <w:fldChar w:fldCharType="end"/>
      </w:r>
      <w:bookmarkEnd w:id="553"/>
      <w:r>
        <w:t xml:space="preserve"> Groundwater head drawdown cones in layer </w:t>
      </w:r>
      <w:r w:rsidR="000A1734">
        <w:t>2</w:t>
      </w:r>
      <w:r>
        <w:t xml:space="preserve"> with delays of between 0 and 1000 years</w:t>
      </w:r>
      <w:r w:rsidR="00DB111B" w:rsidRPr="00DB111B">
        <w:t xml:space="preserve"> </w:t>
      </w:r>
      <w:r w:rsidR="00DB111B">
        <w:t>post-production</w:t>
      </w:r>
      <w:r>
        <w:t xml:space="preserve">, for the </w:t>
      </w:r>
      <w:r w:rsidR="000A1734">
        <w:t>open well, scenario 3</w:t>
      </w:r>
      <w:r>
        <w:t>.</w:t>
      </w:r>
      <w:bookmarkEnd w:id="554"/>
    </w:p>
    <w:p w14:paraId="1DD44AD1" w14:textId="77777777" w:rsidR="00644E2F" w:rsidRDefault="00644E2F" w:rsidP="00644E2F">
      <w:pPr>
        <w:pStyle w:val="Body"/>
      </w:pPr>
    </w:p>
    <w:p w14:paraId="2AF6A535" w14:textId="5F5ECF4E" w:rsidR="00B87A4D" w:rsidRDefault="0038724B" w:rsidP="00741D62">
      <w:pPr>
        <w:jc w:val="center"/>
        <w:rPr>
          <w:noProof/>
        </w:rPr>
      </w:pPr>
      <w:r>
        <w:rPr>
          <w:noProof/>
        </w:rPr>
        <w:drawing>
          <wp:inline distT="0" distB="0" distL="0" distR="0" wp14:anchorId="5343BEAC" wp14:editId="6C1DA91A">
            <wp:extent cx="5000400" cy="3207600"/>
            <wp:effectExtent l="0" t="0" r="0" b="0"/>
            <wp:docPr id="105" name="Picture 105" descr="Chart of groundwater head and distance from production well."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Fig24.tiff"/>
                    <pic:cNvPicPr/>
                  </pic:nvPicPr>
                  <pic:blipFill>
                    <a:blip r:embed="rId39">
                      <a:extLst>
                        <a:ext uri="{28A0092B-C50C-407E-A947-70E740481C1C}">
                          <a14:useLocalDpi xmlns:a14="http://schemas.microsoft.com/office/drawing/2010/main" val="0"/>
                        </a:ext>
                      </a:extLst>
                    </a:blip>
                    <a:stretch>
                      <a:fillRect/>
                    </a:stretch>
                  </pic:blipFill>
                  <pic:spPr>
                    <a:xfrm>
                      <a:off x="0" y="0"/>
                      <a:ext cx="5000400" cy="3207600"/>
                    </a:xfrm>
                    <a:prstGeom prst="rect">
                      <a:avLst/>
                    </a:prstGeom>
                  </pic:spPr>
                </pic:pic>
              </a:graphicData>
            </a:graphic>
          </wp:inline>
        </w:drawing>
      </w:r>
    </w:p>
    <w:p w14:paraId="7441AE96" w14:textId="596B9857" w:rsidR="007B487B" w:rsidRDefault="007B487B" w:rsidP="007B487B">
      <w:pPr>
        <w:pStyle w:val="TableCaption"/>
      </w:pPr>
      <w:bookmarkStart w:id="555" w:name="_Ref450309157"/>
      <w:bookmarkStart w:id="556" w:name="_Toc508266530"/>
      <w:r>
        <w:t xml:space="preserve">Figure </w:t>
      </w:r>
      <w:r w:rsidR="00ED4C1C">
        <w:fldChar w:fldCharType="begin"/>
      </w:r>
      <w:r w:rsidR="00ED4C1C">
        <w:instrText xml:space="preserve"> SEQ Figure \* ARABIC </w:instrText>
      </w:r>
      <w:r w:rsidR="00ED4C1C">
        <w:fldChar w:fldCharType="separate"/>
      </w:r>
      <w:r w:rsidR="002E45AF">
        <w:rPr>
          <w:noProof/>
        </w:rPr>
        <w:t>24</w:t>
      </w:r>
      <w:r w:rsidR="00ED4C1C">
        <w:rPr>
          <w:noProof/>
        </w:rPr>
        <w:fldChar w:fldCharType="end"/>
      </w:r>
      <w:bookmarkEnd w:id="555"/>
      <w:r>
        <w:t xml:space="preserve"> Groundwater head drawdown cones in layer </w:t>
      </w:r>
      <w:r w:rsidR="000A1734">
        <w:t>3</w:t>
      </w:r>
      <w:r>
        <w:t xml:space="preserve"> with del</w:t>
      </w:r>
      <w:r w:rsidR="00DB111B">
        <w:t>ays of between 0 and 1000 years</w:t>
      </w:r>
      <w:r w:rsidR="00DB111B" w:rsidRPr="00DB111B">
        <w:t xml:space="preserve"> </w:t>
      </w:r>
      <w:r w:rsidR="00DB111B">
        <w:t>post-production,</w:t>
      </w:r>
      <w:r>
        <w:t xml:space="preserve"> for the </w:t>
      </w:r>
      <w:r w:rsidR="000A1734">
        <w:t xml:space="preserve">open </w:t>
      </w:r>
      <w:r>
        <w:t xml:space="preserve">well, scenario </w:t>
      </w:r>
      <w:r w:rsidR="000A1734">
        <w:t>3</w:t>
      </w:r>
      <w:r>
        <w:t>.</w:t>
      </w:r>
      <w:bookmarkEnd w:id="556"/>
    </w:p>
    <w:p w14:paraId="20BEE184" w14:textId="77777777" w:rsidR="003A614C" w:rsidRDefault="003A614C" w:rsidP="00BC2FAD"/>
    <w:p w14:paraId="55DE3F52" w14:textId="77777777" w:rsidR="00F24FC6" w:rsidRDefault="00F24FC6" w:rsidP="00F24FC6">
      <w:pPr>
        <w:pStyle w:val="Heading1"/>
      </w:pPr>
      <w:bookmarkStart w:id="557" w:name="_Toc452449160"/>
      <w:r>
        <w:t>Discussion</w:t>
      </w:r>
      <w:bookmarkEnd w:id="557"/>
    </w:p>
    <w:p w14:paraId="0CC0EF59" w14:textId="1451FB00" w:rsidR="00686DF3" w:rsidRDefault="00686DF3" w:rsidP="00686DF3">
      <w:r>
        <w:t xml:space="preserve">While the hydrogeology of coal seam gas systems </w:t>
      </w:r>
      <w:r w:rsidR="00381A29">
        <w:t>is</w:t>
      </w:r>
      <w:r>
        <w:t xml:space="preserve"> usually conceptualised using dual- or multi-phase flow processes, there are instances where modelling the system using single-phase groundwater flow models is warranted for parsimonious reasons</w:t>
      </w:r>
      <w:r w:rsidR="00440F74">
        <w:t xml:space="preserve"> or due to budget constraints</w:t>
      </w:r>
      <w:r>
        <w:t>. It has been demonstrated that conceptualisation of groundwater flow problems associated with CSG production using single-phase models will over predict drawdown</w:t>
      </w:r>
      <w:r w:rsidR="00440F74">
        <w:t>,</w:t>
      </w:r>
      <w:r>
        <w:t xml:space="preserve"> as higher pressures are required to remove water </w:t>
      </w:r>
      <w:r w:rsidR="00E877DC">
        <w:t>from</w:t>
      </w:r>
      <w:r>
        <w:t xml:space="preserve"> rock matrix where gas replacement is not modelled </w:t>
      </w:r>
      <w:r>
        <w:fldChar w:fldCharType="begin"/>
      </w:r>
      <w:r>
        <w:instrText xml:space="preserve"> ADDIN EN.CITE &lt;EndNote&gt;&lt;Cite&gt;&lt;Author&gt;Moore&lt;/Author&gt;&lt;Year&gt;2014&lt;/Year&gt;&lt;RecNum&gt;2521&lt;/RecNum&gt;&lt;DisplayText&gt;[&lt;style face="italic"&gt;Moore et al.&lt;/style&gt;, 2014]&lt;/DisplayText&gt;&lt;record&gt;&lt;rec-number&gt;2521&lt;/rec-number&gt;&lt;foreign-keys&gt;&lt;key app="EN" db-id="sawsrtr20e9dd8ewz5evfttuv5erw5fa22tr"&gt;2521&lt;/key&gt;&lt;/foreign-keys&gt;&lt;ref-type name="Journal Article"&gt;17&lt;/ref-type&gt;&lt;contributors&gt;&lt;authors&gt;&lt;author&gt;Moore, Catherine R.&lt;/author&gt;&lt;author&gt;Doherty, John&lt;/author&gt;&lt;author&gt;Howell, Stephen&lt;/author&gt;&lt;author&gt;Erriah, Leon&lt;/author&gt;&lt;/authors&gt;&lt;/contributors&gt;&lt;titles&gt;&lt;title&gt;Some Challenges Posed by Coal Bed Methane Regional Assessment Modeling&lt;/title&gt;&lt;secondary-title&gt;Groundwater&lt;/secondary-title&gt;&lt;/titles&gt;&lt;periodical&gt;&lt;full-title&gt;Groundwater&lt;/full-title&gt;&lt;/periodical&gt;&lt;volume&gt;53&lt;/volume&gt;&lt;number&gt;5&lt;/number&gt;&lt;dates&gt;&lt;year&gt;2014&lt;/year&gt;&lt;/dates&gt;&lt;publisher&gt;Blackwell Publishing Ltd&lt;/publisher&gt;&lt;isbn&gt;1745-6584&lt;/isbn&gt;&lt;urls&gt;&lt;related-urls&gt;&lt;url&gt;http://dx.doi.org/10.1111/gwat.12276&lt;/url&gt;&lt;/related-urls&gt;&lt;/urls&gt;&lt;electronic-resource-num&gt;10.1111/gwat.12276&lt;/electronic-resource-num&gt;&lt;/record&gt;&lt;/Cite&gt;&lt;/EndNote&gt;</w:instrText>
      </w:r>
      <w:r>
        <w:fldChar w:fldCharType="separate"/>
      </w:r>
      <w:r>
        <w:rPr>
          <w:noProof/>
        </w:rPr>
        <w:t>[</w:t>
      </w:r>
      <w:hyperlink w:anchor="_ENREF_14" w:tooltip="Moore, 2014 #2521" w:history="1">
        <w:r w:rsidR="007A7BC9" w:rsidRPr="00D11A32">
          <w:rPr>
            <w:noProof/>
          </w:rPr>
          <w:t xml:space="preserve">Moore et al., </w:t>
        </w:r>
        <w:r w:rsidR="007A7BC9">
          <w:rPr>
            <w:noProof/>
          </w:rPr>
          <w:t>2014</w:t>
        </w:r>
      </w:hyperlink>
      <w:r>
        <w:rPr>
          <w:noProof/>
        </w:rPr>
        <w:t>]</w:t>
      </w:r>
      <w:r>
        <w:fldChar w:fldCharType="end"/>
      </w:r>
      <w:r>
        <w:t xml:space="preserve">. For this reason, the drawdown results from </w:t>
      </w:r>
      <w:r w:rsidR="007B18A0">
        <w:t xml:space="preserve">the </w:t>
      </w:r>
      <w:r>
        <w:t xml:space="preserve">single-phase groundwater flow modelling presented in this report </w:t>
      </w:r>
      <w:r w:rsidR="007B18A0">
        <w:t xml:space="preserve">will be </w:t>
      </w:r>
      <w:r>
        <w:t xml:space="preserve">conservative. </w:t>
      </w:r>
      <w:r w:rsidR="007B18A0">
        <w:t>I</w:t>
      </w:r>
      <w:r>
        <w:t xml:space="preserve">f no impact is detected using </w:t>
      </w:r>
      <w:r w:rsidR="007B18A0">
        <w:t xml:space="preserve">the </w:t>
      </w:r>
      <w:r>
        <w:t>single-phase models</w:t>
      </w:r>
      <w:r w:rsidR="007B18A0">
        <w:t xml:space="preserve"> presented</w:t>
      </w:r>
      <w:r>
        <w:t>, it is unlikely that the system will be impacted in reality.</w:t>
      </w:r>
      <w:r w:rsidR="007B18A0">
        <w:t xml:space="preserve"> Similarly, if an impact is predicted, in reality the impact will be somewhat less than presented in this report, and multi-phase flow modelling may be necessary if exact quantification is required.</w:t>
      </w:r>
    </w:p>
    <w:p w14:paraId="77CA74E4" w14:textId="16A37066" w:rsidR="00686DF3" w:rsidRPr="00DF3853" w:rsidRDefault="007B18A0" w:rsidP="00686DF3">
      <w:r>
        <w:t xml:space="preserve">Both the generalised analytical solutions and </w:t>
      </w:r>
      <w:r w:rsidR="00E877DC">
        <w:t xml:space="preserve">the numerical modelling with a </w:t>
      </w:r>
      <w:r>
        <w:t xml:space="preserve">more </w:t>
      </w:r>
      <w:r w:rsidR="00E877DC">
        <w:t xml:space="preserve">specific </w:t>
      </w:r>
      <w:r>
        <w:t>parameter set described a three layer system with a leaky well, including water-bearing aquifer</w:t>
      </w:r>
      <w:r w:rsidR="00381A29">
        <w:t xml:space="preserve"> (layer 1)</w:t>
      </w:r>
      <w:r>
        <w:t xml:space="preserve">, aquitard </w:t>
      </w:r>
      <w:r w:rsidR="00381A29">
        <w:t>(layer 2)</w:t>
      </w:r>
      <w:r w:rsidR="00D11A32">
        <w:t xml:space="preserve"> </w:t>
      </w:r>
      <w:r>
        <w:t xml:space="preserve">and a </w:t>
      </w:r>
      <w:r w:rsidR="0037390E">
        <w:t xml:space="preserve">gas </w:t>
      </w:r>
      <w:r>
        <w:t>production zone</w:t>
      </w:r>
      <w:r w:rsidR="00381A29">
        <w:t xml:space="preserve"> (layer 3)</w:t>
      </w:r>
      <w:r>
        <w:t xml:space="preserve">. Both analyses indicated that flow through the well is limited by either the effective conductivity of the well, </w:t>
      </w:r>
      <w:r>
        <w:rPr>
          <w:i/>
        </w:rPr>
        <w:t>K</w:t>
      </w:r>
      <w:r>
        <w:rPr>
          <w:i/>
          <w:vertAlign w:val="subscript"/>
        </w:rPr>
        <w:t>well</w:t>
      </w:r>
      <w:r>
        <w:t xml:space="preserve">, or the transmissivity of the aquifers. </w:t>
      </w:r>
      <w:r w:rsidR="00DF3853">
        <w:t xml:space="preserve">For the site characteristics specific to one location </w:t>
      </w:r>
      <w:r w:rsidR="0037390E">
        <w:t>with</w:t>
      </w:r>
      <w:r w:rsidR="00DF3853">
        <w:t xml:space="preserve">in the </w:t>
      </w:r>
      <w:r w:rsidR="0037390E">
        <w:t xml:space="preserve">projected </w:t>
      </w:r>
      <w:r w:rsidR="00DF3853">
        <w:t xml:space="preserve">production zone of the Narrabri model </w:t>
      </w:r>
      <w:r w:rsidR="00DF3853">
        <w:fldChar w:fldCharType="begin"/>
      </w:r>
      <w:r w:rsidR="00DF3853">
        <w:instrText xml:space="preserve"> ADDIN EN.CITE &lt;EndNote&gt;&lt;Cite&gt;&lt;Author&gt;CDM Smith&lt;/Author&gt;&lt;Year&gt;2014&lt;/Year&gt;&lt;RecNum&gt;2544&lt;/RecNum&gt;&lt;DisplayText&gt;[&lt;style face="italic"&gt;CDM Smith&lt;/style&gt;, 2014]&lt;/DisplayText&gt;&lt;record&gt;&lt;rec-number&gt;2544&lt;/rec-number&gt;&lt;foreign-keys&gt;&lt;key app="EN" db-id="sawsrtr20e9dd8ewz5evfttuv5erw5fa22tr"&gt;2544&lt;/key&gt;&lt;/foreign-keys&gt;&lt;ref-type name="Report"&gt;27&lt;/ref-type&gt;&lt;contributors&gt;&lt;authors&gt;&lt;author&gt;CDM Smith,&lt;/author&gt;&lt;/authors&gt;&lt;/contributors&gt;&lt;titles&gt;&lt;title&gt;Santos Narrabri Gas Project: Groundwater modelling report. &lt;/title&gt;&lt;/titles&gt;&lt;pages&gt;291&lt;/pages&gt;&lt;dates&gt;&lt;year&gt;2014&lt;/year&gt;&lt;/dates&gt;&lt;pub-location&gt;Subiaco, WA&lt;/pub-location&gt;&lt;urls&gt;&lt;/urls&gt;&lt;/record&gt;&lt;/Cite&gt;&lt;/EndNote&gt;</w:instrText>
      </w:r>
      <w:r w:rsidR="00DF3853">
        <w:fldChar w:fldCharType="separate"/>
      </w:r>
      <w:r w:rsidR="00DF3853">
        <w:rPr>
          <w:noProof/>
        </w:rPr>
        <w:t>[</w:t>
      </w:r>
      <w:hyperlink w:anchor="_ENREF_2" w:tooltip="CDM Smith, 2014 #2544" w:history="1">
        <w:r w:rsidR="007A7BC9" w:rsidRPr="00D11A32">
          <w:rPr>
            <w:noProof/>
          </w:rPr>
          <w:t>CDM Smith</w:t>
        </w:r>
        <w:r w:rsidR="007A7BC9">
          <w:rPr>
            <w:noProof/>
          </w:rPr>
          <w:t>, 2014</w:t>
        </w:r>
      </w:hyperlink>
      <w:r w:rsidR="00DF3853">
        <w:rPr>
          <w:noProof/>
        </w:rPr>
        <w:t>]</w:t>
      </w:r>
      <w:r w:rsidR="00DF3853">
        <w:fldChar w:fldCharType="end"/>
      </w:r>
      <w:r w:rsidR="00DF3853">
        <w:t xml:space="preserve"> t</w:t>
      </w:r>
      <w:r w:rsidR="00EE57EB">
        <w:t xml:space="preserve">he effective well conductivity </w:t>
      </w:r>
      <w:r w:rsidR="00DF3853">
        <w:t>at which flow was limited by the aquifer capacity to transmit flow was around 4 x 10</w:t>
      </w:r>
      <w:r w:rsidR="00DF3853">
        <w:rPr>
          <w:vertAlign w:val="superscript"/>
        </w:rPr>
        <w:t>4</w:t>
      </w:r>
      <w:r w:rsidR="00DF3853" w:rsidRPr="00DF3853">
        <w:t> m</w:t>
      </w:r>
      <w:r w:rsidR="00DF3853">
        <w:t>/d.</w:t>
      </w:r>
    </w:p>
    <w:p w14:paraId="6149FC23" w14:textId="3ECF20DC" w:rsidR="001310BD" w:rsidRDefault="001310BD" w:rsidP="00686DF3">
      <w:r>
        <w:t xml:space="preserve">The numerical models used in the analysis, MODFLOW-USG with the CLN package and MODHMS with the FWL4 package, are similar in the way that they </w:t>
      </w:r>
      <w:r w:rsidR="00D17A0D">
        <w:t>conceptualise</w:t>
      </w:r>
      <w:r>
        <w:t xml:space="preserve"> the leaky well problem. Both models use a Darcy-type gradient equation to describe a well </w:t>
      </w:r>
      <w:r w:rsidR="00F43B7E">
        <w:t>with radius less than the groundwater cell dimension in which they are located. Flow between the groundwater matrix and the well is also governed by the head difference and the presence of a resistive skin factor between the two. The results from the numerical models were of the same order of magnitude as flow calculated using the analytical equations, although the analytical equations did not include leakage through an aquitard, nor an unconfined surficial aquifer.</w:t>
      </w:r>
    </w:p>
    <w:p w14:paraId="19802410" w14:textId="183769E0" w:rsidR="00BE576F" w:rsidRDefault="000E286F" w:rsidP="00BE576F">
      <w:r>
        <w:t xml:space="preserve">For the parameter set derived for the Narrabri region, the MODFLOW-USG / CLN model was not affected by the minimum cell discretisation, while flow through the well calculated by the MODHMS / FWL4 model increased with increasing cell size. Flow </w:t>
      </w:r>
      <w:r w:rsidR="00BE576F">
        <w:t xml:space="preserve">through a well </w:t>
      </w:r>
      <w:r>
        <w:t xml:space="preserve">calculated </w:t>
      </w:r>
      <w:r w:rsidR="00BE576F">
        <w:t xml:space="preserve">using </w:t>
      </w:r>
      <w:r>
        <w:t xml:space="preserve">MODHMS / FWL4 </w:t>
      </w:r>
      <w:r w:rsidR="00BE576F">
        <w:t xml:space="preserve">is only accurate when the local grid refinement around the well matches that of the actual well dimensions. If MODHMS and the fracture well (FWL4) package are used to develop the regional model, then localised grid refinement around each well, equal to the actual well radius, is required. </w:t>
      </w:r>
    </w:p>
    <w:p w14:paraId="3A3D2780" w14:textId="21CCC308" w:rsidR="00D70EE2" w:rsidRDefault="00D70EE2" w:rsidP="00D70EE2">
      <w:r>
        <w:t>Flow through a leaky well in scenario 2 was around 1% of regional leakage through the aquitard for an area of one square kilometre, a relatively insignificant proportion. In comparison, flow through a fully open well was 35 times (35</w:t>
      </w:r>
      <w:r w:rsidR="005331D8">
        <w:t>0</w:t>
      </w:r>
      <w:r>
        <w:t>0%) that of aquitard leakage, which is likely to have a major impact on drawdown in the surficial aquifer. For a more resistive aquitard, the ratio of well to aquitard leakage increased to around 13%, predominantly due to the lowered aquitard leakage rather than the slightly increased flow through the well. If the aquifers were found to have a one order of magnitude higher hydraulic conductivity, only flow through the open well would increase, as aquifer transmissivity was the limiting factor for water movement in this case. This is in agreement with the analytical solutions in section</w:t>
      </w:r>
      <w:r w:rsidR="008C4C0C">
        <w:t xml:space="preserve"> </w:t>
      </w:r>
      <w:r w:rsidR="008C4C0C">
        <w:fldChar w:fldCharType="begin"/>
      </w:r>
      <w:r w:rsidR="008C4C0C">
        <w:instrText xml:space="preserve"> REF _Ref450573502 \r \h </w:instrText>
      </w:r>
      <w:r w:rsidR="008C4C0C">
        <w:fldChar w:fldCharType="separate"/>
      </w:r>
      <w:r w:rsidR="002E45AF">
        <w:t>2.2</w:t>
      </w:r>
      <w:r w:rsidR="008C4C0C">
        <w:fldChar w:fldCharType="end"/>
      </w:r>
      <w:r>
        <w:t>.</w:t>
      </w:r>
    </w:p>
    <w:p w14:paraId="621E29F9" w14:textId="77777777" w:rsidR="00D70EE2" w:rsidRDefault="00D70EE2" w:rsidP="00BE576F"/>
    <w:p w14:paraId="2F639A57" w14:textId="6FB8BA1E" w:rsidR="00A70F9F" w:rsidRPr="00153281" w:rsidRDefault="00A70F9F" w:rsidP="00A70F9F">
      <w:pPr>
        <w:pStyle w:val="TableCaption"/>
        <w:pBdr>
          <w:top w:val="none" w:sz="0" w:space="0" w:color="auto"/>
        </w:pBdr>
      </w:pPr>
      <w:bookmarkStart w:id="558" w:name="_Toc452449193"/>
      <w:r>
        <w:t xml:space="preserve">Table </w:t>
      </w:r>
      <w:r w:rsidR="00ED4C1C">
        <w:fldChar w:fldCharType="begin"/>
      </w:r>
      <w:r w:rsidR="00ED4C1C">
        <w:instrText xml:space="preserve"> SEQ Table \* ARABIC </w:instrText>
      </w:r>
      <w:r w:rsidR="00ED4C1C">
        <w:fldChar w:fldCharType="separate"/>
      </w:r>
      <w:r w:rsidR="002E45AF">
        <w:rPr>
          <w:noProof/>
        </w:rPr>
        <w:t>7</w:t>
      </w:r>
      <w:r w:rsidR="00ED4C1C">
        <w:rPr>
          <w:noProof/>
        </w:rPr>
        <w:fldChar w:fldCharType="end"/>
      </w:r>
      <w:r>
        <w:t xml:space="preserve"> Summary of metrics for the three well scenarios</w:t>
      </w:r>
      <w:bookmarkEnd w:id="558"/>
    </w:p>
    <w:tbl>
      <w:tblPr>
        <w:tblStyle w:val="GridTable1Light-Accent5"/>
        <w:tblW w:w="0" w:type="auto"/>
        <w:tblLook w:val="04A0" w:firstRow="1" w:lastRow="0" w:firstColumn="1" w:lastColumn="0" w:noHBand="0" w:noVBand="1"/>
        <w:tblCaption w:val="Table 7"/>
        <w:tblDescription w:val="Summary of metrics for the three well scenarios"/>
      </w:tblPr>
      <w:tblGrid>
        <w:gridCol w:w="1757"/>
        <w:gridCol w:w="1758"/>
        <w:gridCol w:w="1758"/>
        <w:gridCol w:w="1758"/>
        <w:gridCol w:w="1758"/>
      </w:tblGrid>
      <w:tr w:rsidR="00253471" w14:paraId="3B793E8D" w14:textId="77777777" w:rsidTr="002534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dxa"/>
            <w:tcBorders>
              <w:top w:val="single" w:sz="4" w:space="0" w:color="000000" w:themeColor="text1"/>
              <w:left w:val="nil"/>
              <w:bottom w:val="single" w:sz="4" w:space="0" w:color="000000" w:themeColor="text1"/>
              <w:right w:val="nil"/>
            </w:tcBorders>
            <w:shd w:val="clear" w:color="auto" w:fill="F2F2F2" w:themeFill="background1" w:themeFillShade="F2"/>
          </w:tcPr>
          <w:p w14:paraId="7DCEEEDF" w14:textId="42BB513C" w:rsidR="00253471" w:rsidRDefault="00253471" w:rsidP="00253471">
            <w:r>
              <w:t>Scenario</w:t>
            </w:r>
          </w:p>
        </w:tc>
        <w:tc>
          <w:tcPr>
            <w:tcW w:w="1758" w:type="dxa"/>
            <w:tcBorders>
              <w:top w:val="single" w:sz="4" w:space="0" w:color="000000" w:themeColor="text1"/>
              <w:left w:val="nil"/>
              <w:bottom w:val="single" w:sz="4" w:space="0" w:color="000000" w:themeColor="text1"/>
              <w:right w:val="nil"/>
            </w:tcBorders>
            <w:shd w:val="clear" w:color="auto" w:fill="F2F2F2" w:themeFill="background1" w:themeFillShade="F2"/>
          </w:tcPr>
          <w:p w14:paraId="65E7F171" w14:textId="2D341D1E" w:rsidR="00253471" w:rsidRDefault="00253471" w:rsidP="00253471">
            <w:pPr>
              <w:cnfStyle w:val="100000000000" w:firstRow="1" w:lastRow="0" w:firstColumn="0" w:lastColumn="0" w:oddVBand="0" w:evenVBand="0" w:oddHBand="0" w:evenHBand="0" w:firstRowFirstColumn="0" w:firstRowLastColumn="0" w:lastRowFirstColumn="0" w:lastRowLastColumn="0"/>
            </w:pPr>
            <w:r>
              <w:t>Ratio of well flow to aquitard leakage (%)</w:t>
            </w:r>
          </w:p>
        </w:tc>
        <w:tc>
          <w:tcPr>
            <w:tcW w:w="1758" w:type="dxa"/>
            <w:tcBorders>
              <w:top w:val="single" w:sz="4" w:space="0" w:color="000000" w:themeColor="text1"/>
              <w:left w:val="nil"/>
              <w:bottom w:val="single" w:sz="4" w:space="0" w:color="000000" w:themeColor="text1"/>
              <w:right w:val="nil"/>
            </w:tcBorders>
            <w:shd w:val="clear" w:color="auto" w:fill="F2F2F2" w:themeFill="background1" w:themeFillShade="F2"/>
          </w:tcPr>
          <w:p w14:paraId="06AED8D3" w14:textId="057B4A8F" w:rsidR="00253471" w:rsidRPr="005020D3" w:rsidRDefault="00253471" w:rsidP="00253471">
            <w:pPr>
              <w:cnfStyle w:val="100000000000" w:firstRow="1" w:lastRow="0" w:firstColumn="0" w:lastColumn="0" w:oddVBand="0" w:evenVBand="0" w:oddHBand="0" w:evenHBand="0" w:firstRowFirstColumn="0" w:firstRowLastColumn="0" w:lastRowFirstColumn="0" w:lastRowLastColumn="0"/>
              <w:rPr>
                <w:vertAlign w:val="subscript"/>
              </w:rPr>
            </w:pPr>
            <w:r>
              <w:t>Layer 1 drawdown at 50 yrs (m)</w:t>
            </w:r>
          </w:p>
        </w:tc>
        <w:tc>
          <w:tcPr>
            <w:tcW w:w="1758" w:type="dxa"/>
            <w:tcBorders>
              <w:top w:val="single" w:sz="4" w:space="0" w:color="000000" w:themeColor="text1"/>
              <w:left w:val="nil"/>
              <w:bottom w:val="single" w:sz="4" w:space="0" w:color="000000" w:themeColor="text1"/>
              <w:right w:val="nil"/>
            </w:tcBorders>
            <w:shd w:val="clear" w:color="auto" w:fill="F2F2F2" w:themeFill="background1" w:themeFillShade="F2"/>
          </w:tcPr>
          <w:p w14:paraId="7CC0DB35" w14:textId="0CE1D7A8" w:rsidR="00253471" w:rsidRDefault="00253471" w:rsidP="00253471">
            <w:pPr>
              <w:cnfStyle w:val="100000000000" w:firstRow="1" w:lastRow="0" w:firstColumn="0" w:lastColumn="0" w:oddVBand="0" w:evenVBand="0" w:oddHBand="0" w:evenHBand="0" w:firstRowFirstColumn="0" w:firstRowLastColumn="0" w:lastRowFirstColumn="0" w:lastRowLastColumn="0"/>
            </w:pPr>
            <w:r>
              <w:t>Layer 3 drawdown at 50 yrs (m)</w:t>
            </w:r>
          </w:p>
        </w:tc>
        <w:tc>
          <w:tcPr>
            <w:tcW w:w="1758" w:type="dxa"/>
            <w:tcBorders>
              <w:top w:val="single" w:sz="4" w:space="0" w:color="000000" w:themeColor="text1"/>
              <w:left w:val="nil"/>
              <w:bottom w:val="single" w:sz="4" w:space="0" w:color="000000" w:themeColor="text1"/>
              <w:right w:val="nil"/>
            </w:tcBorders>
            <w:shd w:val="clear" w:color="auto" w:fill="F2F2F2" w:themeFill="background1" w:themeFillShade="F2"/>
          </w:tcPr>
          <w:p w14:paraId="0DA6882D" w14:textId="7FFAF868" w:rsidR="00253471" w:rsidRDefault="00253471" w:rsidP="00253471">
            <w:pPr>
              <w:cnfStyle w:val="100000000000" w:firstRow="1" w:lastRow="0" w:firstColumn="0" w:lastColumn="0" w:oddVBand="0" w:evenVBand="0" w:oddHBand="0" w:evenHBand="0" w:firstRowFirstColumn="0" w:firstRowLastColumn="0" w:lastRowFirstColumn="0" w:lastRowLastColumn="0"/>
            </w:pPr>
            <w:r>
              <w:t>Layer 3 recovery time (days)</w:t>
            </w:r>
          </w:p>
        </w:tc>
      </w:tr>
      <w:tr w:rsidR="00253471" w14:paraId="761C4281" w14:textId="77777777" w:rsidTr="00253471">
        <w:tc>
          <w:tcPr>
            <w:cnfStyle w:val="001000000000" w:firstRow="0" w:lastRow="0" w:firstColumn="1" w:lastColumn="0" w:oddVBand="0" w:evenVBand="0" w:oddHBand="0" w:evenHBand="0" w:firstRowFirstColumn="0" w:firstRowLastColumn="0" w:lastRowFirstColumn="0" w:lastRowLastColumn="0"/>
            <w:tcW w:w="1757" w:type="dxa"/>
            <w:tcBorders>
              <w:top w:val="single" w:sz="4" w:space="0" w:color="000000" w:themeColor="text1"/>
              <w:left w:val="nil"/>
              <w:bottom w:val="nil"/>
              <w:right w:val="nil"/>
            </w:tcBorders>
            <w:shd w:val="clear" w:color="auto" w:fill="F2F2F2" w:themeFill="background1" w:themeFillShade="F2"/>
          </w:tcPr>
          <w:p w14:paraId="356188B5" w14:textId="53BE8344" w:rsidR="00253471" w:rsidRPr="00AD06F5" w:rsidRDefault="00253471" w:rsidP="00253471">
            <w:pPr>
              <w:rPr>
                <w:b w:val="0"/>
              </w:rPr>
            </w:pPr>
            <w:r>
              <w:rPr>
                <w:b w:val="0"/>
              </w:rPr>
              <w:t>Fully sealed (1)</w:t>
            </w:r>
          </w:p>
        </w:tc>
        <w:tc>
          <w:tcPr>
            <w:tcW w:w="1758" w:type="dxa"/>
            <w:tcBorders>
              <w:top w:val="single" w:sz="4" w:space="0" w:color="000000" w:themeColor="text1"/>
              <w:left w:val="nil"/>
              <w:bottom w:val="nil"/>
              <w:right w:val="nil"/>
            </w:tcBorders>
            <w:shd w:val="clear" w:color="auto" w:fill="F2F2F2" w:themeFill="background1" w:themeFillShade="F2"/>
            <w:vAlign w:val="bottom"/>
          </w:tcPr>
          <w:p w14:paraId="70D670B2" w14:textId="434DC8A3" w:rsidR="00253471" w:rsidRDefault="00253471" w:rsidP="00253471">
            <w:pPr>
              <w:cnfStyle w:val="000000000000" w:firstRow="0" w:lastRow="0" w:firstColumn="0" w:lastColumn="0" w:oddVBand="0" w:evenVBand="0" w:oddHBand="0" w:evenHBand="0" w:firstRowFirstColumn="0" w:firstRowLastColumn="0" w:lastRowFirstColumn="0" w:lastRowLastColumn="0"/>
            </w:pPr>
            <w:r>
              <w:t>0</w:t>
            </w:r>
          </w:p>
        </w:tc>
        <w:tc>
          <w:tcPr>
            <w:tcW w:w="1758" w:type="dxa"/>
            <w:tcBorders>
              <w:top w:val="single" w:sz="4" w:space="0" w:color="000000" w:themeColor="text1"/>
              <w:left w:val="nil"/>
              <w:bottom w:val="nil"/>
              <w:right w:val="nil"/>
            </w:tcBorders>
            <w:shd w:val="clear" w:color="auto" w:fill="F2F2F2" w:themeFill="background1" w:themeFillShade="F2"/>
          </w:tcPr>
          <w:p w14:paraId="79C6474A" w14:textId="0E265D50" w:rsidR="00253471" w:rsidRPr="00287A00" w:rsidRDefault="00253471" w:rsidP="00253471">
            <w:pPr>
              <w:cnfStyle w:val="000000000000" w:firstRow="0" w:lastRow="0" w:firstColumn="0" w:lastColumn="0" w:oddVBand="0" w:evenVBand="0" w:oddHBand="0" w:evenHBand="0" w:firstRowFirstColumn="0" w:firstRowLastColumn="0" w:lastRowFirstColumn="0" w:lastRowLastColumn="0"/>
              <w:rPr>
                <w:vertAlign w:val="superscript"/>
              </w:rPr>
            </w:pPr>
            <w:r>
              <w:t>0</w:t>
            </w:r>
          </w:p>
        </w:tc>
        <w:tc>
          <w:tcPr>
            <w:tcW w:w="1758" w:type="dxa"/>
            <w:tcBorders>
              <w:top w:val="single" w:sz="4" w:space="0" w:color="000000" w:themeColor="text1"/>
              <w:left w:val="nil"/>
              <w:bottom w:val="nil"/>
              <w:right w:val="nil"/>
            </w:tcBorders>
            <w:shd w:val="clear" w:color="auto" w:fill="F2F2F2" w:themeFill="background1" w:themeFillShade="F2"/>
          </w:tcPr>
          <w:p w14:paraId="46A9E349" w14:textId="044C7B41" w:rsidR="00253471" w:rsidRDefault="00253471" w:rsidP="00253471">
            <w:pPr>
              <w:cnfStyle w:val="000000000000" w:firstRow="0" w:lastRow="0" w:firstColumn="0" w:lastColumn="0" w:oddVBand="0" w:evenVBand="0" w:oddHBand="0" w:evenHBand="0" w:firstRowFirstColumn="0" w:firstRowLastColumn="0" w:lastRowFirstColumn="0" w:lastRowLastColumn="0"/>
            </w:pPr>
            <w:r>
              <w:t>0</w:t>
            </w:r>
          </w:p>
        </w:tc>
        <w:tc>
          <w:tcPr>
            <w:tcW w:w="1758" w:type="dxa"/>
            <w:tcBorders>
              <w:top w:val="single" w:sz="4" w:space="0" w:color="000000" w:themeColor="text1"/>
              <w:left w:val="nil"/>
              <w:bottom w:val="nil"/>
              <w:right w:val="nil"/>
            </w:tcBorders>
            <w:shd w:val="clear" w:color="auto" w:fill="F2F2F2" w:themeFill="background1" w:themeFillShade="F2"/>
            <w:vAlign w:val="bottom"/>
          </w:tcPr>
          <w:p w14:paraId="7E8135AB" w14:textId="7C8E2DE0" w:rsidR="00253471" w:rsidRDefault="00253471" w:rsidP="00253471">
            <w:pPr>
              <w:cnfStyle w:val="000000000000" w:firstRow="0" w:lastRow="0" w:firstColumn="0" w:lastColumn="0" w:oddVBand="0" w:evenVBand="0" w:oddHBand="0" w:evenHBand="0" w:firstRowFirstColumn="0" w:firstRowLastColumn="0" w:lastRowFirstColumn="0" w:lastRowLastColumn="0"/>
            </w:pPr>
            <w:r>
              <w:t>730</w:t>
            </w:r>
          </w:p>
        </w:tc>
      </w:tr>
      <w:tr w:rsidR="00253471" w14:paraId="0F50BF6D" w14:textId="77777777" w:rsidTr="00253471">
        <w:tc>
          <w:tcPr>
            <w:cnfStyle w:val="001000000000" w:firstRow="0" w:lastRow="0" w:firstColumn="1" w:lastColumn="0" w:oddVBand="0" w:evenVBand="0" w:oddHBand="0" w:evenHBand="0" w:firstRowFirstColumn="0" w:firstRowLastColumn="0" w:lastRowFirstColumn="0" w:lastRowLastColumn="0"/>
            <w:tcW w:w="1757" w:type="dxa"/>
            <w:tcBorders>
              <w:top w:val="nil"/>
              <w:left w:val="nil"/>
              <w:bottom w:val="nil"/>
              <w:right w:val="nil"/>
            </w:tcBorders>
          </w:tcPr>
          <w:p w14:paraId="3530452D" w14:textId="7E4A808D" w:rsidR="00253471" w:rsidRPr="00AD06F5" w:rsidRDefault="00253471" w:rsidP="00253471">
            <w:pPr>
              <w:rPr>
                <w:b w:val="0"/>
              </w:rPr>
            </w:pPr>
            <w:r>
              <w:rPr>
                <w:b w:val="0"/>
              </w:rPr>
              <w:t>Leaky (2)</w:t>
            </w:r>
          </w:p>
        </w:tc>
        <w:tc>
          <w:tcPr>
            <w:tcW w:w="1758" w:type="dxa"/>
            <w:tcBorders>
              <w:top w:val="nil"/>
              <w:left w:val="nil"/>
              <w:bottom w:val="nil"/>
              <w:right w:val="nil"/>
            </w:tcBorders>
            <w:vAlign w:val="bottom"/>
          </w:tcPr>
          <w:p w14:paraId="51760D20" w14:textId="1A16ECA9" w:rsidR="00253471" w:rsidRDefault="00253471" w:rsidP="00253471">
            <w:pPr>
              <w:cnfStyle w:val="000000000000" w:firstRow="0" w:lastRow="0" w:firstColumn="0" w:lastColumn="0" w:oddVBand="0" w:evenVBand="0" w:oddHBand="0" w:evenHBand="0" w:firstRowFirstColumn="0" w:firstRowLastColumn="0" w:lastRowFirstColumn="0" w:lastRowLastColumn="0"/>
            </w:pPr>
            <w:r>
              <w:t>1.2%</w:t>
            </w:r>
          </w:p>
        </w:tc>
        <w:tc>
          <w:tcPr>
            <w:tcW w:w="1758" w:type="dxa"/>
            <w:tcBorders>
              <w:top w:val="nil"/>
              <w:left w:val="nil"/>
              <w:bottom w:val="nil"/>
              <w:right w:val="nil"/>
            </w:tcBorders>
          </w:tcPr>
          <w:p w14:paraId="17DAA1FF" w14:textId="6DAE4410" w:rsidR="00253471" w:rsidRPr="00287A00" w:rsidRDefault="00253471" w:rsidP="00253471">
            <w:pPr>
              <w:cnfStyle w:val="000000000000" w:firstRow="0" w:lastRow="0" w:firstColumn="0" w:lastColumn="0" w:oddVBand="0" w:evenVBand="0" w:oddHBand="0" w:evenHBand="0" w:firstRowFirstColumn="0" w:firstRowLastColumn="0" w:lastRowFirstColumn="0" w:lastRowLastColumn="0"/>
              <w:rPr>
                <w:vertAlign w:val="superscript"/>
              </w:rPr>
            </w:pPr>
            <w:r>
              <w:t>0</w:t>
            </w:r>
          </w:p>
        </w:tc>
        <w:tc>
          <w:tcPr>
            <w:tcW w:w="1758" w:type="dxa"/>
            <w:tcBorders>
              <w:top w:val="nil"/>
              <w:left w:val="nil"/>
              <w:bottom w:val="nil"/>
              <w:right w:val="nil"/>
            </w:tcBorders>
          </w:tcPr>
          <w:p w14:paraId="39857486" w14:textId="16046393" w:rsidR="00253471" w:rsidRDefault="00253471" w:rsidP="00253471">
            <w:pPr>
              <w:cnfStyle w:val="000000000000" w:firstRow="0" w:lastRow="0" w:firstColumn="0" w:lastColumn="0" w:oddVBand="0" w:evenVBand="0" w:oddHBand="0" w:evenHBand="0" w:firstRowFirstColumn="0" w:firstRowLastColumn="0" w:lastRowFirstColumn="0" w:lastRowLastColumn="0"/>
            </w:pPr>
            <w:r>
              <w:t>0</w:t>
            </w:r>
          </w:p>
        </w:tc>
        <w:tc>
          <w:tcPr>
            <w:tcW w:w="1758" w:type="dxa"/>
            <w:tcBorders>
              <w:top w:val="nil"/>
              <w:left w:val="nil"/>
              <w:bottom w:val="nil"/>
              <w:right w:val="nil"/>
            </w:tcBorders>
            <w:vAlign w:val="bottom"/>
          </w:tcPr>
          <w:p w14:paraId="4FD41E0F" w14:textId="26EB88C4" w:rsidR="00253471" w:rsidRDefault="00253471" w:rsidP="00253471">
            <w:pPr>
              <w:cnfStyle w:val="000000000000" w:firstRow="0" w:lastRow="0" w:firstColumn="0" w:lastColumn="0" w:oddVBand="0" w:evenVBand="0" w:oddHBand="0" w:evenHBand="0" w:firstRowFirstColumn="0" w:firstRowLastColumn="0" w:lastRowFirstColumn="0" w:lastRowLastColumn="0"/>
            </w:pPr>
            <w:r>
              <w:t>730</w:t>
            </w:r>
          </w:p>
        </w:tc>
      </w:tr>
      <w:tr w:rsidR="00253471" w14:paraId="00A1676E" w14:textId="77777777" w:rsidTr="00253471">
        <w:tc>
          <w:tcPr>
            <w:cnfStyle w:val="001000000000" w:firstRow="0" w:lastRow="0" w:firstColumn="1" w:lastColumn="0" w:oddVBand="0" w:evenVBand="0" w:oddHBand="0" w:evenHBand="0" w:firstRowFirstColumn="0" w:firstRowLastColumn="0" w:lastRowFirstColumn="0" w:lastRowLastColumn="0"/>
            <w:tcW w:w="1757" w:type="dxa"/>
            <w:tcBorders>
              <w:top w:val="nil"/>
              <w:left w:val="nil"/>
              <w:bottom w:val="single" w:sz="4" w:space="0" w:color="000000" w:themeColor="text1"/>
              <w:right w:val="nil"/>
            </w:tcBorders>
            <w:shd w:val="clear" w:color="auto" w:fill="F2F2F2" w:themeFill="background1" w:themeFillShade="F2"/>
          </w:tcPr>
          <w:p w14:paraId="27CC7F1B" w14:textId="5DFD6CC4" w:rsidR="00253471" w:rsidRPr="00AD06F5" w:rsidRDefault="00253471" w:rsidP="00253471">
            <w:pPr>
              <w:rPr>
                <w:b w:val="0"/>
              </w:rPr>
            </w:pPr>
            <w:r>
              <w:rPr>
                <w:b w:val="0"/>
              </w:rPr>
              <w:t>Open (3)</w:t>
            </w:r>
          </w:p>
        </w:tc>
        <w:tc>
          <w:tcPr>
            <w:tcW w:w="1758" w:type="dxa"/>
            <w:tcBorders>
              <w:top w:val="nil"/>
              <w:left w:val="nil"/>
              <w:bottom w:val="single" w:sz="4" w:space="0" w:color="000000" w:themeColor="text1"/>
              <w:right w:val="nil"/>
            </w:tcBorders>
            <w:shd w:val="clear" w:color="auto" w:fill="F2F2F2" w:themeFill="background1" w:themeFillShade="F2"/>
            <w:vAlign w:val="bottom"/>
          </w:tcPr>
          <w:p w14:paraId="6273A8B0" w14:textId="6398E9F8" w:rsidR="00253471" w:rsidRDefault="00253471" w:rsidP="00253471">
            <w:pPr>
              <w:cnfStyle w:val="000000000000" w:firstRow="0" w:lastRow="0" w:firstColumn="0" w:lastColumn="0" w:oddVBand="0" w:evenVBand="0" w:oddHBand="0" w:evenHBand="0" w:firstRowFirstColumn="0" w:firstRowLastColumn="0" w:lastRowFirstColumn="0" w:lastRowLastColumn="0"/>
            </w:pPr>
            <w:r>
              <w:t>35</w:t>
            </w:r>
            <w:r w:rsidR="005331D8">
              <w:t>0</w:t>
            </w:r>
            <w:r>
              <w:t>0%</w:t>
            </w:r>
          </w:p>
        </w:tc>
        <w:tc>
          <w:tcPr>
            <w:tcW w:w="1758" w:type="dxa"/>
            <w:tcBorders>
              <w:top w:val="nil"/>
              <w:left w:val="nil"/>
              <w:bottom w:val="single" w:sz="4" w:space="0" w:color="000000" w:themeColor="text1"/>
              <w:right w:val="nil"/>
            </w:tcBorders>
            <w:shd w:val="clear" w:color="auto" w:fill="F2F2F2" w:themeFill="background1" w:themeFillShade="F2"/>
          </w:tcPr>
          <w:p w14:paraId="6B3505B9" w14:textId="38E27372" w:rsidR="00253471" w:rsidRPr="00287A00" w:rsidRDefault="00253471" w:rsidP="00253471">
            <w:pPr>
              <w:cnfStyle w:val="000000000000" w:firstRow="0" w:lastRow="0" w:firstColumn="0" w:lastColumn="0" w:oddVBand="0" w:evenVBand="0" w:oddHBand="0" w:evenHBand="0" w:firstRowFirstColumn="0" w:firstRowLastColumn="0" w:lastRowFirstColumn="0" w:lastRowLastColumn="0"/>
              <w:rPr>
                <w:vertAlign w:val="superscript"/>
              </w:rPr>
            </w:pPr>
            <w:r>
              <w:t>5</w:t>
            </w:r>
          </w:p>
        </w:tc>
        <w:tc>
          <w:tcPr>
            <w:tcW w:w="1758" w:type="dxa"/>
            <w:tcBorders>
              <w:top w:val="nil"/>
              <w:left w:val="nil"/>
              <w:bottom w:val="single" w:sz="4" w:space="0" w:color="000000" w:themeColor="text1"/>
              <w:right w:val="nil"/>
            </w:tcBorders>
            <w:shd w:val="clear" w:color="auto" w:fill="F2F2F2" w:themeFill="background1" w:themeFillShade="F2"/>
          </w:tcPr>
          <w:p w14:paraId="6C297F05" w14:textId="50F84B3E" w:rsidR="00253471" w:rsidRDefault="00253471" w:rsidP="00253471">
            <w:pPr>
              <w:cnfStyle w:val="000000000000" w:firstRow="0" w:lastRow="0" w:firstColumn="0" w:lastColumn="0" w:oddVBand="0" w:evenVBand="0" w:oddHBand="0" w:evenHBand="0" w:firstRowFirstColumn="0" w:firstRowLastColumn="0" w:lastRowFirstColumn="0" w:lastRowLastColumn="0"/>
            </w:pPr>
            <w:r>
              <w:t>-15</w:t>
            </w:r>
          </w:p>
        </w:tc>
        <w:tc>
          <w:tcPr>
            <w:tcW w:w="1758" w:type="dxa"/>
            <w:tcBorders>
              <w:top w:val="nil"/>
              <w:left w:val="nil"/>
              <w:bottom w:val="single" w:sz="4" w:space="0" w:color="000000" w:themeColor="text1"/>
              <w:right w:val="nil"/>
            </w:tcBorders>
            <w:shd w:val="clear" w:color="auto" w:fill="F2F2F2" w:themeFill="background1" w:themeFillShade="F2"/>
            <w:vAlign w:val="bottom"/>
          </w:tcPr>
          <w:p w14:paraId="0EFAC38D" w14:textId="27032240" w:rsidR="00253471" w:rsidRDefault="00253471" w:rsidP="00253471">
            <w:pPr>
              <w:cnfStyle w:val="000000000000" w:firstRow="0" w:lastRow="0" w:firstColumn="0" w:lastColumn="0" w:oddVBand="0" w:evenVBand="0" w:oddHBand="0" w:evenHBand="0" w:firstRowFirstColumn="0" w:firstRowLastColumn="0" w:lastRowFirstColumn="0" w:lastRowLastColumn="0"/>
            </w:pPr>
            <w:r>
              <w:t>5</w:t>
            </w:r>
          </w:p>
        </w:tc>
      </w:tr>
    </w:tbl>
    <w:p w14:paraId="0E5213D1" w14:textId="77777777" w:rsidR="00A2723D" w:rsidRDefault="00A2723D" w:rsidP="00686DF3">
      <w:pPr>
        <w:rPr>
          <w:b/>
          <w:bCs/>
        </w:rPr>
      </w:pPr>
    </w:p>
    <w:p w14:paraId="3EE381FE" w14:textId="06BB09AD" w:rsidR="008A3F82" w:rsidRDefault="008A3F82" w:rsidP="008A3F82">
      <w:r>
        <w:t xml:space="preserve">The heads in </w:t>
      </w:r>
      <w:r w:rsidR="002609A8">
        <w:t>the surficial aquifer and aquitard</w:t>
      </w:r>
      <w:r w:rsidR="0022392C">
        <w:t xml:space="preserve"> </w:t>
      </w:r>
      <w:r>
        <w:t xml:space="preserve">were not obviously affected by pumping during the </w:t>
      </w:r>
      <w:r w:rsidR="00381A29">
        <w:t>26 year</w:t>
      </w:r>
      <w:r>
        <w:t xml:space="preserve"> production period. </w:t>
      </w:r>
      <w:r w:rsidR="002609A8">
        <w:t xml:space="preserve">The production zone was drawn down due to pumping and had an obvious recovery </w:t>
      </w:r>
      <w:r w:rsidR="004A7384">
        <w:t xml:space="preserve">period </w:t>
      </w:r>
      <w:r w:rsidR="002609A8">
        <w:t>once production ceased.</w:t>
      </w:r>
      <w:r w:rsidR="004A7384">
        <w:t xml:space="preserve"> </w:t>
      </w:r>
      <w:r>
        <w:t xml:space="preserve">For the specific parameter set in </w:t>
      </w:r>
      <w:r>
        <w:fldChar w:fldCharType="begin"/>
      </w:r>
      <w:r>
        <w:instrText xml:space="preserve"> REF _Ref447227143 \h </w:instrText>
      </w:r>
      <w:r>
        <w:fldChar w:fldCharType="separate"/>
      </w:r>
      <w:r w:rsidR="002E45AF">
        <w:t xml:space="preserve">Table </w:t>
      </w:r>
      <w:r w:rsidR="002E45AF">
        <w:rPr>
          <w:noProof/>
        </w:rPr>
        <w:t>2</w:t>
      </w:r>
      <w:r>
        <w:fldChar w:fldCharType="end"/>
      </w:r>
      <w:r>
        <w:t xml:space="preserve">, the full aquifer recovery time around the pumping - induced cone of depression was around 2 years for the two </w:t>
      </w:r>
      <w:r w:rsidR="00490FAF">
        <w:t xml:space="preserve">sealed and </w:t>
      </w:r>
      <w:r>
        <w:t>leaky well scenarios</w:t>
      </w:r>
      <w:r w:rsidR="00490FAF">
        <w:t>, and around 5 days for the open well</w:t>
      </w:r>
      <w:r>
        <w:t>.</w:t>
      </w:r>
      <w:r w:rsidR="004A7384">
        <w:t xml:space="preserve"> </w:t>
      </w:r>
      <w:r w:rsidR="00490FAF">
        <w:t xml:space="preserve">The open well scenario took </w:t>
      </w:r>
      <w:r w:rsidR="00253471">
        <w:t>around 2.5 years to stabilise to the new level, 15 m higher than before.</w:t>
      </w:r>
    </w:p>
    <w:p w14:paraId="5A6EBF0B" w14:textId="4F47A046" w:rsidR="008A3F82" w:rsidRDefault="00440F74" w:rsidP="008A3F82">
      <w:r>
        <w:t>The p</w:t>
      </w:r>
      <w:r w:rsidR="0064020A">
        <w:t xml:space="preserve">resence of an open well caused drawdown of the surficial aquifer of between one metre and five metres </w:t>
      </w:r>
      <w:r w:rsidR="00E23647">
        <w:t xml:space="preserve">from initial conditions </w:t>
      </w:r>
      <w:r w:rsidR="0064020A">
        <w:t>within a distance of 100 m from the well.</w:t>
      </w:r>
      <w:r w:rsidR="001F4C4B">
        <w:t xml:space="preserve"> This drawdown was observed to be sustained for at least 50 years after production ceased, although in a real situation regional groundwater recharge may lead to </w:t>
      </w:r>
      <w:r w:rsidR="00F31F39">
        <w:t>a partial</w:t>
      </w:r>
      <w:r w:rsidR="001F4C4B">
        <w:t xml:space="preserve"> recovery of heads </w:t>
      </w:r>
      <w:r w:rsidR="00E23647">
        <w:t>in the long term</w:t>
      </w:r>
      <w:r w:rsidR="001F4C4B">
        <w:t>.</w:t>
      </w:r>
      <w:r w:rsidR="00E23647">
        <w:t xml:space="preserve"> </w:t>
      </w:r>
      <w:r w:rsidR="00392685">
        <w:t xml:space="preserve">The long term piezometric head in the </w:t>
      </w:r>
      <w:r w:rsidR="00F2751B">
        <w:t xml:space="preserve">gas </w:t>
      </w:r>
      <w:r w:rsidR="00392685">
        <w:t>production zone was higher than initial conditions due to the inflow of water from the open well.</w:t>
      </w:r>
    </w:p>
    <w:p w14:paraId="001F8010" w14:textId="09DC87F9" w:rsidR="008A3F82" w:rsidRDefault="00E832E8" w:rsidP="008A3F82">
      <w:r>
        <w:t xml:space="preserve">For the fully sealed well and leaky well scenarios, </w:t>
      </w:r>
      <w:r w:rsidR="00440F74">
        <w:t xml:space="preserve">the </w:t>
      </w:r>
      <w:r>
        <w:t>production-induced drawdown in layer 3 was in the main part</w:t>
      </w:r>
      <w:r w:rsidR="00A74837">
        <w:t xml:space="preserve"> relieved by the </w:t>
      </w:r>
      <w:r>
        <w:t xml:space="preserve">loss in storage </w:t>
      </w:r>
      <w:r w:rsidR="00A74837">
        <w:t xml:space="preserve">and movement of water </w:t>
      </w:r>
      <w:r>
        <w:t xml:space="preserve">(and </w:t>
      </w:r>
      <w:r w:rsidR="00A74837">
        <w:t xml:space="preserve">subsequent </w:t>
      </w:r>
      <w:r>
        <w:t xml:space="preserve">lowering in piezometric head) </w:t>
      </w:r>
      <w:r w:rsidR="00A74837">
        <w:t>from</w:t>
      </w:r>
      <w:r>
        <w:t xml:space="preserve"> the aquitard.</w:t>
      </w:r>
      <w:r w:rsidR="00C55495">
        <w:t xml:space="preserve"> In the open well scenario, </w:t>
      </w:r>
      <w:r w:rsidR="00FC41AF">
        <w:t xml:space="preserve">the contributor to aquifer recovery was flow through the well, which resulted in a very rapid recovery in the </w:t>
      </w:r>
      <w:r w:rsidR="00CC4024">
        <w:t>vicinity of the well, followed by slower propagation of this water through the aquifer. A groundwater mound of approximately one metre was formed around the well</w:t>
      </w:r>
      <w:r w:rsidR="00FC41AF">
        <w:t>.</w:t>
      </w:r>
    </w:p>
    <w:p w14:paraId="7E496D1B" w14:textId="1764BB54" w:rsidR="008A3F82" w:rsidRDefault="00777649" w:rsidP="008A3F82">
      <w:r>
        <w:t xml:space="preserve">The results of this modelling are specific to parameters describing one location of the Narrabri model, and do not include external processes such as groundwater recharge and flow between adjacent parts of the aquifers. </w:t>
      </w:r>
      <w:r w:rsidR="002609A8">
        <w:t>The impacts of g</w:t>
      </w:r>
      <w:r w:rsidR="008A3F82">
        <w:t>roundwater recharge and interactions between different parts of the larger system will be explored in the regional groundwater modelling activity of this project.</w:t>
      </w:r>
    </w:p>
    <w:p w14:paraId="6ECDD871" w14:textId="06FAC068" w:rsidR="00777649" w:rsidRDefault="00777649" w:rsidP="00777649">
      <w:r>
        <w:t>From the modelling described in this report, it is unlikely that there will be an impact from</w:t>
      </w:r>
      <w:r w:rsidR="0071787F">
        <w:t xml:space="preserve"> leaky, decommissioned CSG wells</w:t>
      </w:r>
      <w:r>
        <w:t xml:space="preserve"> on a hydrogeological system similar to </w:t>
      </w:r>
      <w:r w:rsidR="004A01B3">
        <w:rPr>
          <w:rFonts w:ascii="Segoe UI" w:eastAsiaTheme="minorHAnsi" w:hAnsi="Segoe UI" w:cs="Segoe UI"/>
          <w:sz w:val="20"/>
          <w:szCs w:val="20"/>
          <w:lang w:eastAsia="en-US"/>
        </w:rPr>
        <w:t>that of the Narrabri CSG region of the Gunnedah Basin.</w:t>
      </w:r>
      <w:r>
        <w:t xml:space="preserve"> It is likely that exploration or repurposed production bores that remain open after the site is decommissioned will impact water levels in the surficial aquifer.</w:t>
      </w:r>
    </w:p>
    <w:p w14:paraId="58A6A3CF" w14:textId="5C72253E" w:rsidR="00777649" w:rsidRDefault="00777649" w:rsidP="00777649">
      <w:r>
        <w:t xml:space="preserve">This analysis has been concerned with the movement of water between the aquifers and aquitards in a CSG production area. It does not include the movement of methane gas or solute transport associated with the flow of water. For areas with a </w:t>
      </w:r>
      <w:r w:rsidR="00C006BA">
        <w:t xml:space="preserve">natural </w:t>
      </w:r>
      <w:r>
        <w:t xml:space="preserve">upward hydraulic gradient, flow of </w:t>
      </w:r>
      <w:r w:rsidR="00E920CD">
        <w:t xml:space="preserve">water from the production zone to the water bearing aquifer </w:t>
      </w:r>
      <w:r>
        <w:t>is possible</w:t>
      </w:r>
      <w:r w:rsidR="00E920CD">
        <w:t>.</w:t>
      </w:r>
      <w:r>
        <w:t xml:space="preserve"> </w:t>
      </w:r>
      <w:r w:rsidR="00E920CD">
        <w:t xml:space="preserve">This </w:t>
      </w:r>
      <w:r>
        <w:t xml:space="preserve">has </w:t>
      </w:r>
      <w:r w:rsidR="00E920CD">
        <w:t xml:space="preserve">the </w:t>
      </w:r>
      <w:r>
        <w:t xml:space="preserve">potential for contamination of the water bearing aquifer from </w:t>
      </w:r>
      <w:r w:rsidR="00E920CD">
        <w:t xml:space="preserve">lower-quality </w:t>
      </w:r>
      <w:r>
        <w:t>water in the production zone</w:t>
      </w:r>
      <w:r w:rsidR="00E920CD">
        <w:t xml:space="preserve"> </w:t>
      </w:r>
      <w:r w:rsidR="00440F74">
        <w:t>from higher TDS concentration or the</w:t>
      </w:r>
      <w:r w:rsidR="00E920CD">
        <w:t xml:space="preserve"> </w:t>
      </w:r>
      <w:r>
        <w:t>remnant</w:t>
      </w:r>
      <w:r w:rsidR="00E920CD">
        <w:t>s of</w:t>
      </w:r>
      <w:r>
        <w:t xml:space="preserve"> fracking fluids </w:t>
      </w:r>
      <w:r w:rsidR="00E920CD">
        <w:t xml:space="preserve">and </w:t>
      </w:r>
      <w:r>
        <w:t>drilling mud.</w:t>
      </w:r>
    </w:p>
    <w:p w14:paraId="357D4F3F" w14:textId="77777777" w:rsidR="00F24FC6" w:rsidRDefault="00F24FC6" w:rsidP="00F24FC6">
      <w:pPr>
        <w:pStyle w:val="Heading1"/>
      </w:pPr>
      <w:bookmarkStart w:id="559" w:name="_Toc452449161"/>
      <w:r>
        <w:t>Conclusions</w:t>
      </w:r>
      <w:bookmarkEnd w:id="559"/>
    </w:p>
    <w:p w14:paraId="154BFCD6" w14:textId="130BD2DB" w:rsidR="00777649" w:rsidRDefault="00777649" w:rsidP="00777649">
      <w:r>
        <w:t xml:space="preserve">Flow through </w:t>
      </w:r>
      <w:r w:rsidR="00F45BED">
        <w:t>a</w:t>
      </w:r>
      <w:r w:rsidR="00F34A61">
        <w:t xml:space="preserve">n open or </w:t>
      </w:r>
      <w:r w:rsidR="00F45BED">
        <w:t xml:space="preserve">leaky </w:t>
      </w:r>
      <w:r>
        <w:t xml:space="preserve">well </w:t>
      </w:r>
      <w:r w:rsidR="00F45BED">
        <w:t xml:space="preserve">was found to predominantly be </w:t>
      </w:r>
      <w:r>
        <w:t>controlled by the effective well conductivity</w:t>
      </w:r>
      <w:r w:rsidR="00F45BED">
        <w:t xml:space="preserve"> (ability to move water between aquifers</w:t>
      </w:r>
      <w:r w:rsidR="00381A29">
        <w:t xml:space="preserve"> via a connecting well</w:t>
      </w:r>
      <w:r w:rsidR="00F45BED">
        <w:t>)</w:t>
      </w:r>
      <w:r>
        <w:t xml:space="preserve"> or the transmissivity of the aquifers</w:t>
      </w:r>
      <w:r w:rsidR="00F45BED">
        <w:t xml:space="preserve"> (the ability of the aquifers to dissipate or provide water)</w:t>
      </w:r>
      <w:r>
        <w:t>.</w:t>
      </w:r>
    </w:p>
    <w:p w14:paraId="0A41DA4D" w14:textId="32C71168" w:rsidR="00F45BED" w:rsidRDefault="00777649" w:rsidP="00F45BED">
      <w:r>
        <w:t>A high level of localised discretisation around each w</w:t>
      </w:r>
      <w:r w:rsidR="00F45BED">
        <w:t xml:space="preserve">ell is required in the regional, cumulative effects </w:t>
      </w:r>
      <w:r>
        <w:t>model if MODHMS and the fracture well (FWL4) package are used.</w:t>
      </w:r>
      <w:r w:rsidR="00F45BED" w:rsidRPr="00F45BED">
        <w:t xml:space="preserve"> </w:t>
      </w:r>
      <w:r w:rsidR="00F45BED">
        <w:t xml:space="preserve">Localised discretisation in this model </w:t>
      </w:r>
      <w:r w:rsidR="00702A49">
        <w:t>needs to be the same as the well radius for the FWL4 package to avoid numerical error</w:t>
      </w:r>
      <w:r w:rsidR="00F45BED">
        <w:t>.</w:t>
      </w:r>
    </w:p>
    <w:p w14:paraId="40B806F7" w14:textId="521380E5" w:rsidR="00777649" w:rsidRDefault="00777649" w:rsidP="00777649">
      <w:r>
        <w:t xml:space="preserve">Flow through a </w:t>
      </w:r>
      <w:r w:rsidR="00381A29">
        <w:t xml:space="preserve">single </w:t>
      </w:r>
      <w:r>
        <w:t>leaky well was insignificant when compared</w:t>
      </w:r>
      <w:r w:rsidR="00F45BED">
        <w:t xml:space="preserve"> with </w:t>
      </w:r>
      <w:r w:rsidR="00FF15F3">
        <w:t xml:space="preserve">vertical </w:t>
      </w:r>
      <w:r w:rsidR="00F45BED">
        <w:t xml:space="preserve">flow through </w:t>
      </w:r>
      <w:r w:rsidR="00381A29">
        <w:t>a regional</w:t>
      </w:r>
      <w:r w:rsidR="00F45BED">
        <w:t xml:space="preserve"> aquitard, but t</w:t>
      </w:r>
      <w:r>
        <w:t xml:space="preserve">he flow through a fully open well was around 35 times greater than the regional </w:t>
      </w:r>
      <w:r w:rsidR="00FF15F3">
        <w:t xml:space="preserve">vertical </w:t>
      </w:r>
      <w:r>
        <w:t xml:space="preserve">flow through the </w:t>
      </w:r>
      <w:r w:rsidR="00FF15F3">
        <w:t>aquitard</w:t>
      </w:r>
      <w:r>
        <w:t xml:space="preserve"> for the specific parameter set used in this study. </w:t>
      </w:r>
    </w:p>
    <w:p w14:paraId="6EEFF96F" w14:textId="4A0F64AF" w:rsidR="00777649" w:rsidRPr="00C67736" w:rsidRDefault="00777649" w:rsidP="00777649">
      <w:r>
        <w:t>An effective well conductivity of</w:t>
      </w:r>
      <w:r w:rsidR="00381A29">
        <w:t xml:space="preserve"> at least</w:t>
      </w:r>
      <w:r w:rsidRPr="006727A7">
        <w:t xml:space="preserve"> 4x10</w:t>
      </w:r>
      <w:r w:rsidRPr="006727A7">
        <w:rPr>
          <w:vertAlign w:val="superscript"/>
        </w:rPr>
        <w:t>4</w:t>
      </w:r>
      <w:r>
        <w:t xml:space="preserve"> </w:t>
      </w:r>
      <w:r w:rsidR="005331D8">
        <w:t xml:space="preserve">m/d </w:t>
      </w:r>
      <w:r>
        <w:t xml:space="preserve">was required before the system was controlled by the aquifer transmissivity. The presence of a single, fully open well will impact the rate of water flow between alluvial and production aquifers, whereas over 600 leaky bores per square kilometre are required to have a significant impact. </w:t>
      </w:r>
    </w:p>
    <w:p w14:paraId="33F9857F" w14:textId="34825E50" w:rsidR="00F24FC6" w:rsidRDefault="00F45BED" w:rsidP="00F24FC6">
      <w:r>
        <w:t>It is u</w:t>
      </w:r>
      <w:r w:rsidR="0079517D">
        <w:t xml:space="preserve">nlikely that there will be an impact from leaky CSG bores on the </w:t>
      </w:r>
      <w:r w:rsidR="00FF15F3">
        <w:t>regional-scale</w:t>
      </w:r>
      <w:r w:rsidR="0079517D">
        <w:t xml:space="preserve"> hydrogeology of a </w:t>
      </w:r>
      <w:r>
        <w:t xml:space="preserve">system similar to </w:t>
      </w:r>
      <w:r w:rsidR="00FF15F3" w:rsidRPr="000A239F">
        <w:t>that of the Narrabri CSG region of the Gunnedah Basin.</w:t>
      </w:r>
      <w:r w:rsidR="005E5A44">
        <w:t xml:space="preserve"> </w:t>
      </w:r>
      <w:r w:rsidR="00FF15F3" w:rsidRPr="000A239F">
        <w:t>However, it</w:t>
      </w:r>
      <w:r w:rsidR="005E5A44">
        <w:t xml:space="preserve"> is likely that exploration or repurposed production bores that remain open after the site is decommissioned will impact water levels in the surficial aquifer.</w:t>
      </w:r>
      <w:r>
        <w:t xml:space="preserve"> </w:t>
      </w:r>
      <w:r w:rsidR="005E5A44">
        <w:t xml:space="preserve">Further work is required to assess </w:t>
      </w:r>
      <w:r w:rsidR="00381A29">
        <w:t xml:space="preserve">other potential </w:t>
      </w:r>
      <w:r>
        <w:t>impacts</w:t>
      </w:r>
      <w:r w:rsidR="00381A29">
        <w:t xml:space="preserve">, such as </w:t>
      </w:r>
      <w:r>
        <w:t xml:space="preserve">aquifer contamination from </w:t>
      </w:r>
      <w:r w:rsidR="0079517D">
        <w:t xml:space="preserve">methane transport </w:t>
      </w:r>
      <w:r>
        <w:t xml:space="preserve">or </w:t>
      </w:r>
      <w:r w:rsidR="0079517D">
        <w:t>solute transport</w:t>
      </w:r>
      <w:r>
        <w:t xml:space="preserve"> from the production zone </w:t>
      </w:r>
      <w:r w:rsidR="005E5A44">
        <w:t xml:space="preserve">in areas </w:t>
      </w:r>
      <w:r>
        <w:t xml:space="preserve">where </w:t>
      </w:r>
      <w:r w:rsidR="005E5A44">
        <w:t xml:space="preserve">an </w:t>
      </w:r>
      <w:r>
        <w:t>upward hydraulic gradients exist</w:t>
      </w:r>
      <w:r w:rsidR="0079517D">
        <w:t>.</w:t>
      </w:r>
    </w:p>
    <w:p w14:paraId="0E0E0EAB" w14:textId="77777777" w:rsidR="00E76D38" w:rsidRDefault="00E76D38" w:rsidP="00F24FC6"/>
    <w:p w14:paraId="01AA3C50" w14:textId="77777777" w:rsidR="00E76D38" w:rsidRDefault="00E76D38" w:rsidP="00F24FC6"/>
    <w:p w14:paraId="0683196E" w14:textId="77777777" w:rsidR="00F24FC6" w:rsidRPr="00F24FC6" w:rsidRDefault="00F24FC6" w:rsidP="00F24FC6">
      <w:pPr>
        <w:pStyle w:val="Heading1"/>
      </w:pPr>
      <w:bookmarkStart w:id="560" w:name="_Toc452449162"/>
      <w:r>
        <w:t>References</w:t>
      </w:r>
      <w:bookmarkEnd w:id="560"/>
    </w:p>
    <w:p w14:paraId="07EC24CC" w14:textId="77777777" w:rsidR="007A7BC9" w:rsidRPr="007A7BC9" w:rsidRDefault="009A3903" w:rsidP="007A7BC9">
      <w:pPr>
        <w:pStyle w:val="Reference"/>
        <w:spacing w:after="0" w:line="240" w:lineRule="auto"/>
        <w:ind w:left="0" w:firstLine="0"/>
        <w:rPr>
          <w:noProof/>
          <w:sz w:val="22"/>
        </w:rPr>
      </w:pPr>
      <w:r>
        <w:fldChar w:fldCharType="begin"/>
      </w:r>
      <w:r>
        <w:instrText xml:space="preserve"> ADDIN EN.REFLIST </w:instrText>
      </w:r>
      <w:r>
        <w:fldChar w:fldCharType="separate"/>
      </w:r>
      <w:bookmarkStart w:id="561" w:name="_ENREF_1"/>
      <w:r w:rsidR="007A7BC9" w:rsidRPr="007A7BC9">
        <w:rPr>
          <w:noProof/>
          <w:sz w:val="22"/>
        </w:rPr>
        <w:t xml:space="preserve">Carey, J. W., M. Wigand, S. J. Chipera, G. WoldeGabriel, R. Pawar, P. C. Lichtner, S. C. Wehner, M. A. Raines, and G. D. Guthrie (2007), Analysis and performance of oil well cement with 30 years of CO 2 exposure from the SACROC Unit, West Texas, USA, </w:t>
      </w:r>
      <w:r w:rsidR="007A7BC9" w:rsidRPr="007A7BC9">
        <w:rPr>
          <w:i/>
          <w:noProof/>
          <w:sz w:val="22"/>
        </w:rPr>
        <w:t>International Journal of Greenhouse Gas Control</w:t>
      </w:r>
      <w:r w:rsidR="007A7BC9" w:rsidRPr="007A7BC9">
        <w:rPr>
          <w:noProof/>
          <w:sz w:val="22"/>
        </w:rPr>
        <w:t xml:space="preserve">, </w:t>
      </w:r>
      <w:r w:rsidR="007A7BC9" w:rsidRPr="007A7BC9">
        <w:rPr>
          <w:i/>
          <w:noProof/>
          <w:sz w:val="22"/>
        </w:rPr>
        <w:t>1</w:t>
      </w:r>
      <w:r w:rsidR="007A7BC9" w:rsidRPr="007A7BC9">
        <w:rPr>
          <w:noProof/>
          <w:sz w:val="22"/>
        </w:rPr>
        <w:t>(1), 75-85.</w:t>
      </w:r>
      <w:bookmarkEnd w:id="561"/>
    </w:p>
    <w:p w14:paraId="53D3019C" w14:textId="77777777" w:rsidR="007A7BC9" w:rsidRDefault="007A7BC9" w:rsidP="007A7BC9">
      <w:pPr>
        <w:pStyle w:val="Reference"/>
        <w:spacing w:after="0" w:line="240" w:lineRule="auto"/>
        <w:ind w:left="0" w:firstLine="0"/>
        <w:rPr>
          <w:noProof/>
          <w:sz w:val="22"/>
        </w:rPr>
      </w:pPr>
      <w:bookmarkStart w:id="562" w:name="_ENREF_2"/>
      <w:r w:rsidRPr="007A7BC9">
        <w:rPr>
          <w:noProof/>
          <w:sz w:val="22"/>
        </w:rPr>
        <w:t xml:space="preserve">CDM Smith (2014), Santos Narrabri Gas Project: Groundwater modelling report. </w:t>
      </w:r>
      <w:r w:rsidRPr="007A7BC9">
        <w:rPr>
          <w:i/>
          <w:noProof/>
          <w:sz w:val="22"/>
        </w:rPr>
        <w:t>Rep.</w:t>
      </w:r>
      <w:r w:rsidRPr="007A7BC9">
        <w:rPr>
          <w:noProof/>
          <w:sz w:val="22"/>
        </w:rPr>
        <w:t>, 291 pp, Subiaco, WA.</w:t>
      </w:r>
      <w:bookmarkEnd w:id="562"/>
    </w:p>
    <w:p w14:paraId="2A35F081" w14:textId="254A6FD8" w:rsidR="00F9501A" w:rsidRPr="00F9501A" w:rsidRDefault="00F9501A" w:rsidP="00F9501A">
      <w:pPr>
        <w:pStyle w:val="Reference"/>
        <w:spacing w:after="0" w:line="240" w:lineRule="auto"/>
        <w:ind w:left="0" w:firstLine="0"/>
        <w:rPr>
          <w:noProof/>
          <w:sz w:val="22"/>
        </w:rPr>
      </w:pPr>
      <w:r w:rsidRPr="00F9501A">
        <w:rPr>
          <w:noProof/>
          <w:sz w:val="22"/>
        </w:rPr>
        <w:t>Connell</w:t>
      </w:r>
      <w:r>
        <w:rPr>
          <w:noProof/>
          <w:sz w:val="22"/>
        </w:rPr>
        <w:t>,</w:t>
      </w:r>
      <w:r w:rsidRPr="00F9501A">
        <w:rPr>
          <w:noProof/>
          <w:sz w:val="22"/>
        </w:rPr>
        <w:t xml:space="preserve"> L</w:t>
      </w:r>
      <w:r>
        <w:rPr>
          <w:noProof/>
          <w:sz w:val="22"/>
        </w:rPr>
        <w:t>.</w:t>
      </w:r>
      <w:r w:rsidRPr="00F9501A">
        <w:rPr>
          <w:noProof/>
          <w:sz w:val="22"/>
        </w:rPr>
        <w:t xml:space="preserve">, </w:t>
      </w:r>
      <w:r>
        <w:rPr>
          <w:noProof/>
          <w:sz w:val="22"/>
        </w:rPr>
        <w:t>D. Down</w:t>
      </w:r>
      <w:r w:rsidRPr="00F9501A">
        <w:rPr>
          <w:noProof/>
          <w:sz w:val="22"/>
        </w:rPr>
        <w:t xml:space="preserve">, </w:t>
      </w:r>
      <w:r>
        <w:rPr>
          <w:noProof/>
          <w:sz w:val="22"/>
        </w:rPr>
        <w:t xml:space="preserve">M. </w:t>
      </w:r>
      <w:r w:rsidRPr="00F9501A">
        <w:rPr>
          <w:noProof/>
          <w:sz w:val="22"/>
        </w:rPr>
        <w:t xml:space="preserve">Lu, </w:t>
      </w:r>
      <w:r>
        <w:rPr>
          <w:noProof/>
          <w:sz w:val="22"/>
        </w:rPr>
        <w:t xml:space="preserve">D. </w:t>
      </w:r>
      <w:r w:rsidRPr="00F9501A">
        <w:rPr>
          <w:noProof/>
          <w:sz w:val="22"/>
        </w:rPr>
        <w:t xml:space="preserve">Hay and </w:t>
      </w:r>
      <w:r>
        <w:rPr>
          <w:noProof/>
          <w:sz w:val="22"/>
        </w:rPr>
        <w:t xml:space="preserve">D. </w:t>
      </w:r>
      <w:r w:rsidRPr="00F9501A">
        <w:rPr>
          <w:noProof/>
          <w:sz w:val="22"/>
        </w:rPr>
        <w:t>Heryanto (2014)</w:t>
      </w:r>
      <w:r>
        <w:rPr>
          <w:noProof/>
          <w:sz w:val="22"/>
        </w:rPr>
        <w:t>,</w:t>
      </w:r>
      <w:r w:rsidRPr="00F9501A">
        <w:rPr>
          <w:noProof/>
          <w:sz w:val="22"/>
        </w:rPr>
        <w:t xml:space="preserve"> An assessment of the integrity of wellbore cement in CO2 storage wells. Report prepared for Australian National Low Emissions Coal Research Development.</w:t>
      </w:r>
    </w:p>
    <w:p w14:paraId="4EC21231" w14:textId="77777777" w:rsidR="007A7BC9" w:rsidRPr="007A7BC9" w:rsidRDefault="007A7BC9" w:rsidP="007A7BC9">
      <w:pPr>
        <w:pStyle w:val="Reference"/>
        <w:spacing w:after="0" w:line="240" w:lineRule="auto"/>
        <w:ind w:left="0" w:firstLine="0"/>
        <w:rPr>
          <w:noProof/>
          <w:sz w:val="22"/>
        </w:rPr>
      </w:pPr>
      <w:bookmarkStart w:id="563" w:name="_ENREF_3"/>
      <w:r w:rsidRPr="007A7BC9">
        <w:rPr>
          <w:noProof/>
          <w:sz w:val="22"/>
        </w:rPr>
        <w:t xml:space="preserve">Crow, W., J. W. Carey, S. Gasda, D. Brian Williams, and M. Celia (2010), Wellbore integrity analysis of a natural CO2 producer, </w:t>
      </w:r>
      <w:r w:rsidRPr="007A7BC9">
        <w:rPr>
          <w:i/>
          <w:noProof/>
          <w:sz w:val="22"/>
        </w:rPr>
        <w:t>International Journal of Greenhouse Gas Control</w:t>
      </w:r>
      <w:r w:rsidRPr="007A7BC9">
        <w:rPr>
          <w:noProof/>
          <w:sz w:val="22"/>
        </w:rPr>
        <w:t xml:space="preserve">, </w:t>
      </w:r>
      <w:r w:rsidRPr="007A7BC9">
        <w:rPr>
          <w:i/>
          <w:noProof/>
          <w:sz w:val="22"/>
        </w:rPr>
        <w:t>4</w:t>
      </w:r>
      <w:r w:rsidRPr="007A7BC9">
        <w:rPr>
          <w:noProof/>
          <w:sz w:val="22"/>
        </w:rPr>
        <w:t>(2), 186-197.</w:t>
      </w:r>
      <w:bookmarkEnd w:id="563"/>
    </w:p>
    <w:p w14:paraId="08C9A1F4" w14:textId="77777777" w:rsidR="007A7BC9" w:rsidRPr="007A7BC9" w:rsidRDefault="007A7BC9" w:rsidP="007A7BC9">
      <w:pPr>
        <w:pStyle w:val="Reference"/>
        <w:spacing w:after="0" w:line="240" w:lineRule="auto"/>
        <w:ind w:left="0" w:firstLine="0"/>
        <w:rPr>
          <w:noProof/>
          <w:sz w:val="22"/>
        </w:rPr>
      </w:pPr>
      <w:bookmarkStart w:id="564" w:name="_ENREF_4"/>
      <w:r w:rsidRPr="007A7BC9">
        <w:rPr>
          <w:noProof/>
          <w:sz w:val="22"/>
        </w:rPr>
        <w:t xml:space="preserve">Duguid, A., R. Butsch, J. W. Carey, M. Celia, N. Chugunov, S. Gasda, T. Ramakrishnan, V. Stamp, and J. Wang (2013), Pre-injection baseline data collection to establish existing wellbore leakage properties, </w:t>
      </w:r>
      <w:r w:rsidRPr="007A7BC9">
        <w:rPr>
          <w:i/>
          <w:noProof/>
          <w:sz w:val="22"/>
        </w:rPr>
        <w:t>Energy Procedia</w:t>
      </w:r>
      <w:r w:rsidRPr="007A7BC9">
        <w:rPr>
          <w:noProof/>
          <w:sz w:val="22"/>
        </w:rPr>
        <w:t xml:space="preserve">, </w:t>
      </w:r>
      <w:r w:rsidRPr="007A7BC9">
        <w:rPr>
          <w:i/>
          <w:noProof/>
          <w:sz w:val="22"/>
        </w:rPr>
        <w:t>37</w:t>
      </w:r>
      <w:r w:rsidRPr="007A7BC9">
        <w:rPr>
          <w:noProof/>
          <w:sz w:val="22"/>
        </w:rPr>
        <w:t>, 5661-5672.</w:t>
      </w:r>
      <w:bookmarkEnd w:id="564"/>
    </w:p>
    <w:p w14:paraId="6DFE40DB" w14:textId="77777777" w:rsidR="007A7BC9" w:rsidRPr="007A7BC9" w:rsidRDefault="007A7BC9" w:rsidP="007A7BC9">
      <w:pPr>
        <w:pStyle w:val="Reference"/>
        <w:spacing w:after="0" w:line="240" w:lineRule="auto"/>
        <w:ind w:left="0" w:firstLine="0"/>
        <w:rPr>
          <w:noProof/>
          <w:sz w:val="22"/>
        </w:rPr>
      </w:pPr>
      <w:bookmarkStart w:id="565" w:name="_ENREF_5"/>
      <w:r w:rsidRPr="007A7BC9">
        <w:rPr>
          <w:noProof/>
          <w:sz w:val="22"/>
        </w:rPr>
        <w:t xml:space="preserve">Dusseault, M., and R. Jackson (2014), Seepage pathway assessment for natural gas to shallow groundwater during well stimulation, in production, and after abandonment, </w:t>
      </w:r>
      <w:r w:rsidRPr="007A7BC9">
        <w:rPr>
          <w:i/>
          <w:noProof/>
          <w:sz w:val="22"/>
        </w:rPr>
        <w:t>Environmental Geosciences</w:t>
      </w:r>
      <w:r w:rsidRPr="007A7BC9">
        <w:rPr>
          <w:noProof/>
          <w:sz w:val="22"/>
        </w:rPr>
        <w:t xml:space="preserve">, </w:t>
      </w:r>
      <w:r w:rsidRPr="007A7BC9">
        <w:rPr>
          <w:i/>
          <w:noProof/>
          <w:sz w:val="22"/>
        </w:rPr>
        <w:t>21</w:t>
      </w:r>
      <w:r w:rsidRPr="007A7BC9">
        <w:rPr>
          <w:noProof/>
          <w:sz w:val="22"/>
        </w:rPr>
        <w:t>(3), 107-126.</w:t>
      </w:r>
      <w:bookmarkEnd w:id="565"/>
    </w:p>
    <w:p w14:paraId="187625DF" w14:textId="77777777" w:rsidR="007A7BC9" w:rsidRPr="007A7BC9" w:rsidRDefault="007A7BC9" w:rsidP="007A7BC9">
      <w:pPr>
        <w:pStyle w:val="Reference"/>
        <w:spacing w:after="0" w:line="240" w:lineRule="auto"/>
        <w:ind w:left="0" w:firstLine="0"/>
        <w:rPr>
          <w:noProof/>
          <w:sz w:val="22"/>
        </w:rPr>
      </w:pPr>
      <w:bookmarkStart w:id="566" w:name="_ENREF_6"/>
      <w:r w:rsidRPr="007A7BC9">
        <w:rPr>
          <w:noProof/>
          <w:sz w:val="22"/>
        </w:rPr>
        <w:t xml:space="preserve">Flemisch, B., et al. (2011), DuMux: DUNE for multi-{phase, component, scale, physics, …} flow and transport in porous media, </w:t>
      </w:r>
      <w:r w:rsidRPr="007A7BC9">
        <w:rPr>
          <w:i/>
          <w:noProof/>
          <w:sz w:val="22"/>
        </w:rPr>
        <w:t>Advances in Water Resources</w:t>
      </w:r>
      <w:r w:rsidRPr="007A7BC9">
        <w:rPr>
          <w:noProof/>
          <w:sz w:val="22"/>
        </w:rPr>
        <w:t xml:space="preserve">, </w:t>
      </w:r>
      <w:r w:rsidRPr="007A7BC9">
        <w:rPr>
          <w:i/>
          <w:noProof/>
          <w:sz w:val="22"/>
        </w:rPr>
        <w:t>34</w:t>
      </w:r>
      <w:r w:rsidRPr="007A7BC9">
        <w:rPr>
          <w:noProof/>
          <w:sz w:val="22"/>
        </w:rPr>
        <w:t>(9), 1102-1112.</w:t>
      </w:r>
      <w:bookmarkEnd w:id="566"/>
    </w:p>
    <w:p w14:paraId="4DA5E1F0" w14:textId="77777777" w:rsidR="007A7BC9" w:rsidRPr="007A7BC9" w:rsidRDefault="007A7BC9" w:rsidP="007A7BC9">
      <w:pPr>
        <w:pStyle w:val="Reference"/>
        <w:spacing w:after="0" w:line="240" w:lineRule="auto"/>
        <w:ind w:left="0" w:firstLine="0"/>
        <w:rPr>
          <w:noProof/>
          <w:sz w:val="22"/>
        </w:rPr>
      </w:pPr>
      <w:bookmarkStart w:id="567" w:name="_ENREF_7"/>
      <w:r w:rsidRPr="007A7BC9">
        <w:rPr>
          <w:noProof/>
          <w:sz w:val="22"/>
        </w:rPr>
        <w:t xml:space="preserve">Harbaugh, A. W. (2005), </w:t>
      </w:r>
      <w:r w:rsidRPr="007A7BC9">
        <w:rPr>
          <w:i/>
          <w:noProof/>
          <w:sz w:val="22"/>
        </w:rPr>
        <w:t>MODFLOW-2005, the US Geological Survey modular ground-water model: The ground-water flow process</w:t>
      </w:r>
      <w:r w:rsidRPr="007A7BC9">
        <w:rPr>
          <w:noProof/>
          <w:sz w:val="22"/>
        </w:rPr>
        <w:t>, US Department of the Interior, US Geological Survey Reston, VA, USA.</w:t>
      </w:r>
      <w:bookmarkEnd w:id="567"/>
    </w:p>
    <w:p w14:paraId="3C07D516" w14:textId="77777777" w:rsidR="007A7BC9" w:rsidRPr="007A7BC9" w:rsidRDefault="007A7BC9" w:rsidP="007A7BC9">
      <w:pPr>
        <w:pStyle w:val="Reference"/>
        <w:spacing w:after="0" w:line="240" w:lineRule="auto"/>
        <w:ind w:left="0" w:firstLine="0"/>
        <w:rPr>
          <w:noProof/>
          <w:sz w:val="22"/>
        </w:rPr>
      </w:pPr>
      <w:bookmarkStart w:id="568" w:name="_ENREF_8"/>
      <w:r w:rsidRPr="007A7BC9">
        <w:rPr>
          <w:noProof/>
          <w:sz w:val="22"/>
        </w:rPr>
        <w:t xml:space="preserve">Hawkes, C. D., and C. Gardner (2013), Pressure transient testing for assessment of wellbore integrity in the IEAGHG Weyburn–Midale CO 2 Monitoring and Storage Project, </w:t>
      </w:r>
      <w:r w:rsidRPr="007A7BC9">
        <w:rPr>
          <w:i/>
          <w:noProof/>
          <w:sz w:val="22"/>
        </w:rPr>
        <w:t>International Journal of Greenhouse Gas Control</w:t>
      </w:r>
      <w:r w:rsidRPr="007A7BC9">
        <w:rPr>
          <w:noProof/>
          <w:sz w:val="22"/>
        </w:rPr>
        <w:t xml:space="preserve">, </w:t>
      </w:r>
      <w:r w:rsidRPr="007A7BC9">
        <w:rPr>
          <w:i/>
          <w:noProof/>
          <w:sz w:val="22"/>
        </w:rPr>
        <w:t>16</w:t>
      </w:r>
      <w:r w:rsidRPr="007A7BC9">
        <w:rPr>
          <w:noProof/>
          <w:sz w:val="22"/>
        </w:rPr>
        <w:t>, S50-S61.</w:t>
      </w:r>
      <w:bookmarkEnd w:id="568"/>
    </w:p>
    <w:p w14:paraId="5926B58A" w14:textId="77777777" w:rsidR="007A7BC9" w:rsidRPr="007A7BC9" w:rsidRDefault="007A7BC9" w:rsidP="007A7BC9">
      <w:pPr>
        <w:pStyle w:val="Reference"/>
        <w:spacing w:after="0" w:line="240" w:lineRule="auto"/>
        <w:ind w:left="0" w:firstLine="0"/>
        <w:rPr>
          <w:noProof/>
          <w:sz w:val="22"/>
        </w:rPr>
      </w:pPr>
      <w:bookmarkStart w:id="569" w:name="_ENREF_9"/>
      <w:r w:rsidRPr="007A7BC9">
        <w:rPr>
          <w:noProof/>
          <w:sz w:val="22"/>
        </w:rPr>
        <w:t>HydroGeoLogic (2006), MODHMS: A comprehensive MODFLOW-based hydrologic modeling system, Version 3.0.</w:t>
      </w:r>
      <w:r w:rsidRPr="007A7BC9">
        <w:rPr>
          <w:i/>
          <w:noProof/>
          <w:sz w:val="22"/>
        </w:rPr>
        <w:t>Rep.</w:t>
      </w:r>
      <w:r w:rsidRPr="007A7BC9">
        <w:rPr>
          <w:noProof/>
          <w:sz w:val="22"/>
        </w:rPr>
        <w:t>, HydroGeoLogic Incorporated, Herndon, VA.</w:t>
      </w:r>
      <w:bookmarkEnd w:id="569"/>
    </w:p>
    <w:p w14:paraId="10FEACA5" w14:textId="77777777" w:rsidR="007A7BC9" w:rsidRPr="007A7BC9" w:rsidRDefault="007A7BC9" w:rsidP="007A7BC9">
      <w:pPr>
        <w:pStyle w:val="Reference"/>
        <w:spacing w:after="0" w:line="240" w:lineRule="auto"/>
        <w:ind w:left="0" w:firstLine="0"/>
        <w:rPr>
          <w:noProof/>
          <w:sz w:val="22"/>
        </w:rPr>
      </w:pPr>
      <w:bookmarkStart w:id="570" w:name="_ENREF_10"/>
      <w:r w:rsidRPr="007A7BC9">
        <w:rPr>
          <w:noProof/>
          <w:sz w:val="22"/>
        </w:rPr>
        <w:t xml:space="preserve">Jackson, R. B. (2014), The integrity of oil and gas wells, </w:t>
      </w:r>
      <w:r w:rsidRPr="007A7BC9">
        <w:rPr>
          <w:i/>
          <w:noProof/>
          <w:sz w:val="22"/>
        </w:rPr>
        <w:t>Proceedings of the National Academy of Sciences</w:t>
      </w:r>
      <w:r w:rsidRPr="007A7BC9">
        <w:rPr>
          <w:noProof/>
          <w:sz w:val="22"/>
        </w:rPr>
        <w:t xml:space="preserve">, </w:t>
      </w:r>
      <w:r w:rsidRPr="007A7BC9">
        <w:rPr>
          <w:i/>
          <w:noProof/>
          <w:sz w:val="22"/>
        </w:rPr>
        <w:t>111</w:t>
      </w:r>
      <w:r w:rsidRPr="007A7BC9">
        <w:rPr>
          <w:noProof/>
          <w:sz w:val="22"/>
        </w:rPr>
        <w:t>(30), 10902-10903.</w:t>
      </w:r>
      <w:bookmarkEnd w:id="570"/>
    </w:p>
    <w:p w14:paraId="7B0AE11C" w14:textId="77777777" w:rsidR="007A7BC9" w:rsidRPr="007A7BC9" w:rsidRDefault="007A7BC9" w:rsidP="007A7BC9">
      <w:pPr>
        <w:pStyle w:val="Reference"/>
        <w:spacing w:after="0" w:line="240" w:lineRule="auto"/>
        <w:ind w:left="0" w:firstLine="0"/>
        <w:rPr>
          <w:noProof/>
          <w:sz w:val="22"/>
        </w:rPr>
      </w:pPr>
      <w:bookmarkStart w:id="571" w:name="_ENREF_11"/>
      <w:r w:rsidRPr="007A7BC9">
        <w:rPr>
          <w:noProof/>
          <w:sz w:val="22"/>
        </w:rPr>
        <w:t xml:space="preserve">Kissinger, A., R. Helmig, A. Ebigbo, H. Class, T. Lange, M. Sauter, M. Heitfeld, J. Klünker, and W. Jahnke (2013), Hydraulic fracturing in unconventional gas reservoirs: risks in the geological system, part 2, </w:t>
      </w:r>
      <w:r w:rsidRPr="007A7BC9">
        <w:rPr>
          <w:i/>
          <w:noProof/>
          <w:sz w:val="22"/>
        </w:rPr>
        <w:t>Environmental earth sciences</w:t>
      </w:r>
      <w:r w:rsidRPr="007A7BC9">
        <w:rPr>
          <w:noProof/>
          <w:sz w:val="22"/>
        </w:rPr>
        <w:t xml:space="preserve">, </w:t>
      </w:r>
      <w:r w:rsidRPr="007A7BC9">
        <w:rPr>
          <w:i/>
          <w:noProof/>
          <w:sz w:val="22"/>
        </w:rPr>
        <w:t>70</w:t>
      </w:r>
      <w:r w:rsidRPr="007A7BC9">
        <w:rPr>
          <w:noProof/>
          <w:sz w:val="22"/>
        </w:rPr>
        <w:t>(8), 3855-3873.</w:t>
      </w:r>
      <w:bookmarkEnd w:id="571"/>
    </w:p>
    <w:p w14:paraId="4B31C31D" w14:textId="77777777" w:rsidR="007A7BC9" w:rsidRPr="007A7BC9" w:rsidRDefault="007A7BC9" w:rsidP="007A7BC9">
      <w:pPr>
        <w:pStyle w:val="Reference"/>
        <w:spacing w:after="0" w:line="240" w:lineRule="auto"/>
        <w:ind w:left="0" w:firstLine="0"/>
        <w:rPr>
          <w:noProof/>
          <w:sz w:val="22"/>
        </w:rPr>
      </w:pPr>
      <w:bookmarkStart w:id="572" w:name="_ENREF_12"/>
      <w:r w:rsidRPr="007A7BC9">
        <w:rPr>
          <w:noProof/>
          <w:sz w:val="22"/>
        </w:rPr>
        <w:t xml:space="preserve">Lewicki, J. L., J. Birkholzer, and C.-F. Tsang (2007), Natural and industrial analogues for leakage of CO2 from storage reservoirs: identification of features, events, and processes and lessons learned, </w:t>
      </w:r>
      <w:r w:rsidRPr="007A7BC9">
        <w:rPr>
          <w:i/>
          <w:noProof/>
          <w:sz w:val="22"/>
        </w:rPr>
        <w:t>Environmental Geology</w:t>
      </w:r>
      <w:r w:rsidRPr="007A7BC9">
        <w:rPr>
          <w:noProof/>
          <w:sz w:val="22"/>
        </w:rPr>
        <w:t xml:space="preserve">, </w:t>
      </w:r>
      <w:r w:rsidRPr="007A7BC9">
        <w:rPr>
          <w:i/>
          <w:noProof/>
          <w:sz w:val="22"/>
        </w:rPr>
        <w:t>52</w:t>
      </w:r>
      <w:r w:rsidRPr="007A7BC9">
        <w:rPr>
          <w:noProof/>
          <w:sz w:val="22"/>
        </w:rPr>
        <w:t>(3), 457-467.</w:t>
      </w:r>
      <w:bookmarkEnd w:id="572"/>
    </w:p>
    <w:p w14:paraId="3905A485" w14:textId="77777777" w:rsidR="007A7BC9" w:rsidRPr="007A7BC9" w:rsidRDefault="007A7BC9" w:rsidP="007A7BC9">
      <w:pPr>
        <w:pStyle w:val="Reference"/>
        <w:spacing w:after="0" w:line="240" w:lineRule="auto"/>
        <w:ind w:left="0" w:firstLine="0"/>
        <w:rPr>
          <w:noProof/>
          <w:sz w:val="22"/>
        </w:rPr>
      </w:pPr>
      <w:bookmarkStart w:id="573" w:name="_ENREF_13"/>
      <w:r w:rsidRPr="007A7BC9">
        <w:rPr>
          <w:noProof/>
          <w:sz w:val="22"/>
        </w:rPr>
        <w:t xml:space="preserve">Merrick, D. (2015), AlgoMesh: A new software tool for building unstructured grid models, in </w:t>
      </w:r>
      <w:r w:rsidRPr="007A7BC9">
        <w:rPr>
          <w:i/>
          <w:noProof/>
          <w:sz w:val="22"/>
        </w:rPr>
        <w:t>Modflow and More 2015: Modeling a Complex World</w:t>
      </w:r>
      <w:r w:rsidRPr="007A7BC9">
        <w:rPr>
          <w:noProof/>
          <w:sz w:val="22"/>
        </w:rPr>
        <w:t>, edited, Colorado School of Mines, Golden, Colorado, USA. May 31–June 3 2015.</w:t>
      </w:r>
      <w:bookmarkEnd w:id="573"/>
    </w:p>
    <w:p w14:paraId="1F529A86" w14:textId="77777777" w:rsidR="007A7BC9" w:rsidRPr="007A7BC9" w:rsidRDefault="007A7BC9" w:rsidP="007A7BC9">
      <w:pPr>
        <w:pStyle w:val="Reference"/>
        <w:spacing w:after="0" w:line="240" w:lineRule="auto"/>
        <w:ind w:left="0" w:firstLine="0"/>
        <w:rPr>
          <w:noProof/>
          <w:sz w:val="22"/>
        </w:rPr>
      </w:pPr>
      <w:bookmarkStart w:id="574" w:name="_ENREF_14"/>
      <w:r w:rsidRPr="007A7BC9">
        <w:rPr>
          <w:noProof/>
          <w:sz w:val="22"/>
        </w:rPr>
        <w:t xml:space="preserve">Moore, C. R., J. Doherty, S. Howell, and L. Erriah (2014), Some Challenges Posed by Coal Bed Methane Regional Assessment Modeling, </w:t>
      </w:r>
      <w:r w:rsidRPr="007A7BC9">
        <w:rPr>
          <w:i/>
          <w:noProof/>
          <w:sz w:val="22"/>
        </w:rPr>
        <w:t>Groundwater</w:t>
      </w:r>
      <w:r w:rsidRPr="007A7BC9">
        <w:rPr>
          <w:noProof/>
          <w:sz w:val="22"/>
        </w:rPr>
        <w:t xml:space="preserve">, </w:t>
      </w:r>
      <w:r w:rsidRPr="007A7BC9">
        <w:rPr>
          <w:i/>
          <w:noProof/>
          <w:sz w:val="22"/>
        </w:rPr>
        <w:t>53</w:t>
      </w:r>
      <w:r w:rsidRPr="007A7BC9">
        <w:rPr>
          <w:noProof/>
          <w:sz w:val="22"/>
        </w:rPr>
        <w:t>(5).</w:t>
      </w:r>
      <w:bookmarkEnd w:id="574"/>
    </w:p>
    <w:p w14:paraId="0C739328" w14:textId="77777777" w:rsidR="007A7BC9" w:rsidRPr="007A7BC9" w:rsidRDefault="007A7BC9" w:rsidP="007A7BC9">
      <w:pPr>
        <w:pStyle w:val="Reference"/>
        <w:spacing w:after="0" w:line="240" w:lineRule="auto"/>
        <w:ind w:left="0" w:firstLine="0"/>
        <w:rPr>
          <w:noProof/>
          <w:sz w:val="22"/>
        </w:rPr>
      </w:pPr>
      <w:bookmarkStart w:id="575" w:name="_ENREF_15"/>
      <w:r w:rsidRPr="007A7BC9">
        <w:rPr>
          <w:noProof/>
          <w:sz w:val="22"/>
        </w:rPr>
        <w:t xml:space="preserve">Moridis, G. J., and C. M. Freeman (2014), The RealGas and RealGasH2O options of the TOUGH+ code for the simulation of coupled fluid and heat flow in tight/shale gas systems, </w:t>
      </w:r>
      <w:r w:rsidRPr="007A7BC9">
        <w:rPr>
          <w:i/>
          <w:noProof/>
          <w:sz w:val="22"/>
        </w:rPr>
        <w:t>Computers &amp; Geosciences</w:t>
      </w:r>
      <w:r w:rsidRPr="007A7BC9">
        <w:rPr>
          <w:noProof/>
          <w:sz w:val="22"/>
        </w:rPr>
        <w:t xml:space="preserve">, </w:t>
      </w:r>
      <w:r w:rsidRPr="007A7BC9">
        <w:rPr>
          <w:i/>
          <w:noProof/>
          <w:sz w:val="22"/>
        </w:rPr>
        <w:t>65</w:t>
      </w:r>
      <w:r w:rsidRPr="007A7BC9">
        <w:rPr>
          <w:noProof/>
          <w:sz w:val="22"/>
        </w:rPr>
        <w:t>, 56-71.</w:t>
      </w:r>
      <w:bookmarkEnd w:id="575"/>
    </w:p>
    <w:p w14:paraId="201CDCB1" w14:textId="77777777" w:rsidR="007A7BC9" w:rsidRPr="007A7BC9" w:rsidRDefault="007A7BC9" w:rsidP="007A7BC9">
      <w:pPr>
        <w:pStyle w:val="Reference"/>
        <w:spacing w:after="0" w:line="240" w:lineRule="auto"/>
        <w:ind w:left="0" w:firstLine="0"/>
        <w:rPr>
          <w:noProof/>
          <w:sz w:val="22"/>
        </w:rPr>
      </w:pPr>
      <w:bookmarkStart w:id="576" w:name="_ENREF_16"/>
      <w:r w:rsidRPr="007A7BC9">
        <w:rPr>
          <w:noProof/>
          <w:sz w:val="22"/>
        </w:rPr>
        <w:t>Neville, C. J., and M. J. Tonkin (2001), Representation of multiaquifer wells in MODFLOW, paper presented at Proceedings of Modflow 2001 Conference at the International Ground Water Modeling Center, Golden, Colorado.</w:t>
      </w:r>
      <w:bookmarkEnd w:id="576"/>
    </w:p>
    <w:p w14:paraId="4D71FE36" w14:textId="238AC222" w:rsidR="007A7BC9" w:rsidRPr="007A7BC9" w:rsidRDefault="007A7BC9" w:rsidP="007A7BC9">
      <w:pPr>
        <w:pStyle w:val="Reference"/>
        <w:spacing w:after="0" w:line="240" w:lineRule="auto"/>
        <w:ind w:left="0" w:firstLine="0"/>
        <w:rPr>
          <w:noProof/>
          <w:sz w:val="22"/>
        </w:rPr>
      </w:pPr>
      <w:bookmarkStart w:id="577" w:name="_ENREF_17"/>
      <w:r w:rsidRPr="007A7BC9">
        <w:rPr>
          <w:noProof/>
          <w:sz w:val="22"/>
        </w:rPr>
        <w:t>Nordbotten, J. M., D. Kavetski, M. A. Celia, and S. Bachu (200</w:t>
      </w:r>
      <w:r w:rsidR="00F57DF3">
        <w:rPr>
          <w:noProof/>
          <w:sz w:val="22"/>
        </w:rPr>
        <w:t>9</w:t>
      </w:r>
      <w:r w:rsidRPr="007A7BC9">
        <w:rPr>
          <w:noProof/>
          <w:sz w:val="22"/>
        </w:rPr>
        <w:t xml:space="preserve">), Model for CO2 leakage including multiple geological layers and multiple leaky wells, </w:t>
      </w:r>
      <w:r w:rsidRPr="007A7BC9">
        <w:rPr>
          <w:i/>
          <w:noProof/>
          <w:sz w:val="22"/>
        </w:rPr>
        <w:t>Environmental science &amp; technology</w:t>
      </w:r>
      <w:r w:rsidRPr="007A7BC9">
        <w:rPr>
          <w:noProof/>
          <w:sz w:val="22"/>
        </w:rPr>
        <w:t xml:space="preserve">, </w:t>
      </w:r>
      <w:r w:rsidRPr="007A7BC9">
        <w:rPr>
          <w:i/>
          <w:noProof/>
          <w:sz w:val="22"/>
        </w:rPr>
        <w:t>43</w:t>
      </w:r>
      <w:r w:rsidRPr="007A7BC9">
        <w:rPr>
          <w:noProof/>
          <w:sz w:val="22"/>
        </w:rPr>
        <w:t>(3), 743-749.</w:t>
      </w:r>
      <w:bookmarkEnd w:id="577"/>
    </w:p>
    <w:p w14:paraId="1735DF10" w14:textId="77777777" w:rsidR="007A7BC9" w:rsidRPr="007A7BC9" w:rsidRDefault="007A7BC9" w:rsidP="007A7BC9">
      <w:pPr>
        <w:pStyle w:val="Reference"/>
        <w:spacing w:after="0" w:line="240" w:lineRule="auto"/>
        <w:ind w:left="0" w:firstLine="0"/>
        <w:rPr>
          <w:noProof/>
          <w:sz w:val="22"/>
        </w:rPr>
      </w:pPr>
      <w:bookmarkStart w:id="578" w:name="_ENREF_18"/>
      <w:r w:rsidRPr="007A7BC9">
        <w:rPr>
          <w:noProof/>
          <w:sz w:val="22"/>
        </w:rPr>
        <w:t xml:space="preserve">Nowamooz, A., J. M. Lemieux, J. Molson, and R. Therrien (2015), Numerical investigation of methane and formation fluid leakage along the casing of a decommissioned shale gas well, </w:t>
      </w:r>
      <w:r w:rsidRPr="007A7BC9">
        <w:rPr>
          <w:i/>
          <w:noProof/>
          <w:sz w:val="22"/>
        </w:rPr>
        <w:t>Water Resources Research</w:t>
      </w:r>
      <w:r w:rsidRPr="007A7BC9">
        <w:rPr>
          <w:noProof/>
          <w:sz w:val="22"/>
        </w:rPr>
        <w:t xml:space="preserve">, </w:t>
      </w:r>
      <w:r w:rsidRPr="007A7BC9">
        <w:rPr>
          <w:i/>
          <w:noProof/>
          <w:sz w:val="22"/>
        </w:rPr>
        <w:t>51</w:t>
      </w:r>
      <w:r w:rsidRPr="007A7BC9">
        <w:rPr>
          <w:noProof/>
          <w:sz w:val="22"/>
        </w:rPr>
        <w:t>(6).</w:t>
      </w:r>
      <w:bookmarkEnd w:id="578"/>
    </w:p>
    <w:p w14:paraId="6321B781" w14:textId="77777777" w:rsidR="007A7BC9" w:rsidRPr="007A7BC9" w:rsidRDefault="007A7BC9" w:rsidP="007A7BC9">
      <w:pPr>
        <w:pStyle w:val="Reference"/>
        <w:spacing w:after="0" w:line="240" w:lineRule="auto"/>
        <w:ind w:left="0" w:firstLine="0"/>
        <w:rPr>
          <w:noProof/>
          <w:sz w:val="22"/>
        </w:rPr>
      </w:pPr>
      <w:bookmarkStart w:id="579" w:name="_ENREF_19"/>
      <w:r w:rsidRPr="007A7BC9">
        <w:rPr>
          <w:noProof/>
          <w:sz w:val="22"/>
        </w:rPr>
        <w:t xml:space="preserve">Panday, S., C. D. Langevin, R. G. Niswonger, M. Ibaraki, and J. D. Hughes (2013), MODFLOW–USG version 1: An unstructured grid version of MODFLOW for simulating groundwater flow and tightly coupled processes using a control volume finite-difference formulation, </w:t>
      </w:r>
      <w:r w:rsidRPr="007A7BC9">
        <w:rPr>
          <w:i/>
          <w:noProof/>
          <w:sz w:val="22"/>
        </w:rPr>
        <w:t>Report Rep. 6-A45</w:t>
      </w:r>
      <w:r w:rsidRPr="007A7BC9">
        <w:rPr>
          <w:noProof/>
          <w:sz w:val="22"/>
        </w:rPr>
        <w:t>, 78 pp, Reston, VA.</w:t>
      </w:r>
      <w:bookmarkEnd w:id="579"/>
    </w:p>
    <w:p w14:paraId="77DBD6BC" w14:textId="77777777" w:rsidR="007A7BC9" w:rsidRPr="007A7BC9" w:rsidRDefault="007A7BC9" w:rsidP="007A7BC9">
      <w:pPr>
        <w:pStyle w:val="Reference"/>
        <w:spacing w:after="0" w:line="240" w:lineRule="auto"/>
        <w:ind w:left="0" w:firstLine="0"/>
        <w:rPr>
          <w:noProof/>
          <w:sz w:val="22"/>
        </w:rPr>
      </w:pPr>
      <w:bookmarkStart w:id="580" w:name="_ENREF_20"/>
      <w:r w:rsidRPr="007A7BC9">
        <w:rPr>
          <w:noProof/>
          <w:sz w:val="22"/>
        </w:rPr>
        <w:t xml:space="preserve">Reagan, M. T., G. J. Moridis, N. D. Keen, and J. N. Johnson (2015), Numerical simulation of the environmental impact of hydraulic fracturing of tight/shale gas reservoirs on near-surface groundwater: Background, base cases, shallow reservoirs, short-term gas, and water transport, </w:t>
      </w:r>
      <w:r w:rsidRPr="007A7BC9">
        <w:rPr>
          <w:i/>
          <w:noProof/>
          <w:sz w:val="22"/>
        </w:rPr>
        <w:t>Water Resources Research</w:t>
      </w:r>
      <w:r w:rsidRPr="007A7BC9">
        <w:rPr>
          <w:noProof/>
          <w:sz w:val="22"/>
        </w:rPr>
        <w:t xml:space="preserve">, </w:t>
      </w:r>
      <w:r w:rsidRPr="007A7BC9">
        <w:rPr>
          <w:i/>
          <w:noProof/>
          <w:sz w:val="22"/>
        </w:rPr>
        <w:t>51</w:t>
      </w:r>
      <w:r w:rsidRPr="007A7BC9">
        <w:rPr>
          <w:noProof/>
          <w:sz w:val="22"/>
        </w:rPr>
        <w:t>(4), 2543-2573.</w:t>
      </w:r>
      <w:bookmarkEnd w:id="580"/>
    </w:p>
    <w:p w14:paraId="740AB80F" w14:textId="77777777" w:rsidR="007A7BC9" w:rsidRPr="007A7BC9" w:rsidRDefault="007A7BC9" w:rsidP="007A7BC9">
      <w:pPr>
        <w:pStyle w:val="Reference"/>
        <w:spacing w:after="0" w:line="240" w:lineRule="auto"/>
        <w:ind w:left="0" w:firstLine="0"/>
        <w:rPr>
          <w:noProof/>
          <w:sz w:val="22"/>
        </w:rPr>
      </w:pPr>
      <w:bookmarkStart w:id="581" w:name="_ENREF_21"/>
      <w:r w:rsidRPr="007A7BC9">
        <w:rPr>
          <w:noProof/>
          <w:sz w:val="22"/>
        </w:rPr>
        <w:t xml:space="preserve">Schlumberger (2011), Manual for ECLIPSE Reservoir Simulation Software. </w:t>
      </w:r>
      <w:r w:rsidRPr="007A7BC9">
        <w:rPr>
          <w:i/>
          <w:noProof/>
          <w:sz w:val="22"/>
        </w:rPr>
        <w:t>Rep.</w:t>
      </w:r>
      <w:r w:rsidRPr="007A7BC9">
        <w:rPr>
          <w:noProof/>
          <w:sz w:val="22"/>
        </w:rPr>
        <w:t>, Houston, Texas.</w:t>
      </w:r>
      <w:bookmarkEnd w:id="581"/>
    </w:p>
    <w:p w14:paraId="027CE5B6" w14:textId="77777777" w:rsidR="007A7BC9" w:rsidRPr="007A7BC9" w:rsidRDefault="007A7BC9" w:rsidP="007A7BC9">
      <w:pPr>
        <w:pStyle w:val="Reference"/>
        <w:spacing w:after="0" w:line="240" w:lineRule="auto"/>
        <w:ind w:left="0" w:firstLine="0"/>
        <w:rPr>
          <w:noProof/>
          <w:sz w:val="22"/>
        </w:rPr>
      </w:pPr>
      <w:bookmarkStart w:id="582" w:name="_ENREF_22"/>
      <w:r w:rsidRPr="007A7BC9">
        <w:rPr>
          <w:noProof/>
          <w:sz w:val="22"/>
        </w:rPr>
        <w:t xml:space="preserve">Silliman, S., and D. Higgins (1990), An Analytical Solution for Steady‐State Flow Between Aquifers Through an Open Well, </w:t>
      </w:r>
      <w:r w:rsidRPr="007A7BC9">
        <w:rPr>
          <w:i/>
          <w:noProof/>
          <w:sz w:val="22"/>
        </w:rPr>
        <w:t>Groundwater</w:t>
      </w:r>
      <w:r w:rsidRPr="007A7BC9">
        <w:rPr>
          <w:noProof/>
          <w:sz w:val="22"/>
        </w:rPr>
        <w:t xml:space="preserve">, </w:t>
      </w:r>
      <w:r w:rsidRPr="007A7BC9">
        <w:rPr>
          <w:i/>
          <w:noProof/>
          <w:sz w:val="22"/>
        </w:rPr>
        <w:t>28</w:t>
      </w:r>
      <w:r w:rsidRPr="007A7BC9">
        <w:rPr>
          <w:noProof/>
          <w:sz w:val="22"/>
        </w:rPr>
        <w:t>(2), 184-190.</w:t>
      </w:r>
      <w:bookmarkEnd w:id="582"/>
    </w:p>
    <w:p w14:paraId="69B56358" w14:textId="77777777" w:rsidR="007A7BC9" w:rsidRPr="007A7BC9" w:rsidRDefault="007A7BC9" w:rsidP="007A7BC9">
      <w:pPr>
        <w:pStyle w:val="Reference"/>
        <w:spacing w:after="0" w:line="240" w:lineRule="auto"/>
        <w:ind w:left="0" w:firstLine="0"/>
        <w:rPr>
          <w:i/>
          <w:noProof/>
          <w:sz w:val="22"/>
        </w:rPr>
      </w:pPr>
      <w:bookmarkStart w:id="583" w:name="_ENREF_23"/>
      <w:r w:rsidRPr="007A7BC9">
        <w:rPr>
          <w:noProof/>
          <w:sz w:val="22"/>
        </w:rPr>
        <w:t>US EPA (2015), Assessment of the Potential Impacts of Hydraulic Fracturing for Oil and Gas on Drinking Water Resources. EPA/600/R-15/047a.</w:t>
      </w:r>
      <w:r w:rsidRPr="007A7BC9">
        <w:rPr>
          <w:i/>
          <w:noProof/>
          <w:sz w:val="22"/>
        </w:rPr>
        <w:t>Rep.</w:t>
      </w:r>
      <w:bookmarkEnd w:id="583"/>
    </w:p>
    <w:p w14:paraId="61A53DB2" w14:textId="77777777" w:rsidR="007A7BC9" w:rsidRPr="007A7BC9" w:rsidRDefault="007A7BC9" w:rsidP="007A7BC9">
      <w:pPr>
        <w:pStyle w:val="Reference"/>
        <w:spacing w:after="0" w:line="240" w:lineRule="auto"/>
        <w:ind w:left="0" w:firstLine="0"/>
        <w:rPr>
          <w:noProof/>
          <w:sz w:val="22"/>
        </w:rPr>
      </w:pPr>
      <w:bookmarkStart w:id="584" w:name="_ENREF_24"/>
      <w:r w:rsidRPr="007A7BC9">
        <w:rPr>
          <w:noProof/>
          <w:sz w:val="22"/>
        </w:rPr>
        <w:t xml:space="preserve">Vengosh, A., R. B. Jackson, N. Warner, T. H. Darrah, and A. Kondash (2014), A critical review of the risks to water resources from unconventional shale gas development and hydraulic fracturing in the United States, </w:t>
      </w:r>
      <w:r w:rsidRPr="007A7BC9">
        <w:rPr>
          <w:i/>
          <w:noProof/>
          <w:sz w:val="22"/>
        </w:rPr>
        <w:t>Environmental science &amp; technology</w:t>
      </w:r>
      <w:r w:rsidRPr="007A7BC9">
        <w:rPr>
          <w:noProof/>
          <w:sz w:val="22"/>
        </w:rPr>
        <w:t xml:space="preserve">, </w:t>
      </w:r>
      <w:r w:rsidRPr="007A7BC9">
        <w:rPr>
          <w:i/>
          <w:noProof/>
          <w:sz w:val="22"/>
        </w:rPr>
        <w:t>48</w:t>
      </w:r>
      <w:r w:rsidRPr="007A7BC9">
        <w:rPr>
          <w:noProof/>
          <w:sz w:val="22"/>
        </w:rPr>
        <w:t>(15), 8334-8348.</w:t>
      </w:r>
      <w:bookmarkEnd w:id="584"/>
    </w:p>
    <w:p w14:paraId="22F0F8F9" w14:textId="2A9A1771" w:rsidR="007A7BC9" w:rsidRPr="007A7BC9" w:rsidRDefault="007A7BC9" w:rsidP="007A7BC9">
      <w:pPr>
        <w:pStyle w:val="Reference"/>
        <w:spacing w:line="240" w:lineRule="auto"/>
        <w:ind w:left="0" w:firstLine="0"/>
        <w:rPr>
          <w:i/>
          <w:noProof/>
          <w:sz w:val="22"/>
        </w:rPr>
      </w:pPr>
      <w:bookmarkStart w:id="585" w:name="_ENREF_25"/>
      <w:r w:rsidRPr="007A7BC9">
        <w:rPr>
          <w:noProof/>
          <w:sz w:val="22"/>
        </w:rPr>
        <w:t>Wu, B., R. Doble, C.</w:t>
      </w:r>
      <w:r w:rsidR="003D2865">
        <w:rPr>
          <w:noProof/>
          <w:sz w:val="22"/>
        </w:rPr>
        <w:t xml:space="preserve"> Turnadge, and D. Mallants (2018</w:t>
      </w:r>
      <w:r w:rsidRPr="007A7BC9">
        <w:rPr>
          <w:noProof/>
          <w:sz w:val="22"/>
        </w:rPr>
        <w:t>), Bore and well induced inter-aquifer connectivity: a review of literature on failure mechanisms and conceptualisation of hydrocarbon reservoir-aquifer failure pathways. Prepared by the Commonwealth Scientific and Industrial Research Organisation CSIRO, Canberra.</w:t>
      </w:r>
      <w:r w:rsidRPr="007A7BC9">
        <w:rPr>
          <w:i/>
          <w:noProof/>
          <w:sz w:val="22"/>
        </w:rPr>
        <w:t>Rep.</w:t>
      </w:r>
      <w:bookmarkEnd w:id="585"/>
    </w:p>
    <w:p w14:paraId="53B2BE4A" w14:textId="06952675" w:rsidR="007A7BC9" w:rsidRDefault="007A7BC9" w:rsidP="007A7BC9">
      <w:pPr>
        <w:pStyle w:val="Reference"/>
        <w:spacing w:line="240" w:lineRule="auto"/>
        <w:rPr>
          <w:noProof/>
          <w:sz w:val="22"/>
        </w:rPr>
      </w:pPr>
    </w:p>
    <w:p w14:paraId="7ED829D1" w14:textId="4C6EDA1F" w:rsidR="00E11A46" w:rsidRDefault="009A3903" w:rsidP="005B103E">
      <w:pPr>
        <w:pStyle w:val="Reference"/>
      </w:pPr>
      <w:r>
        <w:fldChar w:fldCharType="end"/>
      </w:r>
    </w:p>
    <w:p w14:paraId="42052D20" w14:textId="404BD7B7" w:rsidR="005201FF" w:rsidRDefault="005201FF" w:rsidP="00E11A46">
      <w:pPr>
        <w:jc w:val="center"/>
      </w:pPr>
    </w:p>
    <w:p w14:paraId="0EB31464" w14:textId="77777777" w:rsidR="005201FF" w:rsidRPr="005201FF" w:rsidRDefault="005201FF" w:rsidP="005201FF"/>
    <w:p w14:paraId="3B6AE4D4" w14:textId="77777777" w:rsidR="005201FF" w:rsidRPr="005201FF" w:rsidRDefault="005201FF" w:rsidP="005201FF"/>
    <w:p w14:paraId="4765A9BD" w14:textId="77777777" w:rsidR="005201FF" w:rsidRPr="005201FF" w:rsidRDefault="005201FF" w:rsidP="005201FF"/>
    <w:p w14:paraId="389F5901" w14:textId="222D94E0" w:rsidR="005201FF" w:rsidRDefault="005201FF" w:rsidP="005201FF"/>
    <w:p w14:paraId="1BA72C3A" w14:textId="77777777" w:rsidR="005201FF" w:rsidRPr="005201FF" w:rsidRDefault="005201FF" w:rsidP="005201FF"/>
    <w:p w14:paraId="49B5075A" w14:textId="775873CD" w:rsidR="005201FF" w:rsidRDefault="005201FF" w:rsidP="005201FF"/>
    <w:p w14:paraId="175F6B4C" w14:textId="788C38A1" w:rsidR="00F24FC6" w:rsidRPr="005201FF" w:rsidRDefault="00F24FC6" w:rsidP="005201FF">
      <w:pPr>
        <w:jc w:val="center"/>
      </w:pPr>
    </w:p>
    <w:sectPr w:rsidR="00F24FC6" w:rsidRPr="005201FF" w:rsidSect="00251003">
      <w:footerReference w:type="default" r:id="rId40"/>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4A82C8" w14:textId="77777777" w:rsidR="008F5DB1" w:rsidRDefault="008F5DB1" w:rsidP="00D94B73">
      <w:pPr>
        <w:spacing w:after="0"/>
      </w:pPr>
      <w:r>
        <w:separator/>
      </w:r>
    </w:p>
  </w:endnote>
  <w:endnote w:type="continuationSeparator" w:id="0">
    <w:p w14:paraId="3B39A8EF" w14:textId="77777777" w:rsidR="008F5DB1" w:rsidRDefault="008F5DB1" w:rsidP="00D94B7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Bold">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B5A9B7" w14:textId="77777777" w:rsidR="00ED4C1C" w:rsidRDefault="00ED4C1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5771307"/>
      <w:docPartObj>
        <w:docPartGallery w:val="Page Numbers (Bottom of Page)"/>
        <w:docPartUnique/>
      </w:docPartObj>
    </w:sdtPr>
    <w:sdtEndPr>
      <w:rPr>
        <w:noProof/>
      </w:rPr>
    </w:sdtEndPr>
    <w:sdtContent>
      <w:p w14:paraId="1B599E32" w14:textId="7814659B" w:rsidR="008F5DB1" w:rsidRDefault="008F5DB1">
        <w:pPr>
          <w:pStyle w:val="Footer"/>
          <w:jc w:val="center"/>
        </w:pPr>
        <w:r>
          <w:fldChar w:fldCharType="begin"/>
        </w:r>
        <w:r>
          <w:instrText xml:space="preserve"> PAGE   \* MERGEFORMAT </w:instrText>
        </w:r>
        <w:r>
          <w:fldChar w:fldCharType="separate"/>
        </w:r>
        <w:r w:rsidR="00ED4C1C">
          <w:rPr>
            <w:noProof/>
          </w:rPr>
          <w:t>i</w:t>
        </w:r>
        <w:r>
          <w:rPr>
            <w:noProof/>
          </w:rPr>
          <w:fldChar w:fldCharType="end"/>
        </w:r>
      </w:p>
    </w:sdtContent>
  </w:sdt>
  <w:p w14:paraId="1D4AF023" w14:textId="77777777" w:rsidR="008F5DB1" w:rsidRDefault="008F5DB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C46C25" w14:textId="77777777" w:rsidR="00ED4C1C" w:rsidRDefault="00ED4C1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0018174"/>
      <w:docPartObj>
        <w:docPartGallery w:val="Page Numbers (Bottom of Page)"/>
        <w:docPartUnique/>
      </w:docPartObj>
    </w:sdtPr>
    <w:sdtEndPr/>
    <w:sdtContent>
      <w:sdt>
        <w:sdtPr>
          <w:id w:val="2044781023"/>
          <w:docPartObj>
            <w:docPartGallery w:val="Page Numbers (Top of Page)"/>
            <w:docPartUnique/>
          </w:docPartObj>
        </w:sdtPr>
        <w:sdtEndPr/>
        <w:sdtContent>
          <w:p w14:paraId="45390399" w14:textId="0C9A18DF" w:rsidR="008F5DB1" w:rsidRDefault="008F5DB1">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ED4C1C">
              <w:rPr>
                <w:b/>
                <w:bCs/>
                <w:noProof/>
              </w:rPr>
              <w:t>8</w:t>
            </w:r>
            <w:r>
              <w:rPr>
                <w:b/>
                <w:bCs/>
                <w:sz w:val="24"/>
                <w:szCs w:val="24"/>
              </w:rPr>
              <w:fldChar w:fldCharType="end"/>
            </w:r>
            <w:r>
              <w:t xml:space="preserve"> of </w:t>
            </w:r>
            <w:r w:rsidRPr="00336753">
              <w:rPr>
                <w:b/>
                <w:bCs/>
                <w:noProof/>
              </w:rPr>
              <w:t>3</w:t>
            </w:r>
            <w:r>
              <w:rPr>
                <w:b/>
                <w:bCs/>
                <w:noProof/>
              </w:rPr>
              <w:t>7</w:t>
            </w:r>
          </w:p>
        </w:sdtContent>
      </w:sdt>
    </w:sdtContent>
  </w:sdt>
  <w:p w14:paraId="374BEDB5" w14:textId="77777777" w:rsidR="008F5DB1" w:rsidRDefault="008F5DB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E70F61" w14:textId="77777777" w:rsidR="008F5DB1" w:rsidRDefault="008F5DB1" w:rsidP="00D94B73">
      <w:pPr>
        <w:spacing w:after="0"/>
      </w:pPr>
      <w:r>
        <w:separator/>
      </w:r>
    </w:p>
  </w:footnote>
  <w:footnote w:type="continuationSeparator" w:id="0">
    <w:p w14:paraId="1D3A8083" w14:textId="77777777" w:rsidR="008F5DB1" w:rsidRDefault="008F5DB1" w:rsidP="00D94B7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B19D2F" w14:textId="77777777" w:rsidR="00ED4C1C" w:rsidRDefault="00ED4C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C70E83" w14:textId="77777777" w:rsidR="00ED4C1C" w:rsidRDefault="00ED4C1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FC713D" w14:textId="77777777" w:rsidR="00ED4C1C" w:rsidRDefault="00ED4C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20E1022"/>
    <w:multiLevelType w:val="hybridMultilevel"/>
    <w:tmpl w:val="41F83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972A37"/>
    <w:multiLevelType w:val="hybridMultilevel"/>
    <w:tmpl w:val="70585D58"/>
    <w:lvl w:ilvl="0" w:tplc="4D1C9E92">
      <w:start w:val="1"/>
      <w:numFmt w:val="bullet"/>
      <w:lvlText w:val=""/>
      <w:lvlJc w:val="left"/>
      <w:pPr>
        <w:ind w:left="720" w:hanging="360"/>
      </w:pPr>
      <w:rPr>
        <w:rFonts w:ascii="Symbol" w:hAnsi="Symbol" w:hint="default"/>
      </w:rPr>
    </w:lvl>
    <w:lvl w:ilvl="1" w:tplc="C3B81252" w:tentative="1">
      <w:start w:val="1"/>
      <w:numFmt w:val="bullet"/>
      <w:lvlText w:val="o"/>
      <w:lvlJc w:val="left"/>
      <w:pPr>
        <w:ind w:left="1440" w:hanging="360"/>
      </w:pPr>
      <w:rPr>
        <w:rFonts w:ascii="Courier New" w:hAnsi="Courier New" w:cs="Courier New" w:hint="default"/>
      </w:rPr>
    </w:lvl>
    <w:lvl w:ilvl="2" w:tplc="1544141E" w:tentative="1">
      <w:start w:val="1"/>
      <w:numFmt w:val="bullet"/>
      <w:lvlText w:val=""/>
      <w:lvlJc w:val="left"/>
      <w:pPr>
        <w:ind w:left="2160" w:hanging="360"/>
      </w:pPr>
      <w:rPr>
        <w:rFonts w:ascii="Wingdings" w:hAnsi="Wingdings" w:hint="default"/>
      </w:rPr>
    </w:lvl>
    <w:lvl w:ilvl="3" w:tplc="355A0408" w:tentative="1">
      <w:start w:val="1"/>
      <w:numFmt w:val="bullet"/>
      <w:lvlText w:val=""/>
      <w:lvlJc w:val="left"/>
      <w:pPr>
        <w:ind w:left="2880" w:hanging="360"/>
      </w:pPr>
      <w:rPr>
        <w:rFonts w:ascii="Symbol" w:hAnsi="Symbol" w:hint="default"/>
      </w:rPr>
    </w:lvl>
    <w:lvl w:ilvl="4" w:tplc="EB1AF1A4" w:tentative="1">
      <w:start w:val="1"/>
      <w:numFmt w:val="bullet"/>
      <w:lvlText w:val="o"/>
      <w:lvlJc w:val="left"/>
      <w:pPr>
        <w:ind w:left="3600" w:hanging="360"/>
      </w:pPr>
      <w:rPr>
        <w:rFonts w:ascii="Courier New" w:hAnsi="Courier New" w:cs="Courier New" w:hint="default"/>
      </w:rPr>
    </w:lvl>
    <w:lvl w:ilvl="5" w:tplc="B5AAC6AC" w:tentative="1">
      <w:start w:val="1"/>
      <w:numFmt w:val="bullet"/>
      <w:lvlText w:val=""/>
      <w:lvlJc w:val="left"/>
      <w:pPr>
        <w:ind w:left="4320" w:hanging="360"/>
      </w:pPr>
      <w:rPr>
        <w:rFonts w:ascii="Wingdings" w:hAnsi="Wingdings" w:hint="default"/>
      </w:rPr>
    </w:lvl>
    <w:lvl w:ilvl="6" w:tplc="4CE8D52C" w:tentative="1">
      <w:start w:val="1"/>
      <w:numFmt w:val="bullet"/>
      <w:lvlText w:val=""/>
      <w:lvlJc w:val="left"/>
      <w:pPr>
        <w:ind w:left="5040" w:hanging="360"/>
      </w:pPr>
      <w:rPr>
        <w:rFonts w:ascii="Symbol" w:hAnsi="Symbol" w:hint="default"/>
      </w:rPr>
    </w:lvl>
    <w:lvl w:ilvl="7" w:tplc="75FEFC90" w:tentative="1">
      <w:start w:val="1"/>
      <w:numFmt w:val="bullet"/>
      <w:lvlText w:val="o"/>
      <w:lvlJc w:val="left"/>
      <w:pPr>
        <w:ind w:left="5760" w:hanging="360"/>
      </w:pPr>
      <w:rPr>
        <w:rFonts w:ascii="Courier New" w:hAnsi="Courier New" w:cs="Courier New" w:hint="default"/>
      </w:rPr>
    </w:lvl>
    <w:lvl w:ilvl="8" w:tplc="C26AD45E" w:tentative="1">
      <w:start w:val="1"/>
      <w:numFmt w:val="bullet"/>
      <w:lvlText w:val=""/>
      <w:lvlJc w:val="left"/>
      <w:pPr>
        <w:ind w:left="6480" w:hanging="360"/>
      </w:pPr>
      <w:rPr>
        <w:rFonts w:ascii="Wingdings" w:hAnsi="Wingdings" w:hint="default"/>
      </w:rPr>
    </w:lvl>
  </w:abstractNum>
  <w:abstractNum w:abstractNumId="7" w15:restartNumberingAfterBreak="0">
    <w:nsid w:val="12992EC0"/>
    <w:multiLevelType w:val="hybridMultilevel"/>
    <w:tmpl w:val="53F66D2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CCC7C96"/>
    <w:multiLevelType w:val="hybridMultilevel"/>
    <w:tmpl w:val="C618124C"/>
    <w:lvl w:ilvl="0" w:tplc="35B267C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0BD29A6"/>
    <w:multiLevelType w:val="hybridMultilevel"/>
    <w:tmpl w:val="3F1EC1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2"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3" w15:restartNumberingAfterBreak="0">
    <w:nsid w:val="2A34438B"/>
    <w:multiLevelType w:val="hybridMultilevel"/>
    <w:tmpl w:val="C1A0A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5"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6" w15:restartNumberingAfterBreak="0">
    <w:nsid w:val="3EC25E31"/>
    <w:multiLevelType w:val="hybridMultilevel"/>
    <w:tmpl w:val="8D545C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0832F14"/>
    <w:multiLevelType w:val="hybridMultilevel"/>
    <w:tmpl w:val="FE76B82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9" w15:restartNumberingAfterBreak="0">
    <w:nsid w:val="59444BE6"/>
    <w:multiLevelType w:val="multilevel"/>
    <w:tmpl w:val="092ADFE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0"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21"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3" w15:restartNumberingAfterBreak="0">
    <w:nsid w:val="66063429"/>
    <w:multiLevelType w:val="multilevel"/>
    <w:tmpl w:val="FCBECBAC"/>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4"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num w:numId="1">
    <w:abstractNumId w:val="7"/>
  </w:num>
  <w:num w:numId="2">
    <w:abstractNumId w:val="8"/>
  </w:num>
  <w:num w:numId="3">
    <w:abstractNumId w:val="6"/>
  </w:num>
  <w:num w:numId="4">
    <w:abstractNumId w:val="10"/>
  </w:num>
  <w:num w:numId="5">
    <w:abstractNumId w:val="17"/>
  </w:num>
  <w:num w:numId="6">
    <w:abstractNumId w:val="4"/>
  </w:num>
  <w:num w:numId="7">
    <w:abstractNumId w:val="3"/>
  </w:num>
  <w:num w:numId="8">
    <w:abstractNumId w:val="2"/>
  </w:num>
  <w:num w:numId="9">
    <w:abstractNumId w:val="1"/>
  </w:num>
  <w:num w:numId="10">
    <w:abstractNumId w:val="18"/>
  </w:num>
  <w:num w:numId="11">
    <w:abstractNumId w:val="11"/>
  </w:num>
  <w:num w:numId="12">
    <w:abstractNumId w:val="9"/>
  </w:num>
  <w:num w:numId="13">
    <w:abstractNumId w:val="20"/>
  </w:num>
  <w:num w:numId="14">
    <w:abstractNumId w:val="14"/>
  </w:num>
  <w:num w:numId="15">
    <w:abstractNumId w:val="12"/>
  </w:num>
  <w:num w:numId="16">
    <w:abstractNumId w:val="22"/>
  </w:num>
  <w:num w:numId="17">
    <w:abstractNumId w:val="0"/>
  </w:num>
  <w:num w:numId="18">
    <w:abstractNumId w:val="19"/>
  </w:num>
  <w:num w:numId="19">
    <w:abstractNumId w:val="23"/>
  </w:num>
  <w:num w:numId="20">
    <w:abstractNumId w:val="24"/>
  </w:num>
  <w:num w:numId="21">
    <w:abstractNumId w:val="21"/>
  </w:num>
  <w:num w:numId="22">
    <w:abstractNumId w:val="15"/>
  </w:num>
  <w:num w:numId="23">
    <w:abstractNumId w:val="5"/>
  </w:num>
  <w:num w:numId="24">
    <w:abstractNumId w:val="16"/>
  </w:num>
  <w:num w:numId="25">
    <w:abstractNumId w:val="19"/>
  </w:num>
  <w:num w:numId="26">
    <w:abstractNumId w:val="19"/>
  </w:num>
  <w:num w:numId="27">
    <w:abstractNumId w:val="19"/>
  </w:num>
  <w:num w:numId="28">
    <w:abstractNumId w:val="13"/>
  </w:num>
  <w:num w:numId="29">
    <w:abstractNumId w:val="19"/>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linkStyl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WR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awsrtr20e9dd8ewz5evfttuv5erw5fa22tr&quot;&gt;DobleReferences&lt;record-ids&gt;&lt;item&gt;1695&lt;/item&gt;&lt;item&gt;2495&lt;/item&gt;&lt;item&gt;2497&lt;/item&gt;&lt;item&gt;2505&lt;/item&gt;&lt;item&gt;2509&lt;/item&gt;&lt;item&gt;2521&lt;/item&gt;&lt;item&gt;2523&lt;/item&gt;&lt;item&gt;2524&lt;/item&gt;&lt;item&gt;2525&lt;/item&gt;&lt;item&gt;2529&lt;/item&gt;&lt;item&gt;2535&lt;/item&gt;&lt;item&gt;2544&lt;/item&gt;&lt;item&gt;2552&lt;/item&gt;&lt;item&gt;2554&lt;/item&gt;&lt;item&gt;2557&lt;/item&gt;&lt;item&gt;2559&lt;/item&gt;&lt;item&gt;2624&lt;/item&gt;&lt;item&gt;2625&lt;/item&gt;&lt;item&gt;2626&lt;/item&gt;&lt;item&gt;2627&lt;/item&gt;&lt;item&gt;2629&lt;/item&gt;&lt;item&gt;2630&lt;/item&gt;&lt;item&gt;2631&lt;/item&gt;&lt;item&gt;2632&lt;/item&gt;&lt;item&gt;2633&lt;/item&gt;&lt;/record-ids&gt;&lt;/item&gt;&lt;/Libraries&gt;"/>
  </w:docVars>
  <w:rsids>
    <w:rsidRoot w:val="00D4703E"/>
    <w:rsid w:val="00000F8F"/>
    <w:rsid w:val="00001111"/>
    <w:rsid w:val="00001D9C"/>
    <w:rsid w:val="000027DE"/>
    <w:rsid w:val="00003417"/>
    <w:rsid w:val="0000364F"/>
    <w:rsid w:val="00004567"/>
    <w:rsid w:val="00005441"/>
    <w:rsid w:val="00007BD6"/>
    <w:rsid w:val="0001116F"/>
    <w:rsid w:val="000126FE"/>
    <w:rsid w:val="00014483"/>
    <w:rsid w:val="0001472F"/>
    <w:rsid w:val="00016C65"/>
    <w:rsid w:val="0002725A"/>
    <w:rsid w:val="00032EB8"/>
    <w:rsid w:val="00032FEE"/>
    <w:rsid w:val="00033AF0"/>
    <w:rsid w:val="000364A1"/>
    <w:rsid w:val="000439E9"/>
    <w:rsid w:val="00043F2D"/>
    <w:rsid w:val="00043FE8"/>
    <w:rsid w:val="000442FF"/>
    <w:rsid w:val="000443EE"/>
    <w:rsid w:val="00047F33"/>
    <w:rsid w:val="0005156A"/>
    <w:rsid w:val="00052FB1"/>
    <w:rsid w:val="000535DE"/>
    <w:rsid w:val="0005564B"/>
    <w:rsid w:val="00055E93"/>
    <w:rsid w:val="00063679"/>
    <w:rsid w:val="000645A2"/>
    <w:rsid w:val="00064D04"/>
    <w:rsid w:val="000657EF"/>
    <w:rsid w:val="00066583"/>
    <w:rsid w:val="00070436"/>
    <w:rsid w:val="00071B66"/>
    <w:rsid w:val="00072859"/>
    <w:rsid w:val="0007302F"/>
    <w:rsid w:val="00073047"/>
    <w:rsid w:val="000739BC"/>
    <w:rsid w:val="0007545D"/>
    <w:rsid w:val="00076C65"/>
    <w:rsid w:val="00076EF0"/>
    <w:rsid w:val="0008074A"/>
    <w:rsid w:val="000831E3"/>
    <w:rsid w:val="00083EF3"/>
    <w:rsid w:val="00084F5C"/>
    <w:rsid w:val="0009161A"/>
    <w:rsid w:val="00091F18"/>
    <w:rsid w:val="000968B6"/>
    <w:rsid w:val="00097805"/>
    <w:rsid w:val="000A089C"/>
    <w:rsid w:val="000A0B9A"/>
    <w:rsid w:val="000A1734"/>
    <w:rsid w:val="000A239F"/>
    <w:rsid w:val="000A2703"/>
    <w:rsid w:val="000A347B"/>
    <w:rsid w:val="000A7FA7"/>
    <w:rsid w:val="000B0CCA"/>
    <w:rsid w:val="000B1294"/>
    <w:rsid w:val="000B41E3"/>
    <w:rsid w:val="000B7367"/>
    <w:rsid w:val="000C37BB"/>
    <w:rsid w:val="000C393F"/>
    <w:rsid w:val="000C4386"/>
    <w:rsid w:val="000C5AB5"/>
    <w:rsid w:val="000D0DA5"/>
    <w:rsid w:val="000D38D6"/>
    <w:rsid w:val="000D3E5B"/>
    <w:rsid w:val="000D4D48"/>
    <w:rsid w:val="000D59C4"/>
    <w:rsid w:val="000E0622"/>
    <w:rsid w:val="000E0DE7"/>
    <w:rsid w:val="000E133B"/>
    <w:rsid w:val="000E286F"/>
    <w:rsid w:val="000E4458"/>
    <w:rsid w:val="000E717E"/>
    <w:rsid w:val="000F150B"/>
    <w:rsid w:val="00100240"/>
    <w:rsid w:val="00102E6C"/>
    <w:rsid w:val="00103B67"/>
    <w:rsid w:val="00104398"/>
    <w:rsid w:val="00104883"/>
    <w:rsid w:val="001101E9"/>
    <w:rsid w:val="001105A6"/>
    <w:rsid w:val="00112094"/>
    <w:rsid w:val="0011621F"/>
    <w:rsid w:val="00116981"/>
    <w:rsid w:val="00117F02"/>
    <w:rsid w:val="00120EFC"/>
    <w:rsid w:val="0012677A"/>
    <w:rsid w:val="001310BD"/>
    <w:rsid w:val="001310F3"/>
    <w:rsid w:val="00131434"/>
    <w:rsid w:val="0013147D"/>
    <w:rsid w:val="00135EF5"/>
    <w:rsid w:val="00136E4D"/>
    <w:rsid w:val="001421C7"/>
    <w:rsid w:val="00142CF2"/>
    <w:rsid w:val="001431DD"/>
    <w:rsid w:val="00145A3A"/>
    <w:rsid w:val="00146AB1"/>
    <w:rsid w:val="00153281"/>
    <w:rsid w:val="00154530"/>
    <w:rsid w:val="0015769F"/>
    <w:rsid w:val="00162B7F"/>
    <w:rsid w:val="00164905"/>
    <w:rsid w:val="00166013"/>
    <w:rsid w:val="00166B28"/>
    <w:rsid w:val="00166CD2"/>
    <w:rsid w:val="00170CC9"/>
    <w:rsid w:val="00170E9B"/>
    <w:rsid w:val="00172785"/>
    <w:rsid w:val="0017526C"/>
    <w:rsid w:val="00176769"/>
    <w:rsid w:val="001772DD"/>
    <w:rsid w:val="00177966"/>
    <w:rsid w:val="001801C3"/>
    <w:rsid w:val="00180DB5"/>
    <w:rsid w:val="001818CD"/>
    <w:rsid w:val="001835E3"/>
    <w:rsid w:val="00183F6A"/>
    <w:rsid w:val="00186D1F"/>
    <w:rsid w:val="00192038"/>
    <w:rsid w:val="0019443E"/>
    <w:rsid w:val="001948A4"/>
    <w:rsid w:val="00197787"/>
    <w:rsid w:val="001977E2"/>
    <w:rsid w:val="001A17F9"/>
    <w:rsid w:val="001A57A8"/>
    <w:rsid w:val="001A6FFA"/>
    <w:rsid w:val="001B0FA2"/>
    <w:rsid w:val="001B2E54"/>
    <w:rsid w:val="001B45BF"/>
    <w:rsid w:val="001B50D7"/>
    <w:rsid w:val="001B520A"/>
    <w:rsid w:val="001B7EBE"/>
    <w:rsid w:val="001C16EA"/>
    <w:rsid w:val="001C203B"/>
    <w:rsid w:val="001C2DD8"/>
    <w:rsid w:val="001C375F"/>
    <w:rsid w:val="001C5F21"/>
    <w:rsid w:val="001C72B6"/>
    <w:rsid w:val="001D3D09"/>
    <w:rsid w:val="001D50AF"/>
    <w:rsid w:val="001D5E6F"/>
    <w:rsid w:val="001E10C6"/>
    <w:rsid w:val="001E3958"/>
    <w:rsid w:val="001E4184"/>
    <w:rsid w:val="001E4602"/>
    <w:rsid w:val="001E4E8B"/>
    <w:rsid w:val="001E54E8"/>
    <w:rsid w:val="001E6D84"/>
    <w:rsid w:val="001F20C0"/>
    <w:rsid w:val="001F462C"/>
    <w:rsid w:val="001F4C4B"/>
    <w:rsid w:val="001F4DAE"/>
    <w:rsid w:val="001F502B"/>
    <w:rsid w:val="001F582F"/>
    <w:rsid w:val="001F7C2C"/>
    <w:rsid w:val="001F7EFD"/>
    <w:rsid w:val="00201A43"/>
    <w:rsid w:val="00201AD7"/>
    <w:rsid w:val="00204B14"/>
    <w:rsid w:val="002058BB"/>
    <w:rsid w:val="0020774C"/>
    <w:rsid w:val="00207DA6"/>
    <w:rsid w:val="002108A8"/>
    <w:rsid w:val="0021143B"/>
    <w:rsid w:val="00214391"/>
    <w:rsid w:val="00214511"/>
    <w:rsid w:val="00216BFA"/>
    <w:rsid w:val="00217DE3"/>
    <w:rsid w:val="00221500"/>
    <w:rsid w:val="002217F0"/>
    <w:rsid w:val="00221E23"/>
    <w:rsid w:val="00222E1A"/>
    <w:rsid w:val="00222EF2"/>
    <w:rsid w:val="0022392C"/>
    <w:rsid w:val="00223EF0"/>
    <w:rsid w:val="00225909"/>
    <w:rsid w:val="00227636"/>
    <w:rsid w:val="00231BAE"/>
    <w:rsid w:val="00232EA9"/>
    <w:rsid w:val="00233613"/>
    <w:rsid w:val="00236B21"/>
    <w:rsid w:val="00237495"/>
    <w:rsid w:val="0023768B"/>
    <w:rsid w:val="00241CAB"/>
    <w:rsid w:val="0024289B"/>
    <w:rsid w:val="002468AA"/>
    <w:rsid w:val="002477B9"/>
    <w:rsid w:val="00250185"/>
    <w:rsid w:val="00251003"/>
    <w:rsid w:val="00253471"/>
    <w:rsid w:val="002554D7"/>
    <w:rsid w:val="00256F40"/>
    <w:rsid w:val="00257FC2"/>
    <w:rsid w:val="00260010"/>
    <w:rsid w:val="002609A8"/>
    <w:rsid w:val="00262B50"/>
    <w:rsid w:val="00263B18"/>
    <w:rsid w:val="00265980"/>
    <w:rsid w:val="00266BFF"/>
    <w:rsid w:val="0027183F"/>
    <w:rsid w:val="00272259"/>
    <w:rsid w:val="00276604"/>
    <w:rsid w:val="00276BE5"/>
    <w:rsid w:val="00277595"/>
    <w:rsid w:val="002777B5"/>
    <w:rsid w:val="002803A9"/>
    <w:rsid w:val="00281F04"/>
    <w:rsid w:val="00284CA7"/>
    <w:rsid w:val="00287A00"/>
    <w:rsid w:val="002917B2"/>
    <w:rsid w:val="00292CF8"/>
    <w:rsid w:val="0029489A"/>
    <w:rsid w:val="002966A8"/>
    <w:rsid w:val="002B27AF"/>
    <w:rsid w:val="002B6CCA"/>
    <w:rsid w:val="002B727F"/>
    <w:rsid w:val="002B7934"/>
    <w:rsid w:val="002C07C4"/>
    <w:rsid w:val="002C13E7"/>
    <w:rsid w:val="002C17C8"/>
    <w:rsid w:val="002C366F"/>
    <w:rsid w:val="002C6EB1"/>
    <w:rsid w:val="002C7C04"/>
    <w:rsid w:val="002D12C2"/>
    <w:rsid w:val="002D20B2"/>
    <w:rsid w:val="002D3BA2"/>
    <w:rsid w:val="002D56A9"/>
    <w:rsid w:val="002D664F"/>
    <w:rsid w:val="002D6AEF"/>
    <w:rsid w:val="002D72D3"/>
    <w:rsid w:val="002E0995"/>
    <w:rsid w:val="002E1AE3"/>
    <w:rsid w:val="002E2837"/>
    <w:rsid w:val="002E41D3"/>
    <w:rsid w:val="002E45AF"/>
    <w:rsid w:val="002E45FC"/>
    <w:rsid w:val="002E5602"/>
    <w:rsid w:val="002E5D51"/>
    <w:rsid w:val="002E79F2"/>
    <w:rsid w:val="002F367D"/>
    <w:rsid w:val="002F3C41"/>
    <w:rsid w:val="002F4503"/>
    <w:rsid w:val="002F509C"/>
    <w:rsid w:val="002F607B"/>
    <w:rsid w:val="002F7A5F"/>
    <w:rsid w:val="003000F2"/>
    <w:rsid w:val="003005E9"/>
    <w:rsid w:val="00302C78"/>
    <w:rsid w:val="00306011"/>
    <w:rsid w:val="00310010"/>
    <w:rsid w:val="00311676"/>
    <w:rsid w:val="00320CC0"/>
    <w:rsid w:val="00321E53"/>
    <w:rsid w:val="0032581D"/>
    <w:rsid w:val="00330C5C"/>
    <w:rsid w:val="0033406F"/>
    <w:rsid w:val="003344A2"/>
    <w:rsid w:val="00336753"/>
    <w:rsid w:val="00336AB4"/>
    <w:rsid w:val="0033776F"/>
    <w:rsid w:val="0034040D"/>
    <w:rsid w:val="003436E6"/>
    <w:rsid w:val="00343D54"/>
    <w:rsid w:val="003456B9"/>
    <w:rsid w:val="00352808"/>
    <w:rsid w:val="00353E75"/>
    <w:rsid w:val="003540AC"/>
    <w:rsid w:val="003562A9"/>
    <w:rsid w:val="00357417"/>
    <w:rsid w:val="0036473C"/>
    <w:rsid w:val="00365D10"/>
    <w:rsid w:val="00365E19"/>
    <w:rsid w:val="00366365"/>
    <w:rsid w:val="00371617"/>
    <w:rsid w:val="0037219E"/>
    <w:rsid w:val="00372278"/>
    <w:rsid w:val="00372493"/>
    <w:rsid w:val="0037286B"/>
    <w:rsid w:val="00373299"/>
    <w:rsid w:val="0037390E"/>
    <w:rsid w:val="00373E8B"/>
    <w:rsid w:val="00373F0D"/>
    <w:rsid w:val="003755E7"/>
    <w:rsid w:val="00375662"/>
    <w:rsid w:val="0037567E"/>
    <w:rsid w:val="003777D4"/>
    <w:rsid w:val="00377A16"/>
    <w:rsid w:val="0038004C"/>
    <w:rsid w:val="00381A29"/>
    <w:rsid w:val="0038213F"/>
    <w:rsid w:val="00383CBE"/>
    <w:rsid w:val="00383F24"/>
    <w:rsid w:val="0038431D"/>
    <w:rsid w:val="0038676C"/>
    <w:rsid w:val="0038681E"/>
    <w:rsid w:val="00386A0E"/>
    <w:rsid w:val="00386B21"/>
    <w:rsid w:val="0038724B"/>
    <w:rsid w:val="003904D6"/>
    <w:rsid w:val="003908A7"/>
    <w:rsid w:val="00391DA9"/>
    <w:rsid w:val="003920C9"/>
    <w:rsid w:val="00392685"/>
    <w:rsid w:val="00395528"/>
    <w:rsid w:val="003A0C90"/>
    <w:rsid w:val="003A1176"/>
    <w:rsid w:val="003A1E2E"/>
    <w:rsid w:val="003A258A"/>
    <w:rsid w:val="003A27D7"/>
    <w:rsid w:val="003A3096"/>
    <w:rsid w:val="003A5A2A"/>
    <w:rsid w:val="003A5AEF"/>
    <w:rsid w:val="003A5BBD"/>
    <w:rsid w:val="003A614C"/>
    <w:rsid w:val="003A7498"/>
    <w:rsid w:val="003A76D0"/>
    <w:rsid w:val="003B1B53"/>
    <w:rsid w:val="003B2F9C"/>
    <w:rsid w:val="003B3F54"/>
    <w:rsid w:val="003B5397"/>
    <w:rsid w:val="003C1ED3"/>
    <w:rsid w:val="003C2197"/>
    <w:rsid w:val="003C470D"/>
    <w:rsid w:val="003C5BF2"/>
    <w:rsid w:val="003C62A3"/>
    <w:rsid w:val="003C6B68"/>
    <w:rsid w:val="003C769F"/>
    <w:rsid w:val="003C7898"/>
    <w:rsid w:val="003D10B8"/>
    <w:rsid w:val="003D1A45"/>
    <w:rsid w:val="003D2865"/>
    <w:rsid w:val="003D2FA4"/>
    <w:rsid w:val="003D38BF"/>
    <w:rsid w:val="003E0CF5"/>
    <w:rsid w:val="003E174A"/>
    <w:rsid w:val="003E259A"/>
    <w:rsid w:val="003E25AB"/>
    <w:rsid w:val="003E3CFA"/>
    <w:rsid w:val="003E578F"/>
    <w:rsid w:val="003E6317"/>
    <w:rsid w:val="003F0330"/>
    <w:rsid w:val="003F2977"/>
    <w:rsid w:val="00400510"/>
    <w:rsid w:val="00400AC5"/>
    <w:rsid w:val="00402D71"/>
    <w:rsid w:val="004041D3"/>
    <w:rsid w:val="00405FBA"/>
    <w:rsid w:val="00406FCC"/>
    <w:rsid w:val="00407A39"/>
    <w:rsid w:val="00420742"/>
    <w:rsid w:val="00420CA6"/>
    <w:rsid w:val="00422954"/>
    <w:rsid w:val="0042469E"/>
    <w:rsid w:val="00425C43"/>
    <w:rsid w:val="004262F9"/>
    <w:rsid w:val="00426358"/>
    <w:rsid w:val="00426E3D"/>
    <w:rsid w:val="00427320"/>
    <w:rsid w:val="00430678"/>
    <w:rsid w:val="00432BF2"/>
    <w:rsid w:val="00435E1A"/>
    <w:rsid w:val="00436591"/>
    <w:rsid w:val="00436BCB"/>
    <w:rsid w:val="00437F3B"/>
    <w:rsid w:val="00440F74"/>
    <w:rsid w:val="0044150A"/>
    <w:rsid w:val="00441AA6"/>
    <w:rsid w:val="00443A21"/>
    <w:rsid w:val="004440A1"/>
    <w:rsid w:val="00446136"/>
    <w:rsid w:val="00446854"/>
    <w:rsid w:val="00450ED1"/>
    <w:rsid w:val="00451ACC"/>
    <w:rsid w:val="004520DC"/>
    <w:rsid w:val="00452A1B"/>
    <w:rsid w:val="00452F96"/>
    <w:rsid w:val="0045487B"/>
    <w:rsid w:val="00455E88"/>
    <w:rsid w:val="00460AD2"/>
    <w:rsid w:val="004620C1"/>
    <w:rsid w:val="00463CC9"/>
    <w:rsid w:val="004656A7"/>
    <w:rsid w:val="00465ACA"/>
    <w:rsid w:val="00467C7C"/>
    <w:rsid w:val="0047193D"/>
    <w:rsid w:val="00473D15"/>
    <w:rsid w:val="00474DA6"/>
    <w:rsid w:val="00480DB9"/>
    <w:rsid w:val="00481D40"/>
    <w:rsid w:val="00484A1A"/>
    <w:rsid w:val="00484A60"/>
    <w:rsid w:val="00486590"/>
    <w:rsid w:val="00486C7F"/>
    <w:rsid w:val="00490035"/>
    <w:rsid w:val="0049042B"/>
    <w:rsid w:val="004905EA"/>
    <w:rsid w:val="00490FAF"/>
    <w:rsid w:val="004915E7"/>
    <w:rsid w:val="00491715"/>
    <w:rsid w:val="004A01B3"/>
    <w:rsid w:val="004A07A6"/>
    <w:rsid w:val="004A0F9C"/>
    <w:rsid w:val="004A113A"/>
    <w:rsid w:val="004A2435"/>
    <w:rsid w:val="004A274C"/>
    <w:rsid w:val="004A7384"/>
    <w:rsid w:val="004A7D07"/>
    <w:rsid w:val="004B271A"/>
    <w:rsid w:val="004B2724"/>
    <w:rsid w:val="004B3311"/>
    <w:rsid w:val="004C22EA"/>
    <w:rsid w:val="004C2D40"/>
    <w:rsid w:val="004C2FD2"/>
    <w:rsid w:val="004C332D"/>
    <w:rsid w:val="004C3BAC"/>
    <w:rsid w:val="004C4A33"/>
    <w:rsid w:val="004C5695"/>
    <w:rsid w:val="004C5F54"/>
    <w:rsid w:val="004D13C6"/>
    <w:rsid w:val="004D1A79"/>
    <w:rsid w:val="004D22D5"/>
    <w:rsid w:val="004D2EE8"/>
    <w:rsid w:val="004D35C4"/>
    <w:rsid w:val="004E10EE"/>
    <w:rsid w:val="004E14D9"/>
    <w:rsid w:val="004E1C00"/>
    <w:rsid w:val="004F1746"/>
    <w:rsid w:val="00501BD7"/>
    <w:rsid w:val="005020D3"/>
    <w:rsid w:val="005043A1"/>
    <w:rsid w:val="00504674"/>
    <w:rsid w:val="00505A18"/>
    <w:rsid w:val="00506293"/>
    <w:rsid w:val="00514CD5"/>
    <w:rsid w:val="005201FF"/>
    <w:rsid w:val="005224A6"/>
    <w:rsid w:val="005234E0"/>
    <w:rsid w:val="0052559E"/>
    <w:rsid w:val="00527DC0"/>
    <w:rsid w:val="00527F20"/>
    <w:rsid w:val="00530A79"/>
    <w:rsid w:val="00531D6A"/>
    <w:rsid w:val="00531E09"/>
    <w:rsid w:val="005331D8"/>
    <w:rsid w:val="00533E57"/>
    <w:rsid w:val="0053544B"/>
    <w:rsid w:val="00535606"/>
    <w:rsid w:val="0053664E"/>
    <w:rsid w:val="00542B8D"/>
    <w:rsid w:val="00544BC7"/>
    <w:rsid w:val="005456D6"/>
    <w:rsid w:val="005474E4"/>
    <w:rsid w:val="00547B92"/>
    <w:rsid w:val="00552EE0"/>
    <w:rsid w:val="0055324B"/>
    <w:rsid w:val="005623D0"/>
    <w:rsid w:val="00562D85"/>
    <w:rsid w:val="00566AB4"/>
    <w:rsid w:val="00570834"/>
    <w:rsid w:val="00572CE3"/>
    <w:rsid w:val="005759F3"/>
    <w:rsid w:val="005810E7"/>
    <w:rsid w:val="0058253B"/>
    <w:rsid w:val="0058588A"/>
    <w:rsid w:val="00587C8F"/>
    <w:rsid w:val="005909E6"/>
    <w:rsid w:val="005916E4"/>
    <w:rsid w:val="00593442"/>
    <w:rsid w:val="0059364C"/>
    <w:rsid w:val="00593E00"/>
    <w:rsid w:val="0059788C"/>
    <w:rsid w:val="00597FBB"/>
    <w:rsid w:val="005A17E6"/>
    <w:rsid w:val="005A1C8C"/>
    <w:rsid w:val="005A3378"/>
    <w:rsid w:val="005A3F05"/>
    <w:rsid w:val="005A6DC0"/>
    <w:rsid w:val="005B0004"/>
    <w:rsid w:val="005B103E"/>
    <w:rsid w:val="005C0075"/>
    <w:rsid w:val="005C0219"/>
    <w:rsid w:val="005C5E60"/>
    <w:rsid w:val="005C7C55"/>
    <w:rsid w:val="005D0444"/>
    <w:rsid w:val="005D218D"/>
    <w:rsid w:val="005D341E"/>
    <w:rsid w:val="005D4093"/>
    <w:rsid w:val="005D4732"/>
    <w:rsid w:val="005D4E0F"/>
    <w:rsid w:val="005D7D47"/>
    <w:rsid w:val="005E0AF2"/>
    <w:rsid w:val="005E1433"/>
    <w:rsid w:val="005E2118"/>
    <w:rsid w:val="005E2F4C"/>
    <w:rsid w:val="005E5A44"/>
    <w:rsid w:val="005F5731"/>
    <w:rsid w:val="005F61B3"/>
    <w:rsid w:val="005F68B7"/>
    <w:rsid w:val="00601BC5"/>
    <w:rsid w:val="00603E50"/>
    <w:rsid w:val="00604A15"/>
    <w:rsid w:val="00604F2D"/>
    <w:rsid w:val="00605FF9"/>
    <w:rsid w:val="006108A0"/>
    <w:rsid w:val="00615131"/>
    <w:rsid w:val="00622053"/>
    <w:rsid w:val="006236CB"/>
    <w:rsid w:val="00623C36"/>
    <w:rsid w:val="00626EF1"/>
    <w:rsid w:val="00631C57"/>
    <w:rsid w:val="00632932"/>
    <w:rsid w:val="00634926"/>
    <w:rsid w:val="0064020A"/>
    <w:rsid w:val="00641A69"/>
    <w:rsid w:val="00641AE2"/>
    <w:rsid w:val="006426F6"/>
    <w:rsid w:val="00644E2F"/>
    <w:rsid w:val="006520DB"/>
    <w:rsid w:val="00653EA8"/>
    <w:rsid w:val="00654294"/>
    <w:rsid w:val="00654EA8"/>
    <w:rsid w:val="006562EA"/>
    <w:rsid w:val="00656546"/>
    <w:rsid w:val="00656CA6"/>
    <w:rsid w:val="00656E89"/>
    <w:rsid w:val="00657D39"/>
    <w:rsid w:val="00661F4B"/>
    <w:rsid w:val="00665062"/>
    <w:rsid w:val="00665667"/>
    <w:rsid w:val="00665AE3"/>
    <w:rsid w:val="0066717A"/>
    <w:rsid w:val="00670FE9"/>
    <w:rsid w:val="00671842"/>
    <w:rsid w:val="006727A7"/>
    <w:rsid w:val="006756D8"/>
    <w:rsid w:val="00676B4E"/>
    <w:rsid w:val="00676BEA"/>
    <w:rsid w:val="006771F9"/>
    <w:rsid w:val="00680E0A"/>
    <w:rsid w:val="00686DF3"/>
    <w:rsid w:val="00691317"/>
    <w:rsid w:val="0069236E"/>
    <w:rsid w:val="00693CD3"/>
    <w:rsid w:val="00693F47"/>
    <w:rsid w:val="00693FC0"/>
    <w:rsid w:val="00694154"/>
    <w:rsid w:val="006948B0"/>
    <w:rsid w:val="006A3468"/>
    <w:rsid w:val="006A402D"/>
    <w:rsid w:val="006A506C"/>
    <w:rsid w:val="006A50C0"/>
    <w:rsid w:val="006A5A6C"/>
    <w:rsid w:val="006A5A8F"/>
    <w:rsid w:val="006A5C1D"/>
    <w:rsid w:val="006B071D"/>
    <w:rsid w:val="006B1A9A"/>
    <w:rsid w:val="006B59FF"/>
    <w:rsid w:val="006C0364"/>
    <w:rsid w:val="006C1555"/>
    <w:rsid w:val="006C28CF"/>
    <w:rsid w:val="006C2AFE"/>
    <w:rsid w:val="006C2F04"/>
    <w:rsid w:val="006C32E8"/>
    <w:rsid w:val="006C37E7"/>
    <w:rsid w:val="006C4FCA"/>
    <w:rsid w:val="006C59FE"/>
    <w:rsid w:val="006D0C00"/>
    <w:rsid w:val="006D1552"/>
    <w:rsid w:val="006D24B4"/>
    <w:rsid w:val="006D38D1"/>
    <w:rsid w:val="006D5FE9"/>
    <w:rsid w:val="006D79A0"/>
    <w:rsid w:val="006D7E65"/>
    <w:rsid w:val="006E0365"/>
    <w:rsid w:val="006E0E79"/>
    <w:rsid w:val="006E5477"/>
    <w:rsid w:val="006E54A9"/>
    <w:rsid w:val="006E55A0"/>
    <w:rsid w:val="006E7B97"/>
    <w:rsid w:val="006F1751"/>
    <w:rsid w:val="006F63C1"/>
    <w:rsid w:val="006F6DC9"/>
    <w:rsid w:val="006F7423"/>
    <w:rsid w:val="00702757"/>
    <w:rsid w:val="00702A49"/>
    <w:rsid w:val="00702CDD"/>
    <w:rsid w:val="00713200"/>
    <w:rsid w:val="00715247"/>
    <w:rsid w:val="0071706C"/>
    <w:rsid w:val="0071787F"/>
    <w:rsid w:val="007178EF"/>
    <w:rsid w:val="007179D3"/>
    <w:rsid w:val="0072162E"/>
    <w:rsid w:val="007223AD"/>
    <w:rsid w:val="007224B5"/>
    <w:rsid w:val="00722D41"/>
    <w:rsid w:val="00723A10"/>
    <w:rsid w:val="00724E00"/>
    <w:rsid w:val="00730EE4"/>
    <w:rsid w:val="00733DFE"/>
    <w:rsid w:val="00734F06"/>
    <w:rsid w:val="00741D62"/>
    <w:rsid w:val="007455CA"/>
    <w:rsid w:val="00745D0E"/>
    <w:rsid w:val="00750B05"/>
    <w:rsid w:val="007515B6"/>
    <w:rsid w:val="00751A0C"/>
    <w:rsid w:val="007520D3"/>
    <w:rsid w:val="0075292E"/>
    <w:rsid w:val="00753DAD"/>
    <w:rsid w:val="007547E7"/>
    <w:rsid w:val="00757C84"/>
    <w:rsid w:val="00763DDA"/>
    <w:rsid w:val="00766B48"/>
    <w:rsid w:val="007714BA"/>
    <w:rsid w:val="007740DB"/>
    <w:rsid w:val="00774EF8"/>
    <w:rsid w:val="00775931"/>
    <w:rsid w:val="00776114"/>
    <w:rsid w:val="00777649"/>
    <w:rsid w:val="00777672"/>
    <w:rsid w:val="007817F0"/>
    <w:rsid w:val="00782D05"/>
    <w:rsid w:val="007831C4"/>
    <w:rsid w:val="00786AE5"/>
    <w:rsid w:val="00786DA8"/>
    <w:rsid w:val="00790AF6"/>
    <w:rsid w:val="00792040"/>
    <w:rsid w:val="00792626"/>
    <w:rsid w:val="007939E0"/>
    <w:rsid w:val="00794063"/>
    <w:rsid w:val="0079517D"/>
    <w:rsid w:val="007A0AD9"/>
    <w:rsid w:val="007A2DF9"/>
    <w:rsid w:val="007A40E4"/>
    <w:rsid w:val="007A727C"/>
    <w:rsid w:val="007A7BC9"/>
    <w:rsid w:val="007B01EE"/>
    <w:rsid w:val="007B18A0"/>
    <w:rsid w:val="007B24EC"/>
    <w:rsid w:val="007B487B"/>
    <w:rsid w:val="007B5651"/>
    <w:rsid w:val="007B5992"/>
    <w:rsid w:val="007B6101"/>
    <w:rsid w:val="007C09CA"/>
    <w:rsid w:val="007C1732"/>
    <w:rsid w:val="007C1D76"/>
    <w:rsid w:val="007C25DA"/>
    <w:rsid w:val="007C30F8"/>
    <w:rsid w:val="007C3A95"/>
    <w:rsid w:val="007C5B07"/>
    <w:rsid w:val="007C60FC"/>
    <w:rsid w:val="007D148A"/>
    <w:rsid w:val="007D1F6B"/>
    <w:rsid w:val="007D3D98"/>
    <w:rsid w:val="007D73E5"/>
    <w:rsid w:val="007D7FD8"/>
    <w:rsid w:val="007E2ED9"/>
    <w:rsid w:val="007E4903"/>
    <w:rsid w:val="007F0629"/>
    <w:rsid w:val="007F0A8E"/>
    <w:rsid w:val="007F15BB"/>
    <w:rsid w:val="007F3086"/>
    <w:rsid w:val="007F4938"/>
    <w:rsid w:val="00806F59"/>
    <w:rsid w:val="00806F84"/>
    <w:rsid w:val="00810C8A"/>
    <w:rsid w:val="00813FB0"/>
    <w:rsid w:val="008164DA"/>
    <w:rsid w:val="00820486"/>
    <w:rsid w:val="00821D40"/>
    <w:rsid w:val="00822A5C"/>
    <w:rsid w:val="00822D21"/>
    <w:rsid w:val="00823561"/>
    <w:rsid w:val="00826113"/>
    <w:rsid w:val="008302B1"/>
    <w:rsid w:val="00830339"/>
    <w:rsid w:val="00831278"/>
    <w:rsid w:val="00832400"/>
    <w:rsid w:val="00834079"/>
    <w:rsid w:val="0083458D"/>
    <w:rsid w:val="0083547D"/>
    <w:rsid w:val="0084056B"/>
    <w:rsid w:val="00843959"/>
    <w:rsid w:val="00844F98"/>
    <w:rsid w:val="0084502A"/>
    <w:rsid w:val="00845550"/>
    <w:rsid w:val="0085057F"/>
    <w:rsid w:val="00850F7B"/>
    <w:rsid w:val="0085151C"/>
    <w:rsid w:val="008541AD"/>
    <w:rsid w:val="008544BC"/>
    <w:rsid w:val="008579DA"/>
    <w:rsid w:val="0086119B"/>
    <w:rsid w:val="00862C35"/>
    <w:rsid w:val="00862D8A"/>
    <w:rsid w:val="0086391A"/>
    <w:rsid w:val="00863A67"/>
    <w:rsid w:val="0086686D"/>
    <w:rsid w:val="008677F5"/>
    <w:rsid w:val="00867F57"/>
    <w:rsid w:val="00872DE4"/>
    <w:rsid w:val="00873703"/>
    <w:rsid w:val="00874827"/>
    <w:rsid w:val="00874B5A"/>
    <w:rsid w:val="00877D61"/>
    <w:rsid w:val="008829FF"/>
    <w:rsid w:val="00882A44"/>
    <w:rsid w:val="00885219"/>
    <w:rsid w:val="00885E1F"/>
    <w:rsid w:val="00886C05"/>
    <w:rsid w:val="0088713D"/>
    <w:rsid w:val="008916B1"/>
    <w:rsid w:val="00892562"/>
    <w:rsid w:val="00894AA9"/>
    <w:rsid w:val="008A0C2B"/>
    <w:rsid w:val="008A3746"/>
    <w:rsid w:val="008A3F82"/>
    <w:rsid w:val="008A4070"/>
    <w:rsid w:val="008A4B8F"/>
    <w:rsid w:val="008A4BB7"/>
    <w:rsid w:val="008A5C4F"/>
    <w:rsid w:val="008B7B3C"/>
    <w:rsid w:val="008B7E23"/>
    <w:rsid w:val="008C2110"/>
    <w:rsid w:val="008C2757"/>
    <w:rsid w:val="008C3355"/>
    <w:rsid w:val="008C4479"/>
    <w:rsid w:val="008C4C0C"/>
    <w:rsid w:val="008C6320"/>
    <w:rsid w:val="008C7E04"/>
    <w:rsid w:val="008D0438"/>
    <w:rsid w:val="008D0C42"/>
    <w:rsid w:val="008D5AC7"/>
    <w:rsid w:val="008D7722"/>
    <w:rsid w:val="008D7940"/>
    <w:rsid w:val="008E0881"/>
    <w:rsid w:val="008E215A"/>
    <w:rsid w:val="008E3879"/>
    <w:rsid w:val="008E4668"/>
    <w:rsid w:val="008E5F86"/>
    <w:rsid w:val="008E6145"/>
    <w:rsid w:val="008E7ED9"/>
    <w:rsid w:val="008F00FA"/>
    <w:rsid w:val="008F18B4"/>
    <w:rsid w:val="008F2498"/>
    <w:rsid w:val="008F4454"/>
    <w:rsid w:val="008F4943"/>
    <w:rsid w:val="008F54E9"/>
    <w:rsid w:val="008F58A4"/>
    <w:rsid w:val="008F5DB1"/>
    <w:rsid w:val="008F6A9C"/>
    <w:rsid w:val="00901024"/>
    <w:rsid w:val="0090104C"/>
    <w:rsid w:val="00901F00"/>
    <w:rsid w:val="0090296A"/>
    <w:rsid w:val="009045D7"/>
    <w:rsid w:val="009065B7"/>
    <w:rsid w:val="0090765A"/>
    <w:rsid w:val="00911067"/>
    <w:rsid w:val="00912129"/>
    <w:rsid w:val="00912142"/>
    <w:rsid w:val="00914EA4"/>
    <w:rsid w:val="00915273"/>
    <w:rsid w:val="00915FCA"/>
    <w:rsid w:val="009204C0"/>
    <w:rsid w:val="0092289F"/>
    <w:rsid w:val="00922A2F"/>
    <w:rsid w:val="0092550A"/>
    <w:rsid w:val="0092716E"/>
    <w:rsid w:val="00932BF1"/>
    <w:rsid w:val="00935F6D"/>
    <w:rsid w:val="00937DA4"/>
    <w:rsid w:val="00937EE6"/>
    <w:rsid w:val="00943632"/>
    <w:rsid w:val="009470DC"/>
    <w:rsid w:val="00950113"/>
    <w:rsid w:val="009514A0"/>
    <w:rsid w:val="009519CC"/>
    <w:rsid w:val="009519E7"/>
    <w:rsid w:val="00952D09"/>
    <w:rsid w:val="0095657D"/>
    <w:rsid w:val="009623DF"/>
    <w:rsid w:val="00962454"/>
    <w:rsid w:val="009648A9"/>
    <w:rsid w:val="00964B7B"/>
    <w:rsid w:val="0096604A"/>
    <w:rsid w:val="0097147B"/>
    <w:rsid w:val="009724A3"/>
    <w:rsid w:val="0097548B"/>
    <w:rsid w:val="00975632"/>
    <w:rsid w:val="00976756"/>
    <w:rsid w:val="00976E7C"/>
    <w:rsid w:val="00977E94"/>
    <w:rsid w:val="009806D6"/>
    <w:rsid w:val="00982110"/>
    <w:rsid w:val="00983682"/>
    <w:rsid w:val="00984FE7"/>
    <w:rsid w:val="00986E62"/>
    <w:rsid w:val="009871CE"/>
    <w:rsid w:val="009902B9"/>
    <w:rsid w:val="009910B5"/>
    <w:rsid w:val="00991B34"/>
    <w:rsid w:val="00991F5A"/>
    <w:rsid w:val="00992332"/>
    <w:rsid w:val="0099399A"/>
    <w:rsid w:val="00995CB8"/>
    <w:rsid w:val="00996FB5"/>
    <w:rsid w:val="00997F26"/>
    <w:rsid w:val="009A0B6E"/>
    <w:rsid w:val="009A0D64"/>
    <w:rsid w:val="009A16F0"/>
    <w:rsid w:val="009A29DC"/>
    <w:rsid w:val="009A3903"/>
    <w:rsid w:val="009A70AC"/>
    <w:rsid w:val="009B1457"/>
    <w:rsid w:val="009B1499"/>
    <w:rsid w:val="009B40D8"/>
    <w:rsid w:val="009B7B67"/>
    <w:rsid w:val="009C38A5"/>
    <w:rsid w:val="009C5475"/>
    <w:rsid w:val="009D1CC2"/>
    <w:rsid w:val="009D4398"/>
    <w:rsid w:val="009D642E"/>
    <w:rsid w:val="009D6D27"/>
    <w:rsid w:val="009E14F4"/>
    <w:rsid w:val="009E2E2B"/>
    <w:rsid w:val="009E3C91"/>
    <w:rsid w:val="009F13E2"/>
    <w:rsid w:val="009F6087"/>
    <w:rsid w:val="009F7699"/>
    <w:rsid w:val="00A00E82"/>
    <w:rsid w:val="00A0234E"/>
    <w:rsid w:val="00A04364"/>
    <w:rsid w:val="00A04A05"/>
    <w:rsid w:val="00A06BCD"/>
    <w:rsid w:val="00A07243"/>
    <w:rsid w:val="00A07ED2"/>
    <w:rsid w:val="00A10150"/>
    <w:rsid w:val="00A11DA8"/>
    <w:rsid w:val="00A12D70"/>
    <w:rsid w:val="00A12E5B"/>
    <w:rsid w:val="00A13705"/>
    <w:rsid w:val="00A13815"/>
    <w:rsid w:val="00A138E2"/>
    <w:rsid w:val="00A14892"/>
    <w:rsid w:val="00A17458"/>
    <w:rsid w:val="00A20614"/>
    <w:rsid w:val="00A219A8"/>
    <w:rsid w:val="00A21AEF"/>
    <w:rsid w:val="00A2214B"/>
    <w:rsid w:val="00A22C40"/>
    <w:rsid w:val="00A23B69"/>
    <w:rsid w:val="00A23CAE"/>
    <w:rsid w:val="00A2488B"/>
    <w:rsid w:val="00A2723D"/>
    <w:rsid w:val="00A315F5"/>
    <w:rsid w:val="00A31D2D"/>
    <w:rsid w:val="00A343C2"/>
    <w:rsid w:val="00A36511"/>
    <w:rsid w:val="00A424F6"/>
    <w:rsid w:val="00A42DD1"/>
    <w:rsid w:val="00A44899"/>
    <w:rsid w:val="00A4506D"/>
    <w:rsid w:val="00A470BF"/>
    <w:rsid w:val="00A50F05"/>
    <w:rsid w:val="00A52D81"/>
    <w:rsid w:val="00A547B4"/>
    <w:rsid w:val="00A5665D"/>
    <w:rsid w:val="00A56FC1"/>
    <w:rsid w:val="00A6268F"/>
    <w:rsid w:val="00A6289C"/>
    <w:rsid w:val="00A63A44"/>
    <w:rsid w:val="00A64C51"/>
    <w:rsid w:val="00A66B28"/>
    <w:rsid w:val="00A67271"/>
    <w:rsid w:val="00A67897"/>
    <w:rsid w:val="00A67A22"/>
    <w:rsid w:val="00A70F9F"/>
    <w:rsid w:val="00A72401"/>
    <w:rsid w:val="00A74837"/>
    <w:rsid w:val="00A76044"/>
    <w:rsid w:val="00A817C7"/>
    <w:rsid w:val="00A8232A"/>
    <w:rsid w:val="00A82EB2"/>
    <w:rsid w:val="00A83A47"/>
    <w:rsid w:val="00A84D76"/>
    <w:rsid w:val="00A84DDC"/>
    <w:rsid w:val="00A9012E"/>
    <w:rsid w:val="00A90958"/>
    <w:rsid w:val="00A91A33"/>
    <w:rsid w:val="00A92585"/>
    <w:rsid w:val="00AA25E7"/>
    <w:rsid w:val="00AA2BB7"/>
    <w:rsid w:val="00AA4447"/>
    <w:rsid w:val="00AA7655"/>
    <w:rsid w:val="00AB0084"/>
    <w:rsid w:val="00AB17FB"/>
    <w:rsid w:val="00AB2546"/>
    <w:rsid w:val="00AB41F4"/>
    <w:rsid w:val="00AB4274"/>
    <w:rsid w:val="00AB4D01"/>
    <w:rsid w:val="00AB50B8"/>
    <w:rsid w:val="00AB6D25"/>
    <w:rsid w:val="00AC1D98"/>
    <w:rsid w:val="00AC3153"/>
    <w:rsid w:val="00AC4BAB"/>
    <w:rsid w:val="00AC529D"/>
    <w:rsid w:val="00AC625A"/>
    <w:rsid w:val="00AC6306"/>
    <w:rsid w:val="00AD06F5"/>
    <w:rsid w:val="00AD124E"/>
    <w:rsid w:val="00AD126A"/>
    <w:rsid w:val="00AD12B8"/>
    <w:rsid w:val="00AD178B"/>
    <w:rsid w:val="00AD216B"/>
    <w:rsid w:val="00AD2E3A"/>
    <w:rsid w:val="00AD3948"/>
    <w:rsid w:val="00AD674F"/>
    <w:rsid w:val="00AD6ECC"/>
    <w:rsid w:val="00AD7349"/>
    <w:rsid w:val="00AE21EF"/>
    <w:rsid w:val="00AE2DE1"/>
    <w:rsid w:val="00AF018D"/>
    <w:rsid w:val="00AF25E0"/>
    <w:rsid w:val="00AF5B65"/>
    <w:rsid w:val="00B01A36"/>
    <w:rsid w:val="00B029DE"/>
    <w:rsid w:val="00B041D3"/>
    <w:rsid w:val="00B0499C"/>
    <w:rsid w:val="00B117E1"/>
    <w:rsid w:val="00B1257D"/>
    <w:rsid w:val="00B1282B"/>
    <w:rsid w:val="00B14500"/>
    <w:rsid w:val="00B148B9"/>
    <w:rsid w:val="00B17136"/>
    <w:rsid w:val="00B20B7C"/>
    <w:rsid w:val="00B2245A"/>
    <w:rsid w:val="00B2470F"/>
    <w:rsid w:val="00B24A6F"/>
    <w:rsid w:val="00B261AC"/>
    <w:rsid w:val="00B304A1"/>
    <w:rsid w:val="00B33A9E"/>
    <w:rsid w:val="00B400FB"/>
    <w:rsid w:val="00B40ED3"/>
    <w:rsid w:val="00B42047"/>
    <w:rsid w:val="00B51702"/>
    <w:rsid w:val="00B5246F"/>
    <w:rsid w:val="00B5415A"/>
    <w:rsid w:val="00B54F63"/>
    <w:rsid w:val="00B56464"/>
    <w:rsid w:val="00B57115"/>
    <w:rsid w:val="00B57A6F"/>
    <w:rsid w:val="00B61DEF"/>
    <w:rsid w:val="00B6430C"/>
    <w:rsid w:val="00B65FE6"/>
    <w:rsid w:val="00B66C54"/>
    <w:rsid w:val="00B66D97"/>
    <w:rsid w:val="00B6770A"/>
    <w:rsid w:val="00B7061C"/>
    <w:rsid w:val="00B70A33"/>
    <w:rsid w:val="00B70EF7"/>
    <w:rsid w:val="00B73E58"/>
    <w:rsid w:val="00B74E08"/>
    <w:rsid w:val="00B74E75"/>
    <w:rsid w:val="00B7769C"/>
    <w:rsid w:val="00B81BA9"/>
    <w:rsid w:val="00B82E0A"/>
    <w:rsid w:val="00B84E40"/>
    <w:rsid w:val="00B8549F"/>
    <w:rsid w:val="00B85D42"/>
    <w:rsid w:val="00B863F3"/>
    <w:rsid w:val="00B87A4D"/>
    <w:rsid w:val="00B90CE5"/>
    <w:rsid w:val="00B93A44"/>
    <w:rsid w:val="00B95176"/>
    <w:rsid w:val="00B951B6"/>
    <w:rsid w:val="00B97E9A"/>
    <w:rsid w:val="00BA0ABF"/>
    <w:rsid w:val="00BA0F4E"/>
    <w:rsid w:val="00BA4FAD"/>
    <w:rsid w:val="00BA50ED"/>
    <w:rsid w:val="00BB161E"/>
    <w:rsid w:val="00BB272B"/>
    <w:rsid w:val="00BB5A37"/>
    <w:rsid w:val="00BC0EEA"/>
    <w:rsid w:val="00BC1296"/>
    <w:rsid w:val="00BC190D"/>
    <w:rsid w:val="00BC2FAD"/>
    <w:rsid w:val="00BD0769"/>
    <w:rsid w:val="00BD10D9"/>
    <w:rsid w:val="00BD10FF"/>
    <w:rsid w:val="00BD33E2"/>
    <w:rsid w:val="00BD5B8A"/>
    <w:rsid w:val="00BD5ED7"/>
    <w:rsid w:val="00BD7047"/>
    <w:rsid w:val="00BD7E23"/>
    <w:rsid w:val="00BE576F"/>
    <w:rsid w:val="00BE765F"/>
    <w:rsid w:val="00BF162B"/>
    <w:rsid w:val="00BF6E05"/>
    <w:rsid w:val="00C006BA"/>
    <w:rsid w:val="00C00807"/>
    <w:rsid w:val="00C0242D"/>
    <w:rsid w:val="00C0285F"/>
    <w:rsid w:val="00C030AA"/>
    <w:rsid w:val="00C04601"/>
    <w:rsid w:val="00C048B8"/>
    <w:rsid w:val="00C04D86"/>
    <w:rsid w:val="00C0524A"/>
    <w:rsid w:val="00C05846"/>
    <w:rsid w:val="00C06A9C"/>
    <w:rsid w:val="00C06C02"/>
    <w:rsid w:val="00C14948"/>
    <w:rsid w:val="00C14E0E"/>
    <w:rsid w:val="00C15753"/>
    <w:rsid w:val="00C165AB"/>
    <w:rsid w:val="00C173B5"/>
    <w:rsid w:val="00C173FE"/>
    <w:rsid w:val="00C17EE2"/>
    <w:rsid w:val="00C30ADF"/>
    <w:rsid w:val="00C37233"/>
    <w:rsid w:val="00C42F00"/>
    <w:rsid w:val="00C472F8"/>
    <w:rsid w:val="00C50798"/>
    <w:rsid w:val="00C52E29"/>
    <w:rsid w:val="00C54983"/>
    <w:rsid w:val="00C55495"/>
    <w:rsid w:val="00C56A57"/>
    <w:rsid w:val="00C57806"/>
    <w:rsid w:val="00C6006A"/>
    <w:rsid w:val="00C622E5"/>
    <w:rsid w:val="00C628DD"/>
    <w:rsid w:val="00C6344F"/>
    <w:rsid w:val="00C640A1"/>
    <w:rsid w:val="00C67736"/>
    <w:rsid w:val="00C70867"/>
    <w:rsid w:val="00C73F9F"/>
    <w:rsid w:val="00C77038"/>
    <w:rsid w:val="00C808A6"/>
    <w:rsid w:val="00C811D5"/>
    <w:rsid w:val="00C81EFE"/>
    <w:rsid w:val="00C823C6"/>
    <w:rsid w:val="00C82529"/>
    <w:rsid w:val="00C862A9"/>
    <w:rsid w:val="00C86A2E"/>
    <w:rsid w:val="00C86B3E"/>
    <w:rsid w:val="00C90E98"/>
    <w:rsid w:val="00C91DC9"/>
    <w:rsid w:val="00C92683"/>
    <w:rsid w:val="00C92BFF"/>
    <w:rsid w:val="00C97850"/>
    <w:rsid w:val="00CA1FC5"/>
    <w:rsid w:val="00CA5511"/>
    <w:rsid w:val="00CA5904"/>
    <w:rsid w:val="00CA5AD5"/>
    <w:rsid w:val="00CA5F96"/>
    <w:rsid w:val="00CA64EF"/>
    <w:rsid w:val="00CB2866"/>
    <w:rsid w:val="00CB32C3"/>
    <w:rsid w:val="00CB38FA"/>
    <w:rsid w:val="00CB5D62"/>
    <w:rsid w:val="00CC2251"/>
    <w:rsid w:val="00CC4024"/>
    <w:rsid w:val="00CC5D78"/>
    <w:rsid w:val="00CC5DBC"/>
    <w:rsid w:val="00CD05A0"/>
    <w:rsid w:val="00CD181B"/>
    <w:rsid w:val="00CD2483"/>
    <w:rsid w:val="00CD307C"/>
    <w:rsid w:val="00CE0632"/>
    <w:rsid w:val="00CE46FD"/>
    <w:rsid w:val="00CE4A75"/>
    <w:rsid w:val="00CF1662"/>
    <w:rsid w:val="00CF22E1"/>
    <w:rsid w:val="00CF43F0"/>
    <w:rsid w:val="00CF48CD"/>
    <w:rsid w:val="00CF4FC0"/>
    <w:rsid w:val="00D00A8B"/>
    <w:rsid w:val="00D016CB"/>
    <w:rsid w:val="00D02CB8"/>
    <w:rsid w:val="00D03BD2"/>
    <w:rsid w:val="00D03D09"/>
    <w:rsid w:val="00D07B5F"/>
    <w:rsid w:val="00D111BF"/>
    <w:rsid w:val="00D117E4"/>
    <w:rsid w:val="00D11A32"/>
    <w:rsid w:val="00D11ED0"/>
    <w:rsid w:val="00D151FF"/>
    <w:rsid w:val="00D152F6"/>
    <w:rsid w:val="00D17A0D"/>
    <w:rsid w:val="00D17AC9"/>
    <w:rsid w:val="00D270DC"/>
    <w:rsid w:val="00D27CCB"/>
    <w:rsid w:val="00D30ADC"/>
    <w:rsid w:val="00D34998"/>
    <w:rsid w:val="00D34B5E"/>
    <w:rsid w:val="00D3535D"/>
    <w:rsid w:val="00D377AE"/>
    <w:rsid w:val="00D3789C"/>
    <w:rsid w:val="00D40F57"/>
    <w:rsid w:val="00D422F0"/>
    <w:rsid w:val="00D42FCA"/>
    <w:rsid w:val="00D441B3"/>
    <w:rsid w:val="00D445CB"/>
    <w:rsid w:val="00D44B3B"/>
    <w:rsid w:val="00D4539E"/>
    <w:rsid w:val="00D4703E"/>
    <w:rsid w:val="00D470A3"/>
    <w:rsid w:val="00D51352"/>
    <w:rsid w:val="00D527B0"/>
    <w:rsid w:val="00D530AE"/>
    <w:rsid w:val="00D53EC5"/>
    <w:rsid w:val="00D55885"/>
    <w:rsid w:val="00D562B7"/>
    <w:rsid w:val="00D61860"/>
    <w:rsid w:val="00D64967"/>
    <w:rsid w:val="00D66268"/>
    <w:rsid w:val="00D66A31"/>
    <w:rsid w:val="00D70584"/>
    <w:rsid w:val="00D70720"/>
    <w:rsid w:val="00D70EE2"/>
    <w:rsid w:val="00D7303C"/>
    <w:rsid w:val="00D7522E"/>
    <w:rsid w:val="00D75450"/>
    <w:rsid w:val="00D76741"/>
    <w:rsid w:val="00D76EFC"/>
    <w:rsid w:val="00D77F64"/>
    <w:rsid w:val="00D8229A"/>
    <w:rsid w:val="00D826EC"/>
    <w:rsid w:val="00D83A38"/>
    <w:rsid w:val="00D85352"/>
    <w:rsid w:val="00D8730A"/>
    <w:rsid w:val="00D921E5"/>
    <w:rsid w:val="00D92DF1"/>
    <w:rsid w:val="00D93AC0"/>
    <w:rsid w:val="00D94B73"/>
    <w:rsid w:val="00DA10E2"/>
    <w:rsid w:val="00DA6081"/>
    <w:rsid w:val="00DB111B"/>
    <w:rsid w:val="00DB36FC"/>
    <w:rsid w:val="00DB3C2A"/>
    <w:rsid w:val="00DB50DA"/>
    <w:rsid w:val="00DB5176"/>
    <w:rsid w:val="00DB6A8A"/>
    <w:rsid w:val="00DB7C8E"/>
    <w:rsid w:val="00DC01D1"/>
    <w:rsid w:val="00DC40BB"/>
    <w:rsid w:val="00DC424A"/>
    <w:rsid w:val="00DC5488"/>
    <w:rsid w:val="00DC6127"/>
    <w:rsid w:val="00DD0F42"/>
    <w:rsid w:val="00DD2DB2"/>
    <w:rsid w:val="00DD31EB"/>
    <w:rsid w:val="00DD35C7"/>
    <w:rsid w:val="00DD4CFC"/>
    <w:rsid w:val="00DD7985"/>
    <w:rsid w:val="00DE09BA"/>
    <w:rsid w:val="00DE1229"/>
    <w:rsid w:val="00DE19B6"/>
    <w:rsid w:val="00DE24FB"/>
    <w:rsid w:val="00DF3853"/>
    <w:rsid w:val="00DF40A2"/>
    <w:rsid w:val="00DF59B0"/>
    <w:rsid w:val="00DF5A6C"/>
    <w:rsid w:val="00DF773F"/>
    <w:rsid w:val="00E0139D"/>
    <w:rsid w:val="00E07213"/>
    <w:rsid w:val="00E11A46"/>
    <w:rsid w:val="00E17228"/>
    <w:rsid w:val="00E2193E"/>
    <w:rsid w:val="00E23647"/>
    <w:rsid w:val="00E2401C"/>
    <w:rsid w:val="00E317B2"/>
    <w:rsid w:val="00E32FB9"/>
    <w:rsid w:val="00E3323D"/>
    <w:rsid w:val="00E347B8"/>
    <w:rsid w:val="00E3522B"/>
    <w:rsid w:val="00E35D22"/>
    <w:rsid w:val="00E409DA"/>
    <w:rsid w:val="00E429A5"/>
    <w:rsid w:val="00E44068"/>
    <w:rsid w:val="00E4787C"/>
    <w:rsid w:val="00E5055C"/>
    <w:rsid w:val="00E51C58"/>
    <w:rsid w:val="00E51FD1"/>
    <w:rsid w:val="00E53521"/>
    <w:rsid w:val="00E55ABE"/>
    <w:rsid w:val="00E5654F"/>
    <w:rsid w:val="00E57CC6"/>
    <w:rsid w:val="00E60247"/>
    <w:rsid w:val="00E61515"/>
    <w:rsid w:val="00E61F68"/>
    <w:rsid w:val="00E63313"/>
    <w:rsid w:val="00E6367D"/>
    <w:rsid w:val="00E701E0"/>
    <w:rsid w:val="00E70EEF"/>
    <w:rsid w:val="00E71206"/>
    <w:rsid w:val="00E72586"/>
    <w:rsid w:val="00E74963"/>
    <w:rsid w:val="00E76D38"/>
    <w:rsid w:val="00E832E8"/>
    <w:rsid w:val="00E85C10"/>
    <w:rsid w:val="00E85EA1"/>
    <w:rsid w:val="00E877DC"/>
    <w:rsid w:val="00E87BD9"/>
    <w:rsid w:val="00E901E4"/>
    <w:rsid w:val="00E920CD"/>
    <w:rsid w:val="00E92431"/>
    <w:rsid w:val="00E930DE"/>
    <w:rsid w:val="00E93108"/>
    <w:rsid w:val="00E937FE"/>
    <w:rsid w:val="00E9594A"/>
    <w:rsid w:val="00EA022A"/>
    <w:rsid w:val="00EA0B3F"/>
    <w:rsid w:val="00EA2032"/>
    <w:rsid w:val="00EA312F"/>
    <w:rsid w:val="00EA5376"/>
    <w:rsid w:val="00EA5C75"/>
    <w:rsid w:val="00EB0152"/>
    <w:rsid w:val="00EB130B"/>
    <w:rsid w:val="00EB31B5"/>
    <w:rsid w:val="00EB5054"/>
    <w:rsid w:val="00EB6650"/>
    <w:rsid w:val="00EB72F7"/>
    <w:rsid w:val="00EC0A07"/>
    <w:rsid w:val="00EC22A8"/>
    <w:rsid w:val="00EC348C"/>
    <w:rsid w:val="00EC40B1"/>
    <w:rsid w:val="00ED3C96"/>
    <w:rsid w:val="00ED3FB0"/>
    <w:rsid w:val="00ED487E"/>
    <w:rsid w:val="00ED4C1C"/>
    <w:rsid w:val="00ED5705"/>
    <w:rsid w:val="00ED78EB"/>
    <w:rsid w:val="00EE22DA"/>
    <w:rsid w:val="00EE2854"/>
    <w:rsid w:val="00EE57EB"/>
    <w:rsid w:val="00EE6430"/>
    <w:rsid w:val="00EE78A5"/>
    <w:rsid w:val="00EF005C"/>
    <w:rsid w:val="00EF3DAF"/>
    <w:rsid w:val="00EF5C08"/>
    <w:rsid w:val="00EF7FB6"/>
    <w:rsid w:val="00F00E72"/>
    <w:rsid w:val="00F03F22"/>
    <w:rsid w:val="00F1081A"/>
    <w:rsid w:val="00F12A19"/>
    <w:rsid w:val="00F136F1"/>
    <w:rsid w:val="00F138AF"/>
    <w:rsid w:val="00F13BB8"/>
    <w:rsid w:val="00F144AE"/>
    <w:rsid w:val="00F159A2"/>
    <w:rsid w:val="00F163E0"/>
    <w:rsid w:val="00F168FB"/>
    <w:rsid w:val="00F22434"/>
    <w:rsid w:val="00F24FC6"/>
    <w:rsid w:val="00F2588A"/>
    <w:rsid w:val="00F26844"/>
    <w:rsid w:val="00F2751B"/>
    <w:rsid w:val="00F27B40"/>
    <w:rsid w:val="00F312F5"/>
    <w:rsid w:val="00F318DF"/>
    <w:rsid w:val="00F31F39"/>
    <w:rsid w:val="00F34A61"/>
    <w:rsid w:val="00F37498"/>
    <w:rsid w:val="00F41AC7"/>
    <w:rsid w:val="00F41BB2"/>
    <w:rsid w:val="00F4334C"/>
    <w:rsid w:val="00F43B7E"/>
    <w:rsid w:val="00F45210"/>
    <w:rsid w:val="00F45BED"/>
    <w:rsid w:val="00F45D22"/>
    <w:rsid w:val="00F463B6"/>
    <w:rsid w:val="00F46B81"/>
    <w:rsid w:val="00F473F6"/>
    <w:rsid w:val="00F47819"/>
    <w:rsid w:val="00F5129E"/>
    <w:rsid w:val="00F51731"/>
    <w:rsid w:val="00F55331"/>
    <w:rsid w:val="00F554C6"/>
    <w:rsid w:val="00F55F5D"/>
    <w:rsid w:val="00F5758B"/>
    <w:rsid w:val="00F57DF3"/>
    <w:rsid w:val="00F60B90"/>
    <w:rsid w:val="00F60C6D"/>
    <w:rsid w:val="00F63461"/>
    <w:rsid w:val="00F6459D"/>
    <w:rsid w:val="00F649F7"/>
    <w:rsid w:val="00F65138"/>
    <w:rsid w:val="00F6653B"/>
    <w:rsid w:val="00F70A12"/>
    <w:rsid w:val="00F72EE8"/>
    <w:rsid w:val="00F749C5"/>
    <w:rsid w:val="00F769C3"/>
    <w:rsid w:val="00F820CF"/>
    <w:rsid w:val="00F8392A"/>
    <w:rsid w:val="00F83A11"/>
    <w:rsid w:val="00F83A40"/>
    <w:rsid w:val="00F840DF"/>
    <w:rsid w:val="00F86750"/>
    <w:rsid w:val="00F90DA2"/>
    <w:rsid w:val="00F91370"/>
    <w:rsid w:val="00F9501A"/>
    <w:rsid w:val="00FA4373"/>
    <w:rsid w:val="00FA48B7"/>
    <w:rsid w:val="00FA53F8"/>
    <w:rsid w:val="00FA5FC7"/>
    <w:rsid w:val="00FA691E"/>
    <w:rsid w:val="00FB0B0C"/>
    <w:rsid w:val="00FB1E80"/>
    <w:rsid w:val="00FB1EAE"/>
    <w:rsid w:val="00FB3193"/>
    <w:rsid w:val="00FB3476"/>
    <w:rsid w:val="00FB56EE"/>
    <w:rsid w:val="00FB70ED"/>
    <w:rsid w:val="00FB755D"/>
    <w:rsid w:val="00FC2D08"/>
    <w:rsid w:val="00FC2EC5"/>
    <w:rsid w:val="00FC41AF"/>
    <w:rsid w:val="00FC4955"/>
    <w:rsid w:val="00FC6C0E"/>
    <w:rsid w:val="00FC7C23"/>
    <w:rsid w:val="00FD0BA6"/>
    <w:rsid w:val="00FD3D5F"/>
    <w:rsid w:val="00FD72A7"/>
    <w:rsid w:val="00FE01E0"/>
    <w:rsid w:val="00FE1236"/>
    <w:rsid w:val="00FE162B"/>
    <w:rsid w:val="00FE2609"/>
    <w:rsid w:val="00FE4021"/>
    <w:rsid w:val="00FE48F2"/>
    <w:rsid w:val="00FE4A3A"/>
    <w:rsid w:val="00FE587C"/>
    <w:rsid w:val="00FE5BA1"/>
    <w:rsid w:val="00FF13D9"/>
    <w:rsid w:val="00FF15F3"/>
    <w:rsid w:val="00FF2875"/>
    <w:rsid w:val="00FF2C3D"/>
    <w:rsid w:val="00FF604A"/>
    <w:rsid w:val="00FF693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5E4704"/>
  <w15:chartTrackingRefBased/>
  <w15:docId w15:val="{C137C08C-C54C-42D8-BDE9-BE791D05E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1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nhideWhenUsed="1"/>
    <w:lsdException w:name="List Bullet 5" w:semiHidden="1" w:unhideWhenUsed="1"/>
    <w:lsdException w:name="List Number 2" w:semiHidden="1" w:uiPriority="2" w:unhideWhenUsed="1" w:qFormat="1"/>
    <w:lsdException w:name="List Number 3" w:semiHidden="1" w:uiPriority="2"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2EF2"/>
    <w:pPr>
      <w:spacing w:after="120" w:line="240" w:lineRule="auto"/>
    </w:pPr>
    <w:rPr>
      <w:rFonts w:ascii="Calibri" w:eastAsia="Calibri" w:hAnsi="Calibri" w:cs="Times New Roman"/>
      <w:color w:val="000000"/>
      <w:lang w:eastAsia="en-AU"/>
    </w:rPr>
  </w:style>
  <w:style w:type="paragraph" w:styleId="Heading1">
    <w:name w:val="heading 1"/>
    <w:next w:val="BodyText"/>
    <w:link w:val="Heading1Char"/>
    <w:uiPriority w:val="1"/>
    <w:qFormat/>
    <w:rsid w:val="00222EF2"/>
    <w:pPr>
      <w:keepNext/>
      <w:keepLines/>
      <w:pageBreakBefore/>
      <w:numPr>
        <w:numId w:val="18"/>
      </w:numPr>
      <w:tabs>
        <w:tab w:val="left" w:pos="1134"/>
      </w:tabs>
      <w:spacing w:after="960" w:line="480" w:lineRule="exact"/>
      <w:ind w:left="1134" w:hanging="1134"/>
      <w:outlineLvl w:val="0"/>
    </w:pPr>
    <w:rPr>
      <w:rFonts w:ascii="Calibri" w:eastAsiaTheme="majorEastAsia" w:hAnsi="Calibri" w:cstheme="majorBidi"/>
      <w:b/>
      <w:bCs/>
      <w:color w:val="004B87" w:themeColor="accent2"/>
      <w:sz w:val="44"/>
      <w:szCs w:val="28"/>
      <w:lang w:eastAsia="en-AU"/>
    </w:rPr>
  </w:style>
  <w:style w:type="paragraph" w:styleId="Heading2">
    <w:name w:val="heading 2"/>
    <w:basedOn w:val="Heading1"/>
    <w:next w:val="BodyText"/>
    <w:link w:val="Heading2Char"/>
    <w:uiPriority w:val="1"/>
    <w:qFormat/>
    <w:rsid w:val="00222EF2"/>
    <w:pPr>
      <w:pageBreakBefore w:val="0"/>
      <w:numPr>
        <w:ilvl w:val="1"/>
      </w:numPr>
      <w:spacing w:before="360" w:after="240" w:line="240" w:lineRule="auto"/>
      <w:ind w:left="1134" w:hanging="1134"/>
      <w:outlineLvl w:val="1"/>
    </w:pPr>
    <w:rPr>
      <w:b w:val="0"/>
      <w:sz w:val="32"/>
      <w:szCs w:val="26"/>
    </w:rPr>
  </w:style>
  <w:style w:type="paragraph" w:styleId="Heading3">
    <w:name w:val="heading 3"/>
    <w:basedOn w:val="Heading2"/>
    <w:next w:val="BodyText"/>
    <w:link w:val="Heading3Char"/>
    <w:uiPriority w:val="1"/>
    <w:qFormat/>
    <w:rsid w:val="00222EF2"/>
    <w:pPr>
      <w:numPr>
        <w:ilvl w:val="2"/>
      </w:numPr>
      <w:ind w:left="1134" w:hanging="1134"/>
      <w:outlineLvl w:val="2"/>
    </w:pPr>
    <w:rPr>
      <w:b/>
      <w:color w:val="auto"/>
      <w:sz w:val="26"/>
    </w:rPr>
  </w:style>
  <w:style w:type="paragraph" w:styleId="Heading4">
    <w:name w:val="heading 4"/>
    <w:basedOn w:val="Heading3"/>
    <w:next w:val="BodyText"/>
    <w:link w:val="Heading4Char"/>
    <w:uiPriority w:val="1"/>
    <w:qFormat/>
    <w:rsid w:val="00222EF2"/>
    <w:pPr>
      <w:numPr>
        <w:ilvl w:val="0"/>
        <w:numId w:val="0"/>
      </w:numPr>
      <w:spacing w:before="240" w:after="120"/>
      <w:outlineLvl w:val="3"/>
    </w:pPr>
    <w:rPr>
      <w:iCs/>
      <w:color w:val="1991C2" w:themeColor="accent1" w:themeShade="BF"/>
      <w:spacing w:val="1"/>
      <w:sz w:val="24"/>
    </w:rPr>
  </w:style>
  <w:style w:type="paragraph" w:styleId="Heading5">
    <w:name w:val="heading 5"/>
    <w:basedOn w:val="Heading4"/>
    <w:next w:val="BodyText"/>
    <w:link w:val="Heading5Char"/>
    <w:uiPriority w:val="1"/>
    <w:qFormat/>
    <w:rsid w:val="00222EF2"/>
    <w:pPr>
      <w:outlineLvl w:val="4"/>
    </w:pPr>
    <w:rPr>
      <w:color w:val="auto"/>
      <w:sz w:val="22"/>
    </w:rPr>
  </w:style>
  <w:style w:type="paragraph" w:styleId="Heading6">
    <w:name w:val="heading 6"/>
    <w:basedOn w:val="Normal"/>
    <w:next w:val="Normal"/>
    <w:link w:val="Heading6Char"/>
    <w:uiPriority w:val="99"/>
    <w:semiHidden/>
    <w:qFormat/>
    <w:rsid w:val="00222EF2"/>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rsid w:val="00222EF2"/>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rsid w:val="00222EF2"/>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rsid w:val="00222EF2"/>
    <w:pPr>
      <w:spacing w:after="1080"/>
      <w:outlineLvl w:val="8"/>
    </w:pPr>
    <w:rPr>
      <w:color w:val="004B87"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222EF2"/>
    <w:rPr>
      <w:rFonts w:ascii="Calibri" w:eastAsiaTheme="majorEastAsia" w:hAnsi="Calibri" w:cstheme="majorBidi"/>
      <w:b/>
      <w:bCs/>
      <w:color w:val="004B87" w:themeColor="accent2"/>
      <w:sz w:val="44"/>
      <w:szCs w:val="28"/>
      <w:lang w:eastAsia="en-AU"/>
    </w:rPr>
  </w:style>
  <w:style w:type="paragraph" w:styleId="Title">
    <w:name w:val="Title"/>
    <w:basedOn w:val="Normal"/>
    <w:next w:val="Normal"/>
    <w:link w:val="TitleChar"/>
    <w:uiPriority w:val="10"/>
    <w:qFormat/>
    <w:rsid w:val="005810E7"/>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10E7"/>
    <w:rPr>
      <w:rFonts w:asciiTheme="majorHAnsi" w:eastAsiaTheme="majorEastAsia" w:hAnsiTheme="majorHAnsi" w:cstheme="majorBidi"/>
      <w:spacing w:val="-10"/>
      <w:kern w:val="28"/>
      <w:sz w:val="56"/>
      <w:szCs w:val="56"/>
    </w:rPr>
  </w:style>
  <w:style w:type="paragraph" w:styleId="Caption">
    <w:name w:val="caption"/>
    <w:aliases w:val="Figure Caption"/>
    <w:basedOn w:val="BodyText"/>
    <w:next w:val="BodyText"/>
    <w:link w:val="CaptionChar"/>
    <w:uiPriority w:val="4"/>
    <w:qFormat/>
    <w:rsid w:val="00222EF2"/>
    <w:pPr>
      <w:keepNext/>
      <w:spacing w:before="180" w:after="180"/>
      <w:contextualSpacing/>
    </w:pPr>
    <w:rPr>
      <w:b/>
      <w:bCs/>
      <w:color w:val="1991C2" w:themeColor="accent1" w:themeShade="BF"/>
      <w:sz w:val="20"/>
      <w:szCs w:val="18"/>
    </w:rPr>
  </w:style>
  <w:style w:type="table" w:styleId="TableGrid">
    <w:name w:val="Table Grid"/>
    <w:basedOn w:val="TableNormal"/>
    <w:uiPriority w:val="99"/>
    <w:rsid w:val="00222EF2"/>
    <w:pPr>
      <w:spacing w:after="0" w:line="240" w:lineRule="auto"/>
    </w:pPr>
    <w:rPr>
      <w:rFonts w:ascii="Calibri" w:hAnsi="Calibri" w:cs="Times New Roman"/>
      <w:sz w:val="20"/>
      <w:szCs w:val="20"/>
      <w:lang w:eastAsia="en-AU"/>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table" w:styleId="GridTable1Light-Accent5">
    <w:name w:val="Grid Table 1 Light Accent 5"/>
    <w:basedOn w:val="TableNormal"/>
    <w:uiPriority w:val="46"/>
    <w:rsid w:val="00484A1A"/>
    <w:pPr>
      <w:spacing w:after="0" w:line="240" w:lineRule="auto"/>
    </w:pPr>
    <w:tblPr>
      <w:tblStyleRowBandSize w:val="1"/>
      <w:tblStyleColBandSize w:val="1"/>
      <w:tblBorders>
        <w:top w:val="single" w:sz="4" w:space="0" w:color="85E9FF" w:themeColor="accent5" w:themeTint="66"/>
        <w:left w:val="single" w:sz="4" w:space="0" w:color="85E9FF" w:themeColor="accent5" w:themeTint="66"/>
        <w:bottom w:val="single" w:sz="4" w:space="0" w:color="85E9FF" w:themeColor="accent5" w:themeTint="66"/>
        <w:right w:val="single" w:sz="4" w:space="0" w:color="85E9FF" w:themeColor="accent5" w:themeTint="66"/>
        <w:insideH w:val="single" w:sz="4" w:space="0" w:color="85E9FF" w:themeColor="accent5" w:themeTint="66"/>
        <w:insideV w:val="single" w:sz="4" w:space="0" w:color="85E9FF" w:themeColor="accent5" w:themeTint="66"/>
      </w:tblBorders>
    </w:tblPr>
    <w:tblStylePr w:type="firstRow">
      <w:rPr>
        <w:b/>
        <w:bCs/>
      </w:rPr>
      <w:tblPr/>
      <w:tcPr>
        <w:tcBorders>
          <w:bottom w:val="single" w:sz="12" w:space="0" w:color="48DEFF" w:themeColor="accent5" w:themeTint="99"/>
        </w:tcBorders>
      </w:tcPr>
    </w:tblStylePr>
    <w:tblStylePr w:type="lastRow">
      <w:rPr>
        <w:b/>
        <w:bCs/>
      </w:rPr>
      <w:tblPr/>
      <w:tcPr>
        <w:tcBorders>
          <w:top w:val="double" w:sz="2" w:space="0" w:color="48DEFF" w:themeColor="accent5" w:themeTint="99"/>
        </w:tcBorders>
      </w:tcPr>
    </w:tblStylePr>
    <w:tblStylePr w:type="firstCol">
      <w:rPr>
        <w:b/>
        <w:bCs/>
      </w:rPr>
    </w:tblStylePr>
    <w:tblStylePr w:type="lastCol">
      <w:rPr>
        <w:b/>
        <w:bCs/>
      </w:rPr>
    </w:tblStylePr>
  </w:style>
  <w:style w:type="character" w:styleId="Hyperlink">
    <w:name w:val="Hyperlink"/>
    <w:basedOn w:val="DefaultParagraphFont"/>
    <w:uiPriority w:val="99"/>
    <w:qFormat/>
    <w:rsid w:val="00222EF2"/>
    <w:rPr>
      <w:rFonts w:cs="Times New Roman"/>
      <w:color w:val="1991C2" w:themeColor="accent1" w:themeShade="BF"/>
      <w:u w:val="none"/>
    </w:rPr>
  </w:style>
  <w:style w:type="paragraph" w:styleId="ListParagraph">
    <w:name w:val="List Paragraph"/>
    <w:basedOn w:val="Normal"/>
    <w:uiPriority w:val="99"/>
    <w:qFormat/>
    <w:rsid w:val="00222EF2"/>
    <w:pPr>
      <w:spacing w:before="180" w:line="264" w:lineRule="auto"/>
      <w:ind w:left="720"/>
      <w:contextualSpacing/>
    </w:pPr>
    <w:rPr>
      <w:sz w:val="24"/>
      <w:szCs w:val="24"/>
    </w:rPr>
  </w:style>
  <w:style w:type="paragraph" w:styleId="BalloonText">
    <w:name w:val="Balloon Text"/>
    <w:basedOn w:val="Normal"/>
    <w:link w:val="BalloonTextChar"/>
    <w:uiPriority w:val="99"/>
    <w:semiHidden/>
    <w:rsid w:val="00222EF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2EF2"/>
    <w:rPr>
      <w:rFonts w:ascii="Tahoma" w:eastAsia="Calibri" w:hAnsi="Tahoma" w:cs="Tahoma"/>
      <w:color w:val="000000"/>
      <w:sz w:val="16"/>
      <w:szCs w:val="16"/>
      <w:lang w:eastAsia="en-AU"/>
    </w:rPr>
  </w:style>
  <w:style w:type="character" w:customStyle="1" w:styleId="mi">
    <w:name w:val="mi"/>
    <w:basedOn w:val="DefaultParagraphFont"/>
    <w:rsid w:val="004D22D5"/>
  </w:style>
  <w:style w:type="character" w:customStyle="1" w:styleId="CaptionChar">
    <w:name w:val="Caption Char"/>
    <w:aliases w:val="Figure Caption Char"/>
    <w:link w:val="Caption"/>
    <w:uiPriority w:val="4"/>
    <w:rsid w:val="002917B2"/>
    <w:rPr>
      <w:rFonts w:ascii="Calibri" w:eastAsia="Calibri" w:hAnsi="Calibri" w:cs="Times New Roman"/>
      <w:b/>
      <w:bCs/>
      <w:color w:val="1991C2" w:themeColor="accent1" w:themeShade="BF"/>
      <w:sz w:val="20"/>
      <w:szCs w:val="18"/>
      <w:lang w:eastAsia="en-AU"/>
    </w:rPr>
  </w:style>
  <w:style w:type="paragraph" w:customStyle="1" w:styleId="OWStablecaption">
    <w:name w:val="OWS table caption"/>
    <w:basedOn w:val="Normal"/>
    <w:link w:val="OWStablecaptionChar"/>
    <w:qFormat/>
    <w:rsid w:val="002917B2"/>
    <w:pPr>
      <w:keepNext/>
      <w:keepLines/>
      <w:autoSpaceDE w:val="0"/>
      <w:autoSpaceDN w:val="0"/>
      <w:spacing w:before="360"/>
    </w:pPr>
    <w:rPr>
      <w:rFonts w:ascii="Arial" w:eastAsia="Times New Roman" w:hAnsi="Arial"/>
      <w:color w:val="000000" w:themeColor="text2"/>
      <w:sz w:val="20"/>
      <w:szCs w:val="20"/>
      <w:lang w:val="en-GB"/>
    </w:rPr>
  </w:style>
  <w:style w:type="character" w:customStyle="1" w:styleId="OWStablecaptionChar">
    <w:name w:val="OWS table caption Char"/>
    <w:basedOn w:val="CaptionChar"/>
    <w:link w:val="OWStablecaption"/>
    <w:rsid w:val="002917B2"/>
    <w:rPr>
      <w:rFonts w:ascii="Arial" w:eastAsia="Times New Roman" w:hAnsi="Arial" w:cs="Times New Roman"/>
      <w:b/>
      <w:bCs/>
      <w:i/>
      <w:iCs/>
      <w:color w:val="000000" w:themeColor="text2"/>
      <w:sz w:val="20"/>
      <w:szCs w:val="20"/>
      <w:lang w:val="en-GB" w:eastAsia="en-AU"/>
    </w:rPr>
  </w:style>
  <w:style w:type="character" w:styleId="CommentReference">
    <w:name w:val="annotation reference"/>
    <w:basedOn w:val="DefaultParagraphFont"/>
    <w:uiPriority w:val="99"/>
    <w:semiHidden/>
    <w:rsid w:val="00222EF2"/>
    <w:rPr>
      <w:rFonts w:cs="Times New Roman"/>
      <w:sz w:val="16"/>
      <w:szCs w:val="16"/>
    </w:rPr>
  </w:style>
  <w:style w:type="paragraph" w:styleId="CommentText">
    <w:name w:val="annotation text"/>
    <w:basedOn w:val="Normal"/>
    <w:link w:val="CommentTextChar"/>
    <w:uiPriority w:val="99"/>
    <w:semiHidden/>
    <w:rsid w:val="00222EF2"/>
    <w:rPr>
      <w:sz w:val="20"/>
      <w:szCs w:val="20"/>
    </w:rPr>
  </w:style>
  <w:style w:type="character" w:customStyle="1" w:styleId="CommentTextChar">
    <w:name w:val="Comment Text Char"/>
    <w:basedOn w:val="DefaultParagraphFont"/>
    <w:link w:val="CommentText"/>
    <w:uiPriority w:val="99"/>
    <w:semiHidden/>
    <w:rsid w:val="00222EF2"/>
    <w:rPr>
      <w:rFonts w:ascii="Calibri" w:eastAsia="Calibri" w:hAnsi="Calibri" w:cs="Times New Roman"/>
      <w:color w:val="000000"/>
      <w:sz w:val="20"/>
      <w:szCs w:val="20"/>
      <w:lang w:eastAsia="en-AU"/>
    </w:rPr>
  </w:style>
  <w:style w:type="paragraph" w:styleId="CommentSubject">
    <w:name w:val="annotation subject"/>
    <w:basedOn w:val="CommentText"/>
    <w:next w:val="CommentText"/>
    <w:link w:val="CommentSubjectChar"/>
    <w:uiPriority w:val="99"/>
    <w:semiHidden/>
    <w:rsid w:val="00222EF2"/>
    <w:rPr>
      <w:b/>
      <w:bCs/>
    </w:rPr>
  </w:style>
  <w:style w:type="character" w:customStyle="1" w:styleId="CommentSubjectChar">
    <w:name w:val="Comment Subject Char"/>
    <w:basedOn w:val="CommentTextChar"/>
    <w:link w:val="CommentSubject"/>
    <w:uiPriority w:val="99"/>
    <w:semiHidden/>
    <w:rsid w:val="00222EF2"/>
    <w:rPr>
      <w:rFonts w:ascii="Calibri" w:eastAsia="Calibri" w:hAnsi="Calibri" w:cs="Times New Roman"/>
      <w:b/>
      <w:bCs/>
      <w:color w:val="000000"/>
      <w:sz w:val="20"/>
      <w:szCs w:val="20"/>
      <w:lang w:eastAsia="en-AU"/>
    </w:rPr>
  </w:style>
  <w:style w:type="paragraph" w:customStyle="1" w:styleId="Body">
    <w:name w:val="Body"/>
    <w:basedOn w:val="Normal"/>
    <w:link w:val="BodyChar"/>
    <w:qFormat/>
    <w:rsid w:val="006C32E8"/>
    <w:pPr>
      <w:suppressAutoHyphens/>
      <w:autoSpaceDE w:val="0"/>
      <w:autoSpaceDN w:val="0"/>
      <w:adjustRightInd w:val="0"/>
      <w:spacing w:after="113" w:line="280" w:lineRule="atLeast"/>
      <w:textAlignment w:val="center"/>
    </w:pPr>
    <w:rPr>
      <w:rFonts w:eastAsiaTheme="minorEastAsia" w:cs="Calibri"/>
      <w:szCs w:val="18"/>
      <w:lang w:val="en-GB" w:eastAsia="ja-JP"/>
    </w:rPr>
  </w:style>
  <w:style w:type="character" w:customStyle="1" w:styleId="BodyChar">
    <w:name w:val="Body Char"/>
    <w:basedOn w:val="DefaultParagraphFont"/>
    <w:link w:val="Body"/>
    <w:rsid w:val="006C32E8"/>
    <w:rPr>
      <w:rFonts w:ascii="Calibri" w:eastAsiaTheme="minorEastAsia" w:hAnsi="Calibri" w:cs="Calibri"/>
      <w:color w:val="000000"/>
      <w:sz w:val="18"/>
      <w:szCs w:val="18"/>
      <w:lang w:val="en-GB" w:eastAsia="ja-JP"/>
    </w:rPr>
  </w:style>
  <w:style w:type="character" w:customStyle="1" w:styleId="Heading2Char">
    <w:name w:val="Heading 2 Char"/>
    <w:basedOn w:val="DefaultParagraphFont"/>
    <w:link w:val="Heading2"/>
    <w:uiPriority w:val="1"/>
    <w:rsid w:val="00222EF2"/>
    <w:rPr>
      <w:rFonts w:ascii="Calibri" w:eastAsiaTheme="majorEastAsia" w:hAnsi="Calibri" w:cstheme="majorBidi"/>
      <w:bCs/>
      <w:color w:val="004B87" w:themeColor="accent2"/>
      <w:sz w:val="32"/>
      <w:szCs w:val="26"/>
      <w:lang w:eastAsia="en-AU"/>
    </w:rPr>
  </w:style>
  <w:style w:type="paragraph" w:styleId="Header">
    <w:name w:val="header"/>
    <w:basedOn w:val="Normal"/>
    <w:link w:val="HeaderChar"/>
    <w:uiPriority w:val="99"/>
    <w:rsid w:val="00222EF2"/>
    <w:rPr>
      <w:caps/>
      <w:color w:val="FFFFFF"/>
      <w:spacing w:val="16"/>
    </w:rPr>
  </w:style>
  <w:style w:type="character" w:customStyle="1" w:styleId="HeaderChar">
    <w:name w:val="Header Char"/>
    <w:basedOn w:val="DefaultParagraphFont"/>
    <w:link w:val="Header"/>
    <w:uiPriority w:val="99"/>
    <w:rsid w:val="00222EF2"/>
    <w:rPr>
      <w:rFonts w:ascii="Calibri" w:eastAsia="Calibri" w:hAnsi="Calibri" w:cs="Times New Roman"/>
      <w:caps/>
      <w:color w:val="FFFFFF"/>
      <w:spacing w:val="16"/>
      <w:lang w:eastAsia="en-AU"/>
    </w:rPr>
  </w:style>
  <w:style w:type="paragraph" w:styleId="Footer">
    <w:name w:val="footer"/>
    <w:basedOn w:val="BodyText"/>
    <w:link w:val="FooterChar"/>
    <w:uiPriority w:val="99"/>
    <w:qFormat/>
    <w:rsid w:val="00222EF2"/>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rsid w:val="00222EF2"/>
    <w:rPr>
      <w:rFonts w:ascii="Calibri" w:eastAsia="Calibri" w:hAnsi="Calibri" w:cs="Times New Roman"/>
      <w:sz w:val="16"/>
      <w:lang w:eastAsia="en-AU"/>
    </w:rPr>
  </w:style>
  <w:style w:type="character" w:customStyle="1" w:styleId="Heading3Char">
    <w:name w:val="Heading 3 Char"/>
    <w:basedOn w:val="DefaultParagraphFont"/>
    <w:link w:val="Heading3"/>
    <w:uiPriority w:val="1"/>
    <w:rsid w:val="00222EF2"/>
    <w:rPr>
      <w:rFonts w:ascii="Calibri" w:eastAsiaTheme="majorEastAsia" w:hAnsi="Calibri" w:cstheme="majorBidi"/>
      <w:b/>
      <w:bCs/>
      <w:sz w:val="26"/>
      <w:szCs w:val="26"/>
      <w:lang w:eastAsia="en-AU"/>
    </w:rPr>
  </w:style>
  <w:style w:type="character" w:customStyle="1" w:styleId="Heading4Char">
    <w:name w:val="Heading 4 Char"/>
    <w:basedOn w:val="DefaultParagraphFont"/>
    <w:link w:val="Heading4"/>
    <w:uiPriority w:val="1"/>
    <w:rsid w:val="00222EF2"/>
    <w:rPr>
      <w:rFonts w:ascii="Calibri" w:eastAsiaTheme="majorEastAsia" w:hAnsi="Calibri" w:cstheme="majorBidi"/>
      <w:b/>
      <w:bCs/>
      <w:iCs/>
      <w:color w:val="1991C2" w:themeColor="accent1" w:themeShade="BF"/>
      <w:spacing w:val="1"/>
      <w:sz w:val="24"/>
      <w:szCs w:val="26"/>
      <w:lang w:eastAsia="en-AU"/>
    </w:rPr>
  </w:style>
  <w:style w:type="character" w:customStyle="1" w:styleId="Heading5Char">
    <w:name w:val="Heading 5 Char"/>
    <w:basedOn w:val="DefaultParagraphFont"/>
    <w:link w:val="Heading5"/>
    <w:uiPriority w:val="1"/>
    <w:rsid w:val="00222EF2"/>
    <w:rPr>
      <w:rFonts w:ascii="Calibri" w:eastAsiaTheme="majorEastAsia" w:hAnsi="Calibri" w:cstheme="majorBidi"/>
      <w:b/>
      <w:bCs/>
      <w:iCs/>
      <w:spacing w:val="1"/>
      <w:szCs w:val="26"/>
      <w:lang w:eastAsia="en-AU"/>
    </w:rPr>
  </w:style>
  <w:style w:type="character" w:customStyle="1" w:styleId="Heading6Char">
    <w:name w:val="Heading 6 Char"/>
    <w:basedOn w:val="DefaultParagraphFont"/>
    <w:link w:val="Heading6"/>
    <w:uiPriority w:val="99"/>
    <w:semiHidden/>
    <w:rsid w:val="00222EF2"/>
    <w:rPr>
      <w:rFonts w:ascii="Calibri" w:eastAsiaTheme="majorEastAsia" w:hAnsi="Calibri" w:cstheme="majorBidi"/>
      <w:i/>
      <w:iCs/>
      <w:color w:val="000000"/>
      <w:lang w:eastAsia="en-AU"/>
    </w:rPr>
  </w:style>
  <w:style w:type="character" w:customStyle="1" w:styleId="Heading7Char">
    <w:name w:val="Heading 7 Char"/>
    <w:basedOn w:val="DefaultParagraphFont"/>
    <w:link w:val="Heading7"/>
    <w:uiPriority w:val="99"/>
    <w:semiHidden/>
    <w:rsid w:val="00222EF2"/>
    <w:rPr>
      <w:rFonts w:eastAsia="Calibri" w:cstheme="majorBidi"/>
      <w:color w:val="000000"/>
      <w:sz w:val="24"/>
      <w:szCs w:val="24"/>
      <w:lang w:eastAsia="en-AU"/>
    </w:rPr>
  </w:style>
  <w:style w:type="character" w:customStyle="1" w:styleId="Heading8Char">
    <w:name w:val="Heading 8 Char"/>
    <w:basedOn w:val="DefaultParagraphFont"/>
    <w:link w:val="Heading8"/>
    <w:uiPriority w:val="99"/>
    <w:semiHidden/>
    <w:rsid w:val="00222EF2"/>
    <w:rPr>
      <w:rFonts w:eastAsia="Calibri" w:cstheme="majorBidi"/>
      <w:i/>
      <w:iCs/>
      <w:color w:val="000000"/>
      <w:sz w:val="24"/>
      <w:szCs w:val="24"/>
      <w:lang w:eastAsia="en-AU"/>
    </w:rPr>
  </w:style>
  <w:style w:type="character" w:customStyle="1" w:styleId="Heading9Char">
    <w:name w:val="Heading 9 Char"/>
    <w:aliases w:val="Appendix Heading 1 Char"/>
    <w:basedOn w:val="DefaultParagraphFont"/>
    <w:link w:val="Heading9"/>
    <w:uiPriority w:val="10"/>
    <w:rsid w:val="00222EF2"/>
    <w:rPr>
      <w:rFonts w:ascii="Calibri" w:eastAsiaTheme="majorEastAsia" w:hAnsi="Calibri" w:cstheme="majorBidi"/>
      <w:b/>
      <w:bCs/>
      <w:color w:val="004B87" w:themeColor="accent2"/>
      <w:sz w:val="44"/>
      <w:szCs w:val="28"/>
      <w:lang w:eastAsia="en-AU"/>
    </w:rPr>
  </w:style>
  <w:style w:type="paragraph" w:styleId="ListBullet">
    <w:name w:val="List Bullet"/>
    <w:basedOn w:val="BodyText"/>
    <w:next w:val="BodyText"/>
    <w:uiPriority w:val="2"/>
    <w:qFormat/>
    <w:rsid w:val="00222EF2"/>
    <w:pPr>
      <w:numPr>
        <w:numId w:val="10"/>
      </w:numPr>
      <w:tabs>
        <w:tab w:val="left" w:pos="397"/>
      </w:tabs>
      <w:spacing w:before="60" w:after="60"/>
      <w:ind w:left="198" w:hanging="198"/>
    </w:pPr>
  </w:style>
  <w:style w:type="paragraph" w:styleId="ListNumber">
    <w:name w:val="List Number"/>
    <w:basedOn w:val="BodyText"/>
    <w:next w:val="BodyText"/>
    <w:uiPriority w:val="2"/>
    <w:qFormat/>
    <w:rsid w:val="00222EF2"/>
    <w:pPr>
      <w:numPr>
        <w:numId w:val="13"/>
      </w:numPr>
      <w:tabs>
        <w:tab w:val="clear" w:pos="227"/>
        <w:tab w:val="left" w:pos="397"/>
      </w:tabs>
      <w:ind w:left="397" w:hanging="397"/>
    </w:pPr>
  </w:style>
  <w:style w:type="paragraph" w:styleId="ListBullet2">
    <w:name w:val="List Bullet 2"/>
    <w:basedOn w:val="ListBullet"/>
    <w:next w:val="BodyText"/>
    <w:uiPriority w:val="2"/>
    <w:qFormat/>
    <w:rsid w:val="00222EF2"/>
    <w:pPr>
      <w:numPr>
        <w:ilvl w:val="1"/>
      </w:numPr>
      <w:tabs>
        <w:tab w:val="clear" w:pos="397"/>
        <w:tab w:val="left" w:pos="794"/>
      </w:tabs>
      <w:ind w:left="794" w:hanging="357"/>
    </w:pPr>
  </w:style>
  <w:style w:type="paragraph" w:styleId="TOC1">
    <w:name w:val="toc 1"/>
    <w:basedOn w:val="BodyText"/>
    <w:next w:val="TOC2"/>
    <w:uiPriority w:val="39"/>
    <w:unhideWhenUsed/>
    <w:rsid w:val="00222EF2"/>
    <w:pPr>
      <w:pBdr>
        <w:top w:val="single" w:sz="4" w:space="1" w:color="004B87" w:themeColor="accent2"/>
        <w:left w:val="single" w:sz="4" w:space="4" w:color="004B87" w:themeColor="accent2"/>
        <w:bottom w:val="single" w:sz="4" w:space="1" w:color="004B87" w:themeColor="accent2"/>
        <w:right w:val="single" w:sz="4" w:space="4" w:color="004B87" w:themeColor="accent2"/>
      </w:pBdr>
      <w:shd w:val="clear" w:color="auto" w:fill="004B87" w:themeFill="accent2"/>
      <w:tabs>
        <w:tab w:val="left" w:pos="737"/>
        <w:tab w:val="right" w:pos="9639"/>
      </w:tabs>
      <w:spacing w:before="240" w:after="180"/>
    </w:pPr>
    <w:rPr>
      <w:b/>
      <w:noProof/>
      <w:color w:val="FFFFFF"/>
    </w:rPr>
  </w:style>
  <w:style w:type="paragraph" w:styleId="TOC2">
    <w:name w:val="toc 2"/>
    <w:basedOn w:val="BodyText"/>
    <w:uiPriority w:val="39"/>
    <w:unhideWhenUsed/>
    <w:rsid w:val="00222EF2"/>
    <w:pPr>
      <w:tabs>
        <w:tab w:val="left" w:pos="737"/>
        <w:tab w:val="left" w:pos="1531"/>
        <w:tab w:val="right" w:leader="dot" w:pos="9639"/>
      </w:tabs>
      <w:ind w:right="284"/>
    </w:pPr>
    <w:rPr>
      <w:noProof/>
      <w:color w:val="004B87" w:themeColor="accent2"/>
    </w:rPr>
  </w:style>
  <w:style w:type="character" w:styleId="PageNumber">
    <w:name w:val="page number"/>
    <w:basedOn w:val="DefaultParagraphFont"/>
    <w:uiPriority w:val="99"/>
    <w:semiHidden/>
    <w:rsid w:val="00222EF2"/>
    <w:rPr>
      <w:rFonts w:ascii="Calibri" w:hAnsi="Calibri" w:cs="Times New Roman"/>
      <w:sz w:val="16"/>
    </w:rPr>
  </w:style>
  <w:style w:type="paragraph" w:styleId="TOC3">
    <w:name w:val="toc 3"/>
    <w:basedOn w:val="BodyText"/>
    <w:uiPriority w:val="39"/>
    <w:unhideWhenUsed/>
    <w:rsid w:val="00222EF2"/>
    <w:pPr>
      <w:tabs>
        <w:tab w:val="left" w:pos="1531"/>
        <w:tab w:val="right" w:leader="dot" w:pos="9639"/>
      </w:tabs>
      <w:spacing w:before="60"/>
      <w:ind w:left="737" w:right="284"/>
    </w:pPr>
    <w:rPr>
      <w:color w:val="004B87" w:themeColor="accent2"/>
    </w:rPr>
  </w:style>
  <w:style w:type="paragraph" w:customStyle="1" w:styleId="CoverTitle">
    <w:name w:val="CoverTitle"/>
    <w:next w:val="CoverSubtitle"/>
    <w:uiPriority w:val="12"/>
    <w:qFormat/>
    <w:rsid w:val="00222EF2"/>
    <w:pPr>
      <w:spacing w:after="170" w:line="216" w:lineRule="auto"/>
    </w:pPr>
    <w:rPr>
      <w:rFonts w:ascii="Calibri" w:eastAsiaTheme="majorEastAsia" w:hAnsi="Calibri" w:cstheme="majorBidi"/>
      <w:b/>
      <w:color w:val="004B87" w:themeColor="accent2"/>
      <w:spacing w:val="5"/>
      <w:kern w:val="28"/>
      <w:sz w:val="80"/>
      <w:szCs w:val="52"/>
      <w:lang w:eastAsia="en-AU"/>
    </w:rPr>
  </w:style>
  <w:style w:type="paragraph" w:customStyle="1" w:styleId="PartTitle">
    <w:name w:val="PartTitle"/>
    <w:next w:val="PartSubtitle"/>
    <w:uiPriority w:val="15"/>
    <w:qFormat/>
    <w:rsid w:val="00222EF2"/>
    <w:pPr>
      <w:keepNext/>
      <w:tabs>
        <w:tab w:val="left" w:pos="2552"/>
      </w:tabs>
      <w:spacing w:after="0" w:line="240" w:lineRule="auto"/>
      <w:ind w:left="2552" w:hanging="2552"/>
      <w:outlineLvl w:val="0"/>
    </w:pPr>
    <w:rPr>
      <w:rFonts w:ascii="Calibri" w:eastAsia="Calibri" w:hAnsi="Calibri" w:cs="Times New Roman"/>
      <w:b/>
      <w:color w:val="1991C2" w:themeColor="accent1" w:themeShade="BF"/>
      <w:sz w:val="80"/>
      <w:lang w:eastAsia="en-AU"/>
    </w:rPr>
  </w:style>
  <w:style w:type="paragraph" w:customStyle="1" w:styleId="PartSubtitle">
    <w:name w:val="PartSubtitle"/>
    <w:basedOn w:val="PartTitle"/>
    <w:next w:val="BodyText"/>
    <w:uiPriority w:val="15"/>
    <w:qFormat/>
    <w:rsid w:val="00222EF2"/>
    <w:pPr>
      <w:spacing w:before="360" w:after="240" w:line="340" w:lineRule="atLeast"/>
      <w:outlineLvl w:val="9"/>
    </w:pPr>
    <w:rPr>
      <w:b w:val="0"/>
      <w:color w:val="004B87" w:themeColor="accent2"/>
      <w:sz w:val="34"/>
    </w:rPr>
  </w:style>
  <w:style w:type="paragraph" w:customStyle="1" w:styleId="ListofFiguresandTablesTOCHeading">
    <w:name w:val="List of Figures and Tables TOC Heading"/>
    <w:basedOn w:val="TOCHeading"/>
    <w:next w:val="TableofFigures"/>
    <w:uiPriority w:val="14"/>
    <w:qFormat/>
    <w:rsid w:val="00222EF2"/>
  </w:style>
  <w:style w:type="paragraph" w:styleId="ListBullet3">
    <w:name w:val="List Bullet 3"/>
    <w:basedOn w:val="ListBullet2"/>
    <w:uiPriority w:val="2"/>
    <w:rsid w:val="00222EF2"/>
    <w:pPr>
      <w:numPr>
        <w:ilvl w:val="0"/>
        <w:numId w:val="20"/>
      </w:numPr>
      <w:tabs>
        <w:tab w:val="clear" w:pos="794"/>
        <w:tab w:val="left" w:pos="851"/>
      </w:tabs>
      <w:ind w:left="1497" w:hanging="340"/>
    </w:pPr>
  </w:style>
  <w:style w:type="paragraph" w:styleId="FootnoteText">
    <w:name w:val="footnote text"/>
    <w:basedOn w:val="BodyText"/>
    <w:link w:val="FootnoteTextChar"/>
    <w:uiPriority w:val="9"/>
    <w:qFormat/>
    <w:rsid w:val="00222EF2"/>
    <w:pPr>
      <w:spacing w:before="60" w:line="180" w:lineRule="atLeast"/>
    </w:pPr>
    <w:rPr>
      <w:sz w:val="16"/>
      <w:szCs w:val="20"/>
    </w:rPr>
  </w:style>
  <w:style w:type="character" w:customStyle="1" w:styleId="FootnoteTextChar">
    <w:name w:val="Footnote Text Char"/>
    <w:basedOn w:val="DefaultParagraphFont"/>
    <w:link w:val="FootnoteText"/>
    <w:uiPriority w:val="9"/>
    <w:rsid w:val="00222EF2"/>
    <w:rPr>
      <w:rFonts w:ascii="Calibri" w:eastAsia="Calibri" w:hAnsi="Calibri" w:cs="Times New Roman"/>
      <w:color w:val="000000"/>
      <w:sz w:val="16"/>
      <w:szCs w:val="20"/>
      <w:lang w:eastAsia="en-AU"/>
    </w:rPr>
  </w:style>
  <w:style w:type="paragraph" w:customStyle="1" w:styleId="FootnoteHeading">
    <w:name w:val="Footnote Heading"/>
    <w:basedOn w:val="FootnoteText"/>
    <w:uiPriority w:val="9"/>
    <w:qFormat/>
    <w:rsid w:val="00222EF2"/>
    <w:rPr>
      <w:b/>
    </w:rPr>
  </w:style>
  <w:style w:type="paragraph" w:customStyle="1" w:styleId="FigureTableSource">
    <w:name w:val="Figure/Table Source"/>
    <w:basedOn w:val="BodyText"/>
    <w:next w:val="BodyText"/>
    <w:uiPriority w:val="4"/>
    <w:qFormat/>
    <w:rsid w:val="00222EF2"/>
    <w:pPr>
      <w:tabs>
        <w:tab w:val="left" w:pos="539"/>
      </w:tabs>
      <w:spacing w:after="240" w:line="180" w:lineRule="atLeast"/>
    </w:pPr>
    <w:rPr>
      <w:sz w:val="16"/>
      <w:szCs w:val="20"/>
    </w:rPr>
  </w:style>
  <w:style w:type="paragraph" w:customStyle="1" w:styleId="TableText">
    <w:name w:val="TableText"/>
    <w:basedOn w:val="Normal"/>
    <w:uiPriority w:val="5"/>
    <w:qFormat/>
    <w:rsid w:val="00222EF2"/>
    <w:pPr>
      <w:spacing w:before="60" w:after="60"/>
    </w:pPr>
    <w:rPr>
      <w:sz w:val="18"/>
    </w:rPr>
  </w:style>
  <w:style w:type="paragraph" w:customStyle="1" w:styleId="TableBullet">
    <w:name w:val="TableBullet"/>
    <w:basedOn w:val="TableText"/>
    <w:next w:val="TableText"/>
    <w:uiPriority w:val="5"/>
    <w:qFormat/>
    <w:rsid w:val="00222EF2"/>
    <w:pPr>
      <w:numPr>
        <w:numId w:val="12"/>
      </w:numPr>
    </w:pPr>
  </w:style>
  <w:style w:type="paragraph" w:customStyle="1" w:styleId="RowHeading">
    <w:name w:val="RowHeading"/>
    <w:basedOn w:val="TableText"/>
    <w:next w:val="TableText"/>
    <w:uiPriority w:val="5"/>
    <w:qFormat/>
    <w:rsid w:val="00222EF2"/>
    <w:rPr>
      <w:b/>
      <w:color w:val="auto"/>
    </w:rPr>
  </w:style>
  <w:style w:type="paragraph" w:customStyle="1" w:styleId="ColumnHeading">
    <w:name w:val="ColumnHeading"/>
    <w:basedOn w:val="TableText"/>
    <w:uiPriority w:val="5"/>
    <w:qFormat/>
    <w:rsid w:val="00222EF2"/>
    <w:pPr>
      <w:spacing w:after="0" w:line="180" w:lineRule="atLeast"/>
    </w:pPr>
    <w:rPr>
      <w:b/>
      <w:caps/>
      <w:color w:val="FFFFFF"/>
      <w:sz w:val="16"/>
    </w:rPr>
  </w:style>
  <w:style w:type="paragraph" w:customStyle="1" w:styleId="CoverSubtitle">
    <w:name w:val="CoverSubtitle"/>
    <w:next w:val="BodyText"/>
    <w:uiPriority w:val="12"/>
    <w:qFormat/>
    <w:rsid w:val="00222EF2"/>
    <w:pPr>
      <w:numPr>
        <w:ilvl w:val="1"/>
      </w:numPr>
      <w:spacing w:after="170" w:line="240" w:lineRule="auto"/>
    </w:pPr>
    <w:rPr>
      <w:rFonts w:ascii="Calibri" w:eastAsiaTheme="majorEastAsia" w:hAnsi="Calibri" w:cstheme="majorBidi"/>
      <w:iCs/>
      <w:color w:val="000000" w:themeColor="text2"/>
      <w:spacing w:val="15"/>
      <w:sz w:val="34"/>
      <w:szCs w:val="24"/>
      <w:lang w:eastAsia="en-AU"/>
    </w:rPr>
  </w:style>
  <w:style w:type="paragraph" w:customStyle="1" w:styleId="BackCoverContactHeading">
    <w:name w:val="BackCover ContactHeading"/>
    <w:next w:val="BackCoverContactDetails"/>
    <w:uiPriority w:val="18"/>
    <w:qFormat/>
    <w:rsid w:val="00222EF2"/>
    <w:pPr>
      <w:spacing w:before="360" w:after="60" w:line="240" w:lineRule="auto"/>
    </w:pPr>
    <w:rPr>
      <w:rFonts w:ascii="Calibri" w:eastAsia="Calibri" w:hAnsi="Calibri" w:cs="Times New Roman"/>
      <w:caps/>
      <w:sz w:val="18"/>
      <w:szCs w:val="20"/>
      <w:lang w:eastAsia="en-AU"/>
    </w:rPr>
  </w:style>
  <w:style w:type="paragraph" w:customStyle="1" w:styleId="BackCoverContactDetails">
    <w:name w:val="BackCover ContactDetails"/>
    <w:uiPriority w:val="18"/>
    <w:qFormat/>
    <w:rsid w:val="00222EF2"/>
    <w:pPr>
      <w:tabs>
        <w:tab w:val="left" w:pos="199"/>
      </w:tabs>
      <w:spacing w:after="0" w:line="240" w:lineRule="auto"/>
    </w:pPr>
    <w:rPr>
      <w:rFonts w:ascii="Calibri" w:eastAsia="Calibri" w:hAnsi="Calibri" w:cs="Times New Roman"/>
      <w:sz w:val="18"/>
      <w:lang w:eastAsia="en-AU"/>
    </w:rPr>
  </w:style>
  <w:style w:type="character" w:customStyle="1" w:styleId="BackCoverContactBold">
    <w:name w:val="BackCover ContactBold"/>
    <w:basedOn w:val="DefaultParagraphFont"/>
    <w:uiPriority w:val="18"/>
    <w:qFormat/>
    <w:rsid w:val="00222EF2"/>
    <w:rPr>
      <w:b/>
    </w:rPr>
  </w:style>
  <w:style w:type="paragraph" w:styleId="TOCHeading">
    <w:name w:val="TOC Heading"/>
    <w:basedOn w:val="Heading1"/>
    <w:next w:val="Normal"/>
    <w:link w:val="TOCHeadingChar"/>
    <w:uiPriority w:val="19"/>
    <w:semiHidden/>
    <w:rsid w:val="00222EF2"/>
    <w:pPr>
      <w:pageBreakBefore w:val="0"/>
      <w:numPr>
        <w:numId w:val="0"/>
      </w:numPr>
      <w:spacing w:before="480" w:after="240"/>
      <w:outlineLvl w:val="1"/>
    </w:pPr>
    <w:rPr>
      <w:bCs w:val="0"/>
    </w:rPr>
  </w:style>
  <w:style w:type="paragraph" w:styleId="TOC4">
    <w:name w:val="toc 4"/>
    <w:basedOn w:val="Normal"/>
    <w:next w:val="Normal"/>
    <w:autoRedefine/>
    <w:uiPriority w:val="99"/>
    <w:semiHidden/>
    <w:rsid w:val="00222EF2"/>
    <w:pPr>
      <w:spacing w:after="100"/>
      <w:ind w:left="660"/>
    </w:pPr>
  </w:style>
  <w:style w:type="paragraph" w:styleId="TOC9">
    <w:name w:val="toc 9"/>
    <w:basedOn w:val="Normal"/>
    <w:next w:val="Normal"/>
    <w:autoRedefine/>
    <w:uiPriority w:val="99"/>
    <w:semiHidden/>
    <w:rsid w:val="00222EF2"/>
    <w:pPr>
      <w:spacing w:after="100"/>
      <w:ind w:left="1760"/>
    </w:pPr>
  </w:style>
  <w:style w:type="paragraph" w:customStyle="1" w:styleId="Headerurl">
    <w:name w:val="Header url"/>
    <w:basedOn w:val="Header"/>
    <w:uiPriority w:val="99"/>
    <w:semiHidden/>
    <w:rsid w:val="00222EF2"/>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222EF2"/>
    <w:rPr>
      <w:color w:val="004B87" w:themeColor="accent2"/>
    </w:rPr>
  </w:style>
  <w:style w:type="paragraph" w:customStyle="1" w:styleId="Heading1notnumbered">
    <w:name w:val="Heading 1 not numbered"/>
    <w:basedOn w:val="Heading1"/>
    <w:next w:val="BodyText"/>
    <w:uiPriority w:val="1"/>
    <w:rsid w:val="00222EF2"/>
    <w:pPr>
      <w:numPr>
        <w:numId w:val="0"/>
      </w:numPr>
    </w:pPr>
  </w:style>
  <w:style w:type="paragraph" w:customStyle="1" w:styleId="Heading3notnumbered">
    <w:name w:val="Heading 3 not numbered"/>
    <w:basedOn w:val="Heading3"/>
    <w:next w:val="BodyText"/>
    <w:uiPriority w:val="1"/>
    <w:qFormat/>
    <w:rsid w:val="00222EF2"/>
    <w:pPr>
      <w:numPr>
        <w:ilvl w:val="0"/>
        <w:numId w:val="0"/>
      </w:numPr>
    </w:pPr>
  </w:style>
  <w:style w:type="paragraph" w:customStyle="1" w:styleId="Heading2notnumbered">
    <w:name w:val="Heading 2 not numbered"/>
    <w:basedOn w:val="Heading2"/>
    <w:next w:val="BodyText"/>
    <w:uiPriority w:val="1"/>
    <w:qFormat/>
    <w:rsid w:val="00222EF2"/>
    <w:pPr>
      <w:numPr>
        <w:ilvl w:val="0"/>
        <w:numId w:val="0"/>
      </w:numPr>
    </w:pPr>
  </w:style>
  <w:style w:type="paragraph" w:customStyle="1" w:styleId="Heading1noTOC">
    <w:name w:val="Heading 1 no TOC"/>
    <w:basedOn w:val="Heading1notnumbered"/>
    <w:next w:val="BodyText"/>
    <w:uiPriority w:val="1"/>
    <w:qFormat/>
    <w:rsid w:val="00222EF2"/>
  </w:style>
  <w:style w:type="character" w:customStyle="1" w:styleId="TOCHeadingChar">
    <w:name w:val="TOC Heading Char"/>
    <w:basedOn w:val="DefaultParagraphFont"/>
    <w:link w:val="TOCHeading"/>
    <w:uiPriority w:val="19"/>
    <w:semiHidden/>
    <w:locked/>
    <w:rsid w:val="00222EF2"/>
    <w:rPr>
      <w:rFonts w:ascii="Calibri" w:eastAsiaTheme="majorEastAsia" w:hAnsi="Calibri" w:cstheme="majorBidi"/>
      <w:b/>
      <w:color w:val="004B87" w:themeColor="accent2"/>
      <w:sz w:val="44"/>
      <w:szCs w:val="28"/>
      <w:lang w:eastAsia="en-AU"/>
    </w:rPr>
  </w:style>
  <w:style w:type="paragraph" w:styleId="BlockText">
    <w:name w:val="Block Text"/>
    <w:basedOn w:val="Normal"/>
    <w:uiPriority w:val="99"/>
    <w:semiHidden/>
    <w:rsid w:val="00222EF2"/>
    <w:pPr>
      <w:ind w:left="1440" w:right="1440"/>
    </w:pPr>
  </w:style>
  <w:style w:type="paragraph" w:styleId="BodyText">
    <w:name w:val="Body Text"/>
    <w:link w:val="BodyTextChar"/>
    <w:qFormat/>
    <w:rsid w:val="00222EF2"/>
    <w:pPr>
      <w:spacing w:before="120" w:after="120" w:line="264" w:lineRule="auto"/>
    </w:pPr>
    <w:rPr>
      <w:rFonts w:ascii="Calibri" w:eastAsia="Calibri" w:hAnsi="Calibri" w:cs="Times New Roman"/>
      <w:color w:val="000000"/>
      <w:sz w:val="24"/>
      <w:lang w:eastAsia="en-AU"/>
    </w:rPr>
  </w:style>
  <w:style w:type="character" w:customStyle="1" w:styleId="BodyTextChar">
    <w:name w:val="Body Text Char"/>
    <w:basedOn w:val="DefaultParagraphFont"/>
    <w:link w:val="BodyText"/>
    <w:rsid w:val="00222EF2"/>
    <w:rPr>
      <w:rFonts w:ascii="Calibri" w:eastAsia="Calibri" w:hAnsi="Calibri" w:cs="Times New Roman"/>
      <w:color w:val="000000"/>
      <w:sz w:val="24"/>
      <w:lang w:eastAsia="en-AU"/>
    </w:rPr>
  </w:style>
  <w:style w:type="paragraph" w:styleId="BodyText2">
    <w:name w:val="Body Text 2"/>
    <w:basedOn w:val="Normal"/>
    <w:link w:val="BodyText2Char"/>
    <w:uiPriority w:val="99"/>
    <w:semiHidden/>
    <w:rsid w:val="00222EF2"/>
    <w:pPr>
      <w:spacing w:line="480" w:lineRule="auto"/>
    </w:pPr>
  </w:style>
  <w:style w:type="character" w:customStyle="1" w:styleId="BodyText2Char">
    <w:name w:val="Body Text 2 Char"/>
    <w:basedOn w:val="DefaultParagraphFont"/>
    <w:link w:val="BodyText2"/>
    <w:uiPriority w:val="99"/>
    <w:semiHidden/>
    <w:rsid w:val="00222EF2"/>
    <w:rPr>
      <w:rFonts w:ascii="Calibri" w:eastAsia="Calibri" w:hAnsi="Calibri" w:cs="Times New Roman"/>
      <w:color w:val="000000"/>
      <w:lang w:eastAsia="en-AU"/>
    </w:rPr>
  </w:style>
  <w:style w:type="paragraph" w:styleId="BodyText3">
    <w:name w:val="Body Text 3"/>
    <w:basedOn w:val="Normal"/>
    <w:link w:val="BodyText3Char"/>
    <w:uiPriority w:val="99"/>
    <w:semiHidden/>
    <w:rsid w:val="00222EF2"/>
    <w:rPr>
      <w:sz w:val="16"/>
      <w:szCs w:val="16"/>
    </w:rPr>
  </w:style>
  <w:style w:type="character" w:customStyle="1" w:styleId="BodyText3Char">
    <w:name w:val="Body Text 3 Char"/>
    <w:basedOn w:val="DefaultParagraphFont"/>
    <w:link w:val="BodyText3"/>
    <w:uiPriority w:val="99"/>
    <w:semiHidden/>
    <w:rsid w:val="00222EF2"/>
    <w:rPr>
      <w:rFonts w:ascii="Calibri" w:eastAsia="Calibri" w:hAnsi="Calibri" w:cs="Times New Roman"/>
      <w:color w:val="000000"/>
      <w:sz w:val="16"/>
      <w:szCs w:val="16"/>
      <w:lang w:eastAsia="en-AU"/>
    </w:rPr>
  </w:style>
  <w:style w:type="paragraph" w:styleId="BodyTextFirstIndent">
    <w:name w:val="Body Text First Indent"/>
    <w:basedOn w:val="BodyText"/>
    <w:link w:val="BodyTextFirstIndentChar"/>
    <w:uiPriority w:val="99"/>
    <w:semiHidden/>
    <w:rsid w:val="00222EF2"/>
    <w:pPr>
      <w:ind w:firstLine="210"/>
    </w:pPr>
  </w:style>
  <w:style w:type="character" w:customStyle="1" w:styleId="BodyTextFirstIndentChar">
    <w:name w:val="Body Text First Indent Char"/>
    <w:basedOn w:val="BodyTextChar"/>
    <w:link w:val="BodyTextFirstIndent"/>
    <w:uiPriority w:val="99"/>
    <w:semiHidden/>
    <w:rsid w:val="00222EF2"/>
    <w:rPr>
      <w:rFonts w:ascii="Calibri" w:eastAsia="Calibri" w:hAnsi="Calibri" w:cs="Times New Roman"/>
      <w:color w:val="000000"/>
      <w:sz w:val="24"/>
      <w:lang w:eastAsia="en-AU"/>
    </w:rPr>
  </w:style>
  <w:style w:type="paragraph" w:styleId="BodyTextIndent">
    <w:name w:val="Body Text Indent"/>
    <w:basedOn w:val="Normal"/>
    <w:link w:val="BodyTextIndentChar"/>
    <w:uiPriority w:val="99"/>
    <w:semiHidden/>
    <w:rsid w:val="00222EF2"/>
    <w:pPr>
      <w:ind w:left="283"/>
    </w:pPr>
  </w:style>
  <w:style w:type="character" w:customStyle="1" w:styleId="BodyTextIndentChar">
    <w:name w:val="Body Text Indent Char"/>
    <w:basedOn w:val="DefaultParagraphFont"/>
    <w:link w:val="BodyTextIndent"/>
    <w:uiPriority w:val="99"/>
    <w:semiHidden/>
    <w:rsid w:val="00222EF2"/>
    <w:rPr>
      <w:rFonts w:ascii="Calibri" w:eastAsia="Calibri" w:hAnsi="Calibri" w:cs="Times New Roman"/>
      <w:color w:val="000000"/>
      <w:lang w:eastAsia="en-AU"/>
    </w:rPr>
  </w:style>
  <w:style w:type="paragraph" w:styleId="BodyTextFirstIndent2">
    <w:name w:val="Body Text First Indent 2"/>
    <w:basedOn w:val="BodyTextIndent"/>
    <w:link w:val="BodyTextFirstIndent2Char"/>
    <w:uiPriority w:val="99"/>
    <w:semiHidden/>
    <w:rsid w:val="00222EF2"/>
    <w:pPr>
      <w:ind w:firstLine="210"/>
    </w:pPr>
  </w:style>
  <w:style w:type="character" w:customStyle="1" w:styleId="BodyTextFirstIndent2Char">
    <w:name w:val="Body Text First Indent 2 Char"/>
    <w:basedOn w:val="BodyTextIndentChar"/>
    <w:link w:val="BodyTextFirstIndent2"/>
    <w:uiPriority w:val="99"/>
    <w:semiHidden/>
    <w:rsid w:val="00222EF2"/>
    <w:rPr>
      <w:rFonts w:ascii="Calibri" w:eastAsia="Calibri" w:hAnsi="Calibri" w:cs="Times New Roman"/>
      <w:color w:val="000000"/>
      <w:lang w:eastAsia="en-AU"/>
    </w:rPr>
  </w:style>
  <w:style w:type="paragraph" w:styleId="BodyTextIndent2">
    <w:name w:val="Body Text Indent 2"/>
    <w:basedOn w:val="Normal"/>
    <w:link w:val="BodyTextIndent2Char"/>
    <w:uiPriority w:val="99"/>
    <w:semiHidden/>
    <w:rsid w:val="00222EF2"/>
    <w:pPr>
      <w:spacing w:line="480" w:lineRule="auto"/>
      <w:ind w:left="283"/>
    </w:pPr>
  </w:style>
  <w:style w:type="character" w:customStyle="1" w:styleId="BodyTextIndent2Char">
    <w:name w:val="Body Text Indent 2 Char"/>
    <w:basedOn w:val="DefaultParagraphFont"/>
    <w:link w:val="BodyTextIndent2"/>
    <w:uiPriority w:val="99"/>
    <w:semiHidden/>
    <w:rsid w:val="00222EF2"/>
    <w:rPr>
      <w:rFonts w:ascii="Calibri" w:eastAsia="Calibri" w:hAnsi="Calibri" w:cs="Times New Roman"/>
      <w:color w:val="000000"/>
      <w:lang w:eastAsia="en-AU"/>
    </w:rPr>
  </w:style>
  <w:style w:type="paragraph" w:styleId="BodyTextIndent3">
    <w:name w:val="Body Text Indent 3"/>
    <w:basedOn w:val="Normal"/>
    <w:link w:val="BodyTextIndent3Char"/>
    <w:uiPriority w:val="99"/>
    <w:semiHidden/>
    <w:rsid w:val="00222EF2"/>
    <w:pPr>
      <w:ind w:left="283"/>
    </w:pPr>
    <w:rPr>
      <w:sz w:val="16"/>
      <w:szCs w:val="16"/>
    </w:rPr>
  </w:style>
  <w:style w:type="character" w:customStyle="1" w:styleId="BodyTextIndent3Char">
    <w:name w:val="Body Text Indent 3 Char"/>
    <w:basedOn w:val="DefaultParagraphFont"/>
    <w:link w:val="BodyTextIndent3"/>
    <w:uiPriority w:val="99"/>
    <w:semiHidden/>
    <w:rsid w:val="00222EF2"/>
    <w:rPr>
      <w:rFonts w:ascii="Calibri" w:eastAsia="Calibri" w:hAnsi="Calibri" w:cs="Times New Roman"/>
      <w:color w:val="000000"/>
      <w:sz w:val="16"/>
      <w:szCs w:val="16"/>
      <w:lang w:eastAsia="en-AU"/>
    </w:rPr>
  </w:style>
  <w:style w:type="paragraph" w:styleId="Closing">
    <w:name w:val="Closing"/>
    <w:basedOn w:val="Normal"/>
    <w:link w:val="ClosingChar"/>
    <w:uiPriority w:val="99"/>
    <w:semiHidden/>
    <w:rsid w:val="00222EF2"/>
    <w:pPr>
      <w:ind w:left="4252"/>
    </w:pPr>
  </w:style>
  <w:style w:type="character" w:customStyle="1" w:styleId="ClosingChar">
    <w:name w:val="Closing Char"/>
    <w:basedOn w:val="DefaultParagraphFont"/>
    <w:link w:val="Closing"/>
    <w:uiPriority w:val="99"/>
    <w:semiHidden/>
    <w:rsid w:val="00222EF2"/>
    <w:rPr>
      <w:rFonts w:ascii="Calibri" w:eastAsia="Calibri" w:hAnsi="Calibri" w:cs="Times New Roman"/>
      <w:color w:val="000000"/>
      <w:lang w:eastAsia="en-AU"/>
    </w:rPr>
  </w:style>
  <w:style w:type="paragraph" w:styleId="Date">
    <w:name w:val="Date"/>
    <w:basedOn w:val="Normal"/>
    <w:next w:val="Normal"/>
    <w:link w:val="DateChar"/>
    <w:uiPriority w:val="99"/>
    <w:semiHidden/>
    <w:rsid w:val="00222EF2"/>
  </w:style>
  <w:style w:type="character" w:customStyle="1" w:styleId="DateChar">
    <w:name w:val="Date Char"/>
    <w:basedOn w:val="DefaultParagraphFont"/>
    <w:link w:val="Date"/>
    <w:uiPriority w:val="99"/>
    <w:semiHidden/>
    <w:rsid w:val="00222EF2"/>
    <w:rPr>
      <w:rFonts w:ascii="Calibri" w:eastAsia="Calibri" w:hAnsi="Calibri" w:cs="Times New Roman"/>
      <w:color w:val="000000"/>
      <w:lang w:eastAsia="en-AU"/>
    </w:rPr>
  </w:style>
  <w:style w:type="paragraph" w:styleId="E-mailSignature">
    <w:name w:val="E-mail Signature"/>
    <w:basedOn w:val="Normal"/>
    <w:link w:val="E-mailSignatureChar"/>
    <w:uiPriority w:val="99"/>
    <w:semiHidden/>
    <w:rsid w:val="00222EF2"/>
  </w:style>
  <w:style w:type="character" w:customStyle="1" w:styleId="E-mailSignatureChar">
    <w:name w:val="E-mail Signature Char"/>
    <w:basedOn w:val="DefaultParagraphFont"/>
    <w:link w:val="E-mailSignature"/>
    <w:uiPriority w:val="99"/>
    <w:semiHidden/>
    <w:rsid w:val="00222EF2"/>
    <w:rPr>
      <w:rFonts w:ascii="Calibri" w:eastAsia="Calibri" w:hAnsi="Calibri" w:cs="Times New Roman"/>
      <w:color w:val="000000"/>
      <w:lang w:eastAsia="en-AU"/>
    </w:rPr>
  </w:style>
  <w:style w:type="character" w:styleId="Emphasis">
    <w:name w:val="Emphasis"/>
    <w:basedOn w:val="DefaultParagraphFont"/>
    <w:uiPriority w:val="99"/>
    <w:rsid w:val="00222EF2"/>
    <w:rPr>
      <w:rFonts w:cs="Times New Roman"/>
      <w:i/>
      <w:iCs/>
    </w:rPr>
  </w:style>
  <w:style w:type="paragraph" w:styleId="EnvelopeAddress">
    <w:name w:val="envelope address"/>
    <w:basedOn w:val="Normal"/>
    <w:uiPriority w:val="99"/>
    <w:semiHidden/>
    <w:rsid w:val="00222EF2"/>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rsid w:val="00222EF2"/>
    <w:rPr>
      <w:rFonts w:ascii="Arial" w:hAnsi="Arial" w:cs="Arial"/>
      <w:sz w:val="20"/>
      <w:szCs w:val="20"/>
    </w:rPr>
  </w:style>
  <w:style w:type="character" w:styleId="FollowedHyperlink">
    <w:name w:val="FollowedHyperlink"/>
    <w:basedOn w:val="DefaultParagraphFont"/>
    <w:uiPriority w:val="99"/>
    <w:semiHidden/>
    <w:rsid w:val="00222EF2"/>
    <w:rPr>
      <w:rFonts w:cs="Times New Roman"/>
      <w:color w:val="auto"/>
      <w:u w:val="none"/>
    </w:rPr>
  </w:style>
  <w:style w:type="character" w:styleId="FootnoteReference">
    <w:name w:val="footnote reference"/>
    <w:basedOn w:val="DefaultParagraphFont"/>
    <w:uiPriority w:val="9"/>
    <w:rsid w:val="00222EF2"/>
    <w:rPr>
      <w:rFonts w:cs="Times New Roman"/>
      <w:vertAlign w:val="superscript"/>
    </w:rPr>
  </w:style>
  <w:style w:type="character" w:styleId="HTMLAcronym">
    <w:name w:val="HTML Acronym"/>
    <w:basedOn w:val="DefaultParagraphFont"/>
    <w:uiPriority w:val="99"/>
    <w:semiHidden/>
    <w:rsid w:val="00222EF2"/>
    <w:rPr>
      <w:rFonts w:cs="Times New Roman"/>
    </w:rPr>
  </w:style>
  <w:style w:type="paragraph" w:styleId="HTMLAddress">
    <w:name w:val="HTML Address"/>
    <w:basedOn w:val="Normal"/>
    <w:link w:val="HTMLAddressChar"/>
    <w:uiPriority w:val="99"/>
    <w:semiHidden/>
    <w:rsid w:val="00222EF2"/>
    <w:rPr>
      <w:i/>
      <w:iCs/>
    </w:rPr>
  </w:style>
  <w:style w:type="character" w:customStyle="1" w:styleId="HTMLAddressChar">
    <w:name w:val="HTML Address Char"/>
    <w:basedOn w:val="DefaultParagraphFont"/>
    <w:link w:val="HTMLAddress"/>
    <w:uiPriority w:val="99"/>
    <w:semiHidden/>
    <w:rsid w:val="00222EF2"/>
    <w:rPr>
      <w:rFonts w:ascii="Calibri" w:eastAsia="Calibri" w:hAnsi="Calibri" w:cs="Times New Roman"/>
      <w:i/>
      <w:iCs/>
      <w:color w:val="000000"/>
      <w:lang w:eastAsia="en-AU"/>
    </w:rPr>
  </w:style>
  <w:style w:type="character" w:styleId="HTMLCite">
    <w:name w:val="HTML Cite"/>
    <w:basedOn w:val="DefaultParagraphFont"/>
    <w:uiPriority w:val="99"/>
    <w:semiHidden/>
    <w:rsid w:val="00222EF2"/>
    <w:rPr>
      <w:rFonts w:cs="Times New Roman"/>
      <w:i/>
      <w:iCs/>
    </w:rPr>
  </w:style>
  <w:style w:type="character" w:styleId="HTMLCode">
    <w:name w:val="HTML Code"/>
    <w:basedOn w:val="DefaultParagraphFont"/>
    <w:uiPriority w:val="99"/>
    <w:semiHidden/>
    <w:rsid w:val="00222EF2"/>
    <w:rPr>
      <w:rFonts w:ascii="Courier New" w:hAnsi="Courier New" w:cs="Courier New"/>
      <w:sz w:val="20"/>
      <w:szCs w:val="20"/>
    </w:rPr>
  </w:style>
  <w:style w:type="character" w:styleId="HTMLDefinition">
    <w:name w:val="HTML Definition"/>
    <w:basedOn w:val="DefaultParagraphFont"/>
    <w:uiPriority w:val="99"/>
    <w:semiHidden/>
    <w:rsid w:val="00222EF2"/>
    <w:rPr>
      <w:rFonts w:cs="Times New Roman"/>
      <w:i/>
      <w:iCs/>
    </w:rPr>
  </w:style>
  <w:style w:type="character" w:styleId="HTMLKeyboard">
    <w:name w:val="HTML Keyboard"/>
    <w:basedOn w:val="DefaultParagraphFont"/>
    <w:uiPriority w:val="99"/>
    <w:semiHidden/>
    <w:rsid w:val="00222EF2"/>
    <w:rPr>
      <w:rFonts w:ascii="Courier New" w:hAnsi="Courier New" w:cs="Courier New"/>
      <w:sz w:val="20"/>
      <w:szCs w:val="20"/>
    </w:rPr>
  </w:style>
  <w:style w:type="paragraph" w:styleId="HTMLPreformatted">
    <w:name w:val="HTML Preformatted"/>
    <w:basedOn w:val="Normal"/>
    <w:link w:val="HTMLPreformattedChar"/>
    <w:uiPriority w:val="99"/>
    <w:semiHidden/>
    <w:rsid w:val="00222EF2"/>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222EF2"/>
    <w:rPr>
      <w:rFonts w:ascii="Courier New" w:eastAsia="Calibri" w:hAnsi="Courier New" w:cs="Courier New"/>
      <w:color w:val="000000"/>
      <w:sz w:val="20"/>
      <w:szCs w:val="20"/>
      <w:lang w:eastAsia="en-AU"/>
    </w:rPr>
  </w:style>
  <w:style w:type="character" w:styleId="HTMLSample">
    <w:name w:val="HTML Sample"/>
    <w:basedOn w:val="DefaultParagraphFont"/>
    <w:uiPriority w:val="99"/>
    <w:semiHidden/>
    <w:rsid w:val="00222EF2"/>
    <w:rPr>
      <w:rFonts w:ascii="Courier New" w:hAnsi="Courier New" w:cs="Courier New"/>
    </w:rPr>
  </w:style>
  <w:style w:type="character" w:styleId="HTMLTypewriter">
    <w:name w:val="HTML Typewriter"/>
    <w:basedOn w:val="DefaultParagraphFont"/>
    <w:uiPriority w:val="99"/>
    <w:semiHidden/>
    <w:rsid w:val="00222EF2"/>
    <w:rPr>
      <w:rFonts w:ascii="Courier New" w:hAnsi="Courier New" w:cs="Courier New"/>
      <w:sz w:val="20"/>
      <w:szCs w:val="20"/>
    </w:rPr>
  </w:style>
  <w:style w:type="character" w:styleId="HTMLVariable">
    <w:name w:val="HTML Variable"/>
    <w:basedOn w:val="DefaultParagraphFont"/>
    <w:uiPriority w:val="99"/>
    <w:semiHidden/>
    <w:rsid w:val="00222EF2"/>
    <w:rPr>
      <w:rFonts w:cs="Times New Roman"/>
      <w:i/>
      <w:iCs/>
    </w:rPr>
  </w:style>
  <w:style w:type="character" w:styleId="LineNumber">
    <w:name w:val="line number"/>
    <w:basedOn w:val="DefaultParagraphFont"/>
    <w:uiPriority w:val="99"/>
    <w:semiHidden/>
    <w:rsid w:val="00222EF2"/>
    <w:rPr>
      <w:rFonts w:cs="Times New Roman"/>
    </w:rPr>
  </w:style>
  <w:style w:type="paragraph" w:styleId="List">
    <w:name w:val="List"/>
    <w:basedOn w:val="Normal"/>
    <w:uiPriority w:val="99"/>
    <w:semiHidden/>
    <w:rsid w:val="00222EF2"/>
    <w:pPr>
      <w:ind w:left="283" w:hanging="283"/>
    </w:pPr>
  </w:style>
  <w:style w:type="paragraph" w:styleId="List2">
    <w:name w:val="List 2"/>
    <w:basedOn w:val="Normal"/>
    <w:uiPriority w:val="99"/>
    <w:semiHidden/>
    <w:rsid w:val="00222EF2"/>
    <w:pPr>
      <w:ind w:left="566" w:hanging="283"/>
    </w:pPr>
  </w:style>
  <w:style w:type="paragraph" w:styleId="List3">
    <w:name w:val="List 3"/>
    <w:basedOn w:val="Normal"/>
    <w:uiPriority w:val="99"/>
    <w:semiHidden/>
    <w:rsid w:val="00222EF2"/>
    <w:pPr>
      <w:ind w:left="849" w:hanging="283"/>
    </w:pPr>
  </w:style>
  <w:style w:type="paragraph" w:styleId="List4">
    <w:name w:val="List 4"/>
    <w:basedOn w:val="Normal"/>
    <w:uiPriority w:val="99"/>
    <w:semiHidden/>
    <w:rsid w:val="00222EF2"/>
    <w:pPr>
      <w:ind w:left="1132" w:hanging="283"/>
    </w:pPr>
  </w:style>
  <w:style w:type="paragraph" w:styleId="List5">
    <w:name w:val="List 5"/>
    <w:basedOn w:val="Normal"/>
    <w:uiPriority w:val="99"/>
    <w:semiHidden/>
    <w:rsid w:val="00222EF2"/>
    <w:pPr>
      <w:ind w:left="1415" w:hanging="283"/>
    </w:pPr>
  </w:style>
  <w:style w:type="paragraph" w:styleId="ListBullet4">
    <w:name w:val="List Bullet 4"/>
    <w:basedOn w:val="Normal"/>
    <w:uiPriority w:val="99"/>
    <w:semiHidden/>
    <w:rsid w:val="00222EF2"/>
    <w:pPr>
      <w:numPr>
        <w:numId w:val="6"/>
      </w:numPr>
      <w:tabs>
        <w:tab w:val="num" w:pos="1209"/>
      </w:tabs>
      <w:ind w:left="1209"/>
    </w:pPr>
  </w:style>
  <w:style w:type="paragraph" w:styleId="ListBullet5">
    <w:name w:val="List Bullet 5"/>
    <w:basedOn w:val="Normal"/>
    <w:uiPriority w:val="99"/>
    <w:semiHidden/>
    <w:rsid w:val="00222EF2"/>
    <w:pPr>
      <w:numPr>
        <w:numId w:val="7"/>
      </w:numPr>
      <w:tabs>
        <w:tab w:val="num" w:pos="926"/>
        <w:tab w:val="num" w:pos="1492"/>
      </w:tabs>
      <w:ind w:left="1492"/>
    </w:pPr>
  </w:style>
  <w:style w:type="paragraph" w:styleId="ListContinue">
    <w:name w:val="List Continue"/>
    <w:basedOn w:val="Normal"/>
    <w:uiPriority w:val="99"/>
    <w:semiHidden/>
    <w:rsid w:val="00222EF2"/>
    <w:pPr>
      <w:ind w:left="283"/>
    </w:pPr>
  </w:style>
  <w:style w:type="paragraph" w:styleId="ListContinue2">
    <w:name w:val="List Continue 2"/>
    <w:basedOn w:val="Normal"/>
    <w:uiPriority w:val="99"/>
    <w:semiHidden/>
    <w:rsid w:val="00222EF2"/>
    <w:pPr>
      <w:ind w:left="566"/>
    </w:pPr>
  </w:style>
  <w:style w:type="paragraph" w:styleId="ListContinue3">
    <w:name w:val="List Continue 3"/>
    <w:basedOn w:val="Normal"/>
    <w:uiPriority w:val="99"/>
    <w:semiHidden/>
    <w:rsid w:val="00222EF2"/>
    <w:pPr>
      <w:ind w:left="849"/>
    </w:pPr>
  </w:style>
  <w:style w:type="paragraph" w:styleId="ListContinue4">
    <w:name w:val="List Continue 4"/>
    <w:basedOn w:val="Normal"/>
    <w:uiPriority w:val="99"/>
    <w:semiHidden/>
    <w:rsid w:val="00222EF2"/>
    <w:pPr>
      <w:ind w:left="1132"/>
    </w:pPr>
  </w:style>
  <w:style w:type="paragraph" w:styleId="ListContinue5">
    <w:name w:val="List Continue 5"/>
    <w:basedOn w:val="Normal"/>
    <w:uiPriority w:val="99"/>
    <w:semiHidden/>
    <w:rsid w:val="00222EF2"/>
    <w:pPr>
      <w:ind w:left="1415"/>
    </w:pPr>
  </w:style>
  <w:style w:type="paragraph" w:styleId="ListNumber3">
    <w:name w:val="List Number 3"/>
    <w:basedOn w:val="ListNumber2"/>
    <w:uiPriority w:val="2"/>
    <w:rsid w:val="00222EF2"/>
    <w:pPr>
      <w:numPr>
        <w:numId w:val="21"/>
      </w:numPr>
      <w:tabs>
        <w:tab w:val="clear" w:pos="397"/>
      </w:tabs>
      <w:ind w:left="1078" w:hanging="284"/>
    </w:pPr>
  </w:style>
  <w:style w:type="paragraph" w:styleId="ListNumber4">
    <w:name w:val="List Number 4"/>
    <w:basedOn w:val="Normal"/>
    <w:uiPriority w:val="99"/>
    <w:semiHidden/>
    <w:rsid w:val="00222EF2"/>
    <w:pPr>
      <w:numPr>
        <w:numId w:val="8"/>
      </w:numPr>
    </w:pPr>
  </w:style>
  <w:style w:type="paragraph" w:styleId="ListNumber5">
    <w:name w:val="List Number 5"/>
    <w:basedOn w:val="Normal"/>
    <w:uiPriority w:val="99"/>
    <w:semiHidden/>
    <w:rsid w:val="00222EF2"/>
    <w:pPr>
      <w:numPr>
        <w:numId w:val="9"/>
      </w:numPr>
    </w:pPr>
  </w:style>
  <w:style w:type="paragraph" w:styleId="MessageHeader">
    <w:name w:val="Message Header"/>
    <w:basedOn w:val="Normal"/>
    <w:link w:val="MessageHeaderChar"/>
    <w:uiPriority w:val="99"/>
    <w:semiHidden/>
    <w:rsid w:val="00222EF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rsid w:val="00222EF2"/>
    <w:rPr>
      <w:rFonts w:ascii="Arial" w:eastAsia="Calibri" w:hAnsi="Arial" w:cs="Arial"/>
      <w:color w:val="000000"/>
      <w:sz w:val="24"/>
      <w:szCs w:val="24"/>
      <w:shd w:val="pct20" w:color="auto" w:fill="auto"/>
      <w:lang w:eastAsia="en-AU"/>
    </w:rPr>
  </w:style>
  <w:style w:type="paragraph" w:styleId="NormalWeb">
    <w:name w:val="Normal (Web)"/>
    <w:basedOn w:val="Normal"/>
    <w:uiPriority w:val="99"/>
    <w:semiHidden/>
    <w:rsid w:val="00222EF2"/>
    <w:rPr>
      <w:rFonts w:ascii="Times New Roman" w:hAnsi="Times New Roman"/>
      <w:sz w:val="24"/>
      <w:szCs w:val="24"/>
    </w:rPr>
  </w:style>
  <w:style w:type="paragraph" w:styleId="NormalIndent">
    <w:name w:val="Normal Indent"/>
    <w:basedOn w:val="Normal"/>
    <w:uiPriority w:val="99"/>
    <w:semiHidden/>
    <w:rsid w:val="00222EF2"/>
    <w:pPr>
      <w:ind w:left="720"/>
    </w:pPr>
  </w:style>
  <w:style w:type="paragraph" w:styleId="NoteHeading">
    <w:name w:val="Note Heading"/>
    <w:basedOn w:val="Normal"/>
    <w:next w:val="Normal"/>
    <w:link w:val="NoteHeadingChar"/>
    <w:uiPriority w:val="99"/>
    <w:semiHidden/>
    <w:rsid w:val="00222EF2"/>
  </w:style>
  <w:style w:type="character" w:customStyle="1" w:styleId="NoteHeadingChar">
    <w:name w:val="Note Heading Char"/>
    <w:basedOn w:val="DefaultParagraphFont"/>
    <w:link w:val="NoteHeading"/>
    <w:uiPriority w:val="99"/>
    <w:semiHidden/>
    <w:rsid w:val="00222EF2"/>
    <w:rPr>
      <w:rFonts w:ascii="Calibri" w:eastAsia="Calibri" w:hAnsi="Calibri" w:cs="Times New Roman"/>
      <w:color w:val="000000"/>
      <w:lang w:eastAsia="en-AU"/>
    </w:rPr>
  </w:style>
  <w:style w:type="paragraph" w:styleId="PlainText">
    <w:name w:val="Plain Text"/>
    <w:basedOn w:val="Normal"/>
    <w:link w:val="PlainTextChar"/>
    <w:uiPriority w:val="99"/>
    <w:semiHidden/>
    <w:rsid w:val="00222EF2"/>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222EF2"/>
    <w:rPr>
      <w:rFonts w:ascii="Courier New" w:eastAsia="Calibri" w:hAnsi="Courier New" w:cs="Courier New"/>
      <w:color w:val="000000"/>
      <w:sz w:val="20"/>
      <w:szCs w:val="20"/>
      <w:lang w:eastAsia="en-AU"/>
    </w:rPr>
  </w:style>
  <w:style w:type="paragraph" w:styleId="Salutation">
    <w:name w:val="Salutation"/>
    <w:basedOn w:val="Normal"/>
    <w:next w:val="Normal"/>
    <w:link w:val="SalutationChar"/>
    <w:uiPriority w:val="99"/>
    <w:semiHidden/>
    <w:rsid w:val="00222EF2"/>
  </w:style>
  <w:style w:type="character" w:customStyle="1" w:styleId="SalutationChar">
    <w:name w:val="Salutation Char"/>
    <w:basedOn w:val="DefaultParagraphFont"/>
    <w:link w:val="Salutation"/>
    <w:uiPriority w:val="99"/>
    <w:semiHidden/>
    <w:rsid w:val="00222EF2"/>
    <w:rPr>
      <w:rFonts w:ascii="Calibri" w:eastAsia="Calibri" w:hAnsi="Calibri" w:cs="Times New Roman"/>
      <w:color w:val="000000"/>
      <w:lang w:eastAsia="en-AU"/>
    </w:rPr>
  </w:style>
  <w:style w:type="paragraph" w:styleId="Signature">
    <w:name w:val="Signature"/>
    <w:basedOn w:val="Normal"/>
    <w:link w:val="SignatureChar"/>
    <w:uiPriority w:val="99"/>
    <w:semiHidden/>
    <w:rsid w:val="00222EF2"/>
    <w:pPr>
      <w:ind w:left="4252"/>
    </w:pPr>
  </w:style>
  <w:style w:type="character" w:customStyle="1" w:styleId="SignatureChar">
    <w:name w:val="Signature Char"/>
    <w:basedOn w:val="DefaultParagraphFont"/>
    <w:link w:val="Signature"/>
    <w:uiPriority w:val="99"/>
    <w:semiHidden/>
    <w:rsid w:val="00222EF2"/>
    <w:rPr>
      <w:rFonts w:ascii="Calibri" w:eastAsia="Calibri" w:hAnsi="Calibri" w:cs="Times New Roman"/>
      <w:color w:val="000000"/>
      <w:lang w:eastAsia="en-AU"/>
    </w:rPr>
  </w:style>
  <w:style w:type="character" w:styleId="Strong">
    <w:name w:val="Strong"/>
    <w:basedOn w:val="DefaultParagraphFont"/>
    <w:uiPriority w:val="99"/>
    <w:rsid w:val="00222EF2"/>
    <w:rPr>
      <w:rFonts w:cs="Times New Roman"/>
      <w:b/>
      <w:bCs/>
    </w:rPr>
  </w:style>
  <w:style w:type="table" w:styleId="Table3Deffects1">
    <w:name w:val="Table 3D effects 1"/>
    <w:basedOn w:val="TableNormal"/>
    <w:uiPriority w:val="99"/>
    <w:rsid w:val="00222EF2"/>
    <w:pPr>
      <w:spacing w:after="120" w:line="240" w:lineRule="auto"/>
    </w:pPr>
    <w:rPr>
      <w:rFonts w:ascii="Calibri" w:eastAsia="Times New Roman" w:hAnsi="Calibri" w:cs="Times New Roman"/>
      <w:sz w:val="20"/>
      <w:szCs w:val="20"/>
      <w:lang w:eastAsia="en-AU"/>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rsid w:val="00222EF2"/>
    <w:pPr>
      <w:spacing w:after="120" w:line="240" w:lineRule="auto"/>
    </w:pPr>
    <w:rPr>
      <w:rFonts w:ascii="Calibri" w:eastAsia="Times New Roman" w:hAnsi="Calibri"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rsid w:val="00222EF2"/>
    <w:pPr>
      <w:spacing w:after="120" w:line="240" w:lineRule="auto"/>
    </w:pPr>
    <w:rPr>
      <w:rFonts w:ascii="Calibri" w:eastAsia="Times New Roman" w:hAnsi="Calibri"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rsid w:val="00222EF2"/>
    <w:pPr>
      <w:spacing w:after="120" w:line="240" w:lineRule="auto"/>
    </w:pPr>
    <w:rPr>
      <w:rFonts w:ascii="Calibri" w:eastAsia="Times New Roman" w:hAnsi="Calibri" w:cs="Times New Roman"/>
      <w:sz w:val="20"/>
      <w:szCs w:val="20"/>
      <w:lang w:eastAsia="en-AU"/>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sid w:val="00222EF2"/>
    <w:pPr>
      <w:spacing w:after="120" w:line="240" w:lineRule="auto"/>
    </w:pPr>
    <w:rPr>
      <w:rFonts w:ascii="Calibri" w:eastAsia="Times New Roman" w:hAnsi="Calibri"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rsid w:val="00222EF2"/>
    <w:pPr>
      <w:spacing w:after="120" w:line="240" w:lineRule="auto"/>
    </w:pPr>
    <w:rPr>
      <w:rFonts w:ascii="Calibri" w:eastAsia="Times New Roman" w:hAnsi="Calibri" w:cs="Times New Roman"/>
      <w:b/>
      <w:bCs/>
      <w:sz w:val="20"/>
      <w:szCs w:val="20"/>
      <w:lang w:eastAsia="en-AU"/>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rsid w:val="00222EF2"/>
    <w:pPr>
      <w:spacing w:after="120" w:line="240" w:lineRule="auto"/>
    </w:pPr>
    <w:rPr>
      <w:rFonts w:ascii="Calibri" w:eastAsia="Times New Roman" w:hAnsi="Calibri"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rsid w:val="00222EF2"/>
    <w:pPr>
      <w:spacing w:after="120" w:line="240" w:lineRule="auto"/>
    </w:pPr>
    <w:rPr>
      <w:rFonts w:ascii="Calibri" w:eastAsia="Times New Roman" w:hAnsi="Calibri" w:cs="Times New Roman"/>
      <w:sz w:val="20"/>
      <w:szCs w:val="20"/>
      <w:lang w:eastAsia="en-AU"/>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rsid w:val="00222EF2"/>
    <w:pPr>
      <w:spacing w:after="120" w:line="240" w:lineRule="auto"/>
    </w:pPr>
    <w:rPr>
      <w:rFonts w:ascii="Calibri" w:eastAsia="Times New Roman" w:hAnsi="Calibri"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sid w:val="00222EF2"/>
    <w:pPr>
      <w:spacing w:after="120" w:line="240" w:lineRule="auto"/>
    </w:pPr>
    <w:rPr>
      <w:rFonts w:ascii="Calibri" w:eastAsia="Times New Roman" w:hAnsi="Calibri"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rsid w:val="00222EF2"/>
    <w:pPr>
      <w:spacing w:after="120" w:line="240" w:lineRule="auto"/>
    </w:pPr>
    <w:rPr>
      <w:rFonts w:ascii="Calibri" w:eastAsia="Times New Roman" w:hAnsi="Calibri" w:cs="Times New Roman"/>
      <w:sz w:val="20"/>
      <w:szCs w:val="20"/>
      <w:lang w:eastAsia="en-AU"/>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rsid w:val="00222EF2"/>
    <w:pPr>
      <w:spacing w:after="120" w:line="240" w:lineRule="auto"/>
    </w:pPr>
    <w:rPr>
      <w:rFonts w:ascii="Calibri" w:eastAsia="Times New Roman" w:hAnsi="Calibri"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sid w:val="00222EF2"/>
    <w:pPr>
      <w:spacing w:after="120" w:line="240" w:lineRule="auto"/>
    </w:pPr>
    <w:rPr>
      <w:rFonts w:ascii="Calibri" w:eastAsia="Times New Roman" w:hAnsi="Calibri"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sid w:val="00222EF2"/>
    <w:pPr>
      <w:spacing w:after="120" w:line="240" w:lineRule="auto"/>
    </w:pPr>
    <w:rPr>
      <w:rFonts w:ascii="Calibri" w:eastAsia="Times New Roman" w:hAnsi="Calibri" w:cs="Times New Roman"/>
      <w:sz w:val="20"/>
      <w:szCs w:val="20"/>
      <w:lang w:eastAsia="en-AU"/>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sid w:val="00222EF2"/>
    <w:pPr>
      <w:spacing w:after="120" w:line="240" w:lineRule="auto"/>
    </w:pPr>
    <w:rPr>
      <w:rFonts w:ascii="Calibri" w:eastAsia="Times New Roman" w:hAnsi="Calibri" w:cs="Times New Roman"/>
      <w:sz w:val="20"/>
      <w:szCs w:val="20"/>
      <w:lang w:eastAsia="en-A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rsid w:val="00222EF2"/>
    <w:pPr>
      <w:spacing w:after="120" w:line="240" w:lineRule="auto"/>
    </w:pPr>
    <w:rPr>
      <w:rFonts w:ascii="Calibri" w:eastAsia="Times New Roman" w:hAnsi="Calibri" w:cs="Times New Roman"/>
      <w:sz w:val="20"/>
      <w:szCs w:val="20"/>
      <w:lang w:eastAsia="en-A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rsid w:val="00222EF2"/>
    <w:pPr>
      <w:spacing w:after="120" w:line="240" w:lineRule="auto"/>
    </w:pPr>
    <w:rPr>
      <w:rFonts w:ascii="Calibri" w:eastAsia="Times New Roman" w:hAnsi="Calibri"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rsid w:val="00222EF2"/>
    <w:pPr>
      <w:spacing w:after="120" w:line="240" w:lineRule="auto"/>
    </w:pPr>
    <w:rPr>
      <w:rFonts w:ascii="Calibri" w:eastAsia="Times New Roman" w:hAnsi="Calibri"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rsid w:val="00222EF2"/>
    <w:pPr>
      <w:spacing w:after="120" w:line="240" w:lineRule="auto"/>
    </w:pPr>
    <w:rPr>
      <w:rFonts w:ascii="Calibri" w:eastAsia="Times New Roman" w:hAnsi="Calibri"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rsid w:val="00222EF2"/>
    <w:pPr>
      <w:spacing w:after="120" w:line="240" w:lineRule="auto"/>
    </w:pPr>
    <w:rPr>
      <w:rFonts w:ascii="Calibri" w:eastAsia="Times New Roman" w:hAnsi="Calibri"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222EF2"/>
    <w:pPr>
      <w:spacing w:before="180" w:after="60" w:line="240" w:lineRule="auto"/>
    </w:pPr>
    <w:rPr>
      <w:rFonts w:ascii="Calibri" w:eastAsia="Times New Roman" w:hAnsi="Calibri" w:cs="Times New Roman"/>
      <w:bCs/>
      <w:color w:val="004B87" w:themeColor="accent2"/>
      <w:sz w:val="24"/>
      <w:szCs w:val="26"/>
    </w:rPr>
  </w:style>
  <w:style w:type="paragraph" w:customStyle="1" w:styleId="BusinessUnitName">
    <w:name w:val="Business Unit Name"/>
    <w:uiPriority w:val="12"/>
    <w:rsid w:val="00222EF2"/>
    <w:pPr>
      <w:spacing w:after="0" w:line="240" w:lineRule="auto"/>
    </w:pPr>
    <w:rPr>
      <w:rFonts w:ascii="Calibri" w:hAnsi="Calibri" w:cs="Times New Roman"/>
      <w:b/>
      <w:caps/>
      <w:noProof/>
      <w:color w:val="FFFFFF"/>
      <w:spacing w:val="16"/>
      <w:szCs w:val="24"/>
    </w:rPr>
  </w:style>
  <w:style w:type="paragraph" w:styleId="DocumentMap">
    <w:name w:val="Document Map"/>
    <w:basedOn w:val="Normal"/>
    <w:link w:val="DocumentMapChar"/>
    <w:uiPriority w:val="99"/>
    <w:semiHidden/>
    <w:rsid w:val="00222EF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222EF2"/>
    <w:rPr>
      <w:rFonts w:ascii="Tahoma" w:eastAsia="Calibri" w:hAnsi="Tahoma" w:cs="Tahoma"/>
      <w:color w:val="000000"/>
      <w:sz w:val="20"/>
      <w:szCs w:val="20"/>
      <w:shd w:val="clear" w:color="auto" w:fill="000080"/>
      <w:lang w:eastAsia="en-AU"/>
    </w:rPr>
  </w:style>
  <w:style w:type="character" w:styleId="EndnoteReference">
    <w:name w:val="endnote reference"/>
    <w:basedOn w:val="DefaultParagraphFont"/>
    <w:uiPriority w:val="99"/>
    <w:semiHidden/>
    <w:rsid w:val="00222EF2"/>
    <w:rPr>
      <w:rFonts w:cs="Times New Roman"/>
      <w:vertAlign w:val="superscript"/>
    </w:rPr>
  </w:style>
  <w:style w:type="paragraph" w:styleId="EndnoteText">
    <w:name w:val="endnote text"/>
    <w:basedOn w:val="Normal"/>
    <w:link w:val="EndnoteTextChar"/>
    <w:uiPriority w:val="99"/>
    <w:semiHidden/>
    <w:rsid w:val="00222EF2"/>
    <w:rPr>
      <w:sz w:val="20"/>
      <w:szCs w:val="20"/>
    </w:rPr>
  </w:style>
  <w:style w:type="character" w:customStyle="1" w:styleId="EndnoteTextChar">
    <w:name w:val="Endnote Text Char"/>
    <w:basedOn w:val="DefaultParagraphFont"/>
    <w:link w:val="EndnoteText"/>
    <w:uiPriority w:val="99"/>
    <w:semiHidden/>
    <w:rsid w:val="00222EF2"/>
    <w:rPr>
      <w:rFonts w:ascii="Calibri" w:eastAsia="Calibri" w:hAnsi="Calibri" w:cs="Times New Roman"/>
      <w:color w:val="000000"/>
      <w:sz w:val="20"/>
      <w:szCs w:val="20"/>
      <w:lang w:eastAsia="en-AU"/>
    </w:rPr>
  </w:style>
  <w:style w:type="paragraph" w:styleId="Index1">
    <w:name w:val="index 1"/>
    <w:basedOn w:val="Normal"/>
    <w:next w:val="Normal"/>
    <w:autoRedefine/>
    <w:uiPriority w:val="99"/>
    <w:semiHidden/>
    <w:rsid w:val="00222EF2"/>
    <w:pPr>
      <w:ind w:left="220" w:hanging="220"/>
    </w:pPr>
  </w:style>
  <w:style w:type="paragraph" w:styleId="Index2">
    <w:name w:val="index 2"/>
    <w:basedOn w:val="Normal"/>
    <w:next w:val="Normal"/>
    <w:autoRedefine/>
    <w:uiPriority w:val="99"/>
    <w:semiHidden/>
    <w:rsid w:val="00222EF2"/>
    <w:pPr>
      <w:ind w:left="440" w:hanging="220"/>
    </w:pPr>
  </w:style>
  <w:style w:type="paragraph" w:styleId="Index3">
    <w:name w:val="index 3"/>
    <w:basedOn w:val="Normal"/>
    <w:next w:val="Normal"/>
    <w:autoRedefine/>
    <w:uiPriority w:val="99"/>
    <w:semiHidden/>
    <w:rsid w:val="00222EF2"/>
    <w:pPr>
      <w:ind w:left="660" w:hanging="220"/>
    </w:pPr>
  </w:style>
  <w:style w:type="paragraph" w:styleId="Index4">
    <w:name w:val="index 4"/>
    <w:basedOn w:val="Normal"/>
    <w:next w:val="Normal"/>
    <w:autoRedefine/>
    <w:uiPriority w:val="99"/>
    <w:semiHidden/>
    <w:rsid w:val="00222EF2"/>
    <w:pPr>
      <w:ind w:left="880" w:hanging="220"/>
    </w:pPr>
  </w:style>
  <w:style w:type="paragraph" w:styleId="Index5">
    <w:name w:val="index 5"/>
    <w:basedOn w:val="Normal"/>
    <w:next w:val="Normal"/>
    <w:autoRedefine/>
    <w:uiPriority w:val="99"/>
    <w:semiHidden/>
    <w:rsid w:val="00222EF2"/>
    <w:pPr>
      <w:ind w:left="1100" w:hanging="220"/>
    </w:pPr>
  </w:style>
  <w:style w:type="paragraph" w:styleId="Index6">
    <w:name w:val="index 6"/>
    <w:basedOn w:val="Normal"/>
    <w:next w:val="Normal"/>
    <w:autoRedefine/>
    <w:uiPriority w:val="99"/>
    <w:semiHidden/>
    <w:rsid w:val="00222EF2"/>
    <w:pPr>
      <w:ind w:left="1320" w:hanging="220"/>
    </w:pPr>
  </w:style>
  <w:style w:type="paragraph" w:styleId="Index7">
    <w:name w:val="index 7"/>
    <w:basedOn w:val="Normal"/>
    <w:next w:val="Normal"/>
    <w:autoRedefine/>
    <w:uiPriority w:val="99"/>
    <w:semiHidden/>
    <w:rsid w:val="00222EF2"/>
    <w:pPr>
      <w:ind w:left="1540" w:hanging="220"/>
    </w:pPr>
  </w:style>
  <w:style w:type="paragraph" w:styleId="Index8">
    <w:name w:val="index 8"/>
    <w:basedOn w:val="Normal"/>
    <w:next w:val="Normal"/>
    <w:autoRedefine/>
    <w:uiPriority w:val="99"/>
    <w:semiHidden/>
    <w:rsid w:val="00222EF2"/>
    <w:pPr>
      <w:ind w:left="1760" w:hanging="220"/>
    </w:pPr>
  </w:style>
  <w:style w:type="paragraph" w:styleId="Index9">
    <w:name w:val="index 9"/>
    <w:basedOn w:val="Normal"/>
    <w:next w:val="Normal"/>
    <w:autoRedefine/>
    <w:uiPriority w:val="99"/>
    <w:semiHidden/>
    <w:rsid w:val="00222EF2"/>
    <w:pPr>
      <w:ind w:left="1980" w:hanging="220"/>
    </w:pPr>
  </w:style>
  <w:style w:type="paragraph" w:styleId="IndexHeading">
    <w:name w:val="index heading"/>
    <w:basedOn w:val="Normal"/>
    <w:next w:val="Index1"/>
    <w:uiPriority w:val="99"/>
    <w:semiHidden/>
    <w:rsid w:val="00222EF2"/>
    <w:rPr>
      <w:rFonts w:ascii="Arial" w:hAnsi="Arial" w:cs="Arial"/>
      <w:b/>
      <w:bCs/>
    </w:rPr>
  </w:style>
  <w:style w:type="paragraph" w:styleId="MacroText">
    <w:name w:val="macro"/>
    <w:link w:val="MacroTextChar"/>
    <w:uiPriority w:val="99"/>
    <w:semiHidden/>
    <w:rsid w:val="00222EF2"/>
    <w:pPr>
      <w:tabs>
        <w:tab w:val="left" w:pos="480"/>
        <w:tab w:val="left" w:pos="960"/>
        <w:tab w:val="left" w:pos="1440"/>
        <w:tab w:val="left" w:pos="1920"/>
        <w:tab w:val="left" w:pos="2400"/>
        <w:tab w:val="left" w:pos="2880"/>
        <w:tab w:val="left" w:pos="3360"/>
        <w:tab w:val="left" w:pos="3840"/>
        <w:tab w:val="left" w:pos="4320"/>
      </w:tabs>
      <w:spacing w:after="120" w:line="240" w:lineRule="auto"/>
    </w:pPr>
    <w:rPr>
      <w:rFonts w:ascii="Courier New" w:hAnsi="Courier New" w:cs="Courier New"/>
      <w:color w:val="000000"/>
      <w:sz w:val="20"/>
      <w:szCs w:val="20"/>
    </w:rPr>
  </w:style>
  <w:style w:type="character" w:customStyle="1" w:styleId="MacroTextChar">
    <w:name w:val="Macro Text Char"/>
    <w:basedOn w:val="DefaultParagraphFont"/>
    <w:link w:val="MacroText"/>
    <w:uiPriority w:val="99"/>
    <w:semiHidden/>
    <w:rsid w:val="00222EF2"/>
    <w:rPr>
      <w:rFonts w:ascii="Courier New" w:hAnsi="Courier New" w:cs="Courier New"/>
      <w:color w:val="000000"/>
      <w:sz w:val="20"/>
      <w:szCs w:val="20"/>
    </w:rPr>
  </w:style>
  <w:style w:type="paragraph" w:styleId="TableofAuthorities">
    <w:name w:val="table of authorities"/>
    <w:basedOn w:val="Normal"/>
    <w:next w:val="Normal"/>
    <w:uiPriority w:val="99"/>
    <w:semiHidden/>
    <w:rsid w:val="00222EF2"/>
    <w:pPr>
      <w:ind w:left="220" w:hanging="220"/>
    </w:pPr>
  </w:style>
  <w:style w:type="paragraph" w:styleId="TableofFigures">
    <w:name w:val="table of figures"/>
    <w:basedOn w:val="BodyText"/>
    <w:next w:val="BodyText"/>
    <w:uiPriority w:val="99"/>
    <w:rsid w:val="00222EF2"/>
    <w:pPr>
      <w:tabs>
        <w:tab w:val="right" w:leader="dot" w:pos="9639"/>
      </w:tabs>
      <w:spacing w:before="0"/>
      <w:ind w:right="284"/>
    </w:pPr>
  </w:style>
  <w:style w:type="paragraph" w:styleId="TOAHeading">
    <w:name w:val="toa heading"/>
    <w:basedOn w:val="Normal"/>
    <w:next w:val="Normal"/>
    <w:uiPriority w:val="99"/>
    <w:semiHidden/>
    <w:rsid w:val="00222EF2"/>
    <w:pPr>
      <w:spacing w:before="120"/>
    </w:pPr>
    <w:rPr>
      <w:rFonts w:ascii="Arial" w:hAnsi="Arial" w:cs="Arial"/>
      <w:b/>
      <w:bCs/>
      <w:sz w:val="24"/>
      <w:szCs w:val="24"/>
    </w:rPr>
  </w:style>
  <w:style w:type="paragraph" w:styleId="TOC5">
    <w:name w:val="toc 5"/>
    <w:basedOn w:val="Normal"/>
    <w:next w:val="Normal"/>
    <w:autoRedefine/>
    <w:uiPriority w:val="99"/>
    <w:semiHidden/>
    <w:rsid w:val="00222EF2"/>
    <w:pPr>
      <w:ind w:left="880"/>
    </w:pPr>
  </w:style>
  <w:style w:type="paragraph" w:styleId="TOC6">
    <w:name w:val="toc 6"/>
    <w:basedOn w:val="Normal"/>
    <w:next w:val="Normal"/>
    <w:autoRedefine/>
    <w:uiPriority w:val="99"/>
    <w:semiHidden/>
    <w:rsid w:val="00222EF2"/>
    <w:pPr>
      <w:ind w:left="1100"/>
    </w:pPr>
  </w:style>
  <w:style w:type="paragraph" w:styleId="TOC7">
    <w:name w:val="toc 7"/>
    <w:basedOn w:val="Normal"/>
    <w:next w:val="Normal"/>
    <w:autoRedefine/>
    <w:uiPriority w:val="99"/>
    <w:semiHidden/>
    <w:rsid w:val="00222EF2"/>
    <w:pPr>
      <w:ind w:left="1320"/>
    </w:pPr>
  </w:style>
  <w:style w:type="paragraph" w:styleId="TOC8">
    <w:name w:val="toc 8"/>
    <w:basedOn w:val="Normal"/>
    <w:next w:val="Normal"/>
    <w:autoRedefine/>
    <w:uiPriority w:val="99"/>
    <w:semiHidden/>
    <w:rsid w:val="00222EF2"/>
    <w:pPr>
      <w:ind w:left="1540"/>
    </w:pPr>
  </w:style>
  <w:style w:type="numbering" w:customStyle="1" w:styleId="TableBullets">
    <w:name w:val="TableBullets"/>
    <w:uiPriority w:val="99"/>
    <w:rsid w:val="00222EF2"/>
    <w:pPr>
      <w:numPr>
        <w:numId w:val="12"/>
      </w:numPr>
    </w:pPr>
  </w:style>
  <w:style w:type="numbering" w:customStyle="1" w:styleId="Sources">
    <w:name w:val="Sources"/>
    <w:rsid w:val="00222EF2"/>
    <w:pPr>
      <w:numPr>
        <w:numId w:val="11"/>
      </w:numPr>
    </w:pPr>
  </w:style>
  <w:style w:type="numbering" w:styleId="1ai">
    <w:name w:val="Outline List 1"/>
    <w:basedOn w:val="NoList"/>
    <w:uiPriority w:val="99"/>
    <w:semiHidden/>
    <w:unhideWhenUsed/>
    <w:rsid w:val="00222EF2"/>
    <w:pPr>
      <w:numPr>
        <w:numId w:val="15"/>
      </w:numPr>
    </w:pPr>
  </w:style>
  <w:style w:type="numbering" w:styleId="111111">
    <w:name w:val="Outline List 2"/>
    <w:basedOn w:val="NoList"/>
    <w:uiPriority w:val="99"/>
    <w:semiHidden/>
    <w:unhideWhenUsed/>
    <w:rsid w:val="00222EF2"/>
    <w:pPr>
      <w:numPr>
        <w:numId w:val="14"/>
      </w:numPr>
    </w:pPr>
  </w:style>
  <w:style w:type="numbering" w:customStyle="1" w:styleId="Bullets">
    <w:name w:val="Bullets"/>
    <w:rsid w:val="00222EF2"/>
    <w:pPr>
      <w:numPr>
        <w:numId w:val="10"/>
      </w:numPr>
    </w:pPr>
  </w:style>
  <w:style w:type="numbering" w:customStyle="1" w:styleId="Numbers">
    <w:name w:val="Numbers"/>
    <w:rsid w:val="00222EF2"/>
    <w:pPr>
      <w:numPr>
        <w:numId w:val="13"/>
      </w:numPr>
    </w:pPr>
  </w:style>
  <w:style w:type="numbering" w:styleId="ArticleSection">
    <w:name w:val="Outline List 3"/>
    <w:basedOn w:val="NoList"/>
    <w:uiPriority w:val="99"/>
    <w:semiHidden/>
    <w:unhideWhenUsed/>
    <w:rsid w:val="00222EF2"/>
    <w:pPr>
      <w:numPr>
        <w:numId w:val="16"/>
      </w:numPr>
    </w:pPr>
  </w:style>
  <w:style w:type="paragraph" w:customStyle="1" w:styleId="AppendixHeading1base">
    <w:name w:val="Appendix Heading 1 base"/>
    <w:uiPriority w:val="20"/>
    <w:semiHidden/>
    <w:qFormat/>
    <w:rsid w:val="00222EF2"/>
    <w:pPr>
      <w:keepNext/>
      <w:pageBreakBefore/>
      <w:numPr>
        <w:numId w:val="19"/>
      </w:numPr>
      <w:tabs>
        <w:tab w:val="left" w:pos="2268"/>
      </w:tabs>
      <w:spacing w:after="0" w:line="240" w:lineRule="auto"/>
    </w:pPr>
    <w:rPr>
      <w:rFonts w:ascii="Calibri" w:eastAsiaTheme="majorEastAsia" w:hAnsi="Calibri" w:cstheme="majorBidi"/>
      <w:b/>
      <w:bCs/>
      <w:color w:val="41B6E6" w:themeColor="accent1"/>
      <w:sz w:val="44"/>
      <w:szCs w:val="28"/>
      <w:lang w:eastAsia="en-AU"/>
    </w:rPr>
  </w:style>
  <w:style w:type="paragraph" w:customStyle="1" w:styleId="AppendixHeading2">
    <w:name w:val="Appendix Heading 2"/>
    <w:basedOn w:val="Heading2"/>
    <w:next w:val="BodyText"/>
    <w:uiPriority w:val="11"/>
    <w:qFormat/>
    <w:rsid w:val="00222EF2"/>
    <w:pPr>
      <w:numPr>
        <w:numId w:val="19"/>
      </w:numPr>
      <w:ind w:left="1134" w:hanging="1134"/>
    </w:pPr>
  </w:style>
  <w:style w:type="paragraph" w:customStyle="1" w:styleId="AppendixHeading3">
    <w:name w:val="Appendix Heading 3"/>
    <w:basedOn w:val="Heading3"/>
    <w:next w:val="BodyText"/>
    <w:uiPriority w:val="11"/>
    <w:qFormat/>
    <w:rsid w:val="00222EF2"/>
    <w:pPr>
      <w:numPr>
        <w:numId w:val="19"/>
      </w:numPr>
      <w:ind w:left="1134" w:hanging="1134"/>
    </w:pPr>
  </w:style>
  <w:style w:type="paragraph" w:customStyle="1" w:styleId="AppendixHeading4">
    <w:name w:val="Appendix Heading 4"/>
    <w:basedOn w:val="Heading4"/>
    <w:next w:val="BodyText"/>
    <w:uiPriority w:val="11"/>
    <w:qFormat/>
    <w:rsid w:val="00222EF2"/>
  </w:style>
  <w:style w:type="paragraph" w:customStyle="1" w:styleId="Equation">
    <w:name w:val="Equation"/>
    <w:basedOn w:val="BodyText"/>
    <w:next w:val="BodyText"/>
    <w:uiPriority w:val="7"/>
    <w:qFormat/>
    <w:rsid w:val="00222EF2"/>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222EF2"/>
    <w:pPr>
      <w:ind w:left="567" w:hanging="567"/>
    </w:pPr>
  </w:style>
  <w:style w:type="paragraph" w:styleId="ListNumber2">
    <w:name w:val="List Number 2"/>
    <w:basedOn w:val="ListNumber"/>
    <w:next w:val="BodyText"/>
    <w:uiPriority w:val="2"/>
    <w:qFormat/>
    <w:rsid w:val="00222EF2"/>
    <w:pPr>
      <w:numPr>
        <w:numId w:val="17"/>
      </w:numPr>
      <w:tabs>
        <w:tab w:val="left" w:pos="794"/>
      </w:tabs>
      <w:spacing w:before="60" w:after="60"/>
      <w:ind w:left="794" w:hanging="397"/>
    </w:pPr>
  </w:style>
  <w:style w:type="character" w:customStyle="1" w:styleId="Italics">
    <w:name w:val="Italics"/>
    <w:basedOn w:val="DefaultParagraphFont"/>
    <w:uiPriority w:val="3"/>
    <w:qFormat/>
    <w:rsid w:val="00222EF2"/>
    <w:rPr>
      <w:i/>
    </w:rPr>
  </w:style>
  <w:style w:type="table" w:customStyle="1" w:styleId="LightShading1">
    <w:name w:val="Light Shading1"/>
    <w:basedOn w:val="TableNormal"/>
    <w:uiPriority w:val="60"/>
    <w:rsid w:val="00222EF2"/>
    <w:pPr>
      <w:spacing w:after="0" w:line="240" w:lineRule="auto"/>
    </w:pPr>
    <w:rPr>
      <w:rFonts w:ascii="Calibri" w:hAnsi="Calibri" w:cs="Times New Roman"/>
      <w:color w:val="000000" w:themeColor="text1" w:themeShade="BF"/>
      <w:lang w:eastAsia="en-A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222EF2"/>
    <w:pPr>
      <w:spacing w:after="0" w:line="240" w:lineRule="auto"/>
    </w:pPr>
    <w:rPr>
      <w:rFonts w:ascii="Calibri" w:hAnsi="Calibri" w:cs="Times New Roman"/>
      <w:lang w:eastAsia="en-AU"/>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222EF2"/>
    <w:pPr>
      <w:spacing w:before="0"/>
    </w:pPr>
  </w:style>
  <w:style w:type="character" w:customStyle="1" w:styleId="Bold">
    <w:name w:val="Bold"/>
    <w:basedOn w:val="DefaultParagraphFont"/>
    <w:uiPriority w:val="3"/>
    <w:qFormat/>
    <w:rsid w:val="00222EF2"/>
    <w:rPr>
      <w:b/>
    </w:rPr>
  </w:style>
  <w:style w:type="character" w:styleId="IntenseEmphasis">
    <w:name w:val="Intense Emphasis"/>
    <w:basedOn w:val="DefaultParagraphFont"/>
    <w:uiPriority w:val="21"/>
    <w:qFormat/>
    <w:rsid w:val="00222EF2"/>
    <w:rPr>
      <w:b/>
      <w:bCs/>
      <w:i/>
      <w:iCs/>
      <w:color w:val="004B87" w:themeColor="accent2"/>
    </w:rPr>
  </w:style>
  <w:style w:type="character" w:styleId="SubtleEmphasis">
    <w:name w:val="Subtle Emphasis"/>
    <w:basedOn w:val="DefaultParagraphFont"/>
    <w:uiPriority w:val="19"/>
    <w:qFormat/>
    <w:rsid w:val="00222EF2"/>
    <w:rPr>
      <w:i/>
      <w:iCs/>
      <w:color w:val="595959" w:themeColor="text1" w:themeTint="A6"/>
    </w:rPr>
  </w:style>
  <w:style w:type="paragraph" w:styleId="IntenseQuote">
    <w:name w:val="Intense Quote"/>
    <w:basedOn w:val="Normal"/>
    <w:next w:val="Normal"/>
    <w:link w:val="IntenseQuoteChar"/>
    <w:uiPriority w:val="30"/>
    <w:qFormat/>
    <w:rsid w:val="00222EF2"/>
    <w:pPr>
      <w:pBdr>
        <w:bottom w:val="single" w:sz="4" w:space="4" w:color="004B87" w:themeColor="accent2"/>
      </w:pBdr>
      <w:spacing w:before="200" w:after="280"/>
      <w:ind w:left="936" w:right="936"/>
    </w:pPr>
    <w:rPr>
      <w:b/>
      <w:bCs/>
      <w:i/>
      <w:iCs/>
      <w:color w:val="004B87" w:themeColor="accent2"/>
    </w:rPr>
  </w:style>
  <w:style w:type="character" w:customStyle="1" w:styleId="IntenseQuoteChar">
    <w:name w:val="Intense Quote Char"/>
    <w:basedOn w:val="DefaultParagraphFont"/>
    <w:link w:val="IntenseQuote"/>
    <w:uiPriority w:val="30"/>
    <w:rsid w:val="00222EF2"/>
    <w:rPr>
      <w:rFonts w:ascii="Calibri" w:eastAsia="Calibri" w:hAnsi="Calibri" w:cs="Times New Roman"/>
      <w:b/>
      <w:bCs/>
      <w:i/>
      <w:iCs/>
      <w:color w:val="004B87" w:themeColor="accent2"/>
      <w:lang w:eastAsia="en-AU"/>
    </w:rPr>
  </w:style>
  <w:style w:type="paragraph" w:customStyle="1" w:styleId="Boxedheading">
    <w:name w:val="Boxed heading"/>
    <w:uiPriority w:val="19"/>
    <w:qFormat/>
    <w:rsid w:val="00222EF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8EDFF" w:themeFill="accent2" w:themeFillTint="1A"/>
      <w:spacing w:before="360" w:after="240" w:line="240" w:lineRule="auto"/>
      <w:ind w:left="227" w:right="227"/>
    </w:pPr>
    <w:rPr>
      <w:rFonts w:ascii="Calibri" w:eastAsia="Calibri" w:hAnsi="Calibri" w:cs="Times New Roman"/>
      <w:b/>
      <w:color w:val="000000"/>
      <w:sz w:val="28"/>
      <w:szCs w:val="28"/>
      <w:lang w:eastAsia="en-AU"/>
    </w:rPr>
  </w:style>
  <w:style w:type="paragraph" w:customStyle="1" w:styleId="Boxedtext">
    <w:name w:val="Boxed text"/>
    <w:uiPriority w:val="19"/>
    <w:qFormat/>
    <w:rsid w:val="00222EF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8EDFF" w:themeFill="accent2" w:themeFillTint="1A"/>
      <w:spacing w:before="180" w:after="180" w:line="240" w:lineRule="auto"/>
      <w:ind w:left="227" w:right="227"/>
    </w:pPr>
    <w:rPr>
      <w:rFonts w:ascii="Calibri" w:eastAsia="Calibri" w:hAnsi="Calibri" w:cs="Times New Roman"/>
      <w:color w:val="000000"/>
      <w:sz w:val="24"/>
      <w:szCs w:val="24"/>
      <w:lang w:eastAsia="en-AU"/>
    </w:rPr>
  </w:style>
  <w:style w:type="paragraph" w:customStyle="1" w:styleId="Boxedlistbullet">
    <w:name w:val="Boxed list bullet"/>
    <w:basedOn w:val="Boxedtext"/>
    <w:uiPriority w:val="19"/>
    <w:qFormat/>
    <w:rsid w:val="00222EF2"/>
    <w:pPr>
      <w:numPr>
        <w:numId w:val="22"/>
      </w:numPr>
      <w:spacing w:before="0" w:after="0"/>
      <w:ind w:left="454" w:hanging="227"/>
      <w:contextualSpacing/>
    </w:pPr>
  </w:style>
  <w:style w:type="paragraph" w:customStyle="1" w:styleId="TableCaption">
    <w:name w:val="Table Caption"/>
    <w:basedOn w:val="Caption"/>
    <w:link w:val="TableCaptionChar"/>
    <w:qFormat/>
    <w:rsid w:val="00D562B7"/>
    <w:pPr>
      <w:pBdr>
        <w:top w:val="single" w:sz="4" w:space="1" w:color="auto"/>
      </w:pBdr>
    </w:pPr>
    <w:rPr>
      <w:b w:val="0"/>
      <w:i/>
      <w:color w:val="000000" w:themeColor="text2"/>
      <w:sz w:val="18"/>
    </w:rPr>
  </w:style>
  <w:style w:type="character" w:customStyle="1" w:styleId="TableCaptionChar">
    <w:name w:val="Table Caption Char"/>
    <w:basedOn w:val="CaptionChar"/>
    <w:link w:val="TableCaption"/>
    <w:rsid w:val="00D562B7"/>
    <w:rPr>
      <w:rFonts w:ascii="Calibri" w:eastAsia="Calibri" w:hAnsi="Calibri" w:cs="Times New Roman"/>
      <w:b w:val="0"/>
      <w:bCs/>
      <w:i/>
      <w:color w:val="000000" w:themeColor="text2"/>
      <w:sz w:val="18"/>
      <w:szCs w:val="18"/>
      <w:lang w:eastAsia="en-AU"/>
    </w:rPr>
  </w:style>
  <w:style w:type="paragraph" w:customStyle="1" w:styleId="H1">
    <w:name w:val="H1"/>
    <w:basedOn w:val="Normal"/>
    <w:qFormat/>
    <w:rsid w:val="00D85352"/>
    <w:pPr>
      <w:pageBreakBefore/>
      <w:widowControl w:val="0"/>
      <w:suppressAutoHyphens/>
      <w:autoSpaceDE w:val="0"/>
      <w:autoSpaceDN w:val="0"/>
      <w:adjustRightInd w:val="0"/>
      <w:spacing w:after="567"/>
    </w:pPr>
    <w:rPr>
      <w:rFonts w:ascii="Calibri-Bold" w:eastAsiaTheme="minorEastAsia" w:hAnsi="Calibri-Bold" w:cs="Calibri-Bold"/>
      <w:b/>
      <w:bCs/>
      <w:color w:val="00AEEF"/>
      <w:sz w:val="48"/>
      <w:szCs w:val="48"/>
      <w:lang w:val="en-GB" w:eastAsia="ja-JP"/>
    </w:rPr>
  </w:style>
  <w:style w:type="character" w:customStyle="1" w:styleId="OWSTableheadingChar">
    <w:name w:val="OWS Table heading Char"/>
    <w:basedOn w:val="BodyChar"/>
    <w:link w:val="OWSTableheading"/>
    <w:locked/>
    <w:rsid w:val="00A83A47"/>
    <w:rPr>
      <w:rFonts w:ascii="Calibri" w:eastAsiaTheme="minorEastAsia" w:hAnsi="Calibri" w:cs="Arial"/>
      <w:b/>
      <w:color w:val="000000"/>
      <w:sz w:val="20"/>
      <w:szCs w:val="20"/>
      <w:lang w:val="en-GB" w:eastAsia="ja-JP"/>
    </w:rPr>
  </w:style>
  <w:style w:type="paragraph" w:customStyle="1" w:styleId="OWSTableheading">
    <w:name w:val="OWS Table heading"/>
    <w:basedOn w:val="Body"/>
    <w:link w:val="OWSTableheadingChar"/>
    <w:qFormat/>
    <w:rsid w:val="00A83A47"/>
    <w:pPr>
      <w:widowControl w:val="0"/>
      <w:spacing w:before="80" w:after="80" w:line="240" w:lineRule="auto"/>
      <w:textAlignment w:val="auto"/>
    </w:pPr>
    <w:rPr>
      <w:rFonts w:eastAsiaTheme="minorHAnsi" w:cs="Arial"/>
      <w:b/>
      <w:color w:val="auto"/>
      <w:sz w:val="20"/>
      <w:szCs w:val="20"/>
      <w:lang w:val="en-AU" w:eastAsia="en-US"/>
    </w:rPr>
  </w:style>
  <w:style w:type="character" w:customStyle="1" w:styleId="OWSTabletextChar">
    <w:name w:val="OWS Table text Char"/>
    <w:basedOn w:val="BodyChar"/>
    <w:link w:val="OWSTabletext"/>
    <w:locked/>
    <w:rsid w:val="00A83A47"/>
    <w:rPr>
      <w:rFonts w:ascii="Calibri" w:eastAsiaTheme="minorEastAsia" w:hAnsi="Calibri" w:cs="Arial"/>
      <w:color w:val="000000"/>
      <w:sz w:val="18"/>
      <w:szCs w:val="20"/>
      <w:lang w:val="en-GB" w:eastAsia="ja-JP"/>
    </w:rPr>
  </w:style>
  <w:style w:type="paragraph" w:customStyle="1" w:styleId="OWSTabletext">
    <w:name w:val="OWS Table text"/>
    <w:basedOn w:val="Body"/>
    <w:link w:val="OWSTabletextChar"/>
    <w:qFormat/>
    <w:rsid w:val="00A83A47"/>
    <w:pPr>
      <w:widowControl w:val="0"/>
      <w:spacing w:before="80" w:after="80" w:line="240" w:lineRule="auto"/>
      <w:textAlignment w:val="auto"/>
    </w:pPr>
    <w:rPr>
      <w:rFonts w:eastAsiaTheme="minorHAnsi" w:cs="Arial"/>
      <w:sz w:val="18"/>
      <w:szCs w:val="20"/>
      <w:lang w:val="en-AU" w:eastAsia="en-US"/>
    </w:rPr>
  </w:style>
  <w:style w:type="character" w:customStyle="1" w:styleId="apple-converted-space">
    <w:name w:val="apple-converted-space"/>
    <w:basedOn w:val="DefaultParagraphFont"/>
    <w:rsid w:val="00A83A47"/>
  </w:style>
  <w:style w:type="paragraph" w:styleId="Revision">
    <w:name w:val="Revision"/>
    <w:hidden/>
    <w:uiPriority w:val="99"/>
    <w:semiHidden/>
    <w:rsid w:val="007B6101"/>
    <w:pPr>
      <w:spacing w:after="0" w:line="240" w:lineRule="auto"/>
    </w:pPr>
    <w:rPr>
      <w:rFonts w:ascii="Calibri" w:eastAsia="Calibri" w:hAnsi="Calibri" w:cs="Times New Roman"/>
      <w:color w:val="00000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390536">
      <w:bodyDiv w:val="1"/>
      <w:marLeft w:val="0"/>
      <w:marRight w:val="0"/>
      <w:marTop w:val="0"/>
      <w:marBottom w:val="0"/>
      <w:divBdr>
        <w:top w:val="none" w:sz="0" w:space="0" w:color="auto"/>
        <w:left w:val="none" w:sz="0" w:space="0" w:color="auto"/>
        <w:bottom w:val="none" w:sz="0" w:space="0" w:color="auto"/>
        <w:right w:val="none" w:sz="0" w:space="0" w:color="auto"/>
      </w:divBdr>
    </w:div>
    <w:div w:id="277689671">
      <w:bodyDiv w:val="1"/>
      <w:marLeft w:val="0"/>
      <w:marRight w:val="0"/>
      <w:marTop w:val="0"/>
      <w:marBottom w:val="0"/>
      <w:divBdr>
        <w:top w:val="none" w:sz="0" w:space="0" w:color="auto"/>
        <w:left w:val="none" w:sz="0" w:space="0" w:color="auto"/>
        <w:bottom w:val="none" w:sz="0" w:space="0" w:color="auto"/>
        <w:right w:val="none" w:sz="0" w:space="0" w:color="auto"/>
      </w:divBdr>
    </w:div>
    <w:div w:id="283773774">
      <w:bodyDiv w:val="1"/>
      <w:marLeft w:val="0"/>
      <w:marRight w:val="0"/>
      <w:marTop w:val="0"/>
      <w:marBottom w:val="0"/>
      <w:divBdr>
        <w:top w:val="none" w:sz="0" w:space="0" w:color="auto"/>
        <w:left w:val="none" w:sz="0" w:space="0" w:color="auto"/>
        <w:bottom w:val="none" w:sz="0" w:space="0" w:color="auto"/>
        <w:right w:val="none" w:sz="0" w:space="0" w:color="auto"/>
      </w:divBdr>
    </w:div>
    <w:div w:id="892930589">
      <w:bodyDiv w:val="1"/>
      <w:marLeft w:val="0"/>
      <w:marRight w:val="0"/>
      <w:marTop w:val="0"/>
      <w:marBottom w:val="0"/>
      <w:divBdr>
        <w:top w:val="none" w:sz="0" w:space="0" w:color="auto"/>
        <w:left w:val="none" w:sz="0" w:space="0" w:color="auto"/>
        <w:bottom w:val="none" w:sz="0" w:space="0" w:color="auto"/>
        <w:right w:val="none" w:sz="0" w:space="0" w:color="auto"/>
      </w:divBdr>
    </w:div>
    <w:div w:id="1003356422">
      <w:bodyDiv w:val="1"/>
      <w:marLeft w:val="0"/>
      <w:marRight w:val="0"/>
      <w:marTop w:val="0"/>
      <w:marBottom w:val="0"/>
      <w:divBdr>
        <w:top w:val="none" w:sz="0" w:space="0" w:color="auto"/>
        <w:left w:val="none" w:sz="0" w:space="0" w:color="auto"/>
        <w:bottom w:val="none" w:sz="0" w:space="0" w:color="auto"/>
        <w:right w:val="none" w:sz="0" w:space="0" w:color="auto"/>
      </w:divBdr>
    </w:div>
    <w:div w:id="1013799638">
      <w:bodyDiv w:val="1"/>
      <w:marLeft w:val="0"/>
      <w:marRight w:val="0"/>
      <w:marTop w:val="0"/>
      <w:marBottom w:val="0"/>
      <w:divBdr>
        <w:top w:val="none" w:sz="0" w:space="0" w:color="auto"/>
        <w:left w:val="none" w:sz="0" w:space="0" w:color="auto"/>
        <w:bottom w:val="none" w:sz="0" w:space="0" w:color="auto"/>
        <w:right w:val="none" w:sz="0" w:space="0" w:color="auto"/>
      </w:divBdr>
    </w:div>
    <w:div w:id="1023478439">
      <w:bodyDiv w:val="1"/>
      <w:marLeft w:val="0"/>
      <w:marRight w:val="0"/>
      <w:marTop w:val="0"/>
      <w:marBottom w:val="0"/>
      <w:divBdr>
        <w:top w:val="none" w:sz="0" w:space="0" w:color="auto"/>
        <w:left w:val="none" w:sz="0" w:space="0" w:color="auto"/>
        <w:bottom w:val="none" w:sz="0" w:space="0" w:color="auto"/>
        <w:right w:val="none" w:sz="0" w:space="0" w:color="auto"/>
      </w:divBdr>
    </w:div>
    <w:div w:id="1035499036">
      <w:bodyDiv w:val="1"/>
      <w:marLeft w:val="0"/>
      <w:marRight w:val="0"/>
      <w:marTop w:val="0"/>
      <w:marBottom w:val="0"/>
      <w:divBdr>
        <w:top w:val="none" w:sz="0" w:space="0" w:color="auto"/>
        <w:left w:val="none" w:sz="0" w:space="0" w:color="auto"/>
        <w:bottom w:val="none" w:sz="0" w:space="0" w:color="auto"/>
        <w:right w:val="none" w:sz="0" w:space="0" w:color="auto"/>
      </w:divBdr>
    </w:div>
    <w:div w:id="1112631704">
      <w:bodyDiv w:val="1"/>
      <w:marLeft w:val="0"/>
      <w:marRight w:val="0"/>
      <w:marTop w:val="0"/>
      <w:marBottom w:val="0"/>
      <w:divBdr>
        <w:top w:val="none" w:sz="0" w:space="0" w:color="auto"/>
        <w:left w:val="none" w:sz="0" w:space="0" w:color="auto"/>
        <w:bottom w:val="none" w:sz="0" w:space="0" w:color="auto"/>
        <w:right w:val="none" w:sz="0" w:space="0" w:color="auto"/>
      </w:divBdr>
    </w:div>
    <w:div w:id="1441605412">
      <w:bodyDiv w:val="1"/>
      <w:marLeft w:val="0"/>
      <w:marRight w:val="0"/>
      <w:marTop w:val="0"/>
      <w:marBottom w:val="0"/>
      <w:divBdr>
        <w:top w:val="none" w:sz="0" w:space="0" w:color="auto"/>
        <w:left w:val="none" w:sz="0" w:space="0" w:color="auto"/>
        <w:bottom w:val="none" w:sz="0" w:space="0" w:color="auto"/>
        <w:right w:val="none" w:sz="0" w:space="0" w:color="auto"/>
      </w:divBdr>
    </w:div>
    <w:div w:id="1603340304">
      <w:bodyDiv w:val="1"/>
      <w:marLeft w:val="0"/>
      <w:marRight w:val="0"/>
      <w:marTop w:val="0"/>
      <w:marBottom w:val="0"/>
      <w:divBdr>
        <w:top w:val="none" w:sz="0" w:space="0" w:color="auto"/>
        <w:left w:val="none" w:sz="0" w:space="0" w:color="auto"/>
        <w:bottom w:val="none" w:sz="0" w:space="0" w:color="auto"/>
        <w:right w:val="none" w:sz="0" w:space="0" w:color="auto"/>
      </w:divBdr>
    </w:div>
    <w:div w:id="1628195224">
      <w:bodyDiv w:val="1"/>
      <w:marLeft w:val="0"/>
      <w:marRight w:val="0"/>
      <w:marTop w:val="0"/>
      <w:marBottom w:val="0"/>
      <w:divBdr>
        <w:top w:val="none" w:sz="0" w:space="0" w:color="auto"/>
        <w:left w:val="none" w:sz="0" w:space="0" w:color="auto"/>
        <w:bottom w:val="none" w:sz="0" w:space="0" w:color="auto"/>
        <w:right w:val="none" w:sz="0" w:space="0" w:color="auto"/>
      </w:divBdr>
    </w:div>
    <w:div w:id="1793789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2.xml"/><Relationship Id="rId18" Type="http://schemas.openxmlformats.org/officeDocument/2006/relationships/image" Target="media/image5.emf"/><Relationship Id="rId26" Type="http://schemas.openxmlformats.org/officeDocument/2006/relationships/image" Target="media/image12.tiff"/><Relationship Id="rId39" Type="http://schemas.openxmlformats.org/officeDocument/2006/relationships/image" Target="media/image25.tiff"/><Relationship Id="rId3" Type="http://schemas.openxmlformats.org/officeDocument/2006/relationships/settings" Target="settings.xml"/><Relationship Id="rId21" Type="http://schemas.openxmlformats.org/officeDocument/2006/relationships/oleObject" Target="embeddings/oleObject1.bin"/><Relationship Id="rId34" Type="http://schemas.openxmlformats.org/officeDocument/2006/relationships/image" Target="media/image20.tiff"/><Relationship Id="rId42"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tiff"/><Relationship Id="rId38" Type="http://schemas.openxmlformats.org/officeDocument/2006/relationships/image" Target="media/image24.tiff"/><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wmf"/><Relationship Id="rId29" Type="http://schemas.openxmlformats.org/officeDocument/2006/relationships/image" Target="media/image15.tif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0.emf"/><Relationship Id="rId32" Type="http://schemas.openxmlformats.org/officeDocument/2006/relationships/image" Target="media/image18.tiff"/><Relationship Id="rId37" Type="http://schemas.openxmlformats.org/officeDocument/2006/relationships/image" Target="media/image23.tiff"/><Relationship Id="rId40"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tiff"/><Relationship Id="rId28" Type="http://schemas.openxmlformats.org/officeDocument/2006/relationships/image" Target="media/image14.tiff"/><Relationship Id="rId36" Type="http://schemas.openxmlformats.org/officeDocument/2006/relationships/image" Target="media/image22.tiff"/><Relationship Id="rId10" Type="http://schemas.openxmlformats.org/officeDocument/2006/relationships/header" Target="header1.xml"/><Relationship Id="rId19" Type="http://schemas.openxmlformats.org/officeDocument/2006/relationships/image" Target="media/image6.emf"/><Relationship Id="rId31" Type="http://schemas.openxmlformats.org/officeDocument/2006/relationships/image" Target="media/image17.tiff"/><Relationship Id="rId4" Type="http://schemas.openxmlformats.org/officeDocument/2006/relationships/webSettings" Target="webSettings.xml"/><Relationship Id="rId9" Type="http://schemas.openxmlformats.org/officeDocument/2006/relationships/hyperlink" Target="mailto:enquiries@csiro.au" TargetMode="External"/><Relationship Id="rId14" Type="http://schemas.openxmlformats.org/officeDocument/2006/relationships/header" Target="header3.xml"/><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image" Target="media/image16.tiff"/><Relationship Id="rId35" Type="http://schemas.openxmlformats.org/officeDocument/2006/relationships/image" Target="media/image21.tiff"/></Relationships>
</file>

<file path=word/theme/theme1.xml><?xml version="1.0" encoding="utf-8"?>
<a:theme xmlns:a="http://schemas.openxmlformats.org/drawingml/2006/main" name="Office Theme">
  <a:themeElements>
    <a:clrScheme name="CSIRO Sky">
      <a:dk1>
        <a:sysClr val="windowText" lastClr="000000"/>
      </a:dk1>
      <a:lt1>
        <a:srgbClr val="FFFFFF"/>
      </a:lt1>
      <a:dk2>
        <a:srgbClr val="000000"/>
      </a:dk2>
      <a:lt2>
        <a:srgbClr val="FFFFFF"/>
      </a:lt2>
      <a:accent1>
        <a:srgbClr val="41B6E6"/>
      </a:accent1>
      <a:accent2>
        <a:srgbClr val="004B87"/>
      </a:accent2>
      <a:accent3>
        <a:srgbClr val="78BE20"/>
      </a:accent3>
      <a:accent4>
        <a:srgbClr val="4A7729"/>
      </a:accent4>
      <a:accent5>
        <a:srgbClr val="00A9CE"/>
      </a:accent5>
      <a:accent6>
        <a:srgbClr val="00313C"/>
      </a:accent6>
      <a:hlink>
        <a:srgbClr val="9FAEE5"/>
      </a:hlink>
      <a:folHlink>
        <a:srgbClr val="1E22AA"/>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2CD5141E.dotm</Template>
  <TotalTime>1</TotalTime>
  <Pages>50</Pages>
  <Words>22706</Words>
  <Characters>129427</Characters>
  <Application>Microsoft Office Word</Application>
  <DocSecurity>4</DocSecurity>
  <Lines>1078</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Modelling inter-aquifer leakage associated with well integrity failure</dc:title>
  <dc:subject/>
  <dc:creator>Rebecca Doble, Jim McCallum, Chris Turnadge, Luk Peeters, Bailin Wu, Dirk Mallants</dc:creator>
  <cp:keywords/>
  <dc:description/>
  <cp:lastModifiedBy>Durack, Bec</cp:lastModifiedBy>
  <cp:revision>2</cp:revision>
  <dcterms:created xsi:type="dcterms:W3CDTF">2018-03-08T03:46:00Z</dcterms:created>
  <dcterms:modified xsi:type="dcterms:W3CDTF">2018-03-08T03:46:00Z</dcterms:modified>
</cp:coreProperties>
</file>