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FD" w:rsidRDefault="00D33FB8" w:rsidP="00D50971">
      <w:pPr>
        <w:pStyle w:val="Title"/>
      </w:pPr>
      <w:r w:rsidRPr="00D33FB8">
        <w:rPr>
          <w:noProof/>
          <w:lang w:eastAsia="en-AU"/>
        </w:rPr>
        <w:drawing>
          <wp:inline distT="0" distB="0" distL="0" distR="0">
            <wp:extent cx="2962800" cy="446400"/>
            <wp:effectExtent l="0" t="0" r="0" b="0"/>
            <wp:docPr id="1" name="Picture 1" descr="cid:CC9B846B-E02B-4E56-8552-32CB5FD378B1@papermonkey.pri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F2AB74-4EC6-43AC-A996-885B39F20E47" descr="cid:CC9B846B-E02B-4E56-8552-32CB5FD378B1@papermonkey.private"/>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800" cy="446400"/>
                    </a:xfrm>
                    <a:prstGeom prst="rect">
                      <a:avLst/>
                    </a:prstGeom>
                    <a:noFill/>
                    <a:ln>
                      <a:noFill/>
                    </a:ln>
                  </pic:spPr>
                </pic:pic>
              </a:graphicData>
            </a:graphic>
          </wp:inline>
        </w:drawing>
      </w:r>
      <w:r w:rsidRPr="00D33FB8">
        <w:t xml:space="preserve"> </w:t>
      </w:r>
    </w:p>
    <w:p w:rsidR="00D50971" w:rsidRPr="00D50971" w:rsidRDefault="00D50971" w:rsidP="00D50971">
      <w:pPr>
        <w:pStyle w:val="Title"/>
        <w:rPr>
          <w:lang w:val="en-US"/>
        </w:rPr>
      </w:pPr>
      <w:bookmarkStart w:id="0" w:name="OLE_LINK1"/>
      <w:bookmarkStart w:id="1" w:name="OLE_LINK2"/>
      <w:r>
        <w:rPr>
          <w:lang w:val="en-US"/>
        </w:rPr>
        <w:t>Monitored O</w:t>
      </w:r>
      <w:r w:rsidRPr="00D50971">
        <w:rPr>
          <w:lang w:val="en-US"/>
        </w:rPr>
        <w:t>utcomes</w:t>
      </w:r>
    </w:p>
    <w:bookmarkEnd w:id="0"/>
    <w:bookmarkEnd w:id="1"/>
    <w:p w:rsidR="00D50971" w:rsidRPr="00D50971" w:rsidRDefault="00D50971" w:rsidP="00D50971">
      <w:pPr>
        <w:pStyle w:val="Heading1"/>
        <w:rPr>
          <w:lang w:val="en-US"/>
        </w:rPr>
      </w:pPr>
      <w:r w:rsidRPr="00D50971">
        <w:rPr>
          <w:lang w:val="en-US"/>
        </w:rPr>
        <w:t>Working</w:t>
      </w:r>
      <w:r>
        <w:t xml:space="preserve"> </w:t>
      </w:r>
      <w:r w:rsidRPr="00D50971">
        <w:rPr>
          <w:lang w:val="en-US"/>
        </w:rPr>
        <w:t>in partnership</w:t>
      </w:r>
    </w:p>
    <w:p w:rsidR="00D50971" w:rsidRPr="00D50971" w:rsidRDefault="00D50971" w:rsidP="00D50971">
      <w:pPr>
        <w:pStyle w:val="CoverIntroductionText"/>
        <w:rPr>
          <w:lang w:val="en-US"/>
        </w:rPr>
      </w:pPr>
      <w:r w:rsidRPr="00D50971">
        <w:rPr>
          <w:lang w:val="en-US"/>
        </w:rPr>
        <w:t xml:space="preserve">The Commonwealth Environmental Water Holder makes water available for delivery by State environmental water holders and managers, non-Government </w:t>
      </w:r>
      <w:proofErr w:type="spellStart"/>
      <w:r w:rsidRPr="00D50971">
        <w:rPr>
          <w:lang w:val="en-US"/>
        </w:rPr>
        <w:t>organisations</w:t>
      </w:r>
      <w:proofErr w:type="spellEnd"/>
      <w:r w:rsidRPr="00D50971">
        <w:rPr>
          <w:lang w:val="en-US"/>
        </w:rPr>
        <w:t xml:space="preserve">, their local delivery partners and river operators. </w:t>
      </w:r>
    </w:p>
    <w:p w:rsidR="00D50971" w:rsidRPr="00D50971" w:rsidRDefault="00D50971" w:rsidP="003D6104">
      <w:pPr>
        <w:rPr>
          <w:lang w:val="en-US"/>
        </w:rPr>
      </w:pPr>
      <w:r w:rsidRPr="00D50971">
        <w:rPr>
          <w:lang w:val="en-US"/>
        </w:rPr>
        <w:t xml:space="preserve">This coordinated effort enables the Commonwealth Environmental Water Holder to manage water in the national interest by improving the connectivity between the highly variable natural systems of the Murray-Darling Basin’s rivers, floodplains and wetlands. </w:t>
      </w:r>
    </w:p>
    <w:p w:rsidR="00D50971" w:rsidRPr="00D50971" w:rsidRDefault="00D50971" w:rsidP="00D50971">
      <w:pPr>
        <w:rPr>
          <w:lang w:val="en-US"/>
        </w:rPr>
      </w:pPr>
      <w:r w:rsidRPr="00D50971">
        <w:rPr>
          <w:lang w:val="en-US"/>
        </w:rPr>
        <w:t xml:space="preserve">Over the past five years, over 4,000 </w:t>
      </w:r>
      <w:proofErr w:type="spellStart"/>
      <w:r w:rsidRPr="00D50971">
        <w:rPr>
          <w:lang w:val="en-US"/>
        </w:rPr>
        <w:t>gigalitres</w:t>
      </w:r>
      <w:proofErr w:type="spellEnd"/>
      <w:r w:rsidRPr="00D50971">
        <w:rPr>
          <w:lang w:val="en-US"/>
        </w:rPr>
        <w:t xml:space="preserve"> of Commonwealth water has been delivered to the environment.</w:t>
      </w:r>
    </w:p>
    <w:p w:rsidR="00D50971" w:rsidRPr="00D50971" w:rsidRDefault="00D50971" w:rsidP="00D50971">
      <w:pPr>
        <w:pStyle w:val="Heading1"/>
        <w:rPr>
          <w:lang w:val="en-US"/>
        </w:rPr>
      </w:pPr>
      <w:r w:rsidRPr="00D50971">
        <w:rPr>
          <w:lang w:val="en-US"/>
        </w:rPr>
        <w:t>Protecting</w:t>
      </w:r>
      <w:r>
        <w:t xml:space="preserve"> </w:t>
      </w:r>
      <w:r w:rsidRPr="00D50971">
        <w:rPr>
          <w:lang w:val="en-US"/>
        </w:rPr>
        <w:t xml:space="preserve">and restoring rivers, wetlands and floodplains </w:t>
      </w:r>
    </w:p>
    <w:p w:rsidR="00D50971" w:rsidRPr="00D50971" w:rsidRDefault="00D50971" w:rsidP="00D50971">
      <w:pPr>
        <w:pStyle w:val="CoverIntroductionText"/>
        <w:rPr>
          <w:lang w:val="en-US"/>
        </w:rPr>
      </w:pPr>
      <w:r w:rsidRPr="00D50971">
        <w:rPr>
          <w:lang w:val="en-US"/>
        </w:rPr>
        <w:t xml:space="preserve">The Commonwealth Environmental Water Holder oversees the management and use of a large portfolio of water for the benefit of the environment. This water is the result of the Australian government’s suite of national water reforms including the </w:t>
      </w:r>
      <w:proofErr w:type="spellStart"/>
      <w:r w:rsidRPr="00D50971">
        <w:rPr>
          <w:lang w:val="en-US"/>
        </w:rPr>
        <w:t>modernisation</w:t>
      </w:r>
      <w:proofErr w:type="spellEnd"/>
      <w:r w:rsidRPr="00D50971">
        <w:rPr>
          <w:lang w:val="en-US"/>
        </w:rPr>
        <w:t xml:space="preserve"> of irrigation infrastructure, as part of the Murray-Darling Basin Plan.</w:t>
      </w:r>
    </w:p>
    <w:p w:rsidR="002F3C35" w:rsidRPr="00CA2056" w:rsidRDefault="00D50971" w:rsidP="00D50971">
      <w:r w:rsidRPr="00D50971">
        <w:rPr>
          <w:lang w:val="en-US"/>
        </w:rPr>
        <w:t>Environmental water is helping to protect and restore rivers, floodplains, wetlands, and the wide diversity of life they support, in the interests of sustaining productive river communities throughout the Basin.</w:t>
      </w:r>
    </w:p>
    <w:p w:rsidR="00D50971" w:rsidRPr="00D50971" w:rsidRDefault="00D50971" w:rsidP="00D50971">
      <w:pPr>
        <w:pStyle w:val="Heading1"/>
        <w:rPr>
          <w:lang w:val="en-US"/>
        </w:rPr>
      </w:pPr>
      <w:r w:rsidRPr="00D50971">
        <w:rPr>
          <w:lang w:val="en-US"/>
        </w:rPr>
        <w:t>Localism</w:t>
      </w:r>
      <w:r>
        <w:t xml:space="preserve"> </w:t>
      </w:r>
      <w:r w:rsidRPr="00D50971">
        <w:rPr>
          <w:lang w:val="en-US"/>
        </w:rPr>
        <w:t>involving locals in environmental water management</w:t>
      </w:r>
    </w:p>
    <w:p w:rsidR="00D50971" w:rsidRPr="00D50971" w:rsidRDefault="00D50971" w:rsidP="00D50971">
      <w:pPr>
        <w:pStyle w:val="CoverIntroductionText"/>
        <w:rPr>
          <w:lang w:val="en-US"/>
        </w:rPr>
      </w:pPr>
      <w:r w:rsidRPr="00D50971">
        <w:rPr>
          <w:lang w:val="en-US"/>
        </w:rPr>
        <w:t>We rely on local knowledge and experience to help shape watering decisions. Together with our delivery partners, we seek advice from environmental water advisory groups and committees and we regularly attend community forums within the catchments.</w:t>
      </w:r>
    </w:p>
    <w:p w:rsidR="00D50971" w:rsidRPr="00D50971" w:rsidRDefault="00D50971" w:rsidP="00D50971">
      <w:pPr>
        <w:rPr>
          <w:lang w:val="en-US"/>
        </w:rPr>
      </w:pPr>
      <w:r w:rsidRPr="00D50971">
        <w:rPr>
          <w:lang w:val="en-US"/>
        </w:rPr>
        <w:t>The Commonwealth Environmental Water Holder also has six local engagement officers working alongside State and local land and water management officers, providing outreach to local communities throughout the Basin.</w:t>
      </w:r>
    </w:p>
    <w:p w:rsidR="00D50971" w:rsidRPr="00D50971" w:rsidRDefault="00D50971" w:rsidP="00D50971">
      <w:pPr>
        <w:pStyle w:val="Heading1"/>
        <w:rPr>
          <w:lang w:val="en-US"/>
        </w:rPr>
      </w:pPr>
      <w:r>
        <w:rPr>
          <w:lang w:val="en-US"/>
        </w:rPr>
        <w:t>Outcomes</w:t>
      </w:r>
      <w:r>
        <w:t xml:space="preserve"> </w:t>
      </w:r>
      <w:r w:rsidRPr="00D50971">
        <w:rPr>
          <w:lang w:val="en-US"/>
        </w:rPr>
        <w:t>demonstrated through monitoring and evaluation</w:t>
      </w:r>
    </w:p>
    <w:p w:rsidR="00D50971" w:rsidRPr="00D50971" w:rsidRDefault="00D50971" w:rsidP="00D50971">
      <w:pPr>
        <w:pStyle w:val="CoverIntroductionText"/>
        <w:rPr>
          <w:lang w:val="en-US"/>
        </w:rPr>
      </w:pPr>
      <w:r w:rsidRPr="00D50971">
        <w:rPr>
          <w:lang w:val="en-US"/>
        </w:rPr>
        <w:t>The Commonwealth Environmental Water Holder commissions scientific monitoring and evaluation to build knowledge about environmental water use and its effectiveness over time.</w:t>
      </w:r>
    </w:p>
    <w:p w:rsidR="00D50971" w:rsidRPr="00D50971" w:rsidRDefault="00D50971" w:rsidP="00D50971">
      <w:pPr>
        <w:rPr>
          <w:lang w:val="en-US"/>
        </w:rPr>
      </w:pPr>
      <w:r w:rsidRPr="00D50971">
        <w:rPr>
          <w:lang w:val="en-US"/>
        </w:rPr>
        <w:t>The Murray-Darling Basin Authority and State agencies also invest in a range of complementary monitoring </w:t>
      </w:r>
      <w:proofErr w:type="spellStart"/>
      <w:r w:rsidRPr="00D50971">
        <w:rPr>
          <w:lang w:val="en-US"/>
        </w:rPr>
        <w:t>programmes</w:t>
      </w:r>
      <w:proofErr w:type="spellEnd"/>
      <w:r w:rsidRPr="00D50971">
        <w:rPr>
          <w:lang w:val="en-US"/>
        </w:rPr>
        <w:t>.</w:t>
      </w:r>
    </w:p>
    <w:p w:rsidR="00D50971" w:rsidRPr="00D50971" w:rsidRDefault="00D50971" w:rsidP="00D50971">
      <w:pPr>
        <w:rPr>
          <w:lang w:val="en-US"/>
        </w:rPr>
      </w:pPr>
      <w:r w:rsidRPr="00D50971">
        <w:rPr>
          <w:lang w:val="en-US"/>
        </w:rPr>
        <w:t xml:space="preserve">Since 2010, short-term monitoring has helped determine whether select watering actions are meeting their intended ecological objectives. This monitoring is strengthened by the transition to longer-term projects, as part of the Commonwealth Environmental Water Holder’s $30 million investment in the Long-Term Intervention Monitoring Project. </w:t>
      </w:r>
    </w:p>
    <w:p w:rsidR="00D50971" w:rsidRPr="00D50971" w:rsidRDefault="00D50971" w:rsidP="00D50971">
      <w:pPr>
        <w:rPr>
          <w:lang w:val="en-US"/>
        </w:rPr>
      </w:pPr>
      <w:r w:rsidRPr="00D50971">
        <w:rPr>
          <w:lang w:val="en-US"/>
        </w:rPr>
        <w:t xml:space="preserve">These detailed five-year projects are being undertaken by consortiums led by Australia’s leading research institutions and locally based land and water managers and communities, where around 90 per cent of Commonwealth environmental water is held. </w:t>
      </w:r>
    </w:p>
    <w:p w:rsidR="0049211D" w:rsidRDefault="00D50971" w:rsidP="00D50971">
      <w:r w:rsidRPr="00D50971">
        <w:rPr>
          <w:lang w:val="en-US"/>
        </w:rPr>
        <w:t xml:space="preserve">This work ensures that environmental water is being used to its best effect because it is not only a scientifically robust method to determine outcomes, it enables ’adaptive management’ by evaluating what has worked well and </w:t>
      </w:r>
      <w:r w:rsidRPr="00D50971">
        <w:rPr>
          <w:lang w:val="en-US"/>
        </w:rPr>
        <w:lastRenderedPageBreak/>
        <w:t>areas for improvement. By applying this information, along with local feedback, we can adapt how environmental water is managed, and improve outcomes over time.</w:t>
      </w:r>
    </w:p>
    <w:p w:rsidR="004E0658" w:rsidRPr="004E0658" w:rsidRDefault="004E0658" w:rsidP="004E0658">
      <w:pPr>
        <w:pStyle w:val="Heading1"/>
        <w:rPr>
          <w:lang w:val="en-GB"/>
        </w:rPr>
      </w:pPr>
      <w:r w:rsidRPr="004E0658">
        <w:rPr>
          <w:lang w:val="en-GB"/>
        </w:rPr>
        <w:t>Recent monitored</w:t>
      </w:r>
      <w:r>
        <w:t xml:space="preserve"> </w:t>
      </w:r>
      <w:r>
        <w:rPr>
          <w:lang w:val="en-GB"/>
        </w:rPr>
        <w:t>Outcomes</w:t>
      </w:r>
      <w:r>
        <w:t xml:space="preserve"> </w:t>
      </w:r>
      <w:r w:rsidRPr="004E0658">
        <w:rPr>
          <w:lang w:val="en-GB"/>
        </w:rPr>
        <w:t>show that good environmental results are being achieved</w:t>
      </w:r>
    </w:p>
    <w:p w:rsidR="004E0658" w:rsidRPr="004E0658" w:rsidRDefault="004E0658" w:rsidP="0096160B">
      <w:pPr>
        <w:pStyle w:val="CoverIntroductionText"/>
        <w:rPr>
          <w:lang w:val="en-US"/>
        </w:rPr>
      </w:pPr>
      <w:r w:rsidRPr="004E0658">
        <w:rPr>
          <w:lang w:val="en-US"/>
        </w:rPr>
        <w:t>Environmental water is helping to restore the parts of the Basin’s natural hydrology that have been impacted by river regulation and infrastructure created for agriculture and other human needs.</w:t>
      </w:r>
    </w:p>
    <w:p w:rsidR="004E0658" w:rsidRPr="004E0658" w:rsidRDefault="004E0658" w:rsidP="004E0658">
      <w:pPr>
        <w:rPr>
          <w:lang w:val="en-US"/>
        </w:rPr>
      </w:pPr>
      <w:r w:rsidRPr="004E0658">
        <w:rPr>
          <w:lang w:val="en-US"/>
        </w:rPr>
        <w:t>Commonwealth water often supplements the environmental water delivered locally by State water holders and managers and their local delivery partners.</w:t>
      </w:r>
    </w:p>
    <w:p w:rsidR="004E0658" w:rsidRPr="004E0658" w:rsidRDefault="004E0658" w:rsidP="004E0658">
      <w:pPr>
        <w:rPr>
          <w:lang w:val="en-US"/>
        </w:rPr>
      </w:pPr>
      <w:r w:rsidRPr="004E0658">
        <w:rPr>
          <w:lang w:val="en-US"/>
        </w:rPr>
        <w:t xml:space="preserve">By restoring natural variability in flows, environmental water is reconnecting rivers and their wetlands and floodplains, providing food, habitat and breeding opportunities for native fish, </w:t>
      </w:r>
      <w:proofErr w:type="spellStart"/>
      <w:r w:rsidRPr="004E0658">
        <w:rPr>
          <w:lang w:val="en-US"/>
        </w:rPr>
        <w:t>waterbirds</w:t>
      </w:r>
      <w:proofErr w:type="spellEnd"/>
      <w:r w:rsidRPr="004E0658">
        <w:rPr>
          <w:lang w:val="en-US"/>
        </w:rPr>
        <w:t xml:space="preserve"> and vegetation. Environmental water is also reducing the risk of damage to the environment caused by poor water quality and salinity.</w:t>
      </w:r>
    </w:p>
    <w:p w:rsidR="004E0658" w:rsidRPr="004E0658" w:rsidRDefault="004E0658" w:rsidP="004E0658">
      <w:pPr>
        <w:rPr>
          <w:lang w:val="en-US"/>
        </w:rPr>
      </w:pPr>
      <w:r w:rsidRPr="004E0658">
        <w:rPr>
          <w:lang w:val="en-US"/>
        </w:rPr>
        <w:t xml:space="preserve">Commonwealth environmental water contributed to eight of the ten priority outcomes set out in the Basin annual environmental watering priorities, launched by the Murray-Darling Basin Authority in 2013–14. </w:t>
      </w:r>
    </w:p>
    <w:p w:rsidR="003D6104" w:rsidRPr="004E0658" w:rsidRDefault="004E0658" w:rsidP="004E0658">
      <w:pPr>
        <w:rPr>
          <w:lang w:val="en-US"/>
        </w:rPr>
      </w:pPr>
      <w:r w:rsidRPr="004E0658">
        <w:rPr>
          <w:lang w:val="en-US"/>
        </w:rPr>
        <w:t xml:space="preserve">Below is a summary of the latest outcomes from monitoring and evaluation activity that has occurred during 2013–14 in five river systems: Lower Murray, </w:t>
      </w:r>
      <w:proofErr w:type="spellStart"/>
      <w:r w:rsidRPr="004E0658">
        <w:rPr>
          <w:lang w:val="en-US"/>
        </w:rPr>
        <w:t>Murrumbidgee</w:t>
      </w:r>
      <w:proofErr w:type="spellEnd"/>
      <w:r w:rsidRPr="004E0658">
        <w:rPr>
          <w:lang w:val="en-US"/>
        </w:rPr>
        <w:t xml:space="preserve">, </w:t>
      </w:r>
      <w:proofErr w:type="spellStart"/>
      <w:r w:rsidRPr="004E0658">
        <w:rPr>
          <w:lang w:val="en-US"/>
        </w:rPr>
        <w:t>Goulburn</w:t>
      </w:r>
      <w:proofErr w:type="spellEnd"/>
      <w:r w:rsidRPr="004E0658">
        <w:rPr>
          <w:lang w:val="en-US"/>
        </w:rPr>
        <w:t>-Broken, Edward-</w:t>
      </w:r>
      <w:proofErr w:type="spellStart"/>
      <w:r w:rsidRPr="004E0658">
        <w:rPr>
          <w:lang w:val="en-US"/>
        </w:rPr>
        <w:t>Wakool</w:t>
      </w:r>
      <w:proofErr w:type="spellEnd"/>
      <w:r w:rsidRPr="004E0658">
        <w:rPr>
          <w:lang w:val="en-US"/>
        </w:rPr>
        <w:t xml:space="preserve"> and the Gwydir. These locations complement the monitoring undertaken by the Murray-Darling Basin Authority, State water holders and managers, and their local delivery partners. Full reports on all monitoring activity are avail</w:t>
      </w:r>
      <w:r>
        <w:rPr>
          <w:lang w:val="en-US"/>
        </w:rPr>
        <w:t xml:space="preserve">able each year on our web site </w:t>
      </w:r>
      <w:r w:rsidRPr="004E0658">
        <w:rPr>
          <w:lang w:val="en-US"/>
        </w:rPr>
        <w:t>www.environment.gov.au/water/cewo</w:t>
      </w:r>
    </w:p>
    <w:p w:rsidR="00F158FD" w:rsidRDefault="00F158FD" w:rsidP="00D33FB8">
      <w:pPr>
        <w:pStyle w:val="CoverIntroductionText"/>
      </w:pPr>
      <w:r>
        <w:rPr>
          <w:noProof/>
          <w:lang w:eastAsia="en-AU"/>
        </w:rPr>
        <w:lastRenderedPageBreak/>
        <w:drawing>
          <wp:inline distT="0" distB="0" distL="0" distR="0">
            <wp:extent cx="6479540" cy="7321550"/>
            <wp:effectExtent l="0" t="0" r="0" b="0"/>
            <wp:docPr id="2" name="Picture 2" descr="Map showing Abundant native fish, birds, frogs and habitat&#10;are signs of healthy rivers and wetlands and a productiv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79540" cy="7321550"/>
                    </a:xfrm>
                    <a:prstGeom prst="rect">
                      <a:avLst/>
                    </a:prstGeom>
                  </pic:spPr>
                </pic:pic>
              </a:graphicData>
            </a:graphic>
          </wp:inline>
        </w:drawing>
      </w:r>
    </w:p>
    <w:p w:rsidR="004E0658" w:rsidRDefault="004E0658">
      <w:pPr>
        <w:rPr>
          <w:b/>
          <w:bCs/>
          <w:szCs w:val="18"/>
          <w:lang w:val="en-US"/>
        </w:rPr>
      </w:pPr>
      <w:r>
        <w:rPr>
          <w:lang w:val="en-US"/>
        </w:rPr>
        <w:br w:type="page"/>
      </w:r>
    </w:p>
    <w:p w:rsidR="004E0658" w:rsidRPr="004E0658" w:rsidRDefault="004E0658" w:rsidP="004E0658">
      <w:pPr>
        <w:pStyle w:val="Caption"/>
        <w:rPr>
          <w:lang w:val="en-US"/>
        </w:rPr>
      </w:pPr>
      <w:r>
        <w:lastRenderedPageBreak/>
        <w:t xml:space="preserve">Figure </w:t>
      </w:r>
      <w:r w:rsidR="00DA5C1D">
        <w:fldChar w:fldCharType="begin"/>
      </w:r>
      <w:r w:rsidR="00EC6C34">
        <w:instrText xml:space="preserve"> SEQ Figure \* ARABIC </w:instrText>
      </w:r>
      <w:r w:rsidR="00DA5C1D">
        <w:fldChar w:fldCharType="separate"/>
      </w:r>
      <w:r>
        <w:rPr>
          <w:noProof/>
        </w:rPr>
        <w:t>1</w:t>
      </w:r>
      <w:r w:rsidR="00DA5C1D">
        <w:rPr>
          <w:noProof/>
        </w:rPr>
        <w:fldChar w:fldCharType="end"/>
      </w:r>
      <w:r>
        <w:t xml:space="preserve">: </w:t>
      </w:r>
      <w:r w:rsidRPr="004E0658">
        <w:rPr>
          <w:lang w:val="en-US"/>
        </w:rPr>
        <w:t>Coordinated flows to Lower Murray</w:t>
      </w:r>
    </w:p>
    <w:p w:rsidR="00F158FD" w:rsidRDefault="00F158FD" w:rsidP="00D33FB8">
      <w:pPr>
        <w:pStyle w:val="CoverIntroductionText"/>
      </w:pPr>
      <w:r>
        <w:rPr>
          <w:noProof/>
          <w:lang w:eastAsia="en-AU"/>
        </w:rPr>
        <w:drawing>
          <wp:inline distT="0" distB="0" distL="0" distR="0">
            <wp:extent cx="6479540" cy="2308860"/>
            <wp:effectExtent l="0" t="0" r="0" b="0"/>
            <wp:docPr id="3" name="Picture 3" descr="Figure 1: Coordinated flows to Lower Mu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79540" cy="2308860"/>
                    </a:xfrm>
                    <a:prstGeom prst="rect">
                      <a:avLst/>
                    </a:prstGeom>
                  </pic:spPr>
                </pic:pic>
              </a:graphicData>
            </a:graphic>
          </wp:inline>
        </w:drawing>
      </w:r>
    </w:p>
    <w:p w:rsidR="004E0658" w:rsidRPr="004E0658" w:rsidRDefault="004E0658" w:rsidP="0096160B">
      <w:pPr>
        <w:pStyle w:val="CoverIntroductionText"/>
        <w:rPr>
          <w:lang w:val="en-US"/>
        </w:rPr>
      </w:pPr>
      <w:r w:rsidRPr="004E0658">
        <w:rPr>
          <w:lang w:val="en-US"/>
        </w:rPr>
        <w:t>The Commonwealth Environmental Water Holder may deliver water to key assets within the Basin over the course of the watering year, carry it over for use in future years or trade. In 2013–14, the Water Holder delivered 982 </w:t>
      </w:r>
      <w:proofErr w:type="spellStart"/>
      <w:r w:rsidRPr="004E0658">
        <w:rPr>
          <w:lang w:val="en-US"/>
        </w:rPr>
        <w:t>gigalitres</w:t>
      </w:r>
      <w:proofErr w:type="spellEnd"/>
      <w:r w:rsidRPr="004E0658">
        <w:rPr>
          <w:lang w:val="en-US"/>
        </w:rPr>
        <w:t xml:space="preserve"> to catchments throughout the Basin.</w:t>
      </w:r>
    </w:p>
    <w:p w:rsidR="004E0658" w:rsidRPr="004E0658" w:rsidRDefault="004E0658" w:rsidP="004E0658">
      <w:pPr>
        <w:pStyle w:val="Heading2"/>
        <w:rPr>
          <w:lang w:val="en-US"/>
        </w:rPr>
      </w:pPr>
      <w:r w:rsidRPr="004E0658">
        <w:rPr>
          <w:lang w:val="en-US"/>
        </w:rPr>
        <w:t>Summary of watering actions 2013–14</w:t>
      </w:r>
    </w:p>
    <w:tbl>
      <w:tblPr>
        <w:tblStyle w:val="TableGrid"/>
        <w:tblW w:w="5000" w:type="pct"/>
        <w:tblLook w:val="0620"/>
      </w:tblPr>
      <w:tblGrid>
        <w:gridCol w:w="6075"/>
        <w:gridCol w:w="4135"/>
      </w:tblGrid>
      <w:tr w:rsidR="004E0658" w:rsidRPr="004E0658" w:rsidTr="0096160B">
        <w:trPr>
          <w:cnfStyle w:val="100000000000"/>
          <w:trHeight w:val="397"/>
        </w:trPr>
        <w:tc>
          <w:tcPr>
            <w:tcW w:w="2975" w:type="pct"/>
          </w:tcPr>
          <w:p w:rsidR="004E0658" w:rsidRPr="004E0658" w:rsidRDefault="004E0658" w:rsidP="004E0658">
            <w:pPr>
              <w:rPr>
                <w:lang w:val="en-US"/>
              </w:rPr>
            </w:pPr>
            <w:r w:rsidRPr="004E0658">
              <w:rPr>
                <w:lang w:val="en-US"/>
              </w:rPr>
              <w:t>Catchment</w:t>
            </w:r>
          </w:p>
        </w:tc>
        <w:tc>
          <w:tcPr>
            <w:tcW w:w="2025" w:type="pct"/>
          </w:tcPr>
          <w:p w:rsidR="004E0658" w:rsidRPr="004E0658" w:rsidRDefault="004E0658" w:rsidP="004E0658">
            <w:pPr>
              <w:rPr>
                <w:lang w:val="en-US"/>
              </w:rPr>
            </w:pPr>
            <w:r w:rsidRPr="004E0658">
              <w:rPr>
                <w:lang w:val="en-US"/>
              </w:rPr>
              <w:t xml:space="preserve">Commonwealth </w:t>
            </w:r>
            <w:r w:rsidRPr="004E0658">
              <w:rPr>
                <w:lang w:val="en-US"/>
              </w:rPr>
              <w:br/>
              <w:t>Water delivered (GL)</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Murray</w:t>
            </w:r>
          </w:p>
        </w:tc>
        <w:tc>
          <w:tcPr>
            <w:tcW w:w="2025" w:type="pct"/>
          </w:tcPr>
          <w:p w:rsidR="004E0658" w:rsidRPr="004E0658" w:rsidRDefault="004E0658" w:rsidP="004E0658">
            <w:pPr>
              <w:rPr>
                <w:lang w:val="en-US"/>
              </w:rPr>
            </w:pPr>
            <w:r w:rsidRPr="004E0658">
              <w:rPr>
                <w:lang w:val="en-US"/>
              </w:rPr>
              <w:t>412</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Lower Darling</w:t>
            </w:r>
          </w:p>
        </w:tc>
        <w:tc>
          <w:tcPr>
            <w:tcW w:w="2025" w:type="pct"/>
          </w:tcPr>
          <w:p w:rsidR="004E0658" w:rsidRPr="004E0658" w:rsidRDefault="004E0658" w:rsidP="004E0658">
            <w:pPr>
              <w:rPr>
                <w:lang w:val="en-US"/>
              </w:rPr>
            </w:pPr>
            <w:r w:rsidRPr="004E0658">
              <w:rPr>
                <w:lang w:val="en-US"/>
              </w:rPr>
              <w:t>47</w:t>
            </w:r>
          </w:p>
        </w:tc>
      </w:tr>
      <w:tr w:rsidR="004E0658" w:rsidRPr="004E0658" w:rsidTr="0096160B">
        <w:trPr>
          <w:trHeight w:val="397"/>
        </w:trPr>
        <w:tc>
          <w:tcPr>
            <w:tcW w:w="2975" w:type="pct"/>
          </w:tcPr>
          <w:p w:rsidR="004E0658" w:rsidRPr="004E0658" w:rsidRDefault="004E0658" w:rsidP="004E0658">
            <w:pPr>
              <w:rPr>
                <w:lang w:val="en-US"/>
              </w:rPr>
            </w:pPr>
            <w:proofErr w:type="spellStart"/>
            <w:r w:rsidRPr="004E0658">
              <w:rPr>
                <w:lang w:val="en-US"/>
              </w:rPr>
              <w:t>Loddon</w:t>
            </w:r>
            <w:proofErr w:type="spellEnd"/>
          </w:p>
        </w:tc>
        <w:tc>
          <w:tcPr>
            <w:tcW w:w="2025" w:type="pct"/>
          </w:tcPr>
          <w:p w:rsidR="004E0658" w:rsidRPr="004E0658" w:rsidRDefault="004E0658" w:rsidP="004E0658">
            <w:pPr>
              <w:rPr>
                <w:lang w:val="en-US"/>
              </w:rPr>
            </w:pPr>
            <w:r w:rsidRPr="004E0658">
              <w:rPr>
                <w:lang w:val="en-US"/>
              </w:rPr>
              <w:t>3</w:t>
            </w:r>
          </w:p>
        </w:tc>
      </w:tr>
      <w:tr w:rsidR="004E0658" w:rsidRPr="004E0658" w:rsidTr="0096160B">
        <w:trPr>
          <w:trHeight w:val="397"/>
        </w:trPr>
        <w:tc>
          <w:tcPr>
            <w:tcW w:w="2975" w:type="pct"/>
          </w:tcPr>
          <w:p w:rsidR="004E0658" w:rsidRPr="004E0658" w:rsidRDefault="004E0658" w:rsidP="004E0658">
            <w:pPr>
              <w:rPr>
                <w:lang w:val="en-US"/>
              </w:rPr>
            </w:pPr>
            <w:proofErr w:type="spellStart"/>
            <w:r w:rsidRPr="004E0658">
              <w:rPr>
                <w:lang w:val="en-US"/>
              </w:rPr>
              <w:t>Campaspe</w:t>
            </w:r>
            <w:proofErr w:type="spellEnd"/>
          </w:p>
        </w:tc>
        <w:tc>
          <w:tcPr>
            <w:tcW w:w="2025" w:type="pct"/>
          </w:tcPr>
          <w:p w:rsidR="004E0658" w:rsidRPr="004E0658" w:rsidRDefault="004E0658" w:rsidP="004E0658">
            <w:pPr>
              <w:rPr>
                <w:lang w:val="en-US"/>
              </w:rPr>
            </w:pPr>
            <w:r w:rsidRPr="004E0658">
              <w:rPr>
                <w:lang w:val="en-US"/>
              </w:rPr>
              <w:t>7</w:t>
            </w:r>
          </w:p>
        </w:tc>
      </w:tr>
      <w:tr w:rsidR="004E0658" w:rsidRPr="004E0658" w:rsidTr="0096160B">
        <w:trPr>
          <w:trHeight w:val="397"/>
        </w:trPr>
        <w:tc>
          <w:tcPr>
            <w:tcW w:w="2975" w:type="pct"/>
          </w:tcPr>
          <w:p w:rsidR="004E0658" w:rsidRPr="004E0658" w:rsidRDefault="004E0658" w:rsidP="004E0658">
            <w:pPr>
              <w:rPr>
                <w:lang w:val="en-US"/>
              </w:rPr>
            </w:pPr>
            <w:proofErr w:type="spellStart"/>
            <w:r w:rsidRPr="004E0658">
              <w:rPr>
                <w:lang w:val="en-US"/>
              </w:rPr>
              <w:t>Goulburn</w:t>
            </w:r>
            <w:proofErr w:type="spellEnd"/>
          </w:p>
        </w:tc>
        <w:tc>
          <w:tcPr>
            <w:tcW w:w="2025" w:type="pct"/>
          </w:tcPr>
          <w:p w:rsidR="004E0658" w:rsidRPr="004E0658" w:rsidRDefault="004E0658" w:rsidP="004E0658">
            <w:pPr>
              <w:rPr>
                <w:lang w:val="en-US"/>
              </w:rPr>
            </w:pPr>
            <w:r w:rsidRPr="004E0658">
              <w:rPr>
                <w:lang w:val="en-US"/>
              </w:rPr>
              <w:t>215</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Lower Broken Creek</w:t>
            </w:r>
          </w:p>
        </w:tc>
        <w:tc>
          <w:tcPr>
            <w:tcW w:w="2025" w:type="pct"/>
          </w:tcPr>
          <w:p w:rsidR="004E0658" w:rsidRPr="004E0658" w:rsidRDefault="004E0658" w:rsidP="004E0658">
            <w:pPr>
              <w:rPr>
                <w:lang w:val="en-US"/>
              </w:rPr>
            </w:pPr>
            <w:r w:rsidRPr="004E0658">
              <w:rPr>
                <w:lang w:val="en-US"/>
              </w:rPr>
              <w:t>39</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Upper Broken Creek</w:t>
            </w:r>
          </w:p>
        </w:tc>
        <w:tc>
          <w:tcPr>
            <w:tcW w:w="2025" w:type="pct"/>
          </w:tcPr>
          <w:p w:rsidR="004E0658" w:rsidRPr="004E0658" w:rsidRDefault="004E0658" w:rsidP="004E0658">
            <w:pPr>
              <w:rPr>
                <w:lang w:val="en-US"/>
              </w:rPr>
            </w:pPr>
            <w:r w:rsidRPr="004E0658">
              <w:rPr>
                <w:lang w:val="en-US"/>
              </w:rPr>
              <w:t>&lt;1</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Ovens River</w:t>
            </w:r>
          </w:p>
        </w:tc>
        <w:tc>
          <w:tcPr>
            <w:tcW w:w="2025" w:type="pct"/>
          </w:tcPr>
          <w:p w:rsidR="004E0658" w:rsidRPr="004E0658" w:rsidRDefault="004E0658" w:rsidP="004E0658">
            <w:pPr>
              <w:rPr>
                <w:lang w:val="en-US"/>
              </w:rPr>
            </w:pPr>
            <w:r w:rsidRPr="004E0658">
              <w:rPr>
                <w:lang w:val="en-US"/>
              </w:rPr>
              <w:t>&lt;1</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Edward–</w:t>
            </w:r>
            <w:proofErr w:type="spellStart"/>
            <w:r w:rsidRPr="004E0658">
              <w:rPr>
                <w:lang w:val="en-US"/>
              </w:rPr>
              <w:t>Wakool</w:t>
            </w:r>
            <w:proofErr w:type="spellEnd"/>
          </w:p>
        </w:tc>
        <w:tc>
          <w:tcPr>
            <w:tcW w:w="2025" w:type="pct"/>
          </w:tcPr>
          <w:p w:rsidR="004E0658" w:rsidRPr="004E0658" w:rsidRDefault="004E0658" w:rsidP="004E0658">
            <w:pPr>
              <w:rPr>
                <w:lang w:val="en-US"/>
              </w:rPr>
            </w:pPr>
            <w:r w:rsidRPr="004E0658">
              <w:rPr>
                <w:lang w:val="en-US"/>
              </w:rPr>
              <w:t>17</w:t>
            </w:r>
          </w:p>
        </w:tc>
      </w:tr>
      <w:tr w:rsidR="004E0658" w:rsidRPr="004E0658" w:rsidTr="0096160B">
        <w:trPr>
          <w:trHeight w:val="397"/>
        </w:trPr>
        <w:tc>
          <w:tcPr>
            <w:tcW w:w="2975" w:type="pct"/>
          </w:tcPr>
          <w:p w:rsidR="004E0658" w:rsidRPr="004E0658" w:rsidRDefault="004E0658" w:rsidP="004E0658">
            <w:pPr>
              <w:rPr>
                <w:lang w:val="en-US"/>
              </w:rPr>
            </w:pPr>
            <w:proofErr w:type="spellStart"/>
            <w:r w:rsidRPr="004E0658">
              <w:rPr>
                <w:lang w:val="en-US"/>
              </w:rPr>
              <w:t>Murrumbidgee</w:t>
            </w:r>
            <w:proofErr w:type="spellEnd"/>
          </w:p>
        </w:tc>
        <w:tc>
          <w:tcPr>
            <w:tcW w:w="2025" w:type="pct"/>
          </w:tcPr>
          <w:p w:rsidR="004E0658" w:rsidRPr="004E0658" w:rsidRDefault="004E0658" w:rsidP="004E0658">
            <w:pPr>
              <w:rPr>
                <w:lang w:val="en-US"/>
              </w:rPr>
            </w:pPr>
            <w:r w:rsidRPr="004E0658">
              <w:rPr>
                <w:lang w:val="en-US"/>
              </w:rPr>
              <w:t>137</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Lachlan</w:t>
            </w:r>
          </w:p>
        </w:tc>
        <w:tc>
          <w:tcPr>
            <w:tcW w:w="2025" w:type="pct"/>
          </w:tcPr>
          <w:p w:rsidR="004E0658" w:rsidRPr="004E0658" w:rsidRDefault="004E0658" w:rsidP="004E0658">
            <w:pPr>
              <w:rPr>
                <w:lang w:val="en-US"/>
              </w:rPr>
            </w:pPr>
            <w:r w:rsidRPr="004E0658">
              <w:rPr>
                <w:lang w:val="en-US"/>
              </w:rPr>
              <w:t>23</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Macquarie</w:t>
            </w:r>
          </w:p>
        </w:tc>
        <w:tc>
          <w:tcPr>
            <w:tcW w:w="2025" w:type="pct"/>
          </w:tcPr>
          <w:p w:rsidR="004E0658" w:rsidRPr="004E0658" w:rsidRDefault="004E0658" w:rsidP="004E0658">
            <w:pPr>
              <w:rPr>
                <w:lang w:val="en-US"/>
              </w:rPr>
            </w:pPr>
            <w:r w:rsidRPr="004E0658">
              <w:rPr>
                <w:lang w:val="en-US"/>
              </w:rPr>
              <w:t>10</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Gwydir</w:t>
            </w:r>
          </w:p>
        </w:tc>
        <w:tc>
          <w:tcPr>
            <w:tcW w:w="2025" w:type="pct"/>
          </w:tcPr>
          <w:p w:rsidR="004E0658" w:rsidRPr="004E0658" w:rsidRDefault="004E0658" w:rsidP="004E0658">
            <w:pPr>
              <w:rPr>
                <w:lang w:val="en-US"/>
              </w:rPr>
            </w:pPr>
            <w:r w:rsidRPr="004E0658">
              <w:rPr>
                <w:lang w:val="en-US"/>
              </w:rPr>
              <w:t>32</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Border Rivers Regulated</w:t>
            </w:r>
          </w:p>
        </w:tc>
        <w:tc>
          <w:tcPr>
            <w:tcW w:w="2025" w:type="pct"/>
          </w:tcPr>
          <w:p w:rsidR="004E0658" w:rsidRPr="004E0658" w:rsidRDefault="004E0658" w:rsidP="004E0658">
            <w:pPr>
              <w:rPr>
                <w:lang w:val="en-US"/>
              </w:rPr>
            </w:pPr>
            <w:r w:rsidRPr="004E0658">
              <w:rPr>
                <w:lang w:val="en-US"/>
              </w:rPr>
              <w:t>4</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Border Rivers Unregulated (Macintyre)</w:t>
            </w:r>
          </w:p>
        </w:tc>
        <w:tc>
          <w:tcPr>
            <w:tcW w:w="2025" w:type="pct"/>
          </w:tcPr>
          <w:p w:rsidR="004E0658" w:rsidRPr="004E0658" w:rsidRDefault="004E0658" w:rsidP="004E0658">
            <w:pPr>
              <w:rPr>
                <w:lang w:val="en-US"/>
              </w:rPr>
            </w:pPr>
            <w:r w:rsidRPr="004E0658">
              <w:rPr>
                <w:lang w:val="en-US"/>
              </w:rPr>
              <w:t>&lt;1</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Moonie</w:t>
            </w:r>
          </w:p>
        </w:tc>
        <w:tc>
          <w:tcPr>
            <w:tcW w:w="2025" w:type="pct"/>
          </w:tcPr>
          <w:p w:rsidR="004E0658" w:rsidRPr="004E0658" w:rsidRDefault="004E0658" w:rsidP="004E0658">
            <w:pPr>
              <w:rPr>
                <w:lang w:val="en-US"/>
              </w:rPr>
            </w:pPr>
            <w:r w:rsidRPr="004E0658">
              <w:rPr>
                <w:lang w:val="en-US"/>
              </w:rPr>
              <w:t>1</w:t>
            </w:r>
          </w:p>
        </w:tc>
      </w:tr>
      <w:tr w:rsidR="004E0658" w:rsidRPr="004E0658" w:rsidTr="0096160B">
        <w:trPr>
          <w:trHeight w:val="397"/>
        </w:trPr>
        <w:tc>
          <w:tcPr>
            <w:tcW w:w="2975" w:type="pct"/>
          </w:tcPr>
          <w:p w:rsidR="004E0658" w:rsidRPr="004E0658" w:rsidRDefault="004E0658" w:rsidP="004E0658">
            <w:pPr>
              <w:rPr>
                <w:lang w:val="en-US"/>
              </w:rPr>
            </w:pPr>
            <w:proofErr w:type="spellStart"/>
            <w:r w:rsidRPr="004E0658">
              <w:rPr>
                <w:lang w:val="en-US"/>
              </w:rPr>
              <w:t>Condamine–Balonne</w:t>
            </w:r>
            <w:proofErr w:type="spellEnd"/>
            <w:r w:rsidRPr="004E0658">
              <w:rPr>
                <w:lang w:val="en-US"/>
              </w:rPr>
              <w:t xml:space="preserve"> </w:t>
            </w:r>
            <w:r w:rsidRPr="004E0658">
              <w:rPr>
                <w:lang w:val="en-US"/>
              </w:rPr>
              <w:br/>
              <w:t xml:space="preserve">(Lower </w:t>
            </w:r>
            <w:proofErr w:type="spellStart"/>
            <w:r w:rsidRPr="004E0658">
              <w:rPr>
                <w:lang w:val="en-US"/>
              </w:rPr>
              <w:t>Balonne</w:t>
            </w:r>
            <w:proofErr w:type="spellEnd"/>
            <w:r w:rsidRPr="004E0658">
              <w:rPr>
                <w:lang w:val="en-US"/>
              </w:rPr>
              <w:t>)</w:t>
            </w:r>
          </w:p>
        </w:tc>
        <w:tc>
          <w:tcPr>
            <w:tcW w:w="2025" w:type="pct"/>
          </w:tcPr>
          <w:p w:rsidR="004E0658" w:rsidRPr="004E0658" w:rsidRDefault="004E0658" w:rsidP="004E0658">
            <w:pPr>
              <w:rPr>
                <w:lang w:val="en-US"/>
              </w:rPr>
            </w:pPr>
            <w:r w:rsidRPr="004E0658">
              <w:rPr>
                <w:lang w:val="en-US"/>
              </w:rPr>
              <w:t>22</w:t>
            </w:r>
          </w:p>
        </w:tc>
      </w:tr>
      <w:tr w:rsidR="004E0658" w:rsidRPr="004E0658" w:rsidTr="0096160B">
        <w:trPr>
          <w:trHeight w:val="397"/>
        </w:trPr>
        <w:tc>
          <w:tcPr>
            <w:tcW w:w="2975" w:type="pct"/>
          </w:tcPr>
          <w:p w:rsidR="004E0658" w:rsidRPr="004E0658" w:rsidRDefault="004E0658" w:rsidP="004E0658">
            <w:pPr>
              <w:rPr>
                <w:lang w:val="en-US"/>
              </w:rPr>
            </w:pPr>
            <w:proofErr w:type="spellStart"/>
            <w:r w:rsidRPr="004E0658">
              <w:rPr>
                <w:lang w:val="en-US"/>
              </w:rPr>
              <w:t>Barwon</w:t>
            </w:r>
            <w:proofErr w:type="spellEnd"/>
            <w:r w:rsidRPr="004E0658">
              <w:rPr>
                <w:lang w:val="en-US"/>
              </w:rPr>
              <w:t>–Darling (</w:t>
            </w:r>
            <w:proofErr w:type="spellStart"/>
            <w:r w:rsidRPr="004E0658">
              <w:rPr>
                <w:lang w:val="en-US"/>
              </w:rPr>
              <w:t>Toorale</w:t>
            </w:r>
            <w:proofErr w:type="spellEnd"/>
            <w:r w:rsidRPr="004E0658">
              <w:rPr>
                <w:lang w:val="en-US"/>
              </w:rPr>
              <w:t>)</w:t>
            </w:r>
          </w:p>
        </w:tc>
        <w:tc>
          <w:tcPr>
            <w:tcW w:w="2025" w:type="pct"/>
          </w:tcPr>
          <w:p w:rsidR="004E0658" w:rsidRPr="004E0658" w:rsidRDefault="004E0658" w:rsidP="004E0658">
            <w:pPr>
              <w:rPr>
                <w:lang w:val="en-US"/>
              </w:rPr>
            </w:pPr>
            <w:r w:rsidRPr="004E0658">
              <w:rPr>
                <w:lang w:val="en-US"/>
              </w:rPr>
              <w:t>13</w:t>
            </w:r>
          </w:p>
        </w:tc>
      </w:tr>
      <w:tr w:rsidR="004E0658" w:rsidRPr="004E0658" w:rsidTr="0096160B">
        <w:trPr>
          <w:trHeight w:val="397"/>
        </w:trPr>
        <w:tc>
          <w:tcPr>
            <w:tcW w:w="2975" w:type="pct"/>
          </w:tcPr>
          <w:p w:rsidR="004E0658" w:rsidRPr="004E0658" w:rsidRDefault="004E0658" w:rsidP="004E0658">
            <w:pPr>
              <w:rPr>
                <w:lang w:val="en-US"/>
              </w:rPr>
            </w:pPr>
            <w:proofErr w:type="spellStart"/>
            <w:r w:rsidRPr="004E0658">
              <w:rPr>
                <w:lang w:val="en-US"/>
              </w:rPr>
              <w:t>Warrego</w:t>
            </w:r>
            <w:proofErr w:type="spellEnd"/>
          </w:p>
        </w:tc>
        <w:tc>
          <w:tcPr>
            <w:tcW w:w="2025" w:type="pct"/>
          </w:tcPr>
          <w:p w:rsidR="004E0658" w:rsidRPr="004E0658" w:rsidRDefault="004E0658" w:rsidP="004E0658">
            <w:pPr>
              <w:rPr>
                <w:lang w:val="en-US"/>
              </w:rPr>
            </w:pPr>
            <w:r w:rsidRPr="004E0658">
              <w:rPr>
                <w:lang w:val="en-US"/>
              </w:rPr>
              <w:t>&lt;1</w:t>
            </w:r>
          </w:p>
        </w:tc>
      </w:tr>
      <w:tr w:rsidR="004E0658" w:rsidRPr="004E0658" w:rsidTr="0096160B">
        <w:trPr>
          <w:trHeight w:val="397"/>
        </w:trPr>
        <w:tc>
          <w:tcPr>
            <w:tcW w:w="2975" w:type="pct"/>
          </w:tcPr>
          <w:p w:rsidR="004E0658" w:rsidRPr="004E0658" w:rsidRDefault="004E0658" w:rsidP="004E0658">
            <w:pPr>
              <w:rPr>
                <w:lang w:val="en-US"/>
              </w:rPr>
            </w:pPr>
            <w:r w:rsidRPr="004E0658">
              <w:rPr>
                <w:lang w:val="en-US"/>
              </w:rPr>
              <w:t>Total</w:t>
            </w:r>
          </w:p>
        </w:tc>
        <w:tc>
          <w:tcPr>
            <w:tcW w:w="2025" w:type="pct"/>
          </w:tcPr>
          <w:p w:rsidR="004E0658" w:rsidRPr="004E0658" w:rsidRDefault="004E0658" w:rsidP="004E0658">
            <w:pPr>
              <w:rPr>
                <w:lang w:val="en-US"/>
              </w:rPr>
            </w:pPr>
            <w:r w:rsidRPr="004E0658">
              <w:rPr>
                <w:lang w:val="en-US"/>
              </w:rPr>
              <w:t>982</w:t>
            </w:r>
          </w:p>
        </w:tc>
      </w:tr>
    </w:tbl>
    <w:p w:rsidR="004E0658" w:rsidRPr="004E0658" w:rsidRDefault="004E0658" w:rsidP="004E0658">
      <w:pPr>
        <w:pStyle w:val="ListNumber"/>
        <w:rPr>
          <w:lang w:val="en-US"/>
        </w:rPr>
      </w:pPr>
      <w:r w:rsidRPr="004E0658">
        <w:rPr>
          <w:lang w:val="en-US"/>
        </w:rPr>
        <w:lastRenderedPageBreak/>
        <w:t>Coordinated flows to Lower Murray</w:t>
      </w:r>
    </w:p>
    <w:p w:rsidR="004E0658" w:rsidRPr="004E0658" w:rsidRDefault="004E0658" w:rsidP="004E0658">
      <w:pPr>
        <w:rPr>
          <w:lang w:val="en-US"/>
        </w:rPr>
      </w:pPr>
      <w:r w:rsidRPr="004E0658">
        <w:rPr>
          <w:lang w:val="en-US"/>
        </w:rPr>
        <w:t>Water use in the tributaries of the Southern Basin (</w:t>
      </w:r>
      <w:proofErr w:type="spellStart"/>
      <w:r w:rsidRPr="004E0658">
        <w:rPr>
          <w:lang w:val="en-US"/>
        </w:rPr>
        <w:t>Goulburn</w:t>
      </w:r>
      <w:proofErr w:type="spellEnd"/>
      <w:r w:rsidRPr="004E0658">
        <w:rPr>
          <w:lang w:val="en-US"/>
        </w:rPr>
        <w:t xml:space="preserve">, Lower Broken and </w:t>
      </w:r>
      <w:proofErr w:type="spellStart"/>
      <w:r w:rsidRPr="004E0658">
        <w:rPr>
          <w:lang w:val="en-US"/>
        </w:rPr>
        <w:t>Campaspe</w:t>
      </w:r>
      <w:proofErr w:type="spellEnd"/>
      <w:r w:rsidRPr="004E0658">
        <w:rPr>
          <w:lang w:val="en-US"/>
        </w:rPr>
        <w:t xml:space="preserve">) contribute to the multi-site watering strategy for the Murray, including the Lower Lakes and Coorong. In addition to Commonwealth water, flows from The Living Murray and the Victorian Environmental Water Holder contributed to environmental watering in the Southern Connected Basin (see Figure 1). These multi-site and multi-catchment watering events achieve outcomes locally and regionally — where the water is delivered and all the way through to the end of the system. </w:t>
      </w:r>
    </w:p>
    <w:p w:rsidR="004E0658" w:rsidRPr="004E0658" w:rsidRDefault="004E0658" w:rsidP="004E0658">
      <w:pPr>
        <w:rPr>
          <w:lang w:val="en-US"/>
        </w:rPr>
      </w:pPr>
      <w:r w:rsidRPr="004E0658">
        <w:rPr>
          <w:lang w:val="en-US"/>
        </w:rPr>
        <w:t>System-wide flows contributed to environmental outcomes throughout the length of the Murray River system including hydrological connectivity and support for vital ecosystem processes such as large scale nutrient cycling, salt export and fish larvae dispersal.</w:t>
      </w:r>
    </w:p>
    <w:p w:rsidR="004E0658" w:rsidRPr="004E0658" w:rsidRDefault="004E0658" w:rsidP="004E0658">
      <w:pPr>
        <w:rPr>
          <w:lang w:val="en-US"/>
        </w:rPr>
      </w:pPr>
      <w:r w:rsidRPr="004E0658">
        <w:rPr>
          <w:lang w:val="en-US"/>
        </w:rPr>
        <w:t>100 per cent of the environmental flows delivered into the Coorong and Murray Mouth from November 2013 to June 2014 was Commonwealth water.</w:t>
      </w:r>
    </w:p>
    <w:p w:rsidR="004E0658" w:rsidRPr="004E0658" w:rsidRDefault="004E0658" w:rsidP="004E0658">
      <w:pPr>
        <w:rPr>
          <w:lang w:val="en-US"/>
        </w:rPr>
      </w:pPr>
      <w:r w:rsidRPr="004E0658">
        <w:rPr>
          <w:lang w:val="en-US"/>
        </w:rPr>
        <w:t>Water quality continues to improve with environmental water helping to export salt into the Southern Ocean through the Murray Mouth.</w:t>
      </w:r>
    </w:p>
    <w:p w:rsidR="004E0658" w:rsidRPr="004E0658" w:rsidRDefault="004E0658" w:rsidP="004E0658">
      <w:pPr>
        <w:pStyle w:val="ListNumber"/>
        <w:rPr>
          <w:lang w:val="en-US"/>
        </w:rPr>
      </w:pPr>
      <w:proofErr w:type="spellStart"/>
      <w:r w:rsidRPr="004E0658">
        <w:rPr>
          <w:lang w:val="en-US"/>
        </w:rPr>
        <w:t>Goulburn</w:t>
      </w:r>
      <w:proofErr w:type="spellEnd"/>
      <w:r w:rsidRPr="004E0658">
        <w:rPr>
          <w:lang w:val="en-US"/>
        </w:rPr>
        <w:t xml:space="preserve">-Broken </w:t>
      </w:r>
    </w:p>
    <w:p w:rsidR="004E0658" w:rsidRPr="004E0658" w:rsidRDefault="004E0658" w:rsidP="004E0658">
      <w:pPr>
        <w:rPr>
          <w:lang w:val="en-US"/>
        </w:rPr>
      </w:pPr>
      <w:r w:rsidRPr="004E0658">
        <w:rPr>
          <w:lang w:val="en-US"/>
        </w:rPr>
        <w:t xml:space="preserve">Provided opportunities for migration and reproduction of native fish in the lower </w:t>
      </w:r>
      <w:proofErr w:type="spellStart"/>
      <w:r w:rsidRPr="004E0658">
        <w:rPr>
          <w:lang w:val="en-US"/>
        </w:rPr>
        <w:t>Goulburn</w:t>
      </w:r>
      <w:proofErr w:type="spellEnd"/>
      <w:r w:rsidRPr="004E0658">
        <w:rPr>
          <w:lang w:val="en-US"/>
        </w:rPr>
        <w:t xml:space="preserve"> by reinstating a variable flow regime. 2014 saw the largest spawning of golden perch since 2010.</w:t>
      </w:r>
    </w:p>
    <w:p w:rsidR="004E0658" w:rsidRPr="004E0658" w:rsidRDefault="004E0658" w:rsidP="004E0658">
      <w:pPr>
        <w:rPr>
          <w:lang w:val="en-US"/>
        </w:rPr>
      </w:pPr>
      <w:r w:rsidRPr="004E0658">
        <w:rPr>
          <w:lang w:val="en-US"/>
        </w:rPr>
        <w:t>Improved habitat by generating new growth of native plant species that support riverbank </w:t>
      </w:r>
      <w:proofErr w:type="spellStart"/>
      <w:r w:rsidRPr="004E0658">
        <w:rPr>
          <w:lang w:val="en-US"/>
        </w:rPr>
        <w:t>stabilisation</w:t>
      </w:r>
      <w:proofErr w:type="spellEnd"/>
      <w:r w:rsidRPr="004E0658">
        <w:rPr>
          <w:lang w:val="en-US"/>
        </w:rPr>
        <w:t>.</w:t>
      </w:r>
    </w:p>
    <w:p w:rsidR="004E0658" w:rsidRPr="004E0658" w:rsidRDefault="004E0658" w:rsidP="004E0658">
      <w:pPr>
        <w:pStyle w:val="ListNumber"/>
        <w:rPr>
          <w:lang w:val="en-US"/>
        </w:rPr>
      </w:pPr>
      <w:r w:rsidRPr="004E0658">
        <w:rPr>
          <w:lang w:val="en-US"/>
        </w:rPr>
        <w:t>Edward-</w:t>
      </w:r>
      <w:proofErr w:type="spellStart"/>
      <w:r w:rsidRPr="004E0658">
        <w:rPr>
          <w:lang w:val="en-US"/>
        </w:rPr>
        <w:t>Wakool</w:t>
      </w:r>
      <w:proofErr w:type="spellEnd"/>
      <w:r w:rsidRPr="004E0658">
        <w:rPr>
          <w:lang w:val="en-US"/>
        </w:rPr>
        <w:t xml:space="preserve"> </w:t>
      </w:r>
    </w:p>
    <w:p w:rsidR="004E0658" w:rsidRPr="004E0658" w:rsidRDefault="004E0658" w:rsidP="004E0658">
      <w:pPr>
        <w:rPr>
          <w:lang w:val="en-US"/>
        </w:rPr>
      </w:pPr>
      <w:r w:rsidRPr="004E0658">
        <w:rPr>
          <w:lang w:val="en-US"/>
        </w:rPr>
        <w:t xml:space="preserve">Improved connectivity between rivers and creeks allowed fish movement and dispersal to and from the </w:t>
      </w:r>
      <w:proofErr w:type="spellStart"/>
      <w:r w:rsidRPr="004E0658">
        <w:rPr>
          <w:lang w:val="en-US"/>
        </w:rPr>
        <w:t>Wakool</w:t>
      </w:r>
      <w:proofErr w:type="spellEnd"/>
      <w:r w:rsidRPr="004E0658">
        <w:rPr>
          <w:lang w:val="en-US"/>
        </w:rPr>
        <w:t xml:space="preserve"> Reserve refuge pool and promoted population mixing and breeding. </w:t>
      </w:r>
    </w:p>
    <w:p w:rsidR="004E0658" w:rsidRPr="004E0658" w:rsidRDefault="004E0658" w:rsidP="004E0658">
      <w:pPr>
        <w:rPr>
          <w:lang w:val="en-US"/>
        </w:rPr>
      </w:pPr>
      <w:r w:rsidRPr="004E0658">
        <w:rPr>
          <w:lang w:val="en-US"/>
        </w:rPr>
        <w:t xml:space="preserve">There has been a general improvement in native fish populations including the vulnerable Murray cod, with flows helping to maintain habitat. </w:t>
      </w:r>
    </w:p>
    <w:p w:rsidR="004E0658" w:rsidRPr="004E0658" w:rsidRDefault="004E0658" w:rsidP="004E0658">
      <w:pPr>
        <w:rPr>
          <w:lang w:val="en-US"/>
        </w:rPr>
      </w:pPr>
      <w:r w:rsidRPr="004E0658">
        <w:rPr>
          <w:lang w:val="en-US"/>
        </w:rPr>
        <w:t xml:space="preserve">Enabled submerged aquatic vegetation to persist during watering in </w:t>
      </w:r>
      <w:proofErr w:type="spellStart"/>
      <w:r w:rsidRPr="004E0658">
        <w:rPr>
          <w:lang w:val="en-US"/>
        </w:rPr>
        <w:t>Yallakool</w:t>
      </w:r>
      <w:proofErr w:type="spellEnd"/>
      <w:r w:rsidRPr="004E0658">
        <w:rPr>
          <w:lang w:val="en-US"/>
        </w:rPr>
        <w:t xml:space="preserve"> Creek because of gradually receding flows, which is important habitat for invertebrates and fish.</w:t>
      </w:r>
    </w:p>
    <w:p w:rsidR="004E0658" w:rsidRPr="004E0658" w:rsidRDefault="004E0658" w:rsidP="004E0658">
      <w:pPr>
        <w:pStyle w:val="ListNumber"/>
        <w:rPr>
          <w:lang w:val="en-US"/>
        </w:rPr>
      </w:pPr>
      <w:proofErr w:type="spellStart"/>
      <w:r w:rsidRPr="004E0658">
        <w:rPr>
          <w:lang w:val="en-US"/>
        </w:rPr>
        <w:t>Murrumbidgee</w:t>
      </w:r>
      <w:proofErr w:type="spellEnd"/>
      <w:r w:rsidRPr="004E0658">
        <w:rPr>
          <w:lang w:val="en-US"/>
        </w:rPr>
        <w:t xml:space="preserve"> </w:t>
      </w:r>
    </w:p>
    <w:p w:rsidR="004E0658" w:rsidRPr="004E0658" w:rsidRDefault="004E0658" w:rsidP="004E0658">
      <w:pPr>
        <w:rPr>
          <w:lang w:val="en-US"/>
        </w:rPr>
      </w:pPr>
      <w:r w:rsidRPr="004E0658">
        <w:rPr>
          <w:lang w:val="en-US"/>
        </w:rPr>
        <w:t xml:space="preserve">Supported diverse food webs including algae and </w:t>
      </w:r>
      <w:proofErr w:type="spellStart"/>
      <w:r w:rsidRPr="004E0658">
        <w:rPr>
          <w:lang w:val="en-US"/>
        </w:rPr>
        <w:t>microinvertebrates</w:t>
      </w:r>
      <w:proofErr w:type="spellEnd"/>
      <w:r w:rsidRPr="004E0658">
        <w:rPr>
          <w:lang w:val="en-US"/>
        </w:rPr>
        <w:t xml:space="preserve"> for the benefit of fish and </w:t>
      </w:r>
      <w:proofErr w:type="spellStart"/>
      <w:r w:rsidRPr="004E0658">
        <w:rPr>
          <w:lang w:val="en-US"/>
        </w:rPr>
        <w:t>waterbirds</w:t>
      </w:r>
      <w:proofErr w:type="spellEnd"/>
      <w:r w:rsidRPr="004E0658">
        <w:rPr>
          <w:lang w:val="en-US"/>
        </w:rPr>
        <w:t xml:space="preserve"> native to the </w:t>
      </w:r>
      <w:proofErr w:type="spellStart"/>
      <w:r w:rsidRPr="004E0658">
        <w:rPr>
          <w:lang w:val="en-US"/>
        </w:rPr>
        <w:t>Lowbidgee</w:t>
      </w:r>
      <w:proofErr w:type="spellEnd"/>
      <w:r w:rsidRPr="004E0658">
        <w:rPr>
          <w:lang w:val="en-US"/>
        </w:rPr>
        <w:t> wetlands.</w:t>
      </w:r>
    </w:p>
    <w:p w:rsidR="004E0658" w:rsidRPr="004E0658" w:rsidRDefault="004E0658" w:rsidP="004E0658">
      <w:pPr>
        <w:rPr>
          <w:lang w:val="en-US"/>
        </w:rPr>
      </w:pPr>
      <w:r w:rsidRPr="004E0658">
        <w:rPr>
          <w:lang w:val="en-US"/>
        </w:rPr>
        <w:t>Improved fish reproduction and condition that led to an increased abundance of native species including bony herring, carp gudgeon and Murray cod.</w:t>
      </w:r>
    </w:p>
    <w:p w:rsidR="004E0658" w:rsidRPr="004E0658" w:rsidRDefault="004E0658" w:rsidP="004E0658">
      <w:pPr>
        <w:rPr>
          <w:lang w:val="en-US"/>
        </w:rPr>
      </w:pPr>
      <w:proofErr w:type="spellStart"/>
      <w:r w:rsidRPr="004E0658">
        <w:rPr>
          <w:lang w:val="en-US"/>
        </w:rPr>
        <w:t>Waterbird</w:t>
      </w:r>
      <w:proofErr w:type="spellEnd"/>
      <w:r w:rsidRPr="004E0658">
        <w:rPr>
          <w:lang w:val="en-US"/>
        </w:rPr>
        <w:t xml:space="preserve"> habitat benefited from water delivered to wetlands with 52 species — including threatened blue-billed and freckled ducks — observed across 49 survey sites.</w:t>
      </w:r>
    </w:p>
    <w:p w:rsidR="004E0658" w:rsidRPr="004E0658" w:rsidRDefault="004E0658" w:rsidP="004E0658">
      <w:pPr>
        <w:rPr>
          <w:lang w:val="en-US"/>
        </w:rPr>
      </w:pPr>
      <w:r w:rsidRPr="004E0658">
        <w:rPr>
          <w:lang w:val="en-US"/>
        </w:rPr>
        <w:t xml:space="preserve">Densities of </w:t>
      </w:r>
      <w:proofErr w:type="spellStart"/>
      <w:r w:rsidRPr="004E0658">
        <w:rPr>
          <w:lang w:val="en-US"/>
        </w:rPr>
        <w:t>microinvertebrates</w:t>
      </w:r>
      <w:proofErr w:type="spellEnd"/>
      <w:r w:rsidRPr="004E0658">
        <w:rPr>
          <w:lang w:val="en-US"/>
        </w:rPr>
        <w:t xml:space="preserve"> increased in wetlands across the </w:t>
      </w:r>
      <w:proofErr w:type="spellStart"/>
      <w:r w:rsidRPr="004E0658">
        <w:rPr>
          <w:lang w:val="en-US"/>
        </w:rPr>
        <w:t>Lowbidgee</w:t>
      </w:r>
      <w:proofErr w:type="spellEnd"/>
      <w:r w:rsidRPr="004E0658">
        <w:rPr>
          <w:lang w:val="en-US"/>
        </w:rPr>
        <w:t xml:space="preserve"> floodplain.</w:t>
      </w:r>
    </w:p>
    <w:p w:rsidR="004E0658" w:rsidRPr="004E0658" w:rsidRDefault="004E0658" w:rsidP="004E0658">
      <w:pPr>
        <w:rPr>
          <w:lang w:val="en-US"/>
        </w:rPr>
      </w:pPr>
      <w:r w:rsidRPr="004E0658">
        <w:rPr>
          <w:lang w:val="en-US"/>
        </w:rPr>
        <w:t>These are critical food sources for wetland fauna including native larval fish and filter feeding duck species.</w:t>
      </w:r>
    </w:p>
    <w:p w:rsidR="004E0658" w:rsidRPr="004E0658" w:rsidRDefault="004E0658" w:rsidP="004E0658">
      <w:pPr>
        <w:rPr>
          <w:lang w:val="en-US"/>
        </w:rPr>
      </w:pPr>
      <w:r w:rsidRPr="004E0658">
        <w:rPr>
          <w:lang w:val="en-US"/>
        </w:rPr>
        <w:t xml:space="preserve">Vulnerable southern bell frogs recorded at key sites in the </w:t>
      </w:r>
      <w:proofErr w:type="spellStart"/>
      <w:r w:rsidRPr="004E0658">
        <w:rPr>
          <w:lang w:val="en-US"/>
        </w:rPr>
        <w:t>Nimmie-Caira</w:t>
      </w:r>
      <w:proofErr w:type="spellEnd"/>
      <w:r w:rsidRPr="004E0658">
        <w:rPr>
          <w:lang w:val="en-US"/>
        </w:rPr>
        <w:t xml:space="preserve"> following environmental watering in winter and spring in 2013.</w:t>
      </w:r>
    </w:p>
    <w:p w:rsidR="004E0658" w:rsidRPr="004E0658" w:rsidRDefault="004E0658" w:rsidP="004E0658">
      <w:pPr>
        <w:pStyle w:val="ListNumber"/>
        <w:rPr>
          <w:lang w:val="en-US"/>
        </w:rPr>
      </w:pPr>
      <w:r w:rsidRPr="004E0658">
        <w:rPr>
          <w:lang w:val="en-US"/>
        </w:rPr>
        <w:t xml:space="preserve">Gwydir </w:t>
      </w:r>
    </w:p>
    <w:p w:rsidR="004E0658" w:rsidRPr="004E0658" w:rsidRDefault="004E0658" w:rsidP="004E0658">
      <w:pPr>
        <w:rPr>
          <w:lang w:val="en-US"/>
        </w:rPr>
      </w:pPr>
      <w:r w:rsidRPr="004E0658">
        <w:rPr>
          <w:lang w:val="en-US"/>
        </w:rPr>
        <w:t xml:space="preserve">Environmental water flow in the </w:t>
      </w:r>
      <w:proofErr w:type="spellStart"/>
      <w:r w:rsidRPr="004E0658">
        <w:rPr>
          <w:lang w:val="en-US"/>
        </w:rPr>
        <w:t>Mehi</w:t>
      </w:r>
      <w:proofErr w:type="spellEnd"/>
      <w:r w:rsidRPr="004E0658">
        <w:rPr>
          <w:lang w:val="en-US"/>
        </w:rPr>
        <w:t xml:space="preserve"> River and Carole Creek allowed full connection to the </w:t>
      </w:r>
      <w:proofErr w:type="spellStart"/>
      <w:r w:rsidRPr="004E0658">
        <w:rPr>
          <w:lang w:val="en-US"/>
        </w:rPr>
        <w:t>Barwon</w:t>
      </w:r>
      <w:proofErr w:type="spellEnd"/>
      <w:r w:rsidRPr="004E0658">
        <w:rPr>
          <w:lang w:val="en-US"/>
        </w:rPr>
        <w:t xml:space="preserve"> River. This resulted in increased levels of dissolved nutrients and carbon along </w:t>
      </w:r>
      <w:proofErr w:type="spellStart"/>
      <w:r w:rsidRPr="004E0658">
        <w:rPr>
          <w:lang w:val="en-US"/>
        </w:rPr>
        <w:t>Mehi</w:t>
      </w:r>
      <w:proofErr w:type="spellEnd"/>
      <w:r w:rsidRPr="004E0658">
        <w:rPr>
          <w:lang w:val="en-US"/>
        </w:rPr>
        <w:t xml:space="preserve"> River and Carole Creek, which stimulated the food chain for aquatic species including </w:t>
      </w:r>
      <w:proofErr w:type="spellStart"/>
      <w:r w:rsidRPr="004E0658">
        <w:rPr>
          <w:lang w:val="en-US"/>
        </w:rPr>
        <w:t>yabbies</w:t>
      </w:r>
      <w:proofErr w:type="spellEnd"/>
      <w:r w:rsidRPr="004E0658">
        <w:rPr>
          <w:lang w:val="en-US"/>
        </w:rPr>
        <w:t xml:space="preserve"> and Murray cod. The connection with the </w:t>
      </w:r>
      <w:proofErr w:type="spellStart"/>
      <w:r w:rsidRPr="004E0658">
        <w:rPr>
          <w:lang w:val="en-US"/>
        </w:rPr>
        <w:t>Barwon</w:t>
      </w:r>
      <w:proofErr w:type="spellEnd"/>
      <w:r w:rsidRPr="004E0658">
        <w:rPr>
          <w:lang w:val="en-US"/>
        </w:rPr>
        <w:t xml:space="preserve">-Darling also improved water quality in refuges and allowed fish passage between the two river systems. </w:t>
      </w:r>
    </w:p>
    <w:p w:rsidR="004E0658" w:rsidRPr="004E0658" w:rsidRDefault="004E0658" w:rsidP="004E0658">
      <w:pPr>
        <w:rPr>
          <w:lang w:val="en-US"/>
        </w:rPr>
      </w:pPr>
      <w:r w:rsidRPr="004E0658">
        <w:rPr>
          <w:lang w:val="en-US"/>
        </w:rPr>
        <w:t>Produced a clear vegetation response in the </w:t>
      </w:r>
      <w:proofErr w:type="spellStart"/>
      <w:r w:rsidRPr="004E0658">
        <w:rPr>
          <w:lang w:val="en-US"/>
        </w:rPr>
        <w:t>Mallowa</w:t>
      </w:r>
      <w:proofErr w:type="spellEnd"/>
      <w:r w:rsidRPr="004E0658">
        <w:rPr>
          <w:lang w:val="en-US"/>
        </w:rPr>
        <w:t xml:space="preserve"> Creek wetland with river </w:t>
      </w:r>
      <w:proofErr w:type="spellStart"/>
      <w:r w:rsidRPr="004E0658">
        <w:rPr>
          <w:lang w:val="en-US"/>
        </w:rPr>
        <w:t>cooba</w:t>
      </w:r>
      <w:proofErr w:type="spellEnd"/>
      <w:r w:rsidRPr="004E0658">
        <w:rPr>
          <w:lang w:val="en-US"/>
        </w:rPr>
        <w:t xml:space="preserve"> lignum and </w:t>
      </w:r>
      <w:proofErr w:type="spellStart"/>
      <w:r w:rsidRPr="004E0658">
        <w:rPr>
          <w:lang w:val="en-US"/>
        </w:rPr>
        <w:t>coolibah</w:t>
      </w:r>
      <w:proofErr w:type="spellEnd"/>
      <w:r w:rsidRPr="004E0658">
        <w:rPr>
          <w:lang w:val="en-US"/>
        </w:rPr>
        <w:t xml:space="preserve"> woodlands benefiting. There was also greater coverage of flat spike-sedge and common </w:t>
      </w:r>
      <w:proofErr w:type="spellStart"/>
      <w:r w:rsidRPr="004E0658">
        <w:rPr>
          <w:lang w:val="en-US"/>
        </w:rPr>
        <w:t>nardoo</w:t>
      </w:r>
      <w:proofErr w:type="spellEnd"/>
      <w:r w:rsidRPr="004E0658">
        <w:rPr>
          <w:lang w:val="en-US"/>
        </w:rPr>
        <w:t xml:space="preserve"> and other native plant species. This increased plant abundance strengthens the resilience of these communities to survive dry times and bounce back quickly when conditions improve.</w:t>
      </w:r>
    </w:p>
    <w:p w:rsidR="004E0658" w:rsidRPr="004E0658" w:rsidRDefault="004E0658" w:rsidP="004E0658">
      <w:pPr>
        <w:rPr>
          <w:lang w:val="en-US"/>
        </w:rPr>
      </w:pPr>
      <w:r w:rsidRPr="004E0658">
        <w:rPr>
          <w:lang w:val="en-US"/>
        </w:rPr>
        <w:t xml:space="preserve">Enabled breeding of spangled perch and bony bream in </w:t>
      </w:r>
      <w:proofErr w:type="spellStart"/>
      <w:r w:rsidRPr="004E0658">
        <w:rPr>
          <w:lang w:val="en-US"/>
        </w:rPr>
        <w:t>Mehi</w:t>
      </w:r>
      <w:proofErr w:type="spellEnd"/>
      <w:r w:rsidRPr="004E0658">
        <w:rPr>
          <w:lang w:val="en-US"/>
        </w:rPr>
        <w:t xml:space="preserve"> River and Carole Creek.</w:t>
      </w:r>
    </w:p>
    <w:p w:rsidR="00F158FD" w:rsidRDefault="004E0658" w:rsidP="004E0658">
      <w:r w:rsidRPr="004E0658">
        <w:rPr>
          <w:lang w:val="en-US"/>
        </w:rPr>
        <w:lastRenderedPageBreak/>
        <w:t xml:space="preserve">Frog breeding observed for four native species (salmon-striped frog, long-thumbed frog, broad-palmed frog and eastern sign-bearing </w:t>
      </w:r>
      <w:proofErr w:type="spellStart"/>
      <w:r w:rsidRPr="004E0658">
        <w:rPr>
          <w:lang w:val="en-US"/>
        </w:rPr>
        <w:t>froglet</w:t>
      </w:r>
      <w:proofErr w:type="spellEnd"/>
      <w:r w:rsidRPr="004E0658">
        <w:rPr>
          <w:lang w:val="en-US"/>
        </w:rPr>
        <w:t xml:space="preserve">) in the </w:t>
      </w:r>
      <w:proofErr w:type="spellStart"/>
      <w:r w:rsidRPr="004E0658">
        <w:rPr>
          <w:lang w:val="en-US"/>
        </w:rPr>
        <w:t>Mallowa</w:t>
      </w:r>
      <w:proofErr w:type="spellEnd"/>
      <w:r w:rsidRPr="004E0658">
        <w:rPr>
          <w:lang w:val="en-US"/>
        </w:rPr>
        <w:t xml:space="preserve"> Wetland.</w:t>
      </w:r>
    </w:p>
    <w:p w:rsidR="004E0658" w:rsidRDefault="004E0658" w:rsidP="00D33FB8">
      <w:pPr>
        <w:pStyle w:val="CoverIntroductionText"/>
      </w:pPr>
    </w:p>
    <w:p w:rsidR="00D33FB8" w:rsidRPr="00D33FB8" w:rsidRDefault="00D33FB8" w:rsidP="00D33FB8">
      <w:pPr>
        <w:pStyle w:val="CoverIntroductionText"/>
        <w:rPr>
          <w:lang w:val="en-US"/>
        </w:rPr>
      </w:pPr>
      <w:r w:rsidRPr="00D33FB8">
        <w:rPr>
          <w:lang w:val="en-US"/>
        </w:rPr>
        <w:t>The Commonwealth Environmental Water Holder acknowledges Australia’s traditional owners and respects their continued connection to water, land and community. We pay our respects to them and their cultures and to their elders both past and present.</w:t>
      </w:r>
    </w:p>
    <w:p w:rsidR="00D33FB8" w:rsidRPr="00D33FB8" w:rsidRDefault="00D33FB8" w:rsidP="00D33FB8">
      <w:pPr>
        <w:rPr>
          <w:lang w:val="en-US"/>
        </w:rPr>
      </w:pPr>
      <w:r w:rsidRPr="00D33FB8">
        <w:rPr>
          <w:lang w:val="en-US"/>
        </w:rPr>
        <w:t>© Commonwealth of Australia, 2015</w:t>
      </w:r>
    </w:p>
    <w:p w:rsidR="00D33FB8" w:rsidRPr="00D33FB8" w:rsidRDefault="00D33FB8" w:rsidP="00D33FB8">
      <w:pPr>
        <w:rPr>
          <w:lang w:val="en-US"/>
        </w:rPr>
      </w:pPr>
      <w:r w:rsidRPr="00D33FB8">
        <w:rPr>
          <w:lang w:val="en-US"/>
        </w:rPr>
        <w:t>For more information about Commonwealth environmental water, please contact us at:</w:t>
      </w:r>
    </w:p>
    <w:p w:rsidR="00D33FB8" w:rsidRPr="00D33FB8" w:rsidRDefault="00D33FB8" w:rsidP="00D50971">
      <w:pPr>
        <w:rPr>
          <w:lang w:val="en-US"/>
        </w:rPr>
      </w:pPr>
      <w:r w:rsidRPr="00D33FB8">
        <w:rPr>
          <w:lang w:val="en-US"/>
        </w:rPr>
        <w:t>T: +61 2 6274 1111 or 1800 218 478</w:t>
      </w:r>
      <w:r w:rsidRPr="00D33FB8">
        <w:rPr>
          <w:lang w:val="en-US"/>
        </w:rPr>
        <w:br/>
        <w:t>E: ewater@environment.gov.au</w:t>
      </w:r>
      <w:r w:rsidRPr="00D33FB8">
        <w:rPr>
          <w:lang w:val="en-US"/>
        </w:rPr>
        <w:br/>
        <w:t xml:space="preserve">W: www.environment.gov.au/water/cewo </w:t>
      </w:r>
      <w:r w:rsidRPr="00D33FB8">
        <w:rPr>
          <w:lang w:val="en-US"/>
        </w:rPr>
        <w:br/>
      </w:r>
      <w:r>
        <w:t xml:space="preserve">Twitter: </w:t>
      </w:r>
      <w:r w:rsidRPr="00D33FB8">
        <w:rPr>
          <w:lang w:val="en-US"/>
        </w:rPr>
        <w:t>@</w:t>
      </w:r>
      <w:proofErr w:type="spellStart"/>
      <w:r w:rsidRPr="00D33FB8">
        <w:rPr>
          <w:lang w:val="en-US"/>
        </w:rPr>
        <w:t>theCEWH</w:t>
      </w:r>
      <w:proofErr w:type="spellEnd"/>
      <w:r w:rsidRPr="00D33FB8">
        <w:rPr>
          <w:lang w:val="en-US"/>
        </w:rPr>
        <w:br/>
        <w:t>www.flickr.com/photos/envirogov/sets</w:t>
      </w:r>
      <w:r w:rsidRPr="00D33FB8">
        <w:rPr>
          <w:lang w:val="en-US"/>
        </w:rPr>
        <w:br/>
        <w:t xml:space="preserve">Postal address: </w:t>
      </w:r>
      <w:r>
        <w:rPr>
          <w:lang w:val="en-US"/>
        </w:rPr>
        <w:t>GPO Box 787, Canberra, ACT 2601</w:t>
      </w:r>
      <w:bookmarkStart w:id="2" w:name="_GoBack"/>
      <w:bookmarkEnd w:id="2"/>
    </w:p>
    <w:sectPr w:rsidR="00D33FB8" w:rsidRPr="00D33FB8" w:rsidSect="002F4EBA">
      <w:headerReference w:type="default" r:id="rId12"/>
      <w:footerReference w:type="default" r:id="rId13"/>
      <w:pgSz w:w="11906" w:h="16838"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C34" w:rsidRPr="00B90C60" w:rsidRDefault="00EC6C34" w:rsidP="00B90C60">
      <w:r>
        <w:separator/>
      </w:r>
    </w:p>
  </w:endnote>
  <w:endnote w:type="continuationSeparator" w:id="0">
    <w:p w:rsidR="00EC6C34" w:rsidRPr="00B90C60" w:rsidRDefault="00EC6C34" w:rsidP="00B90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10" w:rsidRDefault="00077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C34" w:rsidRPr="00B90C60" w:rsidRDefault="00EC6C34" w:rsidP="00B90C60">
      <w:r>
        <w:separator/>
      </w:r>
    </w:p>
  </w:footnote>
  <w:footnote w:type="continuationSeparator" w:id="0">
    <w:p w:rsidR="00EC6C34" w:rsidRPr="00B90C60" w:rsidRDefault="00EC6C34" w:rsidP="00B90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10" w:rsidRDefault="00077D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EE0AC0"/>
    <w:lvl w:ilvl="0">
      <w:start w:val="1"/>
      <w:numFmt w:val="decimal"/>
      <w:pStyle w:val="ListNumber4"/>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2ED90"/>
    <w:lvl w:ilvl="0">
      <w:start w:val="1"/>
      <w:numFmt w:val="decimal"/>
      <w:lvlText w:val="%1."/>
      <w:lvlJc w:val="left"/>
      <w:pPr>
        <w:tabs>
          <w:tab w:val="num" w:pos="360"/>
        </w:tabs>
        <w:ind w:left="360" w:hanging="360"/>
      </w:pPr>
    </w:lvl>
  </w:abstractNum>
  <w:abstractNum w:abstractNumId="9">
    <w:nsid w:val="FFFFFF89"/>
    <w:multiLevelType w:val="singleLevel"/>
    <w:tmpl w:val="F9D05A22"/>
    <w:lvl w:ilvl="0">
      <w:start w:val="1"/>
      <w:numFmt w:val="bullet"/>
      <w:lvlText w:val=""/>
      <w:lvlJc w:val="left"/>
      <w:pPr>
        <w:ind w:left="717" w:hanging="360"/>
      </w:pPr>
      <w:rPr>
        <w:rFonts w:ascii="Symbol" w:hAnsi="Symbol" w:hint="default"/>
        <w:color w:val="D7181E"/>
      </w:rPr>
    </w:lvl>
  </w:abstractNum>
  <w:abstractNum w:abstractNumId="10">
    <w:nsid w:val="09012F2C"/>
    <w:multiLevelType w:val="hybridMultilevel"/>
    <w:tmpl w:val="D5BC1D32"/>
    <w:lvl w:ilvl="0" w:tplc="39B2DC90">
      <w:start w:val="1"/>
      <w:numFmt w:val="decimal"/>
      <w:pStyle w:val="FootnoteTex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5936B19"/>
    <w:multiLevelType w:val="hybridMultilevel"/>
    <w:tmpl w:val="CB46B1BC"/>
    <w:lvl w:ilvl="0" w:tplc="C3F40460">
      <w:start w:val="1"/>
      <w:numFmt w:val="bullet"/>
      <w:pStyle w:val="TableBullets1"/>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3">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6">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9">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nsid w:val="610B3966"/>
    <w:multiLevelType w:val="multilevel"/>
    <w:tmpl w:val="5056580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suff w:val="space"/>
      <w:lvlText w:val="Source:"/>
      <w:lvlJc w:val="left"/>
      <w:pPr>
        <w:ind w:left="0" w:firstLine="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4363A73"/>
    <w:multiLevelType w:val="multilevel"/>
    <w:tmpl w:val="02DAE828"/>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none"/>
      <w:pStyle w:val="Heading4"/>
      <w:suff w:val="nothing"/>
      <w:lvlText w:val="%4"/>
      <w:lvlJc w:val="left"/>
      <w:pPr>
        <w:ind w:left="0" w:firstLine="0"/>
      </w:pPr>
      <w:rPr>
        <w:rFonts w:hint="default"/>
      </w:rPr>
    </w:lvl>
    <w:lvl w:ilvl="4">
      <w:start w:val="1"/>
      <w:numFmt w:val="upperLetter"/>
      <w:suff w:val="space"/>
      <w:lvlText w:val="Appendix %5:"/>
      <w:lvlJc w:val="left"/>
      <w:pPr>
        <w:ind w:left="0" w:firstLine="0"/>
      </w:pPr>
      <w:rPr>
        <w:rFonts w:hint="default"/>
      </w:rPr>
    </w:lvl>
    <w:lvl w:ilvl="5">
      <w:start w:val="1"/>
      <w:numFmt w:val="decimal"/>
      <w:suff w:val="space"/>
      <w:lvlText w:val="Outcome %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3">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2E921FA"/>
    <w:multiLevelType w:val="multilevel"/>
    <w:tmpl w:val="76EA8A18"/>
    <w:lvl w:ilvl="0">
      <w:start w:val="1"/>
      <w:numFmt w:val="decimal"/>
      <w:pStyle w:val="NotesHeading-Level1"/>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3"/>
  </w:num>
  <w:num w:numId="2">
    <w:abstractNumId w:val="14"/>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3"/>
  </w:num>
  <w:num w:numId="16">
    <w:abstractNumId w:val="24"/>
  </w:num>
  <w:num w:numId="17">
    <w:abstractNumId w:val="6"/>
  </w:num>
  <w:num w:numId="18">
    <w:abstractNumId w:val="5"/>
  </w:num>
  <w:num w:numId="19">
    <w:abstractNumId w:val="1"/>
  </w:num>
  <w:num w:numId="20">
    <w:abstractNumId w:val="16"/>
  </w:num>
  <w:num w:numId="21">
    <w:abstractNumId w:val="4"/>
  </w:num>
  <w:num w:numId="22">
    <w:abstractNumId w:val="0"/>
  </w:num>
  <w:num w:numId="23">
    <w:abstractNumId w:val="15"/>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 w:numId="30">
    <w:abstractNumId w:val="17"/>
  </w:num>
  <w:num w:numId="31">
    <w:abstractNumId w:val="25"/>
  </w:num>
  <w:num w:numId="32">
    <w:abstractNumId w:val="10"/>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cumentProtection w:formatting="1" w:enforcement="1" w:cryptProviderType="rsaAES" w:cryptAlgorithmClass="hash" w:cryptAlgorithmType="typeAny" w:cryptAlgorithmSid="14" w:cryptSpinCount="100000" w:hash="/lNNtrhTJ7I3MrbedCc+l3f7u2WRF5c39JSBhyce2GvyRmvqdM8gPkRA7hhtvgVWS6EY/H5ovSIh&#10;8Cp64Axmqw==" w:salt="eG8/QNgLIZy3MVOxKBkAaA=="/>
  <w:defaultTabStop w:val="720"/>
  <w:characterSpacingControl w:val="doNotCompress"/>
  <w:hdrShapeDefaults>
    <o:shapedefaults v:ext="edit" spidmax="4097"/>
  </w:hdrShapeDefaults>
  <w:footnotePr>
    <w:footnote w:id="-1"/>
    <w:footnote w:id="0"/>
  </w:footnotePr>
  <w:endnotePr>
    <w:endnote w:id="-1"/>
    <w:endnote w:id="0"/>
  </w:endnotePr>
  <w:compat/>
  <w:rsids>
    <w:rsidRoot w:val="003D6104"/>
    <w:rsid w:val="00003D0E"/>
    <w:rsid w:val="00005D98"/>
    <w:rsid w:val="00013184"/>
    <w:rsid w:val="0003506B"/>
    <w:rsid w:val="00036F9E"/>
    <w:rsid w:val="000413B3"/>
    <w:rsid w:val="00077D10"/>
    <w:rsid w:val="0008244F"/>
    <w:rsid w:val="00083FF6"/>
    <w:rsid w:val="00086F71"/>
    <w:rsid w:val="00095109"/>
    <w:rsid w:val="000A490E"/>
    <w:rsid w:val="000B5DCC"/>
    <w:rsid w:val="000C11FF"/>
    <w:rsid w:val="000D2093"/>
    <w:rsid w:val="000E232A"/>
    <w:rsid w:val="000F4308"/>
    <w:rsid w:val="000F45CC"/>
    <w:rsid w:val="00105331"/>
    <w:rsid w:val="00107914"/>
    <w:rsid w:val="00116620"/>
    <w:rsid w:val="00120CF3"/>
    <w:rsid w:val="00123576"/>
    <w:rsid w:val="00124B21"/>
    <w:rsid w:val="00164599"/>
    <w:rsid w:val="001653B6"/>
    <w:rsid w:val="001665EE"/>
    <w:rsid w:val="0018235E"/>
    <w:rsid w:val="001C5D4A"/>
    <w:rsid w:val="001E0F51"/>
    <w:rsid w:val="001E3627"/>
    <w:rsid w:val="001F6E1A"/>
    <w:rsid w:val="00206CD7"/>
    <w:rsid w:val="00207A77"/>
    <w:rsid w:val="002247A8"/>
    <w:rsid w:val="00233038"/>
    <w:rsid w:val="00240126"/>
    <w:rsid w:val="00252E6A"/>
    <w:rsid w:val="00254AB6"/>
    <w:rsid w:val="00265027"/>
    <w:rsid w:val="00286EAD"/>
    <w:rsid w:val="0029389B"/>
    <w:rsid w:val="002A6C6B"/>
    <w:rsid w:val="002B7504"/>
    <w:rsid w:val="002C0D97"/>
    <w:rsid w:val="002C1FFF"/>
    <w:rsid w:val="002C6549"/>
    <w:rsid w:val="002C7065"/>
    <w:rsid w:val="002C7F4A"/>
    <w:rsid w:val="002E1A1C"/>
    <w:rsid w:val="002F3C35"/>
    <w:rsid w:val="002F4EBA"/>
    <w:rsid w:val="00301352"/>
    <w:rsid w:val="00303D18"/>
    <w:rsid w:val="003130CA"/>
    <w:rsid w:val="00317DC8"/>
    <w:rsid w:val="003400FB"/>
    <w:rsid w:val="0035681C"/>
    <w:rsid w:val="00365EC6"/>
    <w:rsid w:val="00370733"/>
    <w:rsid w:val="0037084D"/>
    <w:rsid w:val="00371F54"/>
    <w:rsid w:val="00383A95"/>
    <w:rsid w:val="003D27CB"/>
    <w:rsid w:val="003D6104"/>
    <w:rsid w:val="003D6434"/>
    <w:rsid w:val="003F0F0D"/>
    <w:rsid w:val="003F0FE5"/>
    <w:rsid w:val="003F2305"/>
    <w:rsid w:val="0040173E"/>
    <w:rsid w:val="00413158"/>
    <w:rsid w:val="004230CA"/>
    <w:rsid w:val="00451476"/>
    <w:rsid w:val="00454D31"/>
    <w:rsid w:val="00480570"/>
    <w:rsid w:val="00483027"/>
    <w:rsid w:val="0049211D"/>
    <w:rsid w:val="004B584E"/>
    <w:rsid w:val="004E0658"/>
    <w:rsid w:val="004E2269"/>
    <w:rsid w:val="004E4BB4"/>
    <w:rsid w:val="00512309"/>
    <w:rsid w:val="005170C2"/>
    <w:rsid w:val="0053126F"/>
    <w:rsid w:val="0053586E"/>
    <w:rsid w:val="0054526E"/>
    <w:rsid w:val="005476B5"/>
    <w:rsid w:val="00560486"/>
    <w:rsid w:val="005846DF"/>
    <w:rsid w:val="005850B9"/>
    <w:rsid w:val="005A3F63"/>
    <w:rsid w:val="005B073E"/>
    <w:rsid w:val="005B1D86"/>
    <w:rsid w:val="005B227F"/>
    <w:rsid w:val="005B482C"/>
    <w:rsid w:val="005C0FD3"/>
    <w:rsid w:val="005D08EA"/>
    <w:rsid w:val="005D5FAE"/>
    <w:rsid w:val="005F29B7"/>
    <w:rsid w:val="00606EAB"/>
    <w:rsid w:val="00606EB5"/>
    <w:rsid w:val="00617FDA"/>
    <w:rsid w:val="0062644C"/>
    <w:rsid w:val="0063658F"/>
    <w:rsid w:val="00636B8B"/>
    <w:rsid w:val="006427FE"/>
    <w:rsid w:val="006536AA"/>
    <w:rsid w:val="006537FD"/>
    <w:rsid w:val="00656A1C"/>
    <w:rsid w:val="00661AFC"/>
    <w:rsid w:val="0067387D"/>
    <w:rsid w:val="0069375D"/>
    <w:rsid w:val="0069574E"/>
    <w:rsid w:val="006A1B60"/>
    <w:rsid w:val="006A789A"/>
    <w:rsid w:val="006D259D"/>
    <w:rsid w:val="006F145A"/>
    <w:rsid w:val="006F248C"/>
    <w:rsid w:val="006F27CB"/>
    <w:rsid w:val="006F5865"/>
    <w:rsid w:val="00723B2D"/>
    <w:rsid w:val="0072581D"/>
    <w:rsid w:val="00737D9E"/>
    <w:rsid w:val="00757F63"/>
    <w:rsid w:val="007645AE"/>
    <w:rsid w:val="00764992"/>
    <w:rsid w:val="00776ADC"/>
    <w:rsid w:val="00784250"/>
    <w:rsid w:val="007A2EFE"/>
    <w:rsid w:val="007A69D7"/>
    <w:rsid w:val="007B766F"/>
    <w:rsid w:val="007C2CC2"/>
    <w:rsid w:val="007C79AA"/>
    <w:rsid w:val="007D5FB7"/>
    <w:rsid w:val="008150C2"/>
    <w:rsid w:val="00815EB3"/>
    <w:rsid w:val="00822F3B"/>
    <w:rsid w:val="00823ED6"/>
    <w:rsid w:val="00843926"/>
    <w:rsid w:val="00845843"/>
    <w:rsid w:val="008574E4"/>
    <w:rsid w:val="00870BC6"/>
    <w:rsid w:val="00885A14"/>
    <w:rsid w:val="0088689B"/>
    <w:rsid w:val="00891C5B"/>
    <w:rsid w:val="008A0FE9"/>
    <w:rsid w:val="008A72D2"/>
    <w:rsid w:val="008B4904"/>
    <w:rsid w:val="008B6868"/>
    <w:rsid w:val="008C3F9E"/>
    <w:rsid w:val="008C6A43"/>
    <w:rsid w:val="008D080C"/>
    <w:rsid w:val="008E1657"/>
    <w:rsid w:val="00906799"/>
    <w:rsid w:val="00912A51"/>
    <w:rsid w:val="00924152"/>
    <w:rsid w:val="0093194D"/>
    <w:rsid w:val="00934C3F"/>
    <w:rsid w:val="00952D4C"/>
    <w:rsid w:val="0096160B"/>
    <w:rsid w:val="00976A86"/>
    <w:rsid w:val="00991299"/>
    <w:rsid w:val="009979F4"/>
    <w:rsid w:val="009A45B2"/>
    <w:rsid w:val="009D6F86"/>
    <w:rsid w:val="00A30F0A"/>
    <w:rsid w:val="00A33802"/>
    <w:rsid w:val="00A34DCF"/>
    <w:rsid w:val="00A62D31"/>
    <w:rsid w:val="00A86981"/>
    <w:rsid w:val="00A97E3B"/>
    <w:rsid w:val="00AA26C5"/>
    <w:rsid w:val="00AC61B9"/>
    <w:rsid w:val="00AC70A7"/>
    <w:rsid w:val="00AF129F"/>
    <w:rsid w:val="00B12DC9"/>
    <w:rsid w:val="00B13F84"/>
    <w:rsid w:val="00B15ABA"/>
    <w:rsid w:val="00B420AE"/>
    <w:rsid w:val="00B42B2F"/>
    <w:rsid w:val="00B66AEC"/>
    <w:rsid w:val="00B900EA"/>
    <w:rsid w:val="00B90C60"/>
    <w:rsid w:val="00B91069"/>
    <w:rsid w:val="00BC602E"/>
    <w:rsid w:val="00C0055E"/>
    <w:rsid w:val="00C00FDA"/>
    <w:rsid w:val="00C074CF"/>
    <w:rsid w:val="00C12A94"/>
    <w:rsid w:val="00C30BCC"/>
    <w:rsid w:val="00C636DA"/>
    <w:rsid w:val="00C72271"/>
    <w:rsid w:val="00C74B80"/>
    <w:rsid w:val="00C75811"/>
    <w:rsid w:val="00CA2056"/>
    <w:rsid w:val="00CB4238"/>
    <w:rsid w:val="00CB4A43"/>
    <w:rsid w:val="00CC34EB"/>
    <w:rsid w:val="00CE2E48"/>
    <w:rsid w:val="00D021F7"/>
    <w:rsid w:val="00D078A2"/>
    <w:rsid w:val="00D12EB7"/>
    <w:rsid w:val="00D33FB8"/>
    <w:rsid w:val="00D45248"/>
    <w:rsid w:val="00D461C2"/>
    <w:rsid w:val="00D50971"/>
    <w:rsid w:val="00D61AAE"/>
    <w:rsid w:val="00D71E2D"/>
    <w:rsid w:val="00DA4C48"/>
    <w:rsid w:val="00DA5C1D"/>
    <w:rsid w:val="00DA727D"/>
    <w:rsid w:val="00DB53A7"/>
    <w:rsid w:val="00DB6DF1"/>
    <w:rsid w:val="00DD170F"/>
    <w:rsid w:val="00DE0A8A"/>
    <w:rsid w:val="00DF6E54"/>
    <w:rsid w:val="00E04228"/>
    <w:rsid w:val="00E04BBC"/>
    <w:rsid w:val="00E159D7"/>
    <w:rsid w:val="00E21653"/>
    <w:rsid w:val="00E418DC"/>
    <w:rsid w:val="00E7426A"/>
    <w:rsid w:val="00E84A6B"/>
    <w:rsid w:val="00E96DEA"/>
    <w:rsid w:val="00EA48AE"/>
    <w:rsid w:val="00EC6C34"/>
    <w:rsid w:val="00ED32D9"/>
    <w:rsid w:val="00EF2A15"/>
    <w:rsid w:val="00EF5BFD"/>
    <w:rsid w:val="00EF5EF9"/>
    <w:rsid w:val="00F148FA"/>
    <w:rsid w:val="00F158FD"/>
    <w:rsid w:val="00F21852"/>
    <w:rsid w:val="00F27A64"/>
    <w:rsid w:val="00F34D63"/>
    <w:rsid w:val="00F51F45"/>
    <w:rsid w:val="00F678BA"/>
    <w:rsid w:val="00F67A45"/>
    <w:rsid w:val="00F76C98"/>
    <w:rsid w:val="00F80750"/>
    <w:rsid w:val="00F85F59"/>
    <w:rsid w:val="00F86DD4"/>
    <w:rsid w:val="00FA49C3"/>
    <w:rsid w:val="00FB4CF2"/>
    <w:rsid w:val="00FC2F41"/>
    <w:rsid w:val="00FC33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1" w:defUnhideWhenUsed="0" w:defQFormat="0" w:count="267">
    <w:lsdException w:name="Normal" w:locked="0" w:semiHidden="0" w:uiPriority="0" w:qFormat="1"/>
    <w:lsdException w:name="heading 1" w:semiHidden="0" w:uiPriority="9" w:qFormat="1"/>
    <w:lsdException w:name="heading 2" w:uiPriority="9" w:unhideWhenUsed="1" w:qFormat="1"/>
    <w:lsdException w:name="heading 3" w:uiPriority="9" w:unhideWhenUsed="1" w:qFormat="1"/>
    <w:lsdException w:name="heading 4" w:locked="0" w:uiPriority="9" w:unhideWhenUsed="1"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0" w:semiHidden="0"/>
    <w:lsdException w:name="annotation text" w:unhideWhenUsed="1"/>
    <w:lsdException w:name="header" w:locked="0" w:semiHidden="0"/>
    <w:lsdException w:name="footer" w:locked="0" w:semiHidden="0"/>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locked="0" w:semiHidden="0"/>
    <w:lsdException w:name="annotation reference" w:unhideWhenUsed="1"/>
    <w:lsdException w:name="line number" w:unhideWhenUsed="1"/>
    <w:lsdException w:name="page number" w:unhideWhenUsed="1"/>
    <w:lsdException w:name="endnote reference" w:locked="0" w:semiHidden="0"/>
    <w:lsdException w:name="endnote text" w:locked="0" w:semiHidden="0"/>
    <w:lsdException w:name="table of authorities" w:unhideWhenUsed="1"/>
    <w:lsdException w:name="macro" w:unhideWhenUsed="1"/>
    <w:lsdException w:name="toa heading" w:unhideWhenUsed="1"/>
    <w:lsdException w:name="List" w:unhideWhenUsed="1"/>
    <w:lsdException w:name="List Bullet" w:semiHidden="0" w:qFormat="1"/>
    <w:lsdException w:name="List Number" w:semiHidden="0" w:uiPriority="16" w:qFormat="1"/>
    <w:lsdException w:name="List 2" w:unhideWhenUsed="1"/>
    <w:lsdException w:name="List 3" w:unhideWhenUsed="1"/>
    <w:lsdException w:name="List 4" w:unhideWhenUsed="1"/>
    <w:lsdException w:name="List 5" w:unhideWhenUsed="1"/>
    <w:lsdException w:name="List Bullet 2" w:semiHidden="0" w:qFormat="1"/>
    <w:lsdException w:name="List Bullet 3" w:semiHidden="0" w:qFormat="1"/>
    <w:lsdException w:name="List Bullet 4" w:semiHidden="0" w:qFormat="1"/>
    <w:lsdException w:name="List Number 2" w:semiHidden="0" w:uiPriority="16" w:qFormat="1"/>
    <w:lsdException w:name="List Number 3" w:semiHidden="0" w:uiPriority="16" w:qFormat="1"/>
    <w:lsdException w:name="List Number 4" w:semiHidden="0" w:uiPriority="16"/>
    <w:lsdException w:name="Title" w:semiHidden="0" w:uiPriority="10"/>
    <w:lsdException w:name="Closing" w:unhideWhenUsed="1"/>
    <w:lsdException w:name="Signature" w:unhideWhenUsed="1"/>
    <w:lsdException w:name="Default Paragraph Font" w:locked="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unhideWhenUsed="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0" w:unhideWhenUsed="1"/>
    <w:lsdException w:name="FollowedHyperlink" w:locked="0" w:semiHidden="0"/>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locked="0" w:unhideWhenUsed="1"/>
    <w:lsdException w:name="HTML Bottom of Form" w:locked="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nhideWhenUsed="1"/>
    <w:lsdException w:name="No Spacing" w:uiPriority="1" w:unhideWhenUsed="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latentStyles>
  <w:style w:type="paragraph" w:default="1" w:styleId="Normal">
    <w:name w:val="Normal"/>
    <w:qFormat/>
    <w:rsid w:val="00991299"/>
  </w:style>
  <w:style w:type="paragraph" w:styleId="Heading1">
    <w:name w:val="heading 1"/>
    <w:basedOn w:val="Normal"/>
    <w:next w:val="Normal"/>
    <w:link w:val="Heading1Char"/>
    <w:uiPriority w:val="3"/>
    <w:unhideWhenUsed/>
    <w:qFormat/>
    <w:rsid w:val="005B1D86"/>
    <w:pPr>
      <w:keepNext/>
      <w:keepLines/>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7A69D7"/>
    <w:pPr>
      <w:keepNext/>
      <w:keepLines/>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7A69D7"/>
    <w:pPr>
      <w:keepNext/>
      <w:keepLines/>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7D5FB7"/>
    <w:pPr>
      <w:keepNext/>
      <w:keepLines/>
      <w:numPr>
        <w:ilvl w:val="3"/>
        <w:numId w:val="14"/>
      </w:numPr>
      <w:spacing w:before="113" w:after="57"/>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63658F"/>
    <w:pPr>
      <w:spacing w:before="0" w:after="360"/>
    </w:pPr>
    <w:rPr>
      <w:sz w:val="32"/>
    </w:rPr>
  </w:style>
  <w:style w:type="paragraph" w:customStyle="1" w:styleId="BodyBold">
    <w:name w:val="Body Bold"/>
    <w:basedOn w:val="Normal"/>
    <w:uiPriority w:val="2"/>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2"/>
    <w:qFormat/>
    <w:rsid w:val="003F0F0D"/>
    <w:rPr>
      <w:b/>
      <w:noProof w:val="0"/>
      <w:lang w:val="en-AU"/>
    </w:rPr>
  </w:style>
  <w:style w:type="character" w:customStyle="1" w:styleId="ItalicCharacter">
    <w:name w:val="Italic Character"/>
    <w:basedOn w:val="DefaultParagraphFont"/>
    <w:uiPriority w:val="2"/>
    <w:qFormat/>
    <w:rsid w:val="003F0F0D"/>
    <w:rPr>
      <w:i/>
      <w:noProof w:val="0"/>
      <w:lang w:val="en-AU"/>
    </w:rPr>
  </w:style>
  <w:style w:type="paragraph" w:customStyle="1" w:styleId="Italic">
    <w:name w:val="Italic"/>
    <w:basedOn w:val="Normal"/>
    <w:uiPriority w:val="2"/>
    <w:qFormat/>
    <w:rsid w:val="008D080C"/>
    <w:rPr>
      <w:i/>
    </w:rPr>
  </w:style>
  <w:style w:type="paragraph" w:customStyle="1" w:styleId="CoverIntroductionText">
    <w:name w:val="Cover Introduction Text"/>
    <w:basedOn w:val="Normal"/>
    <w:uiPriority w:val="99"/>
    <w:qFormat/>
    <w:rsid w:val="00D50971"/>
    <w:rPr>
      <w:spacing w:val="-2"/>
      <w:sz w:val="24"/>
    </w:rPr>
  </w:style>
  <w:style w:type="character" w:customStyle="1" w:styleId="Heading4Char">
    <w:name w:val="Heading 4 Char"/>
    <w:basedOn w:val="DefaultParagraphFont"/>
    <w:link w:val="Heading4"/>
    <w:uiPriority w:val="3"/>
    <w:rsid w:val="007D5FB7"/>
    <w:rPr>
      <w:rFonts w:asciiTheme="majorHAnsi" w:eastAsiaTheme="majorEastAsia" w:hAnsiTheme="majorHAnsi" w:cstheme="majorBidi"/>
      <w:b/>
      <w:bCs/>
      <w:iCs/>
      <w:color w:val="000000" w:themeColor="text1"/>
      <w:sz w:val="22"/>
    </w:rPr>
  </w:style>
  <w:style w:type="paragraph" w:styleId="ListBullet">
    <w:name w:val="List Bullet"/>
    <w:basedOn w:val="Normal"/>
    <w:uiPriority w:val="5"/>
    <w:qFormat/>
    <w:rsid w:val="00301352"/>
    <w:pPr>
      <w:numPr>
        <w:numId w:val="28"/>
      </w:numPr>
    </w:pPr>
  </w:style>
  <w:style w:type="paragraph" w:styleId="ListBullet2">
    <w:name w:val="List Bullet 2"/>
    <w:basedOn w:val="ListBullet"/>
    <w:uiPriority w:val="5"/>
    <w:qFormat/>
    <w:rsid w:val="00301352"/>
    <w:pPr>
      <w:numPr>
        <w:ilvl w:val="1"/>
      </w:numPr>
    </w:pPr>
    <w:rPr>
      <w:color w:val="000000" w:themeColor="text1"/>
    </w:rPr>
  </w:style>
  <w:style w:type="paragraph" w:styleId="ListNumber">
    <w:name w:val="List Number"/>
    <w:basedOn w:val="Normal"/>
    <w:uiPriority w:val="5"/>
    <w:qFormat/>
    <w:rsid w:val="0096160B"/>
    <w:pPr>
      <w:numPr>
        <w:ilvl w:val="6"/>
        <w:numId w:val="14"/>
      </w:numPr>
    </w:pPr>
    <w:rPr>
      <w:b/>
    </w:rPr>
  </w:style>
  <w:style w:type="paragraph" w:styleId="ListNumber2">
    <w:name w:val="List Number 2"/>
    <w:basedOn w:val="Normal"/>
    <w:uiPriority w:val="5"/>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5"/>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4230CA"/>
    <w:pPr>
      <w:tabs>
        <w:tab w:val="left" w:pos="440"/>
        <w:tab w:val="right" w:leader="dot" w:pos="7655"/>
      </w:tabs>
      <w:spacing w:before="57" w:after="57"/>
    </w:pPr>
    <w:rPr>
      <w:color w:val="000000" w:themeColor="text1"/>
      <w:sz w:val="18"/>
    </w:rPr>
  </w:style>
  <w:style w:type="paragraph" w:styleId="TOCHeading">
    <w:name w:val="TOC Heading"/>
    <w:basedOn w:val="Heading1"/>
    <w:next w:val="Normal"/>
    <w:uiPriority w:val="39"/>
    <w:rsid w:val="004230CA"/>
    <w:pPr>
      <w:spacing w:before="0" w:after="240"/>
      <w:outlineLvl w:val="9"/>
    </w:pPr>
    <w:rPr>
      <w:b/>
      <w:spacing w:val="-20"/>
    </w:rPr>
  </w:style>
  <w:style w:type="paragraph" w:styleId="Footer">
    <w:name w:val="footer"/>
    <w:basedOn w:val="Normal"/>
    <w:link w:val="FooterChar"/>
    <w:uiPriority w:val="99"/>
    <w:rsid w:val="002F4EBA"/>
    <w:pPr>
      <w:tabs>
        <w:tab w:val="center" w:pos="4513"/>
        <w:tab w:val="right" w:pos="9026"/>
      </w:tabs>
      <w:spacing w:line="200" w:lineRule="exact"/>
    </w:pPr>
    <w:rPr>
      <w:rFonts w:asciiTheme="majorHAnsi" w:hAnsiTheme="majorHAnsi"/>
      <w:color w:val="777777"/>
      <w:spacing w:val="-20"/>
      <w:sz w:val="15"/>
    </w:rPr>
  </w:style>
  <w:style w:type="character" w:customStyle="1" w:styleId="FooterChar">
    <w:name w:val="Footer Char"/>
    <w:basedOn w:val="DefaultParagraphFont"/>
    <w:link w:val="Footer"/>
    <w:uiPriority w:val="99"/>
    <w:rsid w:val="002F4EBA"/>
    <w:rPr>
      <w:rFonts w:asciiTheme="majorHAnsi" w:hAnsiTheme="majorHAnsi"/>
      <w:color w:val="777777"/>
      <w:spacing w:val="-20"/>
      <w:sz w:val="15"/>
    </w:rPr>
  </w:style>
  <w:style w:type="paragraph" w:styleId="ListBullet3">
    <w:name w:val="List Bullet 3"/>
    <w:basedOn w:val="Normal"/>
    <w:uiPriority w:val="5"/>
    <w:qFormat/>
    <w:rsid w:val="00301352"/>
    <w:pPr>
      <w:numPr>
        <w:ilvl w:val="2"/>
        <w:numId w:val="28"/>
      </w:numPr>
      <w:contextualSpacing/>
    </w:pPr>
  </w:style>
  <w:style w:type="paragraph" w:styleId="ListBullet4">
    <w:name w:val="List Bullet 4"/>
    <w:basedOn w:val="Normal"/>
    <w:uiPriority w:val="5"/>
    <w:qFormat/>
    <w:rsid w:val="00301352"/>
    <w:pPr>
      <w:numPr>
        <w:ilvl w:val="3"/>
        <w:numId w:val="28"/>
      </w:numPr>
      <w:contextualSpacing/>
    </w:pPr>
  </w:style>
  <w:style w:type="table" w:styleId="TableGrid">
    <w:name w:val="Table Grid"/>
    <w:basedOn w:val="TableNormal"/>
    <w:uiPriority w:val="59"/>
    <w:rsid w:val="00413158"/>
    <w:pPr>
      <w:spacing w:before="57" w:line="240" w:lineRule="auto"/>
      <w:ind w:left="108" w:right="108"/>
    </w:pPr>
    <w:rPr>
      <w:sz w:val="17"/>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Autospacing="0"/>
        <w:jc w:val="left"/>
      </w:pPr>
      <w:rPr>
        <w:rFonts w:asciiTheme="majorHAnsi" w:hAnsiTheme="majorHAnsi"/>
        <w:b/>
        <w:caps/>
        <w:smallCaps w:val="0"/>
        <w:sz w:val="20"/>
      </w:rPr>
      <w:tblPr/>
      <w:trPr>
        <w:tblHeader/>
      </w:tr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2"/>
    <w:qFormat/>
    <w:rsid w:val="0035681C"/>
    <w:pPr>
      <w:spacing w:before="113" w:after="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2"/>
    <w:rsid w:val="006427FE"/>
    <w:rPr>
      <w:noProof w:val="0"/>
      <w:color w:val="5F5F5F" w:themeColor="hyperlink"/>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919191" w:themeColor="followedHyperlink"/>
      <w:u w:val="single"/>
      <w:lang w:val="en-AU"/>
    </w:rPr>
  </w:style>
  <w:style w:type="character" w:styleId="FootnoteReference">
    <w:name w:val="footnote reference"/>
    <w:basedOn w:val="DefaultParagraphFont"/>
    <w:uiPriority w:val="7"/>
    <w:rsid w:val="00F80750"/>
    <w:rPr>
      <w:noProof w:val="0"/>
      <w:vertAlign w:val="superscript"/>
      <w:lang w:val="en-AU"/>
    </w:rPr>
  </w:style>
  <w:style w:type="paragraph" w:styleId="FootnoteText">
    <w:name w:val="footnote text"/>
    <w:basedOn w:val="Normal"/>
    <w:link w:val="FootnoteTextChar"/>
    <w:uiPriority w:val="99"/>
    <w:rsid w:val="005B482C"/>
    <w:pPr>
      <w:numPr>
        <w:numId w:val="32"/>
      </w:numPr>
      <w:spacing w:before="60" w:after="120" w:line="240" w:lineRule="auto"/>
      <w:ind w:left="357" w:hanging="357"/>
    </w:pPr>
    <w:rPr>
      <w:sz w:val="16"/>
    </w:rPr>
  </w:style>
  <w:style w:type="character" w:customStyle="1" w:styleId="FootnoteTextChar">
    <w:name w:val="Footnote Text Char"/>
    <w:basedOn w:val="DefaultParagraphFont"/>
    <w:link w:val="FootnoteText"/>
    <w:uiPriority w:val="5"/>
    <w:rsid w:val="00776ADC"/>
    <w:rPr>
      <w:sz w:val="16"/>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rsid w:val="00A86981"/>
    <w:pPr>
      <w:spacing w:before="57" w:line="240" w:lineRule="auto"/>
      <w:ind w:left="108" w:right="108"/>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0" w:type="dxa"/>
        <w:bottom w:w="0" w:type="dxa"/>
        <w:right w:w="0" w:type="dxa"/>
      </w:tblCellMar>
    </w:tblPr>
    <w:tblStylePr w:type="firstRow">
      <w:pPr>
        <w:wordWrap/>
        <w:spacing w:beforeLines="0" w:beforeAutospacing="0" w:after="0" w:afterAutospacing="0" w:line="240" w:lineRule="auto"/>
        <w:jc w:val="left"/>
      </w:pPr>
      <w:rPr>
        <w:rFonts w:asciiTheme="majorHAnsi" w:hAnsiTheme="majorHAnsi"/>
        <w:b/>
        <w:bCs/>
        <w:color w:val="FFFFFF" w:themeColor="background1"/>
        <w:sz w:val="20"/>
      </w:rPr>
      <w:tblPr/>
      <w:trPr>
        <w:cantSplit/>
        <w:tblHeader/>
      </w:trPr>
      <w:tcPr>
        <w:shd w:val="clear" w:color="auto" w:fill="5F5F5F" w:themeFill="accent5"/>
      </w:tcPr>
    </w:tblStylePr>
    <w:tblStylePr w:type="lastRow">
      <w:pPr>
        <w:wordWrap/>
        <w:spacing w:beforeLines="0" w:beforeAutospacing="0" w:afterLines="0"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pPr>
        <w:jc w:val="right"/>
      </w:pPr>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7"/>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737D9E"/>
    <w:pPr>
      <w:spacing w:after="97"/>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2"/>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2"/>
    <w:qFormat/>
    <w:rsid w:val="00737D9E"/>
    <w:rPr>
      <w:sz w:val="16"/>
    </w:rPr>
  </w:style>
  <w:style w:type="paragraph" w:customStyle="1" w:styleId="TableBullets1">
    <w:name w:val="Table Bullets 1"/>
    <w:basedOn w:val="Normal"/>
    <w:uiPriority w:val="6"/>
    <w:qFormat/>
    <w:rsid w:val="00120CF3"/>
    <w:pPr>
      <w:numPr>
        <w:numId w:val="29"/>
      </w:numPr>
      <w:spacing w:before="20" w:after="57" w:line="240" w:lineRule="auto"/>
      <w:ind w:right="108" w:hanging="357"/>
    </w:pPr>
    <w:rPr>
      <w:sz w:val="17"/>
    </w:r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6"/>
    <w:qFormat/>
    <w:rsid w:val="00480570"/>
    <w:pPr>
      <w:spacing w:before="20" w:line="240" w:lineRule="auto"/>
      <w:ind w:left="284" w:right="108"/>
    </w:pPr>
    <w:rPr>
      <w:color w:val="000000" w:themeColor="text1" w:themeShade="BF"/>
      <w:sz w:val="17"/>
    </w:rPr>
  </w:style>
  <w:style w:type="paragraph" w:customStyle="1" w:styleId="TableIndent2">
    <w:name w:val="Table Indent 2"/>
    <w:basedOn w:val="Tableindent"/>
    <w:uiPriority w:val="6"/>
    <w:qFormat/>
    <w:rsid w:val="00480570"/>
    <w:pPr>
      <w:ind w:left="465"/>
    </w:pPr>
    <w:rPr>
      <w:bCs/>
    </w:rPr>
  </w:style>
  <w:style w:type="paragraph" w:customStyle="1" w:styleId="OutcomeHeading">
    <w:name w:val="Outcome Heading"/>
    <w:basedOn w:val="Heading2"/>
    <w:uiPriority w:val="4"/>
    <w:qFormat/>
    <w:rsid w:val="00480570"/>
    <w:pPr>
      <w:numPr>
        <w:ilvl w:val="5"/>
      </w:numPr>
    </w:p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2"/>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styleId="Revision">
    <w:name w:val="Revision"/>
    <w:hidden/>
    <w:uiPriority w:val="99"/>
    <w:semiHidden/>
    <w:rsid w:val="00F21852"/>
    <w:pPr>
      <w:spacing w:after="0" w:line="240" w:lineRule="auto"/>
    </w:pPr>
  </w:style>
  <w:style w:type="paragraph" w:customStyle="1" w:styleId="ShadedHeading">
    <w:name w:val="Shaded Heading"/>
    <w:basedOn w:val="Normal"/>
    <w:uiPriority w:val="4"/>
    <w:qFormat/>
    <w:rsid w:val="00AC70A7"/>
    <w:pPr>
      <w:pBdr>
        <w:top w:val="single" w:sz="36" w:space="1" w:color="DDDDDD" w:themeColor="accent1"/>
        <w:left w:val="single" w:sz="18" w:space="4" w:color="DDDDDD" w:themeColor="accent1"/>
        <w:bottom w:val="single" w:sz="36" w:space="1" w:color="DDDDDD" w:themeColor="accent1"/>
      </w:pBdr>
      <w:shd w:val="clear" w:color="auto" w:fill="DDDDDD" w:themeFill="accent1"/>
      <w:spacing w:after="180"/>
      <w:ind w:left="142" w:right="2835"/>
    </w:pPr>
    <w:rPr>
      <w:b/>
      <w:lang w:val="en-GB"/>
    </w:rPr>
  </w:style>
  <w:style w:type="paragraph" w:customStyle="1" w:styleId="ShadedHeadingBlue">
    <w:name w:val="Shaded Heading Blue"/>
    <w:basedOn w:val="ShadedHeading"/>
    <w:uiPriority w:val="4"/>
    <w:qFormat/>
    <w:rsid w:val="00206CD7"/>
    <w:pPr>
      <w:pBdr>
        <w:top w:val="single" w:sz="36" w:space="0" w:color="5F5F5F" w:themeColor="accent5"/>
        <w:left w:val="single" w:sz="24" w:space="4" w:color="5F5F5F" w:themeColor="accent5"/>
        <w:bottom w:val="single" w:sz="36" w:space="1" w:color="5F5F5F" w:themeColor="accent5"/>
      </w:pBdr>
      <w:shd w:val="clear" w:color="auto" w:fill="5F5F5F" w:themeFill="accent5"/>
    </w:pPr>
    <w:rPr>
      <w:color w:val="FFFFFF" w:themeColor="background1"/>
    </w:rPr>
  </w:style>
  <w:style w:type="table" w:customStyle="1" w:styleId="SmallTable">
    <w:name w:val="Small Table"/>
    <w:basedOn w:val="TableGrid"/>
    <w:uiPriority w:val="99"/>
    <w:rsid w:val="00ED32D9"/>
    <w:pPr>
      <w:spacing w:after="0"/>
      <w:ind w:left="57" w:right="57"/>
    </w:pPr>
    <w:rPr>
      <w:sz w:val="1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Autospacing="0"/>
        <w:jc w:val="left"/>
      </w:pPr>
      <w:rPr>
        <w:rFonts w:asciiTheme="majorHAnsi" w:hAnsiTheme="majorHAnsi"/>
        <w:b/>
        <w:caps/>
        <w:smallCaps w:val="0"/>
        <w:sz w:val="14"/>
      </w:rPr>
      <w:tblPr/>
      <w:trPr>
        <w:tblHeader/>
      </w:trPr>
    </w:tblStylePr>
    <w:tblStylePr w:type="lastRow">
      <w:rPr>
        <w:b/>
      </w:rPr>
    </w:tblStylePr>
    <w:tblStylePr w:type="firstCol">
      <w:rPr>
        <w:b/>
        <w:caps/>
        <w:smallCaps w:val="0"/>
        <w:sz w:val="20"/>
      </w:rPr>
    </w:tblStylePr>
    <w:tblStylePr w:type="lastCol">
      <w:pPr>
        <w:jc w:val="right"/>
      </w:pPr>
    </w:tblStylePr>
  </w:style>
</w:styles>
</file>

<file path=word/webSettings.xml><?xml version="1.0" encoding="utf-8"?>
<w:webSettings xmlns:r="http://schemas.openxmlformats.org/officeDocument/2006/relationships" xmlns:w="http://schemas.openxmlformats.org/wordprocessingml/2006/main">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2962680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180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CC9B846B-E02B-4E56-8552-32CB5FD378B1@papermonkey.priv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FA59E-44D4-4503-A1E6-15F3D49E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1447</Words>
  <Characters>8252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Monitored Outcomes</dc:title>
  <dc:creator>Commonwealth Environmental Water Office</dc:creator>
  <cp:lastModifiedBy>Rebecca Durack</cp:lastModifiedBy>
  <cp:revision>2</cp:revision>
  <cp:lastPrinted>2014-02-02T12:10:00Z</cp:lastPrinted>
  <dcterms:created xsi:type="dcterms:W3CDTF">2015-07-02T06:34:00Z</dcterms:created>
  <dcterms:modified xsi:type="dcterms:W3CDTF">2015-07-02T06:34:00Z</dcterms:modified>
</cp:coreProperties>
</file>