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90E81" w14:textId="5A59FCE0" w:rsidR="000E67F8" w:rsidRDefault="000E67F8" w:rsidP="000E67F8">
      <w:pPr>
        <w:pStyle w:val="Heading1"/>
      </w:pPr>
      <w:r w:rsidRPr="000E67F8">
        <w:t xml:space="preserve">Phasing out </w:t>
      </w:r>
      <w:r w:rsidR="001D4A8B" w:rsidRPr="004A46DE">
        <w:t>and phasing down</w:t>
      </w:r>
      <w:r w:rsidR="00157478">
        <w:t xml:space="preserve"> </w:t>
      </w:r>
      <w:r w:rsidRPr="000E67F8">
        <w:t xml:space="preserve">substances </w:t>
      </w:r>
      <w:r>
        <w:t>c</w:t>
      </w:r>
      <w:r w:rsidRPr="000E67F8">
        <w:t>ontrolled by the Montreal Protocol</w:t>
      </w:r>
    </w:p>
    <w:p w14:paraId="558E4CBF" w14:textId="34A9E26C" w:rsidR="00676242" w:rsidRPr="00676242" w:rsidRDefault="00676242" w:rsidP="00676242">
      <w:pPr>
        <w:pStyle w:val="Subtitle"/>
      </w:pPr>
      <w:r>
        <w:t>Australia’s 2020 progress report</w:t>
      </w:r>
    </w:p>
    <w:p w14:paraId="5C4030BE" w14:textId="32C38357" w:rsidR="00F8223C" w:rsidRPr="00F8223C" w:rsidRDefault="00DC735A" w:rsidP="00A12CA0">
      <w:pPr>
        <w:pStyle w:val="Author"/>
      </w:pPr>
      <w:r w:rsidRPr="001A2DE5">
        <w:t>Ozone and Climate Protectio</w:t>
      </w:r>
      <w:r w:rsidR="00F03CD9">
        <w:t>n</w:t>
      </w:r>
    </w:p>
    <w:p w14:paraId="07CA47A4" w14:textId="7997D19C" w:rsidR="00764D6A" w:rsidRDefault="00A41F85">
      <w:pPr>
        <w:pStyle w:val="Picture"/>
      </w:pPr>
      <w:r>
        <w:drawing>
          <wp:inline distT="0" distB="0" distL="0" distR="0" wp14:anchorId="50514CF9" wp14:editId="07E99A5E">
            <wp:extent cx="5860112" cy="5396226"/>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828" b="7088"/>
                    <a:stretch/>
                  </pic:blipFill>
                  <pic:spPr bwMode="auto">
                    <a:xfrm>
                      <a:off x="0" y="0"/>
                      <a:ext cx="5866903" cy="5402480"/>
                    </a:xfrm>
                    <a:prstGeom prst="rect">
                      <a:avLst/>
                    </a:prstGeom>
                    <a:ln>
                      <a:noFill/>
                    </a:ln>
                    <a:extLst>
                      <a:ext uri="{53640926-AAD7-44D8-BBD7-CCE9431645EC}">
                        <a14:shadowObscured xmlns:a14="http://schemas.microsoft.com/office/drawing/2010/main"/>
                      </a:ext>
                    </a:extLst>
                  </pic:spPr>
                </pic:pic>
              </a:graphicData>
            </a:graphic>
          </wp:inline>
        </w:drawing>
      </w:r>
    </w:p>
    <w:p w14:paraId="762B0D68" w14:textId="77777777" w:rsidR="00764D6A" w:rsidRDefault="00E91D72">
      <w:pPr>
        <w:pStyle w:val="Normalsmall"/>
      </w:pPr>
      <w:r>
        <w:br w:type="page"/>
      </w:r>
      <w:r>
        <w:lastRenderedPageBreak/>
        <w:t xml:space="preserve">© Commonwealth of Australia </w:t>
      </w:r>
      <w:r w:rsidR="00B97E61">
        <w:t>202</w:t>
      </w:r>
      <w:r w:rsidR="00D6626A">
        <w:t>1</w:t>
      </w:r>
    </w:p>
    <w:p w14:paraId="6CAE3CC6" w14:textId="77777777" w:rsidR="00764D6A" w:rsidRDefault="00E91D72">
      <w:pPr>
        <w:pStyle w:val="Normalsmall"/>
        <w:rPr>
          <w:rStyle w:val="Strong"/>
        </w:rPr>
      </w:pPr>
      <w:r>
        <w:rPr>
          <w:rStyle w:val="Strong"/>
        </w:rPr>
        <w:t>Ownership of intellectual property rights</w:t>
      </w:r>
    </w:p>
    <w:p w14:paraId="735E6AA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82E1961" w14:textId="77777777" w:rsidR="00764D6A" w:rsidRDefault="00E91D72">
      <w:pPr>
        <w:pStyle w:val="Normalsmall"/>
        <w:rPr>
          <w:rStyle w:val="Strong"/>
        </w:rPr>
      </w:pPr>
      <w:r>
        <w:rPr>
          <w:rStyle w:val="Strong"/>
        </w:rPr>
        <w:t>Creative Commons licence</w:t>
      </w:r>
    </w:p>
    <w:p w14:paraId="6B90653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D870988"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0855C47" w14:textId="77777777" w:rsidR="00764D6A" w:rsidRDefault="00E91D72">
      <w:pPr>
        <w:pStyle w:val="Normalsmall"/>
      </w:pPr>
      <w:r>
        <w:rPr>
          <w:noProof/>
          <w:lang w:eastAsia="en-AU"/>
        </w:rPr>
        <w:drawing>
          <wp:inline distT="0" distB="0" distL="0" distR="0" wp14:anchorId="48730F21" wp14:editId="68122341">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73200A2" w14:textId="77777777" w:rsidR="00764D6A" w:rsidRDefault="00E91D72">
      <w:pPr>
        <w:pStyle w:val="Normalsmall"/>
        <w:rPr>
          <w:rStyle w:val="Strong"/>
        </w:rPr>
      </w:pPr>
      <w:r>
        <w:rPr>
          <w:rStyle w:val="Strong"/>
        </w:rPr>
        <w:t>Cataloguing data</w:t>
      </w:r>
    </w:p>
    <w:p w14:paraId="544F35D2" w14:textId="49572B31" w:rsidR="00764D6A" w:rsidRDefault="00E91D72">
      <w:pPr>
        <w:pStyle w:val="Normalsmall"/>
      </w:pPr>
      <w:r>
        <w:t xml:space="preserve">This publication (and any material sourced from it) should be attributed as: </w:t>
      </w:r>
      <w:r w:rsidR="009D5007" w:rsidRPr="00E63347">
        <w:t>DAWE</w:t>
      </w:r>
      <w:r w:rsidR="00B97E61" w:rsidRPr="00E63347">
        <w:t xml:space="preserve"> 202</w:t>
      </w:r>
      <w:r w:rsidR="00D6626A" w:rsidRPr="00E63347">
        <w:t>1</w:t>
      </w:r>
      <w:r w:rsidRPr="00E63347">
        <w:t xml:space="preserve">, </w:t>
      </w:r>
      <w:r w:rsidR="00E63347" w:rsidRPr="00E63347">
        <w:rPr>
          <w:i/>
        </w:rPr>
        <w:t>Phasing</w:t>
      </w:r>
      <w:r w:rsidR="00E63347">
        <w:rPr>
          <w:i/>
        </w:rPr>
        <w:t xml:space="preserve"> out</w:t>
      </w:r>
      <w:r w:rsidR="004A46DE">
        <w:rPr>
          <w:i/>
        </w:rPr>
        <w:t xml:space="preserve"> and phasing down</w:t>
      </w:r>
      <w:r w:rsidR="00E63347">
        <w:rPr>
          <w:i/>
        </w:rPr>
        <w:t xml:space="preserve"> </w:t>
      </w:r>
      <w:r w:rsidR="00E63347" w:rsidRPr="004A46DE">
        <w:rPr>
          <w:i/>
        </w:rPr>
        <w:t>substances controlled by the Montreal</w:t>
      </w:r>
      <w:r w:rsidR="00E63347">
        <w:rPr>
          <w:i/>
        </w:rPr>
        <w:t xml:space="preserve"> Protocol</w:t>
      </w:r>
      <w:r>
        <w:t xml:space="preserve">, </w:t>
      </w:r>
      <w:r w:rsidR="00B5740E">
        <w:t>Department of Agriculture, Water and the Environment</w:t>
      </w:r>
      <w:r>
        <w:t>, Canberra</w:t>
      </w:r>
      <w:r w:rsidR="00FE34FD">
        <w:t>.</w:t>
      </w:r>
      <w:r w:rsidR="00E63347">
        <w:t xml:space="preserve"> </w:t>
      </w:r>
      <w:r>
        <w:t>CC BY 4.0.</w:t>
      </w:r>
    </w:p>
    <w:p w14:paraId="7DD09393" w14:textId="000BC851" w:rsidR="00764D6A" w:rsidRPr="00927FDF" w:rsidRDefault="00E91D72" w:rsidP="00927FDF">
      <w:pPr>
        <w:pStyle w:val="Normalsmall"/>
      </w:pPr>
      <w:r w:rsidRPr="00927FDF">
        <w:t xml:space="preserve">ISBN </w:t>
      </w:r>
      <w:r w:rsidR="00927FDF" w:rsidRPr="00927FDF">
        <w:t>978-1-76003-464-1</w:t>
      </w:r>
    </w:p>
    <w:p w14:paraId="7E418E32" w14:textId="287FC842" w:rsidR="00EC1E23" w:rsidRDefault="00E91D72">
      <w:pPr>
        <w:pStyle w:val="Normalsmall"/>
      </w:pPr>
      <w:r>
        <w:t xml:space="preserve">This publication is </w:t>
      </w:r>
      <w:r w:rsidRPr="00E20810">
        <w:t xml:space="preserve">available at </w:t>
      </w:r>
      <w:hyperlink r:id="rId15" w:history="1">
        <w:r w:rsidR="00682F86">
          <w:rPr>
            <w:rStyle w:val="Hyperlink"/>
          </w:rPr>
          <w:t>environment.gov.au/protection/ozone/publications</w:t>
        </w:r>
      </w:hyperlink>
      <w:r w:rsidR="00BF6D78">
        <w:t>.</w:t>
      </w:r>
    </w:p>
    <w:p w14:paraId="1B7CEA21" w14:textId="77777777" w:rsidR="00764D6A" w:rsidRDefault="00B5740E">
      <w:pPr>
        <w:pStyle w:val="Normalsmall"/>
        <w:spacing w:after="0"/>
      </w:pPr>
      <w:r>
        <w:t>Department of Agriculture, Water and the Environment</w:t>
      </w:r>
    </w:p>
    <w:p w14:paraId="222EC477" w14:textId="77777777" w:rsidR="00764D6A" w:rsidRDefault="00E91D72">
      <w:pPr>
        <w:pStyle w:val="Normalsmall"/>
        <w:spacing w:after="0"/>
      </w:pPr>
      <w:r>
        <w:t>GPO Box 858 Canberra ACT 2601</w:t>
      </w:r>
    </w:p>
    <w:p w14:paraId="7733BFDA" w14:textId="3C1CB154" w:rsidR="00764D6A" w:rsidRDefault="00E91D72">
      <w:pPr>
        <w:pStyle w:val="Normalsmall"/>
        <w:spacing w:after="0"/>
      </w:pPr>
      <w:r>
        <w:t xml:space="preserve">Telephone </w:t>
      </w:r>
      <w:r w:rsidRPr="00773056">
        <w:t>1800 900 090</w:t>
      </w:r>
    </w:p>
    <w:p w14:paraId="1753F7F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B5DB766" w14:textId="77777777" w:rsidR="007C358A" w:rsidRDefault="007C358A">
      <w:pPr>
        <w:pStyle w:val="Normalsmall"/>
      </w:pPr>
      <w:r>
        <w:rPr>
          <w:rStyle w:val="Strong"/>
        </w:rPr>
        <w:t>Disclaimer</w:t>
      </w:r>
    </w:p>
    <w:p w14:paraId="1890710C" w14:textId="07B57F92" w:rsidR="00764D6A" w:rsidRDefault="00E91D72" w:rsidP="00BF08B5">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84D851D" w14:textId="3616AD72" w:rsidR="00764D6A" w:rsidRDefault="00E91D72" w:rsidP="00BF08B5">
          <w:pPr>
            <w:pStyle w:val="TOCHeading"/>
            <w:pageBreakBefore/>
          </w:pPr>
          <w:r>
            <w:t>Contents</w:t>
          </w:r>
        </w:p>
        <w:p w14:paraId="228ED736" w14:textId="661CC6D1" w:rsidR="00C46BF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2789378" w:history="1">
            <w:r w:rsidR="00C46BFE" w:rsidRPr="00C54401">
              <w:rPr>
                <w:rStyle w:val="Hyperlink"/>
              </w:rPr>
              <w:t>Summary</w:t>
            </w:r>
            <w:r w:rsidR="00C46BFE">
              <w:rPr>
                <w:webHidden/>
              </w:rPr>
              <w:tab/>
            </w:r>
            <w:r w:rsidR="00C46BFE">
              <w:rPr>
                <w:webHidden/>
              </w:rPr>
              <w:fldChar w:fldCharType="begin"/>
            </w:r>
            <w:r w:rsidR="00C46BFE">
              <w:rPr>
                <w:webHidden/>
              </w:rPr>
              <w:instrText xml:space="preserve"> PAGEREF _Toc82789378 \h </w:instrText>
            </w:r>
            <w:r w:rsidR="00C46BFE">
              <w:rPr>
                <w:webHidden/>
              </w:rPr>
            </w:r>
            <w:r w:rsidR="00C46BFE">
              <w:rPr>
                <w:webHidden/>
              </w:rPr>
              <w:fldChar w:fldCharType="separate"/>
            </w:r>
            <w:r w:rsidR="00C46BFE">
              <w:rPr>
                <w:webHidden/>
              </w:rPr>
              <w:t>v</w:t>
            </w:r>
            <w:r w:rsidR="00C46BFE">
              <w:rPr>
                <w:webHidden/>
              </w:rPr>
              <w:fldChar w:fldCharType="end"/>
            </w:r>
          </w:hyperlink>
        </w:p>
        <w:p w14:paraId="5CE3027D" w14:textId="4E4D50D3" w:rsidR="00C46BFE" w:rsidRDefault="00B60691">
          <w:pPr>
            <w:pStyle w:val="TOC1"/>
            <w:rPr>
              <w:rFonts w:asciiTheme="minorHAnsi" w:eastAsiaTheme="minorEastAsia" w:hAnsiTheme="minorHAnsi"/>
              <w:b w:val="0"/>
              <w:lang w:eastAsia="en-AU"/>
            </w:rPr>
          </w:pPr>
          <w:hyperlink w:anchor="_Toc82789379" w:history="1">
            <w:r w:rsidR="00C46BFE" w:rsidRPr="00C54401">
              <w:rPr>
                <w:rStyle w:val="Hyperlink"/>
              </w:rPr>
              <w:t>Introduction</w:t>
            </w:r>
            <w:r w:rsidR="00C46BFE">
              <w:rPr>
                <w:webHidden/>
              </w:rPr>
              <w:tab/>
            </w:r>
            <w:r w:rsidR="00C46BFE">
              <w:rPr>
                <w:webHidden/>
              </w:rPr>
              <w:fldChar w:fldCharType="begin"/>
            </w:r>
            <w:r w:rsidR="00C46BFE">
              <w:rPr>
                <w:webHidden/>
              </w:rPr>
              <w:instrText xml:space="preserve"> PAGEREF _Toc82789379 \h </w:instrText>
            </w:r>
            <w:r w:rsidR="00C46BFE">
              <w:rPr>
                <w:webHidden/>
              </w:rPr>
            </w:r>
            <w:r w:rsidR="00C46BFE">
              <w:rPr>
                <w:webHidden/>
              </w:rPr>
              <w:fldChar w:fldCharType="separate"/>
            </w:r>
            <w:r w:rsidR="00C46BFE">
              <w:rPr>
                <w:webHidden/>
              </w:rPr>
              <w:t>1</w:t>
            </w:r>
            <w:r w:rsidR="00C46BFE">
              <w:rPr>
                <w:webHidden/>
              </w:rPr>
              <w:fldChar w:fldCharType="end"/>
            </w:r>
          </w:hyperlink>
        </w:p>
        <w:p w14:paraId="0BE36761" w14:textId="567D061F" w:rsidR="00C46BFE" w:rsidRDefault="00B60691">
          <w:pPr>
            <w:pStyle w:val="TOC1"/>
            <w:rPr>
              <w:rFonts w:asciiTheme="minorHAnsi" w:eastAsiaTheme="minorEastAsia" w:hAnsiTheme="minorHAnsi"/>
              <w:b w:val="0"/>
              <w:lang w:eastAsia="en-AU"/>
            </w:rPr>
          </w:pPr>
          <w:hyperlink w:anchor="_Toc82789380" w:history="1">
            <w:r w:rsidR="00C46BFE" w:rsidRPr="00C54401">
              <w:rPr>
                <w:rStyle w:val="Hyperlink"/>
              </w:rPr>
              <w:t>HCFCs</w:t>
            </w:r>
            <w:r w:rsidR="00C46BFE">
              <w:rPr>
                <w:webHidden/>
              </w:rPr>
              <w:tab/>
            </w:r>
            <w:r w:rsidR="00C46BFE">
              <w:rPr>
                <w:webHidden/>
              </w:rPr>
              <w:fldChar w:fldCharType="begin"/>
            </w:r>
            <w:r w:rsidR="00C46BFE">
              <w:rPr>
                <w:webHidden/>
              </w:rPr>
              <w:instrText xml:space="preserve"> PAGEREF _Toc82789380 \h </w:instrText>
            </w:r>
            <w:r w:rsidR="00C46BFE">
              <w:rPr>
                <w:webHidden/>
              </w:rPr>
            </w:r>
            <w:r w:rsidR="00C46BFE">
              <w:rPr>
                <w:webHidden/>
              </w:rPr>
              <w:fldChar w:fldCharType="separate"/>
            </w:r>
            <w:r w:rsidR="00C46BFE">
              <w:rPr>
                <w:webHidden/>
              </w:rPr>
              <w:t>2</w:t>
            </w:r>
            <w:r w:rsidR="00C46BFE">
              <w:rPr>
                <w:webHidden/>
              </w:rPr>
              <w:fldChar w:fldCharType="end"/>
            </w:r>
          </w:hyperlink>
        </w:p>
        <w:p w14:paraId="2E01B248" w14:textId="61711F65" w:rsidR="00C46BFE" w:rsidRDefault="00B60691">
          <w:pPr>
            <w:pStyle w:val="TOC2"/>
            <w:rPr>
              <w:rFonts w:asciiTheme="minorHAnsi" w:eastAsiaTheme="minorEastAsia" w:hAnsiTheme="minorHAnsi"/>
              <w:lang w:eastAsia="en-AU"/>
            </w:rPr>
          </w:pPr>
          <w:hyperlink w:anchor="_Toc82789381" w:history="1">
            <w:r w:rsidR="00C46BFE" w:rsidRPr="00C54401">
              <w:rPr>
                <w:rStyle w:val="Hyperlink"/>
                <w:lang w:eastAsia="ja-JP"/>
              </w:rPr>
              <w:t>Australian HCFC bulk imports</w:t>
            </w:r>
            <w:r w:rsidR="00C46BFE">
              <w:rPr>
                <w:webHidden/>
              </w:rPr>
              <w:tab/>
            </w:r>
            <w:r w:rsidR="00C46BFE">
              <w:rPr>
                <w:webHidden/>
              </w:rPr>
              <w:fldChar w:fldCharType="begin"/>
            </w:r>
            <w:r w:rsidR="00C46BFE">
              <w:rPr>
                <w:webHidden/>
              </w:rPr>
              <w:instrText xml:space="preserve"> PAGEREF _Toc82789381 \h </w:instrText>
            </w:r>
            <w:r w:rsidR="00C46BFE">
              <w:rPr>
                <w:webHidden/>
              </w:rPr>
            </w:r>
            <w:r w:rsidR="00C46BFE">
              <w:rPr>
                <w:webHidden/>
              </w:rPr>
              <w:fldChar w:fldCharType="separate"/>
            </w:r>
            <w:r w:rsidR="00C46BFE">
              <w:rPr>
                <w:webHidden/>
              </w:rPr>
              <w:t>2</w:t>
            </w:r>
            <w:r w:rsidR="00C46BFE">
              <w:rPr>
                <w:webHidden/>
              </w:rPr>
              <w:fldChar w:fldCharType="end"/>
            </w:r>
          </w:hyperlink>
        </w:p>
        <w:p w14:paraId="122136EC" w14:textId="66469448" w:rsidR="00C46BFE" w:rsidRDefault="00B60691">
          <w:pPr>
            <w:pStyle w:val="TOC2"/>
            <w:rPr>
              <w:rFonts w:asciiTheme="minorHAnsi" w:eastAsiaTheme="minorEastAsia" w:hAnsiTheme="minorHAnsi"/>
              <w:lang w:eastAsia="en-AU"/>
            </w:rPr>
          </w:pPr>
          <w:hyperlink w:anchor="_Toc82789382" w:history="1">
            <w:r w:rsidR="00C46BFE" w:rsidRPr="00C54401">
              <w:rPr>
                <w:rStyle w:val="Hyperlink"/>
              </w:rPr>
              <w:t>Australia’s bulk HCFC imports compared with other countries</w:t>
            </w:r>
            <w:r w:rsidR="00C46BFE">
              <w:rPr>
                <w:webHidden/>
              </w:rPr>
              <w:tab/>
            </w:r>
            <w:r w:rsidR="00C46BFE">
              <w:rPr>
                <w:webHidden/>
              </w:rPr>
              <w:fldChar w:fldCharType="begin"/>
            </w:r>
            <w:r w:rsidR="00C46BFE">
              <w:rPr>
                <w:webHidden/>
              </w:rPr>
              <w:instrText xml:space="preserve"> PAGEREF _Toc82789382 \h </w:instrText>
            </w:r>
            <w:r w:rsidR="00C46BFE">
              <w:rPr>
                <w:webHidden/>
              </w:rPr>
            </w:r>
            <w:r w:rsidR="00C46BFE">
              <w:rPr>
                <w:webHidden/>
              </w:rPr>
              <w:fldChar w:fldCharType="separate"/>
            </w:r>
            <w:r w:rsidR="00C46BFE">
              <w:rPr>
                <w:webHidden/>
              </w:rPr>
              <w:t>3</w:t>
            </w:r>
            <w:r w:rsidR="00C46BFE">
              <w:rPr>
                <w:webHidden/>
              </w:rPr>
              <w:fldChar w:fldCharType="end"/>
            </w:r>
          </w:hyperlink>
        </w:p>
        <w:p w14:paraId="1F44A925" w14:textId="59C7EBCA" w:rsidR="00C46BFE" w:rsidRDefault="00B60691">
          <w:pPr>
            <w:pStyle w:val="TOC2"/>
            <w:rPr>
              <w:rFonts w:asciiTheme="minorHAnsi" w:eastAsiaTheme="minorEastAsia" w:hAnsiTheme="minorHAnsi"/>
              <w:lang w:eastAsia="en-AU"/>
            </w:rPr>
          </w:pPr>
          <w:hyperlink w:anchor="_Toc82789383" w:history="1">
            <w:r w:rsidR="00C46BFE" w:rsidRPr="00C54401">
              <w:rPr>
                <w:rStyle w:val="Hyperlink"/>
              </w:rPr>
              <w:t>HCFC imported into Australia in pre-charged equipment</w:t>
            </w:r>
            <w:r w:rsidR="00C46BFE">
              <w:rPr>
                <w:webHidden/>
              </w:rPr>
              <w:tab/>
            </w:r>
            <w:r w:rsidR="00C46BFE">
              <w:rPr>
                <w:webHidden/>
              </w:rPr>
              <w:fldChar w:fldCharType="begin"/>
            </w:r>
            <w:r w:rsidR="00C46BFE">
              <w:rPr>
                <w:webHidden/>
              </w:rPr>
              <w:instrText xml:space="preserve"> PAGEREF _Toc82789383 \h </w:instrText>
            </w:r>
            <w:r w:rsidR="00C46BFE">
              <w:rPr>
                <w:webHidden/>
              </w:rPr>
            </w:r>
            <w:r w:rsidR="00C46BFE">
              <w:rPr>
                <w:webHidden/>
              </w:rPr>
              <w:fldChar w:fldCharType="separate"/>
            </w:r>
            <w:r w:rsidR="00C46BFE">
              <w:rPr>
                <w:webHidden/>
              </w:rPr>
              <w:t>3</w:t>
            </w:r>
            <w:r w:rsidR="00C46BFE">
              <w:rPr>
                <w:webHidden/>
              </w:rPr>
              <w:fldChar w:fldCharType="end"/>
            </w:r>
          </w:hyperlink>
        </w:p>
        <w:p w14:paraId="2819A6C4" w14:textId="40D890E9" w:rsidR="00C46BFE" w:rsidRDefault="00B60691">
          <w:pPr>
            <w:pStyle w:val="TOC2"/>
            <w:rPr>
              <w:rFonts w:asciiTheme="minorHAnsi" w:eastAsiaTheme="minorEastAsia" w:hAnsiTheme="minorHAnsi"/>
              <w:lang w:eastAsia="en-AU"/>
            </w:rPr>
          </w:pPr>
          <w:hyperlink w:anchor="_Toc82789384" w:history="1">
            <w:r w:rsidR="00C46BFE" w:rsidRPr="00C54401">
              <w:rPr>
                <w:rStyle w:val="Hyperlink"/>
              </w:rPr>
              <w:t>Destruction of HCFCs and CFCs by Refrigerant Reclaim Australia</w:t>
            </w:r>
            <w:r w:rsidR="00C46BFE">
              <w:rPr>
                <w:webHidden/>
              </w:rPr>
              <w:tab/>
            </w:r>
            <w:r w:rsidR="00C46BFE">
              <w:rPr>
                <w:webHidden/>
              </w:rPr>
              <w:fldChar w:fldCharType="begin"/>
            </w:r>
            <w:r w:rsidR="00C46BFE">
              <w:rPr>
                <w:webHidden/>
              </w:rPr>
              <w:instrText xml:space="preserve"> PAGEREF _Toc82789384 \h </w:instrText>
            </w:r>
            <w:r w:rsidR="00C46BFE">
              <w:rPr>
                <w:webHidden/>
              </w:rPr>
            </w:r>
            <w:r w:rsidR="00C46BFE">
              <w:rPr>
                <w:webHidden/>
              </w:rPr>
              <w:fldChar w:fldCharType="separate"/>
            </w:r>
            <w:r w:rsidR="00C46BFE">
              <w:rPr>
                <w:webHidden/>
              </w:rPr>
              <w:t>5</w:t>
            </w:r>
            <w:r w:rsidR="00C46BFE">
              <w:rPr>
                <w:webHidden/>
              </w:rPr>
              <w:fldChar w:fldCharType="end"/>
            </w:r>
          </w:hyperlink>
        </w:p>
        <w:p w14:paraId="7B1F7B20" w14:textId="0373DC4D" w:rsidR="00C46BFE" w:rsidRDefault="00B60691">
          <w:pPr>
            <w:pStyle w:val="TOC1"/>
            <w:rPr>
              <w:rFonts w:asciiTheme="minorHAnsi" w:eastAsiaTheme="minorEastAsia" w:hAnsiTheme="minorHAnsi"/>
              <w:b w:val="0"/>
              <w:lang w:eastAsia="en-AU"/>
            </w:rPr>
          </w:pPr>
          <w:hyperlink w:anchor="_Toc82789385" w:history="1">
            <w:r w:rsidR="00C46BFE" w:rsidRPr="00C54401">
              <w:rPr>
                <w:rStyle w:val="Hyperlink"/>
              </w:rPr>
              <w:t>Methyl bromide</w:t>
            </w:r>
            <w:r w:rsidR="00C46BFE">
              <w:rPr>
                <w:webHidden/>
              </w:rPr>
              <w:tab/>
            </w:r>
            <w:r w:rsidR="00C46BFE">
              <w:rPr>
                <w:webHidden/>
              </w:rPr>
              <w:fldChar w:fldCharType="begin"/>
            </w:r>
            <w:r w:rsidR="00C46BFE">
              <w:rPr>
                <w:webHidden/>
              </w:rPr>
              <w:instrText xml:space="preserve"> PAGEREF _Toc82789385 \h </w:instrText>
            </w:r>
            <w:r w:rsidR="00C46BFE">
              <w:rPr>
                <w:webHidden/>
              </w:rPr>
            </w:r>
            <w:r w:rsidR="00C46BFE">
              <w:rPr>
                <w:webHidden/>
              </w:rPr>
              <w:fldChar w:fldCharType="separate"/>
            </w:r>
            <w:r w:rsidR="00C46BFE">
              <w:rPr>
                <w:webHidden/>
              </w:rPr>
              <w:t>6</w:t>
            </w:r>
            <w:r w:rsidR="00C46BFE">
              <w:rPr>
                <w:webHidden/>
              </w:rPr>
              <w:fldChar w:fldCharType="end"/>
            </w:r>
          </w:hyperlink>
        </w:p>
        <w:p w14:paraId="01C3773C" w14:textId="25B03E37" w:rsidR="00C46BFE" w:rsidRDefault="00B60691">
          <w:pPr>
            <w:pStyle w:val="TOC2"/>
            <w:rPr>
              <w:rFonts w:asciiTheme="minorHAnsi" w:eastAsiaTheme="minorEastAsia" w:hAnsiTheme="minorHAnsi"/>
              <w:lang w:eastAsia="en-AU"/>
            </w:rPr>
          </w:pPr>
          <w:hyperlink w:anchor="_Toc82789386" w:history="1">
            <w:r w:rsidR="00C46BFE" w:rsidRPr="00C54401">
              <w:rPr>
                <w:rStyle w:val="Hyperlink"/>
              </w:rPr>
              <w:t>Quarantine and pre-shipment uses of methyl bromide (MB)</w:t>
            </w:r>
            <w:r w:rsidR="00C46BFE">
              <w:rPr>
                <w:webHidden/>
              </w:rPr>
              <w:tab/>
            </w:r>
            <w:r w:rsidR="00C46BFE">
              <w:rPr>
                <w:webHidden/>
              </w:rPr>
              <w:fldChar w:fldCharType="begin"/>
            </w:r>
            <w:r w:rsidR="00C46BFE">
              <w:rPr>
                <w:webHidden/>
              </w:rPr>
              <w:instrText xml:space="preserve"> PAGEREF _Toc82789386 \h </w:instrText>
            </w:r>
            <w:r w:rsidR="00C46BFE">
              <w:rPr>
                <w:webHidden/>
              </w:rPr>
            </w:r>
            <w:r w:rsidR="00C46BFE">
              <w:rPr>
                <w:webHidden/>
              </w:rPr>
              <w:fldChar w:fldCharType="separate"/>
            </w:r>
            <w:r w:rsidR="00C46BFE">
              <w:rPr>
                <w:webHidden/>
              </w:rPr>
              <w:t>6</w:t>
            </w:r>
            <w:r w:rsidR="00C46BFE">
              <w:rPr>
                <w:webHidden/>
              </w:rPr>
              <w:fldChar w:fldCharType="end"/>
            </w:r>
          </w:hyperlink>
        </w:p>
        <w:p w14:paraId="42C1EEF8" w14:textId="473E2570" w:rsidR="00C46BFE" w:rsidRDefault="00B60691">
          <w:pPr>
            <w:pStyle w:val="TOC2"/>
            <w:rPr>
              <w:rFonts w:asciiTheme="minorHAnsi" w:eastAsiaTheme="minorEastAsia" w:hAnsiTheme="minorHAnsi"/>
              <w:lang w:eastAsia="en-AU"/>
            </w:rPr>
          </w:pPr>
          <w:hyperlink w:anchor="_Toc82789387" w:history="1">
            <w:r w:rsidR="00C46BFE" w:rsidRPr="00C54401">
              <w:rPr>
                <w:rStyle w:val="Hyperlink"/>
              </w:rPr>
              <w:t>Non-quarantine and pre-shipment uses of methyl bromide</w:t>
            </w:r>
            <w:r w:rsidR="00C46BFE">
              <w:rPr>
                <w:webHidden/>
              </w:rPr>
              <w:tab/>
            </w:r>
            <w:r w:rsidR="00C46BFE">
              <w:rPr>
                <w:webHidden/>
              </w:rPr>
              <w:fldChar w:fldCharType="begin"/>
            </w:r>
            <w:r w:rsidR="00C46BFE">
              <w:rPr>
                <w:webHidden/>
              </w:rPr>
              <w:instrText xml:space="preserve"> PAGEREF _Toc82789387 \h </w:instrText>
            </w:r>
            <w:r w:rsidR="00C46BFE">
              <w:rPr>
                <w:webHidden/>
              </w:rPr>
            </w:r>
            <w:r w:rsidR="00C46BFE">
              <w:rPr>
                <w:webHidden/>
              </w:rPr>
              <w:fldChar w:fldCharType="separate"/>
            </w:r>
            <w:r w:rsidR="00C46BFE">
              <w:rPr>
                <w:webHidden/>
              </w:rPr>
              <w:t>7</w:t>
            </w:r>
            <w:r w:rsidR="00C46BFE">
              <w:rPr>
                <w:webHidden/>
              </w:rPr>
              <w:fldChar w:fldCharType="end"/>
            </w:r>
          </w:hyperlink>
        </w:p>
        <w:p w14:paraId="24F98673" w14:textId="302E9CE2" w:rsidR="00C46BFE" w:rsidRDefault="00B60691">
          <w:pPr>
            <w:pStyle w:val="TOC1"/>
            <w:rPr>
              <w:rFonts w:asciiTheme="minorHAnsi" w:eastAsiaTheme="minorEastAsia" w:hAnsiTheme="minorHAnsi"/>
              <w:b w:val="0"/>
              <w:lang w:eastAsia="en-AU"/>
            </w:rPr>
          </w:pPr>
          <w:hyperlink w:anchor="_Toc82789388" w:history="1">
            <w:r w:rsidR="00C46BFE" w:rsidRPr="00C54401">
              <w:rPr>
                <w:rStyle w:val="Hyperlink"/>
              </w:rPr>
              <w:t>Imports of ozone depleting substances used as feedstock into Australia</w:t>
            </w:r>
            <w:r w:rsidR="00C46BFE">
              <w:rPr>
                <w:webHidden/>
              </w:rPr>
              <w:tab/>
            </w:r>
            <w:r w:rsidR="00C46BFE">
              <w:rPr>
                <w:webHidden/>
              </w:rPr>
              <w:fldChar w:fldCharType="begin"/>
            </w:r>
            <w:r w:rsidR="00C46BFE">
              <w:rPr>
                <w:webHidden/>
              </w:rPr>
              <w:instrText xml:space="preserve"> PAGEREF _Toc82789388 \h </w:instrText>
            </w:r>
            <w:r w:rsidR="00C46BFE">
              <w:rPr>
                <w:webHidden/>
              </w:rPr>
            </w:r>
            <w:r w:rsidR="00C46BFE">
              <w:rPr>
                <w:webHidden/>
              </w:rPr>
              <w:fldChar w:fldCharType="separate"/>
            </w:r>
            <w:r w:rsidR="00C46BFE">
              <w:rPr>
                <w:webHidden/>
              </w:rPr>
              <w:t>8</w:t>
            </w:r>
            <w:r w:rsidR="00C46BFE">
              <w:rPr>
                <w:webHidden/>
              </w:rPr>
              <w:fldChar w:fldCharType="end"/>
            </w:r>
          </w:hyperlink>
        </w:p>
        <w:p w14:paraId="13A7B8E8" w14:textId="25CF7EA6" w:rsidR="00C46BFE" w:rsidRDefault="00B60691">
          <w:pPr>
            <w:pStyle w:val="TOC1"/>
            <w:rPr>
              <w:rFonts w:asciiTheme="minorHAnsi" w:eastAsiaTheme="minorEastAsia" w:hAnsiTheme="minorHAnsi"/>
              <w:b w:val="0"/>
              <w:lang w:eastAsia="en-AU"/>
            </w:rPr>
          </w:pPr>
          <w:hyperlink w:anchor="_Toc82789389" w:history="1">
            <w:r w:rsidR="00C46BFE" w:rsidRPr="00C54401">
              <w:rPr>
                <w:rStyle w:val="Hyperlink"/>
              </w:rPr>
              <w:t>Imports of halon in equipment</w:t>
            </w:r>
            <w:r w:rsidR="00C46BFE">
              <w:rPr>
                <w:webHidden/>
              </w:rPr>
              <w:tab/>
            </w:r>
            <w:r w:rsidR="00C46BFE">
              <w:rPr>
                <w:webHidden/>
              </w:rPr>
              <w:fldChar w:fldCharType="begin"/>
            </w:r>
            <w:r w:rsidR="00C46BFE">
              <w:rPr>
                <w:webHidden/>
              </w:rPr>
              <w:instrText xml:space="preserve"> PAGEREF _Toc82789389 \h </w:instrText>
            </w:r>
            <w:r w:rsidR="00C46BFE">
              <w:rPr>
                <w:webHidden/>
              </w:rPr>
            </w:r>
            <w:r w:rsidR="00C46BFE">
              <w:rPr>
                <w:webHidden/>
              </w:rPr>
              <w:fldChar w:fldCharType="separate"/>
            </w:r>
            <w:r w:rsidR="00C46BFE">
              <w:rPr>
                <w:webHidden/>
              </w:rPr>
              <w:t>9</w:t>
            </w:r>
            <w:r w:rsidR="00C46BFE">
              <w:rPr>
                <w:webHidden/>
              </w:rPr>
              <w:fldChar w:fldCharType="end"/>
            </w:r>
          </w:hyperlink>
        </w:p>
        <w:p w14:paraId="246D4891" w14:textId="6CE758CC" w:rsidR="00C46BFE" w:rsidRDefault="00B60691">
          <w:pPr>
            <w:pStyle w:val="TOC1"/>
            <w:rPr>
              <w:rFonts w:asciiTheme="minorHAnsi" w:eastAsiaTheme="minorEastAsia" w:hAnsiTheme="minorHAnsi"/>
              <w:b w:val="0"/>
              <w:lang w:eastAsia="en-AU"/>
            </w:rPr>
          </w:pPr>
          <w:hyperlink w:anchor="_Toc82789390" w:history="1">
            <w:r w:rsidR="00C46BFE" w:rsidRPr="00C54401">
              <w:rPr>
                <w:rStyle w:val="Hyperlink"/>
              </w:rPr>
              <w:t>HFCs</w:t>
            </w:r>
            <w:r w:rsidR="00C46BFE">
              <w:rPr>
                <w:webHidden/>
              </w:rPr>
              <w:tab/>
            </w:r>
            <w:r w:rsidR="00C46BFE">
              <w:rPr>
                <w:webHidden/>
              </w:rPr>
              <w:fldChar w:fldCharType="begin"/>
            </w:r>
            <w:r w:rsidR="00C46BFE">
              <w:rPr>
                <w:webHidden/>
              </w:rPr>
              <w:instrText xml:space="preserve"> PAGEREF _Toc82789390 \h </w:instrText>
            </w:r>
            <w:r w:rsidR="00C46BFE">
              <w:rPr>
                <w:webHidden/>
              </w:rPr>
            </w:r>
            <w:r w:rsidR="00C46BFE">
              <w:rPr>
                <w:webHidden/>
              </w:rPr>
              <w:fldChar w:fldCharType="separate"/>
            </w:r>
            <w:r w:rsidR="00C46BFE">
              <w:rPr>
                <w:webHidden/>
              </w:rPr>
              <w:t>10</w:t>
            </w:r>
            <w:r w:rsidR="00C46BFE">
              <w:rPr>
                <w:webHidden/>
              </w:rPr>
              <w:fldChar w:fldCharType="end"/>
            </w:r>
          </w:hyperlink>
        </w:p>
        <w:p w14:paraId="0F85A391" w14:textId="2253EFBA" w:rsidR="00C46BFE" w:rsidRDefault="00B60691">
          <w:pPr>
            <w:pStyle w:val="TOC2"/>
            <w:rPr>
              <w:rFonts w:asciiTheme="minorHAnsi" w:eastAsiaTheme="minorEastAsia" w:hAnsiTheme="minorHAnsi"/>
              <w:lang w:eastAsia="en-AU"/>
            </w:rPr>
          </w:pPr>
          <w:hyperlink w:anchor="_Toc82789391" w:history="1">
            <w:r w:rsidR="00C46BFE" w:rsidRPr="00C54401">
              <w:rPr>
                <w:rStyle w:val="Hyperlink"/>
                <w:lang w:eastAsia="ja-JP"/>
              </w:rPr>
              <w:t>Bulk imports of HFCs into Australia</w:t>
            </w:r>
            <w:r w:rsidR="00C46BFE">
              <w:rPr>
                <w:webHidden/>
              </w:rPr>
              <w:tab/>
            </w:r>
            <w:r w:rsidR="00C46BFE">
              <w:rPr>
                <w:webHidden/>
              </w:rPr>
              <w:fldChar w:fldCharType="begin"/>
            </w:r>
            <w:r w:rsidR="00C46BFE">
              <w:rPr>
                <w:webHidden/>
              </w:rPr>
              <w:instrText xml:space="preserve"> PAGEREF _Toc82789391 \h </w:instrText>
            </w:r>
            <w:r w:rsidR="00C46BFE">
              <w:rPr>
                <w:webHidden/>
              </w:rPr>
            </w:r>
            <w:r w:rsidR="00C46BFE">
              <w:rPr>
                <w:webHidden/>
              </w:rPr>
              <w:fldChar w:fldCharType="separate"/>
            </w:r>
            <w:r w:rsidR="00C46BFE">
              <w:rPr>
                <w:webHidden/>
              </w:rPr>
              <w:t>10</w:t>
            </w:r>
            <w:r w:rsidR="00C46BFE">
              <w:rPr>
                <w:webHidden/>
              </w:rPr>
              <w:fldChar w:fldCharType="end"/>
            </w:r>
          </w:hyperlink>
        </w:p>
        <w:p w14:paraId="14E0B0B2" w14:textId="0C49AC13" w:rsidR="00C46BFE" w:rsidRDefault="00B60691">
          <w:pPr>
            <w:pStyle w:val="TOC2"/>
            <w:rPr>
              <w:rFonts w:asciiTheme="minorHAnsi" w:eastAsiaTheme="minorEastAsia" w:hAnsiTheme="minorHAnsi"/>
              <w:lang w:eastAsia="en-AU"/>
            </w:rPr>
          </w:pPr>
          <w:hyperlink w:anchor="_Toc82789392" w:history="1">
            <w:r w:rsidR="00C46BFE" w:rsidRPr="00C54401">
              <w:rPr>
                <w:rStyle w:val="Hyperlink"/>
                <w:lang w:eastAsia="ja-JP"/>
              </w:rPr>
              <w:t>HFC equipment imports into Australia</w:t>
            </w:r>
            <w:r w:rsidR="00C46BFE">
              <w:rPr>
                <w:webHidden/>
              </w:rPr>
              <w:tab/>
            </w:r>
            <w:r w:rsidR="00C46BFE">
              <w:rPr>
                <w:webHidden/>
              </w:rPr>
              <w:fldChar w:fldCharType="begin"/>
            </w:r>
            <w:r w:rsidR="00C46BFE">
              <w:rPr>
                <w:webHidden/>
              </w:rPr>
              <w:instrText xml:space="preserve"> PAGEREF _Toc82789392 \h </w:instrText>
            </w:r>
            <w:r w:rsidR="00C46BFE">
              <w:rPr>
                <w:webHidden/>
              </w:rPr>
            </w:r>
            <w:r w:rsidR="00C46BFE">
              <w:rPr>
                <w:webHidden/>
              </w:rPr>
              <w:fldChar w:fldCharType="separate"/>
            </w:r>
            <w:r w:rsidR="00C46BFE">
              <w:rPr>
                <w:webHidden/>
              </w:rPr>
              <w:t>11</w:t>
            </w:r>
            <w:r w:rsidR="00C46BFE">
              <w:rPr>
                <w:webHidden/>
              </w:rPr>
              <w:fldChar w:fldCharType="end"/>
            </w:r>
          </w:hyperlink>
        </w:p>
        <w:p w14:paraId="0AE746ED" w14:textId="7C054BD7" w:rsidR="00C46BFE" w:rsidRDefault="00B60691">
          <w:pPr>
            <w:pStyle w:val="TOC2"/>
            <w:rPr>
              <w:rFonts w:asciiTheme="minorHAnsi" w:eastAsiaTheme="minorEastAsia" w:hAnsiTheme="minorHAnsi"/>
              <w:lang w:eastAsia="en-AU"/>
            </w:rPr>
          </w:pPr>
          <w:hyperlink w:anchor="_Toc82789393" w:history="1">
            <w:r w:rsidR="00C46BFE" w:rsidRPr="00C54401">
              <w:rPr>
                <w:rStyle w:val="Hyperlink"/>
              </w:rPr>
              <w:t>Destruction of HFCs</w:t>
            </w:r>
            <w:r w:rsidR="00C46BFE">
              <w:rPr>
                <w:webHidden/>
              </w:rPr>
              <w:tab/>
            </w:r>
            <w:r w:rsidR="00C46BFE">
              <w:rPr>
                <w:webHidden/>
              </w:rPr>
              <w:fldChar w:fldCharType="begin"/>
            </w:r>
            <w:r w:rsidR="00C46BFE">
              <w:rPr>
                <w:webHidden/>
              </w:rPr>
              <w:instrText xml:space="preserve"> PAGEREF _Toc82789393 \h </w:instrText>
            </w:r>
            <w:r w:rsidR="00C46BFE">
              <w:rPr>
                <w:webHidden/>
              </w:rPr>
            </w:r>
            <w:r w:rsidR="00C46BFE">
              <w:rPr>
                <w:webHidden/>
              </w:rPr>
              <w:fldChar w:fldCharType="separate"/>
            </w:r>
            <w:r w:rsidR="00C46BFE">
              <w:rPr>
                <w:webHidden/>
              </w:rPr>
              <w:t>13</w:t>
            </w:r>
            <w:r w:rsidR="00C46BFE">
              <w:rPr>
                <w:webHidden/>
              </w:rPr>
              <w:fldChar w:fldCharType="end"/>
            </w:r>
          </w:hyperlink>
        </w:p>
        <w:p w14:paraId="6598B6A8" w14:textId="3E8655BC" w:rsidR="00C46BFE" w:rsidRDefault="00B60691">
          <w:pPr>
            <w:pStyle w:val="TOC1"/>
            <w:rPr>
              <w:rFonts w:asciiTheme="minorHAnsi" w:eastAsiaTheme="minorEastAsia" w:hAnsiTheme="minorHAnsi"/>
              <w:b w:val="0"/>
              <w:lang w:eastAsia="en-AU"/>
            </w:rPr>
          </w:pPr>
          <w:hyperlink w:anchor="_Toc82789394" w:history="1">
            <w:r w:rsidR="00C46BFE" w:rsidRPr="00C54401">
              <w:rPr>
                <w:rStyle w:val="Hyperlink"/>
              </w:rPr>
              <w:t>Background</w:t>
            </w:r>
            <w:r w:rsidR="00C46BFE">
              <w:rPr>
                <w:webHidden/>
              </w:rPr>
              <w:tab/>
            </w:r>
            <w:r w:rsidR="00C46BFE">
              <w:rPr>
                <w:webHidden/>
              </w:rPr>
              <w:fldChar w:fldCharType="begin"/>
            </w:r>
            <w:r w:rsidR="00C46BFE">
              <w:rPr>
                <w:webHidden/>
              </w:rPr>
              <w:instrText xml:space="preserve"> PAGEREF _Toc82789394 \h </w:instrText>
            </w:r>
            <w:r w:rsidR="00C46BFE">
              <w:rPr>
                <w:webHidden/>
              </w:rPr>
            </w:r>
            <w:r w:rsidR="00C46BFE">
              <w:rPr>
                <w:webHidden/>
              </w:rPr>
              <w:fldChar w:fldCharType="separate"/>
            </w:r>
            <w:r w:rsidR="00C46BFE">
              <w:rPr>
                <w:webHidden/>
              </w:rPr>
              <w:t>14</w:t>
            </w:r>
            <w:r w:rsidR="00C46BFE">
              <w:rPr>
                <w:webHidden/>
              </w:rPr>
              <w:fldChar w:fldCharType="end"/>
            </w:r>
          </w:hyperlink>
        </w:p>
        <w:p w14:paraId="42699DEE" w14:textId="2EA42C97" w:rsidR="00764D6A" w:rsidRDefault="00E91D72">
          <w:r>
            <w:rPr>
              <w:b/>
              <w:noProof/>
            </w:rPr>
            <w:fldChar w:fldCharType="end"/>
          </w:r>
        </w:p>
      </w:sdtContent>
    </w:sdt>
    <w:p w14:paraId="68DC913B" w14:textId="2B863493" w:rsidR="00764D6A" w:rsidRDefault="00E91D72">
      <w:pPr>
        <w:pStyle w:val="TOCHeading2"/>
        <w:rPr>
          <w:rStyle w:val="Strong"/>
        </w:rPr>
      </w:pPr>
      <w:r>
        <w:rPr>
          <w:rStyle w:val="Strong"/>
        </w:rPr>
        <w:t>Tables</w:t>
      </w:r>
    </w:p>
    <w:p w14:paraId="4681F273" w14:textId="5A1FD83D" w:rsidR="00C46BFE"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82789395" w:history="1">
        <w:r w:rsidR="00C46BFE" w:rsidRPr="005D6946">
          <w:rPr>
            <w:rStyle w:val="Hyperlink"/>
            <w:noProof/>
          </w:rPr>
          <w:t>Table 1 Bulk HCFC imported in metric tonnes, 2012 to 2020</w:t>
        </w:r>
        <w:r w:rsidR="00C46BFE">
          <w:rPr>
            <w:noProof/>
            <w:webHidden/>
          </w:rPr>
          <w:tab/>
        </w:r>
        <w:r w:rsidR="00C46BFE">
          <w:rPr>
            <w:noProof/>
            <w:webHidden/>
          </w:rPr>
          <w:fldChar w:fldCharType="begin"/>
        </w:r>
        <w:r w:rsidR="00C46BFE">
          <w:rPr>
            <w:noProof/>
            <w:webHidden/>
          </w:rPr>
          <w:instrText xml:space="preserve"> PAGEREF _Toc82789395 \h </w:instrText>
        </w:r>
        <w:r w:rsidR="00C46BFE">
          <w:rPr>
            <w:noProof/>
            <w:webHidden/>
          </w:rPr>
        </w:r>
        <w:r w:rsidR="00C46BFE">
          <w:rPr>
            <w:noProof/>
            <w:webHidden/>
          </w:rPr>
          <w:fldChar w:fldCharType="separate"/>
        </w:r>
        <w:r w:rsidR="00C46BFE">
          <w:rPr>
            <w:noProof/>
            <w:webHidden/>
          </w:rPr>
          <w:t>2</w:t>
        </w:r>
        <w:r w:rsidR="00C46BFE">
          <w:rPr>
            <w:noProof/>
            <w:webHidden/>
          </w:rPr>
          <w:fldChar w:fldCharType="end"/>
        </w:r>
      </w:hyperlink>
    </w:p>
    <w:p w14:paraId="023EFDE6" w14:textId="29ED2313" w:rsidR="00C46BFE" w:rsidRDefault="00B60691">
      <w:pPr>
        <w:pStyle w:val="TableofFigures"/>
        <w:tabs>
          <w:tab w:val="right" w:leader="dot" w:pos="9060"/>
        </w:tabs>
        <w:rPr>
          <w:rFonts w:asciiTheme="minorHAnsi" w:eastAsiaTheme="minorEastAsia" w:hAnsiTheme="minorHAnsi"/>
          <w:noProof/>
          <w:lang w:eastAsia="en-AU"/>
        </w:rPr>
      </w:pPr>
      <w:hyperlink w:anchor="_Toc82789396" w:history="1">
        <w:r w:rsidR="00C46BFE" w:rsidRPr="005D6946">
          <w:rPr>
            <w:rStyle w:val="Hyperlink"/>
            <w:noProof/>
          </w:rPr>
          <w:t>Table 2 Australia’s HCFC consumption in ODP tonnes compared with global consumption, 2011 to 2019</w:t>
        </w:r>
        <w:r w:rsidR="00C46BFE">
          <w:rPr>
            <w:noProof/>
            <w:webHidden/>
          </w:rPr>
          <w:tab/>
        </w:r>
        <w:r w:rsidR="00C46BFE">
          <w:rPr>
            <w:noProof/>
            <w:webHidden/>
          </w:rPr>
          <w:fldChar w:fldCharType="begin"/>
        </w:r>
        <w:r w:rsidR="00C46BFE">
          <w:rPr>
            <w:noProof/>
            <w:webHidden/>
          </w:rPr>
          <w:instrText xml:space="preserve"> PAGEREF _Toc82789396 \h </w:instrText>
        </w:r>
        <w:r w:rsidR="00C46BFE">
          <w:rPr>
            <w:noProof/>
            <w:webHidden/>
          </w:rPr>
        </w:r>
        <w:r w:rsidR="00C46BFE">
          <w:rPr>
            <w:noProof/>
            <w:webHidden/>
          </w:rPr>
          <w:fldChar w:fldCharType="separate"/>
        </w:r>
        <w:r w:rsidR="00C46BFE">
          <w:rPr>
            <w:noProof/>
            <w:webHidden/>
          </w:rPr>
          <w:t>3</w:t>
        </w:r>
        <w:r w:rsidR="00C46BFE">
          <w:rPr>
            <w:noProof/>
            <w:webHidden/>
          </w:rPr>
          <w:fldChar w:fldCharType="end"/>
        </w:r>
      </w:hyperlink>
    </w:p>
    <w:p w14:paraId="459F050B" w14:textId="630E0431" w:rsidR="00C46BFE" w:rsidRDefault="00B60691">
      <w:pPr>
        <w:pStyle w:val="TableofFigures"/>
        <w:tabs>
          <w:tab w:val="right" w:leader="dot" w:pos="9060"/>
        </w:tabs>
        <w:rPr>
          <w:rFonts w:asciiTheme="minorHAnsi" w:eastAsiaTheme="minorEastAsia" w:hAnsiTheme="minorHAnsi"/>
          <w:noProof/>
          <w:lang w:eastAsia="en-AU"/>
        </w:rPr>
      </w:pPr>
      <w:hyperlink w:anchor="_Toc82789397" w:history="1">
        <w:r w:rsidR="00C46BFE" w:rsidRPr="005D6946">
          <w:rPr>
            <w:rStyle w:val="Hyperlink"/>
            <w:noProof/>
          </w:rPr>
          <w:t>Table 3 HCFC-22 equipment imports in ODP tonnes, 2010 to 2020</w:t>
        </w:r>
        <w:r w:rsidR="00C46BFE">
          <w:rPr>
            <w:noProof/>
            <w:webHidden/>
          </w:rPr>
          <w:tab/>
        </w:r>
        <w:r w:rsidR="00C46BFE">
          <w:rPr>
            <w:noProof/>
            <w:webHidden/>
          </w:rPr>
          <w:fldChar w:fldCharType="begin"/>
        </w:r>
        <w:r w:rsidR="00C46BFE">
          <w:rPr>
            <w:noProof/>
            <w:webHidden/>
          </w:rPr>
          <w:instrText xml:space="preserve"> PAGEREF _Toc82789397 \h </w:instrText>
        </w:r>
        <w:r w:rsidR="00C46BFE">
          <w:rPr>
            <w:noProof/>
            <w:webHidden/>
          </w:rPr>
        </w:r>
        <w:r w:rsidR="00C46BFE">
          <w:rPr>
            <w:noProof/>
            <w:webHidden/>
          </w:rPr>
          <w:fldChar w:fldCharType="separate"/>
        </w:r>
        <w:r w:rsidR="00C46BFE">
          <w:rPr>
            <w:noProof/>
            <w:webHidden/>
          </w:rPr>
          <w:t>4</w:t>
        </w:r>
        <w:r w:rsidR="00C46BFE">
          <w:rPr>
            <w:noProof/>
            <w:webHidden/>
          </w:rPr>
          <w:fldChar w:fldCharType="end"/>
        </w:r>
      </w:hyperlink>
    </w:p>
    <w:p w14:paraId="00916273" w14:textId="4870C7A2" w:rsidR="00C46BFE" w:rsidRDefault="00B60691">
      <w:pPr>
        <w:pStyle w:val="TableofFigures"/>
        <w:tabs>
          <w:tab w:val="right" w:leader="dot" w:pos="9060"/>
        </w:tabs>
        <w:rPr>
          <w:rFonts w:asciiTheme="minorHAnsi" w:eastAsiaTheme="minorEastAsia" w:hAnsiTheme="minorHAnsi"/>
          <w:noProof/>
          <w:lang w:eastAsia="en-AU"/>
        </w:rPr>
      </w:pPr>
      <w:hyperlink w:anchor="_Toc82789398" w:history="1">
        <w:r w:rsidR="00C46BFE" w:rsidRPr="005D6946">
          <w:rPr>
            <w:rStyle w:val="Hyperlink"/>
            <w:noProof/>
          </w:rPr>
          <w:t>Table 4 HCFC and CFC destruction in metric tonnes, 2010 to 2020</w:t>
        </w:r>
        <w:r w:rsidR="00C46BFE">
          <w:rPr>
            <w:noProof/>
            <w:webHidden/>
          </w:rPr>
          <w:tab/>
        </w:r>
        <w:r w:rsidR="00C46BFE">
          <w:rPr>
            <w:noProof/>
            <w:webHidden/>
          </w:rPr>
          <w:fldChar w:fldCharType="begin"/>
        </w:r>
        <w:r w:rsidR="00C46BFE">
          <w:rPr>
            <w:noProof/>
            <w:webHidden/>
          </w:rPr>
          <w:instrText xml:space="preserve"> PAGEREF _Toc82789398 \h </w:instrText>
        </w:r>
        <w:r w:rsidR="00C46BFE">
          <w:rPr>
            <w:noProof/>
            <w:webHidden/>
          </w:rPr>
        </w:r>
        <w:r w:rsidR="00C46BFE">
          <w:rPr>
            <w:noProof/>
            <w:webHidden/>
          </w:rPr>
          <w:fldChar w:fldCharType="separate"/>
        </w:r>
        <w:r w:rsidR="00C46BFE">
          <w:rPr>
            <w:noProof/>
            <w:webHidden/>
          </w:rPr>
          <w:t>5</w:t>
        </w:r>
        <w:r w:rsidR="00C46BFE">
          <w:rPr>
            <w:noProof/>
            <w:webHidden/>
          </w:rPr>
          <w:fldChar w:fldCharType="end"/>
        </w:r>
      </w:hyperlink>
    </w:p>
    <w:p w14:paraId="647A8C06" w14:textId="6ADAA6C9" w:rsidR="00C46BFE" w:rsidRDefault="00B60691">
      <w:pPr>
        <w:pStyle w:val="TableofFigures"/>
        <w:tabs>
          <w:tab w:val="right" w:leader="dot" w:pos="9060"/>
        </w:tabs>
        <w:rPr>
          <w:rFonts w:asciiTheme="minorHAnsi" w:eastAsiaTheme="minorEastAsia" w:hAnsiTheme="minorHAnsi"/>
          <w:noProof/>
          <w:lang w:eastAsia="en-AU"/>
        </w:rPr>
      </w:pPr>
      <w:hyperlink w:anchor="_Toc82789399" w:history="1">
        <w:r w:rsidR="00C46BFE" w:rsidRPr="005D6946">
          <w:rPr>
            <w:rStyle w:val="Hyperlink"/>
            <w:noProof/>
          </w:rPr>
          <w:t>Table 5 Australian QPS imports versus global imports in metric tonnes, 2010 to 2019</w:t>
        </w:r>
        <w:r w:rsidR="00C46BFE">
          <w:rPr>
            <w:noProof/>
            <w:webHidden/>
          </w:rPr>
          <w:tab/>
        </w:r>
        <w:r w:rsidR="00C46BFE">
          <w:rPr>
            <w:noProof/>
            <w:webHidden/>
          </w:rPr>
          <w:fldChar w:fldCharType="begin"/>
        </w:r>
        <w:r w:rsidR="00C46BFE">
          <w:rPr>
            <w:noProof/>
            <w:webHidden/>
          </w:rPr>
          <w:instrText xml:space="preserve"> PAGEREF _Toc82789399 \h </w:instrText>
        </w:r>
        <w:r w:rsidR="00C46BFE">
          <w:rPr>
            <w:noProof/>
            <w:webHidden/>
          </w:rPr>
        </w:r>
        <w:r w:rsidR="00C46BFE">
          <w:rPr>
            <w:noProof/>
            <w:webHidden/>
          </w:rPr>
          <w:fldChar w:fldCharType="separate"/>
        </w:r>
        <w:r w:rsidR="00C46BFE">
          <w:rPr>
            <w:noProof/>
            <w:webHidden/>
          </w:rPr>
          <w:t>6</w:t>
        </w:r>
        <w:r w:rsidR="00C46BFE">
          <w:rPr>
            <w:noProof/>
            <w:webHidden/>
          </w:rPr>
          <w:fldChar w:fldCharType="end"/>
        </w:r>
      </w:hyperlink>
    </w:p>
    <w:p w14:paraId="4C5AAF80" w14:textId="63A3358E" w:rsidR="00C46BFE" w:rsidRDefault="00B60691">
      <w:pPr>
        <w:pStyle w:val="TableofFigures"/>
        <w:tabs>
          <w:tab w:val="right" w:leader="dot" w:pos="9060"/>
        </w:tabs>
        <w:rPr>
          <w:rFonts w:asciiTheme="minorHAnsi" w:eastAsiaTheme="minorEastAsia" w:hAnsiTheme="minorHAnsi"/>
          <w:noProof/>
          <w:lang w:eastAsia="en-AU"/>
        </w:rPr>
      </w:pPr>
      <w:hyperlink w:anchor="_Toc82789400" w:history="1">
        <w:r w:rsidR="00C46BFE" w:rsidRPr="005D6946">
          <w:rPr>
            <w:rStyle w:val="Hyperlink"/>
            <w:noProof/>
          </w:rPr>
          <w:t>Table 6 Australian non-QPS methyl bromide versus global non-A5 imports in metric tonnes, 2011 to 2020</w:t>
        </w:r>
        <w:r w:rsidR="00C46BFE">
          <w:rPr>
            <w:noProof/>
            <w:webHidden/>
          </w:rPr>
          <w:tab/>
        </w:r>
        <w:r w:rsidR="00C46BFE">
          <w:rPr>
            <w:noProof/>
            <w:webHidden/>
          </w:rPr>
          <w:fldChar w:fldCharType="begin"/>
        </w:r>
        <w:r w:rsidR="00C46BFE">
          <w:rPr>
            <w:noProof/>
            <w:webHidden/>
          </w:rPr>
          <w:instrText xml:space="preserve"> PAGEREF _Toc82789400 \h </w:instrText>
        </w:r>
        <w:r w:rsidR="00C46BFE">
          <w:rPr>
            <w:noProof/>
            <w:webHidden/>
          </w:rPr>
        </w:r>
        <w:r w:rsidR="00C46BFE">
          <w:rPr>
            <w:noProof/>
            <w:webHidden/>
          </w:rPr>
          <w:fldChar w:fldCharType="separate"/>
        </w:r>
        <w:r w:rsidR="00C46BFE">
          <w:rPr>
            <w:noProof/>
            <w:webHidden/>
          </w:rPr>
          <w:t>7</w:t>
        </w:r>
        <w:r w:rsidR="00C46BFE">
          <w:rPr>
            <w:noProof/>
            <w:webHidden/>
          </w:rPr>
          <w:fldChar w:fldCharType="end"/>
        </w:r>
      </w:hyperlink>
    </w:p>
    <w:p w14:paraId="4E0BA754" w14:textId="63A181EE" w:rsidR="00C46BFE" w:rsidRDefault="00B60691">
      <w:pPr>
        <w:pStyle w:val="TableofFigures"/>
        <w:tabs>
          <w:tab w:val="right" w:leader="dot" w:pos="9060"/>
        </w:tabs>
        <w:rPr>
          <w:rFonts w:asciiTheme="minorHAnsi" w:eastAsiaTheme="minorEastAsia" w:hAnsiTheme="minorHAnsi"/>
          <w:noProof/>
          <w:lang w:eastAsia="en-AU"/>
        </w:rPr>
      </w:pPr>
      <w:hyperlink w:anchor="_Toc82789401" w:history="1">
        <w:r w:rsidR="00C46BFE" w:rsidRPr="005D6946">
          <w:rPr>
            <w:rStyle w:val="Hyperlink"/>
            <w:noProof/>
          </w:rPr>
          <w:t>Table 7 Main HFC species imported into Australia in CO2 k tonnes, 2016 to 2020</w:t>
        </w:r>
        <w:r w:rsidR="00C46BFE">
          <w:rPr>
            <w:noProof/>
            <w:webHidden/>
          </w:rPr>
          <w:tab/>
        </w:r>
        <w:r w:rsidR="00C46BFE">
          <w:rPr>
            <w:noProof/>
            <w:webHidden/>
          </w:rPr>
          <w:fldChar w:fldCharType="begin"/>
        </w:r>
        <w:r w:rsidR="00C46BFE">
          <w:rPr>
            <w:noProof/>
            <w:webHidden/>
          </w:rPr>
          <w:instrText xml:space="preserve"> PAGEREF _Toc82789401 \h </w:instrText>
        </w:r>
        <w:r w:rsidR="00C46BFE">
          <w:rPr>
            <w:noProof/>
            <w:webHidden/>
          </w:rPr>
        </w:r>
        <w:r w:rsidR="00C46BFE">
          <w:rPr>
            <w:noProof/>
            <w:webHidden/>
          </w:rPr>
          <w:fldChar w:fldCharType="separate"/>
        </w:r>
        <w:r w:rsidR="00C46BFE">
          <w:rPr>
            <w:noProof/>
            <w:webHidden/>
          </w:rPr>
          <w:t>11</w:t>
        </w:r>
        <w:r w:rsidR="00C46BFE">
          <w:rPr>
            <w:noProof/>
            <w:webHidden/>
          </w:rPr>
          <w:fldChar w:fldCharType="end"/>
        </w:r>
      </w:hyperlink>
    </w:p>
    <w:p w14:paraId="301F1596" w14:textId="0214E2B1" w:rsidR="00C46BFE" w:rsidRDefault="00B60691">
      <w:pPr>
        <w:pStyle w:val="TableofFigures"/>
        <w:tabs>
          <w:tab w:val="right" w:leader="dot" w:pos="9060"/>
        </w:tabs>
        <w:rPr>
          <w:rFonts w:asciiTheme="minorHAnsi" w:eastAsiaTheme="minorEastAsia" w:hAnsiTheme="minorHAnsi"/>
          <w:noProof/>
          <w:lang w:eastAsia="en-AU"/>
        </w:rPr>
      </w:pPr>
      <w:hyperlink w:anchor="_Toc82789402" w:history="1">
        <w:r w:rsidR="00C46BFE" w:rsidRPr="005D6946">
          <w:rPr>
            <w:rStyle w:val="Hyperlink"/>
            <w:noProof/>
          </w:rPr>
          <w:t>Table 8 Australia’s imports of HCFCs, 2008 to 2030</w:t>
        </w:r>
        <w:r w:rsidR="00C46BFE">
          <w:rPr>
            <w:noProof/>
            <w:webHidden/>
          </w:rPr>
          <w:tab/>
        </w:r>
        <w:r w:rsidR="00C46BFE">
          <w:rPr>
            <w:noProof/>
            <w:webHidden/>
          </w:rPr>
          <w:fldChar w:fldCharType="begin"/>
        </w:r>
        <w:r w:rsidR="00C46BFE">
          <w:rPr>
            <w:noProof/>
            <w:webHidden/>
          </w:rPr>
          <w:instrText xml:space="preserve"> PAGEREF _Toc82789402 \h </w:instrText>
        </w:r>
        <w:r w:rsidR="00C46BFE">
          <w:rPr>
            <w:noProof/>
            <w:webHidden/>
          </w:rPr>
        </w:r>
        <w:r w:rsidR="00C46BFE">
          <w:rPr>
            <w:noProof/>
            <w:webHidden/>
          </w:rPr>
          <w:fldChar w:fldCharType="separate"/>
        </w:r>
        <w:r w:rsidR="00C46BFE">
          <w:rPr>
            <w:noProof/>
            <w:webHidden/>
          </w:rPr>
          <w:t>15</w:t>
        </w:r>
        <w:r w:rsidR="00C46BFE">
          <w:rPr>
            <w:noProof/>
            <w:webHidden/>
          </w:rPr>
          <w:fldChar w:fldCharType="end"/>
        </w:r>
      </w:hyperlink>
    </w:p>
    <w:p w14:paraId="7E0CBB5D" w14:textId="338BEDB1" w:rsidR="00764D6A" w:rsidRDefault="00E91D72" w:rsidP="00424443">
      <w:pPr>
        <w:pStyle w:val="TableofFigures"/>
        <w:tabs>
          <w:tab w:val="right" w:leader="dot" w:pos="9060"/>
        </w:tabs>
      </w:pPr>
      <w:r>
        <w:rPr>
          <w:noProof/>
        </w:rPr>
        <w:fldChar w:fldCharType="end"/>
      </w:r>
    </w:p>
    <w:p w14:paraId="497CC942" w14:textId="77777777" w:rsidR="00764D6A" w:rsidRDefault="00E91D72">
      <w:pPr>
        <w:pStyle w:val="TOCHeading2"/>
        <w:rPr>
          <w:rStyle w:val="Strong"/>
        </w:rPr>
      </w:pPr>
      <w:r>
        <w:rPr>
          <w:rStyle w:val="Strong"/>
        </w:rPr>
        <w:t>Figures</w:t>
      </w:r>
    </w:p>
    <w:p w14:paraId="689E2F1C" w14:textId="02EA9199" w:rsidR="00C46BFE"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2789403" w:history="1">
        <w:r w:rsidR="00C46BFE" w:rsidRPr="00AB0321">
          <w:rPr>
            <w:rStyle w:val="Hyperlink"/>
            <w:noProof/>
          </w:rPr>
          <w:t>Figure 1 Bulk HCFC-22 imported in metric tonnes, 2011 to 2020</w:t>
        </w:r>
        <w:r w:rsidR="00C46BFE">
          <w:rPr>
            <w:noProof/>
            <w:webHidden/>
          </w:rPr>
          <w:tab/>
        </w:r>
        <w:r w:rsidR="00C46BFE">
          <w:rPr>
            <w:noProof/>
            <w:webHidden/>
          </w:rPr>
          <w:fldChar w:fldCharType="begin"/>
        </w:r>
        <w:r w:rsidR="00C46BFE">
          <w:rPr>
            <w:noProof/>
            <w:webHidden/>
          </w:rPr>
          <w:instrText xml:space="preserve"> PAGEREF _Toc82789403 \h </w:instrText>
        </w:r>
        <w:r w:rsidR="00C46BFE">
          <w:rPr>
            <w:noProof/>
            <w:webHidden/>
          </w:rPr>
        </w:r>
        <w:r w:rsidR="00C46BFE">
          <w:rPr>
            <w:noProof/>
            <w:webHidden/>
          </w:rPr>
          <w:fldChar w:fldCharType="separate"/>
        </w:r>
        <w:r w:rsidR="00C46BFE">
          <w:rPr>
            <w:noProof/>
            <w:webHidden/>
          </w:rPr>
          <w:t>2</w:t>
        </w:r>
        <w:r w:rsidR="00C46BFE">
          <w:rPr>
            <w:noProof/>
            <w:webHidden/>
          </w:rPr>
          <w:fldChar w:fldCharType="end"/>
        </w:r>
      </w:hyperlink>
    </w:p>
    <w:p w14:paraId="178242E8" w14:textId="60982E0B" w:rsidR="00C46BFE" w:rsidRDefault="00B60691">
      <w:pPr>
        <w:pStyle w:val="TableofFigures"/>
        <w:tabs>
          <w:tab w:val="right" w:leader="dot" w:pos="9060"/>
        </w:tabs>
        <w:rPr>
          <w:rFonts w:asciiTheme="minorHAnsi" w:eastAsiaTheme="minorEastAsia" w:hAnsiTheme="minorHAnsi"/>
          <w:noProof/>
          <w:lang w:eastAsia="en-AU"/>
        </w:rPr>
      </w:pPr>
      <w:hyperlink w:anchor="_Toc82789404" w:history="1">
        <w:r w:rsidR="00C46BFE" w:rsidRPr="00AB0321">
          <w:rPr>
            <w:rStyle w:val="Hyperlink"/>
            <w:noProof/>
          </w:rPr>
          <w:t>Figure 2 Global consumption of HCFC in ODP tonnes, 2011 to 2019</w:t>
        </w:r>
        <w:r w:rsidR="00C46BFE">
          <w:rPr>
            <w:noProof/>
            <w:webHidden/>
          </w:rPr>
          <w:tab/>
        </w:r>
        <w:r w:rsidR="00C46BFE">
          <w:rPr>
            <w:noProof/>
            <w:webHidden/>
          </w:rPr>
          <w:fldChar w:fldCharType="begin"/>
        </w:r>
        <w:r w:rsidR="00C46BFE">
          <w:rPr>
            <w:noProof/>
            <w:webHidden/>
          </w:rPr>
          <w:instrText xml:space="preserve"> PAGEREF _Toc82789404 \h </w:instrText>
        </w:r>
        <w:r w:rsidR="00C46BFE">
          <w:rPr>
            <w:noProof/>
            <w:webHidden/>
          </w:rPr>
        </w:r>
        <w:r w:rsidR="00C46BFE">
          <w:rPr>
            <w:noProof/>
            <w:webHidden/>
          </w:rPr>
          <w:fldChar w:fldCharType="separate"/>
        </w:r>
        <w:r w:rsidR="00C46BFE">
          <w:rPr>
            <w:noProof/>
            <w:webHidden/>
          </w:rPr>
          <w:t>3</w:t>
        </w:r>
        <w:r w:rsidR="00C46BFE">
          <w:rPr>
            <w:noProof/>
            <w:webHidden/>
          </w:rPr>
          <w:fldChar w:fldCharType="end"/>
        </w:r>
      </w:hyperlink>
    </w:p>
    <w:p w14:paraId="7B4D69D0" w14:textId="7C15FF40" w:rsidR="00C46BFE" w:rsidRDefault="00B60691">
      <w:pPr>
        <w:pStyle w:val="TableofFigures"/>
        <w:tabs>
          <w:tab w:val="right" w:leader="dot" w:pos="9060"/>
        </w:tabs>
        <w:rPr>
          <w:rFonts w:asciiTheme="minorHAnsi" w:eastAsiaTheme="minorEastAsia" w:hAnsiTheme="minorHAnsi"/>
          <w:noProof/>
          <w:lang w:eastAsia="en-AU"/>
        </w:rPr>
      </w:pPr>
      <w:hyperlink w:anchor="_Toc82789405" w:history="1">
        <w:r w:rsidR="00C46BFE" w:rsidRPr="00AB0321">
          <w:rPr>
            <w:rStyle w:val="Hyperlink"/>
            <w:noProof/>
          </w:rPr>
          <w:t>Figure 3 HCFC-22 equipment imports from in ODP tonnes, 2010 to 2020</w:t>
        </w:r>
        <w:r w:rsidR="00C46BFE">
          <w:rPr>
            <w:noProof/>
            <w:webHidden/>
          </w:rPr>
          <w:tab/>
        </w:r>
        <w:r w:rsidR="00C46BFE">
          <w:rPr>
            <w:noProof/>
            <w:webHidden/>
          </w:rPr>
          <w:fldChar w:fldCharType="begin"/>
        </w:r>
        <w:r w:rsidR="00C46BFE">
          <w:rPr>
            <w:noProof/>
            <w:webHidden/>
          </w:rPr>
          <w:instrText xml:space="preserve"> PAGEREF _Toc82789405 \h </w:instrText>
        </w:r>
        <w:r w:rsidR="00C46BFE">
          <w:rPr>
            <w:noProof/>
            <w:webHidden/>
          </w:rPr>
        </w:r>
        <w:r w:rsidR="00C46BFE">
          <w:rPr>
            <w:noProof/>
            <w:webHidden/>
          </w:rPr>
          <w:fldChar w:fldCharType="separate"/>
        </w:r>
        <w:r w:rsidR="00C46BFE">
          <w:rPr>
            <w:noProof/>
            <w:webHidden/>
          </w:rPr>
          <w:t>4</w:t>
        </w:r>
        <w:r w:rsidR="00C46BFE">
          <w:rPr>
            <w:noProof/>
            <w:webHidden/>
          </w:rPr>
          <w:fldChar w:fldCharType="end"/>
        </w:r>
      </w:hyperlink>
    </w:p>
    <w:p w14:paraId="63E13EDB" w14:textId="67CE1B6B" w:rsidR="00C46BFE" w:rsidRDefault="00B60691">
      <w:pPr>
        <w:pStyle w:val="TableofFigures"/>
        <w:tabs>
          <w:tab w:val="right" w:leader="dot" w:pos="9060"/>
        </w:tabs>
        <w:rPr>
          <w:rFonts w:asciiTheme="minorHAnsi" w:eastAsiaTheme="minorEastAsia" w:hAnsiTheme="minorHAnsi"/>
          <w:noProof/>
          <w:lang w:eastAsia="en-AU"/>
        </w:rPr>
      </w:pPr>
      <w:hyperlink w:anchor="_Toc82789406" w:history="1">
        <w:r w:rsidR="00C46BFE" w:rsidRPr="00AB0321">
          <w:rPr>
            <w:rStyle w:val="Hyperlink"/>
            <w:noProof/>
          </w:rPr>
          <w:t>Figure 4 HCFC and CFC destruction in metric tonnes, 2010 to 2020</w:t>
        </w:r>
        <w:r w:rsidR="00C46BFE">
          <w:rPr>
            <w:noProof/>
            <w:webHidden/>
          </w:rPr>
          <w:tab/>
        </w:r>
        <w:r w:rsidR="00C46BFE">
          <w:rPr>
            <w:noProof/>
            <w:webHidden/>
          </w:rPr>
          <w:fldChar w:fldCharType="begin"/>
        </w:r>
        <w:r w:rsidR="00C46BFE">
          <w:rPr>
            <w:noProof/>
            <w:webHidden/>
          </w:rPr>
          <w:instrText xml:space="preserve"> PAGEREF _Toc82789406 \h </w:instrText>
        </w:r>
        <w:r w:rsidR="00C46BFE">
          <w:rPr>
            <w:noProof/>
            <w:webHidden/>
          </w:rPr>
        </w:r>
        <w:r w:rsidR="00C46BFE">
          <w:rPr>
            <w:noProof/>
            <w:webHidden/>
          </w:rPr>
          <w:fldChar w:fldCharType="separate"/>
        </w:r>
        <w:r w:rsidR="00C46BFE">
          <w:rPr>
            <w:noProof/>
            <w:webHidden/>
          </w:rPr>
          <w:t>5</w:t>
        </w:r>
        <w:r w:rsidR="00C46BFE">
          <w:rPr>
            <w:noProof/>
            <w:webHidden/>
          </w:rPr>
          <w:fldChar w:fldCharType="end"/>
        </w:r>
      </w:hyperlink>
    </w:p>
    <w:p w14:paraId="53353FC8" w14:textId="4B71BBC3" w:rsidR="00C46BFE" w:rsidRDefault="00B60691">
      <w:pPr>
        <w:pStyle w:val="TableofFigures"/>
        <w:tabs>
          <w:tab w:val="right" w:leader="dot" w:pos="9060"/>
        </w:tabs>
        <w:rPr>
          <w:rFonts w:asciiTheme="minorHAnsi" w:eastAsiaTheme="minorEastAsia" w:hAnsiTheme="minorHAnsi"/>
          <w:noProof/>
          <w:lang w:eastAsia="en-AU"/>
        </w:rPr>
      </w:pPr>
      <w:hyperlink w:anchor="_Toc82789407" w:history="1">
        <w:r w:rsidR="00C46BFE" w:rsidRPr="00AB0321">
          <w:rPr>
            <w:rStyle w:val="Hyperlink"/>
            <w:noProof/>
          </w:rPr>
          <w:t>Figure 5 Australian QPS imports of methyl bromide versus global imports, 2005 to 2019</w:t>
        </w:r>
        <w:r w:rsidR="00C46BFE">
          <w:rPr>
            <w:noProof/>
            <w:webHidden/>
          </w:rPr>
          <w:tab/>
        </w:r>
        <w:r w:rsidR="00C46BFE">
          <w:rPr>
            <w:noProof/>
            <w:webHidden/>
          </w:rPr>
          <w:fldChar w:fldCharType="begin"/>
        </w:r>
        <w:r w:rsidR="00C46BFE">
          <w:rPr>
            <w:noProof/>
            <w:webHidden/>
          </w:rPr>
          <w:instrText xml:space="preserve"> PAGEREF _Toc82789407 \h </w:instrText>
        </w:r>
        <w:r w:rsidR="00C46BFE">
          <w:rPr>
            <w:noProof/>
            <w:webHidden/>
          </w:rPr>
        </w:r>
        <w:r w:rsidR="00C46BFE">
          <w:rPr>
            <w:noProof/>
            <w:webHidden/>
          </w:rPr>
          <w:fldChar w:fldCharType="separate"/>
        </w:r>
        <w:r w:rsidR="00C46BFE">
          <w:rPr>
            <w:noProof/>
            <w:webHidden/>
          </w:rPr>
          <w:t>6</w:t>
        </w:r>
        <w:r w:rsidR="00C46BFE">
          <w:rPr>
            <w:noProof/>
            <w:webHidden/>
          </w:rPr>
          <w:fldChar w:fldCharType="end"/>
        </w:r>
      </w:hyperlink>
    </w:p>
    <w:p w14:paraId="3CDCCEE5" w14:textId="3717DDAB" w:rsidR="00C46BFE" w:rsidRDefault="00B60691">
      <w:pPr>
        <w:pStyle w:val="TableofFigures"/>
        <w:tabs>
          <w:tab w:val="right" w:leader="dot" w:pos="9060"/>
        </w:tabs>
        <w:rPr>
          <w:rFonts w:asciiTheme="minorHAnsi" w:eastAsiaTheme="minorEastAsia" w:hAnsiTheme="minorHAnsi"/>
          <w:noProof/>
          <w:lang w:eastAsia="en-AU"/>
        </w:rPr>
      </w:pPr>
      <w:hyperlink w:anchor="_Toc82789408" w:history="1">
        <w:r w:rsidR="00C46BFE" w:rsidRPr="00AB0321">
          <w:rPr>
            <w:rStyle w:val="Hyperlink"/>
            <w:noProof/>
          </w:rPr>
          <w:t>Figure 6 Australian non-QPS methyl bromide imports versus all non-A5 imports, 2011 to 2020</w:t>
        </w:r>
        <w:r w:rsidR="00C46BFE">
          <w:rPr>
            <w:noProof/>
            <w:webHidden/>
          </w:rPr>
          <w:tab/>
        </w:r>
        <w:r w:rsidR="00C46BFE">
          <w:rPr>
            <w:noProof/>
            <w:webHidden/>
          </w:rPr>
          <w:fldChar w:fldCharType="begin"/>
        </w:r>
        <w:r w:rsidR="00C46BFE">
          <w:rPr>
            <w:noProof/>
            <w:webHidden/>
          </w:rPr>
          <w:instrText xml:space="preserve"> PAGEREF _Toc82789408 \h </w:instrText>
        </w:r>
        <w:r w:rsidR="00C46BFE">
          <w:rPr>
            <w:noProof/>
            <w:webHidden/>
          </w:rPr>
        </w:r>
        <w:r w:rsidR="00C46BFE">
          <w:rPr>
            <w:noProof/>
            <w:webHidden/>
          </w:rPr>
          <w:fldChar w:fldCharType="separate"/>
        </w:r>
        <w:r w:rsidR="00C46BFE">
          <w:rPr>
            <w:noProof/>
            <w:webHidden/>
          </w:rPr>
          <w:t>7</w:t>
        </w:r>
        <w:r w:rsidR="00C46BFE">
          <w:rPr>
            <w:noProof/>
            <w:webHidden/>
          </w:rPr>
          <w:fldChar w:fldCharType="end"/>
        </w:r>
      </w:hyperlink>
    </w:p>
    <w:p w14:paraId="7DFA0EF7" w14:textId="42824A71" w:rsidR="00C46BFE" w:rsidRDefault="00B60691">
      <w:pPr>
        <w:pStyle w:val="TableofFigures"/>
        <w:tabs>
          <w:tab w:val="right" w:leader="dot" w:pos="9060"/>
        </w:tabs>
        <w:rPr>
          <w:rFonts w:asciiTheme="minorHAnsi" w:eastAsiaTheme="minorEastAsia" w:hAnsiTheme="minorHAnsi"/>
          <w:noProof/>
          <w:lang w:eastAsia="en-AU"/>
        </w:rPr>
      </w:pPr>
      <w:hyperlink w:anchor="_Toc82789409" w:history="1">
        <w:r w:rsidR="00C46BFE" w:rsidRPr="00AB0321">
          <w:rPr>
            <w:rStyle w:val="Hyperlink"/>
            <w:noProof/>
          </w:rPr>
          <w:t>Figure 7 Australian feedstock use in metric tonnes, 2010 to 2020</w:t>
        </w:r>
        <w:r w:rsidR="00C46BFE">
          <w:rPr>
            <w:noProof/>
            <w:webHidden/>
          </w:rPr>
          <w:tab/>
        </w:r>
        <w:r w:rsidR="00C46BFE">
          <w:rPr>
            <w:noProof/>
            <w:webHidden/>
          </w:rPr>
          <w:fldChar w:fldCharType="begin"/>
        </w:r>
        <w:r w:rsidR="00C46BFE">
          <w:rPr>
            <w:noProof/>
            <w:webHidden/>
          </w:rPr>
          <w:instrText xml:space="preserve"> PAGEREF _Toc82789409 \h </w:instrText>
        </w:r>
        <w:r w:rsidR="00C46BFE">
          <w:rPr>
            <w:noProof/>
            <w:webHidden/>
          </w:rPr>
        </w:r>
        <w:r w:rsidR="00C46BFE">
          <w:rPr>
            <w:noProof/>
            <w:webHidden/>
          </w:rPr>
          <w:fldChar w:fldCharType="separate"/>
        </w:r>
        <w:r w:rsidR="00C46BFE">
          <w:rPr>
            <w:noProof/>
            <w:webHidden/>
          </w:rPr>
          <w:t>8</w:t>
        </w:r>
        <w:r w:rsidR="00C46BFE">
          <w:rPr>
            <w:noProof/>
            <w:webHidden/>
          </w:rPr>
          <w:fldChar w:fldCharType="end"/>
        </w:r>
      </w:hyperlink>
    </w:p>
    <w:p w14:paraId="7D1D0985" w14:textId="4A90F7D1" w:rsidR="00C46BFE" w:rsidRDefault="00B60691">
      <w:pPr>
        <w:pStyle w:val="TableofFigures"/>
        <w:tabs>
          <w:tab w:val="right" w:leader="dot" w:pos="9060"/>
        </w:tabs>
        <w:rPr>
          <w:rFonts w:asciiTheme="minorHAnsi" w:eastAsiaTheme="minorEastAsia" w:hAnsiTheme="minorHAnsi"/>
          <w:noProof/>
          <w:lang w:eastAsia="en-AU"/>
        </w:rPr>
      </w:pPr>
      <w:hyperlink w:anchor="_Toc82789410" w:history="1">
        <w:r w:rsidR="00C46BFE" w:rsidRPr="00AB0321">
          <w:rPr>
            <w:rStyle w:val="Hyperlink"/>
            <w:noProof/>
          </w:rPr>
          <w:t>Figure 8 Australia’s imports in pre-charged equipment in ODP tonnes, 2012 to 2020</w:t>
        </w:r>
        <w:r w:rsidR="00C46BFE">
          <w:rPr>
            <w:noProof/>
            <w:webHidden/>
          </w:rPr>
          <w:tab/>
        </w:r>
        <w:r w:rsidR="00C46BFE">
          <w:rPr>
            <w:noProof/>
            <w:webHidden/>
          </w:rPr>
          <w:fldChar w:fldCharType="begin"/>
        </w:r>
        <w:r w:rsidR="00C46BFE">
          <w:rPr>
            <w:noProof/>
            <w:webHidden/>
          </w:rPr>
          <w:instrText xml:space="preserve"> PAGEREF _Toc82789410 \h </w:instrText>
        </w:r>
        <w:r w:rsidR="00C46BFE">
          <w:rPr>
            <w:noProof/>
            <w:webHidden/>
          </w:rPr>
        </w:r>
        <w:r w:rsidR="00C46BFE">
          <w:rPr>
            <w:noProof/>
            <w:webHidden/>
          </w:rPr>
          <w:fldChar w:fldCharType="separate"/>
        </w:r>
        <w:r w:rsidR="00C46BFE">
          <w:rPr>
            <w:noProof/>
            <w:webHidden/>
          </w:rPr>
          <w:t>9</w:t>
        </w:r>
        <w:r w:rsidR="00C46BFE">
          <w:rPr>
            <w:noProof/>
            <w:webHidden/>
          </w:rPr>
          <w:fldChar w:fldCharType="end"/>
        </w:r>
      </w:hyperlink>
    </w:p>
    <w:p w14:paraId="5E0333D1" w14:textId="0065D6C1" w:rsidR="00C46BFE" w:rsidRDefault="00B60691">
      <w:pPr>
        <w:pStyle w:val="TableofFigures"/>
        <w:tabs>
          <w:tab w:val="right" w:leader="dot" w:pos="9060"/>
        </w:tabs>
        <w:rPr>
          <w:rFonts w:asciiTheme="minorHAnsi" w:eastAsiaTheme="minorEastAsia" w:hAnsiTheme="minorHAnsi"/>
          <w:noProof/>
          <w:lang w:eastAsia="en-AU"/>
        </w:rPr>
      </w:pPr>
      <w:hyperlink w:anchor="_Toc82789411" w:history="1">
        <w:r w:rsidR="00C46BFE" w:rsidRPr="00AB0321">
          <w:rPr>
            <w:rStyle w:val="Hyperlink"/>
            <w:noProof/>
          </w:rPr>
          <w:t>Figure 9 Australia’s HFC phase-down schedule, 2018 to 2036</w:t>
        </w:r>
        <w:r w:rsidR="00C46BFE">
          <w:rPr>
            <w:noProof/>
            <w:webHidden/>
          </w:rPr>
          <w:tab/>
        </w:r>
        <w:r w:rsidR="00C46BFE">
          <w:rPr>
            <w:noProof/>
            <w:webHidden/>
          </w:rPr>
          <w:fldChar w:fldCharType="begin"/>
        </w:r>
        <w:r w:rsidR="00C46BFE">
          <w:rPr>
            <w:noProof/>
            <w:webHidden/>
          </w:rPr>
          <w:instrText xml:space="preserve"> PAGEREF _Toc82789411 \h </w:instrText>
        </w:r>
        <w:r w:rsidR="00C46BFE">
          <w:rPr>
            <w:noProof/>
            <w:webHidden/>
          </w:rPr>
        </w:r>
        <w:r w:rsidR="00C46BFE">
          <w:rPr>
            <w:noProof/>
            <w:webHidden/>
          </w:rPr>
          <w:fldChar w:fldCharType="separate"/>
        </w:r>
        <w:r w:rsidR="00C46BFE">
          <w:rPr>
            <w:noProof/>
            <w:webHidden/>
          </w:rPr>
          <w:t>10</w:t>
        </w:r>
        <w:r w:rsidR="00C46BFE">
          <w:rPr>
            <w:noProof/>
            <w:webHidden/>
          </w:rPr>
          <w:fldChar w:fldCharType="end"/>
        </w:r>
      </w:hyperlink>
    </w:p>
    <w:p w14:paraId="3BE7C68C" w14:textId="3F50B163" w:rsidR="00C46BFE" w:rsidRDefault="00B60691">
      <w:pPr>
        <w:pStyle w:val="TableofFigures"/>
        <w:tabs>
          <w:tab w:val="right" w:leader="dot" w:pos="9060"/>
        </w:tabs>
        <w:rPr>
          <w:rFonts w:asciiTheme="minorHAnsi" w:eastAsiaTheme="minorEastAsia" w:hAnsiTheme="minorHAnsi"/>
          <w:noProof/>
          <w:lang w:eastAsia="en-AU"/>
        </w:rPr>
      </w:pPr>
      <w:hyperlink w:anchor="_Toc82789412" w:history="1">
        <w:r w:rsidR="00C46BFE" w:rsidRPr="00AB0321">
          <w:rPr>
            <w:rStyle w:val="Hyperlink"/>
            <w:noProof/>
          </w:rPr>
          <w:t>Figure 10 Imports of main HFC species in CO2 k tonnes, 2016 to 2020</w:t>
        </w:r>
        <w:r w:rsidR="00C46BFE">
          <w:rPr>
            <w:noProof/>
            <w:webHidden/>
          </w:rPr>
          <w:tab/>
        </w:r>
        <w:r w:rsidR="00C46BFE">
          <w:rPr>
            <w:noProof/>
            <w:webHidden/>
          </w:rPr>
          <w:fldChar w:fldCharType="begin"/>
        </w:r>
        <w:r w:rsidR="00C46BFE">
          <w:rPr>
            <w:noProof/>
            <w:webHidden/>
          </w:rPr>
          <w:instrText xml:space="preserve"> PAGEREF _Toc82789412 \h </w:instrText>
        </w:r>
        <w:r w:rsidR="00C46BFE">
          <w:rPr>
            <w:noProof/>
            <w:webHidden/>
          </w:rPr>
        </w:r>
        <w:r w:rsidR="00C46BFE">
          <w:rPr>
            <w:noProof/>
            <w:webHidden/>
          </w:rPr>
          <w:fldChar w:fldCharType="separate"/>
        </w:r>
        <w:r w:rsidR="00C46BFE">
          <w:rPr>
            <w:noProof/>
            <w:webHidden/>
          </w:rPr>
          <w:t>11</w:t>
        </w:r>
        <w:r w:rsidR="00C46BFE">
          <w:rPr>
            <w:noProof/>
            <w:webHidden/>
          </w:rPr>
          <w:fldChar w:fldCharType="end"/>
        </w:r>
      </w:hyperlink>
    </w:p>
    <w:p w14:paraId="45B8B8BC" w14:textId="2DB73F62" w:rsidR="00C46BFE" w:rsidRDefault="00B60691">
      <w:pPr>
        <w:pStyle w:val="TableofFigures"/>
        <w:tabs>
          <w:tab w:val="right" w:leader="dot" w:pos="9060"/>
        </w:tabs>
        <w:rPr>
          <w:rFonts w:asciiTheme="minorHAnsi" w:eastAsiaTheme="minorEastAsia" w:hAnsiTheme="minorHAnsi"/>
          <w:noProof/>
          <w:lang w:eastAsia="en-AU"/>
        </w:rPr>
      </w:pPr>
      <w:hyperlink w:anchor="_Toc82789413" w:history="1">
        <w:r w:rsidR="00C46BFE" w:rsidRPr="00AB0321">
          <w:rPr>
            <w:rStyle w:val="Hyperlink"/>
            <w:noProof/>
          </w:rPr>
          <w:t>Figure 11 Main HFC equipment imports by category in 2020</w:t>
        </w:r>
        <w:r w:rsidR="00C46BFE">
          <w:rPr>
            <w:noProof/>
            <w:webHidden/>
          </w:rPr>
          <w:tab/>
        </w:r>
        <w:r w:rsidR="00C46BFE">
          <w:rPr>
            <w:noProof/>
            <w:webHidden/>
          </w:rPr>
          <w:fldChar w:fldCharType="begin"/>
        </w:r>
        <w:r w:rsidR="00C46BFE">
          <w:rPr>
            <w:noProof/>
            <w:webHidden/>
          </w:rPr>
          <w:instrText xml:space="preserve"> PAGEREF _Toc82789413 \h </w:instrText>
        </w:r>
        <w:r w:rsidR="00C46BFE">
          <w:rPr>
            <w:noProof/>
            <w:webHidden/>
          </w:rPr>
        </w:r>
        <w:r w:rsidR="00C46BFE">
          <w:rPr>
            <w:noProof/>
            <w:webHidden/>
          </w:rPr>
          <w:fldChar w:fldCharType="separate"/>
        </w:r>
        <w:r w:rsidR="00C46BFE">
          <w:rPr>
            <w:noProof/>
            <w:webHidden/>
          </w:rPr>
          <w:t>12</w:t>
        </w:r>
        <w:r w:rsidR="00C46BFE">
          <w:rPr>
            <w:noProof/>
            <w:webHidden/>
          </w:rPr>
          <w:fldChar w:fldCharType="end"/>
        </w:r>
      </w:hyperlink>
    </w:p>
    <w:p w14:paraId="5A93CFE6" w14:textId="676B894B" w:rsidR="00C46BFE" w:rsidRDefault="00B60691">
      <w:pPr>
        <w:pStyle w:val="TableofFigures"/>
        <w:tabs>
          <w:tab w:val="right" w:leader="dot" w:pos="9060"/>
        </w:tabs>
        <w:rPr>
          <w:rFonts w:asciiTheme="minorHAnsi" w:eastAsiaTheme="minorEastAsia" w:hAnsiTheme="minorHAnsi"/>
          <w:noProof/>
          <w:lang w:eastAsia="en-AU"/>
        </w:rPr>
      </w:pPr>
      <w:hyperlink w:anchor="_Toc82789414" w:history="1">
        <w:r w:rsidR="00C46BFE" w:rsidRPr="00AB0321">
          <w:rPr>
            <w:rStyle w:val="Hyperlink"/>
            <w:noProof/>
          </w:rPr>
          <w:t>Figure 12 Main HFC equipment import trends in metric tonnes, 2016 to 2020</w:t>
        </w:r>
        <w:r w:rsidR="00C46BFE">
          <w:rPr>
            <w:noProof/>
            <w:webHidden/>
          </w:rPr>
          <w:tab/>
        </w:r>
        <w:r w:rsidR="00C46BFE">
          <w:rPr>
            <w:noProof/>
            <w:webHidden/>
          </w:rPr>
          <w:fldChar w:fldCharType="begin"/>
        </w:r>
        <w:r w:rsidR="00C46BFE">
          <w:rPr>
            <w:noProof/>
            <w:webHidden/>
          </w:rPr>
          <w:instrText xml:space="preserve"> PAGEREF _Toc82789414 \h </w:instrText>
        </w:r>
        <w:r w:rsidR="00C46BFE">
          <w:rPr>
            <w:noProof/>
            <w:webHidden/>
          </w:rPr>
        </w:r>
        <w:r w:rsidR="00C46BFE">
          <w:rPr>
            <w:noProof/>
            <w:webHidden/>
          </w:rPr>
          <w:fldChar w:fldCharType="separate"/>
        </w:r>
        <w:r w:rsidR="00C46BFE">
          <w:rPr>
            <w:noProof/>
            <w:webHidden/>
          </w:rPr>
          <w:t>12</w:t>
        </w:r>
        <w:r w:rsidR="00C46BFE">
          <w:rPr>
            <w:noProof/>
            <w:webHidden/>
          </w:rPr>
          <w:fldChar w:fldCharType="end"/>
        </w:r>
      </w:hyperlink>
    </w:p>
    <w:p w14:paraId="739B8EF5" w14:textId="70DB1875" w:rsidR="00C46BFE" w:rsidRDefault="00B60691">
      <w:pPr>
        <w:pStyle w:val="TableofFigures"/>
        <w:tabs>
          <w:tab w:val="right" w:leader="dot" w:pos="9060"/>
        </w:tabs>
        <w:rPr>
          <w:rFonts w:asciiTheme="minorHAnsi" w:eastAsiaTheme="minorEastAsia" w:hAnsiTheme="minorHAnsi"/>
          <w:noProof/>
          <w:lang w:eastAsia="en-AU"/>
        </w:rPr>
      </w:pPr>
      <w:hyperlink w:anchor="_Toc82789415" w:history="1">
        <w:r w:rsidR="00C46BFE" w:rsidRPr="00AB0321">
          <w:rPr>
            <w:rStyle w:val="Hyperlink"/>
            <w:noProof/>
          </w:rPr>
          <w:t>Figure 13 Main HFCs destroyed by species in metric tonnes, 2016 to 2020</w:t>
        </w:r>
        <w:r w:rsidR="00C46BFE">
          <w:rPr>
            <w:noProof/>
            <w:webHidden/>
          </w:rPr>
          <w:tab/>
        </w:r>
        <w:r w:rsidR="00C46BFE">
          <w:rPr>
            <w:noProof/>
            <w:webHidden/>
          </w:rPr>
          <w:fldChar w:fldCharType="begin"/>
        </w:r>
        <w:r w:rsidR="00C46BFE">
          <w:rPr>
            <w:noProof/>
            <w:webHidden/>
          </w:rPr>
          <w:instrText xml:space="preserve"> PAGEREF _Toc82789415 \h </w:instrText>
        </w:r>
        <w:r w:rsidR="00C46BFE">
          <w:rPr>
            <w:noProof/>
            <w:webHidden/>
          </w:rPr>
        </w:r>
        <w:r w:rsidR="00C46BFE">
          <w:rPr>
            <w:noProof/>
            <w:webHidden/>
          </w:rPr>
          <w:fldChar w:fldCharType="separate"/>
        </w:r>
        <w:r w:rsidR="00C46BFE">
          <w:rPr>
            <w:noProof/>
            <w:webHidden/>
          </w:rPr>
          <w:t>13</w:t>
        </w:r>
        <w:r w:rsidR="00C46BFE">
          <w:rPr>
            <w:noProof/>
            <w:webHidden/>
          </w:rPr>
          <w:fldChar w:fldCharType="end"/>
        </w:r>
      </w:hyperlink>
    </w:p>
    <w:p w14:paraId="31C83621" w14:textId="4B7F3AE8" w:rsidR="00C46BFE" w:rsidRDefault="00B60691">
      <w:pPr>
        <w:pStyle w:val="TableofFigures"/>
        <w:tabs>
          <w:tab w:val="right" w:leader="dot" w:pos="9060"/>
        </w:tabs>
        <w:rPr>
          <w:rFonts w:asciiTheme="minorHAnsi" w:eastAsiaTheme="minorEastAsia" w:hAnsiTheme="minorHAnsi"/>
          <w:noProof/>
          <w:lang w:eastAsia="en-AU"/>
        </w:rPr>
      </w:pPr>
      <w:hyperlink w:anchor="_Toc82789416" w:history="1">
        <w:r w:rsidR="00C46BFE" w:rsidRPr="00AB0321">
          <w:rPr>
            <w:rStyle w:val="Hyperlink"/>
            <w:noProof/>
          </w:rPr>
          <w:t>Figure 14 Trend of main HFCs destroyed in metric tonnes, 2016 to 2020</w:t>
        </w:r>
        <w:r w:rsidR="00C46BFE">
          <w:rPr>
            <w:noProof/>
            <w:webHidden/>
          </w:rPr>
          <w:tab/>
        </w:r>
        <w:r w:rsidR="00C46BFE">
          <w:rPr>
            <w:noProof/>
            <w:webHidden/>
          </w:rPr>
          <w:fldChar w:fldCharType="begin"/>
        </w:r>
        <w:r w:rsidR="00C46BFE">
          <w:rPr>
            <w:noProof/>
            <w:webHidden/>
          </w:rPr>
          <w:instrText xml:space="preserve"> PAGEREF _Toc82789416 \h </w:instrText>
        </w:r>
        <w:r w:rsidR="00C46BFE">
          <w:rPr>
            <w:noProof/>
            <w:webHidden/>
          </w:rPr>
        </w:r>
        <w:r w:rsidR="00C46BFE">
          <w:rPr>
            <w:noProof/>
            <w:webHidden/>
          </w:rPr>
          <w:fldChar w:fldCharType="separate"/>
        </w:r>
        <w:r w:rsidR="00C46BFE">
          <w:rPr>
            <w:noProof/>
            <w:webHidden/>
          </w:rPr>
          <w:t>13</w:t>
        </w:r>
        <w:r w:rsidR="00C46BFE">
          <w:rPr>
            <w:noProof/>
            <w:webHidden/>
          </w:rPr>
          <w:fldChar w:fldCharType="end"/>
        </w:r>
      </w:hyperlink>
    </w:p>
    <w:p w14:paraId="68D163D5" w14:textId="2559B9CB" w:rsidR="00C46BFE" w:rsidRDefault="00B60691">
      <w:pPr>
        <w:pStyle w:val="TableofFigures"/>
        <w:tabs>
          <w:tab w:val="right" w:leader="dot" w:pos="9060"/>
        </w:tabs>
        <w:rPr>
          <w:rFonts w:asciiTheme="minorHAnsi" w:eastAsiaTheme="minorEastAsia" w:hAnsiTheme="minorHAnsi"/>
          <w:noProof/>
          <w:lang w:eastAsia="en-AU"/>
        </w:rPr>
      </w:pPr>
      <w:hyperlink w:anchor="_Toc82789417" w:history="1">
        <w:r w:rsidR="00C46BFE" w:rsidRPr="00AB0321">
          <w:rPr>
            <w:rStyle w:val="Hyperlink"/>
            <w:noProof/>
          </w:rPr>
          <w:t>Figure 15 Australia’s HCFC phase-out schedule compared with our Montreal Protocol obligation, 1996 to 2031</w:t>
        </w:r>
        <w:r w:rsidR="00C46BFE">
          <w:rPr>
            <w:noProof/>
            <w:webHidden/>
          </w:rPr>
          <w:tab/>
        </w:r>
        <w:r w:rsidR="00C46BFE">
          <w:rPr>
            <w:noProof/>
            <w:webHidden/>
          </w:rPr>
          <w:fldChar w:fldCharType="begin"/>
        </w:r>
        <w:r w:rsidR="00C46BFE">
          <w:rPr>
            <w:noProof/>
            <w:webHidden/>
          </w:rPr>
          <w:instrText xml:space="preserve"> PAGEREF _Toc82789417 \h </w:instrText>
        </w:r>
        <w:r w:rsidR="00C46BFE">
          <w:rPr>
            <w:noProof/>
            <w:webHidden/>
          </w:rPr>
        </w:r>
        <w:r w:rsidR="00C46BFE">
          <w:rPr>
            <w:noProof/>
            <w:webHidden/>
          </w:rPr>
          <w:fldChar w:fldCharType="separate"/>
        </w:r>
        <w:r w:rsidR="00C46BFE">
          <w:rPr>
            <w:noProof/>
            <w:webHidden/>
          </w:rPr>
          <w:t>15</w:t>
        </w:r>
        <w:r w:rsidR="00C46BFE">
          <w:rPr>
            <w:noProof/>
            <w:webHidden/>
          </w:rPr>
          <w:fldChar w:fldCharType="end"/>
        </w:r>
      </w:hyperlink>
    </w:p>
    <w:p w14:paraId="66F11C6C" w14:textId="43EFC609" w:rsidR="00CB376E" w:rsidRDefault="00E91D72" w:rsidP="00424443">
      <w:r>
        <w:fldChar w:fldCharType="end"/>
      </w:r>
      <w:bookmarkStart w:id="0" w:name="_Toc430782149"/>
    </w:p>
    <w:p w14:paraId="2DC0B5A7" w14:textId="40117233" w:rsidR="00B8610C" w:rsidRDefault="00B8610C" w:rsidP="00B8610C">
      <w:pPr>
        <w:pStyle w:val="TOCHeading2"/>
      </w:pPr>
      <w:r w:rsidRPr="00B8610C">
        <w:rPr>
          <w:rStyle w:val="Strong"/>
        </w:rPr>
        <w:t>Photographs</w:t>
      </w:r>
    </w:p>
    <w:p w14:paraId="0FF1F472" w14:textId="2CEF2E63" w:rsidR="00E667E0" w:rsidRDefault="00B8610C">
      <w:pPr>
        <w:pStyle w:val="TableofFigures"/>
        <w:tabs>
          <w:tab w:val="right" w:leader="dot" w:pos="9060"/>
        </w:tabs>
        <w:rPr>
          <w:rFonts w:asciiTheme="minorHAnsi" w:eastAsiaTheme="minorEastAsia" w:hAnsiTheme="minorHAnsi"/>
          <w:noProof/>
          <w:lang w:eastAsia="en-AU"/>
        </w:rPr>
      </w:pPr>
      <w:r>
        <w:fldChar w:fldCharType="begin"/>
      </w:r>
      <w:r>
        <w:instrText xml:space="preserve"> TOC \h \z \c "Photograph" </w:instrText>
      </w:r>
      <w:r>
        <w:fldChar w:fldCharType="separate"/>
      </w:r>
      <w:hyperlink w:anchor="_Toc82787448" w:history="1">
        <w:r w:rsidR="00E667E0" w:rsidRPr="001A514F">
          <w:rPr>
            <w:rStyle w:val="Hyperlink"/>
            <w:noProof/>
          </w:rPr>
          <w:t>Photograph 1 Weather balloon launch, Davis Research Station, Antarctica</w:t>
        </w:r>
        <w:r w:rsidR="00E667E0">
          <w:rPr>
            <w:noProof/>
            <w:webHidden/>
          </w:rPr>
          <w:tab/>
        </w:r>
        <w:r w:rsidR="00E667E0">
          <w:rPr>
            <w:noProof/>
            <w:webHidden/>
          </w:rPr>
          <w:fldChar w:fldCharType="begin"/>
        </w:r>
        <w:r w:rsidR="00E667E0">
          <w:rPr>
            <w:noProof/>
            <w:webHidden/>
          </w:rPr>
          <w:instrText xml:space="preserve"> PAGEREF _Toc82787448 \h </w:instrText>
        </w:r>
        <w:r w:rsidR="00E667E0">
          <w:rPr>
            <w:noProof/>
            <w:webHidden/>
          </w:rPr>
        </w:r>
        <w:r w:rsidR="00E667E0">
          <w:rPr>
            <w:noProof/>
            <w:webHidden/>
          </w:rPr>
          <w:fldChar w:fldCharType="separate"/>
        </w:r>
        <w:r w:rsidR="00E667E0">
          <w:rPr>
            <w:noProof/>
            <w:webHidden/>
          </w:rPr>
          <w:t>v</w:t>
        </w:r>
        <w:r w:rsidR="00E667E0">
          <w:rPr>
            <w:noProof/>
            <w:webHidden/>
          </w:rPr>
          <w:fldChar w:fldCharType="end"/>
        </w:r>
      </w:hyperlink>
    </w:p>
    <w:p w14:paraId="393CCE66" w14:textId="503B6971" w:rsidR="00B8610C" w:rsidRDefault="00B8610C" w:rsidP="00424443">
      <w:r>
        <w:fldChar w:fldCharType="end"/>
      </w:r>
    </w:p>
    <w:p w14:paraId="0C0EB7AC" w14:textId="4AC5E343" w:rsidR="00764D6A" w:rsidRDefault="00E91D72">
      <w:pPr>
        <w:pStyle w:val="Heading2"/>
        <w:numPr>
          <w:ilvl w:val="0"/>
          <w:numId w:val="0"/>
        </w:numPr>
        <w:ind w:left="709" w:hanging="709"/>
      </w:pPr>
      <w:bookmarkStart w:id="1" w:name="_Toc82789378"/>
      <w:r>
        <w:lastRenderedPageBreak/>
        <w:t>Summary</w:t>
      </w:r>
      <w:bookmarkEnd w:id="0"/>
      <w:bookmarkEnd w:id="1"/>
    </w:p>
    <w:p w14:paraId="5E398620" w14:textId="30AE5D49" w:rsidR="0025001D" w:rsidRDefault="0025001D" w:rsidP="0025001D">
      <w:r>
        <w:t>Australia has met or exceeded all of its phase</w:t>
      </w:r>
      <w:r w:rsidR="00091005">
        <w:t>-</w:t>
      </w:r>
      <w:r>
        <w:t xml:space="preserve">out obligations under the Montreal Protocol on Substances that Deplete the Ozone Layer. This report provides an update on Australia’s progress with phasing out ozone depleting substances and </w:t>
      </w:r>
      <w:r w:rsidR="001D4A8B">
        <w:t xml:space="preserve">phasing down </w:t>
      </w:r>
      <w:r>
        <w:t>hydrofluorocarbons (HFCs) under the Montreal Protocol as of 2020. Australia is in the last stage of phasing out hydrochlorofluorocarbons (HCFCs) and at the start of its phase</w:t>
      </w:r>
      <w:r w:rsidR="001D4A8B">
        <w:t xml:space="preserve"> down</w:t>
      </w:r>
      <w:r>
        <w:t xml:space="preserve"> of HFCs.</w:t>
      </w:r>
    </w:p>
    <w:p w14:paraId="6D3B6F63" w14:textId="7C442464" w:rsidR="00C02998" w:rsidRDefault="0025001D" w:rsidP="0025001D">
      <w:bookmarkStart w:id="2" w:name="_Hlk80965842"/>
      <w:r>
        <w:t xml:space="preserve">This report provides data and information for the </w:t>
      </w:r>
      <w:r w:rsidR="00EB0475">
        <w:t>p</w:t>
      </w:r>
      <w:r>
        <w:t xml:space="preserve">ast 10 years on those ozone depleting substances controlled by the Montreal Protocol </w:t>
      </w:r>
      <w:r w:rsidR="00EB0475">
        <w:t xml:space="preserve">that </w:t>
      </w:r>
      <w:r>
        <w:t>are imported and used in Australia. This includes those substances being phased out (HCFCs), those substances still permitted to be used for specific purposes (such as for feedstock uses) and those substances controlled, but not being phased out (such as some uses of methyl bromide and used halon)</w:t>
      </w:r>
      <w:r w:rsidR="00A42A96">
        <w:t>.</w:t>
      </w:r>
    </w:p>
    <w:p w14:paraId="7FADF4ED" w14:textId="1F7419EF" w:rsidR="006041A6" w:rsidRDefault="00B8610C" w:rsidP="00B8610C">
      <w:pPr>
        <w:pStyle w:val="Caption"/>
      </w:pPr>
      <w:bookmarkStart w:id="3" w:name="_Toc82787448"/>
      <w:r>
        <w:t xml:space="preserve">Photograph </w:t>
      </w:r>
      <w:fldSimple w:instr=" SEQ Photograph \* ARABIC ">
        <w:r>
          <w:rPr>
            <w:noProof/>
          </w:rPr>
          <w:t>1</w:t>
        </w:r>
      </w:fldSimple>
      <w:r>
        <w:t xml:space="preserve"> </w:t>
      </w:r>
      <w:r w:rsidR="00E667E0">
        <w:t>W</w:t>
      </w:r>
      <w:r w:rsidR="000A0EBC" w:rsidRPr="000A0EBC">
        <w:t>eather balloon launch</w:t>
      </w:r>
      <w:r w:rsidR="00E667E0">
        <w:t xml:space="preserve">, </w:t>
      </w:r>
      <w:r w:rsidR="000A0EBC" w:rsidRPr="000A0EBC">
        <w:t>Davis Research Station, Antarctica</w:t>
      </w:r>
      <w:bookmarkEnd w:id="3"/>
    </w:p>
    <w:p w14:paraId="2BA902D3" w14:textId="66B892EC" w:rsidR="006041A6" w:rsidRDefault="006041A6" w:rsidP="0025001D">
      <w:pPr>
        <w:sectPr w:rsidR="006041A6">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rPr>
          <w:noProof/>
        </w:rPr>
        <w:drawing>
          <wp:inline distT="0" distB="0" distL="0" distR="0" wp14:anchorId="51E964DD" wp14:editId="03B8A2EE">
            <wp:extent cx="5759450" cy="3519170"/>
            <wp:effectExtent l="0" t="0" r="0" b="5080"/>
            <wp:docPr id="12" name="Picture 12" descr="A scientist stands on the snow in front of the research station holding an inflated weather balloon over her head, ready to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ientist stands on the snow in front of the research station holding an inflated weather balloon over her head, ready to launc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519170"/>
                    </a:xfrm>
                    <a:prstGeom prst="rect">
                      <a:avLst/>
                    </a:prstGeom>
                  </pic:spPr>
                </pic:pic>
              </a:graphicData>
            </a:graphic>
          </wp:inline>
        </w:drawing>
      </w:r>
    </w:p>
    <w:p w14:paraId="0DDE1B1E" w14:textId="77777777" w:rsidR="00764D6A" w:rsidRDefault="00E91D72">
      <w:pPr>
        <w:pStyle w:val="Heading2"/>
        <w:numPr>
          <w:ilvl w:val="0"/>
          <w:numId w:val="0"/>
        </w:numPr>
        <w:ind w:left="720" w:hanging="720"/>
      </w:pPr>
      <w:bookmarkStart w:id="4" w:name="_Toc430782150"/>
      <w:bookmarkStart w:id="5" w:name="_Toc82789379"/>
      <w:bookmarkEnd w:id="2"/>
      <w:r>
        <w:lastRenderedPageBreak/>
        <w:t>Introduction</w:t>
      </w:r>
      <w:bookmarkEnd w:id="4"/>
      <w:bookmarkEnd w:id="5"/>
    </w:p>
    <w:p w14:paraId="6004C397" w14:textId="0C5C082F" w:rsidR="0025001D" w:rsidRPr="0025001D" w:rsidRDefault="0025001D" w:rsidP="0025001D">
      <w:bookmarkStart w:id="6" w:name="_Ref445985033"/>
      <w:bookmarkStart w:id="7" w:name="_Toc409769171"/>
      <w:r w:rsidRPr="0025001D">
        <w:t>The Montreal Protocol on Substances that Deplete the Ozone Layer sets out a mandatory timetable for the phase</w:t>
      </w:r>
      <w:r w:rsidR="00091005">
        <w:t>-</w:t>
      </w:r>
      <w:r w:rsidRPr="0025001D">
        <w:t>out of the manufacture and import of ozone depleting substances. This timetable has been reviewed regularly, with phase</w:t>
      </w:r>
      <w:r w:rsidR="00091005">
        <w:t>-</w:t>
      </w:r>
      <w:r w:rsidRPr="0025001D">
        <w:t>out dates accelerated in accordance with scientific understanding and technological advances.</w:t>
      </w:r>
    </w:p>
    <w:p w14:paraId="31D05B36" w14:textId="50A72977" w:rsidR="0025001D" w:rsidRPr="0025001D" w:rsidRDefault="0025001D" w:rsidP="0025001D">
      <w:r w:rsidRPr="0025001D">
        <w:t xml:space="preserve">Ozone depleting substances are those substances </w:t>
      </w:r>
      <w:r w:rsidR="00091005">
        <w:t>that</w:t>
      </w:r>
      <w:r w:rsidR="00091005" w:rsidRPr="0025001D">
        <w:t xml:space="preserve"> </w:t>
      </w:r>
      <w:r w:rsidRPr="0025001D">
        <w:t xml:space="preserve">deplete the ozone layer and are widely used in refrigerators, air conditioners, fire extinguishers, in dry cleaning, thermal insulation in foam products, propellant in aerosols such as asthma inhalers, as solvents for cleaning electronic equipment and as fumigants in agricultural and quarantine applications. Their potency to destroy ozone is measured by their </w:t>
      </w:r>
      <w:r w:rsidR="000E118C">
        <w:t>o</w:t>
      </w:r>
      <w:r w:rsidRPr="0025001D">
        <w:t xml:space="preserve">zone </w:t>
      </w:r>
      <w:r w:rsidR="000E118C">
        <w:t>d</w:t>
      </w:r>
      <w:r w:rsidRPr="0025001D">
        <w:t xml:space="preserve">epleting </w:t>
      </w:r>
      <w:r w:rsidR="000E118C">
        <w:t>p</w:t>
      </w:r>
      <w:r w:rsidRPr="0025001D">
        <w:t>otential (ODP).</w:t>
      </w:r>
    </w:p>
    <w:p w14:paraId="2147FAEA" w14:textId="6EC3DE1F" w:rsidR="0025001D" w:rsidRPr="0025001D" w:rsidRDefault="0025001D" w:rsidP="0025001D">
      <w:r w:rsidRPr="0025001D">
        <w:t xml:space="preserve">Australia acceded to the Vienna Convention for the Protection of the Ozone Layer in 1987 and ratified the Montreal Protocol originally in 1989, and then again for each of the </w:t>
      </w:r>
      <w:r w:rsidR="00091005">
        <w:t>5</w:t>
      </w:r>
      <w:r w:rsidR="00091005" w:rsidRPr="0025001D">
        <w:t xml:space="preserve"> </w:t>
      </w:r>
      <w:r w:rsidRPr="0025001D">
        <w:t>amendments agreed between 1990 and 2016.</w:t>
      </w:r>
    </w:p>
    <w:p w14:paraId="6171A3BF" w14:textId="3FF1F13A" w:rsidR="0025001D" w:rsidRPr="0025001D" w:rsidRDefault="0025001D" w:rsidP="0025001D">
      <w:r w:rsidRPr="0025001D">
        <w:t>As one of the early countries to ratify the Montreal Protocol, Australia continues to be a leader in the phase</w:t>
      </w:r>
      <w:r w:rsidR="00091005">
        <w:t>-</w:t>
      </w:r>
      <w:r w:rsidRPr="0025001D">
        <w:t>out of ozone depleting substances. In many cases, Australia is well ahead of the Montreal Protocol requirements. Australia’s approach has been based on a cooperative partnership between industry, community and all levels of government.</w:t>
      </w:r>
    </w:p>
    <w:p w14:paraId="4AED2639" w14:textId="0156DBB1" w:rsidR="00B80B93" w:rsidRDefault="0025001D" w:rsidP="0025001D">
      <w:r w:rsidRPr="0025001D">
        <w:t>Science tells us that</w:t>
      </w:r>
      <w:r w:rsidR="00091005">
        <w:t>,</w:t>
      </w:r>
      <w:r w:rsidRPr="0025001D">
        <w:t xml:space="preserve"> thanks to the Montreal Protocol and its 198 signatory nations, the ozone layer is on track to recover to 1980 levels </w:t>
      </w:r>
      <w:r w:rsidR="00B80B93">
        <w:t>if all countries continue to meet the</w:t>
      </w:r>
      <w:r w:rsidR="00557436">
        <w:t>ir</w:t>
      </w:r>
      <w:r w:rsidR="00B80B93">
        <w:t xml:space="preserve"> phase out obligations:</w:t>
      </w:r>
    </w:p>
    <w:p w14:paraId="021CBF9E" w14:textId="77777777" w:rsidR="00B80B93" w:rsidRPr="009A6B23" w:rsidRDefault="0025001D" w:rsidP="009A6B23">
      <w:pPr>
        <w:pStyle w:val="ListBullet"/>
      </w:pPr>
      <w:r w:rsidRPr="009A6B23">
        <w:t>by the 2030s for northern hemisphere mid-latitudes</w:t>
      </w:r>
    </w:p>
    <w:p w14:paraId="73CEB56C" w14:textId="37EE9857" w:rsidR="00B80B93" w:rsidRPr="009A6B23" w:rsidRDefault="0025001D" w:rsidP="009A6B23">
      <w:pPr>
        <w:pStyle w:val="ListBullet"/>
      </w:pPr>
      <w:r w:rsidRPr="009A6B23">
        <w:t>by around the mid-century for southern hemisphere mid-latitudes</w:t>
      </w:r>
    </w:p>
    <w:p w14:paraId="23F66499" w14:textId="096F7E6B" w:rsidR="00456319" w:rsidRPr="00FA1C96" w:rsidRDefault="00B80B93" w:rsidP="0025001D">
      <w:pPr>
        <w:pStyle w:val="ListBullet"/>
      </w:pPr>
      <w:r w:rsidRPr="009A6B23">
        <w:t>t</w:t>
      </w:r>
      <w:r w:rsidR="0025001D" w:rsidRPr="009A6B23">
        <w:t>he Antarctic ozone hole is expected to return to 1980 values in the 2060s.</w:t>
      </w:r>
    </w:p>
    <w:p w14:paraId="2CE1C8F5" w14:textId="1AA11BBF" w:rsidR="00764D6A" w:rsidRDefault="0025001D" w:rsidP="002645E2">
      <w:pPr>
        <w:pStyle w:val="Heading2"/>
        <w:numPr>
          <w:ilvl w:val="0"/>
          <w:numId w:val="0"/>
        </w:numPr>
        <w:ind w:left="720" w:hanging="720"/>
      </w:pPr>
      <w:bookmarkStart w:id="8" w:name="_Toc82789380"/>
      <w:bookmarkEnd w:id="6"/>
      <w:bookmarkEnd w:id="7"/>
      <w:r>
        <w:lastRenderedPageBreak/>
        <w:t>HCFCs</w:t>
      </w:r>
      <w:bookmarkEnd w:id="8"/>
    </w:p>
    <w:p w14:paraId="31B22D7A" w14:textId="2CB35494" w:rsidR="007A2B01" w:rsidRPr="007A2B01" w:rsidRDefault="007A2B01" w:rsidP="007A2B01">
      <w:pPr>
        <w:pStyle w:val="Heading3"/>
        <w:numPr>
          <w:ilvl w:val="0"/>
          <w:numId w:val="0"/>
        </w:numPr>
        <w:ind w:left="964" w:hanging="964"/>
        <w:rPr>
          <w:lang w:eastAsia="ja-JP"/>
        </w:rPr>
      </w:pPr>
      <w:bookmarkStart w:id="9" w:name="_Toc82789381"/>
      <w:r>
        <w:rPr>
          <w:lang w:eastAsia="ja-JP"/>
        </w:rPr>
        <w:t>Australian HCFC bulk imports</w:t>
      </w:r>
      <w:bookmarkEnd w:id="9"/>
    </w:p>
    <w:p w14:paraId="65B2D925" w14:textId="1CDCAF43" w:rsidR="00E2487E" w:rsidRPr="00E2487E" w:rsidRDefault="00E2487E" w:rsidP="00E2487E">
      <w:bookmarkStart w:id="10" w:name="_Toc430782152"/>
      <w:r w:rsidRPr="00E2487E">
        <w:t>From 1 January 2020, HCFC imports for developed countries can only be imported to service existing refrigeration and fire equipment and for a couple of other niche uses. In 2030 the import limit goes to zero for all developed countries.</w:t>
      </w:r>
    </w:p>
    <w:p w14:paraId="194148D2" w14:textId="549D1745" w:rsidR="00E2487E" w:rsidRPr="00E2487E" w:rsidRDefault="00E2487E" w:rsidP="00E2487E">
      <w:r w:rsidRPr="00E2487E">
        <w:t>Australia reached the second last step in its HCFC phase</w:t>
      </w:r>
      <w:r w:rsidR="00091005">
        <w:t>-</w:t>
      </w:r>
      <w:r w:rsidRPr="00E2487E">
        <w:t xml:space="preserve">out in 2016, </w:t>
      </w:r>
      <w:r w:rsidR="00091005">
        <w:t>4</w:t>
      </w:r>
      <w:r w:rsidR="00091005" w:rsidRPr="00E2487E">
        <w:t xml:space="preserve"> </w:t>
      </w:r>
      <w:r w:rsidRPr="00E2487E">
        <w:t xml:space="preserve">years earlier than Montreal Protocol obligations. The annual import limit </w:t>
      </w:r>
      <w:r w:rsidR="009E019E">
        <w:t xml:space="preserve">for </w:t>
      </w:r>
      <w:r w:rsidRPr="00E2487E">
        <w:t>HCFCs from 2016 to 2029 is 2.5 ODP tonnes</w:t>
      </w:r>
      <w:r w:rsidR="009E019E">
        <w:t>,</w:t>
      </w:r>
      <w:r w:rsidRPr="00E2487E">
        <w:t xml:space="preserve"> which equates to around 45 tonnes of HCFC-22 annually.</w:t>
      </w:r>
    </w:p>
    <w:p w14:paraId="2E1E52F8" w14:textId="29929067" w:rsidR="00E2487E" w:rsidRDefault="00E2487E" w:rsidP="00E2487E">
      <w:r w:rsidRPr="00E2487E">
        <w:t>Importers have changed the mix of HCFC species they import in response to market requirements and opportunities. Since 2018 the only HCFC imported has been HCFC-22. HCFC-123 was last imported in 2017 (</w:t>
      </w:r>
      <w:r w:rsidR="009E019E">
        <w:fldChar w:fldCharType="begin"/>
      </w:r>
      <w:r w:rsidR="009E019E">
        <w:instrText xml:space="preserve"> REF _Ref80647587 \h </w:instrText>
      </w:r>
      <w:r w:rsidR="009E019E">
        <w:fldChar w:fldCharType="separate"/>
      </w:r>
      <w:r w:rsidR="009E019E">
        <w:t xml:space="preserve">Figure </w:t>
      </w:r>
      <w:r w:rsidR="009E019E">
        <w:rPr>
          <w:noProof/>
        </w:rPr>
        <w:t>1</w:t>
      </w:r>
      <w:r w:rsidR="009E019E">
        <w:fldChar w:fldCharType="end"/>
      </w:r>
      <w:r w:rsidRPr="00E2487E">
        <w:t xml:space="preserve"> and</w:t>
      </w:r>
      <w:r w:rsidR="009E019E">
        <w:t xml:space="preserve"> </w:t>
      </w:r>
      <w:r w:rsidR="009E019E">
        <w:fldChar w:fldCharType="begin"/>
      </w:r>
      <w:r w:rsidR="009E019E">
        <w:instrText xml:space="preserve"> REF _Ref80647615 \h </w:instrText>
      </w:r>
      <w:r w:rsidR="009E019E">
        <w:fldChar w:fldCharType="separate"/>
      </w:r>
      <w:r w:rsidR="009E019E">
        <w:t xml:space="preserve">Table </w:t>
      </w:r>
      <w:r w:rsidR="009E019E">
        <w:rPr>
          <w:noProof/>
        </w:rPr>
        <w:t>1</w:t>
      </w:r>
      <w:r w:rsidR="009E019E">
        <w:fldChar w:fldCharType="end"/>
      </w:r>
      <w:r w:rsidRPr="00E2487E">
        <w:t>)</w:t>
      </w:r>
      <w:r w:rsidR="009E019E">
        <w:t>.</w:t>
      </w:r>
    </w:p>
    <w:p w14:paraId="70D15B28" w14:textId="70556A05" w:rsidR="00601B1B" w:rsidRDefault="007566B2" w:rsidP="007A2B01">
      <w:pPr>
        <w:pStyle w:val="Caption"/>
      </w:pPr>
      <w:bookmarkStart w:id="11" w:name="_Ref80647587"/>
      <w:bookmarkStart w:id="12" w:name="_Toc82789403"/>
      <w:r>
        <w:t xml:space="preserve">Figure </w:t>
      </w:r>
      <w:fldSimple w:instr=" SEQ Figure \* ARABIC ">
        <w:r w:rsidR="00524D2C">
          <w:rPr>
            <w:noProof/>
          </w:rPr>
          <w:t>1</w:t>
        </w:r>
      </w:fldSimple>
      <w:bookmarkEnd w:id="11"/>
      <w:r>
        <w:t xml:space="preserve"> Bulk HCFC-22 imported</w:t>
      </w:r>
      <w:r w:rsidR="0000356A">
        <w:t xml:space="preserve"> in metric tonnes</w:t>
      </w:r>
      <w:r w:rsidR="00EC67BF">
        <w:t xml:space="preserve">, </w:t>
      </w:r>
      <w:r>
        <w:t>2011</w:t>
      </w:r>
      <w:r w:rsidR="009E019E">
        <w:t xml:space="preserve"> to </w:t>
      </w:r>
      <w:r>
        <w:t>2020</w:t>
      </w:r>
      <w:bookmarkEnd w:id="12"/>
    </w:p>
    <w:p w14:paraId="253B493A" w14:textId="7A6431A4" w:rsidR="00E11A7D" w:rsidRDefault="00A74B7E" w:rsidP="007A2B01">
      <w:pPr>
        <w:pStyle w:val="Caption"/>
      </w:pPr>
      <w:r>
        <w:rPr>
          <w:noProof/>
        </w:rPr>
        <w:drawing>
          <wp:inline distT="0" distB="0" distL="0" distR="0" wp14:anchorId="19D79592" wp14:editId="73783C47">
            <wp:extent cx="5733418" cy="3182620"/>
            <wp:effectExtent l="0" t="0" r="635" b="0"/>
            <wp:docPr id="3" name="Picture 3" descr="This bar graph that shows the decrease of HCFC-22  imports over the past 10 years, from 1290.0 metric tonnes in 2011 to 43.1 metric tonnes in 2020. The major decreases occurred in 2012, 2014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bar graph that shows the decrease of HCFC-22  imports over the past 10 years, from 1290.0 metric tonnes in 2011 to 43.1 metric tonnes in 2020. The major decreases occurred in 2012, 2014 and 201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40" t="12438" r="1734" b="2423"/>
                    <a:stretch/>
                  </pic:blipFill>
                  <pic:spPr bwMode="auto">
                    <a:xfrm>
                      <a:off x="0" y="0"/>
                      <a:ext cx="5781074" cy="3209074"/>
                    </a:xfrm>
                    <a:prstGeom prst="rect">
                      <a:avLst/>
                    </a:prstGeom>
                    <a:noFill/>
                    <a:ln>
                      <a:noFill/>
                    </a:ln>
                    <a:extLst>
                      <a:ext uri="{53640926-AAD7-44D8-BBD7-CCE9431645EC}">
                        <a14:shadowObscured xmlns:a14="http://schemas.microsoft.com/office/drawing/2010/main"/>
                      </a:ext>
                    </a:extLst>
                  </pic:spPr>
                </pic:pic>
              </a:graphicData>
            </a:graphic>
          </wp:inline>
        </w:drawing>
      </w:r>
      <w:bookmarkStart w:id="13" w:name="_Ref80647615"/>
      <w:bookmarkStart w:id="14" w:name="_Ref80647603"/>
    </w:p>
    <w:p w14:paraId="577B6D2E" w14:textId="68F1F470" w:rsidR="007A2B01" w:rsidRPr="00E2487E" w:rsidRDefault="007A2B01" w:rsidP="007A2B01">
      <w:pPr>
        <w:pStyle w:val="Caption"/>
        <w:rPr>
          <w:rFonts w:eastAsia="Times New Roman" w:cs="Times New Roman"/>
          <w:sz w:val="36"/>
          <w:szCs w:val="24"/>
        </w:rPr>
      </w:pPr>
      <w:bookmarkStart w:id="15" w:name="_Toc82789395"/>
      <w:r>
        <w:t xml:space="preserve">Table </w:t>
      </w:r>
      <w:fldSimple w:instr=" SEQ Table \* ARABIC ">
        <w:r w:rsidR="00822CB6">
          <w:rPr>
            <w:noProof/>
          </w:rPr>
          <w:t>1</w:t>
        </w:r>
      </w:fldSimple>
      <w:bookmarkEnd w:id="13"/>
      <w:r>
        <w:t xml:space="preserve"> Bulk HCFC imported</w:t>
      </w:r>
      <w:r w:rsidR="000F7C92" w:rsidRPr="000F7C92">
        <w:t xml:space="preserve"> </w:t>
      </w:r>
      <w:r w:rsidR="000F7C92">
        <w:t>in metric tonnes</w:t>
      </w:r>
      <w:r w:rsidR="00DE5C54">
        <w:t>,</w:t>
      </w:r>
      <w:r>
        <w:t xml:space="preserve"> 2012</w:t>
      </w:r>
      <w:r w:rsidR="009E019E">
        <w:t xml:space="preserve"> to </w:t>
      </w:r>
      <w:r>
        <w:t>2020</w:t>
      </w:r>
      <w:bookmarkEnd w:id="14"/>
      <w:bookmarkEnd w:id="1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20"/>
        <w:gridCol w:w="741"/>
        <w:gridCol w:w="864"/>
        <w:gridCol w:w="864"/>
        <w:gridCol w:w="864"/>
        <w:gridCol w:w="864"/>
        <w:gridCol w:w="864"/>
        <w:gridCol w:w="863"/>
        <w:gridCol w:w="863"/>
        <w:gridCol w:w="863"/>
      </w:tblGrid>
      <w:tr w:rsidR="008259C7" w:rsidRPr="008259C7" w14:paraId="03554E5C" w14:textId="77777777" w:rsidTr="00F323F7">
        <w:trPr>
          <w:cantSplit/>
          <w:tblHeader/>
        </w:trPr>
        <w:tc>
          <w:tcPr>
            <w:tcW w:w="782" w:type="pct"/>
          </w:tcPr>
          <w:p w14:paraId="38C90087" w14:textId="19B85369" w:rsidR="008259C7" w:rsidRPr="008259C7" w:rsidRDefault="009E019E" w:rsidP="008259C7">
            <w:pPr>
              <w:pStyle w:val="TableHeading"/>
            </w:pPr>
            <w:bookmarkStart w:id="16" w:name="Title_1"/>
            <w:bookmarkEnd w:id="16"/>
            <w:r>
              <w:t>S</w:t>
            </w:r>
            <w:r w:rsidR="000F7C92">
              <w:t>pecies</w:t>
            </w:r>
          </w:p>
        </w:tc>
        <w:tc>
          <w:tcPr>
            <w:tcW w:w="408" w:type="pct"/>
          </w:tcPr>
          <w:p w14:paraId="12261569" w14:textId="77777777" w:rsidR="008259C7" w:rsidRPr="008259C7" w:rsidRDefault="008259C7" w:rsidP="008259C7">
            <w:pPr>
              <w:pStyle w:val="TableHeading"/>
              <w:jc w:val="right"/>
            </w:pPr>
            <w:r w:rsidRPr="008259C7">
              <w:t>2012</w:t>
            </w:r>
          </w:p>
        </w:tc>
        <w:tc>
          <w:tcPr>
            <w:tcW w:w="476" w:type="pct"/>
          </w:tcPr>
          <w:p w14:paraId="5A1012DE" w14:textId="77777777" w:rsidR="008259C7" w:rsidRPr="008259C7" w:rsidRDefault="008259C7" w:rsidP="008259C7">
            <w:pPr>
              <w:pStyle w:val="TableHeading"/>
              <w:jc w:val="right"/>
            </w:pPr>
            <w:r w:rsidRPr="008259C7">
              <w:t>2013</w:t>
            </w:r>
          </w:p>
        </w:tc>
        <w:tc>
          <w:tcPr>
            <w:tcW w:w="476" w:type="pct"/>
          </w:tcPr>
          <w:p w14:paraId="35B0B18E" w14:textId="77777777" w:rsidR="008259C7" w:rsidRPr="008259C7" w:rsidRDefault="008259C7" w:rsidP="008259C7">
            <w:pPr>
              <w:pStyle w:val="TableHeading"/>
              <w:jc w:val="right"/>
            </w:pPr>
            <w:r w:rsidRPr="008259C7">
              <w:t>2014</w:t>
            </w:r>
          </w:p>
        </w:tc>
        <w:tc>
          <w:tcPr>
            <w:tcW w:w="476" w:type="pct"/>
          </w:tcPr>
          <w:p w14:paraId="5698656F" w14:textId="77777777" w:rsidR="008259C7" w:rsidRPr="008259C7" w:rsidRDefault="008259C7" w:rsidP="008259C7">
            <w:pPr>
              <w:pStyle w:val="TableHeading"/>
              <w:jc w:val="right"/>
            </w:pPr>
            <w:r w:rsidRPr="008259C7">
              <w:t>2015</w:t>
            </w:r>
          </w:p>
        </w:tc>
        <w:tc>
          <w:tcPr>
            <w:tcW w:w="476" w:type="pct"/>
          </w:tcPr>
          <w:p w14:paraId="2F782CCA" w14:textId="77777777" w:rsidR="008259C7" w:rsidRPr="008259C7" w:rsidRDefault="008259C7" w:rsidP="008259C7">
            <w:pPr>
              <w:pStyle w:val="TableHeading"/>
              <w:jc w:val="right"/>
            </w:pPr>
            <w:r w:rsidRPr="008259C7">
              <w:t>2016</w:t>
            </w:r>
          </w:p>
        </w:tc>
        <w:tc>
          <w:tcPr>
            <w:tcW w:w="476" w:type="pct"/>
          </w:tcPr>
          <w:p w14:paraId="305B1694" w14:textId="77777777" w:rsidR="008259C7" w:rsidRPr="008259C7" w:rsidRDefault="008259C7" w:rsidP="008259C7">
            <w:pPr>
              <w:pStyle w:val="TableHeading"/>
              <w:jc w:val="right"/>
            </w:pPr>
            <w:r w:rsidRPr="008259C7">
              <w:t>2017</w:t>
            </w:r>
          </w:p>
        </w:tc>
        <w:tc>
          <w:tcPr>
            <w:tcW w:w="476" w:type="pct"/>
          </w:tcPr>
          <w:p w14:paraId="317DF366" w14:textId="77777777" w:rsidR="008259C7" w:rsidRPr="008259C7" w:rsidRDefault="008259C7" w:rsidP="008259C7">
            <w:pPr>
              <w:pStyle w:val="TableHeading"/>
              <w:jc w:val="right"/>
            </w:pPr>
            <w:r w:rsidRPr="008259C7">
              <w:t>2018</w:t>
            </w:r>
          </w:p>
        </w:tc>
        <w:tc>
          <w:tcPr>
            <w:tcW w:w="476" w:type="pct"/>
          </w:tcPr>
          <w:p w14:paraId="47EF5C68" w14:textId="77777777" w:rsidR="008259C7" w:rsidRPr="008259C7" w:rsidRDefault="008259C7" w:rsidP="008259C7">
            <w:pPr>
              <w:pStyle w:val="TableHeading"/>
              <w:jc w:val="right"/>
            </w:pPr>
            <w:r w:rsidRPr="008259C7">
              <w:t>2019</w:t>
            </w:r>
          </w:p>
        </w:tc>
        <w:tc>
          <w:tcPr>
            <w:tcW w:w="476" w:type="pct"/>
          </w:tcPr>
          <w:p w14:paraId="44B8DF24" w14:textId="77777777" w:rsidR="008259C7" w:rsidRPr="008259C7" w:rsidRDefault="008259C7" w:rsidP="008259C7">
            <w:pPr>
              <w:pStyle w:val="TableHeading"/>
              <w:jc w:val="right"/>
            </w:pPr>
            <w:r w:rsidRPr="008259C7">
              <w:t>2020</w:t>
            </w:r>
          </w:p>
        </w:tc>
      </w:tr>
      <w:tr w:rsidR="008259C7" w:rsidRPr="008259C7" w14:paraId="610FC9C9" w14:textId="77777777" w:rsidTr="008259C7">
        <w:tc>
          <w:tcPr>
            <w:tcW w:w="782" w:type="pct"/>
          </w:tcPr>
          <w:p w14:paraId="7AABD092" w14:textId="77777777" w:rsidR="008259C7" w:rsidRPr="008259C7" w:rsidRDefault="008259C7" w:rsidP="008259C7">
            <w:pPr>
              <w:pStyle w:val="TableText"/>
            </w:pPr>
            <w:r w:rsidRPr="008259C7">
              <w:t>HCFC-22</w:t>
            </w:r>
          </w:p>
        </w:tc>
        <w:tc>
          <w:tcPr>
            <w:tcW w:w="408" w:type="pct"/>
          </w:tcPr>
          <w:p w14:paraId="2C6D773D" w14:textId="77777777" w:rsidR="008259C7" w:rsidRPr="008259C7" w:rsidRDefault="008259C7" w:rsidP="008259C7">
            <w:pPr>
              <w:pStyle w:val="TableText"/>
              <w:jc w:val="right"/>
            </w:pPr>
            <w:r w:rsidRPr="008259C7">
              <w:t>702</w:t>
            </w:r>
          </w:p>
        </w:tc>
        <w:tc>
          <w:tcPr>
            <w:tcW w:w="476" w:type="pct"/>
          </w:tcPr>
          <w:p w14:paraId="7E8435D9" w14:textId="77777777" w:rsidR="008259C7" w:rsidRPr="008259C7" w:rsidRDefault="008259C7" w:rsidP="008259C7">
            <w:pPr>
              <w:pStyle w:val="TableText"/>
              <w:jc w:val="right"/>
            </w:pPr>
            <w:r w:rsidRPr="008259C7">
              <w:t>711</w:t>
            </w:r>
          </w:p>
        </w:tc>
        <w:tc>
          <w:tcPr>
            <w:tcW w:w="476" w:type="pct"/>
          </w:tcPr>
          <w:p w14:paraId="3112CC1B" w14:textId="77777777" w:rsidR="008259C7" w:rsidRPr="008259C7" w:rsidRDefault="008259C7" w:rsidP="008259C7">
            <w:pPr>
              <w:pStyle w:val="TableText"/>
              <w:jc w:val="right"/>
            </w:pPr>
            <w:r w:rsidRPr="008259C7">
              <w:t>178</w:t>
            </w:r>
          </w:p>
        </w:tc>
        <w:tc>
          <w:tcPr>
            <w:tcW w:w="476" w:type="pct"/>
          </w:tcPr>
          <w:p w14:paraId="392CEE77" w14:textId="77777777" w:rsidR="008259C7" w:rsidRPr="008259C7" w:rsidRDefault="008259C7" w:rsidP="008259C7">
            <w:pPr>
              <w:pStyle w:val="TableText"/>
              <w:jc w:val="right"/>
            </w:pPr>
            <w:r w:rsidRPr="008259C7">
              <w:t>190</w:t>
            </w:r>
          </w:p>
        </w:tc>
        <w:tc>
          <w:tcPr>
            <w:tcW w:w="476" w:type="pct"/>
          </w:tcPr>
          <w:p w14:paraId="0BC53016" w14:textId="77777777" w:rsidR="008259C7" w:rsidRPr="008259C7" w:rsidRDefault="008259C7" w:rsidP="008259C7">
            <w:pPr>
              <w:pStyle w:val="TableText"/>
              <w:jc w:val="right"/>
            </w:pPr>
            <w:r w:rsidRPr="008259C7">
              <w:t>45</w:t>
            </w:r>
          </w:p>
        </w:tc>
        <w:tc>
          <w:tcPr>
            <w:tcW w:w="476" w:type="pct"/>
          </w:tcPr>
          <w:p w14:paraId="26D28234" w14:textId="77777777" w:rsidR="008259C7" w:rsidRPr="008259C7" w:rsidRDefault="008259C7" w:rsidP="008259C7">
            <w:pPr>
              <w:pStyle w:val="TableText"/>
              <w:jc w:val="right"/>
            </w:pPr>
            <w:r w:rsidRPr="008259C7">
              <w:t>42.8</w:t>
            </w:r>
          </w:p>
        </w:tc>
        <w:tc>
          <w:tcPr>
            <w:tcW w:w="476" w:type="pct"/>
          </w:tcPr>
          <w:p w14:paraId="74D9BFEE" w14:textId="77777777" w:rsidR="008259C7" w:rsidRPr="008259C7" w:rsidRDefault="008259C7" w:rsidP="008259C7">
            <w:pPr>
              <w:pStyle w:val="TableText"/>
              <w:jc w:val="right"/>
            </w:pPr>
            <w:r w:rsidRPr="008259C7">
              <w:t>45.4</w:t>
            </w:r>
          </w:p>
        </w:tc>
        <w:tc>
          <w:tcPr>
            <w:tcW w:w="476" w:type="pct"/>
          </w:tcPr>
          <w:p w14:paraId="60A512C2" w14:textId="77777777" w:rsidR="008259C7" w:rsidRPr="008259C7" w:rsidRDefault="008259C7" w:rsidP="008259C7">
            <w:pPr>
              <w:pStyle w:val="TableText"/>
              <w:jc w:val="right"/>
            </w:pPr>
            <w:r w:rsidRPr="008259C7">
              <w:t>46.06</w:t>
            </w:r>
          </w:p>
        </w:tc>
        <w:tc>
          <w:tcPr>
            <w:tcW w:w="476" w:type="pct"/>
          </w:tcPr>
          <w:p w14:paraId="37CD7BB6" w14:textId="77777777" w:rsidR="008259C7" w:rsidRPr="008259C7" w:rsidRDefault="008259C7" w:rsidP="008259C7">
            <w:pPr>
              <w:pStyle w:val="TableText"/>
              <w:jc w:val="right"/>
            </w:pPr>
            <w:r w:rsidRPr="008259C7">
              <w:t>43.1</w:t>
            </w:r>
          </w:p>
        </w:tc>
      </w:tr>
      <w:tr w:rsidR="008259C7" w:rsidRPr="008259C7" w14:paraId="32D270DF" w14:textId="77777777" w:rsidTr="008259C7">
        <w:tc>
          <w:tcPr>
            <w:tcW w:w="782" w:type="pct"/>
          </w:tcPr>
          <w:p w14:paraId="35BD079A" w14:textId="77777777" w:rsidR="008259C7" w:rsidRPr="008259C7" w:rsidRDefault="008259C7" w:rsidP="008259C7">
            <w:pPr>
              <w:pStyle w:val="TableText"/>
            </w:pPr>
            <w:r w:rsidRPr="008259C7">
              <w:t>HCFC-123</w:t>
            </w:r>
          </w:p>
        </w:tc>
        <w:tc>
          <w:tcPr>
            <w:tcW w:w="408" w:type="pct"/>
          </w:tcPr>
          <w:p w14:paraId="2FD961C8" w14:textId="77777777" w:rsidR="008259C7" w:rsidRPr="008259C7" w:rsidRDefault="008259C7" w:rsidP="008259C7">
            <w:pPr>
              <w:pStyle w:val="TableText"/>
              <w:jc w:val="right"/>
            </w:pPr>
            <w:r w:rsidRPr="008259C7">
              <w:t>26</w:t>
            </w:r>
          </w:p>
        </w:tc>
        <w:tc>
          <w:tcPr>
            <w:tcW w:w="476" w:type="pct"/>
          </w:tcPr>
          <w:p w14:paraId="41891065" w14:textId="77777777" w:rsidR="008259C7" w:rsidRPr="008259C7" w:rsidRDefault="008259C7" w:rsidP="008259C7">
            <w:pPr>
              <w:pStyle w:val="TableText"/>
              <w:jc w:val="right"/>
            </w:pPr>
            <w:r w:rsidRPr="008259C7">
              <w:t>8</w:t>
            </w:r>
          </w:p>
        </w:tc>
        <w:tc>
          <w:tcPr>
            <w:tcW w:w="476" w:type="pct"/>
          </w:tcPr>
          <w:p w14:paraId="4246CB42" w14:textId="77777777" w:rsidR="008259C7" w:rsidRPr="008259C7" w:rsidRDefault="008259C7" w:rsidP="008259C7">
            <w:pPr>
              <w:pStyle w:val="TableText"/>
              <w:jc w:val="right"/>
            </w:pPr>
            <w:r w:rsidRPr="008259C7">
              <w:t>8.8</w:t>
            </w:r>
          </w:p>
        </w:tc>
        <w:tc>
          <w:tcPr>
            <w:tcW w:w="476" w:type="pct"/>
          </w:tcPr>
          <w:p w14:paraId="30F07147" w14:textId="77777777" w:rsidR="008259C7" w:rsidRPr="008259C7" w:rsidRDefault="008259C7" w:rsidP="008259C7">
            <w:pPr>
              <w:pStyle w:val="TableText"/>
              <w:jc w:val="right"/>
            </w:pPr>
            <w:r w:rsidRPr="008259C7">
              <w:t>0</w:t>
            </w:r>
          </w:p>
        </w:tc>
        <w:tc>
          <w:tcPr>
            <w:tcW w:w="476" w:type="pct"/>
          </w:tcPr>
          <w:p w14:paraId="13368384" w14:textId="77777777" w:rsidR="008259C7" w:rsidRPr="008259C7" w:rsidRDefault="008259C7" w:rsidP="008259C7">
            <w:pPr>
              <w:pStyle w:val="TableText"/>
              <w:jc w:val="right"/>
            </w:pPr>
            <w:r w:rsidRPr="008259C7">
              <w:t>0</w:t>
            </w:r>
          </w:p>
        </w:tc>
        <w:tc>
          <w:tcPr>
            <w:tcW w:w="476" w:type="pct"/>
          </w:tcPr>
          <w:p w14:paraId="2D6026D0" w14:textId="77777777" w:rsidR="008259C7" w:rsidRPr="008259C7" w:rsidRDefault="008259C7" w:rsidP="008259C7">
            <w:pPr>
              <w:pStyle w:val="TableText"/>
              <w:jc w:val="right"/>
            </w:pPr>
            <w:r w:rsidRPr="008259C7">
              <w:t>1.8</w:t>
            </w:r>
          </w:p>
        </w:tc>
        <w:tc>
          <w:tcPr>
            <w:tcW w:w="476" w:type="pct"/>
          </w:tcPr>
          <w:p w14:paraId="5CBDB474" w14:textId="77777777" w:rsidR="008259C7" w:rsidRPr="008259C7" w:rsidRDefault="008259C7" w:rsidP="008259C7">
            <w:pPr>
              <w:pStyle w:val="TableText"/>
              <w:jc w:val="right"/>
            </w:pPr>
            <w:r w:rsidRPr="008259C7">
              <w:t>0</w:t>
            </w:r>
          </w:p>
        </w:tc>
        <w:tc>
          <w:tcPr>
            <w:tcW w:w="476" w:type="pct"/>
          </w:tcPr>
          <w:p w14:paraId="74C0BD80" w14:textId="77777777" w:rsidR="008259C7" w:rsidRPr="008259C7" w:rsidRDefault="008259C7" w:rsidP="008259C7">
            <w:pPr>
              <w:pStyle w:val="TableText"/>
              <w:jc w:val="right"/>
            </w:pPr>
            <w:r w:rsidRPr="008259C7">
              <w:t>0</w:t>
            </w:r>
          </w:p>
        </w:tc>
        <w:tc>
          <w:tcPr>
            <w:tcW w:w="476" w:type="pct"/>
          </w:tcPr>
          <w:p w14:paraId="2132BEE7" w14:textId="77777777" w:rsidR="008259C7" w:rsidRPr="008259C7" w:rsidRDefault="008259C7" w:rsidP="008259C7">
            <w:pPr>
              <w:pStyle w:val="TableText"/>
              <w:jc w:val="right"/>
            </w:pPr>
            <w:r w:rsidRPr="008259C7">
              <w:t>0</w:t>
            </w:r>
          </w:p>
        </w:tc>
      </w:tr>
      <w:tr w:rsidR="008259C7" w:rsidRPr="008259C7" w14:paraId="15AD0DB7" w14:textId="77777777" w:rsidTr="008259C7">
        <w:tc>
          <w:tcPr>
            <w:tcW w:w="782" w:type="pct"/>
          </w:tcPr>
          <w:p w14:paraId="4E40E364" w14:textId="77777777" w:rsidR="008259C7" w:rsidRPr="008259C7" w:rsidRDefault="008259C7" w:rsidP="008259C7">
            <w:pPr>
              <w:pStyle w:val="TableText"/>
            </w:pPr>
            <w:r w:rsidRPr="008259C7">
              <w:t>HCFC-124</w:t>
            </w:r>
          </w:p>
        </w:tc>
        <w:tc>
          <w:tcPr>
            <w:tcW w:w="408" w:type="pct"/>
          </w:tcPr>
          <w:p w14:paraId="2A605F00" w14:textId="77777777" w:rsidR="008259C7" w:rsidRPr="008259C7" w:rsidRDefault="008259C7" w:rsidP="008259C7">
            <w:pPr>
              <w:pStyle w:val="TableText"/>
              <w:jc w:val="right"/>
            </w:pPr>
            <w:r w:rsidRPr="008259C7">
              <w:t>4</w:t>
            </w:r>
          </w:p>
        </w:tc>
        <w:tc>
          <w:tcPr>
            <w:tcW w:w="476" w:type="pct"/>
          </w:tcPr>
          <w:p w14:paraId="4E295D83" w14:textId="77777777" w:rsidR="008259C7" w:rsidRPr="008259C7" w:rsidRDefault="008259C7" w:rsidP="008259C7">
            <w:pPr>
              <w:pStyle w:val="TableText"/>
              <w:jc w:val="right"/>
            </w:pPr>
            <w:r w:rsidRPr="008259C7">
              <w:t>3</w:t>
            </w:r>
          </w:p>
        </w:tc>
        <w:tc>
          <w:tcPr>
            <w:tcW w:w="476" w:type="pct"/>
          </w:tcPr>
          <w:p w14:paraId="23F5549E" w14:textId="77777777" w:rsidR="008259C7" w:rsidRPr="008259C7" w:rsidRDefault="008259C7" w:rsidP="008259C7">
            <w:pPr>
              <w:pStyle w:val="TableText"/>
              <w:jc w:val="right"/>
            </w:pPr>
            <w:r w:rsidRPr="008259C7">
              <w:t>0.5</w:t>
            </w:r>
          </w:p>
        </w:tc>
        <w:tc>
          <w:tcPr>
            <w:tcW w:w="476" w:type="pct"/>
          </w:tcPr>
          <w:p w14:paraId="15BBE5B4" w14:textId="77777777" w:rsidR="008259C7" w:rsidRPr="008259C7" w:rsidRDefault="008259C7" w:rsidP="008259C7">
            <w:pPr>
              <w:pStyle w:val="TableText"/>
              <w:jc w:val="right"/>
            </w:pPr>
            <w:r w:rsidRPr="008259C7">
              <w:t>1.5</w:t>
            </w:r>
          </w:p>
        </w:tc>
        <w:tc>
          <w:tcPr>
            <w:tcW w:w="476" w:type="pct"/>
          </w:tcPr>
          <w:p w14:paraId="6467D59F" w14:textId="77777777" w:rsidR="008259C7" w:rsidRPr="008259C7" w:rsidRDefault="008259C7" w:rsidP="008259C7">
            <w:pPr>
              <w:pStyle w:val="TableText"/>
              <w:jc w:val="right"/>
            </w:pPr>
            <w:r w:rsidRPr="008259C7">
              <w:t>0</w:t>
            </w:r>
          </w:p>
        </w:tc>
        <w:tc>
          <w:tcPr>
            <w:tcW w:w="476" w:type="pct"/>
          </w:tcPr>
          <w:p w14:paraId="7E7B2D8B" w14:textId="77777777" w:rsidR="008259C7" w:rsidRPr="008259C7" w:rsidRDefault="008259C7" w:rsidP="008259C7">
            <w:pPr>
              <w:pStyle w:val="TableText"/>
              <w:jc w:val="right"/>
            </w:pPr>
            <w:r w:rsidRPr="008259C7">
              <w:t>0</w:t>
            </w:r>
          </w:p>
        </w:tc>
        <w:tc>
          <w:tcPr>
            <w:tcW w:w="476" w:type="pct"/>
          </w:tcPr>
          <w:p w14:paraId="568F2634" w14:textId="77777777" w:rsidR="008259C7" w:rsidRPr="008259C7" w:rsidRDefault="008259C7" w:rsidP="008259C7">
            <w:pPr>
              <w:pStyle w:val="TableText"/>
              <w:jc w:val="right"/>
            </w:pPr>
            <w:r w:rsidRPr="008259C7">
              <w:t>0</w:t>
            </w:r>
          </w:p>
        </w:tc>
        <w:tc>
          <w:tcPr>
            <w:tcW w:w="476" w:type="pct"/>
          </w:tcPr>
          <w:p w14:paraId="4CB98AB5" w14:textId="77777777" w:rsidR="008259C7" w:rsidRPr="008259C7" w:rsidRDefault="008259C7" w:rsidP="008259C7">
            <w:pPr>
              <w:pStyle w:val="TableText"/>
              <w:jc w:val="right"/>
            </w:pPr>
            <w:r w:rsidRPr="008259C7">
              <w:t>0</w:t>
            </w:r>
          </w:p>
        </w:tc>
        <w:tc>
          <w:tcPr>
            <w:tcW w:w="476" w:type="pct"/>
          </w:tcPr>
          <w:p w14:paraId="050B183A" w14:textId="77777777" w:rsidR="008259C7" w:rsidRPr="008259C7" w:rsidRDefault="008259C7" w:rsidP="008259C7">
            <w:pPr>
              <w:pStyle w:val="TableText"/>
              <w:jc w:val="right"/>
            </w:pPr>
            <w:r w:rsidRPr="008259C7">
              <w:t>0</w:t>
            </w:r>
          </w:p>
        </w:tc>
      </w:tr>
      <w:tr w:rsidR="008259C7" w:rsidRPr="008259C7" w14:paraId="76CF32C3" w14:textId="77777777" w:rsidTr="008259C7">
        <w:tc>
          <w:tcPr>
            <w:tcW w:w="782" w:type="pct"/>
          </w:tcPr>
          <w:p w14:paraId="2AF3D224" w14:textId="77777777" w:rsidR="008259C7" w:rsidRPr="008259C7" w:rsidRDefault="008259C7" w:rsidP="008259C7">
            <w:pPr>
              <w:pStyle w:val="TableText"/>
            </w:pPr>
            <w:r w:rsidRPr="008259C7">
              <w:t>HCFC-142b</w:t>
            </w:r>
          </w:p>
        </w:tc>
        <w:tc>
          <w:tcPr>
            <w:tcW w:w="408" w:type="pct"/>
          </w:tcPr>
          <w:p w14:paraId="66D16C71" w14:textId="77777777" w:rsidR="008259C7" w:rsidRPr="008259C7" w:rsidRDefault="008259C7" w:rsidP="008259C7">
            <w:pPr>
              <w:pStyle w:val="TableText"/>
              <w:jc w:val="right"/>
            </w:pPr>
            <w:r w:rsidRPr="008259C7">
              <w:t>1</w:t>
            </w:r>
          </w:p>
        </w:tc>
        <w:tc>
          <w:tcPr>
            <w:tcW w:w="476" w:type="pct"/>
          </w:tcPr>
          <w:p w14:paraId="0B3A2231" w14:textId="77777777" w:rsidR="008259C7" w:rsidRPr="008259C7" w:rsidRDefault="008259C7" w:rsidP="008259C7">
            <w:pPr>
              <w:pStyle w:val="TableText"/>
              <w:jc w:val="right"/>
            </w:pPr>
            <w:r w:rsidRPr="008259C7">
              <w:t>1</w:t>
            </w:r>
          </w:p>
        </w:tc>
        <w:tc>
          <w:tcPr>
            <w:tcW w:w="476" w:type="pct"/>
          </w:tcPr>
          <w:p w14:paraId="503E5DEF" w14:textId="77777777" w:rsidR="008259C7" w:rsidRPr="008259C7" w:rsidRDefault="008259C7" w:rsidP="008259C7">
            <w:pPr>
              <w:pStyle w:val="TableText"/>
              <w:jc w:val="right"/>
            </w:pPr>
            <w:r w:rsidRPr="008259C7">
              <w:t>0.3</w:t>
            </w:r>
          </w:p>
        </w:tc>
        <w:tc>
          <w:tcPr>
            <w:tcW w:w="476" w:type="pct"/>
          </w:tcPr>
          <w:p w14:paraId="03A67325" w14:textId="77777777" w:rsidR="008259C7" w:rsidRPr="008259C7" w:rsidRDefault="008259C7" w:rsidP="008259C7">
            <w:pPr>
              <w:pStyle w:val="TableText"/>
              <w:jc w:val="right"/>
            </w:pPr>
            <w:r w:rsidRPr="008259C7">
              <w:t>0</w:t>
            </w:r>
          </w:p>
        </w:tc>
        <w:tc>
          <w:tcPr>
            <w:tcW w:w="476" w:type="pct"/>
          </w:tcPr>
          <w:p w14:paraId="239BF356" w14:textId="77777777" w:rsidR="008259C7" w:rsidRPr="008259C7" w:rsidRDefault="008259C7" w:rsidP="008259C7">
            <w:pPr>
              <w:pStyle w:val="TableText"/>
              <w:jc w:val="right"/>
            </w:pPr>
            <w:r w:rsidRPr="008259C7">
              <w:t>0</w:t>
            </w:r>
          </w:p>
        </w:tc>
        <w:tc>
          <w:tcPr>
            <w:tcW w:w="476" w:type="pct"/>
          </w:tcPr>
          <w:p w14:paraId="30D2FA1E" w14:textId="77777777" w:rsidR="008259C7" w:rsidRPr="008259C7" w:rsidRDefault="008259C7" w:rsidP="008259C7">
            <w:pPr>
              <w:pStyle w:val="TableText"/>
              <w:jc w:val="right"/>
            </w:pPr>
            <w:r w:rsidRPr="008259C7">
              <w:t>0</w:t>
            </w:r>
          </w:p>
        </w:tc>
        <w:tc>
          <w:tcPr>
            <w:tcW w:w="476" w:type="pct"/>
          </w:tcPr>
          <w:p w14:paraId="28D21C81" w14:textId="77777777" w:rsidR="008259C7" w:rsidRPr="008259C7" w:rsidRDefault="008259C7" w:rsidP="008259C7">
            <w:pPr>
              <w:pStyle w:val="TableText"/>
              <w:jc w:val="right"/>
            </w:pPr>
            <w:r w:rsidRPr="008259C7">
              <w:t>0</w:t>
            </w:r>
          </w:p>
        </w:tc>
        <w:tc>
          <w:tcPr>
            <w:tcW w:w="476" w:type="pct"/>
          </w:tcPr>
          <w:p w14:paraId="1F9C3EE8" w14:textId="77777777" w:rsidR="008259C7" w:rsidRPr="008259C7" w:rsidRDefault="008259C7" w:rsidP="008259C7">
            <w:pPr>
              <w:pStyle w:val="TableText"/>
              <w:jc w:val="right"/>
            </w:pPr>
            <w:r w:rsidRPr="008259C7">
              <w:t>0</w:t>
            </w:r>
          </w:p>
        </w:tc>
        <w:tc>
          <w:tcPr>
            <w:tcW w:w="476" w:type="pct"/>
          </w:tcPr>
          <w:p w14:paraId="48260D0B" w14:textId="77777777" w:rsidR="008259C7" w:rsidRPr="008259C7" w:rsidRDefault="008259C7" w:rsidP="008259C7">
            <w:pPr>
              <w:pStyle w:val="TableText"/>
              <w:jc w:val="right"/>
            </w:pPr>
            <w:r w:rsidRPr="008259C7">
              <w:t>0</w:t>
            </w:r>
          </w:p>
        </w:tc>
      </w:tr>
      <w:tr w:rsidR="008259C7" w:rsidRPr="008259C7" w14:paraId="23AB1DCD" w14:textId="77777777" w:rsidTr="008259C7">
        <w:tc>
          <w:tcPr>
            <w:tcW w:w="782" w:type="pct"/>
          </w:tcPr>
          <w:p w14:paraId="05DB65E5" w14:textId="77777777" w:rsidR="008259C7" w:rsidRPr="008259C7" w:rsidRDefault="008259C7" w:rsidP="008259C7">
            <w:pPr>
              <w:pStyle w:val="TableText"/>
            </w:pPr>
            <w:r w:rsidRPr="008259C7">
              <w:t>HCFC-225</w:t>
            </w:r>
          </w:p>
        </w:tc>
        <w:tc>
          <w:tcPr>
            <w:tcW w:w="408" w:type="pct"/>
          </w:tcPr>
          <w:p w14:paraId="4CE0A9D4" w14:textId="77777777" w:rsidR="008259C7" w:rsidRPr="008259C7" w:rsidRDefault="008259C7" w:rsidP="008259C7">
            <w:pPr>
              <w:pStyle w:val="TableText"/>
              <w:jc w:val="right"/>
            </w:pPr>
            <w:r w:rsidRPr="008259C7">
              <w:t>0.5</w:t>
            </w:r>
          </w:p>
        </w:tc>
        <w:tc>
          <w:tcPr>
            <w:tcW w:w="476" w:type="pct"/>
          </w:tcPr>
          <w:p w14:paraId="61E0073A" w14:textId="77777777" w:rsidR="008259C7" w:rsidRPr="008259C7" w:rsidRDefault="008259C7" w:rsidP="008259C7">
            <w:pPr>
              <w:pStyle w:val="TableText"/>
              <w:jc w:val="right"/>
            </w:pPr>
            <w:r w:rsidRPr="008259C7">
              <w:t>0</w:t>
            </w:r>
          </w:p>
        </w:tc>
        <w:tc>
          <w:tcPr>
            <w:tcW w:w="476" w:type="pct"/>
          </w:tcPr>
          <w:p w14:paraId="6A821469" w14:textId="77777777" w:rsidR="008259C7" w:rsidRPr="008259C7" w:rsidRDefault="008259C7" w:rsidP="008259C7">
            <w:pPr>
              <w:pStyle w:val="TableText"/>
              <w:jc w:val="right"/>
            </w:pPr>
            <w:r w:rsidRPr="008259C7">
              <w:t>0</w:t>
            </w:r>
          </w:p>
        </w:tc>
        <w:tc>
          <w:tcPr>
            <w:tcW w:w="476" w:type="pct"/>
          </w:tcPr>
          <w:p w14:paraId="1B55DFE8" w14:textId="77777777" w:rsidR="008259C7" w:rsidRPr="008259C7" w:rsidRDefault="008259C7" w:rsidP="008259C7">
            <w:pPr>
              <w:pStyle w:val="TableText"/>
              <w:jc w:val="right"/>
            </w:pPr>
            <w:r w:rsidRPr="008259C7">
              <w:t>0.3</w:t>
            </w:r>
          </w:p>
        </w:tc>
        <w:tc>
          <w:tcPr>
            <w:tcW w:w="476" w:type="pct"/>
          </w:tcPr>
          <w:p w14:paraId="487B8000" w14:textId="77777777" w:rsidR="008259C7" w:rsidRPr="008259C7" w:rsidRDefault="008259C7" w:rsidP="008259C7">
            <w:pPr>
              <w:pStyle w:val="TableText"/>
              <w:jc w:val="right"/>
            </w:pPr>
            <w:r w:rsidRPr="008259C7">
              <w:t>0.3</w:t>
            </w:r>
          </w:p>
        </w:tc>
        <w:tc>
          <w:tcPr>
            <w:tcW w:w="476" w:type="pct"/>
          </w:tcPr>
          <w:p w14:paraId="44EA6D18" w14:textId="77777777" w:rsidR="008259C7" w:rsidRPr="008259C7" w:rsidRDefault="008259C7" w:rsidP="008259C7">
            <w:pPr>
              <w:pStyle w:val="TableText"/>
              <w:jc w:val="right"/>
            </w:pPr>
            <w:r w:rsidRPr="008259C7">
              <w:t>0</w:t>
            </w:r>
          </w:p>
        </w:tc>
        <w:tc>
          <w:tcPr>
            <w:tcW w:w="476" w:type="pct"/>
          </w:tcPr>
          <w:p w14:paraId="70681D8A" w14:textId="77777777" w:rsidR="008259C7" w:rsidRPr="008259C7" w:rsidRDefault="008259C7" w:rsidP="008259C7">
            <w:pPr>
              <w:pStyle w:val="TableText"/>
              <w:jc w:val="right"/>
            </w:pPr>
            <w:r w:rsidRPr="008259C7">
              <w:t>0</w:t>
            </w:r>
          </w:p>
        </w:tc>
        <w:tc>
          <w:tcPr>
            <w:tcW w:w="476" w:type="pct"/>
          </w:tcPr>
          <w:p w14:paraId="65421F95" w14:textId="77777777" w:rsidR="008259C7" w:rsidRPr="008259C7" w:rsidRDefault="008259C7" w:rsidP="008259C7">
            <w:pPr>
              <w:pStyle w:val="TableText"/>
              <w:jc w:val="right"/>
            </w:pPr>
            <w:r w:rsidRPr="008259C7">
              <w:t>0</w:t>
            </w:r>
          </w:p>
        </w:tc>
        <w:tc>
          <w:tcPr>
            <w:tcW w:w="476" w:type="pct"/>
          </w:tcPr>
          <w:p w14:paraId="34C27910" w14:textId="77777777" w:rsidR="008259C7" w:rsidRPr="008259C7" w:rsidRDefault="008259C7" w:rsidP="008259C7">
            <w:pPr>
              <w:pStyle w:val="TableText"/>
              <w:jc w:val="right"/>
            </w:pPr>
            <w:r w:rsidRPr="008259C7">
              <w:t>0</w:t>
            </w:r>
          </w:p>
        </w:tc>
      </w:tr>
    </w:tbl>
    <w:p w14:paraId="7DF82293" w14:textId="3A351F7D" w:rsidR="00764D6A" w:rsidRDefault="00D2312A" w:rsidP="00E2487E">
      <w:pPr>
        <w:pStyle w:val="Heading3"/>
        <w:numPr>
          <w:ilvl w:val="0"/>
          <w:numId w:val="0"/>
        </w:numPr>
      </w:pPr>
      <w:bookmarkStart w:id="17" w:name="_Toc82789382"/>
      <w:bookmarkEnd w:id="10"/>
      <w:r>
        <w:lastRenderedPageBreak/>
        <w:t xml:space="preserve">Australia’s bulk HCFC imports compared </w:t>
      </w:r>
      <w:r w:rsidR="009E019E">
        <w:t>with</w:t>
      </w:r>
      <w:r>
        <w:t xml:space="preserve"> other countries</w:t>
      </w:r>
      <w:bookmarkEnd w:id="17"/>
    </w:p>
    <w:p w14:paraId="5396EB22" w14:textId="4F782FC9" w:rsidR="00D2312A" w:rsidRPr="00D2312A" w:rsidRDefault="00D2312A" w:rsidP="00D2312A">
      <w:bookmarkStart w:id="18" w:name="_Ref445985062"/>
      <w:bookmarkStart w:id="19" w:name="_Toc409769199"/>
      <w:bookmarkStart w:id="20" w:name="_Toc454439316"/>
      <w:r w:rsidRPr="00D2312A">
        <w:t>Australia’s phase</w:t>
      </w:r>
      <w:r w:rsidR="00091005">
        <w:t>-</w:t>
      </w:r>
      <w:r w:rsidRPr="00D2312A">
        <w:t xml:space="preserve">out of HCFC is similar to or ahead of other developed countries (non-Article 5 or </w:t>
      </w:r>
      <w:r w:rsidR="009E019E">
        <w:t>‘</w:t>
      </w:r>
      <w:r w:rsidRPr="00D2312A">
        <w:t>non-A5</w:t>
      </w:r>
      <w:r w:rsidR="009E019E">
        <w:t>’</w:t>
      </w:r>
      <w:r w:rsidRPr="00D2312A">
        <w:t xml:space="preserve"> parties) </w:t>
      </w:r>
      <w:r w:rsidR="009E019E">
        <w:t>that</w:t>
      </w:r>
      <w:r w:rsidR="009E019E" w:rsidRPr="00D2312A">
        <w:t xml:space="preserve"> </w:t>
      </w:r>
      <w:r w:rsidRPr="00D2312A">
        <w:t>are on the same phase</w:t>
      </w:r>
      <w:r w:rsidR="00091005">
        <w:t>-</w:t>
      </w:r>
      <w:r w:rsidRPr="00D2312A">
        <w:t>out schedule (</w:t>
      </w:r>
      <w:r w:rsidR="009E019E">
        <w:fldChar w:fldCharType="begin"/>
      </w:r>
      <w:r w:rsidR="009E019E">
        <w:instrText xml:space="preserve"> REF _Ref80647988 \h </w:instrText>
      </w:r>
      <w:r w:rsidR="009E019E">
        <w:fldChar w:fldCharType="separate"/>
      </w:r>
      <w:r w:rsidR="009E019E">
        <w:t xml:space="preserve">Figure </w:t>
      </w:r>
      <w:r w:rsidR="009E019E">
        <w:rPr>
          <w:noProof/>
        </w:rPr>
        <w:t>2</w:t>
      </w:r>
      <w:r w:rsidR="009E019E">
        <w:fldChar w:fldCharType="end"/>
      </w:r>
      <w:r w:rsidRPr="00D2312A">
        <w:t xml:space="preserve"> and </w:t>
      </w:r>
      <w:r w:rsidR="009E019E">
        <w:fldChar w:fldCharType="begin"/>
      </w:r>
      <w:r w:rsidR="009E019E">
        <w:instrText xml:space="preserve"> REF _Ref80648022 \h </w:instrText>
      </w:r>
      <w:r w:rsidR="009E019E">
        <w:fldChar w:fldCharType="separate"/>
      </w:r>
      <w:r w:rsidR="009E019E">
        <w:t xml:space="preserve">Table </w:t>
      </w:r>
      <w:r w:rsidR="009E019E">
        <w:rPr>
          <w:noProof/>
        </w:rPr>
        <w:t>2</w:t>
      </w:r>
      <w:r w:rsidR="009E019E">
        <w:fldChar w:fldCharType="end"/>
      </w:r>
      <w:r w:rsidRPr="00D2312A">
        <w:t>). All developed countries reached their 99.5% reduction step in 2020.</w:t>
      </w:r>
    </w:p>
    <w:p w14:paraId="5FC755D6" w14:textId="3651CADF" w:rsidR="00D2312A" w:rsidRPr="00D2312A" w:rsidRDefault="00D2312A" w:rsidP="00D2312A">
      <w:r w:rsidRPr="00D2312A">
        <w:t>The HCFC phase</w:t>
      </w:r>
      <w:r w:rsidR="00091005">
        <w:t>-</w:t>
      </w:r>
      <w:r w:rsidRPr="00D2312A">
        <w:t xml:space="preserve">out in developing countries (Article 5 or </w:t>
      </w:r>
      <w:r w:rsidR="009E019E">
        <w:t>‘</w:t>
      </w:r>
      <w:r w:rsidRPr="00D2312A">
        <w:t>A5</w:t>
      </w:r>
      <w:r w:rsidR="009E019E">
        <w:t>’</w:t>
      </w:r>
      <w:r w:rsidRPr="00D2312A">
        <w:t xml:space="preserve"> parties) commenced in 2013 with a 10% reduction step in 2015 and a 35% reduction step in 2020. This is reflected in the drop in HCFC imports in 2014 for Article 5 </w:t>
      </w:r>
      <w:r w:rsidR="009E019E">
        <w:t>p</w:t>
      </w:r>
      <w:r w:rsidRPr="00D2312A">
        <w:t>arties and a steady reduction thereafter. The next phase</w:t>
      </w:r>
      <w:r w:rsidR="00091005">
        <w:t>-</w:t>
      </w:r>
      <w:r w:rsidRPr="00D2312A">
        <w:t>out step for developing countries is a 65% reduction in consumption in 2025.</w:t>
      </w:r>
    </w:p>
    <w:p w14:paraId="270B8806" w14:textId="557CCE45" w:rsidR="00D2312A" w:rsidRDefault="00D2312A" w:rsidP="00D2312A">
      <w:r w:rsidRPr="00D2312A">
        <w:t>2020 HCFC consumption data for all countries will be available at the end of 2021.</w:t>
      </w:r>
    </w:p>
    <w:p w14:paraId="30020E1A" w14:textId="5EFDC603" w:rsidR="00D2312A" w:rsidRDefault="00571FF2" w:rsidP="00571FF2">
      <w:pPr>
        <w:pStyle w:val="Caption"/>
      </w:pPr>
      <w:bookmarkStart w:id="21" w:name="_Ref80647988"/>
      <w:bookmarkStart w:id="22" w:name="_Toc82789404"/>
      <w:r>
        <w:t xml:space="preserve">Figure </w:t>
      </w:r>
      <w:fldSimple w:instr=" SEQ Figure \* ARABIC ">
        <w:r w:rsidR="00524D2C">
          <w:rPr>
            <w:noProof/>
          </w:rPr>
          <w:t>2</w:t>
        </w:r>
      </w:fldSimple>
      <w:bookmarkEnd w:id="21"/>
      <w:r>
        <w:t xml:space="preserve"> Global consumption of HCFC</w:t>
      </w:r>
      <w:r w:rsidR="007946D9">
        <w:t xml:space="preserve"> in ODP tonnes</w:t>
      </w:r>
      <w:r w:rsidR="009E019E">
        <w:t>,</w:t>
      </w:r>
      <w:r>
        <w:t xml:space="preserve"> 2011</w:t>
      </w:r>
      <w:r w:rsidR="009E019E">
        <w:t xml:space="preserve"> to </w:t>
      </w:r>
      <w:r>
        <w:t>2019</w:t>
      </w:r>
      <w:bookmarkEnd w:id="22"/>
    </w:p>
    <w:p w14:paraId="538445B5" w14:textId="03BA6854" w:rsidR="00D2312A" w:rsidRDefault="00544CFD" w:rsidP="00D2312A">
      <w:r>
        <w:rPr>
          <w:noProof/>
        </w:rPr>
        <w:drawing>
          <wp:inline distT="0" distB="0" distL="0" distR="0" wp14:anchorId="3A91F452" wp14:editId="2F2FA4A7">
            <wp:extent cx="5730946" cy="2743200"/>
            <wp:effectExtent l="0" t="0" r="3175" b="0"/>
            <wp:docPr id="15" name="Picture 15" descr="This line graph shows that both Article 5 and non Article 5 countries have decreased HCFC consumption between 2011 and 2019. Article 5 countries have seen a gradual decline after an initial spike in 2012.&#10;Australia's consumption reduction is ahead of its other non Article 5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line graph shows that both Article 5 and non Article 5 countries have decreased HCFC consumption between 2011 and 2019. Article 5 countries have seen a gradual decline after an initial spike in 2012.&#10;Australia's consumption reduction is ahead of its other non Article 5 counterparts."/>
                    <pic:cNvPicPr>
                      <a:picLocks noChangeAspect="1" noChangeArrowheads="1"/>
                    </pic:cNvPicPr>
                  </pic:nvPicPr>
                  <pic:blipFill rotWithShape="1">
                    <a:blip r:embed="rId22">
                      <a:extLst>
                        <a:ext uri="{28A0092B-C50C-407E-A947-70E740481C1C}">
                          <a14:useLocalDpi xmlns:a14="http://schemas.microsoft.com/office/drawing/2010/main" val="0"/>
                        </a:ext>
                      </a:extLst>
                    </a:blip>
                    <a:srcRect l="9141" t="4768" r="3357" b="2812"/>
                    <a:stretch/>
                  </pic:blipFill>
                  <pic:spPr bwMode="auto">
                    <a:xfrm>
                      <a:off x="0" y="0"/>
                      <a:ext cx="5773155" cy="2763404"/>
                    </a:xfrm>
                    <a:prstGeom prst="rect">
                      <a:avLst/>
                    </a:prstGeom>
                    <a:noFill/>
                    <a:ln>
                      <a:noFill/>
                    </a:ln>
                    <a:extLst>
                      <a:ext uri="{53640926-AAD7-44D8-BBD7-CCE9431645EC}">
                        <a14:shadowObscured xmlns:a14="http://schemas.microsoft.com/office/drawing/2010/main"/>
                      </a:ext>
                    </a:extLst>
                  </pic:spPr>
                </pic:pic>
              </a:graphicData>
            </a:graphic>
          </wp:inline>
        </w:drawing>
      </w:r>
    </w:p>
    <w:p w14:paraId="37A933A9" w14:textId="4F715645" w:rsidR="00864E67" w:rsidRDefault="00864E67" w:rsidP="00864E67">
      <w:pPr>
        <w:pStyle w:val="Caption"/>
      </w:pPr>
      <w:bookmarkStart w:id="23" w:name="_Ref80648022"/>
      <w:bookmarkStart w:id="24" w:name="_Toc82789396"/>
      <w:r>
        <w:t xml:space="preserve">Table </w:t>
      </w:r>
      <w:fldSimple w:instr=" SEQ Table \* ARABIC ">
        <w:r w:rsidR="00822CB6">
          <w:rPr>
            <w:noProof/>
          </w:rPr>
          <w:t>2</w:t>
        </w:r>
      </w:fldSimple>
      <w:bookmarkEnd w:id="23"/>
      <w:r>
        <w:t xml:space="preserve"> Australia</w:t>
      </w:r>
      <w:r w:rsidR="000E118C">
        <w:t>’</w:t>
      </w:r>
      <w:r>
        <w:t>s HCFC consumption</w:t>
      </w:r>
      <w:r w:rsidR="00231C4E">
        <w:t xml:space="preserve"> in ODP tonnes</w:t>
      </w:r>
      <w:r>
        <w:t xml:space="preserve"> compared </w:t>
      </w:r>
      <w:r w:rsidR="009E019E">
        <w:t>with</w:t>
      </w:r>
      <w:r>
        <w:t xml:space="preserve"> global consumption</w:t>
      </w:r>
      <w:r w:rsidR="009E019E">
        <w:t xml:space="preserve">, </w:t>
      </w:r>
      <w:r>
        <w:t>2011</w:t>
      </w:r>
      <w:r w:rsidR="009E019E">
        <w:t xml:space="preserve"> to </w:t>
      </w:r>
      <w:r>
        <w:t>2019</w:t>
      </w:r>
      <w:bookmarkEnd w:id="2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0"/>
        <w:gridCol w:w="752"/>
        <w:gridCol w:w="866"/>
        <w:gridCol w:w="866"/>
        <w:gridCol w:w="866"/>
        <w:gridCol w:w="866"/>
        <w:gridCol w:w="866"/>
        <w:gridCol w:w="866"/>
        <w:gridCol w:w="866"/>
        <w:gridCol w:w="756"/>
      </w:tblGrid>
      <w:tr w:rsidR="00CF3673" w:rsidRPr="00CF3673" w14:paraId="7AB933A3" w14:textId="77777777" w:rsidTr="00B8610C">
        <w:trPr>
          <w:cantSplit/>
          <w:tblHeader/>
        </w:trPr>
        <w:tc>
          <w:tcPr>
            <w:tcW w:w="1390" w:type="dxa"/>
          </w:tcPr>
          <w:p w14:paraId="69CAE752" w14:textId="431E52FF" w:rsidR="00CF3673" w:rsidRPr="00CF3673" w:rsidRDefault="002E1944" w:rsidP="00CF3673">
            <w:pPr>
              <w:pStyle w:val="TableHeading"/>
            </w:pPr>
            <w:bookmarkStart w:id="25" w:name="Title_2"/>
            <w:bookmarkEnd w:id="25"/>
            <w:r>
              <w:t>Region</w:t>
            </w:r>
          </w:p>
        </w:tc>
        <w:tc>
          <w:tcPr>
            <w:tcW w:w="752" w:type="dxa"/>
          </w:tcPr>
          <w:p w14:paraId="28192509" w14:textId="77777777" w:rsidR="00CF3673" w:rsidRPr="00CF3673" w:rsidRDefault="00CF3673" w:rsidP="00EB59ED">
            <w:pPr>
              <w:pStyle w:val="TableHeading"/>
              <w:jc w:val="right"/>
            </w:pPr>
            <w:r w:rsidRPr="00CF3673">
              <w:t>2011</w:t>
            </w:r>
          </w:p>
        </w:tc>
        <w:tc>
          <w:tcPr>
            <w:tcW w:w="866" w:type="dxa"/>
          </w:tcPr>
          <w:p w14:paraId="67AE817D" w14:textId="77777777" w:rsidR="00CF3673" w:rsidRPr="00CF3673" w:rsidRDefault="00CF3673" w:rsidP="00EB59ED">
            <w:pPr>
              <w:pStyle w:val="TableHeading"/>
              <w:jc w:val="right"/>
            </w:pPr>
            <w:r w:rsidRPr="00CF3673">
              <w:t>2012</w:t>
            </w:r>
          </w:p>
        </w:tc>
        <w:tc>
          <w:tcPr>
            <w:tcW w:w="866" w:type="dxa"/>
          </w:tcPr>
          <w:p w14:paraId="2CAA9398" w14:textId="77777777" w:rsidR="00CF3673" w:rsidRPr="00CF3673" w:rsidRDefault="00CF3673" w:rsidP="00EB59ED">
            <w:pPr>
              <w:pStyle w:val="TableHeading"/>
              <w:jc w:val="right"/>
            </w:pPr>
            <w:r w:rsidRPr="00CF3673">
              <w:t>2013</w:t>
            </w:r>
          </w:p>
        </w:tc>
        <w:tc>
          <w:tcPr>
            <w:tcW w:w="866" w:type="dxa"/>
          </w:tcPr>
          <w:p w14:paraId="26ECF960" w14:textId="77777777" w:rsidR="00CF3673" w:rsidRPr="00CF3673" w:rsidRDefault="00CF3673" w:rsidP="00EB59ED">
            <w:pPr>
              <w:pStyle w:val="TableHeading"/>
              <w:jc w:val="right"/>
            </w:pPr>
            <w:r w:rsidRPr="00CF3673">
              <w:t>2014</w:t>
            </w:r>
          </w:p>
        </w:tc>
        <w:tc>
          <w:tcPr>
            <w:tcW w:w="866" w:type="dxa"/>
          </w:tcPr>
          <w:p w14:paraId="6C279277" w14:textId="77777777" w:rsidR="00CF3673" w:rsidRPr="00CF3673" w:rsidRDefault="00CF3673" w:rsidP="00EB59ED">
            <w:pPr>
              <w:pStyle w:val="TableHeading"/>
              <w:jc w:val="right"/>
            </w:pPr>
            <w:r w:rsidRPr="00CF3673">
              <w:t>2015</w:t>
            </w:r>
          </w:p>
        </w:tc>
        <w:tc>
          <w:tcPr>
            <w:tcW w:w="866" w:type="dxa"/>
          </w:tcPr>
          <w:p w14:paraId="452AE115" w14:textId="77777777" w:rsidR="00CF3673" w:rsidRPr="00CF3673" w:rsidRDefault="00CF3673" w:rsidP="00EB59ED">
            <w:pPr>
              <w:pStyle w:val="TableHeading"/>
              <w:jc w:val="right"/>
            </w:pPr>
            <w:r w:rsidRPr="00CF3673">
              <w:t>2016</w:t>
            </w:r>
          </w:p>
        </w:tc>
        <w:tc>
          <w:tcPr>
            <w:tcW w:w="866" w:type="dxa"/>
          </w:tcPr>
          <w:p w14:paraId="1909B43B" w14:textId="77777777" w:rsidR="00CF3673" w:rsidRPr="00CF3673" w:rsidRDefault="00CF3673" w:rsidP="00EB59ED">
            <w:pPr>
              <w:pStyle w:val="TableHeading"/>
              <w:jc w:val="right"/>
            </w:pPr>
            <w:r w:rsidRPr="00CF3673">
              <w:t>2017</w:t>
            </w:r>
          </w:p>
        </w:tc>
        <w:tc>
          <w:tcPr>
            <w:tcW w:w="866" w:type="dxa"/>
          </w:tcPr>
          <w:p w14:paraId="2453E77E" w14:textId="77777777" w:rsidR="00CF3673" w:rsidRPr="00CF3673" w:rsidRDefault="00CF3673" w:rsidP="00EB59ED">
            <w:pPr>
              <w:pStyle w:val="TableHeading"/>
              <w:jc w:val="right"/>
            </w:pPr>
            <w:r w:rsidRPr="00CF3673">
              <w:t>2018</w:t>
            </w:r>
          </w:p>
        </w:tc>
        <w:tc>
          <w:tcPr>
            <w:tcW w:w="756" w:type="dxa"/>
          </w:tcPr>
          <w:p w14:paraId="41E49F1F" w14:textId="77777777" w:rsidR="00CF3673" w:rsidRPr="00CF3673" w:rsidRDefault="00CF3673" w:rsidP="00EB59ED">
            <w:pPr>
              <w:pStyle w:val="TableHeading"/>
              <w:jc w:val="right"/>
            </w:pPr>
            <w:r w:rsidRPr="00CF3673">
              <w:t>2019</w:t>
            </w:r>
          </w:p>
        </w:tc>
      </w:tr>
      <w:tr w:rsidR="00CF3673" w:rsidRPr="00CF3673" w14:paraId="53207ED0" w14:textId="77777777" w:rsidTr="00B8610C">
        <w:tc>
          <w:tcPr>
            <w:tcW w:w="1390" w:type="dxa"/>
          </w:tcPr>
          <w:p w14:paraId="2DFEEA14" w14:textId="77777777" w:rsidR="00CF3673" w:rsidRPr="00CF3673" w:rsidRDefault="00CF3673" w:rsidP="00CF3673">
            <w:pPr>
              <w:pStyle w:val="TableText"/>
            </w:pPr>
            <w:r w:rsidRPr="00CF3673">
              <w:t>Australia</w:t>
            </w:r>
          </w:p>
        </w:tc>
        <w:tc>
          <w:tcPr>
            <w:tcW w:w="752" w:type="dxa"/>
          </w:tcPr>
          <w:p w14:paraId="2766D077" w14:textId="77777777" w:rsidR="00CF3673" w:rsidRPr="00CF3673" w:rsidRDefault="00CF3673" w:rsidP="00EB59ED">
            <w:pPr>
              <w:pStyle w:val="TableText"/>
              <w:jc w:val="right"/>
            </w:pPr>
            <w:r w:rsidRPr="00CF3673">
              <w:t>70</w:t>
            </w:r>
          </w:p>
        </w:tc>
        <w:tc>
          <w:tcPr>
            <w:tcW w:w="866" w:type="dxa"/>
          </w:tcPr>
          <w:p w14:paraId="2E583ED9" w14:textId="77777777" w:rsidR="00CF3673" w:rsidRPr="00CF3673" w:rsidRDefault="00CF3673" w:rsidP="00EB59ED">
            <w:pPr>
              <w:pStyle w:val="TableText"/>
              <w:jc w:val="right"/>
            </w:pPr>
            <w:r w:rsidRPr="00CF3673">
              <w:t>40</w:t>
            </w:r>
          </w:p>
        </w:tc>
        <w:tc>
          <w:tcPr>
            <w:tcW w:w="866" w:type="dxa"/>
          </w:tcPr>
          <w:p w14:paraId="0A6FC79A" w14:textId="77777777" w:rsidR="00CF3673" w:rsidRPr="00CF3673" w:rsidRDefault="00CF3673" w:rsidP="00EB59ED">
            <w:pPr>
              <w:pStyle w:val="TableText"/>
              <w:jc w:val="right"/>
            </w:pPr>
            <w:r w:rsidRPr="00CF3673">
              <w:t>40</w:t>
            </w:r>
          </w:p>
        </w:tc>
        <w:tc>
          <w:tcPr>
            <w:tcW w:w="866" w:type="dxa"/>
          </w:tcPr>
          <w:p w14:paraId="7D491E55" w14:textId="77777777" w:rsidR="00CF3673" w:rsidRPr="00CF3673" w:rsidRDefault="00CF3673" w:rsidP="00EB59ED">
            <w:pPr>
              <w:pStyle w:val="TableText"/>
              <w:jc w:val="right"/>
            </w:pPr>
            <w:r w:rsidRPr="00CF3673">
              <w:t>10</w:t>
            </w:r>
          </w:p>
        </w:tc>
        <w:tc>
          <w:tcPr>
            <w:tcW w:w="866" w:type="dxa"/>
          </w:tcPr>
          <w:p w14:paraId="791D9657" w14:textId="77777777" w:rsidR="00CF3673" w:rsidRPr="00CF3673" w:rsidRDefault="00CF3673" w:rsidP="00EB59ED">
            <w:pPr>
              <w:pStyle w:val="TableText"/>
              <w:jc w:val="right"/>
            </w:pPr>
            <w:r w:rsidRPr="00CF3673">
              <w:t>10</w:t>
            </w:r>
          </w:p>
        </w:tc>
        <w:tc>
          <w:tcPr>
            <w:tcW w:w="866" w:type="dxa"/>
          </w:tcPr>
          <w:p w14:paraId="7F1D845C" w14:textId="77777777" w:rsidR="00CF3673" w:rsidRPr="00CF3673" w:rsidRDefault="00CF3673" w:rsidP="00EB59ED">
            <w:pPr>
              <w:pStyle w:val="TableText"/>
              <w:jc w:val="right"/>
            </w:pPr>
            <w:r w:rsidRPr="00CF3673">
              <w:t>2.5</w:t>
            </w:r>
          </w:p>
        </w:tc>
        <w:tc>
          <w:tcPr>
            <w:tcW w:w="866" w:type="dxa"/>
          </w:tcPr>
          <w:p w14:paraId="2A6BA7E6" w14:textId="77777777" w:rsidR="00CF3673" w:rsidRPr="00CF3673" w:rsidRDefault="00CF3673" w:rsidP="00EB59ED">
            <w:pPr>
              <w:pStyle w:val="TableText"/>
              <w:jc w:val="right"/>
            </w:pPr>
            <w:r w:rsidRPr="00CF3673">
              <w:t>2.5</w:t>
            </w:r>
          </w:p>
        </w:tc>
        <w:tc>
          <w:tcPr>
            <w:tcW w:w="866" w:type="dxa"/>
          </w:tcPr>
          <w:p w14:paraId="7F14DA5F" w14:textId="77777777" w:rsidR="00CF3673" w:rsidRPr="00CF3673" w:rsidRDefault="00CF3673" w:rsidP="00EB59ED">
            <w:pPr>
              <w:pStyle w:val="TableText"/>
              <w:jc w:val="right"/>
            </w:pPr>
            <w:r w:rsidRPr="00CF3673">
              <w:t>2.5</w:t>
            </w:r>
          </w:p>
        </w:tc>
        <w:tc>
          <w:tcPr>
            <w:tcW w:w="756" w:type="dxa"/>
          </w:tcPr>
          <w:p w14:paraId="5E0A7B13" w14:textId="77777777" w:rsidR="00CF3673" w:rsidRPr="00CF3673" w:rsidRDefault="00CF3673" w:rsidP="00EB59ED">
            <w:pPr>
              <w:pStyle w:val="TableText"/>
              <w:jc w:val="right"/>
            </w:pPr>
            <w:r w:rsidRPr="00CF3673">
              <w:t>2.5</w:t>
            </w:r>
          </w:p>
        </w:tc>
      </w:tr>
      <w:tr w:rsidR="00CF3673" w:rsidRPr="00CF3673" w14:paraId="538B20F9" w14:textId="77777777" w:rsidTr="00B8610C">
        <w:tc>
          <w:tcPr>
            <w:tcW w:w="1390" w:type="dxa"/>
          </w:tcPr>
          <w:p w14:paraId="20ADD585" w14:textId="77777777" w:rsidR="00CF3673" w:rsidRPr="00CF3673" w:rsidRDefault="00CF3673" w:rsidP="00CF3673">
            <w:pPr>
              <w:pStyle w:val="TableText"/>
            </w:pPr>
            <w:r w:rsidRPr="00CF3673">
              <w:t>Non-A5 global</w:t>
            </w:r>
          </w:p>
        </w:tc>
        <w:tc>
          <w:tcPr>
            <w:tcW w:w="752" w:type="dxa"/>
          </w:tcPr>
          <w:p w14:paraId="47E50EA1" w14:textId="77777777" w:rsidR="00CF3673" w:rsidRPr="00CF3673" w:rsidRDefault="00CF3673" w:rsidP="00EB59ED">
            <w:pPr>
              <w:pStyle w:val="TableText"/>
              <w:jc w:val="right"/>
            </w:pPr>
            <w:r w:rsidRPr="00CF3673">
              <w:t>3,893</w:t>
            </w:r>
          </w:p>
        </w:tc>
        <w:tc>
          <w:tcPr>
            <w:tcW w:w="866" w:type="dxa"/>
          </w:tcPr>
          <w:p w14:paraId="396F22FC" w14:textId="77777777" w:rsidR="00CF3673" w:rsidRPr="00CF3673" w:rsidRDefault="00CF3673" w:rsidP="00EB59ED">
            <w:pPr>
              <w:pStyle w:val="TableText"/>
              <w:jc w:val="right"/>
            </w:pPr>
            <w:r w:rsidRPr="00CF3673">
              <w:t>2,605</w:t>
            </w:r>
          </w:p>
        </w:tc>
        <w:tc>
          <w:tcPr>
            <w:tcW w:w="866" w:type="dxa"/>
          </w:tcPr>
          <w:p w14:paraId="779DF7FB" w14:textId="77777777" w:rsidR="00CF3673" w:rsidRPr="00CF3673" w:rsidRDefault="00CF3673" w:rsidP="00EB59ED">
            <w:pPr>
              <w:pStyle w:val="TableText"/>
              <w:jc w:val="right"/>
            </w:pPr>
            <w:r w:rsidRPr="00CF3673">
              <w:t>2,716</w:t>
            </w:r>
          </w:p>
        </w:tc>
        <w:tc>
          <w:tcPr>
            <w:tcW w:w="866" w:type="dxa"/>
          </w:tcPr>
          <w:p w14:paraId="023F619B" w14:textId="77777777" w:rsidR="00CF3673" w:rsidRPr="00CF3673" w:rsidRDefault="00CF3673" w:rsidP="00EB59ED">
            <w:pPr>
              <w:pStyle w:val="TableText"/>
              <w:jc w:val="right"/>
            </w:pPr>
            <w:r w:rsidRPr="00CF3673">
              <w:t>2,207</w:t>
            </w:r>
          </w:p>
        </w:tc>
        <w:tc>
          <w:tcPr>
            <w:tcW w:w="866" w:type="dxa"/>
          </w:tcPr>
          <w:p w14:paraId="54902FE1" w14:textId="77777777" w:rsidR="00CF3673" w:rsidRPr="00CF3673" w:rsidRDefault="00CF3673" w:rsidP="00EB59ED">
            <w:pPr>
              <w:pStyle w:val="TableText"/>
              <w:jc w:val="right"/>
            </w:pPr>
            <w:r w:rsidRPr="00CF3673">
              <w:t>1,117</w:t>
            </w:r>
          </w:p>
        </w:tc>
        <w:tc>
          <w:tcPr>
            <w:tcW w:w="866" w:type="dxa"/>
          </w:tcPr>
          <w:p w14:paraId="3A89A9E6" w14:textId="77777777" w:rsidR="00CF3673" w:rsidRPr="00CF3673" w:rsidRDefault="00CF3673" w:rsidP="00EB59ED">
            <w:pPr>
              <w:pStyle w:val="TableText"/>
              <w:jc w:val="right"/>
            </w:pPr>
            <w:r w:rsidRPr="00CF3673">
              <w:t>904</w:t>
            </w:r>
          </w:p>
        </w:tc>
        <w:tc>
          <w:tcPr>
            <w:tcW w:w="866" w:type="dxa"/>
          </w:tcPr>
          <w:p w14:paraId="4E47C142" w14:textId="77777777" w:rsidR="00CF3673" w:rsidRPr="00CF3673" w:rsidRDefault="00CF3673" w:rsidP="00EB59ED">
            <w:pPr>
              <w:pStyle w:val="TableText"/>
              <w:jc w:val="right"/>
            </w:pPr>
            <w:r w:rsidRPr="00CF3673">
              <w:t>760</w:t>
            </w:r>
          </w:p>
        </w:tc>
        <w:tc>
          <w:tcPr>
            <w:tcW w:w="866" w:type="dxa"/>
          </w:tcPr>
          <w:p w14:paraId="31CDDF9D" w14:textId="77777777" w:rsidR="00CF3673" w:rsidRPr="00CF3673" w:rsidRDefault="00CF3673" w:rsidP="00EB59ED">
            <w:pPr>
              <w:pStyle w:val="TableText"/>
              <w:jc w:val="right"/>
            </w:pPr>
            <w:r w:rsidRPr="00CF3673">
              <w:t>805</w:t>
            </w:r>
          </w:p>
        </w:tc>
        <w:tc>
          <w:tcPr>
            <w:tcW w:w="756" w:type="dxa"/>
          </w:tcPr>
          <w:p w14:paraId="42084D52" w14:textId="77777777" w:rsidR="00CF3673" w:rsidRPr="00CF3673" w:rsidRDefault="00CF3673" w:rsidP="00EB59ED">
            <w:pPr>
              <w:pStyle w:val="TableText"/>
              <w:jc w:val="right"/>
            </w:pPr>
            <w:r w:rsidRPr="00CF3673">
              <w:t>653</w:t>
            </w:r>
          </w:p>
        </w:tc>
      </w:tr>
      <w:tr w:rsidR="00CF3673" w:rsidRPr="00CF3673" w14:paraId="4C10C605" w14:textId="77777777" w:rsidTr="00B8610C">
        <w:tc>
          <w:tcPr>
            <w:tcW w:w="1390" w:type="dxa"/>
          </w:tcPr>
          <w:p w14:paraId="1B7CD6A9" w14:textId="77777777" w:rsidR="00CF3673" w:rsidRPr="00CF3673" w:rsidRDefault="00CF3673" w:rsidP="00CF3673">
            <w:pPr>
              <w:pStyle w:val="TableText"/>
            </w:pPr>
            <w:r w:rsidRPr="00CF3673">
              <w:t>A5 global</w:t>
            </w:r>
          </w:p>
        </w:tc>
        <w:tc>
          <w:tcPr>
            <w:tcW w:w="752" w:type="dxa"/>
          </w:tcPr>
          <w:p w14:paraId="1F43E1F2" w14:textId="77777777" w:rsidR="00CF3673" w:rsidRPr="00CF3673" w:rsidRDefault="00CF3673" w:rsidP="00EB59ED">
            <w:pPr>
              <w:pStyle w:val="TableText"/>
              <w:jc w:val="right"/>
            </w:pPr>
            <w:r w:rsidRPr="00CF3673">
              <w:t>37,015</w:t>
            </w:r>
          </w:p>
        </w:tc>
        <w:tc>
          <w:tcPr>
            <w:tcW w:w="866" w:type="dxa"/>
          </w:tcPr>
          <w:p w14:paraId="0A3FBE82" w14:textId="77777777" w:rsidR="00CF3673" w:rsidRPr="00CF3673" w:rsidRDefault="00CF3673" w:rsidP="00EB59ED">
            <w:pPr>
              <w:pStyle w:val="TableText"/>
              <w:jc w:val="right"/>
            </w:pPr>
            <w:r w:rsidRPr="00CF3673">
              <w:t>39,137</w:t>
            </w:r>
          </w:p>
        </w:tc>
        <w:tc>
          <w:tcPr>
            <w:tcW w:w="866" w:type="dxa"/>
          </w:tcPr>
          <w:p w14:paraId="4A7C408A" w14:textId="77777777" w:rsidR="00CF3673" w:rsidRPr="00CF3673" w:rsidRDefault="00CF3673" w:rsidP="00EB59ED">
            <w:pPr>
              <w:pStyle w:val="TableText"/>
              <w:jc w:val="right"/>
            </w:pPr>
            <w:r w:rsidRPr="00CF3673">
              <w:t>29,283</w:t>
            </w:r>
          </w:p>
        </w:tc>
        <w:tc>
          <w:tcPr>
            <w:tcW w:w="866" w:type="dxa"/>
          </w:tcPr>
          <w:p w14:paraId="1BC4DAA2" w14:textId="77777777" w:rsidR="00CF3673" w:rsidRPr="00CF3673" w:rsidRDefault="00CF3673" w:rsidP="00EB59ED">
            <w:pPr>
              <w:pStyle w:val="TableText"/>
              <w:jc w:val="right"/>
            </w:pPr>
            <w:r w:rsidRPr="00CF3673">
              <w:t>29,690</w:t>
            </w:r>
          </w:p>
        </w:tc>
        <w:tc>
          <w:tcPr>
            <w:tcW w:w="866" w:type="dxa"/>
          </w:tcPr>
          <w:p w14:paraId="6A042CED" w14:textId="77777777" w:rsidR="00CF3673" w:rsidRPr="00CF3673" w:rsidRDefault="00CF3673" w:rsidP="00EB59ED">
            <w:pPr>
              <w:pStyle w:val="TableText"/>
              <w:jc w:val="right"/>
            </w:pPr>
            <w:r w:rsidRPr="00CF3673">
              <w:t>25,278</w:t>
            </w:r>
          </w:p>
        </w:tc>
        <w:tc>
          <w:tcPr>
            <w:tcW w:w="866" w:type="dxa"/>
          </w:tcPr>
          <w:p w14:paraId="3D3C6327" w14:textId="77777777" w:rsidR="00CF3673" w:rsidRPr="00CF3673" w:rsidRDefault="00CF3673" w:rsidP="00EB59ED">
            <w:pPr>
              <w:pStyle w:val="TableText"/>
              <w:jc w:val="right"/>
            </w:pPr>
            <w:r w:rsidRPr="00CF3673">
              <w:t>24,822</w:t>
            </w:r>
          </w:p>
        </w:tc>
        <w:tc>
          <w:tcPr>
            <w:tcW w:w="866" w:type="dxa"/>
          </w:tcPr>
          <w:p w14:paraId="50B4ADF4" w14:textId="77777777" w:rsidR="00CF3673" w:rsidRPr="00CF3673" w:rsidRDefault="00CF3673" w:rsidP="00EB59ED">
            <w:pPr>
              <w:pStyle w:val="TableText"/>
              <w:jc w:val="right"/>
            </w:pPr>
            <w:r w:rsidRPr="00CF3673">
              <w:t>24,423</w:t>
            </w:r>
          </w:p>
        </w:tc>
        <w:tc>
          <w:tcPr>
            <w:tcW w:w="866" w:type="dxa"/>
          </w:tcPr>
          <w:p w14:paraId="3E823ADD" w14:textId="77777777" w:rsidR="00CF3673" w:rsidRPr="00CF3673" w:rsidRDefault="00CF3673" w:rsidP="00EB59ED">
            <w:pPr>
              <w:pStyle w:val="TableText"/>
              <w:jc w:val="right"/>
            </w:pPr>
            <w:r w:rsidRPr="00CF3673">
              <w:t>23,445</w:t>
            </w:r>
          </w:p>
        </w:tc>
        <w:tc>
          <w:tcPr>
            <w:tcW w:w="756" w:type="dxa"/>
          </w:tcPr>
          <w:p w14:paraId="2519063B" w14:textId="77777777" w:rsidR="00CF3673" w:rsidRPr="00CF3673" w:rsidRDefault="00CF3673" w:rsidP="00EB59ED">
            <w:pPr>
              <w:pStyle w:val="TableText"/>
              <w:jc w:val="right"/>
            </w:pPr>
            <w:r w:rsidRPr="00CF3673">
              <w:t>22,904</w:t>
            </w:r>
          </w:p>
        </w:tc>
      </w:tr>
    </w:tbl>
    <w:p w14:paraId="121BA519" w14:textId="33B62757" w:rsidR="00764D6A" w:rsidRDefault="00864E67" w:rsidP="000F7C92">
      <w:pPr>
        <w:pStyle w:val="Heading3"/>
        <w:numPr>
          <w:ilvl w:val="0"/>
          <w:numId w:val="0"/>
        </w:numPr>
        <w:spacing w:before="240"/>
      </w:pPr>
      <w:bookmarkStart w:id="26" w:name="_Toc82789383"/>
      <w:bookmarkEnd w:id="18"/>
      <w:bookmarkEnd w:id="19"/>
      <w:bookmarkEnd w:id="20"/>
      <w:r>
        <w:t>HCFC imported into Australia in pre-charged equipment</w:t>
      </w:r>
      <w:bookmarkEnd w:id="26"/>
    </w:p>
    <w:p w14:paraId="668B8EFC" w14:textId="390C8643" w:rsidR="00864E67" w:rsidRPr="00864E67" w:rsidRDefault="00864E67" w:rsidP="00864E67">
      <w:pPr>
        <w:rPr>
          <w:b/>
          <w:bCs/>
        </w:rPr>
      </w:pPr>
      <w:bookmarkStart w:id="27" w:name="_Toc430782154"/>
      <w:r w:rsidRPr="00864E67">
        <w:t xml:space="preserve">HCFCs imported into Australia in equipment are not counted against Australia’s consumption by the Montreal Protocol. Instead, they are accounted for in the country where the equipment was manufactured. Australia regulates imports of pre-charged HCFC refrigeration and air conditioning equipment under the </w:t>
      </w:r>
      <w:r w:rsidR="00DC3C23">
        <w:t>OPSGGM Act</w:t>
      </w:r>
      <w:r w:rsidRPr="00864E67">
        <w:t xml:space="preserve"> to provide data on the bank of HCFC equipment and the HCFCs required to service the equipment.</w:t>
      </w:r>
    </w:p>
    <w:p w14:paraId="3D0ECD20" w14:textId="75104ABC" w:rsidR="00864E67" w:rsidRDefault="00864E67" w:rsidP="00864E67">
      <w:r w:rsidRPr="00864E67">
        <w:t xml:space="preserve">Import and manufacture of refrigeration and air conditioning equipment charged with HCFCs was largely banned in Australia in 2010, except for a few exemptions. From 2016, exemptions </w:t>
      </w:r>
      <w:r w:rsidRPr="00864E67">
        <w:lastRenderedPageBreak/>
        <w:t>are limited to replacement parts for existing equipment and the import of equipment for private or domestic use that has been owned by a person for more than 12 months.</w:t>
      </w:r>
    </w:p>
    <w:p w14:paraId="0829342C" w14:textId="6CE184A9" w:rsidR="00F5126A" w:rsidRDefault="00F5126A" w:rsidP="00F5126A">
      <w:r w:rsidRPr="00F5126A">
        <w:t>Since 2017 the only HCFC imported in equipment has been HCFC-22 (</w:t>
      </w:r>
      <w:r w:rsidR="00D51F4D">
        <w:fldChar w:fldCharType="begin"/>
      </w:r>
      <w:r w:rsidR="00D51F4D">
        <w:instrText xml:space="preserve"> REF _Ref80699423 \h </w:instrText>
      </w:r>
      <w:r w:rsidR="00D51F4D">
        <w:fldChar w:fldCharType="separate"/>
      </w:r>
      <w:r w:rsidR="00D51F4D">
        <w:t xml:space="preserve">Figure </w:t>
      </w:r>
      <w:r w:rsidR="00D51F4D">
        <w:rPr>
          <w:noProof/>
        </w:rPr>
        <w:t>3</w:t>
      </w:r>
      <w:r w:rsidR="00D51F4D">
        <w:fldChar w:fldCharType="end"/>
      </w:r>
      <w:r w:rsidR="00DE5C54">
        <w:t xml:space="preserve"> and</w:t>
      </w:r>
      <w:r w:rsidRPr="00F5126A">
        <w:t xml:space="preserve"> </w:t>
      </w:r>
      <w:r w:rsidR="00D51F4D">
        <w:fldChar w:fldCharType="begin"/>
      </w:r>
      <w:r w:rsidR="00D51F4D">
        <w:instrText xml:space="preserve"> REF _Ref80699436 \h </w:instrText>
      </w:r>
      <w:r w:rsidR="00D51F4D">
        <w:fldChar w:fldCharType="separate"/>
      </w:r>
      <w:r w:rsidR="00D51F4D">
        <w:t xml:space="preserve">Table </w:t>
      </w:r>
      <w:r w:rsidR="00D51F4D">
        <w:rPr>
          <w:noProof/>
        </w:rPr>
        <w:t>3</w:t>
      </w:r>
      <w:r w:rsidR="00D51F4D">
        <w:fldChar w:fldCharType="end"/>
      </w:r>
      <w:r w:rsidRPr="00F5126A">
        <w:t>).</w:t>
      </w:r>
    </w:p>
    <w:p w14:paraId="4DB8CBE9" w14:textId="1557BCC9" w:rsidR="00476FAA" w:rsidRDefault="005C40EB" w:rsidP="00476FAA">
      <w:pPr>
        <w:pStyle w:val="Caption"/>
      </w:pPr>
      <w:bookmarkStart w:id="28" w:name="_Ref80699423"/>
      <w:bookmarkStart w:id="29" w:name="_Toc82789405"/>
      <w:r>
        <w:t xml:space="preserve">Figure </w:t>
      </w:r>
      <w:fldSimple w:instr=" SEQ Figure \* ARABIC ">
        <w:r w:rsidR="00524D2C">
          <w:rPr>
            <w:noProof/>
          </w:rPr>
          <w:t>3</w:t>
        </w:r>
      </w:fldSimple>
      <w:bookmarkEnd w:id="28"/>
      <w:r>
        <w:t xml:space="preserve"> HCFC-22 equipment imports from</w:t>
      </w:r>
      <w:r w:rsidR="00EB42C9">
        <w:t xml:space="preserve"> in ODP tonnes,</w:t>
      </w:r>
      <w:r>
        <w:t xml:space="preserve"> 2010</w:t>
      </w:r>
      <w:r w:rsidR="00876A3D">
        <w:t xml:space="preserve"> to </w:t>
      </w:r>
      <w:r>
        <w:t>2020</w:t>
      </w:r>
      <w:bookmarkEnd w:id="29"/>
    </w:p>
    <w:p w14:paraId="0BECE419" w14:textId="19E0520F" w:rsidR="00F5126A" w:rsidRDefault="00F5126A" w:rsidP="00476FAA">
      <w:pPr>
        <w:spacing w:before="100" w:beforeAutospacing="1"/>
      </w:pPr>
      <w:r>
        <w:rPr>
          <w:noProof/>
        </w:rPr>
        <w:drawing>
          <wp:inline distT="0" distB="0" distL="0" distR="0" wp14:anchorId="6FDF0EDA" wp14:editId="60A1F408">
            <wp:extent cx="5762625" cy="2203074"/>
            <wp:effectExtent l="0" t="0" r="0" b="6985"/>
            <wp:docPr id="10" name="Picture 10" descr="This bar graph shows the decrease of HCFC-22 equipment imports over the past ten years. The most significant drop was in 2011. The imports between 2015 and 2019 were almost non-existent. In 2020 there was a slight increase to 0.21 ODP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ar graph shows the decrease of HCFC-22 equipment imports over the past ten years. The most significant drop was in 2011. The imports between 2015 and 2019 were almost non-existent. In 2020 there was a slight increase to 0.21 ODP tonnes."/>
                    <pic:cNvPicPr>
                      <a:picLocks noChangeAspect="1" noChangeArrowheads="1"/>
                    </pic:cNvPicPr>
                  </pic:nvPicPr>
                  <pic:blipFill rotWithShape="1">
                    <a:blip r:embed="rId23">
                      <a:extLst>
                        <a:ext uri="{28A0092B-C50C-407E-A947-70E740481C1C}">
                          <a14:useLocalDpi xmlns:a14="http://schemas.microsoft.com/office/drawing/2010/main" val="0"/>
                        </a:ext>
                      </a:extLst>
                    </a:blip>
                    <a:srcRect l="5676" t="8405" r="3848" b="10863"/>
                    <a:stretch/>
                  </pic:blipFill>
                  <pic:spPr bwMode="auto">
                    <a:xfrm>
                      <a:off x="0" y="0"/>
                      <a:ext cx="5772524" cy="2206858"/>
                    </a:xfrm>
                    <a:prstGeom prst="rect">
                      <a:avLst/>
                    </a:prstGeom>
                    <a:noFill/>
                    <a:ln>
                      <a:noFill/>
                    </a:ln>
                    <a:extLst>
                      <a:ext uri="{53640926-AAD7-44D8-BBD7-CCE9431645EC}">
                        <a14:shadowObscured xmlns:a14="http://schemas.microsoft.com/office/drawing/2010/main"/>
                      </a:ext>
                    </a:extLst>
                  </pic:spPr>
                </pic:pic>
              </a:graphicData>
            </a:graphic>
          </wp:inline>
        </w:drawing>
      </w:r>
    </w:p>
    <w:p w14:paraId="25987B6C" w14:textId="7B325FA8" w:rsidR="00392F8A" w:rsidRDefault="00392F8A" w:rsidP="00392F8A">
      <w:pPr>
        <w:pStyle w:val="Caption"/>
      </w:pPr>
      <w:bookmarkStart w:id="30" w:name="_Ref80699436"/>
      <w:bookmarkStart w:id="31" w:name="_Toc82789397"/>
      <w:r>
        <w:t xml:space="preserve">Table </w:t>
      </w:r>
      <w:fldSimple w:instr=" SEQ Table \* ARABIC ">
        <w:r w:rsidR="00822CB6">
          <w:rPr>
            <w:noProof/>
          </w:rPr>
          <w:t>3</w:t>
        </w:r>
      </w:fldSimple>
      <w:bookmarkEnd w:id="30"/>
      <w:r>
        <w:t xml:space="preserve"> HCFC-22 equipment imports</w:t>
      </w:r>
      <w:r w:rsidR="005C6498">
        <w:t xml:space="preserve"> in ODP tonnes</w:t>
      </w:r>
      <w:r w:rsidR="00DE5C54">
        <w:t>,</w:t>
      </w:r>
      <w:r>
        <w:t xml:space="preserve"> 2010</w:t>
      </w:r>
      <w:r w:rsidR="00DE5C54">
        <w:t xml:space="preserve"> to </w:t>
      </w:r>
      <w:r>
        <w:t>2020</w:t>
      </w:r>
      <w:bookmarkEnd w:id="3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56"/>
        <w:gridCol w:w="644"/>
        <w:gridCol w:w="897"/>
        <w:gridCol w:w="897"/>
        <w:gridCol w:w="896"/>
        <w:gridCol w:w="896"/>
        <w:gridCol w:w="896"/>
        <w:gridCol w:w="896"/>
        <w:gridCol w:w="896"/>
        <w:gridCol w:w="896"/>
      </w:tblGrid>
      <w:tr w:rsidR="005C40EB" w:rsidRPr="005C40EB" w14:paraId="66F12F69" w14:textId="77777777" w:rsidTr="00B137E7">
        <w:trPr>
          <w:cantSplit/>
          <w:tblHeader/>
        </w:trPr>
        <w:tc>
          <w:tcPr>
            <w:tcW w:w="1271" w:type="dxa"/>
          </w:tcPr>
          <w:p w14:paraId="37EB5DD4" w14:textId="35067568" w:rsidR="005C40EB" w:rsidRPr="005C40EB" w:rsidRDefault="002E1944" w:rsidP="00392F8A">
            <w:pPr>
              <w:pStyle w:val="TableHeading"/>
            </w:pPr>
            <w:bookmarkStart w:id="32" w:name="Title_3"/>
            <w:bookmarkEnd w:id="32"/>
            <w:r>
              <w:t>S</w:t>
            </w:r>
            <w:r w:rsidR="00AB1BAC">
              <w:t>pecies</w:t>
            </w:r>
          </w:p>
        </w:tc>
        <w:tc>
          <w:tcPr>
            <w:tcW w:w="541" w:type="dxa"/>
          </w:tcPr>
          <w:p w14:paraId="5B7B6D06" w14:textId="77777777" w:rsidR="005C40EB" w:rsidRPr="005C40EB" w:rsidRDefault="005C40EB" w:rsidP="00EB59ED">
            <w:pPr>
              <w:pStyle w:val="TableHeading"/>
              <w:jc w:val="right"/>
            </w:pPr>
            <w:r w:rsidRPr="005C40EB">
              <w:t>2012</w:t>
            </w:r>
          </w:p>
        </w:tc>
        <w:tc>
          <w:tcPr>
            <w:tcW w:w="906" w:type="dxa"/>
          </w:tcPr>
          <w:p w14:paraId="2912654F" w14:textId="77777777" w:rsidR="005C40EB" w:rsidRPr="005C40EB" w:rsidRDefault="005C40EB" w:rsidP="00EB59ED">
            <w:pPr>
              <w:pStyle w:val="TableHeading"/>
              <w:jc w:val="right"/>
            </w:pPr>
            <w:r w:rsidRPr="005C40EB">
              <w:t>2013</w:t>
            </w:r>
          </w:p>
        </w:tc>
        <w:tc>
          <w:tcPr>
            <w:tcW w:w="906" w:type="dxa"/>
          </w:tcPr>
          <w:p w14:paraId="41C55147" w14:textId="77777777" w:rsidR="005C40EB" w:rsidRPr="005C40EB" w:rsidRDefault="005C40EB" w:rsidP="00EB59ED">
            <w:pPr>
              <w:pStyle w:val="TableHeading"/>
              <w:jc w:val="right"/>
            </w:pPr>
            <w:r w:rsidRPr="005C40EB">
              <w:t>2014</w:t>
            </w:r>
          </w:p>
        </w:tc>
        <w:tc>
          <w:tcPr>
            <w:tcW w:w="906" w:type="dxa"/>
          </w:tcPr>
          <w:p w14:paraId="49CBF8DE" w14:textId="77777777" w:rsidR="005C40EB" w:rsidRPr="005C40EB" w:rsidRDefault="005C40EB" w:rsidP="00EB59ED">
            <w:pPr>
              <w:pStyle w:val="TableHeading"/>
              <w:jc w:val="right"/>
            </w:pPr>
            <w:r w:rsidRPr="005C40EB">
              <w:t>2015</w:t>
            </w:r>
          </w:p>
        </w:tc>
        <w:tc>
          <w:tcPr>
            <w:tcW w:w="906" w:type="dxa"/>
          </w:tcPr>
          <w:p w14:paraId="311741F4" w14:textId="77777777" w:rsidR="005C40EB" w:rsidRPr="005C40EB" w:rsidRDefault="005C40EB" w:rsidP="00EB59ED">
            <w:pPr>
              <w:pStyle w:val="TableHeading"/>
              <w:jc w:val="right"/>
            </w:pPr>
            <w:r w:rsidRPr="005C40EB">
              <w:t>2016</w:t>
            </w:r>
          </w:p>
        </w:tc>
        <w:tc>
          <w:tcPr>
            <w:tcW w:w="906" w:type="dxa"/>
          </w:tcPr>
          <w:p w14:paraId="6449F74B" w14:textId="77777777" w:rsidR="005C40EB" w:rsidRPr="005C40EB" w:rsidRDefault="005C40EB" w:rsidP="00EB59ED">
            <w:pPr>
              <w:pStyle w:val="TableHeading"/>
              <w:jc w:val="right"/>
            </w:pPr>
            <w:r w:rsidRPr="005C40EB">
              <w:t>2017</w:t>
            </w:r>
          </w:p>
        </w:tc>
        <w:tc>
          <w:tcPr>
            <w:tcW w:w="906" w:type="dxa"/>
          </w:tcPr>
          <w:p w14:paraId="04A0E74B" w14:textId="77777777" w:rsidR="005C40EB" w:rsidRPr="005C40EB" w:rsidRDefault="005C40EB" w:rsidP="00EB59ED">
            <w:pPr>
              <w:pStyle w:val="TableHeading"/>
              <w:jc w:val="right"/>
            </w:pPr>
            <w:r w:rsidRPr="005C40EB">
              <w:t>2018</w:t>
            </w:r>
          </w:p>
        </w:tc>
        <w:tc>
          <w:tcPr>
            <w:tcW w:w="906" w:type="dxa"/>
          </w:tcPr>
          <w:p w14:paraId="2BD5E311" w14:textId="77777777" w:rsidR="005C40EB" w:rsidRPr="005C40EB" w:rsidRDefault="005C40EB" w:rsidP="00EB59ED">
            <w:pPr>
              <w:pStyle w:val="TableHeading"/>
              <w:jc w:val="right"/>
            </w:pPr>
            <w:r w:rsidRPr="005C40EB">
              <w:t>2019</w:t>
            </w:r>
          </w:p>
        </w:tc>
        <w:tc>
          <w:tcPr>
            <w:tcW w:w="906" w:type="dxa"/>
          </w:tcPr>
          <w:p w14:paraId="4774CD34" w14:textId="77777777" w:rsidR="005C40EB" w:rsidRPr="005C40EB" w:rsidRDefault="005C40EB" w:rsidP="00EB59ED">
            <w:pPr>
              <w:pStyle w:val="TableHeading"/>
              <w:jc w:val="right"/>
            </w:pPr>
            <w:r w:rsidRPr="005C40EB">
              <w:t>2020</w:t>
            </w:r>
          </w:p>
        </w:tc>
      </w:tr>
      <w:tr w:rsidR="005C40EB" w:rsidRPr="005C40EB" w14:paraId="7DF54740" w14:textId="77777777" w:rsidTr="00B447C8">
        <w:tc>
          <w:tcPr>
            <w:tcW w:w="1271" w:type="dxa"/>
          </w:tcPr>
          <w:p w14:paraId="4DB4C216" w14:textId="77777777" w:rsidR="005C40EB" w:rsidRPr="005C40EB" w:rsidRDefault="005C40EB" w:rsidP="00392F8A">
            <w:pPr>
              <w:pStyle w:val="TableText"/>
            </w:pPr>
            <w:r w:rsidRPr="005C40EB">
              <w:t>HCFC-22</w:t>
            </w:r>
          </w:p>
        </w:tc>
        <w:tc>
          <w:tcPr>
            <w:tcW w:w="541" w:type="dxa"/>
          </w:tcPr>
          <w:p w14:paraId="2A8691E5" w14:textId="77777777" w:rsidR="005C40EB" w:rsidRPr="005C40EB" w:rsidRDefault="005C40EB" w:rsidP="00EB59ED">
            <w:pPr>
              <w:pStyle w:val="TableText"/>
              <w:jc w:val="right"/>
            </w:pPr>
            <w:r w:rsidRPr="005C40EB">
              <w:t>1.06</w:t>
            </w:r>
          </w:p>
        </w:tc>
        <w:tc>
          <w:tcPr>
            <w:tcW w:w="906" w:type="dxa"/>
          </w:tcPr>
          <w:p w14:paraId="0797D81C" w14:textId="77777777" w:rsidR="005C40EB" w:rsidRPr="005C40EB" w:rsidRDefault="005C40EB" w:rsidP="00EB59ED">
            <w:pPr>
              <w:pStyle w:val="TableText"/>
              <w:jc w:val="right"/>
            </w:pPr>
            <w:r w:rsidRPr="005C40EB">
              <w:t>0.12</w:t>
            </w:r>
          </w:p>
        </w:tc>
        <w:tc>
          <w:tcPr>
            <w:tcW w:w="906" w:type="dxa"/>
          </w:tcPr>
          <w:p w14:paraId="674A5C72" w14:textId="77777777" w:rsidR="005C40EB" w:rsidRPr="005C40EB" w:rsidRDefault="005C40EB" w:rsidP="00EB59ED">
            <w:pPr>
              <w:pStyle w:val="TableText"/>
              <w:jc w:val="right"/>
            </w:pPr>
            <w:r w:rsidRPr="005C40EB">
              <w:t>0.16</w:t>
            </w:r>
          </w:p>
        </w:tc>
        <w:tc>
          <w:tcPr>
            <w:tcW w:w="906" w:type="dxa"/>
          </w:tcPr>
          <w:p w14:paraId="2AC97D0C" w14:textId="77777777" w:rsidR="005C40EB" w:rsidRPr="005C40EB" w:rsidRDefault="005C40EB" w:rsidP="00EB59ED">
            <w:pPr>
              <w:pStyle w:val="TableText"/>
              <w:jc w:val="right"/>
            </w:pPr>
            <w:r w:rsidRPr="005C40EB">
              <w:t>0</w:t>
            </w:r>
          </w:p>
        </w:tc>
        <w:tc>
          <w:tcPr>
            <w:tcW w:w="906" w:type="dxa"/>
          </w:tcPr>
          <w:p w14:paraId="0ECF03F6" w14:textId="77777777" w:rsidR="005C40EB" w:rsidRPr="005C40EB" w:rsidRDefault="005C40EB" w:rsidP="00EB59ED">
            <w:pPr>
              <w:pStyle w:val="TableText"/>
              <w:jc w:val="right"/>
            </w:pPr>
            <w:r w:rsidRPr="005C40EB">
              <w:t>0</w:t>
            </w:r>
          </w:p>
        </w:tc>
        <w:tc>
          <w:tcPr>
            <w:tcW w:w="906" w:type="dxa"/>
          </w:tcPr>
          <w:p w14:paraId="36D7BC99" w14:textId="77777777" w:rsidR="005C40EB" w:rsidRPr="005C40EB" w:rsidRDefault="005C40EB" w:rsidP="00EB59ED">
            <w:pPr>
              <w:pStyle w:val="TableText"/>
              <w:jc w:val="right"/>
            </w:pPr>
            <w:r w:rsidRPr="005C40EB">
              <w:t>0.02</w:t>
            </w:r>
          </w:p>
        </w:tc>
        <w:tc>
          <w:tcPr>
            <w:tcW w:w="906" w:type="dxa"/>
          </w:tcPr>
          <w:p w14:paraId="0D6B1752" w14:textId="77777777" w:rsidR="005C40EB" w:rsidRPr="005C40EB" w:rsidRDefault="005C40EB" w:rsidP="00EB59ED">
            <w:pPr>
              <w:pStyle w:val="TableText"/>
              <w:jc w:val="right"/>
            </w:pPr>
            <w:r w:rsidRPr="005C40EB">
              <w:t>0.02</w:t>
            </w:r>
          </w:p>
        </w:tc>
        <w:tc>
          <w:tcPr>
            <w:tcW w:w="906" w:type="dxa"/>
          </w:tcPr>
          <w:p w14:paraId="606A612E" w14:textId="77777777" w:rsidR="005C40EB" w:rsidRPr="005C40EB" w:rsidRDefault="005C40EB" w:rsidP="00EB59ED">
            <w:pPr>
              <w:pStyle w:val="TableText"/>
              <w:jc w:val="right"/>
            </w:pPr>
            <w:r w:rsidRPr="005C40EB">
              <w:t>0.01</w:t>
            </w:r>
          </w:p>
        </w:tc>
        <w:tc>
          <w:tcPr>
            <w:tcW w:w="906" w:type="dxa"/>
          </w:tcPr>
          <w:p w14:paraId="6C1F0AFC" w14:textId="77777777" w:rsidR="005C40EB" w:rsidRPr="005C40EB" w:rsidRDefault="005C40EB" w:rsidP="00EB59ED">
            <w:pPr>
              <w:pStyle w:val="TableText"/>
              <w:jc w:val="right"/>
            </w:pPr>
            <w:r w:rsidRPr="005C40EB">
              <w:t>0.21</w:t>
            </w:r>
          </w:p>
        </w:tc>
      </w:tr>
      <w:tr w:rsidR="005C40EB" w:rsidRPr="005C40EB" w14:paraId="32E94269" w14:textId="77777777" w:rsidTr="00B447C8">
        <w:tc>
          <w:tcPr>
            <w:tcW w:w="1271" w:type="dxa"/>
          </w:tcPr>
          <w:p w14:paraId="45BB5D0F" w14:textId="77777777" w:rsidR="005C40EB" w:rsidRPr="005C40EB" w:rsidRDefault="005C40EB" w:rsidP="00392F8A">
            <w:pPr>
              <w:pStyle w:val="TableText"/>
            </w:pPr>
            <w:r w:rsidRPr="005C40EB">
              <w:t>HCFC-123</w:t>
            </w:r>
          </w:p>
        </w:tc>
        <w:tc>
          <w:tcPr>
            <w:tcW w:w="541" w:type="dxa"/>
          </w:tcPr>
          <w:p w14:paraId="3FEDD733" w14:textId="77777777" w:rsidR="005C40EB" w:rsidRPr="005C40EB" w:rsidRDefault="005C40EB" w:rsidP="00EB59ED">
            <w:pPr>
              <w:pStyle w:val="TableText"/>
              <w:jc w:val="right"/>
            </w:pPr>
            <w:r w:rsidRPr="005C40EB">
              <w:t>0.87</w:t>
            </w:r>
          </w:p>
        </w:tc>
        <w:tc>
          <w:tcPr>
            <w:tcW w:w="906" w:type="dxa"/>
          </w:tcPr>
          <w:p w14:paraId="226595B2" w14:textId="77777777" w:rsidR="005C40EB" w:rsidRPr="005C40EB" w:rsidRDefault="005C40EB" w:rsidP="00EB59ED">
            <w:pPr>
              <w:pStyle w:val="TableText"/>
              <w:jc w:val="right"/>
            </w:pPr>
            <w:r w:rsidRPr="005C40EB">
              <w:t>0.87</w:t>
            </w:r>
          </w:p>
        </w:tc>
        <w:tc>
          <w:tcPr>
            <w:tcW w:w="906" w:type="dxa"/>
          </w:tcPr>
          <w:p w14:paraId="2E2CA329" w14:textId="77777777" w:rsidR="005C40EB" w:rsidRPr="005C40EB" w:rsidRDefault="005C40EB" w:rsidP="00EB59ED">
            <w:pPr>
              <w:pStyle w:val="TableText"/>
              <w:jc w:val="right"/>
            </w:pPr>
            <w:r w:rsidRPr="005C40EB">
              <w:t>0.28</w:t>
            </w:r>
          </w:p>
        </w:tc>
        <w:tc>
          <w:tcPr>
            <w:tcW w:w="906" w:type="dxa"/>
          </w:tcPr>
          <w:p w14:paraId="017C190A" w14:textId="77777777" w:rsidR="005C40EB" w:rsidRPr="005C40EB" w:rsidRDefault="005C40EB" w:rsidP="00EB59ED">
            <w:pPr>
              <w:pStyle w:val="TableText"/>
              <w:jc w:val="right"/>
            </w:pPr>
            <w:r w:rsidRPr="005C40EB">
              <w:t>0.02</w:t>
            </w:r>
          </w:p>
        </w:tc>
        <w:tc>
          <w:tcPr>
            <w:tcW w:w="906" w:type="dxa"/>
          </w:tcPr>
          <w:p w14:paraId="10D95081" w14:textId="77777777" w:rsidR="005C40EB" w:rsidRPr="005C40EB" w:rsidRDefault="005C40EB" w:rsidP="00EB59ED">
            <w:pPr>
              <w:pStyle w:val="TableText"/>
              <w:jc w:val="right"/>
            </w:pPr>
            <w:r w:rsidRPr="005C40EB">
              <w:t>0</w:t>
            </w:r>
          </w:p>
        </w:tc>
        <w:tc>
          <w:tcPr>
            <w:tcW w:w="906" w:type="dxa"/>
          </w:tcPr>
          <w:p w14:paraId="7BF21D5B" w14:textId="77777777" w:rsidR="005C40EB" w:rsidRPr="005C40EB" w:rsidRDefault="005C40EB" w:rsidP="00EB59ED">
            <w:pPr>
              <w:pStyle w:val="TableText"/>
              <w:jc w:val="right"/>
            </w:pPr>
            <w:r w:rsidRPr="005C40EB">
              <w:t>0</w:t>
            </w:r>
          </w:p>
        </w:tc>
        <w:tc>
          <w:tcPr>
            <w:tcW w:w="906" w:type="dxa"/>
          </w:tcPr>
          <w:p w14:paraId="125D361E" w14:textId="77777777" w:rsidR="005C40EB" w:rsidRPr="005C40EB" w:rsidRDefault="005C40EB" w:rsidP="00EB59ED">
            <w:pPr>
              <w:pStyle w:val="TableText"/>
              <w:jc w:val="right"/>
            </w:pPr>
            <w:r w:rsidRPr="005C40EB">
              <w:t>0</w:t>
            </w:r>
          </w:p>
        </w:tc>
        <w:tc>
          <w:tcPr>
            <w:tcW w:w="906" w:type="dxa"/>
          </w:tcPr>
          <w:p w14:paraId="1CF1D71F" w14:textId="77777777" w:rsidR="005C40EB" w:rsidRPr="005C40EB" w:rsidRDefault="005C40EB" w:rsidP="00EB59ED">
            <w:pPr>
              <w:pStyle w:val="TableText"/>
              <w:jc w:val="right"/>
            </w:pPr>
            <w:r w:rsidRPr="005C40EB">
              <w:t>0</w:t>
            </w:r>
          </w:p>
        </w:tc>
        <w:tc>
          <w:tcPr>
            <w:tcW w:w="906" w:type="dxa"/>
          </w:tcPr>
          <w:p w14:paraId="04D678E9" w14:textId="77777777" w:rsidR="005C40EB" w:rsidRPr="005C40EB" w:rsidRDefault="005C40EB" w:rsidP="00EB59ED">
            <w:pPr>
              <w:pStyle w:val="TableText"/>
              <w:jc w:val="right"/>
            </w:pPr>
            <w:r w:rsidRPr="005C40EB">
              <w:t>0</w:t>
            </w:r>
          </w:p>
        </w:tc>
      </w:tr>
      <w:tr w:rsidR="005C40EB" w:rsidRPr="005C40EB" w14:paraId="211DA0AE" w14:textId="77777777" w:rsidTr="00B447C8">
        <w:tc>
          <w:tcPr>
            <w:tcW w:w="1271" w:type="dxa"/>
          </w:tcPr>
          <w:p w14:paraId="39A57FBA" w14:textId="77777777" w:rsidR="005C40EB" w:rsidRPr="005C40EB" w:rsidRDefault="005C40EB" w:rsidP="00392F8A">
            <w:pPr>
              <w:pStyle w:val="TableText"/>
            </w:pPr>
            <w:r w:rsidRPr="005C40EB">
              <w:t>HCFC-122</w:t>
            </w:r>
          </w:p>
        </w:tc>
        <w:tc>
          <w:tcPr>
            <w:tcW w:w="541" w:type="dxa"/>
          </w:tcPr>
          <w:p w14:paraId="1D21C449" w14:textId="77777777" w:rsidR="005C40EB" w:rsidRPr="005C40EB" w:rsidRDefault="005C40EB" w:rsidP="00EB59ED">
            <w:pPr>
              <w:pStyle w:val="TableText"/>
              <w:jc w:val="right"/>
            </w:pPr>
            <w:r w:rsidRPr="005C40EB">
              <w:t>0</w:t>
            </w:r>
          </w:p>
        </w:tc>
        <w:tc>
          <w:tcPr>
            <w:tcW w:w="906" w:type="dxa"/>
          </w:tcPr>
          <w:p w14:paraId="3373E376" w14:textId="77777777" w:rsidR="005C40EB" w:rsidRPr="005C40EB" w:rsidRDefault="005C40EB" w:rsidP="00EB59ED">
            <w:pPr>
              <w:pStyle w:val="TableText"/>
              <w:jc w:val="right"/>
            </w:pPr>
            <w:r w:rsidRPr="005C40EB">
              <w:t>0</w:t>
            </w:r>
          </w:p>
        </w:tc>
        <w:tc>
          <w:tcPr>
            <w:tcW w:w="906" w:type="dxa"/>
          </w:tcPr>
          <w:p w14:paraId="7FE9EF85" w14:textId="77777777" w:rsidR="005C40EB" w:rsidRPr="005C40EB" w:rsidRDefault="005C40EB" w:rsidP="00EB59ED">
            <w:pPr>
              <w:pStyle w:val="TableText"/>
              <w:jc w:val="right"/>
            </w:pPr>
            <w:r w:rsidRPr="005C40EB">
              <w:t>0</w:t>
            </w:r>
          </w:p>
        </w:tc>
        <w:tc>
          <w:tcPr>
            <w:tcW w:w="906" w:type="dxa"/>
          </w:tcPr>
          <w:p w14:paraId="4C96B05C" w14:textId="77777777" w:rsidR="005C40EB" w:rsidRPr="005C40EB" w:rsidRDefault="005C40EB" w:rsidP="00EB59ED">
            <w:pPr>
              <w:pStyle w:val="TableText"/>
              <w:jc w:val="right"/>
            </w:pPr>
            <w:r w:rsidRPr="005C40EB">
              <w:t>0</w:t>
            </w:r>
          </w:p>
        </w:tc>
        <w:tc>
          <w:tcPr>
            <w:tcW w:w="906" w:type="dxa"/>
          </w:tcPr>
          <w:p w14:paraId="4BF89AC1" w14:textId="77777777" w:rsidR="005C40EB" w:rsidRPr="005C40EB" w:rsidRDefault="005C40EB" w:rsidP="00EB59ED">
            <w:pPr>
              <w:pStyle w:val="TableText"/>
              <w:jc w:val="right"/>
            </w:pPr>
            <w:r w:rsidRPr="005C40EB">
              <w:t>0.08</w:t>
            </w:r>
          </w:p>
        </w:tc>
        <w:tc>
          <w:tcPr>
            <w:tcW w:w="906" w:type="dxa"/>
          </w:tcPr>
          <w:p w14:paraId="1B55B615" w14:textId="77777777" w:rsidR="005C40EB" w:rsidRPr="005C40EB" w:rsidRDefault="005C40EB" w:rsidP="00EB59ED">
            <w:pPr>
              <w:pStyle w:val="TableText"/>
              <w:jc w:val="right"/>
            </w:pPr>
            <w:r w:rsidRPr="005C40EB">
              <w:t>0</w:t>
            </w:r>
          </w:p>
        </w:tc>
        <w:tc>
          <w:tcPr>
            <w:tcW w:w="906" w:type="dxa"/>
          </w:tcPr>
          <w:p w14:paraId="4237008C" w14:textId="77777777" w:rsidR="005C40EB" w:rsidRPr="005C40EB" w:rsidRDefault="005C40EB" w:rsidP="00EB59ED">
            <w:pPr>
              <w:pStyle w:val="TableText"/>
              <w:jc w:val="right"/>
            </w:pPr>
            <w:r w:rsidRPr="005C40EB">
              <w:t>0</w:t>
            </w:r>
          </w:p>
        </w:tc>
        <w:tc>
          <w:tcPr>
            <w:tcW w:w="906" w:type="dxa"/>
          </w:tcPr>
          <w:p w14:paraId="531CC82F" w14:textId="77777777" w:rsidR="005C40EB" w:rsidRPr="005C40EB" w:rsidRDefault="005C40EB" w:rsidP="00EB59ED">
            <w:pPr>
              <w:pStyle w:val="TableText"/>
              <w:jc w:val="right"/>
            </w:pPr>
            <w:r w:rsidRPr="005C40EB">
              <w:t>0</w:t>
            </w:r>
          </w:p>
        </w:tc>
        <w:tc>
          <w:tcPr>
            <w:tcW w:w="906" w:type="dxa"/>
          </w:tcPr>
          <w:p w14:paraId="12389E4D" w14:textId="77777777" w:rsidR="005C40EB" w:rsidRPr="005C40EB" w:rsidRDefault="005C40EB" w:rsidP="00EB59ED">
            <w:pPr>
              <w:pStyle w:val="TableText"/>
              <w:jc w:val="right"/>
            </w:pPr>
            <w:r w:rsidRPr="005C40EB">
              <w:t>0</w:t>
            </w:r>
          </w:p>
        </w:tc>
      </w:tr>
    </w:tbl>
    <w:p w14:paraId="1C1D1BAB" w14:textId="291F3430" w:rsidR="00764D6A" w:rsidRPr="00392F8A" w:rsidRDefault="00392F8A" w:rsidP="00795843">
      <w:pPr>
        <w:pStyle w:val="Heading3"/>
        <w:pageBreakBefore/>
        <w:numPr>
          <w:ilvl w:val="0"/>
          <w:numId w:val="0"/>
        </w:numPr>
        <w:spacing w:before="240"/>
      </w:pPr>
      <w:bookmarkStart w:id="33" w:name="_Toc82789384"/>
      <w:bookmarkEnd w:id="27"/>
      <w:r w:rsidRPr="00392F8A">
        <w:lastRenderedPageBreak/>
        <w:t>Destruction of HCFCs and CFCs by Refrigerant Reclaim Australia</w:t>
      </w:r>
      <w:bookmarkEnd w:id="33"/>
    </w:p>
    <w:p w14:paraId="7DD91216" w14:textId="379397B9" w:rsidR="00D86A35" w:rsidRPr="00D86A35" w:rsidRDefault="00D86A35" w:rsidP="00D86A35">
      <w:bookmarkStart w:id="34" w:name="_Toc430782155"/>
      <w:r w:rsidRPr="00D86A35">
        <w:t>Under the product stewardship program run by Australian industry to manage waste refrigerants at end of their life, thousands of tonnes of HCFCs and CFCs have been destroyed after being returned to Refrigerant Reclaim Australia (RRA). RRA also collects and destroys waste HFC (hydrofluorocarbon) refrigerant. These substances are destroyed using Montreal Protocol approved technologies.</w:t>
      </w:r>
    </w:p>
    <w:p w14:paraId="5E30AD7C" w14:textId="594DF0F1" w:rsidR="00764D6A" w:rsidRDefault="005128D8" w:rsidP="00D86A35">
      <w:r>
        <w:fldChar w:fldCharType="begin"/>
      </w:r>
      <w:r>
        <w:instrText xml:space="preserve"> REF _Ref80710684 \h </w:instrText>
      </w:r>
      <w:r>
        <w:fldChar w:fldCharType="separate"/>
      </w:r>
      <w:r>
        <w:t xml:space="preserve">Figure </w:t>
      </w:r>
      <w:r>
        <w:rPr>
          <w:noProof/>
        </w:rPr>
        <w:t>4</w:t>
      </w:r>
      <w:r>
        <w:fldChar w:fldCharType="end"/>
      </w:r>
      <w:r w:rsidR="00D86A35" w:rsidRPr="00D86A35">
        <w:t xml:space="preserve"> and </w:t>
      </w:r>
      <w:r>
        <w:fldChar w:fldCharType="begin"/>
      </w:r>
      <w:r>
        <w:instrText xml:space="preserve"> REF _Ref80710697 \h </w:instrText>
      </w:r>
      <w:r>
        <w:fldChar w:fldCharType="separate"/>
      </w:r>
      <w:r>
        <w:t xml:space="preserve">Table </w:t>
      </w:r>
      <w:r>
        <w:rPr>
          <w:noProof/>
        </w:rPr>
        <w:t>4</w:t>
      </w:r>
      <w:r>
        <w:fldChar w:fldCharType="end"/>
      </w:r>
      <w:r w:rsidR="00D86A35" w:rsidRPr="00D86A35">
        <w:t xml:space="preserve"> charts the amount of HCFCs and CFCs destroyed since 2010. The reduced amounts of HCFC destroyed from 2012 onwards reflect the greater re-use of recovered HCFCs as import limits reduce. Despite imports of CFCs being banned from 1996, a few tonnes of CFC </w:t>
      </w:r>
      <w:r>
        <w:t xml:space="preserve">are still </w:t>
      </w:r>
      <w:r w:rsidR="00D86A35" w:rsidRPr="00D86A35">
        <w:t xml:space="preserve">being returned for destruction, largely from decommissioning of old equipment. This data includes a small amount </w:t>
      </w:r>
      <w:r w:rsidR="009412B6">
        <w:t xml:space="preserve">of </w:t>
      </w:r>
      <w:r w:rsidR="00D86A35" w:rsidRPr="00D86A35">
        <w:t>used refrigerant imported from New Zealand for destruction.</w:t>
      </w:r>
      <w:bookmarkEnd w:id="34"/>
    </w:p>
    <w:p w14:paraId="70D66B32" w14:textId="18188674" w:rsidR="004A73EB" w:rsidRDefault="002319D8" w:rsidP="004A73EB">
      <w:pPr>
        <w:pStyle w:val="Caption"/>
      </w:pPr>
      <w:bookmarkStart w:id="35" w:name="_Ref80710684"/>
      <w:bookmarkStart w:id="36" w:name="_Toc82789406"/>
      <w:r>
        <w:t xml:space="preserve">Figure </w:t>
      </w:r>
      <w:fldSimple w:instr=" SEQ Figure \* ARABIC ">
        <w:r w:rsidR="00524D2C">
          <w:rPr>
            <w:noProof/>
          </w:rPr>
          <w:t>4</w:t>
        </w:r>
      </w:fldSimple>
      <w:bookmarkEnd w:id="35"/>
      <w:r>
        <w:t xml:space="preserve"> HCFC and CFC destruction</w:t>
      </w:r>
      <w:r w:rsidR="00876A3D">
        <w:t xml:space="preserve"> in metric tonnes</w:t>
      </w:r>
      <w:r w:rsidR="005128D8">
        <w:t>,</w:t>
      </w:r>
      <w:r>
        <w:t xml:space="preserve"> 2010</w:t>
      </w:r>
      <w:r w:rsidR="005128D8">
        <w:t xml:space="preserve"> to </w:t>
      </w:r>
      <w:r>
        <w:t>2020</w:t>
      </w:r>
      <w:bookmarkEnd w:id="36"/>
    </w:p>
    <w:p w14:paraId="4661BBD3" w14:textId="2E182F2C" w:rsidR="00D86A35" w:rsidRDefault="005C6498" w:rsidP="004A73EB">
      <w:pPr>
        <w:spacing w:after="100"/>
      </w:pPr>
      <w:r>
        <w:rPr>
          <w:noProof/>
        </w:rPr>
        <w:drawing>
          <wp:inline distT="0" distB="0" distL="0" distR="0" wp14:anchorId="0238AADE" wp14:editId="30E44559">
            <wp:extent cx="5781675" cy="2374427"/>
            <wp:effectExtent l="0" t="0" r="0" b="6985"/>
            <wp:docPr id="4" name="Picture 4" descr="This bar graph shows the decrease in the destruction of HCFCs and CFCs over the past 10 years. &#10;The graph shows that the destruction of HCFCs decreased dramatically in 2012 and then again in 2013, since then it has remained relatively consistent.&#10;The graph shows that the destruction of CFCs over the same period has been gradual, with no dramatic drops, as its starting point was much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bar graph shows the decrease in the destruction of HCFCs and CFCs over the past 10 years. &#10;The graph shows that the destruction of HCFCs decreased dramatically in 2012 and then again in 2013, since then it has remained relatively consistent.&#10;The graph shows that the destruction of CFCs over the same period has been gradual, with no dramatic drops, as its starting point was much lower."/>
                    <pic:cNvPicPr>
                      <a:picLocks noChangeAspect="1" noChangeArrowheads="1"/>
                    </pic:cNvPicPr>
                  </pic:nvPicPr>
                  <pic:blipFill rotWithShape="1">
                    <a:blip r:embed="rId24">
                      <a:extLst>
                        <a:ext uri="{28A0092B-C50C-407E-A947-70E740481C1C}">
                          <a14:useLocalDpi xmlns:a14="http://schemas.microsoft.com/office/drawing/2010/main" val="0"/>
                        </a:ext>
                      </a:extLst>
                    </a:blip>
                    <a:srcRect l="8280" t="7617" r="1788" b="2967"/>
                    <a:stretch/>
                  </pic:blipFill>
                  <pic:spPr bwMode="auto">
                    <a:xfrm>
                      <a:off x="0" y="0"/>
                      <a:ext cx="5831315" cy="2394813"/>
                    </a:xfrm>
                    <a:prstGeom prst="rect">
                      <a:avLst/>
                    </a:prstGeom>
                    <a:noFill/>
                    <a:ln>
                      <a:noFill/>
                    </a:ln>
                    <a:extLst>
                      <a:ext uri="{53640926-AAD7-44D8-BBD7-CCE9431645EC}">
                        <a14:shadowObscured xmlns:a14="http://schemas.microsoft.com/office/drawing/2010/main"/>
                      </a:ext>
                    </a:extLst>
                  </pic:spPr>
                </pic:pic>
              </a:graphicData>
            </a:graphic>
          </wp:inline>
        </w:drawing>
      </w:r>
    </w:p>
    <w:p w14:paraId="6EF39F58" w14:textId="50056047" w:rsidR="00FA689F" w:rsidRDefault="00FA689F" w:rsidP="004A73EB">
      <w:pPr>
        <w:pStyle w:val="Caption"/>
      </w:pPr>
      <w:bookmarkStart w:id="37" w:name="_Ref80710697"/>
      <w:bookmarkStart w:id="38" w:name="_Toc82789398"/>
      <w:r>
        <w:t xml:space="preserve">Table </w:t>
      </w:r>
      <w:fldSimple w:instr=" SEQ Table \* ARABIC ">
        <w:r w:rsidR="00822CB6">
          <w:rPr>
            <w:noProof/>
          </w:rPr>
          <w:t>4</w:t>
        </w:r>
      </w:fldSimple>
      <w:bookmarkEnd w:id="37"/>
      <w:r>
        <w:t xml:space="preserve"> HCFC and CFC destruction</w:t>
      </w:r>
      <w:r w:rsidR="00FB5C37">
        <w:t xml:space="preserve"> in metric tonnes</w:t>
      </w:r>
      <w:r w:rsidR="00A20E35">
        <w:t>,</w:t>
      </w:r>
      <w:r>
        <w:t xml:space="preserve"> 2010</w:t>
      </w:r>
      <w:r w:rsidR="00A20E35">
        <w:t xml:space="preserve"> to </w:t>
      </w:r>
      <w:r>
        <w:t>2020</w:t>
      </w:r>
      <w:bookmarkEnd w:id="3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54"/>
        <w:gridCol w:w="756"/>
        <w:gridCol w:w="756"/>
        <w:gridCol w:w="756"/>
        <w:gridCol w:w="756"/>
        <w:gridCol w:w="756"/>
        <w:gridCol w:w="756"/>
        <w:gridCol w:w="756"/>
        <w:gridCol w:w="756"/>
        <w:gridCol w:w="756"/>
        <w:gridCol w:w="756"/>
        <w:gridCol w:w="756"/>
      </w:tblGrid>
      <w:tr w:rsidR="008C60BC" w:rsidRPr="00FA689F" w14:paraId="5112DD9B" w14:textId="77777777" w:rsidTr="00A82040">
        <w:trPr>
          <w:cantSplit/>
          <w:tblHeader/>
        </w:trPr>
        <w:tc>
          <w:tcPr>
            <w:tcW w:w="415" w:type="pct"/>
          </w:tcPr>
          <w:p w14:paraId="40539859" w14:textId="57CE9301" w:rsidR="008C60BC" w:rsidRPr="00FA689F" w:rsidRDefault="008C60BC" w:rsidP="00FA689F">
            <w:pPr>
              <w:pStyle w:val="TableHeading"/>
            </w:pPr>
            <w:bookmarkStart w:id="39" w:name="Title_4"/>
            <w:bookmarkStart w:id="40" w:name="_Hlk82787867"/>
            <w:bookmarkEnd w:id="39"/>
            <w:r>
              <w:t>ODS</w:t>
            </w:r>
          </w:p>
        </w:tc>
        <w:tc>
          <w:tcPr>
            <w:tcW w:w="416" w:type="pct"/>
          </w:tcPr>
          <w:p w14:paraId="62086C97" w14:textId="3DDA298A" w:rsidR="008C60BC" w:rsidRPr="00FA689F" w:rsidRDefault="008C60BC" w:rsidP="00EB59ED">
            <w:pPr>
              <w:pStyle w:val="TableHeading"/>
              <w:jc w:val="right"/>
            </w:pPr>
            <w:r w:rsidRPr="00FA689F">
              <w:t>2010</w:t>
            </w:r>
          </w:p>
        </w:tc>
        <w:tc>
          <w:tcPr>
            <w:tcW w:w="416" w:type="pct"/>
          </w:tcPr>
          <w:p w14:paraId="783ACA06" w14:textId="77777777" w:rsidR="008C60BC" w:rsidRPr="00FA689F" w:rsidRDefault="008C60BC" w:rsidP="00EB59ED">
            <w:pPr>
              <w:pStyle w:val="TableHeading"/>
              <w:jc w:val="right"/>
            </w:pPr>
            <w:r w:rsidRPr="00FA689F">
              <w:t>2011</w:t>
            </w:r>
          </w:p>
        </w:tc>
        <w:tc>
          <w:tcPr>
            <w:tcW w:w="417" w:type="pct"/>
          </w:tcPr>
          <w:p w14:paraId="02653AF9" w14:textId="77777777" w:rsidR="008C60BC" w:rsidRPr="00FA689F" w:rsidRDefault="008C60BC" w:rsidP="00EB59ED">
            <w:pPr>
              <w:pStyle w:val="TableHeading"/>
              <w:jc w:val="right"/>
            </w:pPr>
            <w:r w:rsidRPr="00FA689F">
              <w:t>2012</w:t>
            </w:r>
          </w:p>
        </w:tc>
        <w:tc>
          <w:tcPr>
            <w:tcW w:w="417" w:type="pct"/>
          </w:tcPr>
          <w:p w14:paraId="0094206D" w14:textId="77777777" w:rsidR="008C60BC" w:rsidRPr="00FA689F" w:rsidRDefault="008C60BC" w:rsidP="00EB59ED">
            <w:pPr>
              <w:pStyle w:val="TableHeading"/>
              <w:jc w:val="right"/>
            </w:pPr>
            <w:r w:rsidRPr="00FA689F">
              <w:t>2013</w:t>
            </w:r>
          </w:p>
        </w:tc>
        <w:tc>
          <w:tcPr>
            <w:tcW w:w="417" w:type="pct"/>
          </w:tcPr>
          <w:p w14:paraId="4DACB164" w14:textId="77777777" w:rsidR="008C60BC" w:rsidRPr="00FA689F" w:rsidRDefault="008C60BC" w:rsidP="00EB59ED">
            <w:pPr>
              <w:pStyle w:val="TableHeading"/>
              <w:jc w:val="right"/>
            </w:pPr>
            <w:r w:rsidRPr="00FA689F">
              <w:t>2014</w:t>
            </w:r>
          </w:p>
        </w:tc>
        <w:tc>
          <w:tcPr>
            <w:tcW w:w="417" w:type="pct"/>
          </w:tcPr>
          <w:p w14:paraId="751E3837" w14:textId="77777777" w:rsidR="008C60BC" w:rsidRPr="00FA689F" w:rsidRDefault="008C60BC" w:rsidP="00EB59ED">
            <w:pPr>
              <w:pStyle w:val="TableHeading"/>
              <w:jc w:val="right"/>
            </w:pPr>
            <w:r w:rsidRPr="00FA689F">
              <w:t>2015</w:t>
            </w:r>
          </w:p>
        </w:tc>
        <w:tc>
          <w:tcPr>
            <w:tcW w:w="417" w:type="pct"/>
          </w:tcPr>
          <w:p w14:paraId="235F7C7C" w14:textId="77777777" w:rsidR="008C60BC" w:rsidRPr="00FA689F" w:rsidRDefault="008C60BC" w:rsidP="00EB59ED">
            <w:pPr>
              <w:pStyle w:val="TableHeading"/>
              <w:jc w:val="right"/>
            </w:pPr>
            <w:r w:rsidRPr="00FA689F">
              <w:t>2016</w:t>
            </w:r>
          </w:p>
        </w:tc>
        <w:tc>
          <w:tcPr>
            <w:tcW w:w="417" w:type="pct"/>
          </w:tcPr>
          <w:p w14:paraId="2137671B" w14:textId="77777777" w:rsidR="008C60BC" w:rsidRPr="00FA689F" w:rsidRDefault="008C60BC" w:rsidP="00EB59ED">
            <w:pPr>
              <w:pStyle w:val="TableHeading"/>
              <w:jc w:val="right"/>
            </w:pPr>
            <w:r w:rsidRPr="00FA689F">
              <w:t>2017</w:t>
            </w:r>
          </w:p>
        </w:tc>
        <w:tc>
          <w:tcPr>
            <w:tcW w:w="417" w:type="pct"/>
          </w:tcPr>
          <w:p w14:paraId="657B4A47" w14:textId="77777777" w:rsidR="008C60BC" w:rsidRPr="00FA689F" w:rsidRDefault="008C60BC" w:rsidP="00EB59ED">
            <w:pPr>
              <w:pStyle w:val="TableHeading"/>
              <w:jc w:val="right"/>
            </w:pPr>
            <w:r w:rsidRPr="00FA689F">
              <w:t>2018</w:t>
            </w:r>
          </w:p>
        </w:tc>
        <w:tc>
          <w:tcPr>
            <w:tcW w:w="417" w:type="pct"/>
          </w:tcPr>
          <w:p w14:paraId="45DD6CF8" w14:textId="77777777" w:rsidR="008C60BC" w:rsidRPr="00FA689F" w:rsidRDefault="008C60BC" w:rsidP="00EB59ED">
            <w:pPr>
              <w:pStyle w:val="TableHeading"/>
              <w:jc w:val="right"/>
            </w:pPr>
            <w:r w:rsidRPr="00FA689F">
              <w:t>2019</w:t>
            </w:r>
          </w:p>
        </w:tc>
        <w:tc>
          <w:tcPr>
            <w:tcW w:w="417" w:type="pct"/>
          </w:tcPr>
          <w:p w14:paraId="5AAA4481" w14:textId="77777777" w:rsidR="008C60BC" w:rsidRPr="00FA689F" w:rsidRDefault="008C60BC" w:rsidP="00EB59ED">
            <w:pPr>
              <w:pStyle w:val="TableHeading"/>
              <w:jc w:val="right"/>
            </w:pPr>
            <w:r w:rsidRPr="00FA689F">
              <w:t>2020</w:t>
            </w:r>
          </w:p>
        </w:tc>
      </w:tr>
      <w:tr w:rsidR="008C60BC" w:rsidRPr="00FA689F" w14:paraId="13A4AE17" w14:textId="77777777" w:rsidTr="00A82040">
        <w:tc>
          <w:tcPr>
            <w:tcW w:w="415" w:type="pct"/>
          </w:tcPr>
          <w:p w14:paraId="5BCC6DDB" w14:textId="77777777" w:rsidR="008C60BC" w:rsidRPr="00FA689F" w:rsidRDefault="008C60BC" w:rsidP="00FA689F">
            <w:pPr>
              <w:pStyle w:val="TableText"/>
            </w:pPr>
            <w:r w:rsidRPr="00FA689F">
              <w:t>CFC</w:t>
            </w:r>
          </w:p>
        </w:tc>
        <w:tc>
          <w:tcPr>
            <w:tcW w:w="416" w:type="pct"/>
          </w:tcPr>
          <w:p w14:paraId="4C9F4FA3" w14:textId="24FCC088" w:rsidR="008C60BC" w:rsidRPr="00FA689F" w:rsidRDefault="008C60BC" w:rsidP="00EB59ED">
            <w:pPr>
              <w:pStyle w:val="TableText"/>
              <w:jc w:val="right"/>
            </w:pPr>
            <w:r w:rsidRPr="00FA689F">
              <w:t>24</w:t>
            </w:r>
          </w:p>
        </w:tc>
        <w:tc>
          <w:tcPr>
            <w:tcW w:w="416" w:type="pct"/>
          </w:tcPr>
          <w:p w14:paraId="16BEFB55" w14:textId="77777777" w:rsidR="008C60BC" w:rsidRPr="00FA689F" w:rsidRDefault="008C60BC" w:rsidP="00EB59ED">
            <w:pPr>
              <w:pStyle w:val="TableText"/>
              <w:jc w:val="right"/>
            </w:pPr>
            <w:r w:rsidRPr="00FA689F">
              <w:t>30</w:t>
            </w:r>
          </w:p>
        </w:tc>
        <w:tc>
          <w:tcPr>
            <w:tcW w:w="417" w:type="pct"/>
          </w:tcPr>
          <w:p w14:paraId="37BC9A8F" w14:textId="77777777" w:rsidR="008C60BC" w:rsidRPr="00FA689F" w:rsidRDefault="008C60BC" w:rsidP="00EB59ED">
            <w:pPr>
              <w:pStyle w:val="TableText"/>
              <w:jc w:val="right"/>
            </w:pPr>
            <w:r w:rsidRPr="00FA689F">
              <w:t>15</w:t>
            </w:r>
          </w:p>
        </w:tc>
        <w:tc>
          <w:tcPr>
            <w:tcW w:w="417" w:type="pct"/>
          </w:tcPr>
          <w:p w14:paraId="59824002" w14:textId="77777777" w:rsidR="008C60BC" w:rsidRPr="00FA689F" w:rsidRDefault="008C60BC" w:rsidP="00EB59ED">
            <w:pPr>
              <w:pStyle w:val="TableText"/>
              <w:jc w:val="right"/>
            </w:pPr>
            <w:r w:rsidRPr="00FA689F">
              <w:t>7</w:t>
            </w:r>
          </w:p>
        </w:tc>
        <w:tc>
          <w:tcPr>
            <w:tcW w:w="417" w:type="pct"/>
          </w:tcPr>
          <w:p w14:paraId="74DE6151" w14:textId="77777777" w:rsidR="008C60BC" w:rsidRPr="00FA689F" w:rsidRDefault="008C60BC" w:rsidP="00EB59ED">
            <w:pPr>
              <w:pStyle w:val="TableText"/>
              <w:jc w:val="right"/>
            </w:pPr>
            <w:r w:rsidRPr="00FA689F">
              <w:t>15</w:t>
            </w:r>
          </w:p>
        </w:tc>
        <w:tc>
          <w:tcPr>
            <w:tcW w:w="417" w:type="pct"/>
          </w:tcPr>
          <w:p w14:paraId="12486367" w14:textId="77777777" w:rsidR="008C60BC" w:rsidRPr="00FA689F" w:rsidRDefault="008C60BC" w:rsidP="00EB59ED">
            <w:pPr>
              <w:pStyle w:val="TableText"/>
              <w:jc w:val="right"/>
            </w:pPr>
            <w:r w:rsidRPr="00FA689F">
              <w:t>9</w:t>
            </w:r>
          </w:p>
        </w:tc>
        <w:tc>
          <w:tcPr>
            <w:tcW w:w="417" w:type="pct"/>
          </w:tcPr>
          <w:p w14:paraId="7E1A2D5F" w14:textId="77777777" w:rsidR="008C60BC" w:rsidRPr="00FA689F" w:rsidRDefault="008C60BC" w:rsidP="00EB59ED">
            <w:pPr>
              <w:pStyle w:val="TableText"/>
              <w:jc w:val="right"/>
            </w:pPr>
            <w:r w:rsidRPr="00FA689F">
              <w:t>7</w:t>
            </w:r>
          </w:p>
        </w:tc>
        <w:tc>
          <w:tcPr>
            <w:tcW w:w="417" w:type="pct"/>
          </w:tcPr>
          <w:p w14:paraId="4D4B963D" w14:textId="77777777" w:rsidR="008C60BC" w:rsidRPr="00FA689F" w:rsidRDefault="008C60BC" w:rsidP="00EB59ED">
            <w:pPr>
              <w:pStyle w:val="TableText"/>
              <w:jc w:val="right"/>
            </w:pPr>
            <w:r w:rsidRPr="00FA689F">
              <w:t>7.5</w:t>
            </w:r>
          </w:p>
        </w:tc>
        <w:tc>
          <w:tcPr>
            <w:tcW w:w="417" w:type="pct"/>
          </w:tcPr>
          <w:p w14:paraId="67CF7E65" w14:textId="77777777" w:rsidR="008C60BC" w:rsidRPr="00FA689F" w:rsidRDefault="008C60BC" w:rsidP="00EB59ED">
            <w:pPr>
              <w:pStyle w:val="TableText"/>
              <w:jc w:val="right"/>
            </w:pPr>
            <w:r w:rsidRPr="00FA689F">
              <w:t>2.3</w:t>
            </w:r>
          </w:p>
        </w:tc>
        <w:tc>
          <w:tcPr>
            <w:tcW w:w="417" w:type="pct"/>
          </w:tcPr>
          <w:p w14:paraId="1E30D989" w14:textId="77777777" w:rsidR="008C60BC" w:rsidRPr="00FA689F" w:rsidRDefault="008C60BC" w:rsidP="00EB59ED">
            <w:pPr>
              <w:pStyle w:val="TableText"/>
              <w:jc w:val="right"/>
            </w:pPr>
            <w:r w:rsidRPr="00FA689F">
              <w:t>3</w:t>
            </w:r>
          </w:p>
        </w:tc>
        <w:tc>
          <w:tcPr>
            <w:tcW w:w="417" w:type="pct"/>
          </w:tcPr>
          <w:p w14:paraId="53162560" w14:textId="77777777" w:rsidR="008C60BC" w:rsidRPr="00FA689F" w:rsidRDefault="008C60BC" w:rsidP="00EB59ED">
            <w:pPr>
              <w:pStyle w:val="TableText"/>
              <w:jc w:val="right"/>
            </w:pPr>
            <w:r w:rsidRPr="00FA689F">
              <w:t>2.1</w:t>
            </w:r>
          </w:p>
        </w:tc>
      </w:tr>
      <w:tr w:rsidR="008C60BC" w:rsidRPr="00FA689F" w14:paraId="139745D7" w14:textId="77777777" w:rsidTr="00A82040">
        <w:tc>
          <w:tcPr>
            <w:tcW w:w="415" w:type="pct"/>
          </w:tcPr>
          <w:p w14:paraId="2FB77682" w14:textId="77777777" w:rsidR="008C60BC" w:rsidRPr="00FA689F" w:rsidRDefault="008C60BC" w:rsidP="00FA689F">
            <w:pPr>
              <w:pStyle w:val="TableText"/>
            </w:pPr>
            <w:r w:rsidRPr="00FA689F">
              <w:t>HCFC</w:t>
            </w:r>
          </w:p>
        </w:tc>
        <w:tc>
          <w:tcPr>
            <w:tcW w:w="416" w:type="pct"/>
          </w:tcPr>
          <w:p w14:paraId="2C4A1E03" w14:textId="46998E87" w:rsidR="008C60BC" w:rsidRPr="00FA689F" w:rsidRDefault="008C60BC" w:rsidP="00EB59ED">
            <w:pPr>
              <w:pStyle w:val="TableText"/>
              <w:jc w:val="right"/>
            </w:pPr>
            <w:r w:rsidRPr="00FA689F">
              <w:t>263</w:t>
            </w:r>
          </w:p>
        </w:tc>
        <w:tc>
          <w:tcPr>
            <w:tcW w:w="416" w:type="pct"/>
          </w:tcPr>
          <w:p w14:paraId="326E2930" w14:textId="77777777" w:rsidR="008C60BC" w:rsidRPr="00FA689F" w:rsidRDefault="008C60BC" w:rsidP="00EB59ED">
            <w:pPr>
              <w:pStyle w:val="TableText"/>
              <w:jc w:val="right"/>
            </w:pPr>
            <w:r w:rsidRPr="00FA689F">
              <w:t>296</w:t>
            </w:r>
          </w:p>
        </w:tc>
        <w:tc>
          <w:tcPr>
            <w:tcW w:w="417" w:type="pct"/>
          </w:tcPr>
          <w:p w14:paraId="472EF6F2" w14:textId="77777777" w:rsidR="008C60BC" w:rsidRPr="00FA689F" w:rsidRDefault="008C60BC" w:rsidP="00EB59ED">
            <w:pPr>
              <w:pStyle w:val="TableText"/>
              <w:jc w:val="right"/>
            </w:pPr>
            <w:r w:rsidRPr="00FA689F">
              <w:t>134</w:t>
            </w:r>
          </w:p>
        </w:tc>
        <w:tc>
          <w:tcPr>
            <w:tcW w:w="417" w:type="pct"/>
          </w:tcPr>
          <w:p w14:paraId="6FC479F4" w14:textId="77777777" w:rsidR="008C60BC" w:rsidRPr="00FA689F" w:rsidRDefault="008C60BC" w:rsidP="00EB59ED">
            <w:pPr>
              <w:pStyle w:val="TableText"/>
              <w:jc w:val="right"/>
            </w:pPr>
            <w:r w:rsidRPr="00FA689F">
              <w:t>37</w:t>
            </w:r>
          </w:p>
        </w:tc>
        <w:tc>
          <w:tcPr>
            <w:tcW w:w="417" w:type="pct"/>
          </w:tcPr>
          <w:p w14:paraId="5F876FE3" w14:textId="77777777" w:rsidR="008C60BC" w:rsidRPr="00FA689F" w:rsidRDefault="008C60BC" w:rsidP="00EB59ED">
            <w:pPr>
              <w:pStyle w:val="TableText"/>
              <w:jc w:val="right"/>
            </w:pPr>
            <w:r w:rsidRPr="00FA689F">
              <w:t>60</w:t>
            </w:r>
          </w:p>
        </w:tc>
        <w:tc>
          <w:tcPr>
            <w:tcW w:w="417" w:type="pct"/>
          </w:tcPr>
          <w:p w14:paraId="69DC472E" w14:textId="77777777" w:rsidR="008C60BC" w:rsidRPr="00FA689F" w:rsidRDefault="008C60BC" w:rsidP="00EB59ED">
            <w:pPr>
              <w:pStyle w:val="TableText"/>
              <w:jc w:val="right"/>
            </w:pPr>
            <w:r w:rsidRPr="00FA689F">
              <w:t>34</w:t>
            </w:r>
          </w:p>
        </w:tc>
        <w:tc>
          <w:tcPr>
            <w:tcW w:w="417" w:type="pct"/>
          </w:tcPr>
          <w:p w14:paraId="42A3A93F" w14:textId="77777777" w:rsidR="008C60BC" w:rsidRPr="00FA689F" w:rsidRDefault="008C60BC" w:rsidP="00EB59ED">
            <w:pPr>
              <w:pStyle w:val="TableText"/>
              <w:jc w:val="right"/>
            </w:pPr>
            <w:r w:rsidRPr="00FA689F">
              <w:t>31</w:t>
            </w:r>
          </w:p>
        </w:tc>
        <w:tc>
          <w:tcPr>
            <w:tcW w:w="417" w:type="pct"/>
          </w:tcPr>
          <w:p w14:paraId="1BA0A131" w14:textId="77777777" w:rsidR="008C60BC" w:rsidRPr="00FA689F" w:rsidRDefault="008C60BC" w:rsidP="00EB59ED">
            <w:pPr>
              <w:pStyle w:val="TableText"/>
              <w:jc w:val="right"/>
            </w:pPr>
            <w:r w:rsidRPr="00FA689F">
              <w:t>40</w:t>
            </w:r>
          </w:p>
        </w:tc>
        <w:tc>
          <w:tcPr>
            <w:tcW w:w="417" w:type="pct"/>
          </w:tcPr>
          <w:p w14:paraId="7C549D54" w14:textId="77777777" w:rsidR="008C60BC" w:rsidRPr="00FA689F" w:rsidRDefault="008C60BC" w:rsidP="00EB59ED">
            <w:pPr>
              <w:pStyle w:val="TableText"/>
              <w:jc w:val="right"/>
            </w:pPr>
            <w:r w:rsidRPr="00FA689F">
              <w:t>27</w:t>
            </w:r>
          </w:p>
        </w:tc>
        <w:tc>
          <w:tcPr>
            <w:tcW w:w="417" w:type="pct"/>
          </w:tcPr>
          <w:p w14:paraId="55249920" w14:textId="77777777" w:rsidR="008C60BC" w:rsidRPr="00FA689F" w:rsidRDefault="008C60BC" w:rsidP="00EB59ED">
            <w:pPr>
              <w:pStyle w:val="TableText"/>
              <w:jc w:val="right"/>
            </w:pPr>
            <w:r w:rsidRPr="00FA689F">
              <w:t>28</w:t>
            </w:r>
          </w:p>
        </w:tc>
        <w:tc>
          <w:tcPr>
            <w:tcW w:w="417" w:type="pct"/>
          </w:tcPr>
          <w:p w14:paraId="781332F8" w14:textId="77777777" w:rsidR="008C60BC" w:rsidRPr="00FA689F" w:rsidRDefault="008C60BC" w:rsidP="00EB59ED">
            <w:pPr>
              <w:pStyle w:val="TableText"/>
              <w:jc w:val="right"/>
            </w:pPr>
            <w:r w:rsidRPr="00FA689F">
              <w:t>32</w:t>
            </w:r>
          </w:p>
        </w:tc>
      </w:tr>
    </w:tbl>
    <w:p w14:paraId="610DA615" w14:textId="5F2C46B9" w:rsidR="00B86EF1" w:rsidRDefault="00B86EF1" w:rsidP="00F91834">
      <w:pPr>
        <w:pStyle w:val="Heading2"/>
        <w:numPr>
          <w:ilvl w:val="0"/>
          <w:numId w:val="0"/>
        </w:numPr>
        <w:ind w:left="720" w:hanging="720"/>
      </w:pPr>
      <w:bookmarkStart w:id="41" w:name="_Toc82789385"/>
      <w:bookmarkEnd w:id="40"/>
      <w:r>
        <w:lastRenderedPageBreak/>
        <w:t>Methyl bromide</w:t>
      </w:r>
      <w:bookmarkEnd w:id="41"/>
    </w:p>
    <w:p w14:paraId="1817F30B" w14:textId="5271566E" w:rsidR="00764D6A" w:rsidRDefault="000F701F" w:rsidP="002363FE">
      <w:pPr>
        <w:pStyle w:val="Heading3"/>
        <w:numPr>
          <w:ilvl w:val="0"/>
          <w:numId w:val="0"/>
        </w:numPr>
        <w:ind w:left="964" w:hanging="964"/>
      </w:pPr>
      <w:bookmarkStart w:id="42" w:name="_Toc82789386"/>
      <w:r>
        <w:t>Quarantine and pre-shipment uses of methyl bromide (MB)</w:t>
      </w:r>
      <w:bookmarkEnd w:id="42"/>
    </w:p>
    <w:p w14:paraId="04EE5B08" w14:textId="581C2D95" w:rsidR="00C05D3C" w:rsidRDefault="00C05D3C" w:rsidP="00C05D3C">
      <w:bookmarkStart w:id="43" w:name="_Ref445985084"/>
      <w:bookmarkStart w:id="44" w:name="_Toc409769089"/>
      <w:r w:rsidRPr="00C05D3C">
        <w:t>Quarantine and pre-shipment (QPS) uses of methyl bromide are controlled by the Montreal Protocol. However, QPS uses of methyl bromide are not subject to phase</w:t>
      </w:r>
      <w:r w:rsidR="00091005">
        <w:t>-</w:t>
      </w:r>
      <w:r w:rsidRPr="00C05D3C">
        <w:t xml:space="preserve">out </w:t>
      </w:r>
      <w:r w:rsidR="00C446ED">
        <w:t>because</w:t>
      </w:r>
      <w:r w:rsidR="00C446ED" w:rsidRPr="00C05D3C">
        <w:t xml:space="preserve"> </w:t>
      </w:r>
      <w:r w:rsidRPr="00C05D3C">
        <w:t xml:space="preserve">there is a lack of alternatives and they play an important role in preventing the spread of invasive pests and diseases and in facilitating trade. The amount of methyl bromide imported for QPS uses in Australia varies from year to year depending on growing conditions, export markets, sources of imports and pests being targeted. </w:t>
      </w:r>
      <w:r w:rsidR="003E427A">
        <w:fldChar w:fldCharType="begin"/>
      </w:r>
      <w:r w:rsidR="003E427A">
        <w:instrText xml:space="preserve"> REF _Ref80712128 \h </w:instrText>
      </w:r>
      <w:r w:rsidR="003E427A">
        <w:fldChar w:fldCharType="separate"/>
      </w:r>
      <w:r w:rsidR="003E427A">
        <w:t xml:space="preserve">Figure </w:t>
      </w:r>
      <w:r w:rsidR="003E427A">
        <w:rPr>
          <w:noProof/>
        </w:rPr>
        <w:t>5</w:t>
      </w:r>
      <w:r w:rsidR="003E427A">
        <w:fldChar w:fldCharType="end"/>
      </w:r>
      <w:r w:rsidRPr="00C05D3C">
        <w:t xml:space="preserve"> also illustrates that MB QPS imports vary on a global level from year to year and no clear trend on use is evident.</w:t>
      </w:r>
    </w:p>
    <w:p w14:paraId="643F8B46" w14:textId="274CCB79" w:rsidR="000D2584" w:rsidRPr="000D2584" w:rsidRDefault="00C05D3C" w:rsidP="000D2584">
      <w:pPr>
        <w:pStyle w:val="Caption"/>
      </w:pPr>
      <w:bookmarkStart w:id="45" w:name="_Ref80712128"/>
      <w:bookmarkStart w:id="46" w:name="_Toc82789407"/>
      <w:r>
        <w:t xml:space="preserve">Figure </w:t>
      </w:r>
      <w:fldSimple w:instr=" SEQ Figure \* ARABIC ">
        <w:r w:rsidR="00524D2C">
          <w:rPr>
            <w:noProof/>
          </w:rPr>
          <w:t>5</w:t>
        </w:r>
      </w:fldSimple>
      <w:bookmarkEnd w:id="45"/>
      <w:r>
        <w:t xml:space="preserve"> </w:t>
      </w:r>
      <w:r w:rsidR="00F41A32">
        <w:t>Australian QPS imports of methyl bromide versus global imports</w:t>
      </w:r>
      <w:r w:rsidR="003E427A">
        <w:t>,</w:t>
      </w:r>
      <w:r w:rsidR="00F41A32">
        <w:t xml:space="preserve"> 2005</w:t>
      </w:r>
      <w:r w:rsidR="003E427A">
        <w:t xml:space="preserve"> to </w:t>
      </w:r>
      <w:r w:rsidR="00F41A32">
        <w:t>2019</w:t>
      </w:r>
      <w:bookmarkEnd w:id="46"/>
    </w:p>
    <w:p w14:paraId="15D1F311" w14:textId="59030765" w:rsidR="00C05D3C" w:rsidRDefault="000D2584" w:rsidP="00C05D3C">
      <w:pPr>
        <w:rPr>
          <w:b/>
          <w:bCs/>
        </w:rPr>
      </w:pPr>
      <w:r>
        <w:rPr>
          <w:b/>
          <w:bCs/>
          <w:noProof/>
        </w:rPr>
        <w:drawing>
          <wp:inline distT="0" distB="0" distL="0" distR="0" wp14:anchorId="68011D18" wp14:editId="6D71E2FF">
            <wp:extent cx="5767070" cy="2752465"/>
            <wp:effectExtent l="0" t="0" r="5080" b="0"/>
            <wp:docPr id="16" name="Picture 16" descr="This line graph shows that the import of methyl bromide QPS imports in Australia have gradually increased over the past ten years - though the overall increase is not a substantial one.&#10;The graph also shows that Methyl bromide QPS imports vary on a global level from year to year and no clear trend on use is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line graph shows that the import of methyl bromide QPS imports in Australia have gradually increased over the past ten years - though the overall increase is not a substantial one.&#10;The graph also shows that Methyl bromide QPS imports vary on a global level from year to year and no clear trend on use is evident."/>
                    <pic:cNvPicPr>
                      <a:picLocks noChangeAspect="1" noChangeArrowheads="1"/>
                    </pic:cNvPicPr>
                  </pic:nvPicPr>
                  <pic:blipFill rotWithShape="1">
                    <a:blip r:embed="rId25">
                      <a:extLst>
                        <a:ext uri="{28A0092B-C50C-407E-A947-70E740481C1C}">
                          <a14:useLocalDpi xmlns:a14="http://schemas.microsoft.com/office/drawing/2010/main" val="0"/>
                        </a:ext>
                      </a:extLst>
                    </a:blip>
                    <a:srcRect l="9941" t="6840" r="2584" b="2448"/>
                    <a:stretch/>
                  </pic:blipFill>
                  <pic:spPr bwMode="auto">
                    <a:xfrm>
                      <a:off x="0" y="0"/>
                      <a:ext cx="5785949" cy="2761475"/>
                    </a:xfrm>
                    <a:prstGeom prst="rect">
                      <a:avLst/>
                    </a:prstGeom>
                    <a:noFill/>
                    <a:ln>
                      <a:noFill/>
                    </a:ln>
                    <a:extLst>
                      <a:ext uri="{53640926-AAD7-44D8-BBD7-CCE9431645EC}">
                        <a14:shadowObscured xmlns:a14="http://schemas.microsoft.com/office/drawing/2010/main"/>
                      </a:ext>
                    </a:extLst>
                  </pic:spPr>
                </pic:pic>
              </a:graphicData>
            </a:graphic>
          </wp:inline>
        </w:drawing>
      </w:r>
    </w:p>
    <w:p w14:paraId="1991D7DB" w14:textId="39906C8E" w:rsidR="008F1EA8" w:rsidRDefault="008F1EA8" w:rsidP="008F1EA8">
      <w:pPr>
        <w:pStyle w:val="Caption"/>
        <w:rPr>
          <w:b w:val="0"/>
          <w:bCs w:val="0"/>
        </w:rPr>
      </w:pPr>
      <w:bookmarkStart w:id="47" w:name="_Toc82789399"/>
      <w:r>
        <w:t xml:space="preserve">Table </w:t>
      </w:r>
      <w:fldSimple w:instr=" SEQ Table \* ARABIC ">
        <w:r w:rsidR="00822CB6">
          <w:rPr>
            <w:noProof/>
          </w:rPr>
          <w:t>5</w:t>
        </w:r>
      </w:fldSimple>
      <w:r>
        <w:t xml:space="preserve"> Australian QPS imports versus global imports</w:t>
      </w:r>
      <w:r w:rsidR="00476290">
        <w:t xml:space="preserve"> in </w:t>
      </w:r>
      <w:r w:rsidR="00217412">
        <w:t>metric tonnes</w:t>
      </w:r>
      <w:r w:rsidR="003E427A">
        <w:t>,</w:t>
      </w:r>
      <w:r>
        <w:t xml:space="preserve"> 2010</w:t>
      </w:r>
      <w:r w:rsidR="003E427A">
        <w:t xml:space="preserve"> to </w:t>
      </w:r>
      <w:r>
        <w:t>2019</w:t>
      </w:r>
      <w:bookmarkEnd w:id="4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83"/>
        <w:gridCol w:w="518"/>
        <w:gridCol w:w="654"/>
        <w:gridCol w:w="735"/>
        <w:gridCol w:w="735"/>
        <w:gridCol w:w="735"/>
        <w:gridCol w:w="735"/>
        <w:gridCol w:w="735"/>
        <w:gridCol w:w="735"/>
        <w:gridCol w:w="735"/>
        <w:gridCol w:w="735"/>
        <w:gridCol w:w="735"/>
      </w:tblGrid>
      <w:tr w:rsidR="004D66FB" w:rsidRPr="00C05D3C" w14:paraId="0B4B3A6B" w14:textId="77777777" w:rsidTr="004D66FB">
        <w:trPr>
          <w:cantSplit/>
          <w:tblHeader/>
        </w:trPr>
        <w:tc>
          <w:tcPr>
            <w:tcW w:w="1283" w:type="dxa"/>
          </w:tcPr>
          <w:p w14:paraId="0B12BEAF" w14:textId="536DD946" w:rsidR="004D66FB" w:rsidRPr="00C05D3C" w:rsidRDefault="004D66FB" w:rsidP="006E690F">
            <w:pPr>
              <w:pStyle w:val="TableHeading"/>
            </w:pPr>
            <w:bookmarkStart w:id="48" w:name="Title_5"/>
            <w:bookmarkEnd w:id="48"/>
            <w:r>
              <w:t>Region</w:t>
            </w:r>
          </w:p>
        </w:tc>
        <w:tc>
          <w:tcPr>
            <w:tcW w:w="518" w:type="dxa"/>
          </w:tcPr>
          <w:p w14:paraId="6E9D0040" w14:textId="77777777" w:rsidR="004D66FB" w:rsidRPr="00C05D3C" w:rsidRDefault="004D66FB" w:rsidP="00EB59ED">
            <w:pPr>
              <w:pStyle w:val="TableHeading"/>
              <w:jc w:val="right"/>
            </w:pPr>
          </w:p>
        </w:tc>
        <w:tc>
          <w:tcPr>
            <w:tcW w:w="654" w:type="dxa"/>
          </w:tcPr>
          <w:p w14:paraId="6929F60B" w14:textId="5325DD06" w:rsidR="004D66FB" w:rsidRPr="00C05D3C" w:rsidRDefault="004D66FB" w:rsidP="00EB59ED">
            <w:pPr>
              <w:pStyle w:val="TableHeading"/>
              <w:jc w:val="right"/>
            </w:pPr>
            <w:r w:rsidRPr="00C05D3C">
              <w:t>2010</w:t>
            </w:r>
          </w:p>
        </w:tc>
        <w:tc>
          <w:tcPr>
            <w:tcW w:w="735" w:type="dxa"/>
          </w:tcPr>
          <w:p w14:paraId="09D1063A" w14:textId="77777777" w:rsidR="004D66FB" w:rsidRPr="00C05D3C" w:rsidRDefault="004D66FB" w:rsidP="00EB59ED">
            <w:pPr>
              <w:pStyle w:val="TableHeading"/>
              <w:jc w:val="right"/>
            </w:pPr>
            <w:r w:rsidRPr="00C05D3C">
              <w:t>2011</w:t>
            </w:r>
          </w:p>
        </w:tc>
        <w:tc>
          <w:tcPr>
            <w:tcW w:w="735" w:type="dxa"/>
          </w:tcPr>
          <w:p w14:paraId="32E886B5" w14:textId="77777777" w:rsidR="004D66FB" w:rsidRPr="00C05D3C" w:rsidRDefault="004D66FB" w:rsidP="00EB59ED">
            <w:pPr>
              <w:pStyle w:val="TableHeading"/>
              <w:jc w:val="right"/>
            </w:pPr>
            <w:r w:rsidRPr="00C05D3C">
              <w:t>2012</w:t>
            </w:r>
          </w:p>
        </w:tc>
        <w:tc>
          <w:tcPr>
            <w:tcW w:w="735" w:type="dxa"/>
          </w:tcPr>
          <w:p w14:paraId="1D84AAF8" w14:textId="77777777" w:rsidR="004D66FB" w:rsidRPr="00C05D3C" w:rsidRDefault="004D66FB" w:rsidP="00EB59ED">
            <w:pPr>
              <w:pStyle w:val="TableHeading"/>
              <w:jc w:val="right"/>
            </w:pPr>
            <w:r w:rsidRPr="00C05D3C">
              <w:t>2013</w:t>
            </w:r>
          </w:p>
        </w:tc>
        <w:tc>
          <w:tcPr>
            <w:tcW w:w="735" w:type="dxa"/>
          </w:tcPr>
          <w:p w14:paraId="059F9E13" w14:textId="77777777" w:rsidR="004D66FB" w:rsidRPr="00C05D3C" w:rsidRDefault="004D66FB" w:rsidP="00EB59ED">
            <w:pPr>
              <w:pStyle w:val="TableHeading"/>
              <w:jc w:val="right"/>
            </w:pPr>
            <w:r w:rsidRPr="00C05D3C">
              <w:t>2014</w:t>
            </w:r>
          </w:p>
        </w:tc>
        <w:tc>
          <w:tcPr>
            <w:tcW w:w="735" w:type="dxa"/>
          </w:tcPr>
          <w:p w14:paraId="577FF84C" w14:textId="77777777" w:rsidR="004D66FB" w:rsidRPr="00C05D3C" w:rsidRDefault="004D66FB" w:rsidP="00EB59ED">
            <w:pPr>
              <w:pStyle w:val="TableHeading"/>
              <w:jc w:val="right"/>
            </w:pPr>
            <w:r w:rsidRPr="00C05D3C">
              <w:t>2015</w:t>
            </w:r>
          </w:p>
        </w:tc>
        <w:tc>
          <w:tcPr>
            <w:tcW w:w="735" w:type="dxa"/>
          </w:tcPr>
          <w:p w14:paraId="63655AB1" w14:textId="77777777" w:rsidR="004D66FB" w:rsidRPr="00C05D3C" w:rsidRDefault="004D66FB" w:rsidP="00EB59ED">
            <w:pPr>
              <w:pStyle w:val="TableHeading"/>
              <w:jc w:val="right"/>
            </w:pPr>
            <w:r w:rsidRPr="00C05D3C">
              <w:t>2016</w:t>
            </w:r>
          </w:p>
        </w:tc>
        <w:tc>
          <w:tcPr>
            <w:tcW w:w="735" w:type="dxa"/>
          </w:tcPr>
          <w:p w14:paraId="42552566" w14:textId="77777777" w:rsidR="004D66FB" w:rsidRPr="00C05D3C" w:rsidRDefault="004D66FB" w:rsidP="00EB59ED">
            <w:pPr>
              <w:pStyle w:val="TableHeading"/>
              <w:jc w:val="right"/>
            </w:pPr>
            <w:r w:rsidRPr="00C05D3C">
              <w:t>2017</w:t>
            </w:r>
          </w:p>
        </w:tc>
        <w:tc>
          <w:tcPr>
            <w:tcW w:w="735" w:type="dxa"/>
          </w:tcPr>
          <w:p w14:paraId="57887F83" w14:textId="77777777" w:rsidR="004D66FB" w:rsidRPr="00C05D3C" w:rsidRDefault="004D66FB" w:rsidP="00EB59ED">
            <w:pPr>
              <w:pStyle w:val="TableHeading"/>
              <w:jc w:val="right"/>
            </w:pPr>
            <w:r w:rsidRPr="00C05D3C">
              <w:t>2018</w:t>
            </w:r>
          </w:p>
        </w:tc>
        <w:tc>
          <w:tcPr>
            <w:tcW w:w="735" w:type="dxa"/>
          </w:tcPr>
          <w:p w14:paraId="2A90AD0B" w14:textId="77777777" w:rsidR="004D66FB" w:rsidRPr="00C05D3C" w:rsidRDefault="004D66FB" w:rsidP="00EB59ED">
            <w:pPr>
              <w:pStyle w:val="TableHeading"/>
              <w:jc w:val="right"/>
            </w:pPr>
            <w:r w:rsidRPr="00C05D3C">
              <w:t>2019</w:t>
            </w:r>
          </w:p>
        </w:tc>
      </w:tr>
      <w:tr w:rsidR="004D66FB" w:rsidRPr="00C05D3C" w14:paraId="677F212B" w14:textId="77777777" w:rsidTr="004D66FB">
        <w:tc>
          <w:tcPr>
            <w:tcW w:w="1283" w:type="dxa"/>
          </w:tcPr>
          <w:p w14:paraId="600CCFEB" w14:textId="332D2741" w:rsidR="004D66FB" w:rsidRPr="00C05D3C" w:rsidRDefault="004D66FB" w:rsidP="006E690F">
            <w:pPr>
              <w:pStyle w:val="TableText"/>
            </w:pPr>
            <w:r w:rsidRPr="00C05D3C">
              <w:t xml:space="preserve">A5 </w:t>
            </w:r>
            <w:r>
              <w:t>p</w:t>
            </w:r>
            <w:r w:rsidRPr="00C05D3C">
              <w:t>arties</w:t>
            </w:r>
          </w:p>
        </w:tc>
        <w:tc>
          <w:tcPr>
            <w:tcW w:w="518" w:type="dxa"/>
          </w:tcPr>
          <w:p w14:paraId="0C55EDAC" w14:textId="77777777" w:rsidR="004D66FB" w:rsidRPr="00C05D3C" w:rsidRDefault="004D66FB" w:rsidP="00EB59ED">
            <w:pPr>
              <w:pStyle w:val="TableText"/>
              <w:jc w:val="right"/>
            </w:pPr>
          </w:p>
        </w:tc>
        <w:tc>
          <w:tcPr>
            <w:tcW w:w="654" w:type="dxa"/>
          </w:tcPr>
          <w:p w14:paraId="66915B49" w14:textId="181F859F" w:rsidR="004D66FB" w:rsidRPr="00C05D3C" w:rsidRDefault="004D66FB" w:rsidP="00EB59ED">
            <w:pPr>
              <w:pStyle w:val="TableText"/>
              <w:jc w:val="right"/>
            </w:pPr>
            <w:r w:rsidRPr="00C05D3C">
              <w:t>5</w:t>
            </w:r>
            <w:r>
              <w:t>,</w:t>
            </w:r>
            <w:r w:rsidRPr="00C05D3C">
              <w:t>601</w:t>
            </w:r>
          </w:p>
        </w:tc>
        <w:tc>
          <w:tcPr>
            <w:tcW w:w="735" w:type="dxa"/>
          </w:tcPr>
          <w:p w14:paraId="7167F574" w14:textId="666DA7A2" w:rsidR="004D66FB" w:rsidRPr="00C05D3C" w:rsidRDefault="004D66FB" w:rsidP="00EB59ED">
            <w:pPr>
              <w:pStyle w:val="TableText"/>
              <w:jc w:val="right"/>
            </w:pPr>
            <w:r w:rsidRPr="00C05D3C">
              <w:t>5</w:t>
            </w:r>
            <w:r>
              <w:t>,</w:t>
            </w:r>
            <w:r w:rsidRPr="00C05D3C">
              <w:t>888</w:t>
            </w:r>
          </w:p>
        </w:tc>
        <w:tc>
          <w:tcPr>
            <w:tcW w:w="735" w:type="dxa"/>
          </w:tcPr>
          <w:p w14:paraId="3C405F99" w14:textId="17C4E28C" w:rsidR="004D66FB" w:rsidRPr="00C05D3C" w:rsidRDefault="004D66FB" w:rsidP="00EB59ED">
            <w:pPr>
              <w:pStyle w:val="TableText"/>
              <w:jc w:val="right"/>
            </w:pPr>
            <w:r w:rsidRPr="00C05D3C">
              <w:t>5</w:t>
            </w:r>
            <w:r>
              <w:t>,</w:t>
            </w:r>
            <w:r w:rsidRPr="00C05D3C">
              <w:t>835</w:t>
            </w:r>
          </w:p>
        </w:tc>
        <w:tc>
          <w:tcPr>
            <w:tcW w:w="735" w:type="dxa"/>
          </w:tcPr>
          <w:p w14:paraId="0CA03F2F" w14:textId="28F60C0D" w:rsidR="004D66FB" w:rsidRPr="00C05D3C" w:rsidRDefault="004D66FB" w:rsidP="00EB59ED">
            <w:pPr>
              <w:pStyle w:val="TableText"/>
              <w:jc w:val="right"/>
            </w:pPr>
            <w:r w:rsidRPr="00C05D3C">
              <w:t>5</w:t>
            </w:r>
            <w:r>
              <w:t>,</w:t>
            </w:r>
            <w:r w:rsidRPr="00C05D3C">
              <w:t>520</w:t>
            </w:r>
          </w:p>
        </w:tc>
        <w:tc>
          <w:tcPr>
            <w:tcW w:w="735" w:type="dxa"/>
          </w:tcPr>
          <w:p w14:paraId="7AA4B64D" w14:textId="0239287E" w:rsidR="004D66FB" w:rsidRPr="00C05D3C" w:rsidRDefault="004D66FB" w:rsidP="00EB59ED">
            <w:pPr>
              <w:pStyle w:val="TableText"/>
              <w:jc w:val="right"/>
            </w:pPr>
            <w:r w:rsidRPr="00C05D3C">
              <w:t>4</w:t>
            </w:r>
            <w:r>
              <w:t>,</w:t>
            </w:r>
            <w:r w:rsidRPr="00C05D3C">
              <w:t>961</w:t>
            </w:r>
          </w:p>
        </w:tc>
        <w:tc>
          <w:tcPr>
            <w:tcW w:w="735" w:type="dxa"/>
          </w:tcPr>
          <w:p w14:paraId="1BF2AC13" w14:textId="345F4D37" w:rsidR="004D66FB" w:rsidRPr="00C05D3C" w:rsidRDefault="004D66FB" w:rsidP="00EB59ED">
            <w:pPr>
              <w:pStyle w:val="TableText"/>
              <w:jc w:val="right"/>
            </w:pPr>
            <w:r w:rsidRPr="00C05D3C">
              <w:t>4</w:t>
            </w:r>
            <w:r>
              <w:t>,</w:t>
            </w:r>
            <w:r w:rsidRPr="00C05D3C">
              <w:t>686</w:t>
            </w:r>
          </w:p>
        </w:tc>
        <w:tc>
          <w:tcPr>
            <w:tcW w:w="735" w:type="dxa"/>
          </w:tcPr>
          <w:p w14:paraId="47C0115F" w14:textId="4721FD57" w:rsidR="004D66FB" w:rsidRPr="00C05D3C" w:rsidRDefault="004D66FB" w:rsidP="00EB59ED">
            <w:pPr>
              <w:pStyle w:val="TableText"/>
              <w:jc w:val="right"/>
            </w:pPr>
            <w:r w:rsidRPr="00C05D3C">
              <w:t>5</w:t>
            </w:r>
            <w:r>
              <w:t>,</w:t>
            </w:r>
            <w:r w:rsidRPr="00C05D3C">
              <w:t>867</w:t>
            </w:r>
          </w:p>
        </w:tc>
        <w:tc>
          <w:tcPr>
            <w:tcW w:w="735" w:type="dxa"/>
          </w:tcPr>
          <w:p w14:paraId="2E673364" w14:textId="32902B0F" w:rsidR="004D66FB" w:rsidRPr="00C05D3C" w:rsidRDefault="004D66FB" w:rsidP="00EB59ED">
            <w:pPr>
              <w:pStyle w:val="TableText"/>
              <w:jc w:val="right"/>
            </w:pPr>
            <w:r w:rsidRPr="00C05D3C">
              <w:t>6</w:t>
            </w:r>
            <w:r>
              <w:t>,</w:t>
            </w:r>
            <w:r w:rsidRPr="00C05D3C">
              <w:t>616</w:t>
            </w:r>
          </w:p>
        </w:tc>
        <w:tc>
          <w:tcPr>
            <w:tcW w:w="735" w:type="dxa"/>
          </w:tcPr>
          <w:p w14:paraId="482B60EA" w14:textId="5FD0AC26" w:rsidR="004D66FB" w:rsidRPr="00C05D3C" w:rsidRDefault="004D66FB" w:rsidP="00EB59ED">
            <w:pPr>
              <w:pStyle w:val="TableText"/>
              <w:jc w:val="right"/>
            </w:pPr>
            <w:r w:rsidRPr="00C05D3C">
              <w:t>6</w:t>
            </w:r>
            <w:r>
              <w:t>,</w:t>
            </w:r>
            <w:r w:rsidRPr="00C05D3C">
              <w:t>597</w:t>
            </w:r>
          </w:p>
        </w:tc>
        <w:tc>
          <w:tcPr>
            <w:tcW w:w="735" w:type="dxa"/>
          </w:tcPr>
          <w:p w14:paraId="4331C5D4" w14:textId="0BEDE433" w:rsidR="004D66FB" w:rsidRPr="00C05D3C" w:rsidRDefault="004D66FB" w:rsidP="00EB59ED">
            <w:pPr>
              <w:pStyle w:val="TableText"/>
              <w:jc w:val="right"/>
            </w:pPr>
            <w:r w:rsidRPr="00C05D3C">
              <w:t>6</w:t>
            </w:r>
            <w:r>
              <w:t>,</w:t>
            </w:r>
            <w:r w:rsidRPr="00C05D3C">
              <w:t>159</w:t>
            </w:r>
          </w:p>
        </w:tc>
      </w:tr>
      <w:tr w:rsidR="004D66FB" w:rsidRPr="00C05D3C" w14:paraId="196E7B7F" w14:textId="77777777" w:rsidTr="004D66FB">
        <w:tc>
          <w:tcPr>
            <w:tcW w:w="1283" w:type="dxa"/>
          </w:tcPr>
          <w:p w14:paraId="13284F95" w14:textId="6647C260" w:rsidR="004D66FB" w:rsidRPr="00C05D3C" w:rsidRDefault="004D66FB" w:rsidP="006E690F">
            <w:pPr>
              <w:pStyle w:val="TableText"/>
            </w:pPr>
            <w:r w:rsidRPr="00C05D3C">
              <w:t xml:space="preserve">Non-A5 </w:t>
            </w:r>
            <w:r>
              <w:t>p</w:t>
            </w:r>
            <w:r w:rsidRPr="00C05D3C">
              <w:t>arties</w:t>
            </w:r>
          </w:p>
        </w:tc>
        <w:tc>
          <w:tcPr>
            <w:tcW w:w="518" w:type="dxa"/>
          </w:tcPr>
          <w:p w14:paraId="1F0DAA80" w14:textId="77777777" w:rsidR="004D66FB" w:rsidRPr="00C05D3C" w:rsidRDefault="004D66FB" w:rsidP="00EB59ED">
            <w:pPr>
              <w:pStyle w:val="TableText"/>
              <w:jc w:val="right"/>
            </w:pPr>
          </w:p>
        </w:tc>
        <w:tc>
          <w:tcPr>
            <w:tcW w:w="654" w:type="dxa"/>
          </w:tcPr>
          <w:p w14:paraId="0C81BC42" w14:textId="578B88D8" w:rsidR="004D66FB" w:rsidRPr="00C05D3C" w:rsidRDefault="004D66FB" w:rsidP="00EB59ED">
            <w:pPr>
              <w:pStyle w:val="TableText"/>
              <w:jc w:val="right"/>
            </w:pPr>
            <w:r w:rsidRPr="00C05D3C">
              <w:t>5</w:t>
            </w:r>
            <w:r>
              <w:t>,</w:t>
            </w:r>
            <w:r w:rsidRPr="00C05D3C">
              <w:t>355</w:t>
            </w:r>
          </w:p>
        </w:tc>
        <w:tc>
          <w:tcPr>
            <w:tcW w:w="735" w:type="dxa"/>
          </w:tcPr>
          <w:p w14:paraId="681FDB22" w14:textId="438BD4C0" w:rsidR="004D66FB" w:rsidRPr="00C05D3C" w:rsidRDefault="004D66FB" w:rsidP="00EB59ED">
            <w:pPr>
              <w:pStyle w:val="TableText"/>
              <w:jc w:val="right"/>
            </w:pPr>
            <w:r w:rsidRPr="00C05D3C">
              <w:t>3</w:t>
            </w:r>
            <w:r>
              <w:t>,</w:t>
            </w:r>
            <w:r w:rsidRPr="00C05D3C">
              <w:t>812</w:t>
            </w:r>
          </w:p>
        </w:tc>
        <w:tc>
          <w:tcPr>
            <w:tcW w:w="735" w:type="dxa"/>
          </w:tcPr>
          <w:p w14:paraId="2926992B" w14:textId="7733CF86" w:rsidR="004D66FB" w:rsidRPr="00C05D3C" w:rsidRDefault="004D66FB" w:rsidP="00EB59ED">
            <w:pPr>
              <w:pStyle w:val="TableText"/>
              <w:jc w:val="right"/>
            </w:pPr>
            <w:r w:rsidRPr="00C05D3C">
              <w:t>3</w:t>
            </w:r>
            <w:r>
              <w:t>,</w:t>
            </w:r>
            <w:r w:rsidRPr="00C05D3C">
              <w:t>025</w:t>
            </w:r>
          </w:p>
        </w:tc>
        <w:tc>
          <w:tcPr>
            <w:tcW w:w="735" w:type="dxa"/>
          </w:tcPr>
          <w:p w14:paraId="48CEDD17" w14:textId="19AD5080" w:rsidR="004D66FB" w:rsidRPr="00C05D3C" w:rsidRDefault="004D66FB" w:rsidP="00EB59ED">
            <w:pPr>
              <w:pStyle w:val="TableText"/>
              <w:jc w:val="right"/>
            </w:pPr>
            <w:r w:rsidRPr="00C05D3C">
              <w:t>4</w:t>
            </w:r>
            <w:r>
              <w:t>,</w:t>
            </w:r>
            <w:r w:rsidRPr="00C05D3C">
              <w:t>307</w:t>
            </w:r>
          </w:p>
        </w:tc>
        <w:tc>
          <w:tcPr>
            <w:tcW w:w="735" w:type="dxa"/>
          </w:tcPr>
          <w:p w14:paraId="4304865C" w14:textId="65D30E1D" w:rsidR="004D66FB" w:rsidRPr="00C05D3C" w:rsidRDefault="004D66FB" w:rsidP="00EB59ED">
            <w:pPr>
              <w:pStyle w:val="TableText"/>
              <w:jc w:val="right"/>
            </w:pPr>
            <w:r w:rsidRPr="00C05D3C">
              <w:t>6</w:t>
            </w:r>
            <w:r>
              <w:t>,</w:t>
            </w:r>
            <w:r w:rsidRPr="00C05D3C">
              <w:t>165</w:t>
            </w:r>
          </w:p>
        </w:tc>
        <w:tc>
          <w:tcPr>
            <w:tcW w:w="735" w:type="dxa"/>
          </w:tcPr>
          <w:p w14:paraId="1FA34A72" w14:textId="6CD14C0C" w:rsidR="004D66FB" w:rsidRPr="00C05D3C" w:rsidRDefault="004D66FB" w:rsidP="00EB59ED">
            <w:pPr>
              <w:pStyle w:val="TableText"/>
              <w:jc w:val="right"/>
            </w:pPr>
            <w:r w:rsidRPr="00C05D3C">
              <w:t>3</w:t>
            </w:r>
            <w:r>
              <w:t>,</w:t>
            </w:r>
            <w:r w:rsidRPr="00C05D3C">
              <w:t>488</w:t>
            </w:r>
          </w:p>
        </w:tc>
        <w:tc>
          <w:tcPr>
            <w:tcW w:w="735" w:type="dxa"/>
          </w:tcPr>
          <w:p w14:paraId="566BB4C7" w14:textId="7E00BB95" w:rsidR="004D66FB" w:rsidRPr="00C05D3C" w:rsidRDefault="004D66FB" w:rsidP="00EB59ED">
            <w:pPr>
              <w:pStyle w:val="TableText"/>
              <w:jc w:val="right"/>
            </w:pPr>
            <w:r w:rsidRPr="00C05D3C">
              <w:t>2</w:t>
            </w:r>
            <w:r>
              <w:t>,</w:t>
            </w:r>
            <w:r w:rsidRPr="00C05D3C">
              <w:t>483</w:t>
            </w:r>
          </w:p>
        </w:tc>
        <w:tc>
          <w:tcPr>
            <w:tcW w:w="735" w:type="dxa"/>
          </w:tcPr>
          <w:p w14:paraId="7D032D6D" w14:textId="7D29402E" w:rsidR="004D66FB" w:rsidRPr="00C05D3C" w:rsidRDefault="004D66FB" w:rsidP="00EB59ED">
            <w:pPr>
              <w:pStyle w:val="TableText"/>
              <w:jc w:val="right"/>
            </w:pPr>
            <w:r w:rsidRPr="00C05D3C">
              <w:t>3</w:t>
            </w:r>
            <w:r>
              <w:t>,</w:t>
            </w:r>
            <w:r w:rsidRPr="00C05D3C">
              <w:t>337</w:t>
            </w:r>
          </w:p>
        </w:tc>
        <w:tc>
          <w:tcPr>
            <w:tcW w:w="735" w:type="dxa"/>
          </w:tcPr>
          <w:p w14:paraId="7DF2A774" w14:textId="63691581" w:rsidR="004D66FB" w:rsidRPr="00C05D3C" w:rsidRDefault="004D66FB" w:rsidP="00EB59ED">
            <w:pPr>
              <w:pStyle w:val="TableText"/>
              <w:jc w:val="right"/>
            </w:pPr>
            <w:r w:rsidRPr="00C05D3C">
              <w:t>4</w:t>
            </w:r>
            <w:r>
              <w:t>,</w:t>
            </w:r>
            <w:r w:rsidRPr="00C05D3C">
              <w:t>493</w:t>
            </w:r>
          </w:p>
        </w:tc>
        <w:tc>
          <w:tcPr>
            <w:tcW w:w="735" w:type="dxa"/>
          </w:tcPr>
          <w:p w14:paraId="610F0CE4" w14:textId="516ADEB0" w:rsidR="004D66FB" w:rsidRPr="00C05D3C" w:rsidRDefault="004D66FB" w:rsidP="00EB59ED">
            <w:pPr>
              <w:pStyle w:val="TableText"/>
              <w:jc w:val="right"/>
            </w:pPr>
            <w:r w:rsidRPr="00C05D3C">
              <w:t>2</w:t>
            </w:r>
            <w:r>
              <w:t>,</w:t>
            </w:r>
            <w:r w:rsidRPr="00C05D3C">
              <w:t>806</w:t>
            </w:r>
          </w:p>
        </w:tc>
      </w:tr>
      <w:tr w:rsidR="004D66FB" w:rsidRPr="00C05D3C" w14:paraId="5C15C56D" w14:textId="77777777" w:rsidTr="004D66FB">
        <w:tc>
          <w:tcPr>
            <w:tcW w:w="1283" w:type="dxa"/>
          </w:tcPr>
          <w:p w14:paraId="3E84637F" w14:textId="77777777" w:rsidR="004D66FB" w:rsidRPr="00C05D3C" w:rsidRDefault="004D66FB" w:rsidP="006E690F">
            <w:pPr>
              <w:pStyle w:val="TableText"/>
            </w:pPr>
            <w:r w:rsidRPr="00C05D3C">
              <w:t>Australia</w:t>
            </w:r>
          </w:p>
        </w:tc>
        <w:tc>
          <w:tcPr>
            <w:tcW w:w="518" w:type="dxa"/>
          </w:tcPr>
          <w:p w14:paraId="023AFF09" w14:textId="77777777" w:rsidR="004D66FB" w:rsidRPr="00C05D3C" w:rsidRDefault="004D66FB" w:rsidP="00EB59ED">
            <w:pPr>
              <w:pStyle w:val="TableText"/>
              <w:jc w:val="right"/>
            </w:pPr>
          </w:p>
        </w:tc>
        <w:tc>
          <w:tcPr>
            <w:tcW w:w="654" w:type="dxa"/>
          </w:tcPr>
          <w:p w14:paraId="77E9C6FD" w14:textId="6A52B6C8" w:rsidR="004D66FB" w:rsidRPr="00C05D3C" w:rsidRDefault="004D66FB" w:rsidP="00EB59ED">
            <w:pPr>
              <w:pStyle w:val="TableText"/>
              <w:jc w:val="right"/>
            </w:pPr>
            <w:r w:rsidRPr="00C05D3C">
              <w:t>472</w:t>
            </w:r>
          </w:p>
        </w:tc>
        <w:tc>
          <w:tcPr>
            <w:tcW w:w="735" w:type="dxa"/>
          </w:tcPr>
          <w:p w14:paraId="5E83DF87" w14:textId="77777777" w:rsidR="004D66FB" w:rsidRPr="00C05D3C" w:rsidRDefault="004D66FB" w:rsidP="00EB59ED">
            <w:pPr>
              <w:pStyle w:val="TableText"/>
              <w:jc w:val="right"/>
            </w:pPr>
            <w:r w:rsidRPr="00C05D3C">
              <w:t>690</w:t>
            </w:r>
          </w:p>
        </w:tc>
        <w:tc>
          <w:tcPr>
            <w:tcW w:w="735" w:type="dxa"/>
          </w:tcPr>
          <w:p w14:paraId="0423358F" w14:textId="77777777" w:rsidR="004D66FB" w:rsidRPr="00C05D3C" w:rsidRDefault="004D66FB" w:rsidP="00EB59ED">
            <w:pPr>
              <w:pStyle w:val="TableText"/>
              <w:jc w:val="right"/>
            </w:pPr>
            <w:r w:rsidRPr="00C05D3C">
              <w:t>676</w:t>
            </w:r>
          </w:p>
        </w:tc>
        <w:tc>
          <w:tcPr>
            <w:tcW w:w="735" w:type="dxa"/>
          </w:tcPr>
          <w:p w14:paraId="55CA578F" w14:textId="77777777" w:rsidR="004D66FB" w:rsidRPr="00C05D3C" w:rsidRDefault="004D66FB" w:rsidP="00EB59ED">
            <w:pPr>
              <w:pStyle w:val="TableText"/>
              <w:jc w:val="right"/>
            </w:pPr>
            <w:r w:rsidRPr="00C05D3C">
              <w:t>618</w:t>
            </w:r>
          </w:p>
        </w:tc>
        <w:tc>
          <w:tcPr>
            <w:tcW w:w="735" w:type="dxa"/>
          </w:tcPr>
          <w:p w14:paraId="4E8DF405" w14:textId="77777777" w:rsidR="004D66FB" w:rsidRPr="00C05D3C" w:rsidRDefault="004D66FB" w:rsidP="00EB59ED">
            <w:pPr>
              <w:pStyle w:val="TableText"/>
              <w:jc w:val="right"/>
            </w:pPr>
            <w:r w:rsidRPr="00C05D3C">
              <w:t>588</w:t>
            </w:r>
          </w:p>
        </w:tc>
        <w:tc>
          <w:tcPr>
            <w:tcW w:w="735" w:type="dxa"/>
          </w:tcPr>
          <w:p w14:paraId="36D75350" w14:textId="77777777" w:rsidR="004D66FB" w:rsidRPr="00C05D3C" w:rsidRDefault="004D66FB" w:rsidP="00EB59ED">
            <w:pPr>
              <w:pStyle w:val="TableText"/>
              <w:jc w:val="right"/>
            </w:pPr>
            <w:r w:rsidRPr="00C05D3C">
              <w:t>864</w:t>
            </w:r>
          </w:p>
        </w:tc>
        <w:tc>
          <w:tcPr>
            <w:tcW w:w="735" w:type="dxa"/>
          </w:tcPr>
          <w:p w14:paraId="7DA3E253" w14:textId="77777777" w:rsidR="004D66FB" w:rsidRPr="00C05D3C" w:rsidRDefault="004D66FB" w:rsidP="00EB59ED">
            <w:pPr>
              <w:pStyle w:val="TableText"/>
              <w:jc w:val="right"/>
            </w:pPr>
            <w:r w:rsidRPr="00C05D3C">
              <w:t>708</w:t>
            </w:r>
          </w:p>
        </w:tc>
        <w:tc>
          <w:tcPr>
            <w:tcW w:w="735" w:type="dxa"/>
          </w:tcPr>
          <w:p w14:paraId="132E882F" w14:textId="77777777" w:rsidR="004D66FB" w:rsidRPr="00C05D3C" w:rsidRDefault="004D66FB" w:rsidP="00EB59ED">
            <w:pPr>
              <w:pStyle w:val="TableText"/>
              <w:jc w:val="right"/>
            </w:pPr>
            <w:r w:rsidRPr="00C05D3C">
              <w:t>898</w:t>
            </w:r>
          </w:p>
        </w:tc>
        <w:tc>
          <w:tcPr>
            <w:tcW w:w="735" w:type="dxa"/>
          </w:tcPr>
          <w:p w14:paraId="7B2B3AA1" w14:textId="77777777" w:rsidR="004D66FB" w:rsidRPr="00C05D3C" w:rsidRDefault="004D66FB" w:rsidP="00EB59ED">
            <w:pPr>
              <w:pStyle w:val="TableText"/>
              <w:jc w:val="right"/>
            </w:pPr>
            <w:r w:rsidRPr="00C05D3C">
              <w:t>682</w:t>
            </w:r>
          </w:p>
        </w:tc>
        <w:tc>
          <w:tcPr>
            <w:tcW w:w="735" w:type="dxa"/>
          </w:tcPr>
          <w:p w14:paraId="44751E3C" w14:textId="77777777" w:rsidR="004D66FB" w:rsidRPr="00C05D3C" w:rsidRDefault="004D66FB" w:rsidP="00EB59ED">
            <w:pPr>
              <w:pStyle w:val="TableText"/>
              <w:jc w:val="right"/>
            </w:pPr>
            <w:r w:rsidRPr="00C05D3C">
              <w:t>849</w:t>
            </w:r>
          </w:p>
        </w:tc>
      </w:tr>
    </w:tbl>
    <w:p w14:paraId="0027196B" w14:textId="09017411" w:rsidR="008F1EA8" w:rsidRDefault="008F1EA8" w:rsidP="00AE1071">
      <w:pPr>
        <w:pStyle w:val="Heading3"/>
        <w:pageBreakBefore/>
        <w:numPr>
          <w:ilvl w:val="0"/>
          <w:numId w:val="0"/>
        </w:numPr>
        <w:spacing w:before="240"/>
        <w:ind w:left="964" w:hanging="964"/>
      </w:pPr>
      <w:bookmarkStart w:id="49" w:name="_Toc82789387"/>
      <w:r>
        <w:lastRenderedPageBreak/>
        <w:t>Non-</w:t>
      </w:r>
      <w:r w:rsidR="003E427A">
        <w:t>q</w:t>
      </w:r>
      <w:r>
        <w:t xml:space="preserve">uarantine and </w:t>
      </w:r>
      <w:r w:rsidR="003E427A">
        <w:t>p</w:t>
      </w:r>
      <w:r>
        <w:t>re-shipment uses of methyl bromide</w:t>
      </w:r>
      <w:bookmarkEnd w:id="49"/>
    </w:p>
    <w:p w14:paraId="7706C19C" w14:textId="65C53FFF" w:rsidR="008F1EA8" w:rsidRDefault="008F1EA8" w:rsidP="008F1EA8">
      <w:r>
        <w:t xml:space="preserve">Non-quarantine and pre-shipment uses of methyl bromide were phased out under the Montreal Protocol in developed countries (non-Article 5 parties) from 2005, except for critical uses approved by </w:t>
      </w:r>
      <w:r w:rsidR="00C446ED">
        <w:t>p</w:t>
      </w:r>
      <w:r>
        <w:t xml:space="preserve">arties to the Montreal Protocol. Australia started with </w:t>
      </w:r>
      <w:r w:rsidR="00C446ED">
        <w:t xml:space="preserve">6 </w:t>
      </w:r>
      <w:r>
        <w:t>critical uses in 2005 and by 2020 is down to one critical use for strawberry runners in Victoria. A possible alternative is being considered for registration in Australia in early 2022.</w:t>
      </w:r>
    </w:p>
    <w:p w14:paraId="4F286B0D" w14:textId="5B3509A7" w:rsidR="008F1EA8" w:rsidRDefault="008F1EA8" w:rsidP="008F1EA8">
      <w:r>
        <w:t xml:space="preserve">Australia’s critical uses of methyl bromide have been small compared </w:t>
      </w:r>
      <w:r w:rsidR="00C446ED">
        <w:t xml:space="preserve">with </w:t>
      </w:r>
      <w:r>
        <w:t>the total amount of methyl bromide sought globally through the critical use process. However, the difficulties in transitioning strawberry runners in Victoria to alternatives due to the soil type and temperatures means this use is now one of only a few remaining globally. Canada is the only other non-Article 5 country that was granted a critical use exemption in 2020, also for use on strawberry runners.</w:t>
      </w:r>
    </w:p>
    <w:p w14:paraId="530E2C77" w14:textId="4819DB39" w:rsidR="00E90765" w:rsidRDefault="008F1EA8" w:rsidP="00E90765">
      <w:pPr>
        <w:pStyle w:val="Caption"/>
      </w:pPr>
      <w:bookmarkStart w:id="50" w:name="_Toc82789408"/>
      <w:r>
        <w:t xml:space="preserve">Figure </w:t>
      </w:r>
      <w:fldSimple w:instr=" SEQ Figure \* ARABIC ">
        <w:r w:rsidR="00524D2C">
          <w:rPr>
            <w:noProof/>
          </w:rPr>
          <w:t>6</w:t>
        </w:r>
      </w:fldSimple>
      <w:r>
        <w:t xml:space="preserve"> Australian non-QPS methyl bromide imports v</w:t>
      </w:r>
      <w:r w:rsidR="00C446ED">
        <w:t>ersu</w:t>
      </w:r>
      <w:r>
        <w:t>s all non</w:t>
      </w:r>
      <w:r w:rsidR="00C446ED">
        <w:t>-</w:t>
      </w:r>
      <w:r>
        <w:t>A5 imports</w:t>
      </w:r>
      <w:r w:rsidR="00C446ED">
        <w:t>,</w:t>
      </w:r>
      <w:r>
        <w:t xml:space="preserve"> 2011</w:t>
      </w:r>
      <w:r w:rsidR="00C446ED">
        <w:t xml:space="preserve"> to </w:t>
      </w:r>
      <w:r>
        <w:t>2020</w:t>
      </w:r>
      <w:bookmarkEnd w:id="50"/>
    </w:p>
    <w:p w14:paraId="7FD3B46A" w14:textId="2443AB45" w:rsidR="008F1EA8" w:rsidRDefault="0078428F" w:rsidP="008F1EA8">
      <w:r>
        <w:rPr>
          <w:noProof/>
        </w:rPr>
        <w:drawing>
          <wp:inline distT="0" distB="0" distL="0" distR="0" wp14:anchorId="637AA1CF" wp14:editId="621BDD30">
            <wp:extent cx="5734050" cy="3026859"/>
            <wp:effectExtent l="0" t="0" r="0" b="2540"/>
            <wp:docPr id="22" name="Picture 22" descr="This graph shows Australian non-quarantine and preshipment uses of methyl bromide for the period 2011-2020 compared to other developed countries. Australian uses are very low, and uses by other developed countries have also sharply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 shows Australian non-quarantine and preshipment uses of methyl bromide for the period 2011-2020 compared to other developed countries. Australian uses are very low, and uses by other developed countries have also sharply reduc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332" t="7440" r="3162" b="2381"/>
                    <a:stretch/>
                  </pic:blipFill>
                  <pic:spPr bwMode="auto">
                    <a:xfrm>
                      <a:off x="0" y="0"/>
                      <a:ext cx="5739474" cy="3029722"/>
                    </a:xfrm>
                    <a:prstGeom prst="rect">
                      <a:avLst/>
                    </a:prstGeom>
                    <a:noFill/>
                    <a:ln>
                      <a:noFill/>
                    </a:ln>
                    <a:extLst>
                      <a:ext uri="{53640926-AAD7-44D8-BBD7-CCE9431645EC}">
                        <a14:shadowObscured xmlns:a14="http://schemas.microsoft.com/office/drawing/2010/main"/>
                      </a:ext>
                    </a:extLst>
                  </pic:spPr>
                </pic:pic>
              </a:graphicData>
            </a:graphic>
          </wp:inline>
        </w:drawing>
      </w:r>
    </w:p>
    <w:p w14:paraId="7B5D50F9" w14:textId="4C3677CD" w:rsidR="008F1EA8" w:rsidRDefault="008F1EA8" w:rsidP="008F1EA8">
      <w:pPr>
        <w:pStyle w:val="Caption"/>
      </w:pPr>
      <w:bookmarkStart w:id="51" w:name="_Toc82789400"/>
      <w:r>
        <w:t xml:space="preserve">Table </w:t>
      </w:r>
      <w:fldSimple w:instr=" SEQ Table \* ARABIC ">
        <w:r w:rsidR="00822CB6">
          <w:rPr>
            <w:noProof/>
          </w:rPr>
          <w:t>6</w:t>
        </w:r>
      </w:fldSimple>
      <w:r>
        <w:t xml:space="preserve"> Australian non-QPS methyl bromide v</w:t>
      </w:r>
      <w:r w:rsidR="00C446ED">
        <w:t>ersu</w:t>
      </w:r>
      <w:r>
        <w:t>s global non</w:t>
      </w:r>
      <w:r w:rsidR="00F37C4F">
        <w:t>-</w:t>
      </w:r>
      <w:r>
        <w:t>A5 imports</w:t>
      </w:r>
      <w:r w:rsidR="00766DBD" w:rsidRPr="00766DBD">
        <w:t xml:space="preserve"> </w:t>
      </w:r>
      <w:r w:rsidR="00766DBD">
        <w:t>in metric tonnes</w:t>
      </w:r>
      <w:r w:rsidR="00C446ED">
        <w:t>,</w:t>
      </w:r>
      <w:r>
        <w:t xml:space="preserve"> 2011</w:t>
      </w:r>
      <w:r w:rsidR="00C446ED">
        <w:t xml:space="preserve"> to </w:t>
      </w:r>
      <w:r>
        <w:t>2020</w:t>
      </w:r>
      <w:bookmarkEnd w:id="5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3"/>
        <w:gridCol w:w="654"/>
        <w:gridCol w:w="778"/>
        <w:gridCol w:w="767"/>
        <w:gridCol w:w="767"/>
        <w:gridCol w:w="767"/>
        <w:gridCol w:w="767"/>
        <w:gridCol w:w="767"/>
        <w:gridCol w:w="767"/>
        <w:gridCol w:w="767"/>
        <w:gridCol w:w="766"/>
      </w:tblGrid>
      <w:tr w:rsidR="008F1EA8" w:rsidRPr="008F1EA8" w14:paraId="52107F8E" w14:textId="77777777" w:rsidTr="00B137E7">
        <w:trPr>
          <w:cantSplit/>
          <w:tblHeader/>
        </w:trPr>
        <w:tc>
          <w:tcPr>
            <w:tcW w:w="828" w:type="pct"/>
          </w:tcPr>
          <w:p w14:paraId="3ACB935E" w14:textId="20321CE2" w:rsidR="008F1EA8" w:rsidRPr="008F1EA8" w:rsidRDefault="00C446ED" w:rsidP="008F1EA8">
            <w:pPr>
              <w:pStyle w:val="TableHeading"/>
            </w:pPr>
            <w:bookmarkStart w:id="52" w:name="Title_6"/>
            <w:bookmarkEnd w:id="52"/>
            <w:r>
              <w:t>Region</w:t>
            </w:r>
          </w:p>
        </w:tc>
        <w:tc>
          <w:tcPr>
            <w:tcW w:w="360" w:type="pct"/>
          </w:tcPr>
          <w:p w14:paraId="2EE15378" w14:textId="77777777" w:rsidR="008F1EA8" w:rsidRPr="008F1EA8" w:rsidRDefault="008F1EA8" w:rsidP="00EB59ED">
            <w:pPr>
              <w:pStyle w:val="TableHeading"/>
              <w:jc w:val="right"/>
            </w:pPr>
            <w:r w:rsidRPr="008F1EA8">
              <w:t>2011</w:t>
            </w:r>
          </w:p>
        </w:tc>
        <w:tc>
          <w:tcPr>
            <w:tcW w:w="429" w:type="pct"/>
          </w:tcPr>
          <w:p w14:paraId="154BDFAA" w14:textId="77777777" w:rsidR="008F1EA8" w:rsidRPr="008F1EA8" w:rsidRDefault="008F1EA8" w:rsidP="00EB59ED">
            <w:pPr>
              <w:pStyle w:val="TableHeading"/>
              <w:jc w:val="right"/>
            </w:pPr>
            <w:r w:rsidRPr="008F1EA8">
              <w:t>2012</w:t>
            </w:r>
          </w:p>
        </w:tc>
        <w:tc>
          <w:tcPr>
            <w:tcW w:w="423" w:type="pct"/>
          </w:tcPr>
          <w:p w14:paraId="1AD031A9" w14:textId="77777777" w:rsidR="008F1EA8" w:rsidRPr="008F1EA8" w:rsidRDefault="008F1EA8" w:rsidP="00EB59ED">
            <w:pPr>
              <w:pStyle w:val="TableHeading"/>
              <w:jc w:val="right"/>
            </w:pPr>
            <w:r w:rsidRPr="008F1EA8">
              <w:t>2013</w:t>
            </w:r>
          </w:p>
        </w:tc>
        <w:tc>
          <w:tcPr>
            <w:tcW w:w="423" w:type="pct"/>
          </w:tcPr>
          <w:p w14:paraId="400DDD03" w14:textId="77777777" w:rsidR="008F1EA8" w:rsidRPr="008F1EA8" w:rsidRDefault="008F1EA8" w:rsidP="00EB59ED">
            <w:pPr>
              <w:pStyle w:val="TableHeading"/>
              <w:jc w:val="right"/>
            </w:pPr>
            <w:r w:rsidRPr="008F1EA8">
              <w:t>2014</w:t>
            </w:r>
          </w:p>
        </w:tc>
        <w:tc>
          <w:tcPr>
            <w:tcW w:w="423" w:type="pct"/>
          </w:tcPr>
          <w:p w14:paraId="6EE493E7" w14:textId="77777777" w:rsidR="008F1EA8" w:rsidRPr="008F1EA8" w:rsidRDefault="008F1EA8" w:rsidP="00EB59ED">
            <w:pPr>
              <w:pStyle w:val="TableHeading"/>
              <w:jc w:val="right"/>
            </w:pPr>
            <w:r w:rsidRPr="008F1EA8">
              <w:t>2015</w:t>
            </w:r>
          </w:p>
        </w:tc>
        <w:tc>
          <w:tcPr>
            <w:tcW w:w="423" w:type="pct"/>
          </w:tcPr>
          <w:p w14:paraId="520B00A0" w14:textId="77777777" w:rsidR="008F1EA8" w:rsidRPr="008F1EA8" w:rsidRDefault="008F1EA8" w:rsidP="00EB59ED">
            <w:pPr>
              <w:pStyle w:val="TableHeading"/>
              <w:jc w:val="right"/>
            </w:pPr>
            <w:r w:rsidRPr="008F1EA8">
              <w:t>2016</w:t>
            </w:r>
          </w:p>
        </w:tc>
        <w:tc>
          <w:tcPr>
            <w:tcW w:w="423" w:type="pct"/>
          </w:tcPr>
          <w:p w14:paraId="0B23CFC6" w14:textId="77777777" w:rsidR="008F1EA8" w:rsidRPr="008F1EA8" w:rsidRDefault="008F1EA8" w:rsidP="00EB59ED">
            <w:pPr>
              <w:pStyle w:val="TableHeading"/>
              <w:jc w:val="right"/>
            </w:pPr>
            <w:r w:rsidRPr="008F1EA8">
              <w:t>2017</w:t>
            </w:r>
          </w:p>
        </w:tc>
        <w:tc>
          <w:tcPr>
            <w:tcW w:w="423" w:type="pct"/>
          </w:tcPr>
          <w:p w14:paraId="77E683A4" w14:textId="77777777" w:rsidR="008F1EA8" w:rsidRPr="008F1EA8" w:rsidRDefault="008F1EA8" w:rsidP="00EB59ED">
            <w:pPr>
              <w:pStyle w:val="TableHeading"/>
              <w:jc w:val="right"/>
            </w:pPr>
            <w:r w:rsidRPr="008F1EA8">
              <w:t>2018</w:t>
            </w:r>
          </w:p>
        </w:tc>
        <w:tc>
          <w:tcPr>
            <w:tcW w:w="423" w:type="pct"/>
          </w:tcPr>
          <w:p w14:paraId="61552AEE" w14:textId="77777777" w:rsidR="008F1EA8" w:rsidRPr="008F1EA8" w:rsidRDefault="008F1EA8" w:rsidP="00EB59ED">
            <w:pPr>
              <w:pStyle w:val="TableHeading"/>
              <w:jc w:val="right"/>
            </w:pPr>
            <w:r w:rsidRPr="008F1EA8">
              <w:t>2019</w:t>
            </w:r>
          </w:p>
        </w:tc>
        <w:tc>
          <w:tcPr>
            <w:tcW w:w="423" w:type="pct"/>
          </w:tcPr>
          <w:p w14:paraId="1B5CCC26" w14:textId="77777777" w:rsidR="008F1EA8" w:rsidRPr="008F1EA8" w:rsidRDefault="008F1EA8" w:rsidP="00EB59ED">
            <w:pPr>
              <w:pStyle w:val="TableHeading"/>
              <w:jc w:val="right"/>
            </w:pPr>
            <w:r w:rsidRPr="008F1EA8">
              <w:t>2020</w:t>
            </w:r>
          </w:p>
        </w:tc>
      </w:tr>
      <w:tr w:rsidR="008F1EA8" w:rsidRPr="008F1EA8" w14:paraId="218D82FC" w14:textId="77777777" w:rsidTr="00B447C8">
        <w:tc>
          <w:tcPr>
            <w:tcW w:w="828" w:type="pct"/>
          </w:tcPr>
          <w:p w14:paraId="5DFA5BCD" w14:textId="77777777" w:rsidR="008F1EA8" w:rsidRPr="008F1EA8" w:rsidRDefault="008F1EA8" w:rsidP="008F1EA8">
            <w:pPr>
              <w:pStyle w:val="TableText"/>
            </w:pPr>
            <w:r w:rsidRPr="008F1EA8">
              <w:t>Australia</w:t>
            </w:r>
          </w:p>
        </w:tc>
        <w:tc>
          <w:tcPr>
            <w:tcW w:w="360" w:type="pct"/>
          </w:tcPr>
          <w:p w14:paraId="68A0B2EB" w14:textId="77777777" w:rsidR="008F1EA8" w:rsidRPr="008F1EA8" w:rsidRDefault="008F1EA8" w:rsidP="00EB59ED">
            <w:pPr>
              <w:pStyle w:val="TableText"/>
              <w:jc w:val="right"/>
            </w:pPr>
            <w:r w:rsidRPr="008F1EA8">
              <w:t>33</w:t>
            </w:r>
          </w:p>
        </w:tc>
        <w:tc>
          <w:tcPr>
            <w:tcW w:w="429" w:type="pct"/>
          </w:tcPr>
          <w:p w14:paraId="77FCCD57" w14:textId="77777777" w:rsidR="008F1EA8" w:rsidRPr="008F1EA8" w:rsidRDefault="008F1EA8" w:rsidP="00EB59ED">
            <w:pPr>
              <w:pStyle w:val="TableText"/>
              <w:jc w:val="right"/>
            </w:pPr>
            <w:r w:rsidRPr="008F1EA8">
              <w:t>33</w:t>
            </w:r>
          </w:p>
        </w:tc>
        <w:tc>
          <w:tcPr>
            <w:tcW w:w="423" w:type="pct"/>
          </w:tcPr>
          <w:p w14:paraId="385E78FE" w14:textId="77777777" w:rsidR="008F1EA8" w:rsidRPr="008F1EA8" w:rsidRDefault="008F1EA8" w:rsidP="00EB59ED">
            <w:pPr>
              <w:pStyle w:val="TableText"/>
              <w:jc w:val="right"/>
            </w:pPr>
            <w:r w:rsidRPr="008F1EA8">
              <w:t>31</w:t>
            </w:r>
          </w:p>
        </w:tc>
        <w:tc>
          <w:tcPr>
            <w:tcW w:w="423" w:type="pct"/>
          </w:tcPr>
          <w:p w14:paraId="1B5481D1" w14:textId="77777777" w:rsidR="008F1EA8" w:rsidRPr="008F1EA8" w:rsidRDefault="008F1EA8" w:rsidP="00EB59ED">
            <w:pPr>
              <w:pStyle w:val="TableText"/>
              <w:jc w:val="right"/>
            </w:pPr>
            <w:r w:rsidRPr="008F1EA8">
              <w:t>30</w:t>
            </w:r>
          </w:p>
        </w:tc>
        <w:tc>
          <w:tcPr>
            <w:tcW w:w="423" w:type="pct"/>
          </w:tcPr>
          <w:p w14:paraId="1404E4BA" w14:textId="77777777" w:rsidR="008F1EA8" w:rsidRPr="008F1EA8" w:rsidRDefault="008F1EA8" w:rsidP="00EB59ED">
            <w:pPr>
              <w:pStyle w:val="TableText"/>
              <w:jc w:val="right"/>
            </w:pPr>
            <w:r w:rsidRPr="008F1EA8">
              <w:t>30</w:t>
            </w:r>
          </w:p>
        </w:tc>
        <w:tc>
          <w:tcPr>
            <w:tcW w:w="423" w:type="pct"/>
          </w:tcPr>
          <w:p w14:paraId="1AC77715" w14:textId="77777777" w:rsidR="008F1EA8" w:rsidRPr="008F1EA8" w:rsidRDefault="008F1EA8" w:rsidP="00EB59ED">
            <w:pPr>
              <w:pStyle w:val="TableText"/>
              <w:jc w:val="right"/>
            </w:pPr>
            <w:r w:rsidRPr="008F1EA8">
              <w:t>30</w:t>
            </w:r>
          </w:p>
        </w:tc>
        <w:tc>
          <w:tcPr>
            <w:tcW w:w="423" w:type="pct"/>
          </w:tcPr>
          <w:p w14:paraId="71302D5A" w14:textId="77777777" w:rsidR="008F1EA8" w:rsidRPr="008F1EA8" w:rsidRDefault="008F1EA8" w:rsidP="00EB59ED">
            <w:pPr>
              <w:pStyle w:val="TableText"/>
              <w:jc w:val="right"/>
            </w:pPr>
            <w:r w:rsidRPr="008F1EA8">
              <w:t>30</w:t>
            </w:r>
          </w:p>
        </w:tc>
        <w:tc>
          <w:tcPr>
            <w:tcW w:w="423" w:type="pct"/>
          </w:tcPr>
          <w:p w14:paraId="6048D5E5" w14:textId="77777777" w:rsidR="008F1EA8" w:rsidRPr="008F1EA8" w:rsidRDefault="008F1EA8" w:rsidP="00EB59ED">
            <w:pPr>
              <w:pStyle w:val="TableText"/>
              <w:jc w:val="right"/>
            </w:pPr>
            <w:r w:rsidRPr="008F1EA8">
              <w:t>30</w:t>
            </w:r>
          </w:p>
        </w:tc>
        <w:tc>
          <w:tcPr>
            <w:tcW w:w="423" w:type="pct"/>
          </w:tcPr>
          <w:p w14:paraId="6542AA4D" w14:textId="77777777" w:rsidR="008F1EA8" w:rsidRPr="008F1EA8" w:rsidRDefault="008F1EA8" w:rsidP="00EB59ED">
            <w:pPr>
              <w:pStyle w:val="TableText"/>
              <w:jc w:val="right"/>
            </w:pPr>
            <w:r w:rsidRPr="008F1EA8">
              <w:t>29</w:t>
            </w:r>
          </w:p>
        </w:tc>
        <w:tc>
          <w:tcPr>
            <w:tcW w:w="423" w:type="pct"/>
          </w:tcPr>
          <w:p w14:paraId="498C2C55" w14:textId="77777777" w:rsidR="008F1EA8" w:rsidRPr="008F1EA8" w:rsidRDefault="008F1EA8" w:rsidP="00EB59ED">
            <w:pPr>
              <w:pStyle w:val="TableText"/>
              <w:jc w:val="right"/>
            </w:pPr>
            <w:r w:rsidRPr="008F1EA8">
              <w:t>29</w:t>
            </w:r>
          </w:p>
        </w:tc>
      </w:tr>
      <w:tr w:rsidR="008F1EA8" w:rsidRPr="008F1EA8" w14:paraId="3261AC53" w14:textId="77777777" w:rsidTr="00B447C8">
        <w:tc>
          <w:tcPr>
            <w:tcW w:w="828" w:type="pct"/>
          </w:tcPr>
          <w:p w14:paraId="4CE6C9AC" w14:textId="77777777" w:rsidR="008F1EA8" w:rsidRPr="008F1EA8" w:rsidRDefault="008F1EA8" w:rsidP="008F1EA8">
            <w:pPr>
              <w:pStyle w:val="TableText"/>
            </w:pPr>
            <w:r w:rsidRPr="008F1EA8">
              <w:t>Global</w:t>
            </w:r>
          </w:p>
        </w:tc>
        <w:tc>
          <w:tcPr>
            <w:tcW w:w="360" w:type="pct"/>
          </w:tcPr>
          <w:p w14:paraId="4CD3BA4E" w14:textId="77777777" w:rsidR="008F1EA8" w:rsidRPr="008F1EA8" w:rsidRDefault="008F1EA8" w:rsidP="00EB59ED">
            <w:pPr>
              <w:pStyle w:val="TableText"/>
              <w:jc w:val="right"/>
            </w:pPr>
            <w:r w:rsidRPr="008F1EA8">
              <w:t>2,377</w:t>
            </w:r>
          </w:p>
        </w:tc>
        <w:tc>
          <w:tcPr>
            <w:tcW w:w="429" w:type="pct"/>
          </w:tcPr>
          <w:p w14:paraId="719F0E9C" w14:textId="77777777" w:rsidR="008F1EA8" w:rsidRPr="008F1EA8" w:rsidRDefault="008F1EA8" w:rsidP="00EB59ED">
            <w:pPr>
              <w:pStyle w:val="TableText"/>
              <w:jc w:val="right"/>
            </w:pPr>
            <w:r w:rsidRPr="008F1EA8">
              <w:t>1,192</w:t>
            </w:r>
          </w:p>
        </w:tc>
        <w:tc>
          <w:tcPr>
            <w:tcW w:w="423" w:type="pct"/>
          </w:tcPr>
          <w:p w14:paraId="7E00736D" w14:textId="77777777" w:rsidR="008F1EA8" w:rsidRPr="008F1EA8" w:rsidRDefault="008F1EA8" w:rsidP="00EB59ED">
            <w:pPr>
              <w:pStyle w:val="TableText"/>
              <w:jc w:val="right"/>
            </w:pPr>
            <w:r w:rsidRPr="008F1EA8">
              <w:t>616</w:t>
            </w:r>
          </w:p>
        </w:tc>
        <w:tc>
          <w:tcPr>
            <w:tcW w:w="423" w:type="pct"/>
          </w:tcPr>
          <w:p w14:paraId="72590711" w14:textId="77777777" w:rsidR="008F1EA8" w:rsidRPr="008F1EA8" w:rsidRDefault="008F1EA8" w:rsidP="00EB59ED">
            <w:pPr>
              <w:pStyle w:val="TableText"/>
              <w:jc w:val="right"/>
            </w:pPr>
            <w:r w:rsidRPr="008F1EA8">
              <w:t>484</w:t>
            </w:r>
          </w:p>
        </w:tc>
        <w:tc>
          <w:tcPr>
            <w:tcW w:w="423" w:type="pct"/>
          </w:tcPr>
          <w:p w14:paraId="5C711BB9" w14:textId="77777777" w:rsidR="008F1EA8" w:rsidRPr="008F1EA8" w:rsidRDefault="008F1EA8" w:rsidP="00EB59ED">
            <w:pPr>
              <w:pStyle w:val="TableText"/>
              <w:jc w:val="right"/>
            </w:pPr>
            <w:r w:rsidRPr="008F1EA8">
              <w:t>412</w:t>
            </w:r>
          </w:p>
        </w:tc>
        <w:tc>
          <w:tcPr>
            <w:tcW w:w="423" w:type="pct"/>
          </w:tcPr>
          <w:p w14:paraId="7A416E7B" w14:textId="77777777" w:rsidR="008F1EA8" w:rsidRPr="008F1EA8" w:rsidRDefault="008F1EA8" w:rsidP="00EB59ED">
            <w:pPr>
              <w:pStyle w:val="TableText"/>
              <w:jc w:val="right"/>
            </w:pPr>
            <w:r w:rsidRPr="008F1EA8">
              <w:t>270</w:t>
            </w:r>
          </w:p>
        </w:tc>
        <w:tc>
          <w:tcPr>
            <w:tcW w:w="423" w:type="pct"/>
          </w:tcPr>
          <w:p w14:paraId="3B386290" w14:textId="77777777" w:rsidR="008F1EA8" w:rsidRPr="008F1EA8" w:rsidRDefault="008F1EA8" w:rsidP="00EB59ED">
            <w:pPr>
              <w:pStyle w:val="TableText"/>
              <w:jc w:val="right"/>
            </w:pPr>
            <w:r w:rsidRPr="008F1EA8">
              <w:t>35</w:t>
            </w:r>
          </w:p>
        </w:tc>
        <w:tc>
          <w:tcPr>
            <w:tcW w:w="423" w:type="pct"/>
          </w:tcPr>
          <w:p w14:paraId="7D2A0E24" w14:textId="77777777" w:rsidR="008F1EA8" w:rsidRPr="008F1EA8" w:rsidRDefault="008F1EA8" w:rsidP="00EB59ED">
            <w:pPr>
              <w:pStyle w:val="TableText"/>
              <w:jc w:val="right"/>
            </w:pPr>
            <w:r w:rsidRPr="008F1EA8">
              <w:t>35</w:t>
            </w:r>
          </w:p>
        </w:tc>
        <w:tc>
          <w:tcPr>
            <w:tcW w:w="423" w:type="pct"/>
          </w:tcPr>
          <w:p w14:paraId="516D877E" w14:textId="77777777" w:rsidR="008F1EA8" w:rsidRPr="008F1EA8" w:rsidRDefault="008F1EA8" w:rsidP="00EB59ED">
            <w:pPr>
              <w:pStyle w:val="TableText"/>
              <w:jc w:val="right"/>
            </w:pPr>
            <w:r w:rsidRPr="008F1EA8">
              <w:t>34</w:t>
            </w:r>
          </w:p>
        </w:tc>
        <w:tc>
          <w:tcPr>
            <w:tcW w:w="423" w:type="pct"/>
          </w:tcPr>
          <w:p w14:paraId="71F3D5E5" w14:textId="77777777" w:rsidR="008F1EA8" w:rsidRPr="008F1EA8" w:rsidRDefault="008F1EA8" w:rsidP="00EB59ED">
            <w:pPr>
              <w:pStyle w:val="TableText"/>
              <w:jc w:val="right"/>
            </w:pPr>
            <w:r w:rsidRPr="008F1EA8">
              <w:t>34</w:t>
            </w:r>
          </w:p>
        </w:tc>
      </w:tr>
    </w:tbl>
    <w:p w14:paraId="5C442335" w14:textId="6D805056" w:rsidR="00D147E8" w:rsidRDefault="00D147E8" w:rsidP="007728E2">
      <w:pPr>
        <w:pStyle w:val="Heading2"/>
        <w:numPr>
          <w:ilvl w:val="0"/>
          <w:numId w:val="0"/>
        </w:numPr>
      </w:pPr>
      <w:bookmarkStart w:id="53" w:name="_Toc82789388"/>
      <w:r>
        <w:lastRenderedPageBreak/>
        <w:t>Imports of ozone depleting substances used as feedstock into Australia</w:t>
      </w:r>
      <w:bookmarkEnd w:id="53"/>
    </w:p>
    <w:p w14:paraId="757CB9DC" w14:textId="61988451" w:rsidR="008F1EA8" w:rsidRDefault="00D147E8" w:rsidP="00D147E8">
      <w:r>
        <w:t>Feedstock uses of ozone depleting substances are those uses of ozone depleting substances where they are transformed in a manufacturing process to another chemical. The resulting chemicals are no longer ozone depleting and are therefore not included in a country’s official consumption figures. Australia has very few feedstock uses of ozone depleting substances – and since 2005 has only imported two ozone depleting substances for feedstock uses (HCFC-123 and methyl bromide). Since 2010, HCFC-123 predominantly has been imported for feedstock use. There have been no feedstock uses reported for 2019 and 2020</w:t>
      </w:r>
      <w:r w:rsidR="007A275D">
        <w:t xml:space="preserve"> (</w:t>
      </w:r>
      <w:r w:rsidR="00247981">
        <w:fldChar w:fldCharType="begin"/>
      </w:r>
      <w:r w:rsidR="00247981">
        <w:instrText xml:space="preserve"> REF _Ref81409028 \h </w:instrText>
      </w:r>
      <w:r w:rsidR="00247981">
        <w:fldChar w:fldCharType="separate"/>
      </w:r>
      <w:r w:rsidR="00247981">
        <w:t xml:space="preserve">Figure </w:t>
      </w:r>
      <w:r w:rsidR="00247981">
        <w:rPr>
          <w:noProof/>
        </w:rPr>
        <w:t>7</w:t>
      </w:r>
      <w:r w:rsidR="00247981">
        <w:fldChar w:fldCharType="end"/>
      </w:r>
      <w:r w:rsidR="007A275D">
        <w:t>)</w:t>
      </w:r>
      <w:r>
        <w:t>.</w:t>
      </w:r>
    </w:p>
    <w:p w14:paraId="07C2D8D2" w14:textId="7C9D6C1D" w:rsidR="00122771" w:rsidRDefault="00D147E8" w:rsidP="00122771">
      <w:pPr>
        <w:pStyle w:val="Caption"/>
      </w:pPr>
      <w:bookmarkStart w:id="54" w:name="_Ref81409028"/>
      <w:bookmarkStart w:id="55" w:name="_Toc82789409"/>
      <w:bookmarkStart w:id="56" w:name="_Hlk82787618"/>
      <w:r>
        <w:t xml:space="preserve">Figure </w:t>
      </w:r>
      <w:fldSimple w:instr=" SEQ Figure \* ARABIC ">
        <w:r w:rsidR="00524D2C">
          <w:rPr>
            <w:noProof/>
          </w:rPr>
          <w:t>7</w:t>
        </w:r>
      </w:fldSimple>
      <w:bookmarkEnd w:id="54"/>
      <w:r>
        <w:t xml:space="preserve"> Australian feedstock use</w:t>
      </w:r>
      <w:r w:rsidR="008E363D">
        <w:t xml:space="preserve"> in metric tonnes</w:t>
      </w:r>
      <w:r w:rsidR="001432B6">
        <w:t>,</w:t>
      </w:r>
      <w:r>
        <w:t xml:space="preserve"> 2010</w:t>
      </w:r>
      <w:r w:rsidR="001432B6">
        <w:t xml:space="preserve"> to </w:t>
      </w:r>
      <w:r>
        <w:t>2020</w:t>
      </w:r>
      <w:bookmarkEnd w:id="55"/>
    </w:p>
    <w:p w14:paraId="7A41CCFE" w14:textId="5881D485" w:rsidR="00D147E8" w:rsidRPr="00D147E8" w:rsidRDefault="00B6320B" w:rsidP="00D147E8">
      <w:r>
        <w:rPr>
          <w:noProof/>
        </w:rPr>
        <w:drawing>
          <wp:inline distT="0" distB="0" distL="0" distR="0" wp14:anchorId="692CDA1C" wp14:editId="085F6802">
            <wp:extent cx="5737429" cy="2505075"/>
            <wp:effectExtent l="0" t="0" r="0" b="0"/>
            <wp:docPr id="21" name="Picture 21" descr="This graph shows use of ozone depleting substances as feedstock from 2010 to 2020. It shows some low amounts used for most years, but none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 shows use of ozone depleting substances as feedstock from 2010 to 2020. It shows some low amounts used for most years, but none in 2020."/>
                    <pic:cNvPicPr>
                      <a:picLocks noChangeAspect="1" noChangeArrowheads="1"/>
                    </pic:cNvPicPr>
                  </pic:nvPicPr>
                  <pic:blipFill rotWithShape="1">
                    <a:blip r:embed="rId27">
                      <a:extLst>
                        <a:ext uri="{28A0092B-C50C-407E-A947-70E740481C1C}">
                          <a14:useLocalDpi xmlns:a14="http://schemas.microsoft.com/office/drawing/2010/main" val="0"/>
                        </a:ext>
                      </a:extLst>
                    </a:blip>
                    <a:srcRect l="3964" t="6871" r="2225" b="3447"/>
                    <a:stretch/>
                  </pic:blipFill>
                  <pic:spPr bwMode="auto">
                    <a:xfrm>
                      <a:off x="0" y="0"/>
                      <a:ext cx="5743590" cy="2507765"/>
                    </a:xfrm>
                    <a:prstGeom prst="rect">
                      <a:avLst/>
                    </a:prstGeom>
                    <a:noFill/>
                    <a:ln>
                      <a:noFill/>
                    </a:ln>
                    <a:extLst>
                      <a:ext uri="{53640926-AAD7-44D8-BBD7-CCE9431645EC}">
                        <a14:shadowObscured xmlns:a14="http://schemas.microsoft.com/office/drawing/2010/main"/>
                      </a:ext>
                    </a:extLst>
                  </pic:spPr>
                </pic:pic>
              </a:graphicData>
            </a:graphic>
          </wp:inline>
        </w:drawing>
      </w:r>
    </w:p>
    <w:p w14:paraId="4C513673" w14:textId="77777777" w:rsidR="00D147E8" w:rsidRDefault="00D147E8" w:rsidP="00907054">
      <w:pPr>
        <w:pStyle w:val="Heading2"/>
        <w:numPr>
          <w:ilvl w:val="0"/>
          <w:numId w:val="0"/>
        </w:numPr>
        <w:ind w:left="720" w:hanging="720"/>
      </w:pPr>
      <w:bookmarkStart w:id="57" w:name="_Toc82789389"/>
      <w:bookmarkEnd w:id="56"/>
      <w:r>
        <w:lastRenderedPageBreak/>
        <w:t>Imports of halon in equipment</w:t>
      </w:r>
      <w:bookmarkEnd w:id="57"/>
    </w:p>
    <w:p w14:paraId="62A2B44A" w14:textId="596C13F7" w:rsidR="00D147E8" w:rsidRDefault="00D147E8" w:rsidP="00D147E8">
      <w:r>
        <w:t>The manufacture and import of new halon in bulk into developed countries has been prohibited under the Montreal Protocol since 1994 and in developing countries since 2010. Halon imports in equipment is not prohibited under the Montreal Protocol. Halon charged into new equipment is sourced from halon recovered from decommissioned equipment. This allows used halon to be retained for essential uses like fire suppression. Australia has banned the import of halon in equipment but allows an exemption for the import of halon in products where they are necessary for medical, veterinary, defence or public safety and no alternatives available.</w:t>
      </w:r>
    </w:p>
    <w:p w14:paraId="4BAC6D29" w14:textId="710469ED" w:rsidR="008F1EA8" w:rsidRDefault="000E118C" w:rsidP="00D147E8">
      <w:r>
        <w:fldChar w:fldCharType="begin"/>
      </w:r>
      <w:r>
        <w:instrText xml:space="preserve"> REF _Ref80713122 \h </w:instrText>
      </w:r>
      <w:r>
        <w:fldChar w:fldCharType="separate"/>
      </w:r>
      <w:r>
        <w:t xml:space="preserve">Figure </w:t>
      </w:r>
      <w:r>
        <w:rPr>
          <w:noProof/>
        </w:rPr>
        <w:t>8</w:t>
      </w:r>
      <w:r>
        <w:fldChar w:fldCharType="end"/>
      </w:r>
      <w:r w:rsidR="00D147E8">
        <w:t xml:space="preserve"> provides data on equipment containing halon imported since 2012, mainly for aircraft and defence uses. It is worth noting that the ozone depleting potential (ODP) value of halon</w:t>
      </w:r>
      <w:r>
        <w:t>-</w:t>
      </w:r>
      <w:r w:rsidR="00D147E8">
        <w:t>1301 is 10 (i</w:t>
      </w:r>
      <w:r>
        <w:t>.</w:t>
      </w:r>
      <w:r w:rsidR="00D147E8">
        <w:t>e. it is 10 times more potent than CFC 11 at destroying ozone in the stratosphere) and the ODP value of halon</w:t>
      </w:r>
      <w:r>
        <w:t>-</w:t>
      </w:r>
      <w:r w:rsidR="00D147E8">
        <w:t>1211 is</w:t>
      </w:r>
      <w:r>
        <w:t xml:space="preserve"> 3</w:t>
      </w:r>
      <w:r w:rsidR="00D147E8">
        <w:t>. There is an overall declining trend in the import of equipment containing halon. The amount of halon-1301 imported in 2017 was higher than usual due to the used halon imported into Australia that year being exported for reprocessing at a later time.</w:t>
      </w:r>
    </w:p>
    <w:p w14:paraId="48CFBCA3" w14:textId="03A4FFA0" w:rsidR="005A2914" w:rsidRDefault="00D147E8" w:rsidP="005A2914">
      <w:pPr>
        <w:pStyle w:val="Caption"/>
      </w:pPr>
      <w:bookmarkStart w:id="58" w:name="_Ref80713122"/>
      <w:bookmarkStart w:id="59" w:name="_Toc82789410"/>
      <w:r>
        <w:t xml:space="preserve">Figure </w:t>
      </w:r>
      <w:fldSimple w:instr=" SEQ Figure \* ARABIC ">
        <w:r w:rsidR="00524D2C">
          <w:rPr>
            <w:noProof/>
          </w:rPr>
          <w:t>8</w:t>
        </w:r>
      </w:fldSimple>
      <w:bookmarkEnd w:id="58"/>
      <w:r>
        <w:t xml:space="preserve"> Australia</w:t>
      </w:r>
      <w:r w:rsidR="000E118C">
        <w:t>’</w:t>
      </w:r>
      <w:r>
        <w:t>s imports in pre-charged equipment</w:t>
      </w:r>
      <w:r w:rsidR="007B6EF4">
        <w:t xml:space="preserve"> in ODP tonnes</w:t>
      </w:r>
      <w:r w:rsidR="000E118C">
        <w:t>,</w:t>
      </w:r>
      <w:r>
        <w:t xml:space="preserve"> 2012</w:t>
      </w:r>
      <w:r w:rsidR="000E118C">
        <w:t xml:space="preserve"> to </w:t>
      </w:r>
      <w:r>
        <w:t>2020</w:t>
      </w:r>
      <w:bookmarkEnd w:id="59"/>
    </w:p>
    <w:p w14:paraId="6B891A3E" w14:textId="4A19549C" w:rsidR="00D147E8" w:rsidRDefault="00AF4330" w:rsidP="00D147E8">
      <w:r>
        <w:rPr>
          <w:noProof/>
        </w:rPr>
        <w:drawing>
          <wp:inline distT="0" distB="0" distL="0" distR="0" wp14:anchorId="0CDC4064" wp14:editId="4C0F0F6A">
            <wp:extent cx="5345431" cy="2847975"/>
            <wp:effectExtent l="0" t="0" r="7620" b="0"/>
            <wp:docPr id="23" name="Picture 23" descr="This graph shows the amount of used halon imported in equipment into Australia for the period 2012 to 2020. the amounts vary from year to year but have been quite low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 shows the amount of used halon imported in equipment into Australia for the period 2012 to 2020. the amounts vary from year to year but have been quite low in recent years."/>
                    <pic:cNvPicPr>
                      <a:picLocks noChangeAspect="1" noChangeArrowheads="1"/>
                    </pic:cNvPicPr>
                  </pic:nvPicPr>
                  <pic:blipFill rotWithShape="1">
                    <a:blip r:embed="rId28">
                      <a:extLst>
                        <a:ext uri="{28A0092B-C50C-407E-A947-70E740481C1C}">
                          <a14:useLocalDpi xmlns:a14="http://schemas.microsoft.com/office/drawing/2010/main" val="0"/>
                        </a:ext>
                      </a:extLst>
                    </a:blip>
                    <a:srcRect l="7425" t="8711" r="12044" b="638"/>
                    <a:stretch/>
                  </pic:blipFill>
                  <pic:spPr bwMode="auto">
                    <a:xfrm>
                      <a:off x="0" y="0"/>
                      <a:ext cx="5364841" cy="2858316"/>
                    </a:xfrm>
                    <a:prstGeom prst="rect">
                      <a:avLst/>
                    </a:prstGeom>
                    <a:noFill/>
                    <a:ln>
                      <a:noFill/>
                    </a:ln>
                    <a:extLst>
                      <a:ext uri="{53640926-AAD7-44D8-BBD7-CCE9431645EC}">
                        <a14:shadowObscured xmlns:a14="http://schemas.microsoft.com/office/drawing/2010/main"/>
                      </a:ext>
                    </a:extLst>
                  </pic:spPr>
                </pic:pic>
              </a:graphicData>
            </a:graphic>
          </wp:inline>
        </w:drawing>
      </w:r>
    </w:p>
    <w:p w14:paraId="6547026D" w14:textId="60A158AB" w:rsidR="002A4D72" w:rsidRDefault="00A72F22" w:rsidP="0024464C">
      <w:pPr>
        <w:pStyle w:val="Heading2"/>
        <w:numPr>
          <w:ilvl w:val="0"/>
          <w:numId w:val="0"/>
        </w:numPr>
        <w:ind w:left="720" w:hanging="720"/>
      </w:pPr>
      <w:bookmarkStart w:id="60" w:name="_Toc82789390"/>
      <w:r>
        <w:lastRenderedPageBreak/>
        <w:t>HFCs</w:t>
      </w:r>
      <w:bookmarkEnd w:id="60"/>
    </w:p>
    <w:p w14:paraId="5B5ED5E3" w14:textId="1D6AAFE8" w:rsidR="00C9183E" w:rsidRDefault="00C9183E" w:rsidP="00C9183E">
      <w:pPr>
        <w:rPr>
          <w:lang w:eastAsia="ja-JP"/>
        </w:rPr>
      </w:pPr>
      <w:r>
        <w:rPr>
          <w:lang w:eastAsia="ja-JP"/>
        </w:rPr>
        <w:t>Australia ratified the</w:t>
      </w:r>
      <w:r w:rsidR="009622F9">
        <w:rPr>
          <w:lang w:eastAsia="ja-JP"/>
        </w:rPr>
        <w:t xml:space="preserve"> </w:t>
      </w:r>
      <w:r>
        <w:rPr>
          <w:lang w:eastAsia="ja-JP"/>
        </w:rPr>
        <w:t>Kigali Amendment in 2017. The Kigali amendment phases down hydrofluorocarbons (HFCs). The agreement mandates:</w:t>
      </w:r>
    </w:p>
    <w:p w14:paraId="60404A04" w14:textId="12ACE07F" w:rsidR="00C9183E" w:rsidRDefault="00C9183E" w:rsidP="00E06E4E">
      <w:pPr>
        <w:pStyle w:val="ListBullet"/>
        <w:rPr>
          <w:lang w:eastAsia="ja-JP"/>
        </w:rPr>
      </w:pPr>
      <w:r>
        <w:rPr>
          <w:lang w:eastAsia="ja-JP"/>
        </w:rPr>
        <w:t xml:space="preserve">an </w:t>
      </w:r>
      <w:r w:rsidRPr="005A2914">
        <w:rPr>
          <w:lang w:eastAsia="ja-JP"/>
        </w:rPr>
        <w:t>85</w:t>
      </w:r>
      <w:r w:rsidR="005A2914">
        <w:rPr>
          <w:lang w:eastAsia="ja-JP"/>
        </w:rPr>
        <w:t>%</w:t>
      </w:r>
      <w:r>
        <w:rPr>
          <w:lang w:eastAsia="ja-JP"/>
        </w:rPr>
        <w:t xml:space="preserve"> phase-down in developed countries by 2036</w:t>
      </w:r>
    </w:p>
    <w:p w14:paraId="1D647284" w14:textId="332760C4" w:rsidR="00C9183E" w:rsidRDefault="00C9183E" w:rsidP="00E06E4E">
      <w:pPr>
        <w:pStyle w:val="ListBullet"/>
        <w:rPr>
          <w:lang w:eastAsia="ja-JP"/>
        </w:rPr>
      </w:pPr>
      <w:r>
        <w:rPr>
          <w:lang w:eastAsia="ja-JP"/>
        </w:rPr>
        <w:t>an 80</w:t>
      </w:r>
      <w:r w:rsidR="005A2914">
        <w:rPr>
          <w:lang w:eastAsia="ja-JP"/>
        </w:rPr>
        <w:t xml:space="preserve">% </w:t>
      </w:r>
      <w:r>
        <w:rPr>
          <w:lang w:eastAsia="ja-JP"/>
        </w:rPr>
        <w:t>phase-down in most developing countries (including China) by 2045</w:t>
      </w:r>
    </w:p>
    <w:p w14:paraId="28D3775B" w14:textId="38A87180" w:rsidR="00972E19" w:rsidRDefault="00C9183E" w:rsidP="00E06E4E">
      <w:pPr>
        <w:pStyle w:val="ListBullet"/>
        <w:rPr>
          <w:lang w:eastAsia="ja-JP"/>
        </w:rPr>
      </w:pPr>
      <w:r>
        <w:rPr>
          <w:lang w:eastAsia="ja-JP"/>
        </w:rPr>
        <w:t>and the remaining developing countries reaching an 85</w:t>
      </w:r>
      <w:r w:rsidR="005A2914">
        <w:rPr>
          <w:lang w:eastAsia="ja-JP"/>
        </w:rPr>
        <w:t xml:space="preserve">% </w:t>
      </w:r>
      <w:r>
        <w:rPr>
          <w:lang w:eastAsia="ja-JP"/>
        </w:rPr>
        <w:t>phase-down by 2047</w:t>
      </w:r>
    </w:p>
    <w:p w14:paraId="206FB6D1" w14:textId="1F661BF7" w:rsidR="0028695F" w:rsidRDefault="0028695F" w:rsidP="00D55F68">
      <w:pPr>
        <w:pStyle w:val="Heading3"/>
        <w:numPr>
          <w:ilvl w:val="0"/>
          <w:numId w:val="0"/>
        </w:numPr>
        <w:spacing w:before="240"/>
        <w:rPr>
          <w:lang w:eastAsia="ja-JP"/>
        </w:rPr>
      </w:pPr>
      <w:bookmarkStart w:id="61" w:name="_Toc82789391"/>
      <w:r w:rsidRPr="0028695F">
        <w:rPr>
          <w:lang w:eastAsia="ja-JP"/>
        </w:rPr>
        <w:t>Bulk imports of HFCs into Australia</w:t>
      </w:r>
      <w:bookmarkEnd w:id="61"/>
    </w:p>
    <w:p w14:paraId="1D908987" w14:textId="77777777" w:rsidR="00853159" w:rsidRDefault="00853159" w:rsidP="00853159">
      <w:pPr>
        <w:rPr>
          <w:lang w:eastAsia="ja-JP"/>
        </w:rPr>
      </w:pPr>
      <w:r>
        <w:rPr>
          <w:lang w:eastAsia="ja-JP"/>
        </w:rPr>
        <w:t>The OPSGGM Act established a quota system for the import of HFCs as bulk gas. The annual import quota will gradually reduce over 18 years. The end point of the phase-down, 15% of the baseline level, will be reached on 01 January 2036.</w:t>
      </w:r>
    </w:p>
    <w:p w14:paraId="2B4B91D2" w14:textId="3F0643D1" w:rsidR="00853159" w:rsidRDefault="00853159" w:rsidP="00853159">
      <w:pPr>
        <w:rPr>
          <w:lang w:eastAsia="ja-JP"/>
        </w:rPr>
      </w:pPr>
      <w:r>
        <w:rPr>
          <w:lang w:eastAsia="ja-JP"/>
        </w:rPr>
        <w:t>Australia’s HFC phase-down started on 01 January 2018 a year earlier than Montreal Protocol controls, which commenced in 2019. Australia also started with a baseline of 8 MT CO2e-, compared to the Montreal Protocol calculated baseline of 10.8 MT CO2e-</w:t>
      </w:r>
      <w:r w:rsidR="00257BC3">
        <w:rPr>
          <w:lang w:eastAsia="ja-JP"/>
        </w:rPr>
        <w:t xml:space="preserve"> (</w:t>
      </w:r>
      <w:r w:rsidR="007E67AE">
        <w:rPr>
          <w:lang w:eastAsia="ja-JP"/>
        </w:rPr>
        <w:fldChar w:fldCharType="begin"/>
      </w:r>
      <w:r w:rsidR="007E67AE">
        <w:rPr>
          <w:lang w:eastAsia="ja-JP"/>
        </w:rPr>
        <w:instrText xml:space="preserve"> REF _Ref81409207 \h </w:instrText>
      </w:r>
      <w:r w:rsidR="007E67AE">
        <w:rPr>
          <w:lang w:eastAsia="ja-JP"/>
        </w:rPr>
      </w:r>
      <w:r w:rsidR="007E67AE">
        <w:rPr>
          <w:lang w:eastAsia="ja-JP"/>
        </w:rPr>
        <w:fldChar w:fldCharType="separate"/>
      </w:r>
      <w:r w:rsidR="007E67AE">
        <w:t xml:space="preserve">Figure </w:t>
      </w:r>
      <w:r w:rsidR="007E67AE">
        <w:rPr>
          <w:noProof/>
        </w:rPr>
        <w:t>9</w:t>
      </w:r>
      <w:r w:rsidR="007E67AE">
        <w:rPr>
          <w:lang w:eastAsia="ja-JP"/>
        </w:rPr>
        <w:fldChar w:fldCharType="end"/>
      </w:r>
      <w:r w:rsidR="007E67AE">
        <w:rPr>
          <w:lang w:eastAsia="ja-JP"/>
        </w:rPr>
        <w:t>)</w:t>
      </w:r>
      <w:r w:rsidR="002836BA">
        <w:rPr>
          <w:lang w:eastAsia="ja-JP"/>
        </w:rPr>
        <w:t>.</w:t>
      </w:r>
    </w:p>
    <w:p w14:paraId="6D2C3EC9" w14:textId="2DD6AE44" w:rsidR="00C37DAD" w:rsidRDefault="00B94B23" w:rsidP="00C37DAD">
      <w:pPr>
        <w:pStyle w:val="Caption"/>
        <w:rPr>
          <w:lang w:eastAsia="ja-JP"/>
        </w:rPr>
      </w:pPr>
      <w:bookmarkStart w:id="62" w:name="_Ref81409207"/>
      <w:bookmarkStart w:id="63" w:name="_Toc82789411"/>
      <w:r>
        <w:t xml:space="preserve">Figure </w:t>
      </w:r>
      <w:fldSimple w:instr=" SEQ Figure \* ARABIC ">
        <w:r w:rsidR="00524D2C">
          <w:rPr>
            <w:noProof/>
          </w:rPr>
          <w:t>9</w:t>
        </w:r>
      </w:fldSimple>
      <w:bookmarkEnd w:id="62"/>
      <w:r>
        <w:t xml:space="preserve"> Australia</w:t>
      </w:r>
      <w:r w:rsidR="00236554">
        <w:t>’</w:t>
      </w:r>
      <w:r>
        <w:t>s HFC phase-down schedule</w:t>
      </w:r>
      <w:r w:rsidR="005B1049">
        <w:t>, 201</w:t>
      </w:r>
      <w:r w:rsidR="0018765B">
        <w:t>8 to 2036</w:t>
      </w:r>
      <w:bookmarkEnd w:id="63"/>
    </w:p>
    <w:p w14:paraId="580A833D" w14:textId="53AE9F90" w:rsidR="0074730F" w:rsidRDefault="0074730F" w:rsidP="00853159">
      <w:pPr>
        <w:rPr>
          <w:lang w:eastAsia="ja-JP"/>
        </w:rPr>
      </w:pPr>
      <w:r>
        <w:rPr>
          <w:noProof/>
          <w:lang w:eastAsia="ja-JP"/>
        </w:rPr>
        <w:drawing>
          <wp:inline distT="0" distB="0" distL="0" distR="0" wp14:anchorId="65154667" wp14:editId="0A0BC7C8">
            <wp:extent cx="5734050" cy="3073705"/>
            <wp:effectExtent l="0" t="0" r="0" b="0"/>
            <wp:docPr id="5" name="Picture 5" descr="This line graph shows that Australia's HFC phasedown schedule starts lower and makes more gradual reductions than the Motreal Protocol phase-down requirements. It also shows that Australia's schedule reaches the end point of the phase-down in line with the Montreal Protocol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line graph shows that Australia's HFC phasedown schedule starts lower and makes more gradual reductions than the Motreal Protocol phase-down requirements. It also shows that Australia's schedule reaches the end point of the phase-down in line with the Montreal Protocol requirements."/>
                    <pic:cNvPicPr>
                      <a:picLocks noChangeAspect="1" noChangeArrowheads="1"/>
                    </pic:cNvPicPr>
                  </pic:nvPicPr>
                  <pic:blipFill rotWithShape="1">
                    <a:blip r:embed="rId29">
                      <a:extLst>
                        <a:ext uri="{28A0092B-C50C-407E-A947-70E740481C1C}">
                          <a14:useLocalDpi xmlns:a14="http://schemas.microsoft.com/office/drawing/2010/main" val="0"/>
                        </a:ext>
                      </a:extLst>
                    </a:blip>
                    <a:srcRect l="5247" t="11278" r="3182" b="8949"/>
                    <a:stretch/>
                  </pic:blipFill>
                  <pic:spPr bwMode="auto">
                    <a:xfrm>
                      <a:off x="0" y="0"/>
                      <a:ext cx="5742226" cy="3078087"/>
                    </a:xfrm>
                    <a:prstGeom prst="rect">
                      <a:avLst/>
                    </a:prstGeom>
                    <a:noFill/>
                    <a:ln>
                      <a:noFill/>
                    </a:ln>
                    <a:extLst>
                      <a:ext uri="{53640926-AAD7-44D8-BBD7-CCE9431645EC}">
                        <a14:shadowObscured xmlns:a14="http://schemas.microsoft.com/office/drawing/2010/main"/>
                      </a:ext>
                    </a:extLst>
                  </pic:spPr>
                </pic:pic>
              </a:graphicData>
            </a:graphic>
          </wp:inline>
        </w:drawing>
      </w:r>
    </w:p>
    <w:p w14:paraId="1D018407" w14:textId="227D92E6" w:rsidR="00655E2F" w:rsidRDefault="00655E2F" w:rsidP="00655E2F">
      <w:pPr>
        <w:rPr>
          <w:lang w:eastAsia="ja-JP"/>
        </w:rPr>
      </w:pPr>
      <w:r>
        <w:rPr>
          <w:lang w:eastAsia="ja-JP"/>
        </w:rPr>
        <w:t xml:space="preserve">In 2017, ahead of the implementation of the HFC phase-down in Australia, data shows </w:t>
      </w:r>
      <w:r w:rsidR="004F0DBF">
        <w:rPr>
          <w:lang w:eastAsia="ja-JP"/>
        </w:rPr>
        <w:t xml:space="preserve">a dramatic increase in the import of </w:t>
      </w:r>
      <w:r>
        <w:rPr>
          <w:lang w:eastAsia="ja-JP"/>
        </w:rPr>
        <w:t>HFC-404a</w:t>
      </w:r>
      <w:r w:rsidR="000F7296">
        <w:rPr>
          <w:lang w:eastAsia="ja-JP"/>
        </w:rPr>
        <w:t xml:space="preserve"> </w:t>
      </w:r>
      <w:r>
        <w:rPr>
          <w:lang w:eastAsia="ja-JP"/>
        </w:rPr>
        <w:t xml:space="preserve">which </w:t>
      </w:r>
      <w:r w:rsidR="0078757A">
        <w:rPr>
          <w:lang w:eastAsia="ja-JP"/>
        </w:rPr>
        <w:t>has a</w:t>
      </w:r>
      <w:r>
        <w:rPr>
          <w:lang w:eastAsia="ja-JP"/>
        </w:rPr>
        <w:t xml:space="preserve"> higher global warming potential (GWP)</w:t>
      </w:r>
      <w:r w:rsidR="0055531E">
        <w:rPr>
          <w:lang w:eastAsia="ja-JP"/>
        </w:rPr>
        <w:t xml:space="preserve"> than the </w:t>
      </w:r>
      <w:r w:rsidR="006E08B3">
        <w:rPr>
          <w:lang w:eastAsia="ja-JP"/>
        </w:rPr>
        <w:t>majority of</w:t>
      </w:r>
      <w:r w:rsidR="00C746CC">
        <w:rPr>
          <w:lang w:eastAsia="ja-JP"/>
        </w:rPr>
        <w:t xml:space="preserve"> HFC species imported into Australia</w:t>
      </w:r>
      <w:r w:rsidR="00F44CF5">
        <w:rPr>
          <w:lang w:eastAsia="ja-JP"/>
        </w:rPr>
        <w:t xml:space="preserve">. </w:t>
      </w:r>
      <w:r w:rsidR="003B23F8">
        <w:rPr>
          <w:lang w:eastAsia="ja-JP"/>
        </w:rPr>
        <w:t xml:space="preserve">Imports of </w:t>
      </w:r>
      <w:r w:rsidR="00742C1E">
        <w:rPr>
          <w:lang w:eastAsia="ja-JP"/>
        </w:rPr>
        <w:t xml:space="preserve">HFC-125, </w:t>
      </w:r>
      <w:r w:rsidR="00F44CF5">
        <w:rPr>
          <w:lang w:eastAsia="ja-JP"/>
        </w:rPr>
        <w:t>HFC-134</w:t>
      </w:r>
      <w:r w:rsidR="00144FB5">
        <w:rPr>
          <w:lang w:eastAsia="ja-JP"/>
        </w:rPr>
        <w:t>a and HFC-407c</w:t>
      </w:r>
      <w:r w:rsidR="003B23F8">
        <w:rPr>
          <w:lang w:eastAsia="ja-JP"/>
        </w:rPr>
        <w:t xml:space="preserve"> also peaked in 201</w:t>
      </w:r>
      <w:r w:rsidR="000C7EE8">
        <w:rPr>
          <w:lang w:eastAsia="ja-JP"/>
        </w:rPr>
        <w:t>7</w:t>
      </w:r>
      <w:r>
        <w:rPr>
          <w:lang w:eastAsia="ja-JP"/>
        </w:rPr>
        <w:t xml:space="preserve"> (</w:t>
      </w:r>
      <w:r w:rsidR="001B2BA3">
        <w:rPr>
          <w:lang w:eastAsia="ja-JP"/>
        </w:rPr>
        <w:fldChar w:fldCharType="begin"/>
      </w:r>
      <w:r w:rsidR="001B2BA3">
        <w:rPr>
          <w:lang w:eastAsia="ja-JP"/>
        </w:rPr>
        <w:instrText xml:space="preserve"> REF _Ref81409263 \h </w:instrText>
      </w:r>
      <w:r w:rsidR="001B2BA3">
        <w:rPr>
          <w:lang w:eastAsia="ja-JP"/>
        </w:rPr>
      </w:r>
      <w:r w:rsidR="001B2BA3">
        <w:rPr>
          <w:lang w:eastAsia="ja-JP"/>
        </w:rPr>
        <w:fldChar w:fldCharType="separate"/>
      </w:r>
      <w:r w:rsidR="001B2BA3">
        <w:t xml:space="preserve">Table </w:t>
      </w:r>
      <w:r w:rsidR="001B2BA3">
        <w:rPr>
          <w:noProof/>
        </w:rPr>
        <w:t>7</w:t>
      </w:r>
      <w:r w:rsidR="001B2BA3">
        <w:rPr>
          <w:lang w:eastAsia="ja-JP"/>
        </w:rPr>
        <w:fldChar w:fldCharType="end"/>
      </w:r>
      <w:r w:rsidR="001B2BA3">
        <w:rPr>
          <w:lang w:eastAsia="ja-JP"/>
        </w:rPr>
        <w:t xml:space="preserve"> and </w:t>
      </w:r>
      <w:r w:rsidR="001B2BA3">
        <w:rPr>
          <w:lang w:eastAsia="ja-JP"/>
        </w:rPr>
        <w:fldChar w:fldCharType="begin"/>
      </w:r>
      <w:r w:rsidR="001B2BA3">
        <w:rPr>
          <w:lang w:eastAsia="ja-JP"/>
        </w:rPr>
        <w:instrText xml:space="preserve"> REF _Ref81409289 \h </w:instrText>
      </w:r>
      <w:r w:rsidR="001B2BA3">
        <w:rPr>
          <w:lang w:eastAsia="ja-JP"/>
        </w:rPr>
      </w:r>
      <w:r w:rsidR="001B2BA3">
        <w:rPr>
          <w:lang w:eastAsia="ja-JP"/>
        </w:rPr>
        <w:fldChar w:fldCharType="separate"/>
      </w:r>
      <w:r w:rsidR="001B2BA3">
        <w:t xml:space="preserve">Figure </w:t>
      </w:r>
      <w:r w:rsidR="001B2BA3">
        <w:rPr>
          <w:noProof/>
        </w:rPr>
        <w:t>10</w:t>
      </w:r>
      <w:r w:rsidR="001B2BA3">
        <w:rPr>
          <w:lang w:eastAsia="ja-JP"/>
        </w:rPr>
        <w:fldChar w:fldCharType="end"/>
      </w:r>
      <w:r>
        <w:rPr>
          <w:lang w:eastAsia="ja-JP"/>
        </w:rPr>
        <w:t>).</w:t>
      </w:r>
    </w:p>
    <w:p w14:paraId="45015499" w14:textId="54DBD85A" w:rsidR="00655E2F" w:rsidRDefault="00655E2F" w:rsidP="00655E2F">
      <w:pPr>
        <w:rPr>
          <w:lang w:eastAsia="ja-JP"/>
        </w:rPr>
      </w:pPr>
      <w:r>
        <w:rPr>
          <w:lang w:eastAsia="ja-JP"/>
        </w:rPr>
        <w:t>Upon commencement of the HFC phase-down in 2018, importers are making adjustments to the HFC mix they are importing. HFC-32, with the lowest GWP, has seen a gradual increase in import volume between 2016 and 2020</w:t>
      </w:r>
      <w:r w:rsidR="00EA4546">
        <w:rPr>
          <w:lang w:eastAsia="ja-JP"/>
        </w:rPr>
        <w:t>,</w:t>
      </w:r>
      <w:r>
        <w:rPr>
          <w:lang w:eastAsia="ja-JP"/>
        </w:rPr>
        <w:t xml:space="preserve"> while higher GWP species are already seeing reductions in imports.</w:t>
      </w:r>
    </w:p>
    <w:p w14:paraId="1DFD84FA" w14:textId="77777777" w:rsidR="001C52C2" w:rsidRDefault="001C52C2" w:rsidP="001C52C2">
      <w:pPr>
        <w:pStyle w:val="Caption"/>
        <w:rPr>
          <w:lang w:eastAsia="ja-JP"/>
        </w:rPr>
      </w:pPr>
      <w:bookmarkStart w:id="64" w:name="_Ref81409263"/>
      <w:bookmarkStart w:id="65" w:name="_Toc82789401"/>
      <w:r>
        <w:lastRenderedPageBreak/>
        <w:t xml:space="preserve">Table </w:t>
      </w:r>
      <w:fldSimple w:instr=" SEQ Table \* ARABIC ">
        <w:r>
          <w:rPr>
            <w:noProof/>
          </w:rPr>
          <w:t>7</w:t>
        </w:r>
      </w:fldSimple>
      <w:bookmarkEnd w:id="64"/>
      <w:r>
        <w:t xml:space="preserve"> Main HFC species imported into Australia in CO2 k tonnes, 2016 to 2020</w:t>
      </w:r>
      <w:bookmarkEnd w:id="6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133"/>
        <w:gridCol w:w="1133"/>
        <w:gridCol w:w="1134"/>
        <w:gridCol w:w="1134"/>
        <w:gridCol w:w="1134"/>
        <w:gridCol w:w="1134"/>
        <w:gridCol w:w="1136"/>
        <w:gridCol w:w="1132"/>
      </w:tblGrid>
      <w:tr w:rsidR="004D66FB" w:rsidRPr="00BA5C86" w14:paraId="5739FC6A" w14:textId="77777777" w:rsidTr="004D66FB">
        <w:trPr>
          <w:cantSplit/>
          <w:tblHeader/>
        </w:trPr>
        <w:tc>
          <w:tcPr>
            <w:tcW w:w="625" w:type="pct"/>
          </w:tcPr>
          <w:p w14:paraId="21E33108" w14:textId="77777777" w:rsidR="004D66FB" w:rsidRPr="00BA5C86" w:rsidRDefault="004D66FB" w:rsidP="00DD3775">
            <w:pPr>
              <w:pStyle w:val="TableHeading"/>
              <w:rPr>
                <w:lang w:eastAsia="ja-JP"/>
              </w:rPr>
            </w:pPr>
            <w:bookmarkStart w:id="66" w:name="Title_7"/>
            <w:bookmarkEnd w:id="66"/>
            <w:r w:rsidRPr="00BA5C86">
              <w:rPr>
                <w:lang w:eastAsia="ja-JP"/>
              </w:rPr>
              <w:t>Species</w:t>
            </w:r>
          </w:p>
        </w:tc>
        <w:tc>
          <w:tcPr>
            <w:tcW w:w="625" w:type="pct"/>
          </w:tcPr>
          <w:p w14:paraId="6FC4FD20" w14:textId="77777777" w:rsidR="004D66FB" w:rsidRPr="00BA5C86" w:rsidRDefault="004D66FB" w:rsidP="007728E2">
            <w:pPr>
              <w:pStyle w:val="TableHeading"/>
              <w:jc w:val="right"/>
              <w:rPr>
                <w:lang w:eastAsia="ja-JP"/>
              </w:rPr>
            </w:pPr>
          </w:p>
        </w:tc>
        <w:tc>
          <w:tcPr>
            <w:tcW w:w="625" w:type="pct"/>
          </w:tcPr>
          <w:p w14:paraId="23DCBAF4" w14:textId="5A4A4EFC" w:rsidR="004D66FB" w:rsidRPr="00BA5C86" w:rsidRDefault="004D66FB" w:rsidP="007728E2">
            <w:pPr>
              <w:pStyle w:val="TableHeading"/>
              <w:jc w:val="right"/>
              <w:rPr>
                <w:lang w:eastAsia="ja-JP"/>
              </w:rPr>
            </w:pPr>
            <w:r w:rsidRPr="00BA5C86">
              <w:rPr>
                <w:lang w:eastAsia="ja-JP"/>
              </w:rPr>
              <w:t>GWP</w:t>
            </w:r>
          </w:p>
        </w:tc>
        <w:tc>
          <w:tcPr>
            <w:tcW w:w="625" w:type="pct"/>
          </w:tcPr>
          <w:p w14:paraId="65FCDB36" w14:textId="77777777" w:rsidR="004D66FB" w:rsidRPr="00BA5C86" w:rsidRDefault="004D66FB" w:rsidP="007728E2">
            <w:pPr>
              <w:pStyle w:val="TableHeading"/>
              <w:jc w:val="right"/>
              <w:rPr>
                <w:lang w:eastAsia="ja-JP"/>
              </w:rPr>
            </w:pPr>
            <w:r w:rsidRPr="00BA5C86">
              <w:rPr>
                <w:lang w:eastAsia="ja-JP"/>
              </w:rPr>
              <w:t>2016</w:t>
            </w:r>
          </w:p>
        </w:tc>
        <w:tc>
          <w:tcPr>
            <w:tcW w:w="625" w:type="pct"/>
          </w:tcPr>
          <w:p w14:paraId="307285C7" w14:textId="77777777" w:rsidR="004D66FB" w:rsidRPr="00BA5C86" w:rsidRDefault="004D66FB" w:rsidP="007728E2">
            <w:pPr>
              <w:pStyle w:val="TableHeading"/>
              <w:jc w:val="right"/>
              <w:rPr>
                <w:lang w:eastAsia="ja-JP"/>
              </w:rPr>
            </w:pPr>
            <w:r w:rsidRPr="00BA5C86">
              <w:rPr>
                <w:lang w:eastAsia="ja-JP"/>
              </w:rPr>
              <w:t>2017</w:t>
            </w:r>
          </w:p>
        </w:tc>
        <w:tc>
          <w:tcPr>
            <w:tcW w:w="625" w:type="pct"/>
          </w:tcPr>
          <w:p w14:paraId="3482F0FF" w14:textId="77777777" w:rsidR="004D66FB" w:rsidRPr="00BA5C86" w:rsidRDefault="004D66FB" w:rsidP="007728E2">
            <w:pPr>
              <w:pStyle w:val="TableHeading"/>
              <w:jc w:val="right"/>
              <w:rPr>
                <w:lang w:eastAsia="ja-JP"/>
              </w:rPr>
            </w:pPr>
            <w:r w:rsidRPr="00BA5C86">
              <w:rPr>
                <w:lang w:eastAsia="ja-JP"/>
              </w:rPr>
              <w:t>2018</w:t>
            </w:r>
          </w:p>
        </w:tc>
        <w:tc>
          <w:tcPr>
            <w:tcW w:w="626" w:type="pct"/>
          </w:tcPr>
          <w:p w14:paraId="1E6427FA" w14:textId="77777777" w:rsidR="004D66FB" w:rsidRPr="00BA5C86" w:rsidRDefault="004D66FB" w:rsidP="007728E2">
            <w:pPr>
              <w:pStyle w:val="TableHeading"/>
              <w:jc w:val="right"/>
              <w:rPr>
                <w:lang w:eastAsia="ja-JP"/>
              </w:rPr>
            </w:pPr>
            <w:r w:rsidRPr="00BA5C86">
              <w:rPr>
                <w:lang w:eastAsia="ja-JP"/>
              </w:rPr>
              <w:t>2019</w:t>
            </w:r>
          </w:p>
        </w:tc>
        <w:tc>
          <w:tcPr>
            <w:tcW w:w="624" w:type="pct"/>
          </w:tcPr>
          <w:p w14:paraId="035E6449" w14:textId="77777777" w:rsidR="004D66FB" w:rsidRPr="00BA5C86" w:rsidRDefault="004D66FB" w:rsidP="007728E2">
            <w:pPr>
              <w:pStyle w:val="TableHeading"/>
              <w:jc w:val="right"/>
              <w:rPr>
                <w:lang w:eastAsia="ja-JP"/>
              </w:rPr>
            </w:pPr>
            <w:r w:rsidRPr="00BA5C86">
              <w:rPr>
                <w:lang w:eastAsia="ja-JP"/>
              </w:rPr>
              <w:t>2020</w:t>
            </w:r>
          </w:p>
        </w:tc>
      </w:tr>
      <w:tr w:rsidR="004D66FB" w:rsidRPr="00BA5C86" w14:paraId="6F677A45" w14:textId="77777777" w:rsidTr="004D66FB">
        <w:tc>
          <w:tcPr>
            <w:tcW w:w="625" w:type="pct"/>
          </w:tcPr>
          <w:p w14:paraId="66955BAD" w14:textId="77777777" w:rsidR="004D66FB" w:rsidRPr="00BA5C86" w:rsidRDefault="004D66FB" w:rsidP="00DD3775">
            <w:pPr>
              <w:pStyle w:val="TableText"/>
              <w:rPr>
                <w:lang w:eastAsia="ja-JP"/>
              </w:rPr>
            </w:pPr>
            <w:r w:rsidRPr="00BA5C86">
              <w:rPr>
                <w:lang w:eastAsia="ja-JP"/>
              </w:rPr>
              <w:t>HFC-32</w:t>
            </w:r>
          </w:p>
        </w:tc>
        <w:tc>
          <w:tcPr>
            <w:tcW w:w="625" w:type="pct"/>
          </w:tcPr>
          <w:p w14:paraId="04C68265" w14:textId="77777777" w:rsidR="004D66FB" w:rsidRPr="00BA5C86" w:rsidRDefault="004D66FB" w:rsidP="007728E2">
            <w:pPr>
              <w:pStyle w:val="TableText"/>
              <w:jc w:val="right"/>
              <w:rPr>
                <w:lang w:eastAsia="ja-JP"/>
              </w:rPr>
            </w:pPr>
          </w:p>
        </w:tc>
        <w:tc>
          <w:tcPr>
            <w:tcW w:w="625" w:type="pct"/>
          </w:tcPr>
          <w:p w14:paraId="0AEAEEA4" w14:textId="732F9DD2" w:rsidR="004D66FB" w:rsidRPr="00BA5C86" w:rsidRDefault="004D66FB" w:rsidP="007728E2">
            <w:pPr>
              <w:pStyle w:val="TableText"/>
              <w:jc w:val="right"/>
              <w:rPr>
                <w:lang w:eastAsia="ja-JP"/>
              </w:rPr>
            </w:pPr>
            <w:r w:rsidRPr="00BA5C86">
              <w:rPr>
                <w:lang w:eastAsia="ja-JP"/>
              </w:rPr>
              <w:t>675</w:t>
            </w:r>
          </w:p>
        </w:tc>
        <w:tc>
          <w:tcPr>
            <w:tcW w:w="625" w:type="pct"/>
          </w:tcPr>
          <w:p w14:paraId="71D1C78B" w14:textId="77777777" w:rsidR="004D66FB" w:rsidRPr="00BA5C86" w:rsidRDefault="004D66FB" w:rsidP="007728E2">
            <w:pPr>
              <w:pStyle w:val="TableText"/>
              <w:jc w:val="right"/>
              <w:rPr>
                <w:lang w:eastAsia="ja-JP"/>
              </w:rPr>
            </w:pPr>
            <w:r w:rsidRPr="00BA5C86">
              <w:rPr>
                <w:lang w:eastAsia="ja-JP"/>
              </w:rPr>
              <w:t>17</w:t>
            </w:r>
          </w:p>
        </w:tc>
        <w:tc>
          <w:tcPr>
            <w:tcW w:w="625" w:type="pct"/>
          </w:tcPr>
          <w:p w14:paraId="17E101A8" w14:textId="77777777" w:rsidR="004D66FB" w:rsidRPr="00BA5C86" w:rsidRDefault="004D66FB" w:rsidP="007728E2">
            <w:pPr>
              <w:pStyle w:val="TableText"/>
              <w:jc w:val="right"/>
              <w:rPr>
                <w:lang w:eastAsia="ja-JP"/>
              </w:rPr>
            </w:pPr>
            <w:r w:rsidRPr="00BA5C86">
              <w:rPr>
                <w:lang w:eastAsia="ja-JP"/>
              </w:rPr>
              <w:t>22</w:t>
            </w:r>
          </w:p>
        </w:tc>
        <w:tc>
          <w:tcPr>
            <w:tcW w:w="625" w:type="pct"/>
          </w:tcPr>
          <w:p w14:paraId="2E093BB6" w14:textId="77777777" w:rsidR="004D66FB" w:rsidRPr="00BA5C86" w:rsidRDefault="004D66FB" w:rsidP="007728E2">
            <w:pPr>
              <w:pStyle w:val="TableText"/>
              <w:jc w:val="right"/>
              <w:rPr>
                <w:lang w:eastAsia="ja-JP"/>
              </w:rPr>
            </w:pPr>
            <w:r w:rsidRPr="00BA5C86">
              <w:rPr>
                <w:lang w:eastAsia="ja-JP"/>
              </w:rPr>
              <w:t>46</w:t>
            </w:r>
          </w:p>
        </w:tc>
        <w:tc>
          <w:tcPr>
            <w:tcW w:w="626" w:type="pct"/>
          </w:tcPr>
          <w:p w14:paraId="33447901" w14:textId="77777777" w:rsidR="004D66FB" w:rsidRPr="00BA5C86" w:rsidRDefault="004D66FB" w:rsidP="007728E2">
            <w:pPr>
              <w:pStyle w:val="TableText"/>
              <w:jc w:val="right"/>
              <w:rPr>
                <w:lang w:eastAsia="ja-JP"/>
              </w:rPr>
            </w:pPr>
            <w:r w:rsidRPr="00BA5C86">
              <w:rPr>
                <w:lang w:eastAsia="ja-JP"/>
              </w:rPr>
              <w:t>43</w:t>
            </w:r>
          </w:p>
        </w:tc>
        <w:tc>
          <w:tcPr>
            <w:tcW w:w="624" w:type="pct"/>
          </w:tcPr>
          <w:p w14:paraId="64E2E491" w14:textId="77777777" w:rsidR="004D66FB" w:rsidRPr="00BA5C86" w:rsidRDefault="004D66FB" w:rsidP="007728E2">
            <w:pPr>
              <w:pStyle w:val="TableText"/>
              <w:jc w:val="right"/>
              <w:rPr>
                <w:lang w:eastAsia="ja-JP"/>
              </w:rPr>
            </w:pPr>
            <w:r w:rsidRPr="00BA5C86">
              <w:rPr>
                <w:lang w:eastAsia="ja-JP"/>
              </w:rPr>
              <w:t>64</w:t>
            </w:r>
          </w:p>
        </w:tc>
      </w:tr>
      <w:tr w:rsidR="004D66FB" w:rsidRPr="00BA5C86" w14:paraId="4FEBEA59" w14:textId="77777777" w:rsidTr="004D66FB">
        <w:tc>
          <w:tcPr>
            <w:tcW w:w="625" w:type="pct"/>
          </w:tcPr>
          <w:p w14:paraId="6FCAA2F9" w14:textId="77777777" w:rsidR="004D66FB" w:rsidRPr="00BA5C86" w:rsidRDefault="004D66FB" w:rsidP="00DD3775">
            <w:pPr>
              <w:pStyle w:val="TableText"/>
              <w:rPr>
                <w:lang w:eastAsia="ja-JP"/>
              </w:rPr>
            </w:pPr>
            <w:r w:rsidRPr="00BA5C86">
              <w:rPr>
                <w:lang w:eastAsia="ja-JP"/>
              </w:rPr>
              <w:t>HFC-134a</w:t>
            </w:r>
          </w:p>
        </w:tc>
        <w:tc>
          <w:tcPr>
            <w:tcW w:w="625" w:type="pct"/>
          </w:tcPr>
          <w:p w14:paraId="619C155C" w14:textId="77777777" w:rsidR="004D66FB" w:rsidRPr="00BA5C86" w:rsidRDefault="004D66FB" w:rsidP="007728E2">
            <w:pPr>
              <w:pStyle w:val="TableText"/>
              <w:jc w:val="right"/>
              <w:rPr>
                <w:lang w:eastAsia="ja-JP"/>
              </w:rPr>
            </w:pPr>
          </w:p>
        </w:tc>
        <w:tc>
          <w:tcPr>
            <w:tcW w:w="625" w:type="pct"/>
          </w:tcPr>
          <w:p w14:paraId="4BDB18AD" w14:textId="4E850EF8"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430</w:t>
            </w:r>
          </w:p>
        </w:tc>
        <w:tc>
          <w:tcPr>
            <w:tcW w:w="625" w:type="pct"/>
          </w:tcPr>
          <w:p w14:paraId="2F4E862E" w14:textId="1A05B821"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060</w:t>
            </w:r>
          </w:p>
        </w:tc>
        <w:tc>
          <w:tcPr>
            <w:tcW w:w="625" w:type="pct"/>
          </w:tcPr>
          <w:p w14:paraId="727E6AAD" w14:textId="4EEDCF7D"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624</w:t>
            </w:r>
          </w:p>
        </w:tc>
        <w:tc>
          <w:tcPr>
            <w:tcW w:w="625" w:type="pct"/>
          </w:tcPr>
          <w:p w14:paraId="76CF5220" w14:textId="0C8BA027"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223</w:t>
            </w:r>
          </w:p>
        </w:tc>
        <w:tc>
          <w:tcPr>
            <w:tcW w:w="626" w:type="pct"/>
          </w:tcPr>
          <w:p w14:paraId="0A8E8965" w14:textId="59AA8FD4"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909</w:t>
            </w:r>
          </w:p>
        </w:tc>
        <w:tc>
          <w:tcPr>
            <w:tcW w:w="624" w:type="pct"/>
          </w:tcPr>
          <w:p w14:paraId="19398D3C" w14:textId="77777777" w:rsidR="004D66FB" w:rsidRPr="00BA5C86" w:rsidRDefault="004D66FB" w:rsidP="007728E2">
            <w:pPr>
              <w:pStyle w:val="TableText"/>
              <w:jc w:val="right"/>
              <w:rPr>
                <w:lang w:eastAsia="ja-JP"/>
              </w:rPr>
            </w:pPr>
            <w:r w:rsidRPr="00BA5C86">
              <w:rPr>
                <w:lang w:eastAsia="ja-JP"/>
              </w:rPr>
              <w:t>1,949</w:t>
            </w:r>
          </w:p>
        </w:tc>
      </w:tr>
      <w:tr w:rsidR="004D66FB" w:rsidRPr="00BA5C86" w14:paraId="43C7103F" w14:textId="77777777" w:rsidTr="004D66FB">
        <w:tc>
          <w:tcPr>
            <w:tcW w:w="625" w:type="pct"/>
          </w:tcPr>
          <w:p w14:paraId="288A30F9" w14:textId="77777777" w:rsidR="004D66FB" w:rsidRPr="00BA5C86" w:rsidRDefault="004D66FB" w:rsidP="00DD3775">
            <w:pPr>
              <w:pStyle w:val="TableText"/>
              <w:rPr>
                <w:lang w:eastAsia="ja-JP"/>
              </w:rPr>
            </w:pPr>
            <w:r w:rsidRPr="00BA5C86">
              <w:rPr>
                <w:lang w:eastAsia="ja-JP"/>
              </w:rPr>
              <w:t>HFC-407c</w:t>
            </w:r>
          </w:p>
        </w:tc>
        <w:tc>
          <w:tcPr>
            <w:tcW w:w="625" w:type="pct"/>
          </w:tcPr>
          <w:p w14:paraId="76142131" w14:textId="77777777" w:rsidR="004D66FB" w:rsidRPr="00BA5C86" w:rsidRDefault="004D66FB" w:rsidP="007728E2">
            <w:pPr>
              <w:pStyle w:val="TableText"/>
              <w:jc w:val="right"/>
              <w:rPr>
                <w:lang w:eastAsia="ja-JP"/>
              </w:rPr>
            </w:pPr>
          </w:p>
        </w:tc>
        <w:tc>
          <w:tcPr>
            <w:tcW w:w="625" w:type="pct"/>
          </w:tcPr>
          <w:p w14:paraId="588595B9" w14:textId="3BEC5F63"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774</w:t>
            </w:r>
          </w:p>
        </w:tc>
        <w:tc>
          <w:tcPr>
            <w:tcW w:w="625" w:type="pct"/>
          </w:tcPr>
          <w:p w14:paraId="17CDCF2C" w14:textId="77777777" w:rsidR="004D66FB" w:rsidRPr="00BA5C86" w:rsidRDefault="004D66FB" w:rsidP="007728E2">
            <w:pPr>
              <w:pStyle w:val="TableText"/>
              <w:jc w:val="right"/>
              <w:rPr>
                <w:lang w:eastAsia="ja-JP"/>
              </w:rPr>
            </w:pPr>
            <w:r w:rsidRPr="00BA5C86">
              <w:rPr>
                <w:lang w:eastAsia="ja-JP"/>
              </w:rPr>
              <w:t>320</w:t>
            </w:r>
          </w:p>
        </w:tc>
        <w:tc>
          <w:tcPr>
            <w:tcW w:w="625" w:type="pct"/>
          </w:tcPr>
          <w:p w14:paraId="4D919337" w14:textId="77777777" w:rsidR="004D66FB" w:rsidRPr="00BA5C86" w:rsidRDefault="004D66FB" w:rsidP="007728E2">
            <w:pPr>
              <w:pStyle w:val="TableText"/>
              <w:jc w:val="right"/>
              <w:rPr>
                <w:lang w:eastAsia="ja-JP"/>
              </w:rPr>
            </w:pPr>
            <w:r w:rsidRPr="00BA5C86">
              <w:rPr>
                <w:lang w:eastAsia="ja-JP"/>
              </w:rPr>
              <w:t>549</w:t>
            </w:r>
          </w:p>
        </w:tc>
        <w:tc>
          <w:tcPr>
            <w:tcW w:w="625" w:type="pct"/>
          </w:tcPr>
          <w:p w14:paraId="64C982B7" w14:textId="77777777" w:rsidR="004D66FB" w:rsidRPr="00BA5C86" w:rsidRDefault="004D66FB" w:rsidP="007728E2">
            <w:pPr>
              <w:pStyle w:val="TableText"/>
              <w:jc w:val="right"/>
              <w:rPr>
                <w:lang w:eastAsia="ja-JP"/>
              </w:rPr>
            </w:pPr>
            <w:r w:rsidRPr="00BA5C86">
              <w:rPr>
                <w:lang w:eastAsia="ja-JP"/>
              </w:rPr>
              <w:t>273</w:t>
            </w:r>
          </w:p>
        </w:tc>
        <w:tc>
          <w:tcPr>
            <w:tcW w:w="626" w:type="pct"/>
          </w:tcPr>
          <w:p w14:paraId="21A8893D" w14:textId="77777777" w:rsidR="004D66FB" w:rsidRPr="00BA5C86" w:rsidRDefault="004D66FB" w:rsidP="007728E2">
            <w:pPr>
              <w:pStyle w:val="TableText"/>
              <w:jc w:val="right"/>
              <w:rPr>
                <w:lang w:eastAsia="ja-JP"/>
              </w:rPr>
            </w:pPr>
            <w:r w:rsidRPr="00BA5C86">
              <w:rPr>
                <w:lang w:eastAsia="ja-JP"/>
              </w:rPr>
              <w:t>317</w:t>
            </w:r>
          </w:p>
        </w:tc>
        <w:tc>
          <w:tcPr>
            <w:tcW w:w="624" w:type="pct"/>
          </w:tcPr>
          <w:p w14:paraId="59A5AC12" w14:textId="77777777" w:rsidR="004D66FB" w:rsidRPr="00BA5C86" w:rsidRDefault="004D66FB" w:rsidP="007728E2">
            <w:pPr>
              <w:pStyle w:val="TableText"/>
              <w:jc w:val="right"/>
              <w:rPr>
                <w:lang w:eastAsia="ja-JP"/>
              </w:rPr>
            </w:pPr>
            <w:r w:rsidRPr="00BA5C86">
              <w:rPr>
                <w:lang w:eastAsia="ja-JP"/>
              </w:rPr>
              <w:t>193</w:t>
            </w:r>
          </w:p>
        </w:tc>
      </w:tr>
      <w:tr w:rsidR="004D66FB" w:rsidRPr="00BA5C86" w14:paraId="241C2234" w14:textId="77777777" w:rsidTr="004D66FB">
        <w:tc>
          <w:tcPr>
            <w:tcW w:w="625" w:type="pct"/>
          </w:tcPr>
          <w:p w14:paraId="46C71555" w14:textId="77777777" w:rsidR="004D66FB" w:rsidRPr="00BA5C86" w:rsidRDefault="004D66FB" w:rsidP="00DD3775">
            <w:pPr>
              <w:pStyle w:val="TableText"/>
              <w:rPr>
                <w:lang w:eastAsia="ja-JP"/>
              </w:rPr>
            </w:pPr>
            <w:r w:rsidRPr="00BA5C86">
              <w:rPr>
                <w:lang w:eastAsia="ja-JP"/>
              </w:rPr>
              <w:t>HFC-410a</w:t>
            </w:r>
          </w:p>
        </w:tc>
        <w:tc>
          <w:tcPr>
            <w:tcW w:w="625" w:type="pct"/>
          </w:tcPr>
          <w:p w14:paraId="28415263" w14:textId="77777777" w:rsidR="004D66FB" w:rsidRPr="00BA5C86" w:rsidRDefault="004D66FB" w:rsidP="007728E2">
            <w:pPr>
              <w:pStyle w:val="TableText"/>
              <w:jc w:val="right"/>
              <w:rPr>
                <w:lang w:eastAsia="ja-JP"/>
              </w:rPr>
            </w:pPr>
          </w:p>
        </w:tc>
        <w:tc>
          <w:tcPr>
            <w:tcW w:w="625" w:type="pct"/>
          </w:tcPr>
          <w:p w14:paraId="5E8A2C8D" w14:textId="7D4A58E5"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088</w:t>
            </w:r>
          </w:p>
        </w:tc>
        <w:tc>
          <w:tcPr>
            <w:tcW w:w="625" w:type="pct"/>
          </w:tcPr>
          <w:p w14:paraId="75DC12C8" w14:textId="68758E78"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193</w:t>
            </w:r>
          </w:p>
        </w:tc>
        <w:tc>
          <w:tcPr>
            <w:tcW w:w="625" w:type="pct"/>
          </w:tcPr>
          <w:p w14:paraId="16C982A3" w14:textId="143DC4F5"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987</w:t>
            </w:r>
          </w:p>
        </w:tc>
        <w:tc>
          <w:tcPr>
            <w:tcW w:w="625" w:type="pct"/>
          </w:tcPr>
          <w:p w14:paraId="4BA563FB" w14:textId="638BA533"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085</w:t>
            </w:r>
          </w:p>
        </w:tc>
        <w:tc>
          <w:tcPr>
            <w:tcW w:w="626" w:type="pct"/>
          </w:tcPr>
          <w:p w14:paraId="22F979F0" w14:textId="7F5C8C75"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855</w:t>
            </w:r>
          </w:p>
        </w:tc>
        <w:tc>
          <w:tcPr>
            <w:tcW w:w="624" w:type="pct"/>
          </w:tcPr>
          <w:p w14:paraId="57C7B94A" w14:textId="42C8F8D8" w:rsidR="004D66FB" w:rsidRPr="00BA5C86" w:rsidRDefault="004D66FB" w:rsidP="007728E2">
            <w:pPr>
              <w:pStyle w:val="TableText"/>
              <w:jc w:val="right"/>
              <w:rPr>
                <w:lang w:eastAsia="ja-JP"/>
              </w:rPr>
            </w:pPr>
            <w:r w:rsidRPr="00BA5C86">
              <w:rPr>
                <w:lang w:eastAsia="ja-JP"/>
              </w:rPr>
              <w:t>1</w:t>
            </w:r>
            <w:r>
              <w:rPr>
                <w:lang w:eastAsia="ja-JP"/>
              </w:rPr>
              <w:t>,</w:t>
            </w:r>
            <w:r w:rsidRPr="00BA5C86">
              <w:rPr>
                <w:lang w:eastAsia="ja-JP"/>
              </w:rPr>
              <w:t>275</w:t>
            </w:r>
          </w:p>
        </w:tc>
      </w:tr>
      <w:tr w:rsidR="004D66FB" w:rsidRPr="00BA5C86" w14:paraId="75763CCA" w14:textId="77777777" w:rsidTr="004D66FB">
        <w:tc>
          <w:tcPr>
            <w:tcW w:w="625" w:type="pct"/>
          </w:tcPr>
          <w:p w14:paraId="6658E1F5" w14:textId="77777777" w:rsidR="004D66FB" w:rsidRPr="00BA5C86" w:rsidRDefault="004D66FB" w:rsidP="00DD3775">
            <w:pPr>
              <w:pStyle w:val="TableText"/>
              <w:rPr>
                <w:lang w:eastAsia="ja-JP"/>
              </w:rPr>
            </w:pPr>
            <w:r w:rsidRPr="00BA5C86">
              <w:rPr>
                <w:lang w:eastAsia="ja-JP"/>
              </w:rPr>
              <w:t>HFC-438a</w:t>
            </w:r>
          </w:p>
        </w:tc>
        <w:tc>
          <w:tcPr>
            <w:tcW w:w="625" w:type="pct"/>
          </w:tcPr>
          <w:p w14:paraId="10A640EE" w14:textId="77777777" w:rsidR="004D66FB" w:rsidRPr="00BA5C86" w:rsidRDefault="004D66FB" w:rsidP="007728E2">
            <w:pPr>
              <w:pStyle w:val="TableText"/>
              <w:jc w:val="right"/>
              <w:rPr>
                <w:lang w:eastAsia="ja-JP"/>
              </w:rPr>
            </w:pPr>
          </w:p>
        </w:tc>
        <w:tc>
          <w:tcPr>
            <w:tcW w:w="625" w:type="pct"/>
          </w:tcPr>
          <w:p w14:paraId="7AE14F43" w14:textId="6D0269EB"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264</w:t>
            </w:r>
          </w:p>
        </w:tc>
        <w:tc>
          <w:tcPr>
            <w:tcW w:w="625" w:type="pct"/>
          </w:tcPr>
          <w:p w14:paraId="30AAC6AF" w14:textId="77777777" w:rsidR="004D66FB" w:rsidRPr="00BA5C86" w:rsidRDefault="004D66FB" w:rsidP="007728E2">
            <w:pPr>
              <w:pStyle w:val="TableText"/>
              <w:jc w:val="right"/>
              <w:rPr>
                <w:lang w:eastAsia="ja-JP"/>
              </w:rPr>
            </w:pPr>
            <w:r w:rsidRPr="00BA5C86">
              <w:rPr>
                <w:lang w:eastAsia="ja-JP"/>
              </w:rPr>
              <w:t>208</w:t>
            </w:r>
          </w:p>
        </w:tc>
        <w:tc>
          <w:tcPr>
            <w:tcW w:w="625" w:type="pct"/>
          </w:tcPr>
          <w:p w14:paraId="2294FF78" w14:textId="77777777" w:rsidR="004D66FB" w:rsidRPr="00BA5C86" w:rsidRDefault="004D66FB" w:rsidP="007728E2">
            <w:pPr>
              <w:pStyle w:val="TableText"/>
              <w:jc w:val="right"/>
              <w:rPr>
                <w:lang w:eastAsia="ja-JP"/>
              </w:rPr>
            </w:pPr>
            <w:r w:rsidRPr="00BA5C86">
              <w:rPr>
                <w:lang w:eastAsia="ja-JP"/>
              </w:rPr>
              <w:t>153</w:t>
            </w:r>
          </w:p>
        </w:tc>
        <w:tc>
          <w:tcPr>
            <w:tcW w:w="625" w:type="pct"/>
          </w:tcPr>
          <w:p w14:paraId="4919548B" w14:textId="77777777" w:rsidR="004D66FB" w:rsidRPr="00BA5C86" w:rsidRDefault="004D66FB" w:rsidP="007728E2">
            <w:pPr>
              <w:pStyle w:val="TableText"/>
              <w:jc w:val="right"/>
              <w:rPr>
                <w:lang w:eastAsia="ja-JP"/>
              </w:rPr>
            </w:pPr>
            <w:r w:rsidRPr="00BA5C86">
              <w:rPr>
                <w:lang w:eastAsia="ja-JP"/>
              </w:rPr>
              <w:t>144</w:t>
            </w:r>
          </w:p>
        </w:tc>
        <w:tc>
          <w:tcPr>
            <w:tcW w:w="626" w:type="pct"/>
          </w:tcPr>
          <w:p w14:paraId="6BCD29F1" w14:textId="77777777" w:rsidR="004D66FB" w:rsidRPr="00BA5C86" w:rsidRDefault="004D66FB" w:rsidP="007728E2">
            <w:pPr>
              <w:pStyle w:val="TableText"/>
              <w:jc w:val="right"/>
              <w:rPr>
                <w:lang w:eastAsia="ja-JP"/>
              </w:rPr>
            </w:pPr>
            <w:r w:rsidRPr="00BA5C86">
              <w:rPr>
                <w:lang w:eastAsia="ja-JP"/>
              </w:rPr>
              <w:t>149</w:t>
            </w:r>
          </w:p>
        </w:tc>
        <w:tc>
          <w:tcPr>
            <w:tcW w:w="624" w:type="pct"/>
          </w:tcPr>
          <w:p w14:paraId="38CEED66" w14:textId="77777777" w:rsidR="004D66FB" w:rsidRPr="00BA5C86" w:rsidRDefault="004D66FB" w:rsidP="007728E2">
            <w:pPr>
              <w:pStyle w:val="TableText"/>
              <w:jc w:val="right"/>
              <w:rPr>
                <w:lang w:eastAsia="ja-JP"/>
              </w:rPr>
            </w:pPr>
            <w:r w:rsidRPr="00BA5C86">
              <w:rPr>
                <w:lang w:eastAsia="ja-JP"/>
              </w:rPr>
              <w:t>116</w:t>
            </w:r>
          </w:p>
        </w:tc>
      </w:tr>
      <w:tr w:rsidR="004D66FB" w:rsidRPr="00BA5C86" w14:paraId="3810ED54" w14:textId="77777777" w:rsidTr="004D66FB">
        <w:tc>
          <w:tcPr>
            <w:tcW w:w="625" w:type="pct"/>
          </w:tcPr>
          <w:p w14:paraId="5407104F" w14:textId="77777777" w:rsidR="004D66FB" w:rsidRPr="00BA5C86" w:rsidRDefault="004D66FB" w:rsidP="00DD3775">
            <w:pPr>
              <w:pStyle w:val="TableText"/>
              <w:rPr>
                <w:lang w:eastAsia="ja-JP"/>
              </w:rPr>
            </w:pPr>
            <w:r w:rsidRPr="00BA5C86">
              <w:rPr>
                <w:lang w:eastAsia="ja-JP"/>
              </w:rPr>
              <w:t>HFC-125</w:t>
            </w:r>
          </w:p>
        </w:tc>
        <w:tc>
          <w:tcPr>
            <w:tcW w:w="625" w:type="pct"/>
          </w:tcPr>
          <w:p w14:paraId="37FFE161" w14:textId="77777777" w:rsidR="004D66FB" w:rsidRPr="00BA5C86" w:rsidRDefault="004D66FB" w:rsidP="007728E2">
            <w:pPr>
              <w:pStyle w:val="TableText"/>
              <w:jc w:val="right"/>
              <w:rPr>
                <w:lang w:eastAsia="ja-JP"/>
              </w:rPr>
            </w:pPr>
          </w:p>
        </w:tc>
        <w:tc>
          <w:tcPr>
            <w:tcW w:w="625" w:type="pct"/>
          </w:tcPr>
          <w:p w14:paraId="2E099B84" w14:textId="551594F2"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500</w:t>
            </w:r>
          </w:p>
        </w:tc>
        <w:tc>
          <w:tcPr>
            <w:tcW w:w="625" w:type="pct"/>
          </w:tcPr>
          <w:p w14:paraId="419FD13F" w14:textId="77777777" w:rsidR="004D66FB" w:rsidRPr="00BA5C86" w:rsidRDefault="004D66FB" w:rsidP="007728E2">
            <w:pPr>
              <w:pStyle w:val="TableText"/>
              <w:jc w:val="right"/>
              <w:rPr>
                <w:lang w:eastAsia="ja-JP"/>
              </w:rPr>
            </w:pPr>
            <w:r w:rsidRPr="00BA5C86">
              <w:rPr>
                <w:lang w:eastAsia="ja-JP"/>
              </w:rPr>
              <w:t>21</w:t>
            </w:r>
          </w:p>
        </w:tc>
        <w:tc>
          <w:tcPr>
            <w:tcW w:w="625" w:type="pct"/>
          </w:tcPr>
          <w:p w14:paraId="2B2B43DE" w14:textId="77777777" w:rsidR="004D66FB" w:rsidRPr="00BA5C86" w:rsidRDefault="004D66FB" w:rsidP="007728E2">
            <w:pPr>
              <w:pStyle w:val="TableText"/>
              <w:jc w:val="right"/>
              <w:rPr>
                <w:lang w:eastAsia="ja-JP"/>
              </w:rPr>
            </w:pPr>
            <w:r w:rsidRPr="00BA5C86">
              <w:rPr>
                <w:lang w:eastAsia="ja-JP"/>
              </w:rPr>
              <w:t>935</w:t>
            </w:r>
          </w:p>
        </w:tc>
        <w:tc>
          <w:tcPr>
            <w:tcW w:w="625" w:type="pct"/>
          </w:tcPr>
          <w:p w14:paraId="35D7574B" w14:textId="77777777" w:rsidR="004D66FB" w:rsidRPr="00BA5C86" w:rsidRDefault="004D66FB" w:rsidP="007728E2">
            <w:pPr>
              <w:pStyle w:val="TableText"/>
              <w:jc w:val="right"/>
              <w:rPr>
                <w:lang w:eastAsia="ja-JP"/>
              </w:rPr>
            </w:pPr>
            <w:r w:rsidRPr="00BA5C86">
              <w:rPr>
                <w:lang w:eastAsia="ja-JP"/>
              </w:rPr>
              <w:t>484</w:t>
            </w:r>
          </w:p>
        </w:tc>
        <w:tc>
          <w:tcPr>
            <w:tcW w:w="626" w:type="pct"/>
          </w:tcPr>
          <w:p w14:paraId="213CA234" w14:textId="77777777" w:rsidR="004D66FB" w:rsidRPr="00BA5C86" w:rsidRDefault="004D66FB" w:rsidP="007728E2">
            <w:pPr>
              <w:pStyle w:val="TableText"/>
              <w:jc w:val="right"/>
              <w:rPr>
                <w:lang w:eastAsia="ja-JP"/>
              </w:rPr>
            </w:pPr>
            <w:r w:rsidRPr="00BA5C86">
              <w:rPr>
                <w:lang w:eastAsia="ja-JP"/>
              </w:rPr>
              <w:t>0</w:t>
            </w:r>
          </w:p>
        </w:tc>
        <w:tc>
          <w:tcPr>
            <w:tcW w:w="624" w:type="pct"/>
          </w:tcPr>
          <w:p w14:paraId="2E276315" w14:textId="77777777" w:rsidR="004D66FB" w:rsidRPr="00BA5C86" w:rsidRDefault="004D66FB" w:rsidP="007728E2">
            <w:pPr>
              <w:pStyle w:val="TableText"/>
              <w:jc w:val="right"/>
              <w:rPr>
                <w:lang w:eastAsia="ja-JP"/>
              </w:rPr>
            </w:pPr>
            <w:r w:rsidRPr="00BA5C86">
              <w:rPr>
                <w:lang w:eastAsia="ja-JP"/>
              </w:rPr>
              <w:t>24</w:t>
            </w:r>
          </w:p>
        </w:tc>
      </w:tr>
      <w:tr w:rsidR="004D66FB" w:rsidRPr="00BA5C86" w14:paraId="6483C58A" w14:textId="77777777" w:rsidTr="004D66FB">
        <w:tc>
          <w:tcPr>
            <w:tcW w:w="625" w:type="pct"/>
          </w:tcPr>
          <w:p w14:paraId="7C6D7B0A" w14:textId="77777777" w:rsidR="004D66FB" w:rsidRPr="00BA5C86" w:rsidRDefault="004D66FB" w:rsidP="00DD3775">
            <w:pPr>
              <w:pStyle w:val="TableText"/>
              <w:rPr>
                <w:lang w:eastAsia="ja-JP"/>
              </w:rPr>
            </w:pPr>
            <w:r w:rsidRPr="00BA5C86">
              <w:rPr>
                <w:lang w:eastAsia="ja-JP"/>
              </w:rPr>
              <w:t>HFC-404a</w:t>
            </w:r>
          </w:p>
        </w:tc>
        <w:tc>
          <w:tcPr>
            <w:tcW w:w="625" w:type="pct"/>
          </w:tcPr>
          <w:p w14:paraId="440738F5" w14:textId="77777777" w:rsidR="004D66FB" w:rsidRPr="00BA5C86" w:rsidRDefault="004D66FB" w:rsidP="007728E2">
            <w:pPr>
              <w:pStyle w:val="TableText"/>
              <w:jc w:val="right"/>
              <w:rPr>
                <w:lang w:eastAsia="ja-JP"/>
              </w:rPr>
            </w:pPr>
          </w:p>
        </w:tc>
        <w:tc>
          <w:tcPr>
            <w:tcW w:w="625" w:type="pct"/>
          </w:tcPr>
          <w:p w14:paraId="0F16326F" w14:textId="6E761B6E"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922</w:t>
            </w:r>
          </w:p>
        </w:tc>
        <w:tc>
          <w:tcPr>
            <w:tcW w:w="625" w:type="pct"/>
          </w:tcPr>
          <w:p w14:paraId="61999348" w14:textId="00E7928D"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235</w:t>
            </w:r>
          </w:p>
        </w:tc>
        <w:tc>
          <w:tcPr>
            <w:tcW w:w="625" w:type="pct"/>
          </w:tcPr>
          <w:p w14:paraId="5BB40B85" w14:textId="20B9A214" w:rsidR="004D66FB" w:rsidRPr="00BA5C86" w:rsidRDefault="004D66FB" w:rsidP="007728E2">
            <w:pPr>
              <w:pStyle w:val="TableText"/>
              <w:jc w:val="right"/>
              <w:rPr>
                <w:lang w:eastAsia="ja-JP"/>
              </w:rPr>
            </w:pPr>
            <w:r w:rsidRPr="00BA5C86">
              <w:rPr>
                <w:lang w:eastAsia="ja-JP"/>
              </w:rPr>
              <w:t>7</w:t>
            </w:r>
            <w:r>
              <w:rPr>
                <w:lang w:eastAsia="ja-JP"/>
              </w:rPr>
              <w:t>,</w:t>
            </w:r>
            <w:r w:rsidRPr="00BA5C86">
              <w:rPr>
                <w:lang w:eastAsia="ja-JP"/>
              </w:rPr>
              <w:t>510</w:t>
            </w:r>
          </w:p>
        </w:tc>
        <w:tc>
          <w:tcPr>
            <w:tcW w:w="625" w:type="pct"/>
          </w:tcPr>
          <w:p w14:paraId="252AC968" w14:textId="7F4D75BB" w:rsidR="004D66FB" w:rsidRPr="00BA5C86" w:rsidRDefault="004D66FB" w:rsidP="007728E2">
            <w:pPr>
              <w:pStyle w:val="TableText"/>
              <w:jc w:val="right"/>
              <w:rPr>
                <w:lang w:eastAsia="ja-JP"/>
              </w:rPr>
            </w:pPr>
            <w:r w:rsidRPr="00BA5C86">
              <w:rPr>
                <w:lang w:eastAsia="ja-JP"/>
              </w:rPr>
              <w:t>2</w:t>
            </w:r>
            <w:r>
              <w:rPr>
                <w:lang w:eastAsia="ja-JP"/>
              </w:rPr>
              <w:t>,</w:t>
            </w:r>
            <w:r w:rsidRPr="00BA5C86">
              <w:rPr>
                <w:lang w:eastAsia="ja-JP"/>
              </w:rPr>
              <w:t>607</w:t>
            </w:r>
          </w:p>
        </w:tc>
        <w:tc>
          <w:tcPr>
            <w:tcW w:w="626" w:type="pct"/>
          </w:tcPr>
          <w:p w14:paraId="757D5752" w14:textId="1C85598B"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182</w:t>
            </w:r>
          </w:p>
        </w:tc>
        <w:tc>
          <w:tcPr>
            <w:tcW w:w="624" w:type="pct"/>
          </w:tcPr>
          <w:p w14:paraId="648BDC00" w14:textId="32FF5E05"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086</w:t>
            </w:r>
          </w:p>
        </w:tc>
      </w:tr>
      <w:tr w:rsidR="004D66FB" w:rsidRPr="00BA5C86" w14:paraId="43230173" w14:textId="77777777" w:rsidTr="004D66FB">
        <w:tc>
          <w:tcPr>
            <w:tcW w:w="625" w:type="pct"/>
          </w:tcPr>
          <w:p w14:paraId="2E3E1B4C" w14:textId="77777777" w:rsidR="004D66FB" w:rsidRPr="00BA5C86" w:rsidRDefault="004D66FB" w:rsidP="00DD3775">
            <w:pPr>
              <w:pStyle w:val="TableText"/>
              <w:rPr>
                <w:lang w:eastAsia="ja-JP"/>
              </w:rPr>
            </w:pPr>
            <w:r w:rsidRPr="00BA5C86">
              <w:rPr>
                <w:lang w:eastAsia="ja-JP"/>
              </w:rPr>
              <w:t>HFC-507a</w:t>
            </w:r>
          </w:p>
        </w:tc>
        <w:tc>
          <w:tcPr>
            <w:tcW w:w="625" w:type="pct"/>
          </w:tcPr>
          <w:p w14:paraId="5B8C0F6B" w14:textId="77777777" w:rsidR="004D66FB" w:rsidRPr="00BA5C86" w:rsidRDefault="004D66FB" w:rsidP="007728E2">
            <w:pPr>
              <w:pStyle w:val="TableText"/>
              <w:jc w:val="right"/>
              <w:rPr>
                <w:lang w:eastAsia="ja-JP"/>
              </w:rPr>
            </w:pPr>
          </w:p>
        </w:tc>
        <w:tc>
          <w:tcPr>
            <w:tcW w:w="625" w:type="pct"/>
          </w:tcPr>
          <w:p w14:paraId="1FA9F61F" w14:textId="6420DB5B" w:rsidR="004D66FB" w:rsidRPr="00BA5C86" w:rsidRDefault="004D66FB" w:rsidP="007728E2">
            <w:pPr>
              <w:pStyle w:val="TableText"/>
              <w:jc w:val="right"/>
              <w:rPr>
                <w:lang w:eastAsia="ja-JP"/>
              </w:rPr>
            </w:pPr>
            <w:r w:rsidRPr="00BA5C86">
              <w:rPr>
                <w:lang w:eastAsia="ja-JP"/>
              </w:rPr>
              <w:t>3</w:t>
            </w:r>
            <w:r>
              <w:rPr>
                <w:lang w:eastAsia="ja-JP"/>
              </w:rPr>
              <w:t>,</w:t>
            </w:r>
            <w:r w:rsidRPr="00BA5C86">
              <w:rPr>
                <w:lang w:eastAsia="ja-JP"/>
              </w:rPr>
              <w:t>985</w:t>
            </w:r>
          </w:p>
        </w:tc>
        <w:tc>
          <w:tcPr>
            <w:tcW w:w="625" w:type="pct"/>
          </w:tcPr>
          <w:p w14:paraId="5653CFFD" w14:textId="77777777" w:rsidR="004D66FB" w:rsidRPr="00BA5C86" w:rsidRDefault="004D66FB" w:rsidP="007728E2">
            <w:pPr>
              <w:pStyle w:val="TableText"/>
              <w:jc w:val="right"/>
              <w:rPr>
                <w:lang w:eastAsia="ja-JP"/>
              </w:rPr>
            </w:pPr>
            <w:r w:rsidRPr="00BA5C86">
              <w:rPr>
                <w:lang w:eastAsia="ja-JP"/>
              </w:rPr>
              <w:t>401</w:t>
            </w:r>
          </w:p>
        </w:tc>
        <w:tc>
          <w:tcPr>
            <w:tcW w:w="625" w:type="pct"/>
          </w:tcPr>
          <w:p w14:paraId="685EF6BF" w14:textId="77777777" w:rsidR="004D66FB" w:rsidRPr="00BA5C86" w:rsidRDefault="004D66FB" w:rsidP="007728E2">
            <w:pPr>
              <w:pStyle w:val="TableText"/>
              <w:jc w:val="right"/>
              <w:rPr>
                <w:lang w:eastAsia="ja-JP"/>
              </w:rPr>
            </w:pPr>
            <w:r w:rsidRPr="00BA5C86">
              <w:rPr>
                <w:lang w:eastAsia="ja-JP"/>
              </w:rPr>
              <w:t>347</w:t>
            </w:r>
          </w:p>
        </w:tc>
        <w:tc>
          <w:tcPr>
            <w:tcW w:w="625" w:type="pct"/>
          </w:tcPr>
          <w:p w14:paraId="1E2CF56D" w14:textId="77777777" w:rsidR="004D66FB" w:rsidRPr="00BA5C86" w:rsidRDefault="004D66FB" w:rsidP="007728E2">
            <w:pPr>
              <w:pStyle w:val="TableText"/>
              <w:jc w:val="right"/>
              <w:rPr>
                <w:lang w:eastAsia="ja-JP"/>
              </w:rPr>
            </w:pPr>
            <w:r w:rsidRPr="00BA5C86">
              <w:rPr>
                <w:lang w:eastAsia="ja-JP"/>
              </w:rPr>
              <w:t>144</w:t>
            </w:r>
          </w:p>
        </w:tc>
        <w:tc>
          <w:tcPr>
            <w:tcW w:w="626" w:type="pct"/>
          </w:tcPr>
          <w:p w14:paraId="3DD009A0" w14:textId="77777777" w:rsidR="004D66FB" w:rsidRPr="00BA5C86" w:rsidRDefault="004D66FB" w:rsidP="007728E2">
            <w:pPr>
              <w:pStyle w:val="TableText"/>
              <w:jc w:val="right"/>
              <w:rPr>
                <w:lang w:eastAsia="ja-JP"/>
              </w:rPr>
            </w:pPr>
            <w:r w:rsidRPr="00BA5C86">
              <w:rPr>
                <w:lang w:eastAsia="ja-JP"/>
              </w:rPr>
              <w:t>104</w:t>
            </w:r>
          </w:p>
        </w:tc>
        <w:tc>
          <w:tcPr>
            <w:tcW w:w="624" w:type="pct"/>
          </w:tcPr>
          <w:p w14:paraId="710E0D59" w14:textId="77777777" w:rsidR="004D66FB" w:rsidRPr="00BA5C86" w:rsidRDefault="004D66FB" w:rsidP="007728E2">
            <w:pPr>
              <w:pStyle w:val="TableText"/>
              <w:jc w:val="right"/>
              <w:rPr>
                <w:lang w:eastAsia="ja-JP"/>
              </w:rPr>
            </w:pPr>
            <w:r w:rsidRPr="00BA5C86">
              <w:rPr>
                <w:lang w:eastAsia="ja-JP"/>
              </w:rPr>
              <w:t>139</w:t>
            </w:r>
          </w:p>
        </w:tc>
      </w:tr>
    </w:tbl>
    <w:p w14:paraId="7658A207" w14:textId="10672DAF" w:rsidR="00093A2D" w:rsidRDefault="003C295C" w:rsidP="00093A2D">
      <w:pPr>
        <w:pStyle w:val="Caption"/>
        <w:spacing w:before="120"/>
        <w:rPr>
          <w:lang w:eastAsia="ja-JP"/>
        </w:rPr>
      </w:pPr>
      <w:bookmarkStart w:id="67" w:name="_Ref81409289"/>
      <w:bookmarkStart w:id="68" w:name="_Toc82789412"/>
      <w:r>
        <w:t xml:space="preserve">Figure </w:t>
      </w:r>
      <w:fldSimple w:instr=" SEQ Figure \* ARABIC ">
        <w:r w:rsidR="00524D2C">
          <w:rPr>
            <w:noProof/>
          </w:rPr>
          <w:t>10</w:t>
        </w:r>
      </w:fldSimple>
      <w:bookmarkEnd w:id="67"/>
      <w:r>
        <w:t xml:space="preserve"> </w:t>
      </w:r>
      <w:r w:rsidR="001B4E4F">
        <w:t>I</w:t>
      </w:r>
      <w:r>
        <w:t>mports of main HFC species in CO2 k tonnes, 2016 to 2020</w:t>
      </w:r>
      <w:bookmarkEnd w:id="68"/>
    </w:p>
    <w:p w14:paraId="2C3C4E60" w14:textId="4D2A99BC" w:rsidR="0010177A" w:rsidRDefault="001B4E4F" w:rsidP="00655E2F">
      <w:pPr>
        <w:rPr>
          <w:lang w:eastAsia="ja-JP"/>
        </w:rPr>
      </w:pPr>
      <w:r>
        <w:rPr>
          <w:noProof/>
          <w:lang w:eastAsia="ja-JP"/>
        </w:rPr>
        <w:drawing>
          <wp:inline distT="0" distB="0" distL="0" distR="0" wp14:anchorId="5B295832" wp14:editId="0654AF11">
            <wp:extent cx="5791200" cy="3223491"/>
            <wp:effectExtent l="0" t="0" r="0" b="0"/>
            <wp:docPr id="7" name="Picture 7" descr="This bar graph shows the trend of HFCs imported from 2016 to 2020. It shows that 4 of the 8 species graphed had their highest import year in 2017. It shows that the majority of species have seen a slight decrease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bar graph shows the trend of HFCs imported from 2016 to 2020. It shows that 4 of the 8 species graphed had their highest import year in 2017. It shows that the majority of species have seen a slight decrease over the time period."/>
                    <pic:cNvPicPr>
                      <a:picLocks noChangeAspect="1" noChangeArrowheads="1"/>
                    </pic:cNvPicPr>
                  </pic:nvPicPr>
                  <pic:blipFill rotWithShape="1">
                    <a:blip r:embed="rId30">
                      <a:extLst>
                        <a:ext uri="{28A0092B-C50C-407E-A947-70E740481C1C}">
                          <a14:useLocalDpi xmlns:a14="http://schemas.microsoft.com/office/drawing/2010/main" val="0"/>
                        </a:ext>
                      </a:extLst>
                    </a:blip>
                    <a:srcRect l="626" t="9145" r="1314" b="2201"/>
                    <a:stretch/>
                  </pic:blipFill>
                  <pic:spPr bwMode="auto">
                    <a:xfrm>
                      <a:off x="0" y="0"/>
                      <a:ext cx="5797925" cy="3227234"/>
                    </a:xfrm>
                    <a:prstGeom prst="rect">
                      <a:avLst/>
                    </a:prstGeom>
                    <a:noFill/>
                    <a:ln>
                      <a:noFill/>
                    </a:ln>
                    <a:extLst>
                      <a:ext uri="{53640926-AAD7-44D8-BBD7-CCE9431645EC}">
                        <a14:shadowObscured xmlns:a14="http://schemas.microsoft.com/office/drawing/2010/main"/>
                      </a:ext>
                    </a:extLst>
                  </pic:spPr>
                </pic:pic>
              </a:graphicData>
            </a:graphic>
          </wp:inline>
        </w:drawing>
      </w:r>
    </w:p>
    <w:p w14:paraId="339EEA2B" w14:textId="568FB563" w:rsidR="00283AF1" w:rsidRDefault="005D5166" w:rsidP="00D55F68">
      <w:pPr>
        <w:pStyle w:val="Heading3"/>
        <w:numPr>
          <w:ilvl w:val="0"/>
          <w:numId w:val="0"/>
        </w:numPr>
        <w:spacing w:before="240"/>
        <w:ind w:left="964" w:hanging="964"/>
        <w:rPr>
          <w:lang w:eastAsia="ja-JP"/>
        </w:rPr>
      </w:pPr>
      <w:bookmarkStart w:id="69" w:name="_Toc82789392"/>
      <w:r w:rsidRPr="005D5166">
        <w:rPr>
          <w:lang w:eastAsia="ja-JP"/>
        </w:rPr>
        <w:t>HFC equipment imports into Australia</w:t>
      </w:r>
      <w:bookmarkEnd w:id="69"/>
    </w:p>
    <w:p w14:paraId="3E2153E5" w14:textId="77777777" w:rsidR="00A16A4A" w:rsidRDefault="00A16A4A" w:rsidP="00A16A4A">
      <w:pPr>
        <w:rPr>
          <w:lang w:eastAsia="ja-JP"/>
        </w:rPr>
      </w:pPr>
      <w:r>
        <w:rPr>
          <w:lang w:eastAsia="ja-JP"/>
        </w:rPr>
        <w:t>The Montreal Protocol does not cover gas imported in pre-charged equipment. HFCs contained in imported equipment are accounted for in the country of manufacture.</w:t>
      </w:r>
    </w:p>
    <w:p w14:paraId="1F9C53FB" w14:textId="79CCE42E" w:rsidR="00A16A4A" w:rsidRDefault="00A16A4A" w:rsidP="00A16A4A">
      <w:pPr>
        <w:rPr>
          <w:lang w:eastAsia="ja-JP"/>
        </w:rPr>
      </w:pPr>
      <w:r>
        <w:rPr>
          <w:lang w:eastAsia="ja-JP"/>
        </w:rPr>
        <w:t>The OPSGGM Act, however, controls the import of equipment that contains or uses controlled substances, in addition to the import of HFCs as bulk gas.</w:t>
      </w:r>
    </w:p>
    <w:p w14:paraId="2FBC423A" w14:textId="04FE7550" w:rsidR="00E267BD" w:rsidRDefault="00A16A4A" w:rsidP="00E267BD">
      <w:pPr>
        <w:rPr>
          <w:lang w:eastAsia="ja-JP"/>
        </w:rPr>
      </w:pPr>
      <w:r>
        <w:rPr>
          <w:lang w:eastAsia="ja-JP"/>
        </w:rPr>
        <w:t xml:space="preserve">The major HFC equipment imports into Australia in 2020 fit into various air-conditioning categories as indicated in </w:t>
      </w:r>
      <w:r w:rsidR="0076022F">
        <w:rPr>
          <w:lang w:eastAsia="ja-JP"/>
        </w:rPr>
        <w:fldChar w:fldCharType="begin"/>
      </w:r>
      <w:r w:rsidR="0076022F">
        <w:rPr>
          <w:lang w:eastAsia="ja-JP"/>
        </w:rPr>
        <w:instrText xml:space="preserve"> REF _Ref81466348 \h </w:instrText>
      </w:r>
      <w:r w:rsidR="0076022F">
        <w:rPr>
          <w:lang w:eastAsia="ja-JP"/>
        </w:rPr>
      </w:r>
      <w:r w:rsidR="0076022F">
        <w:rPr>
          <w:lang w:eastAsia="ja-JP"/>
        </w:rPr>
        <w:fldChar w:fldCharType="separate"/>
      </w:r>
      <w:r w:rsidR="0076022F">
        <w:t xml:space="preserve">Figure </w:t>
      </w:r>
      <w:r w:rsidR="0076022F">
        <w:rPr>
          <w:noProof/>
        </w:rPr>
        <w:t>11</w:t>
      </w:r>
      <w:r w:rsidR="0076022F">
        <w:rPr>
          <w:lang w:eastAsia="ja-JP"/>
        </w:rPr>
        <w:fldChar w:fldCharType="end"/>
      </w:r>
      <w:r w:rsidR="0076022F">
        <w:rPr>
          <w:lang w:eastAsia="ja-JP"/>
        </w:rPr>
        <w:t>.</w:t>
      </w:r>
      <w:bookmarkStart w:id="70" w:name="_Ref81466348"/>
    </w:p>
    <w:p w14:paraId="544A2B6C" w14:textId="598C97E4" w:rsidR="00093A2D" w:rsidRDefault="001035F6" w:rsidP="00E267BD">
      <w:pPr>
        <w:pStyle w:val="Caption"/>
        <w:rPr>
          <w:lang w:eastAsia="ja-JP"/>
        </w:rPr>
      </w:pPr>
      <w:bookmarkStart w:id="71" w:name="_Toc82789413"/>
      <w:r>
        <w:lastRenderedPageBreak/>
        <w:t xml:space="preserve">Figure </w:t>
      </w:r>
      <w:fldSimple w:instr=" SEQ Figure \* ARABIC ">
        <w:r w:rsidR="00524D2C">
          <w:rPr>
            <w:noProof/>
          </w:rPr>
          <w:t>11</w:t>
        </w:r>
      </w:fldSimple>
      <w:bookmarkEnd w:id="70"/>
      <w:r>
        <w:t xml:space="preserve"> Main HFC equipment imports by </w:t>
      </w:r>
      <w:r w:rsidR="008D56CD">
        <w:t>category</w:t>
      </w:r>
      <w:r w:rsidR="00F2529A">
        <w:t xml:space="preserve"> in 2020</w:t>
      </w:r>
      <w:bookmarkEnd w:id="71"/>
    </w:p>
    <w:p w14:paraId="5006FAC6" w14:textId="40F00DB2" w:rsidR="0072290E" w:rsidRDefault="00A0754C" w:rsidP="00A16A4A">
      <w:pPr>
        <w:rPr>
          <w:lang w:eastAsia="ja-JP"/>
        </w:rPr>
      </w:pPr>
      <w:r>
        <w:rPr>
          <w:noProof/>
          <w:lang w:eastAsia="ja-JP"/>
        </w:rPr>
        <w:drawing>
          <wp:inline distT="0" distB="0" distL="0" distR="0" wp14:anchorId="574D36DB" wp14:editId="0C922473">
            <wp:extent cx="5944631" cy="3057525"/>
            <wp:effectExtent l="0" t="0" r="0" b="0"/>
            <wp:docPr id="8" name="Picture 8" descr="This bar graph shows that the top 3 imports by category are different types of air-conditioning, with domestic use air-conditioning being the highest annual import.&#10;&#10;After air-conditioning there is a substantial drop to the next category which is commercial use refrigeration. From here there is a gradual decrease across the remain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bar graph shows that the top 3 imports by category are different types of air-conditioning, with domestic use air-conditioning being the highest annual import.&#10;&#10;After air-conditioning there is a substantial drop to the next category which is commercial use refrigeration. From here there is a gradual decrease across the remaining categories."/>
                    <pic:cNvPicPr>
                      <a:picLocks noChangeAspect="1" noChangeArrowheads="1"/>
                    </pic:cNvPicPr>
                  </pic:nvPicPr>
                  <pic:blipFill rotWithShape="1">
                    <a:blip r:embed="rId31">
                      <a:extLst>
                        <a:ext uri="{28A0092B-C50C-407E-A947-70E740481C1C}">
                          <a14:useLocalDpi xmlns:a14="http://schemas.microsoft.com/office/drawing/2010/main" val="0"/>
                        </a:ext>
                      </a:extLst>
                    </a:blip>
                    <a:srcRect l="498" t="11832" r="912" b="2235"/>
                    <a:stretch/>
                  </pic:blipFill>
                  <pic:spPr bwMode="auto">
                    <a:xfrm>
                      <a:off x="0" y="0"/>
                      <a:ext cx="5956921" cy="3063846"/>
                    </a:xfrm>
                    <a:prstGeom prst="rect">
                      <a:avLst/>
                    </a:prstGeom>
                    <a:noFill/>
                    <a:ln>
                      <a:noFill/>
                    </a:ln>
                    <a:extLst>
                      <a:ext uri="{53640926-AAD7-44D8-BBD7-CCE9431645EC}">
                        <a14:shadowObscured xmlns:a14="http://schemas.microsoft.com/office/drawing/2010/main"/>
                      </a:ext>
                    </a:extLst>
                  </pic:spPr>
                </pic:pic>
              </a:graphicData>
            </a:graphic>
          </wp:inline>
        </w:drawing>
      </w:r>
    </w:p>
    <w:p w14:paraId="2586624A" w14:textId="0F5F4CF9" w:rsidR="00EF7832" w:rsidRDefault="00EF7832" w:rsidP="00EF7832">
      <w:pPr>
        <w:rPr>
          <w:lang w:eastAsia="ja-JP"/>
        </w:rPr>
      </w:pPr>
      <w:r>
        <w:rPr>
          <w:lang w:eastAsia="ja-JP"/>
        </w:rPr>
        <w:t>As air-conditioning is the predominant import category, examining the HFCs associated with air-conditioning illustrates the clearest story of how HFC imports have changed over time. The core HFCs used in air-conditioning are HFC-32, HFC-410a, HFC-134a and HFC-404a.</w:t>
      </w:r>
    </w:p>
    <w:p w14:paraId="7BAF6C6D" w14:textId="7E4AE683" w:rsidR="00EF7832" w:rsidRDefault="00EF7832" w:rsidP="00EF7832">
      <w:pPr>
        <w:rPr>
          <w:lang w:eastAsia="ja-JP"/>
        </w:rPr>
      </w:pPr>
      <w:r>
        <w:rPr>
          <w:lang w:eastAsia="ja-JP"/>
        </w:rPr>
        <w:t>There has been a steady increase in the import of equipment that contains or uses HFC-32; the HFC with the lowest GWP. Consistent with this, equipment containing HFC-134a and HFC-410a (higher GWPs) have decreased after an initial peak in 2017</w:t>
      </w:r>
      <w:r w:rsidR="00694349">
        <w:rPr>
          <w:lang w:eastAsia="ja-JP"/>
        </w:rPr>
        <w:t xml:space="preserve"> (</w:t>
      </w:r>
      <w:r w:rsidR="00694349">
        <w:rPr>
          <w:lang w:eastAsia="ja-JP"/>
        </w:rPr>
        <w:fldChar w:fldCharType="begin"/>
      </w:r>
      <w:r w:rsidR="00694349">
        <w:rPr>
          <w:lang w:eastAsia="ja-JP"/>
        </w:rPr>
        <w:instrText xml:space="preserve"> REF _Ref81466421 \h </w:instrText>
      </w:r>
      <w:r w:rsidR="00694349">
        <w:rPr>
          <w:lang w:eastAsia="ja-JP"/>
        </w:rPr>
      </w:r>
      <w:r w:rsidR="00694349">
        <w:rPr>
          <w:lang w:eastAsia="ja-JP"/>
        </w:rPr>
        <w:fldChar w:fldCharType="separate"/>
      </w:r>
      <w:r w:rsidR="00694349">
        <w:t xml:space="preserve">Figure </w:t>
      </w:r>
      <w:r w:rsidR="00694349">
        <w:rPr>
          <w:noProof/>
        </w:rPr>
        <w:t>12</w:t>
      </w:r>
      <w:r w:rsidR="00694349">
        <w:rPr>
          <w:lang w:eastAsia="ja-JP"/>
        </w:rPr>
        <w:fldChar w:fldCharType="end"/>
      </w:r>
      <w:r w:rsidR="00694349">
        <w:rPr>
          <w:lang w:eastAsia="ja-JP"/>
        </w:rPr>
        <w:t>)</w:t>
      </w:r>
      <w:r>
        <w:rPr>
          <w:lang w:eastAsia="ja-JP"/>
        </w:rPr>
        <w:t>.</w:t>
      </w:r>
    </w:p>
    <w:p w14:paraId="735032C8" w14:textId="5920A0FD" w:rsidR="00890924" w:rsidRDefault="0015568A" w:rsidP="00890924">
      <w:pPr>
        <w:pStyle w:val="Caption"/>
        <w:rPr>
          <w:lang w:eastAsia="ja-JP"/>
        </w:rPr>
      </w:pPr>
      <w:bookmarkStart w:id="72" w:name="_Ref81466421"/>
      <w:bookmarkStart w:id="73" w:name="_Toc82789414"/>
      <w:r>
        <w:t xml:space="preserve">Figure </w:t>
      </w:r>
      <w:fldSimple w:instr=" SEQ Figure \* ARABIC ">
        <w:r w:rsidR="00524D2C">
          <w:rPr>
            <w:noProof/>
          </w:rPr>
          <w:t>12</w:t>
        </w:r>
      </w:fldSimple>
      <w:bookmarkEnd w:id="72"/>
      <w:r>
        <w:t xml:space="preserve"> Main HFC equipment import trends in metric tonnes, 2016 to 2020</w:t>
      </w:r>
      <w:bookmarkEnd w:id="73"/>
    </w:p>
    <w:p w14:paraId="6B61D156" w14:textId="4BC58370" w:rsidR="00861BD1" w:rsidRDefault="00861BD1" w:rsidP="00EF7832">
      <w:pPr>
        <w:rPr>
          <w:lang w:eastAsia="ja-JP"/>
        </w:rPr>
      </w:pPr>
      <w:r>
        <w:rPr>
          <w:noProof/>
          <w:lang w:eastAsia="ja-JP"/>
        </w:rPr>
        <w:drawing>
          <wp:inline distT="0" distB="0" distL="0" distR="0" wp14:anchorId="16615C8B" wp14:editId="57F542C1">
            <wp:extent cx="4872251" cy="2703832"/>
            <wp:effectExtent l="0" t="0" r="5080" b="1270"/>
            <wp:docPr id="11" name="Picture 11" descr="This bar graph shows that HFC-134a and HFC-410a have decreased after an initial peak in 2017 and HFC 404a has remained practically unchanged. It also shows that imports of HFC-32 have steadily increased across the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bar graph shows that HFC-134a and HFC-410a have decreased after an initial peak in 2017 and HFC 404a has remained practically unchanged. It also shows that imports of HFC-32 have steadily increased across the 5 years."/>
                    <pic:cNvPicPr>
                      <a:picLocks noChangeAspect="1" noChangeArrowheads="1"/>
                    </pic:cNvPicPr>
                  </pic:nvPicPr>
                  <pic:blipFill rotWithShape="1">
                    <a:blip r:embed="rId32">
                      <a:extLst>
                        <a:ext uri="{28A0092B-C50C-407E-A947-70E740481C1C}">
                          <a14:useLocalDpi xmlns:a14="http://schemas.microsoft.com/office/drawing/2010/main" val="0"/>
                        </a:ext>
                      </a:extLst>
                    </a:blip>
                    <a:srcRect l="6829" t="13297" r="2218" b="2734"/>
                    <a:stretch/>
                  </pic:blipFill>
                  <pic:spPr bwMode="auto">
                    <a:xfrm>
                      <a:off x="0" y="0"/>
                      <a:ext cx="5020097" cy="2785878"/>
                    </a:xfrm>
                    <a:prstGeom prst="rect">
                      <a:avLst/>
                    </a:prstGeom>
                    <a:noFill/>
                    <a:ln>
                      <a:noFill/>
                    </a:ln>
                    <a:extLst>
                      <a:ext uri="{53640926-AAD7-44D8-BBD7-CCE9431645EC}">
                        <a14:shadowObscured xmlns:a14="http://schemas.microsoft.com/office/drawing/2010/main"/>
                      </a:ext>
                    </a:extLst>
                  </pic:spPr>
                </pic:pic>
              </a:graphicData>
            </a:graphic>
          </wp:inline>
        </w:drawing>
      </w:r>
    </w:p>
    <w:p w14:paraId="1574FE2A" w14:textId="6783B587" w:rsidR="0093610A" w:rsidRDefault="009663DA" w:rsidP="005926E4">
      <w:pPr>
        <w:pStyle w:val="Heading3"/>
        <w:pageBreakBefore/>
        <w:numPr>
          <w:ilvl w:val="0"/>
          <w:numId w:val="0"/>
        </w:numPr>
        <w:ind w:left="964" w:hanging="964"/>
      </w:pPr>
      <w:bookmarkStart w:id="74" w:name="_Toc82789393"/>
      <w:r w:rsidRPr="009663DA">
        <w:lastRenderedPageBreak/>
        <w:t>Destruction of HFCs</w:t>
      </w:r>
      <w:bookmarkEnd w:id="74"/>
    </w:p>
    <w:p w14:paraId="42D7E6F7" w14:textId="13B32A8F" w:rsidR="00DE1363" w:rsidRDefault="001610DC" w:rsidP="001610DC">
      <w:r w:rsidRPr="001610DC">
        <w:t xml:space="preserve">Refrigerant Reclaim Australia (RRA) collects waste HFC refrigerants that </w:t>
      </w:r>
      <w:r w:rsidR="009412B6">
        <w:t>it</w:t>
      </w:r>
      <w:r w:rsidR="009412B6" w:rsidRPr="001610DC">
        <w:t xml:space="preserve"> </w:t>
      </w:r>
      <w:r w:rsidRPr="001610DC">
        <w:t>then destroy using Montreal Protocol approved technologies. The destruction of HFCs between 2016 and 2020 follow</w:t>
      </w:r>
      <w:r w:rsidR="009412B6">
        <w:t>s</w:t>
      </w:r>
      <w:r w:rsidRPr="001610DC">
        <w:t xml:space="preserve"> a similar trend to HFC imports, though the peak in destruction is reached a little later. It is logical the import and destruction of HFCs have a strong correlation</w:t>
      </w:r>
      <w:r w:rsidR="000329AD">
        <w:t xml:space="preserve"> (</w:t>
      </w:r>
      <w:r w:rsidR="009963DD">
        <w:fldChar w:fldCharType="begin"/>
      </w:r>
      <w:r w:rsidR="009963DD">
        <w:instrText xml:space="preserve"> REF _Ref81468283 \h </w:instrText>
      </w:r>
      <w:r w:rsidR="009963DD">
        <w:fldChar w:fldCharType="separate"/>
      </w:r>
      <w:r w:rsidR="009963DD">
        <w:t xml:space="preserve">Figure </w:t>
      </w:r>
      <w:r w:rsidR="009963DD">
        <w:rPr>
          <w:noProof/>
        </w:rPr>
        <w:t>13</w:t>
      </w:r>
      <w:r w:rsidR="009963DD">
        <w:fldChar w:fldCharType="end"/>
      </w:r>
      <w:r w:rsidR="009963DD">
        <w:t xml:space="preserve"> and </w:t>
      </w:r>
      <w:r w:rsidR="009963DD">
        <w:fldChar w:fldCharType="begin"/>
      </w:r>
      <w:r w:rsidR="009963DD">
        <w:instrText xml:space="preserve"> REF _Ref81468302 \h </w:instrText>
      </w:r>
      <w:r w:rsidR="009963DD">
        <w:fldChar w:fldCharType="separate"/>
      </w:r>
      <w:r w:rsidR="009963DD">
        <w:t xml:space="preserve">Figure </w:t>
      </w:r>
      <w:r w:rsidR="009963DD">
        <w:rPr>
          <w:noProof/>
        </w:rPr>
        <w:t>14</w:t>
      </w:r>
      <w:r w:rsidR="009963DD">
        <w:fldChar w:fldCharType="end"/>
      </w:r>
      <w:r w:rsidR="000329AD">
        <w:t>)</w:t>
      </w:r>
      <w:r w:rsidRPr="001610DC">
        <w:t>.</w:t>
      </w:r>
    </w:p>
    <w:p w14:paraId="74409F70" w14:textId="61E33829" w:rsidR="00AD165C" w:rsidRDefault="008E06CC" w:rsidP="00AD165C">
      <w:pPr>
        <w:pStyle w:val="Caption"/>
      </w:pPr>
      <w:bookmarkStart w:id="75" w:name="_Ref81468283"/>
      <w:bookmarkStart w:id="76" w:name="_Toc82789415"/>
      <w:r>
        <w:t xml:space="preserve">Figure </w:t>
      </w:r>
      <w:fldSimple w:instr=" SEQ Figure \* ARABIC ">
        <w:r w:rsidR="00524D2C">
          <w:rPr>
            <w:noProof/>
          </w:rPr>
          <w:t>13</w:t>
        </w:r>
      </w:fldSimple>
      <w:bookmarkEnd w:id="75"/>
      <w:r>
        <w:t xml:space="preserve"> </w:t>
      </w:r>
      <w:r w:rsidR="00524D2C">
        <w:t xml:space="preserve">Main </w:t>
      </w:r>
      <w:r>
        <w:t>HFCs destroyed by species</w:t>
      </w:r>
      <w:r w:rsidR="00DC3C23">
        <w:t xml:space="preserve"> in metric tonnes</w:t>
      </w:r>
      <w:r>
        <w:t>, 2016 to 2020</w:t>
      </w:r>
      <w:bookmarkEnd w:id="76"/>
    </w:p>
    <w:p w14:paraId="3AF1379A" w14:textId="0B91D262" w:rsidR="008E06CC" w:rsidRDefault="008E06CC" w:rsidP="001610DC">
      <w:r>
        <w:rPr>
          <w:noProof/>
        </w:rPr>
        <w:drawing>
          <wp:inline distT="0" distB="0" distL="0" distR="0" wp14:anchorId="7A60F90B" wp14:editId="35E227FD">
            <wp:extent cx="5779662" cy="2409825"/>
            <wp:effectExtent l="0" t="0" r="0" b="0"/>
            <wp:docPr id="17" name="Picture 17" descr="This bar graph shows that R-134a has the highest annual destruction every year from 2016 to 2020. R-125, R-32 and R-143a share similar import numbers across the five years which are much lower than R-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bar graph shows that R-134a has the highest annual destruction every year from 2016 to 2020. R-125, R-32 and R-143a share similar import numbers across the five years which are much lower than R-134a."/>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2" t="13448" r="949" b="1701"/>
                    <a:stretch/>
                  </pic:blipFill>
                  <pic:spPr bwMode="auto">
                    <a:xfrm>
                      <a:off x="0" y="0"/>
                      <a:ext cx="5788414" cy="2413474"/>
                    </a:xfrm>
                    <a:prstGeom prst="rect">
                      <a:avLst/>
                    </a:prstGeom>
                    <a:noFill/>
                    <a:ln>
                      <a:noFill/>
                    </a:ln>
                    <a:extLst>
                      <a:ext uri="{53640926-AAD7-44D8-BBD7-CCE9431645EC}">
                        <a14:shadowObscured xmlns:a14="http://schemas.microsoft.com/office/drawing/2010/main"/>
                      </a:ext>
                    </a:extLst>
                  </pic:spPr>
                </pic:pic>
              </a:graphicData>
            </a:graphic>
          </wp:inline>
        </w:drawing>
      </w:r>
    </w:p>
    <w:p w14:paraId="2CB1AA4F" w14:textId="125FD657" w:rsidR="00AD165C" w:rsidRDefault="00524D2C" w:rsidP="00AD165C">
      <w:pPr>
        <w:pStyle w:val="Caption"/>
      </w:pPr>
      <w:bookmarkStart w:id="77" w:name="_Ref81468302"/>
      <w:bookmarkStart w:id="78" w:name="_Toc82789416"/>
      <w:r>
        <w:t xml:space="preserve">Figure </w:t>
      </w:r>
      <w:fldSimple w:instr=" SEQ Figure \* ARABIC ">
        <w:r>
          <w:rPr>
            <w:noProof/>
          </w:rPr>
          <w:t>14</w:t>
        </w:r>
      </w:fldSimple>
      <w:bookmarkEnd w:id="77"/>
      <w:r>
        <w:t xml:space="preserve"> Trend of main HFCs destroyed</w:t>
      </w:r>
      <w:r w:rsidR="00DC3C23">
        <w:t xml:space="preserve"> in metric tonnes</w:t>
      </w:r>
      <w:r w:rsidR="00E10F96">
        <w:t xml:space="preserve">, </w:t>
      </w:r>
      <w:r>
        <w:t>2016 to 2020</w:t>
      </w:r>
      <w:bookmarkEnd w:id="78"/>
    </w:p>
    <w:p w14:paraId="75B43D30" w14:textId="1F6CD199" w:rsidR="000034C4" w:rsidRPr="00DE1363" w:rsidRDefault="00524D2C" w:rsidP="001610DC">
      <w:r>
        <w:rPr>
          <w:noProof/>
        </w:rPr>
        <w:drawing>
          <wp:inline distT="0" distB="0" distL="0" distR="0" wp14:anchorId="4C67D24A" wp14:editId="493C1B9B">
            <wp:extent cx="5779135" cy="2398145"/>
            <wp:effectExtent l="0" t="0" r="0" b="2540"/>
            <wp:docPr id="18" name="Picture 18" descr="This bar graph shows that the destruction of each species jumped up in 2018 and then slightly decreased across the two follow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bar graph shows that the destruction of each species jumped up in 2018 and then slightly decreased across the two following years."/>
                    <pic:cNvPicPr>
                      <a:picLocks noChangeAspect="1" noChangeArrowheads="1"/>
                    </pic:cNvPicPr>
                  </pic:nvPicPr>
                  <pic:blipFill rotWithShape="1">
                    <a:blip r:embed="rId34">
                      <a:extLst>
                        <a:ext uri="{28A0092B-C50C-407E-A947-70E740481C1C}">
                          <a14:useLocalDpi xmlns:a14="http://schemas.microsoft.com/office/drawing/2010/main" val="0"/>
                        </a:ext>
                      </a:extLst>
                    </a:blip>
                    <a:srcRect l="1163" t="14138" r="1217" b="1693"/>
                    <a:stretch/>
                  </pic:blipFill>
                  <pic:spPr bwMode="auto">
                    <a:xfrm>
                      <a:off x="0" y="0"/>
                      <a:ext cx="5831244" cy="2419768"/>
                    </a:xfrm>
                    <a:prstGeom prst="rect">
                      <a:avLst/>
                    </a:prstGeom>
                    <a:noFill/>
                    <a:ln>
                      <a:noFill/>
                    </a:ln>
                    <a:extLst>
                      <a:ext uri="{53640926-AAD7-44D8-BBD7-CCE9431645EC}">
                        <a14:shadowObscured xmlns:a14="http://schemas.microsoft.com/office/drawing/2010/main"/>
                      </a:ext>
                    </a:extLst>
                  </pic:spPr>
                </pic:pic>
              </a:graphicData>
            </a:graphic>
          </wp:inline>
        </w:drawing>
      </w:r>
    </w:p>
    <w:p w14:paraId="46A9172E" w14:textId="56EBB459" w:rsidR="00D147E8" w:rsidRDefault="00D147E8" w:rsidP="00907054">
      <w:pPr>
        <w:pStyle w:val="Heading2"/>
        <w:numPr>
          <w:ilvl w:val="0"/>
          <w:numId w:val="0"/>
        </w:numPr>
        <w:ind w:left="720" w:hanging="720"/>
      </w:pPr>
      <w:bookmarkStart w:id="79" w:name="_Toc82789394"/>
      <w:r>
        <w:lastRenderedPageBreak/>
        <w:t>Background</w:t>
      </w:r>
      <w:bookmarkEnd w:id="79"/>
    </w:p>
    <w:p w14:paraId="5FEB2503" w14:textId="67AFDF9B" w:rsidR="00D147E8" w:rsidRDefault="00D147E8" w:rsidP="00D147E8">
      <w:r>
        <w:t>The Montreal Protocol sets out a mandatory timetable for the phase</w:t>
      </w:r>
      <w:r w:rsidR="00091005">
        <w:t>-</w:t>
      </w:r>
      <w:r>
        <w:t>out of the manufacture and import of ozone depleting substances</w:t>
      </w:r>
      <w:r w:rsidR="009412B6">
        <w:t xml:space="preserve"> and phase down HFCs</w:t>
      </w:r>
      <w:r>
        <w:t>. This timetable has been reviewed regularly, with phase</w:t>
      </w:r>
      <w:r w:rsidR="00091005">
        <w:t>-</w:t>
      </w:r>
      <w:r>
        <w:t>out dates accelerated in accordance with scientific understanding and technological advances. Science tells us that thanks to the Montreal Protocol and its 198 signatory nations, the ozone layer is on track to recover to 1980 levels by the 2030s for northern hemisphere mid-latitudes, and by around the mid-century for southern hemisphere mid-latitudes. The Antarctic ozone hole is expected to return to 1980 values in the 2060s.</w:t>
      </w:r>
    </w:p>
    <w:p w14:paraId="41A21723" w14:textId="74B6DB04" w:rsidR="00444D77" w:rsidRDefault="00D147E8" w:rsidP="00D147E8">
      <w:r>
        <w:t>The Montreal Protocol sets binding progressive phase</w:t>
      </w:r>
      <w:r w:rsidR="00091005">
        <w:t>-</w:t>
      </w:r>
      <w:r>
        <w:t>out obligations for developed and developing countries for all the major ozone depleting substances, including chlorofluorocarbons (CFCs), halons and less damaging transitional chemicals such as hydrochlorofluorocarbons (HCFCs).</w:t>
      </w:r>
    </w:p>
    <w:p w14:paraId="35F2E533" w14:textId="2D6F0A3D" w:rsidR="00023A67" w:rsidRDefault="00023A67" w:rsidP="00D147E8">
      <w:r w:rsidRPr="00EF6FEF">
        <w:t>The Ozone Protection and Synthetic Greenhouse Gas Act (OPSGGM Act) implements Australia’s international obligations to reduce emissions of ozone depleting substances and synthetic greenhouse gases under the Montreal Protocol on Substances that Deplete the Ozone Layer (Montreal Protocol) and the United Nations Framework Convention on Climate Change.</w:t>
      </w:r>
    </w:p>
    <w:p w14:paraId="7090FEDA" w14:textId="5B745FD4" w:rsidR="00D147E8" w:rsidRDefault="00D147E8" w:rsidP="00D147E8">
      <w:r>
        <w:t xml:space="preserve">Ozone depleting substances are those substances which deplete the ozone layer and are widely used in refrigerators, air conditioners, fire extinguishers, in dry cleaning, thermal insulation in foam products, propellant in aerosols such as asthma inhalers, as solvents for cleaning electronic equipment and as fumigants in agricultural and quarantine applications. Their potency to destroy ozone is measured by their </w:t>
      </w:r>
      <w:r w:rsidR="000E118C">
        <w:t>o</w:t>
      </w:r>
      <w:r>
        <w:t xml:space="preserve">zone </w:t>
      </w:r>
      <w:r w:rsidR="000E118C">
        <w:t>d</w:t>
      </w:r>
      <w:r>
        <w:t xml:space="preserve">epleting </w:t>
      </w:r>
      <w:r w:rsidR="000E118C">
        <w:t>p</w:t>
      </w:r>
      <w:r>
        <w:t>otential (ODP).</w:t>
      </w:r>
    </w:p>
    <w:p w14:paraId="058DD262" w14:textId="77777777" w:rsidR="00D147E8" w:rsidRDefault="00D147E8" w:rsidP="00D147E8">
      <w:r>
        <w:t>Ozone depleting substances controlled by Montreal Protocol include:</w:t>
      </w:r>
    </w:p>
    <w:p w14:paraId="2CCC9D58" w14:textId="6832F363" w:rsidR="00D147E8" w:rsidRDefault="00D147E8" w:rsidP="0063005E">
      <w:pPr>
        <w:pStyle w:val="ListBullet"/>
      </w:pPr>
      <w:r>
        <w:t>CFCs</w:t>
      </w:r>
    </w:p>
    <w:p w14:paraId="40BD0519" w14:textId="16D55A82" w:rsidR="00D147E8" w:rsidRDefault="000E118C" w:rsidP="0063005E">
      <w:pPr>
        <w:pStyle w:val="ListBullet"/>
      </w:pPr>
      <w:r>
        <w:t>h</w:t>
      </w:r>
      <w:r w:rsidR="00D147E8">
        <w:t>alon</w:t>
      </w:r>
    </w:p>
    <w:p w14:paraId="2E79588A" w14:textId="11FDE62D" w:rsidR="00D147E8" w:rsidRDefault="000E118C" w:rsidP="0063005E">
      <w:pPr>
        <w:pStyle w:val="ListBullet"/>
      </w:pPr>
      <w:r>
        <w:t>c</w:t>
      </w:r>
      <w:r w:rsidR="00D147E8">
        <w:t>arbon tetrachloride</w:t>
      </w:r>
    </w:p>
    <w:p w14:paraId="0046726A" w14:textId="5474019F" w:rsidR="00D147E8" w:rsidRDefault="000E118C" w:rsidP="0063005E">
      <w:pPr>
        <w:pStyle w:val="ListBullet"/>
      </w:pPr>
      <w:r>
        <w:t>m</w:t>
      </w:r>
      <w:r w:rsidR="00D147E8">
        <w:t>ethyl chloroform</w:t>
      </w:r>
    </w:p>
    <w:p w14:paraId="299FFC8A" w14:textId="016F1039" w:rsidR="00D147E8" w:rsidRDefault="000E118C" w:rsidP="0063005E">
      <w:pPr>
        <w:pStyle w:val="ListBullet"/>
      </w:pPr>
      <w:proofErr w:type="spellStart"/>
      <w:r>
        <w:t>h</w:t>
      </w:r>
      <w:r w:rsidR="00D147E8">
        <w:t>ydrobromofluorocarbons</w:t>
      </w:r>
      <w:proofErr w:type="spellEnd"/>
      <w:r w:rsidR="00D147E8">
        <w:t xml:space="preserve"> (HBFCs)</w:t>
      </w:r>
    </w:p>
    <w:p w14:paraId="79A7FE2A" w14:textId="00439605" w:rsidR="00D147E8" w:rsidRDefault="00D147E8" w:rsidP="0063005E">
      <w:pPr>
        <w:pStyle w:val="ListBullet"/>
      </w:pPr>
      <w:r>
        <w:t>HCFCs</w:t>
      </w:r>
    </w:p>
    <w:p w14:paraId="3CCE9D26" w14:textId="2A5E9797" w:rsidR="00D147E8" w:rsidRDefault="000E118C" w:rsidP="0063005E">
      <w:pPr>
        <w:pStyle w:val="ListBullet"/>
      </w:pPr>
      <w:r>
        <w:t>m</w:t>
      </w:r>
      <w:r w:rsidR="00D147E8">
        <w:t>ethyl bromide</w:t>
      </w:r>
    </w:p>
    <w:p w14:paraId="5D6F9970" w14:textId="7C58413F" w:rsidR="00D147E8" w:rsidRDefault="000E118C" w:rsidP="0063005E">
      <w:pPr>
        <w:pStyle w:val="ListBullet"/>
      </w:pPr>
      <w:r>
        <w:t>b</w:t>
      </w:r>
      <w:r w:rsidR="00D147E8">
        <w:t>romochloromethane</w:t>
      </w:r>
      <w:r>
        <w:t>.</w:t>
      </w:r>
    </w:p>
    <w:p w14:paraId="1D5E4757" w14:textId="169FD8E3" w:rsidR="00D147E8" w:rsidRDefault="00D147E8" w:rsidP="00D147E8">
      <w:r>
        <w:t>There are other ozone depleting substances, but their ozone depleting effects are very small in comparison to these controlled substances.</w:t>
      </w:r>
    </w:p>
    <w:p w14:paraId="0D503A6F" w14:textId="25FD2A15" w:rsidR="009C4F1B" w:rsidRDefault="00397B7B" w:rsidP="00D147E8">
      <w:r w:rsidRPr="00ED2A5E">
        <w:t>The Montreal Protocol also controls the phase-down of HFCs</w:t>
      </w:r>
      <w:r w:rsidR="00CB35CF">
        <w:t xml:space="preserve"> under the Kigali amendment, which was agreed in October 201</w:t>
      </w:r>
      <w:r w:rsidR="00341E2B">
        <w:t>6</w:t>
      </w:r>
      <w:r w:rsidR="003C64FE" w:rsidRPr="00ED2A5E">
        <w:t xml:space="preserve">. </w:t>
      </w:r>
      <w:r w:rsidR="00F0164A">
        <w:t xml:space="preserve">The </w:t>
      </w:r>
      <w:r w:rsidR="00DD2A4B" w:rsidRPr="00ED2A5E">
        <w:t>phase-down commenced in 2019 for developed countries</w:t>
      </w:r>
      <w:r w:rsidR="00B1256A">
        <w:t>,</w:t>
      </w:r>
      <w:r w:rsidR="00DD2A4B" w:rsidRPr="00ED2A5E">
        <w:t xml:space="preserve"> like Australia</w:t>
      </w:r>
      <w:r w:rsidR="00380285">
        <w:t>,</w:t>
      </w:r>
      <w:r w:rsidR="00DD2A4B" w:rsidRPr="00ED2A5E">
        <w:t xml:space="preserve"> and </w:t>
      </w:r>
      <w:r w:rsidR="00AA4CDB">
        <w:t>is</w:t>
      </w:r>
      <w:r w:rsidR="00F0164A">
        <w:t xml:space="preserve"> to </w:t>
      </w:r>
      <w:r w:rsidR="00DD2A4B" w:rsidRPr="00ED2A5E">
        <w:t>commence in 2024 for developing countries.</w:t>
      </w:r>
      <w:r w:rsidR="00DD2A4B">
        <w:t xml:space="preserve"> </w:t>
      </w:r>
      <w:r w:rsidRPr="00ED2A5E">
        <w:t>HFCs are not ozone depleting, but are high GWP alternatives to ozone depleting substances. HFCs are used in many of the same products</w:t>
      </w:r>
      <w:r w:rsidR="00B02C24">
        <w:t>;</w:t>
      </w:r>
      <w:r w:rsidRPr="00ED2A5E">
        <w:t xml:space="preserve"> </w:t>
      </w:r>
      <w:r w:rsidR="00AB4AC0" w:rsidRPr="00ED2A5E">
        <w:t xml:space="preserve">such as </w:t>
      </w:r>
      <w:r w:rsidR="00ED2A5E" w:rsidRPr="00ED2A5E">
        <w:t xml:space="preserve">in </w:t>
      </w:r>
      <w:r w:rsidR="00AB4AC0" w:rsidRPr="00ED2A5E">
        <w:t>refrigeration and air conditioning equipment.</w:t>
      </w:r>
    </w:p>
    <w:p w14:paraId="44E38C6D" w14:textId="77777777" w:rsidR="00D147E8" w:rsidRPr="000F7C92" w:rsidRDefault="00D147E8" w:rsidP="00B1256A">
      <w:pPr>
        <w:pStyle w:val="Heading4"/>
        <w:pageBreakBefore/>
        <w:numPr>
          <w:ilvl w:val="0"/>
          <w:numId w:val="0"/>
        </w:numPr>
        <w:ind w:left="964" w:hanging="964"/>
      </w:pPr>
      <w:r w:rsidRPr="000F7C92">
        <w:lastRenderedPageBreak/>
        <w:t>Australian obligations under the Montreal Protocol</w:t>
      </w:r>
    </w:p>
    <w:p w14:paraId="688F17CC" w14:textId="60CBF5C6" w:rsidR="00D147E8" w:rsidRDefault="00D147E8" w:rsidP="00D147E8">
      <w:r>
        <w:t xml:space="preserve">Australia acceded to the Vienna Convention for the Protection of the Ozone Layer in 1987 and ratified the Montreal Protocol on Substances that Deplete the Ozone Layer originally in 1989, and then again for each of the </w:t>
      </w:r>
      <w:r w:rsidR="000E118C">
        <w:t xml:space="preserve">5 </w:t>
      </w:r>
      <w:r>
        <w:t>amendments agreed between 1990 and 2016.</w:t>
      </w:r>
    </w:p>
    <w:p w14:paraId="5490E405" w14:textId="2A5EAE38" w:rsidR="00D147E8" w:rsidRDefault="00D147E8" w:rsidP="00D147E8">
      <w:r>
        <w:t>As one of the early countries to ratify the Montreal Protocol, Australia continues to be a leader in the phase</w:t>
      </w:r>
      <w:r w:rsidR="00091005">
        <w:t>-</w:t>
      </w:r>
      <w:r>
        <w:t>out of ozone depleting substances. In many cases, Australia is well ahead of the Montreal Protocol requirements. Australia’s approach has been based on a cooperative partnership between industry, community and all levels of government.</w:t>
      </w:r>
    </w:p>
    <w:p w14:paraId="4EE27ED8" w14:textId="43D6B188" w:rsidR="008F1EA8" w:rsidRDefault="00D147E8" w:rsidP="00D147E8">
      <w:r>
        <w:t>Australia has met or exceeded all of its phase</w:t>
      </w:r>
      <w:r w:rsidR="00091005">
        <w:t>-</w:t>
      </w:r>
      <w:r>
        <w:t xml:space="preserve">out obligations under the Montreal Protocol. For example, Australia largely phased out consumption of HCFCs in 2016, </w:t>
      </w:r>
      <w:r w:rsidR="000E118C">
        <w:t xml:space="preserve">4 </w:t>
      </w:r>
      <w:r>
        <w:t>years ahead of the schedule required under the Montreal Protocol (</w:t>
      </w:r>
      <w:r w:rsidR="000E118C">
        <w:fldChar w:fldCharType="begin"/>
      </w:r>
      <w:r w:rsidR="000E118C">
        <w:instrText xml:space="preserve"> REF _Ref80713409 \h </w:instrText>
      </w:r>
      <w:r w:rsidR="000E118C">
        <w:fldChar w:fldCharType="separate"/>
      </w:r>
      <w:r w:rsidR="000E118C">
        <w:t xml:space="preserve">Figure </w:t>
      </w:r>
      <w:r w:rsidR="000E118C">
        <w:rPr>
          <w:noProof/>
        </w:rPr>
        <w:t>9</w:t>
      </w:r>
      <w:r w:rsidR="000E118C">
        <w:fldChar w:fldCharType="end"/>
      </w:r>
      <w:r>
        <w:t>). In doing so, Australia will consume 61</w:t>
      </w:r>
      <w:r w:rsidR="000E118C">
        <w:t>%</w:t>
      </w:r>
      <w:r>
        <w:t xml:space="preserve"> less HCFC in the period 1996</w:t>
      </w:r>
      <w:r w:rsidR="000E118C">
        <w:t xml:space="preserve"> to </w:t>
      </w:r>
      <w:r>
        <w:t xml:space="preserve">2020 than permitted under the Montreal Protocol </w:t>
      </w:r>
      <w:r w:rsidR="000E118C">
        <w:t>–</w:t>
      </w:r>
      <w:r>
        <w:t xml:space="preserve"> even after the </w:t>
      </w:r>
      <w:r w:rsidR="000E118C">
        <w:t>p</w:t>
      </w:r>
      <w:r>
        <w:t>arties to the Montreal Protocol agreed in 2007 to accelerate HCFC phase</w:t>
      </w:r>
      <w:r w:rsidR="00091005">
        <w:t>-</w:t>
      </w:r>
      <w:r>
        <w:t>out globally.</w:t>
      </w:r>
    </w:p>
    <w:p w14:paraId="002C6EDB" w14:textId="0F497EC2" w:rsidR="00FB0371" w:rsidRDefault="0063005E" w:rsidP="00C05D3C">
      <w:pPr>
        <w:pStyle w:val="Caption"/>
      </w:pPr>
      <w:bookmarkStart w:id="80" w:name="_Ref80713409"/>
      <w:bookmarkStart w:id="81" w:name="_Toc82789417"/>
      <w:r>
        <w:t xml:space="preserve">Figure </w:t>
      </w:r>
      <w:fldSimple w:instr=" SEQ Figure \* ARABIC ">
        <w:r w:rsidR="00524D2C">
          <w:rPr>
            <w:noProof/>
          </w:rPr>
          <w:t>15</w:t>
        </w:r>
      </w:fldSimple>
      <w:bookmarkEnd w:id="80"/>
      <w:r>
        <w:t xml:space="preserve"> Australia</w:t>
      </w:r>
      <w:r w:rsidR="000E118C">
        <w:t>’</w:t>
      </w:r>
      <w:r>
        <w:t>s HCFC phase</w:t>
      </w:r>
      <w:r w:rsidR="00091005">
        <w:t>-</w:t>
      </w:r>
      <w:r>
        <w:t xml:space="preserve">out schedule compared </w:t>
      </w:r>
      <w:r w:rsidR="000E118C">
        <w:t xml:space="preserve">with </w:t>
      </w:r>
      <w:r>
        <w:t>our Montreal Protocol obligation</w:t>
      </w:r>
      <w:r w:rsidR="007728E2">
        <w:t xml:space="preserve">, </w:t>
      </w:r>
      <w:r w:rsidR="007728E2" w:rsidRPr="007728E2">
        <w:t>1996 to 2031</w:t>
      </w:r>
      <w:bookmarkEnd w:id="81"/>
    </w:p>
    <w:p w14:paraId="7EE34926" w14:textId="608F9AA4" w:rsidR="008F1EA8" w:rsidRDefault="00FB0371" w:rsidP="00C05D3C">
      <w:pPr>
        <w:pStyle w:val="Caption"/>
      </w:pPr>
      <w:r>
        <w:rPr>
          <w:noProof/>
        </w:rPr>
        <w:drawing>
          <wp:inline distT="0" distB="0" distL="0" distR="0" wp14:anchorId="4CEBD6F2" wp14:editId="36B66B92">
            <wp:extent cx="5751979" cy="24860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65" t="1506" r="1066" b="2485"/>
                    <a:stretch/>
                  </pic:blipFill>
                  <pic:spPr bwMode="auto">
                    <a:xfrm>
                      <a:off x="0" y="0"/>
                      <a:ext cx="5763186" cy="2490869"/>
                    </a:xfrm>
                    <a:prstGeom prst="rect">
                      <a:avLst/>
                    </a:prstGeom>
                    <a:noFill/>
                    <a:ln>
                      <a:noFill/>
                    </a:ln>
                    <a:extLst>
                      <a:ext uri="{53640926-AAD7-44D8-BBD7-CCE9431645EC}">
                        <a14:shadowObscured xmlns:a14="http://schemas.microsoft.com/office/drawing/2010/main"/>
                      </a:ext>
                    </a:extLst>
                  </pic:spPr>
                </pic:pic>
              </a:graphicData>
            </a:graphic>
          </wp:inline>
        </w:drawing>
      </w:r>
    </w:p>
    <w:p w14:paraId="70831D5C" w14:textId="6ADD6A09" w:rsidR="00B447C8" w:rsidRDefault="00B447C8" w:rsidP="00B447C8">
      <w:r w:rsidRPr="00B447C8">
        <w:t>In 1996 Australia adopted an accelerated phase</w:t>
      </w:r>
      <w:r w:rsidR="00091005">
        <w:t>-</w:t>
      </w:r>
      <w:r w:rsidRPr="00B447C8">
        <w:t xml:space="preserve">out of HCFCs. The level of permitted imports and manufacture decreases every </w:t>
      </w:r>
      <w:r w:rsidR="000E118C">
        <w:t>2</w:t>
      </w:r>
      <w:r w:rsidR="000E118C" w:rsidRPr="00B447C8">
        <w:t xml:space="preserve"> </w:t>
      </w:r>
      <w:r w:rsidRPr="00B447C8">
        <w:t xml:space="preserve">years, as specified in </w:t>
      </w:r>
      <w:r w:rsidR="000E118C">
        <w:fldChar w:fldCharType="begin"/>
      </w:r>
      <w:r w:rsidR="000E118C">
        <w:instrText xml:space="preserve"> REF _Ref80713466 \h </w:instrText>
      </w:r>
      <w:r w:rsidR="000E118C">
        <w:fldChar w:fldCharType="separate"/>
      </w:r>
      <w:r w:rsidR="000E118C">
        <w:t xml:space="preserve">Table </w:t>
      </w:r>
      <w:r w:rsidR="000E118C">
        <w:rPr>
          <w:noProof/>
        </w:rPr>
        <w:t>7</w:t>
      </w:r>
      <w:r w:rsidR="000E118C">
        <w:fldChar w:fldCharType="end"/>
      </w:r>
      <w:r w:rsidRPr="00B447C8">
        <w:t>.</w:t>
      </w:r>
    </w:p>
    <w:p w14:paraId="3DC3A165" w14:textId="5B274139" w:rsidR="00B447C8" w:rsidRDefault="00B447C8" w:rsidP="00B447C8">
      <w:pPr>
        <w:pStyle w:val="Caption"/>
      </w:pPr>
      <w:bookmarkStart w:id="82" w:name="_Ref80713466"/>
      <w:bookmarkStart w:id="83" w:name="_Toc82789402"/>
      <w:r>
        <w:t xml:space="preserve">Table </w:t>
      </w:r>
      <w:fldSimple w:instr=" SEQ Table \* ARABIC ">
        <w:r w:rsidR="00822CB6">
          <w:rPr>
            <w:noProof/>
          </w:rPr>
          <w:t>8</w:t>
        </w:r>
      </w:fldSimple>
      <w:bookmarkEnd w:id="82"/>
      <w:r>
        <w:t xml:space="preserve"> Australia</w:t>
      </w:r>
      <w:r w:rsidR="000E118C">
        <w:t>’</w:t>
      </w:r>
      <w:r>
        <w:t>s imports of HCFCs</w:t>
      </w:r>
      <w:r w:rsidR="000E118C">
        <w:t xml:space="preserve">, </w:t>
      </w:r>
      <w:r>
        <w:t>2008</w:t>
      </w:r>
      <w:r w:rsidR="000E118C">
        <w:t xml:space="preserve"> to </w:t>
      </w:r>
      <w:r>
        <w:t>2030</w:t>
      </w:r>
      <w:bookmarkEnd w:id="83"/>
    </w:p>
    <w:tbl>
      <w:tblPr>
        <w:tblStyle w:val="TableGrid"/>
        <w:tblW w:w="0" w:type="auto"/>
        <w:jc w:val="right"/>
        <w:tblBorders>
          <w:left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B447C8" w:rsidRPr="00B447C8" w14:paraId="7AFD4B9B" w14:textId="77777777" w:rsidTr="007728E2">
        <w:trPr>
          <w:cantSplit/>
          <w:tblHeader/>
          <w:jc w:val="right"/>
        </w:trPr>
        <w:tc>
          <w:tcPr>
            <w:tcW w:w="4530" w:type="dxa"/>
          </w:tcPr>
          <w:p w14:paraId="59AF9913" w14:textId="77777777" w:rsidR="00B447C8" w:rsidRPr="00B447C8" w:rsidRDefault="00B447C8" w:rsidP="000E118C">
            <w:pPr>
              <w:pStyle w:val="TableHeading"/>
            </w:pPr>
            <w:bookmarkStart w:id="84" w:name="Title_8"/>
            <w:bookmarkEnd w:id="84"/>
            <w:r w:rsidRPr="00B447C8">
              <w:t>Year</w:t>
            </w:r>
          </w:p>
        </w:tc>
        <w:tc>
          <w:tcPr>
            <w:tcW w:w="4530" w:type="dxa"/>
          </w:tcPr>
          <w:p w14:paraId="40904D96" w14:textId="77777777" w:rsidR="00B447C8" w:rsidRPr="00B447C8" w:rsidRDefault="00B447C8" w:rsidP="007728E2">
            <w:pPr>
              <w:pStyle w:val="TableHeading"/>
              <w:jc w:val="right"/>
            </w:pPr>
            <w:bookmarkStart w:id="85" w:name="column_8"/>
            <w:bookmarkEnd w:id="85"/>
            <w:r w:rsidRPr="00B447C8">
              <w:t>Annual import limit (ODP tonnes)</w:t>
            </w:r>
          </w:p>
        </w:tc>
      </w:tr>
      <w:tr w:rsidR="00B447C8" w:rsidRPr="00B447C8" w14:paraId="0EC0D178" w14:textId="77777777" w:rsidTr="000E118C">
        <w:trPr>
          <w:jc w:val="right"/>
        </w:trPr>
        <w:tc>
          <w:tcPr>
            <w:tcW w:w="4530" w:type="dxa"/>
          </w:tcPr>
          <w:p w14:paraId="624A6A86" w14:textId="77777777" w:rsidR="00B447C8" w:rsidRPr="00B447C8" w:rsidRDefault="00B447C8" w:rsidP="000E118C">
            <w:pPr>
              <w:pStyle w:val="TableText"/>
            </w:pPr>
            <w:r w:rsidRPr="00B447C8">
              <w:t>2008, 2009</w:t>
            </w:r>
          </w:p>
        </w:tc>
        <w:tc>
          <w:tcPr>
            <w:tcW w:w="4530" w:type="dxa"/>
          </w:tcPr>
          <w:p w14:paraId="5BE58233" w14:textId="77777777" w:rsidR="00B447C8" w:rsidRPr="00B447C8" w:rsidRDefault="00B447C8" w:rsidP="00CD4927">
            <w:pPr>
              <w:pStyle w:val="TableText"/>
              <w:jc w:val="right"/>
            </w:pPr>
            <w:r w:rsidRPr="00B447C8">
              <w:t>100</w:t>
            </w:r>
          </w:p>
        </w:tc>
      </w:tr>
      <w:tr w:rsidR="00B447C8" w:rsidRPr="00B447C8" w14:paraId="5E51395C" w14:textId="77777777" w:rsidTr="000E118C">
        <w:trPr>
          <w:jc w:val="right"/>
        </w:trPr>
        <w:tc>
          <w:tcPr>
            <w:tcW w:w="4530" w:type="dxa"/>
          </w:tcPr>
          <w:p w14:paraId="1630B480" w14:textId="77777777" w:rsidR="00B447C8" w:rsidRPr="00B447C8" w:rsidRDefault="00B447C8" w:rsidP="000E118C">
            <w:pPr>
              <w:pStyle w:val="TableText"/>
            </w:pPr>
            <w:r w:rsidRPr="00B447C8">
              <w:t>2010, 2011</w:t>
            </w:r>
          </w:p>
        </w:tc>
        <w:tc>
          <w:tcPr>
            <w:tcW w:w="4530" w:type="dxa"/>
          </w:tcPr>
          <w:p w14:paraId="6589460C" w14:textId="77777777" w:rsidR="00B447C8" w:rsidRPr="00B447C8" w:rsidRDefault="00B447C8" w:rsidP="00CD4927">
            <w:pPr>
              <w:pStyle w:val="TableText"/>
              <w:jc w:val="right"/>
            </w:pPr>
            <w:r w:rsidRPr="00B447C8">
              <w:t>70</w:t>
            </w:r>
          </w:p>
        </w:tc>
      </w:tr>
      <w:tr w:rsidR="00B447C8" w:rsidRPr="00B447C8" w14:paraId="736EDD3E" w14:textId="77777777" w:rsidTr="000E118C">
        <w:trPr>
          <w:jc w:val="right"/>
        </w:trPr>
        <w:tc>
          <w:tcPr>
            <w:tcW w:w="4530" w:type="dxa"/>
          </w:tcPr>
          <w:p w14:paraId="6D127A0D" w14:textId="77777777" w:rsidR="00B447C8" w:rsidRPr="00B447C8" w:rsidRDefault="00B447C8" w:rsidP="000E118C">
            <w:pPr>
              <w:pStyle w:val="TableText"/>
            </w:pPr>
            <w:r w:rsidRPr="00B447C8">
              <w:t>2012, 2013</w:t>
            </w:r>
          </w:p>
        </w:tc>
        <w:tc>
          <w:tcPr>
            <w:tcW w:w="4530" w:type="dxa"/>
          </w:tcPr>
          <w:p w14:paraId="78E139AF" w14:textId="77777777" w:rsidR="00B447C8" w:rsidRPr="00B447C8" w:rsidRDefault="00B447C8" w:rsidP="00CD4927">
            <w:pPr>
              <w:pStyle w:val="TableText"/>
              <w:jc w:val="right"/>
            </w:pPr>
            <w:r w:rsidRPr="00B447C8">
              <w:t>40</w:t>
            </w:r>
          </w:p>
        </w:tc>
      </w:tr>
      <w:tr w:rsidR="00B447C8" w:rsidRPr="00B447C8" w14:paraId="4E7057E0" w14:textId="77777777" w:rsidTr="000E118C">
        <w:trPr>
          <w:jc w:val="right"/>
        </w:trPr>
        <w:tc>
          <w:tcPr>
            <w:tcW w:w="4530" w:type="dxa"/>
          </w:tcPr>
          <w:p w14:paraId="7F2A784C" w14:textId="77777777" w:rsidR="00B447C8" w:rsidRPr="00B447C8" w:rsidRDefault="00B447C8" w:rsidP="000E118C">
            <w:pPr>
              <w:pStyle w:val="TableText"/>
            </w:pPr>
            <w:r w:rsidRPr="00B447C8">
              <w:t>2014, 2015</w:t>
            </w:r>
          </w:p>
        </w:tc>
        <w:tc>
          <w:tcPr>
            <w:tcW w:w="4530" w:type="dxa"/>
          </w:tcPr>
          <w:p w14:paraId="1B5607A7" w14:textId="77777777" w:rsidR="00B447C8" w:rsidRPr="00B447C8" w:rsidRDefault="00B447C8" w:rsidP="00CD4927">
            <w:pPr>
              <w:pStyle w:val="TableText"/>
              <w:jc w:val="right"/>
            </w:pPr>
            <w:r w:rsidRPr="00B447C8">
              <w:t>10</w:t>
            </w:r>
          </w:p>
        </w:tc>
      </w:tr>
      <w:tr w:rsidR="00B447C8" w:rsidRPr="00B447C8" w14:paraId="0668D005" w14:textId="77777777" w:rsidTr="000E118C">
        <w:trPr>
          <w:jc w:val="right"/>
        </w:trPr>
        <w:tc>
          <w:tcPr>
            <w:tcW w:w="4530" w:type="dxa"/>
          </w:tcPr>
          <w:p w14:paraId="46E80DC8" w14:textId="679EDA60" w:rsidR="00B447C8" w:rsidRPr="00B447C8" w:rsidRDefault="00B447C8" w:rsidP="000E118C">
            <w:pPr>
              <w:pStyle w:val="TableText"/>
            </w:pPr>
            <w:r w:rsidRPr="00B447C8">
              <w:t xml:space="preserve">2016 </w:t>
            </w:r>
            <w:r w:rsidR="000E118C">
              <w:t>to</w:t>
            </w:r>
            <w:r w:rsidRPr="00B447C8">
              <w:t xml:space="preserve"> 2029</w:t>
            </w:r>
          </w:p>
        </w:tc>
        <w:tc>
          <w:tcPr>
            <w:tcW w:w="4530" w:type="dxa"/>
          </w:tcPr>
          <w:p w14:paraId="4F659097" w14:textId="77777777" w:rsidR="00B447C8" w:rsidRPr="00B447C8" w:rsidRDefault="00B447C8" w:rsidP="00CD4927">
            <w:pPr>
              <w:pStyle w:val="TableText"/>
              <w:jc w:val="right"/>
            </w:pPr>
            <w:r w:rsidRPr="00B447C8">
              <w:t>2.5</w:t>
            </w:r>
          </w:p>
        </w:tc>
      </w:tr>
      <w:tr w:rsidR="00B447C8" w:rsidRPr="00B447C8" w14:paraId="27747F7A" w14:textId="77777777" w:rsidTr="000E118C">
        <w:trPr>
          <w:jc w:val="right"/>
        </w:trPr>
        <w:tc>
          <w:tcPr>
            <w:tcW w:w="4530" w:type="dxa"/>
          </w:tcPr>
          <w:p w14:paraId="7E00F726" w14:textId="77777777" w:rsidR="00B447C8" w:rsidRPr="00B447C8" w:rsidRDefault="00B447C8" w:rsidP="000E118C">
            <w:pPr>
              <w:pStyle w:val="TableText"/>
            </w:pPr>
            <w:r w:rsidRPr="00B447C8">
              <w:t>2030</w:t>
            </w:r>
          </w:p>
        </w:tc>
        <w:tc>
          <w:tcPr>
            <w:tcW w:w="4530" w:type="dxa"/>
          </w:tcPr>
          <w:p w14:paraId="06167ADF" w14:textId="77777777" w:rsidR="00B447C8" w:rsidRPr="00B447C8" w:rsidRDefault="00B447C8" w:rsidP="00CD4927">
            <w:pPr>
              <w:pStyle w:val="TableText"/>
              <w:jc w:val="right"/>
            </w:pPr>
            <w:r w:rsidRPr="00B447C8">
              <w:t>0</w:t>
            </w:r>
          </w:p>
        </w:tc>
      </w:tr>
    </w:tbl>
    <w:p w14:paraId="5FB1B725" w14:textId="194DFC2E" w:rsidR="001E549A" w:rsidRPr="000F7C92" w:rsidRDefault="00C753DE" w:rsidP="000F7C92">
      <w:pPr>
        <w:pStyle w:val="Heading4"/>
        <w:numPr>
          <w:ilvl w:val="0"/>
          <w:numId w:val="0"/>
        </w:numPr>
        <w:spacing w:before="240"/>
        <w:ind w:left="964" w:hanging="964"/>
      </w:pPr>
      <w:r>
        <w:t>A</w:t>
      </w:r>
      <w:r w:rsidR="001E549A" w:rsidRPr="000F7C92">
        <w:t>ustralian legislation</w:t>
      </w:r>
    </w:p>
    <w:p w14:paraId="013F939F" w14:textId="4845C3D2" w:rsidR="00AC39EC" w:rsidRDefault="002535DA" w:rsidP="001E549A">
      <w:r w:rsidRPr="002535DA">
        <w:t xml:space="preserve">The Ozone Protection and Synthetic Greenhouse Gas Act (OPSGGM Act) implements Australia’s international obligations to reduce emissions of ozone depleting substances and synthetic </w:t>
      </w:r>
      <w:r w:rsidRPr="002535DA">
        <w:lastRenderedPageBreak/>
        <w:t>greenhouse gases under the Montreal Protocol on Substances that Deplete the Ozone Layer (Montreal Protocol) and the United Nations Framework Convention on Climate Change.</w:t>
      </w:r>
    </w:p>
    <w:p w14:paraId="3FCBEB25" w14:textId="402CE68E" w:rsidR="001E549A" w:rsidRDefault="001E549A" w:rsidP="001E549A">
      <w:r>
        <w:t xml:space="preserve">The </w:t>
      </w:r>
      <w:r w:rsidR="002535DA">
        <w:t>OPSGGM</w:t>
      </w:r>
      <w:r>
        <w:t xml:space="preserve"> Act controls the manufacture, import, export and end use of ozone depleting substances and synthetic greenhouse gases and equipment containing these gases.</w:t>
      </w:r>
    </w:p>
    <w:p w14:paraId="0D08C914" w14:textId="25F5A281" w:rsidR="001E549A" w:rsidRDefault="001E549A" w:rsidP="001E549A">
      <w:r>
        <w:t xml:space="preserve">The import, export and manufacture of these </w:t>
      </w:r>
      <w:r w:rsidR="000E118C">
        <w:t>‘</w:t>
      </w:r>
      <w:r>
        <w:t>controlled substances</w:t>
      </w:r>
      <w:r w:rsidR="000E118C">
        <w:t>’</w:t>
      </w:r>
      <w:r>
        <w:t xml:space="preserve">, and the import and manufacture of most equipment containing these substances, is prohibited in Australia unless the correct licence or exemption is held. The </w:t>
      </w:r>
      <w:r w:rsidR="00DC3C23">
        <w:t>OPSGGM Act</w:t>
      </w:r>
      <w:r>
        <w:t xml:space="preserve"> prohibits the import of all equipment containing ozone depleting substances such as CFCs and HCFCs unless an exemption has been granted.</w:t>
      </w:r>
    </w:p>
    <w:p w14:paraId="4CD3D803" w14:textId="206AB535" w:rsidR="00B447C8" w:rsidRDefault="001E549A" w:rsidP="001E549A">
      <w:r>
        <w:t xml:space="preserve">There are </w:t>
      </w:r>
      <w:r w:rsidR="000E118C">
        <w:t xml:space="preserve">4 </w:t>
      </w:r>
      <w:r>
        <w:t xml:space="preserve">types of import/export licences under the </w:t>
      </w:r>
      <w:r w:rsidR="00DC3C23">
        <w:t>OPSGGM Act</w:t>
      </w:r>
      <w:r w:rsidR="001D7EF4">
        <w:t>:</w:t>
      </w:r>
    </w:p>
    <w:p w14:paraId="39FC81F3" w14:textId="4483274F" w:rsidR="001E549A" w:rsidRDefault="001E549A" w:rsidP="00D05182">
      <w:pPr>
        <w:pStyle w:val="ListNumber"/>
      </w:pPr>
      <w:r w:rsidRPr="000A29A7">
        <w:rPr>
          <w:rStyle w:val="Strong"/>
        </w:rPr>
        <w:t>Ozone depleting substances and synthetic greenhouse gas equipment licences (EQPL)</w:t>
      </w:r>
      <w:r w:rsidR="00766DBD">
        <w:rPr>
          <w:rStyle w:val="Strong"/>
        </w:rPr>
        <w:t xml:space="preserve"> –</w:t>
      </w:r>
      <w:r>
        <w:t xml:space="preserve"> used to import equipment that contains synthetic greenhouse gases, a limited range of refrigeration and air conditioning equipment that contain a HCFC, and some types of equipment ordinarily banned, such as a halon fire suppression system aboard an aircraft</w:t>
      </w:r>
      <w:r w:rsidR="000E118C">
        <w:t>.</w:t>
      </w:r>
    </w:p>
    <w:p w14:paraId="27121DBF" w14:textId="7B5BD2A0" w:rsidR="001E549A" w:rsidRDefault="001E549A" w:rsidP="00D05182">
      <w:pPr>
        <w:pStyle w:val="ListNumber"/>
      </w:pPr>
      <w:r w:rsidRPr="003F12C4">
        <w:rPr>
          <w:rStyle w:val="Strong"/>
        </w:rPr>
        <w:t>Controlled substances licences</w:t>
      </w:r>
      <w:r w:rsidR="00420F13">
        <w:rPr>
          <w:rStyle w:val="Strong"/>
        </w:rPr>
        <w:t xml:space="preserve"> –</w:t>
      </w:r>
      <w:r w:rsidR="00420F13">
        <w:t xml:space="preserve"> </w:t>
      </w:r>
      <w:r>
        <w:t xml:space="preserve">used to import (in bulk), export and manufacture HCFCs and methyl bromide, and synthetic greenhouse gases (HFCs (hydrofluorocarbons), PFCs (perfluorocarbons), </w:t>
      </w:r>
      <w:proofErr w:type="spellStart"/>
      <w:r>
        <w:t>sulfur</w:t>
      </w:r>
      <w:proofErr w:type="spellEnd"/>
      <w:r>
        <w:t xml:space="preserve"> hexafluoride (SF6) and nitrogen trifluoride).</w:t>
      </w:r>
    </w:p>
    <w:p w14:paraId="7D0BF363" w14:textId="1B65116E" w:rsidR="001E549A" w:rsidRDefault="001E549A" w:rsidP="00D05182">
      <w:pPr>
        <w:pStyle w:val="ListNumber"/>
      </w:pPr>
      <w:r w:rsidRPr="003F12C4">
        <w:rPr>
          <w:rStyle w:val="Strong"/>
        </w:rPr>
        <w:t>Essential uses licences</w:t>
      </w:r>
      <w:r w:rsidR="00C308E5" w:rsidRPr="00C308E5">
        <w:rPr>
          <w:rStyle w:val="Strong"/>
        </w:rPr>
        <w:t xml:space="preserve"> </w:t>
      </w:r>
      <w:r w:rsidR="00C308E5">
        <w:rPr>
          <w:rStyle w:val="Strong"/>
        </w:rPr>
        <w:t>–</w:t>
      </w:r>
      <w:r w:rsidR="00C308E5">
        <w:t xml:space="preserve"> </w:t>
      </w:r>
      <w:r>
        <w:t xml:space="preserve">The </w:t>
      </w:r>
      <w:r w:rsidR="00DC3C23">
        <w:t>OPSGGM Act</w:t>
      </w:r>
      <w:r>
        <w:t xml:space="preserve"> prohibits the import, export and manufacture of CFCs, halons, methyl chloroform, carbon tetrachloride and bromochloromethane, and the import of HBFCs without an essential uses licence. Such licences are only granted for a strictly limited range of essential uses approved by the parties to the Montreal Protocol.</w:t>
      </w:r>
    </w:p>
    <w:p w14:paraId="4E851659" w14:textId="66AAF4C6" w:rsidR="001E549A" w:rsidRDefault="001E549A" w:rsidP="00D05182">
      <w:pPr>
        <w:pStyle w:val="ListNumber"/>
      </w:pPr>
      <w:r w:rsidRPr="003F12C4">
        <w:rPr>
          <w:rStyle w:val="Strong"/>
        </w:rPr>
        <w:t>Used substance licences</w:t>
      </w:r>
      <w:r w:rsidR="00C308E5" w:rsidRPr="00C308E5">
        <w:rPr>
          <w:rStyle w:val="Strong"/>
        </w:rPr>
        <w:t xml:space="preserve"> </w:t>
      </w:r>
      <w:r w:rsidR="00C308E5">
        <w:rPr>
          <w:rStyle w:val="Strong"/>
        </w:rPr>
        <w:t>–</w:t>
      </w:r>
      <w:r w:rsidR="00C308E5">
        <w:t xml:space="preserve"> </w:t>
      </w:r>
      <w:r>
        <w:t xml:space="preserve">The </w:t>
      </w:r>
      <w:r w:rsidR="00DC3C23">
        <w:t>OPSGGM Act</w:t>
      </w:r>
      <w:r>
        <w:t xml:space="preserve"> prohibits the import and export of used or recycled HCFCs, methyl bromide, bromochloromethane, CFCs, halon, carbon tetrachloride, methyl chloroform and synthetic greenhouse gases without a used substance licence. Import of these substances is generally only permitted for their disposal.</w:t>
      </w:r>
    </w:p>
    <w:p w14:paraId="065866B3" w14:textId="30C72344" w:rsidR="00B447C8" w:rsidRDefault="001E549A" w:rsidP="00B447C8">
      <w:r>
        <w:t xml:space="preserve">Australia reports its consumption (manufacture plus imports, minus exports) of bulk ozone depleting substances and HFCs to the Montreal Protocol on a calendar year basis. This data is reported in accordance with Article 7 of the Montreal Protocol and is called </w:t>
      </w:r>
      <w:r w:rsidR="000E118C">
        <w:t>‘</w:t>
      </w:r>
      <w:r>
        <w:t>Article 7 data</w:t>
      </w:r>
      <w:r w:rsidR="000E118C">
        <w:t>’</w:t>
      </w:r>
      <w:r>
        <w:t>. Most of the information presented in this document is based on Australia’s, or global, Article 7 data. Australia does not manufacture controlled substance</w:t>
      </w:r>
      <w:r w:rsidRPr="00C94F5F">
        <w:t>s.</w:t>
      </w:r>
      <w:bookmarkEnd w:id="43"/>
      <w:bookmarkEnd w:id="44"/>
      <w:r w:rsidR="00DA5166" w:rsidRPr="00C94F5F">
        <w:t xml:space="preserve"> </w:t>
      </w:r>
      <w:r w:rsidR="00BE4B6E">
        <w:t xml:space="preserve">See the Ozone Secretariat’s </w:t>
      </w:r>
      <w:hyperlink r:id="rId36" w:history="1">
        <w:r w:rsidR="00DA5166" w:rsidRPr="00BE4B6E">
          <w:rPr>
            <w:rStyle w:val="Hyperlink"/>
          </w:rPr>
          <w:t>Article 7 data for all countries</w:t>
        </w:r>
      </w:hyperlink>
      <w:r w:rsidR="00C94F5F" w:rsidRPr="00C94F5F">
        <w:t>.</w:t>
      </w:r>
    </w:p>
    <w:sectPr w:rsidR="00B447C8" w:rsidSect="001E549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F3BD4" w14:textId="77777777" w:rsidR="00B60691" w:rsidRDefault="00B60691">
      <w:r>
        <w:separator/>
      </w:r>
    </w:p>
    <w:p w14:paraId="4FC6F3DB" w14:textId="77777777" w:rsidR="00B60691" w:rsidRDefault="00B60691"/>
    <w:p w14:paraId="1E85E91C" w14:textId="77777777" w:rsidR="00B60691" w:rsidRDefault="00B60691"/>
  </w:endnote>
  <w:endnote w:type="continuationSeparator" w:id="0">
    <w:p w14:paraId="1EF3E285" w14:textId="77777777" w:rsidR="00B60691" w:rsidRDefault="00B60691">
      <w:r>
        <w:continuationSeparator/>
      </w:r>
    </w:p>
    <w:p w14:paraId="0D45CE74" w14:textId="77777777" w:rsidR="00B60691" w:rsidRDefault="00B60691"/>
    <w:p w14:paraId="4A0DEC37" w14:textId="77777777" w:rsidR="00B60691" w:rsidRDefault="00B60691"/>
  </w:endnote>
  <w:endnote w:type="continuationNotice" w:id="1">
    <w:p w14:paraId="14CB810F" w14:textId="77777777" w:rsidR="00B60691" w:rsidRDefault="00B60691">
      <w:pPr>
        <w:pStyle w:val="Footer"/>
      </w:pPr>
    </w:p>
    <w:p w14:paraId="5E22C74F" w14:textId="77777777" w:rsidR="00B60691" w:rsidRDefault="00B60691"/>
    <w:p w14:paraId="7744F7A4" w14:textId="77777777" w:rsidR="00B60691" w:rsidRDefault="00B60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FF55" w14:textId="77777777" w:rsidR="00B861B4" w:rsidRDefault="00B861B4">
    <w:pPr>
      <w:pStyle w:val="Footer"/>
    </w:pPr>
    <w:r>
      <w:t>Department of Agriculture, Water and the Environment</w:t>
    </w:r>
  </w:p>
  <w:p w14:paraId="060C2BE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857A" w14:textId="77777777" w:rsidR="00B60691" w:rsidRDefault="00B60691">
      <w:r>
        <w:separator/>
      </w:r>
    </w:p>
    <w:p w14:paraId="0CAA64ED" w14:textId="77777777" w:rsidR="00B60691" w:rsidRDefault="00B60691"/>
    <w:p w14:paraId="7FEE9622" w14:textId="77777777" w:rsidR="00B60691" w:rsidRDefault="00B60691"/>
  </w:footnote>
  <w:footnote w:type="continuationSeparator" w:id="0">
    <w:p w14:paraId="23A0FCF4" w14:textId="77777777" w:rsidR="00B60691" w:rsidRDefault="00B60691">
      <w:r>
        <w:continuationSeparator/>
      </w:r>
    </w:p>
    <w:p w14:paraId="7214DA01" w14:textId="77777777" w:rsidR="00B60691" w:rsidRDefault="00B60691"/>
    <w:p w14:paraId="24FC4F80" w14:textId="77777777" w:rsidR="00B60691" w:rsidRDefault="00B60691"/>
  </w:footnote>
  <w:footnote w:type="continuationNotice" w:id="1">
    <w:p w14:paraId="7745D6B1" w14:textId="77777777" w:rsidR="00B60691" w:rsidRDefault="00B60691">
      <w:pPr>
        <w:pStyle w:val="Footer"/>
      </w:pPr>
    </w:p>
    <w:p w14:paraId="4D4A29D4" w14:textId="77777777" w:rsidR="00B60691" w:rsidRDefault="00B60691"/>
    <w:p w14:paraId="313388A7" w14:textId="77777777" w:rsidR="00B60691" w:rsidRDefault="00B606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EEE8" w14:textId="74D820B9" w:rsidR="00B861B4" w:rsidRDefault="00E2487E">
    <w:pPr>
      <w:pStyle w:val="Header"/>
    </w:pPr>
    <w:r>
      <w:t>Phasing out</w:t>
    </w:r>
    <w:r w:rsidR="003476CD">
      <w:t xml:space="preserve"> and phasing down</w:t>
    </w:r>
    <w:r>
      <w:t xml:space="preserve"> </w:t>
    </w:r>
    <w:r w:rsidRPr="004A46DE">
      <w:t>substances controlled by the</w:t>
    </w:r>
    <w:r w:rsidRPr="005A6218">
      <w:t xml:space="preserve"> Montreal</w:t>
    </w:r>
    <w:r>
      <w:t xml:space="preserve"> Protocol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9A77" w14:textId="170B1307" w:rsidR="00B861B4" w:rsidRDefault="00B861B4">
    <w:pPr>
      <w:pStyle w:val="Header"/>
      <w:jc w:val="left"/>
    </w:pPr>
    <w:r>
      <w:rPr>
        <w:noProof/>
        <w:lang w:eastAsia="en-AU"/>
      </w:rPr>
      <w:drawing>
        <wp:inline distT="0" distB="0" distL="0" distR="0" wp14:anchorId="3DED6415" wp14:editId="57255497">
          <wp:extent cx="2123264" cy="63724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BAC5CF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7" w15:restartNumberingAfterBreak="0">
    <w:nsid w:val="06E06435"/>
    <w:multiLevelType w:val="hybridMultilevel"/>
    <w:tmpl w:val="1FA0C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9"/>
  </w:num>
  <w:num w:numId="3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1AD"/>
    <w:rsid w:val="000034C4"/>
    <w:rsid w:val="0000356A"/>
    <w:rsid w:val="00023A67"/>
    <w:rsid w:val="000329AD"/>
    <w:rsid w:val="00043835"/>
    <w:rsid w:val="0004404E"/>
    <w:rsid w:val="00061C53"/>
    <w:rsid w:val="00062AA3"/>
    <w:rsid w:val="00071B72"/>
    <w:rsid w:val="000860BB"/>
    <w:rsid w:val="00091005"/>
    <w:rsid w:val="00093A2D"/>
    <w:rsid w:val="00097FA8"/>
    <w:rsid w:val="000A0EBC"/>
    <w:rsid w:val="000A29A7"/>
    <w:rsid w:val="000A7AAF"/>
    <w:rsid w:val="000B1816"/>
    <w:rsid w:val="000C358F"/>
    <w:rsid w:val="000C7EE8"/>
    <w:rsid w:val="000D0594"/>
    <w:rsid w:val="000D2584"/>
    <w:rsid w:val="000D2DB4"/>
    <w:rsid w:val="000D48F0"/>
    <w:rsid w:val="000E118C"/>
    <w:rsid w:val="000E18C0"/>
    <w:rsid w:val="000E55B0"/>
    <w:rsid w:val="000E67F8"/>
    <w:rsid w:val="000F701F"/>
    <w:rsid w:val="000F7296"/>
    <w:rsid w:val="000F7C92"/>
    <w:rsid w:val="0010177A"/>
    <w:rsid w:val="001035F6"/>
    <w:rsid w:val="001104E5"/>
    <w:rsid w:val="001122B3"/>
    <w:rsid w:val="00122771"/>
    <w:rsid w:val="0012640D"/>
    <w:rsid w:val="001432B6"/>
    <w:rsid w:val="00144FB5"/>
    <w:rsid w:val="001551A2"/>
    <w:rsid w:val="0015568A"/>
    <w:rsid w:val="00157478"/>
    <w:rsid w:val="001610DC"/>
    <w:rsid w:val="001725F4"/>
    <w:rsid w:val="0017699C"/>
    <w:rsid w:val="00182B56"/>
    <w:rsid w:val="00182DD1"/>
    <w:rsid w:val="00185737"/>
    <w:rsid w:val="0018765B"/>
    <w:rsid w:val="001931B4"/>
    <w:rsid w:val="001962A4"/>
    <w:rsid w:val="00196826"/>
    <w:rsid w:val="001A282C"/>
    <w:rsid w:val="001A2DE5"/>
    <w:rsid w:val="001A7DEB"/>
    <w:rsid w:val="001B2BA3"/>
    <w:rsid w:val="001B4E4F"/>
    <w:rsid w:val="001C52C2"/>
    <w:rsid w:val="001D0521"/>
    <w:rsid w:val="001D1CA0"/>
    <w:rsid w:val="001D1EB1"/>
    <w:rsid w:val="001D4A8B"/>
    <w:rsid w:val="001D6159"/>
    <w:rsid w:val="001D7EF4"/>
    <w:rsid w:val="001E549A"/>
    <w:rsid w:val="001E7897"/>
    <w:rsid w:val="001F4D08"/>
    <w:rsid w:val="00200C86"/>
    <w:rsid w:val="00215443"/>
    <w:rsid w:val="00217412"/>
    <w:rsid w:val="00222137"/>
    <w:rsid w:val="00224CEE"/>
    <w:rsid w:val="002319D8"/>
    <w:rsid w:val="00231C4E"/>
    <w:rsid w:val="002363FE"/>
    <w:rsid w:val="00236554"/>
    <w:rsid w:val="0024464C"/>
    <w:rsid w:val="00247981"/>
    <w:rsid w:val="0025001D"/>
    <w:rsid w:val="002535DA"/>
    <w:rsid w:val="00257BC3"/>
    <w:rsid w:val="00260776"/>
    <w:rsid w:val="002645E2"/>
    <w:rsid w:val="00266E99"/>
    <w:rsid w:val="00281BB6"/>
    <w:rsid w:val="002836BA"/>
    <w:rsid w:val="00283AF1"/>
    <w:rsid w:val="00284D14"/>
    <w:rsid w:val="00284F02"/>
    <w:rsid w:val="0028588D"/>
    <w:rsid w:val="00286307"/>
    <w:rsid w:val="0028695F"/>
    <w:rsid w:val="00287529"/>
    <w:rsid w:val="002A4D72"/>
    <w:rsid w:val="002B3AC5"/>
    <w:rsid w:val="002B5D0E"/>
    <w:rsid w:val="002C022F"/>
    <w:rsid w:val="002C06AB"/>
    <w:rsid w:val="002E0464"/>
    <w:rsid w:val="002E1944"/>
    <w:rsid w:val="002E5DA7"/>
    <w:rsid w:val="003024BD"/>
    <w:rsid w:val="00330889"/>
    <w:rsid w:val="00341E2B"/>
    <w:rsid w:val="00345315"/>
    <w:rsid w:val="00346232"/>
    <w:rsid w:val="003476CD"/>
    <w:rsid w:val="00353957"/>
    <w:rsid w:val="00363F79"/>
    <w:rsid w:val="00366D31"/>
    <w:rsid w:val="00380285"/>
    <w:rsid w:val="00381141"/>
    <w:rsid w:val="00392F8A"/>
    <w:rsid w:val="00397B7B"/>
    <w:rsid w:val="003A05BC"/>
    <w:rsid w:val="003B23F8"/>
    <w:rsid w:val="003C24B9"/>
    <w:rsid w:val="003C295C"/>
    <w:rsid w:val="003C3F94"/>
    <w:rsid w:val="003C64FE"/>
    <w:rsid w:val="003D7FC2"/>
    <w:rsid w:val="003E1C36"/>
    <w:rsid w:val="003E427A"/>
    <w:rsid w:val="003F12C4"/>
    <w:rsid w:val="00400738"/>
    <w:rsid w:val="004029AE"/>
    <w:rsid w:val="00410B27"/>
    <w:rsid w:val="004119A5"/>
    <w:rsid w:val="00420F13"/>
    <w:rsid w:val="00424443"/>
    <w:rsid w:val="004372AD"/>
    <w:rsid w:val="0044098A"/>
    <w:rsid w:val="004420EC"/>
    <w:rsid w:val="00442E8F"/>
    <w:rsid w:val="00444D77"/>
    <w:rsid w:val="00456319"/>
    <w:rsid w:val="00476290"/>
    <w:rsid w:val="00476FAA"/>
    <w:rsid w:val="00491E5F"/>
    <w:rsid w:val="004A46DE"/>
    <w:rsid w:val="004A64D8"/>
    <w:rsid w:val="004A7347"/>
    <w:rsid w:val="004A73EB"/>
    <w:rsid w:val="004B1D54"/>
    <w:rsid w:val="004C0BA1"/>
    <w:rsid w:val="004C267D"/>
    <w:rsid w:val="004C3A9D"/>
    <w:rsid w:val="004D10CC"/>
    <w:rsid w:val="004D2845"/>
    <w:rsid w:val="004D66FB"/>
    <w:rsid w:val="004F0DBF"/>
    <w:rsid w:val="004F32C8"/>
    <w:rsid w:val="005043EB"/>
    <w:rsid w:val="005068DC"/>
    <w:rsid w:val="00511F52"/>
    <w:rsid w:val="00512133"/>
    <w:rsid w:val="005128D8"/>
    <w:rsid w:val="00524D2C"/>
    <w:rsid w:val="00535B63"/>
    <w:rsid w:val="00544CFD"/>
    <w:rsid w:val="00552069"/>
    <w:rsid w:val="0055531E"/>
    <w:rsid w:val="00557436"/>
    <w:rsid w:val="00562422"/>
    <w:rsid w:val="005714A7"/>
    <w:rsid w:val="00571FF2"/>
    <w:rsid w:val="00582F56"/>
    <w:rsid w:val="005926E4"/>
    <w:rsid w:val="005A2914"/>
    <w:rsid w:val="005A6218"/>
    <w:rsid w:val="005B1049"/>
    <w:rsid w:val="005B44DA"/>
    <w:rsid w:val="005C00D1"/>
    <w:rsid w:val="005C2786"/>
    <w:rsid w:val="005C40EB"/>
    <w:rsid w:val="005C6498"/>
    <w:rsid w:val="005D1D83"/>
    <w:rsid w:val="005D5166"/>
    <w:rsid w:val="005E25BD"/>
    <w:rsid w:val="005E2EA0"/>
    <w:rsid w:val="005E4C1C"/>
    <w:rsid w:val="00601B1B"/>
    <w:rsid w:val="006041A6"/>
    <w:rsid w:val="006138D1"/>
    <w:rsid w:val="0063005E"/>
    <w:rsid w:val="006307CF"/>
    <w:rsid w:val="0063675F"/>
    <w:rsid w:val="006424F8"/>
    <w:rsid w:val="00644D8B"/>
    <w:rsid w:val="00655E2F"/>
    <w:rsid w:val="00671D4B"/>
    <w:rsid w:val="00676242"/>
    <w:rsid w:val="00682F86"/>
    <w:rsid w:val="00694349"/>
    <w:rsid w:val="006A013F"/>
    <w:rsid w:val="006A7C74"/>
    <w:rsid w:val="006C0D7E"/>
    <w:rsid w:val="006C16FF"/>
    <w:rsid w:val="006C5145"/>
    <w:rsid w:val="006D2D1A"/>
    <w:rsid w:val="006D7C03"/>
    <w:rsid w:val="006E08B3"/>
    <w:rsid w:val="006F354E"/>
    <w:rsid w:val="007019E8"/>
    <w:rsid w:val="007141BE"/>
    <w:rsid w:val="0072290E"/>
    <w:rsid w:val="00723E11"/>
    <w:rsid w:val="00742C1E"/>
    <w:rsid w:val="0074730F"/>
    <w:rsid w:val="007566B2"/>
    <w:rsid w:val="0076022F"/>
    <w:rsid w:val="007619D8"/>
    <w:rsid w:val="00764D6A"/>
    <w:rsid w:val="00766DBD"/>
    <w:rsid w:val="007728E2"/>
    <w:rsid w:val="00773056"/>
    <w:rsid w:val="007775B1"/>
    <w:rsid w:val="0078428F"/>
    <w:rsid w:val="0078757A"/>
    <w:rsid w:val="007936AC"/>
    <w:rsid w:val="007946D9"/>
    <w:rsid w:val="00795843"/>
    <w:rsid w:val="007A02F0"/>
    <w:rsid w:val="007A061C"/>
    <w:rsid w:val="007A275D"/>
    <w:rsid w:val="007A2B01"/>
    <w:rsid w:val="007A7480"/>
    <w:rsid w:val="007A7F31"/>
    <w:rsid w:val="007B6EF4"/>
    <w:rsid w:val="007C0A08"/>
    <w:rsid w:val="007C358A"/>
    <w:rsid w:val="007D74FD"/>
    <w:rsid w:val="007E67AE"/>
    <w:rsid w:val="008073E4"/>
    <w:rsid w:val="00807666"/>
    <w:rsid w:val="00817554"/>
    <w:rsid w:val="00822CB6"/>
    <w:rsid w:val="008259C7"/>
    <w:rsid w:val="0083013E"/>
    <w:rsid w:val="00830A66"/>
    <w:rsid w:val="00834BA1"/>
    <w:rsid w:val="00840A9A"/>
    <w:rsid w:val="00853159"/>
    <w:rsid w:val="00861BD1"/>
    <w:rsid w:val="008642AB"/>
    <w:rsid w:val="00864E67"/>
    <w:rsid w:val="00865B95"/>
    <w:rsid w:val="008714F3"/>
    <w:rsid w:val="00873298"/>
    <w:rsid w:val="00876A3D"/>
    <w:rsid w:val="00880F83"/>
    <w:rsid w:val="00881607"/>
    <w:rsid w:val="00884FB8"/>
    <w:rsid w:val="00890924"/>
    <w:rsid w:val="00892F7B"/>
    <w:rsid w:val="008B0DB8"/>
    <w:rsid w:val="008C60BC"/>
    <w:rsid w:val="008D56CD"/>
    <w:rsid w:val="008D619B"/>
    <w:rsid w:val="008E06CC"/>
    <w:rsid w:val="008E2510"/>
    <w:rsid w:val="008E363D"/>
    <w:rsid w:val="008E4AED"/>
    <w:rsid w:val="008E4EE5"/>
    <w:rsid w:val="008F0FCA"/>
    <w:rsid w:val="008F1EA8"/>
    <w:rsid w:val="0090164D"/>
    <w:rsid w:val="0090688C"/>
    <w:rsid w:val="00907054"/>
    <w:rsid w:val="00924F22"/>
    <w:rsid w:val="009274AF"/>
    <w:rsid w:val="00927FDF"/>
    <w:rsid w:val="00935675"/>
    <w:rsid w:val="0093610A"/>
    <w:rsid w:val="00937057"/>
    <w:rsid w:val="009412B6"/>
    <w:rsid w:val="00945B18"/>
    <w:rsid w:val="009461BA"/>
    <w:rsid w:val="009622F9"/>
    <w:rsid w:val="009663DA"/>
    <w:rsid w:val="00971931"/>
    <w:rsid w:val="00972A86"/>
    <w:rsid w:val="00972E19"/>
    <w:rsid w:val="009830EA"/>
    <w:rsid w:val="00990456"/>
    <w:rsid w:val="00991F20"/>
    <w:rsid w:val="009963DD"/>
    <w:rsid w:val="0099659A"/>
    <w:rsid w:val="009A513C"/>
    <w:rsid w:val="009A6B23"/>
    <w:rsid w:val="009C4385"/>
    <w:rsid w:val="009C4F1B"/>
    <w:rsid w:val="009C650B"/>
    <w:rsid w:val="009D5007"/>
    <w:rsid w:val="009E019E"/>
    <w:rsid w:val="009E35F5"/>
    <w:rsid w:val="00A0754C"/>
    <w:rsid w:val="00A12CA0"/>
    <w:rsid w:val="00A16A4A"/>
    <w:rsid w:val="00A20583"/>
    <w:rsid w:val="00A20E35"/>
    <w:rsid w:val="00A2640D"/>
    <w:rsid w:val="00A32DFD"/>
    <w:rsid w:val="00A41F85"/>
    <w:rsid w:val="00A42A96"/>
    <w:rsid w:val="00A52483"/>
    <w:rsid w:val="00A52D0F"/>
    <w:rsid w:val="00A72F22"/>
    <w:rsid w:val="00A74B7E"/>
    <w:rsid w:val="00A7521F"/>
    <w:rsid w:val="00A7616B"/>
    <w:rsid w:val="00A82040"/>
    <w:rsid w:val="00A862F3"/>
    <w:rsid w:val="00A94926"/>
    <w:rsid w:val="00AA4CDB"/>
    <w:rsid w:val="00AB0519"/>
    <w:rsid w:val="00AB1BAC"/>
    <w:rsid w:val="00AB4AC0"/>
    <w:rsid w:val="00AC35F5"/>
    <w:rsid w:val="00AC39EC"/>
    <w:rsid w:val="00AC4F26"/>
    <w:rsid w:val="00AD165C"/>
    <w:rsid w:val="00AD5DB5"/>
    <w:rsid w:val="00AE1071"/>
    <w:rsid w:val="00AE4237"/>
    <w:rsid w:val="00AF2803"/>
    <w:rsid w:val="00AF4330"/>
    <w:rsid w:val="00B02C24"/>
    <w:rsid w:val="00B072B6"/>
    <w:rsid w:val="00B1256A"/>
    <w:rsid w:val="00B137E7"/>
    <w:rsid w:val="00B14664"/>
    <w:rsid w:val="00B14A8C"/>
    <w:rsid w:val="00B15753"/>
    <w:rsid w:val="00B2408B"/>
    <w:rsid w:val="00B349EB"/>
    <w:rsid w:val="00B447C8"/>
    <w:rsid w:val="00B44C3A"/>
    <w:rsid w:val="00B476ED"/>
    <w:rsid w:val="00B518A2"/>
    <w:rsid w:val="00B52CFF"/>
    <w:rsid w:val="00B5740E"/>
    <w:rsid w:val="00B60691"/>
    <w:rsid w:val="00B6320B"/>
    <w:rsid w:val="00B80B93"/>
    <w:rsid w:val="00B8610C"/>
    <w:rsid w:val="00B861B4"/>
    <w:rsid w:val="00B86EF1"/>
    <w:rsid w:val="00B87359"/>
    <w:rsid w:val="00B94B23"/>
    <w:rsid w:val="00B97E61"/>
    <w:rsid w:val="00BA5C86"/>
    <w:rsid w:val="00BB6BA6"/>
    <w:rsid w:val="00BC1616"/>
    <w:rsid w:val="00BC415D"/>
    <w:rsid w:val="00BC5550"/>
    <w:rsid w:val="00BD4D6E"/>
    <w:rsid w:val="00BE4B6E"/>
    <w:rsid w:val="00BE561A"/>
    <w:rsid w:val="00BE6269"/>
    <w:rsid w:val="00BF08B5"/>
    <w:rsid w:val="00BF159D"/>
    <w:rsid w:val="00BF6D78"/>
    <w:rsid w:val="00C000A6"/>
    <w:rsid w:val="00C003C5"/>
    <w:rsid w:val="00C02519"/>
    <w:rsid w:val="00C02998"/>
    <w:rsid w:val="00C05104"/>
    <w:rsid w:val="00C05D3C"/>
    <w:rsid w:val="00C12ACE"/>
    <w:rsid w:val="00C264B2"/>
    <w:rsid w:val="00C308E5"/>
    <w:rsid w:val="00C33358"/>
    <w:rsid w:val="00C37DAD"/>
    <w:rsid w:val="00C416EC"/>
    <w:rsid w:val="00C41B62"/>
    <w:rsid w:val="00C44282"/>
    <w:rsid w:val="00C446ED"/>
    <w:rsid w:val="00C46BFE"/>
    <w:rsid w:val="00C50746"/>
    <w:rsid w:val="00C55ACE"/>
    <w:rsid w:val="00C6024D"/>
    <w:rsid w:val="00C63585"/>
    <w:rsid w:val="00C65087"/>
    <w:rsid w:val="00C70311"/>
    <w:rsid w:val="00C746CC"/>
    <w:rsid w:val="00C7475E"/>
    <w:rsid w:val="00C753DE"/>
    <w:rsid w:val="00C83514"/>
    <w:rsid w:val="00C8521E"/>
    <w:rsid w:val="00C85A26"/>
    <w:rsid w:val="00C85C62"/>
    <w:rsid w:val="00C9183E"/>
    <w:rsid w:val="00C91B91"/>
    <w:rsid w:val="00C94F5F"/>
    <w:rsid w:val="00CB1879"/>
    <w:rsid w:val="00CB2734"/>
    <w:rsid w:val="00CB35CF"/>
    <w:rsid w:val="00CB376E"/>
    <w:rsid w:val="00CB52E8"/>
    <w:rsid w:val="00CB5AE9"/>
    <w:rsid w:val="00CC6D96"/>
    <w:rsid w:val="00CD4927"/>
    <w:rsid w:val="00CE6D94"/>
    <w:rsid w:val="00CF2C57"/>
    <w:rsid w:val="00CF3673"/>
    <w:rsid w:val="00CF6859"/>
    <w:rsid w:val="00D05182"/>
    <w:rsid w:val="00D147E8"/>
    <w:rsid w:val="00D2312A"/>
    <w:rsid w:val="00D25BB6"/>
    <w:rsid w:val="00D274CD"/>
    <w:rsid w:val="00D341E3"/>
    <w:rsid w:val="00D47121"/>
    <w:rsid w:val="00D51F4D"/>
    <w:rsid w:val="00D53FE3"/>
    <w:rsid w:val="00D55AA3"/>
    <w:rsid w:val="00D55F68"/>
    <w:rsid w:val="00D5720E"/>
    <w:rsid w:val="00D6626A"/>
    <w:rsid w:val="00D703F9"/>
    <w:rsid w:val="00D86A35"/>
    <w:rsid w:val="00DA5166"/>
    <w:rsid w:val="00DC3C23"/>
    <w:rsid w:val="00DC46A0"/>
    <w:rsid w:val="00DC735A"/>
    <w:rsid w:val="00DD2A4B"/>
    <w:rsid w:val="00DE1363"/>
    <w:rsid w:val="00DE1C1B"/>
    <w:rsid w:val="00DE4D74"/>
    <w:rsid w:val="00DE5C54"/>
    <w:rsid w:val="00E03BCB"/>
    <w:rsid w:val="00E06E4E"/>
    <w:rsid w:val="00E10F96"/>
    <w:rsid w:val="00E11A7D"/>
    <w:rsid w:val="00E11F69"/>
    <w:rsid w:val="00E20810"/>
    <w:rsid w:val="00E22D89"/>
    <w:rsid w:val="00E231E8"/>
    <w:rsid w:val="00E2487E"/>
    <w:rsid w:val="00E267BD"/>
    <w:rsid w:val="00E43D69"/>
    <w:rsid w:val="00E56FB0"/>
    <w:rsid w:val="00E5773D"/>
    <w:rsid w:val="00E601AD"/>
    <w:rsid w:val="00E63347"/>
    <w:rsid w:val="00E64B74"/>
    <w:rsid w:val="00E64D7B"/>
    <w:rsid w:val="00E667E0"/>
    <w:rsid w:val="00E72B97"/>
    <w:rsid w:val="00E8332C"/>
    <w:rsid w:val="00E90765"/>
    <w:rsid w:val="00E91D72"/>
    <w:rsid w:val="00EA2817"/>
    <w:rsid w:val="00EA4546"/>
    <w:rsid w:val="00EB0475"/>
    <w:rsid w:val="00EB42C9"/>
    <w:rsid w:val="00EB59ED"/>
    <w:rsid w:val="00EB759B"/>
    <w:rsid w:val="00EC0A37"/>
    <w:rsid w:val="00EC1609"/>
    <w:rsid w:val="00EC1E23"/>
    <w:rsid w:val="00EC5ECD"/>
    <w:rsid w:val="00EC67BF"/>
    <w:rsid w:val="00ED2A5E"/>
    <w:rsid w:val="00ED7FB9"/>
    <w:rsid w:val="00EE09E5"/>
    <w:rsid w:val="00EE759D"/>
    <w:rsid w:val="00EF09E7"/>
    <w:rsid w:val="00EF55CC"/>
    <w:rsid w:val="00EF6FEF"/>
    <w:rsid w:val="00EF7832"/>
    <w:rsid w:val="00F0164A"/>
    <w:rsid w:val="00F03CD9"/>
    <w:rsid w:val="00F04729"/>
    <w:rsid w:val="00F07298"/>
    <w:rsid w:val="00F1264D"/>
    <w:rsid w:val="00F133F9"/>
    <w:rsid w:val="00F2529A"/>
    <w:rsid w:val="00F273F7"/>
    <w:rsid w:val="00F323F7"/>
    <w:rsid w:val="00F37C4F"/>
    <w:rsid w:val="00F41A32"/>
    <w:rsid w:val="00F44CF5"/>
    <w:rsid w:val="00F5126A"/>
    <w:rsid w:val="00F55A08"/>
    <w:rsid w:val="00F66D57"/>
    <w:rsid w:val="00F8223C"/>
    <w:rsid w:val="00F832ED"/>
    <w:rsid w:val="00F91834"/>
    <w:rsid w:val="00FA1C96"/>
    <w:rsid w:val="00FA2743"/>
    <w:rsid w:val="00FA459B"/>
    <w:rsid w:val="00FA689F"/>
    <w:rsid w:val="00FB0371"/>
    <w:rsid w:val="00FB5C37"/>
    <w:rsid w:val="00FC1759"/>
    <w:rsid w:val="00FC7506"/>
    <w:rsid w:val="00FD4659"/>
    <w:rsid w:val="00FD5AC9"/>
    <w:rsid w:val="00FE274C"/>
    <w:rsid w:val="00FE34FD"/>
    <w:rsid w:val="00FF47E0"/>
    <w:rsid w:val="00FF4FC8"/>
    <w:rsid w:val="00FF5679"/>
    <w:rsid w:val="00FF6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E4FFC"/>
  <w15:docId w15:val="{F5D2C038-C195-427C-B707-1AE4C0F4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B80B93"/>
    <w:pPr>
      <w:ind w:left="720"/>
      <w:contextualSpacing/>
    </w:pPr>
  </w:style>
  <w:style w:type="character" w:styleId="UnresolvedMention">
    <w:name w:val="Unresolved Mention"/>
    <w:basedOn w:val="DefaultParagraphFont"/>
    <w:uiPriority w:val="99"/>
    <w:semiHidden/>
    <w:unhideWhenUsed/>
    <w:rsid w:val="00EC1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nvironment.gov.au/protection/ozone/publication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ozone.unep.org/countries/data-tabl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urch%20julia\AppData\Local\Microsoft\Windows\INetCache\Content.Outlook\LNT4080O\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C5904-AE19-41FE-B23B-D029A4A4F427}"/>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15</TotalTime>
  <Pages>21</Pages>
  <Words>4582</Words>
  <Characters>26119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Phasing out and phasing down substances controlled by the Montreal Protocol</vt:lpstr>
    </vt:vector>
  </TitlesOfParts>
  <Company/>
  <LinksUpToDate>false</LinksUpToDate>
  <CharactersWithSpaces>30640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Phasing out and phasing down substances controlled by the Montreal Protocol</dc:title>
  <dc:creator>Department of Agriculture, Water and the Environment</dc:creator>
  <cp:lastModifiedBy>Rebecca Malik</cp:lastModifiedBy>
  <cp:revision>7</cp:revision>
  <cp:lastPrinted>2013-10-18T05:59:00Z</cp:lastPrinted>
  <dcterms:created xsi:type="dcterms:W3CDTF">2021-09-23T05:07:00Z</dcterms:created>
  <dcterms:modified xsi:type="dcterms:W3CDTF">2021-09-27T02:47:00Z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