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DAE2A" w14:textId="77777777" w:rsidR="00B5760E" w:rsidRDefault="00B5760E" w:rsidP="00C633AD">
      <w:pPr>
        <w:pStyle w:val="NormalWeb"/>
        <w:spacing w:afterLines="120" w:after="288" w:line="276" w:lineRule="auto"/>
        <w:rPr>
          <w:rFonts w:ascii="Verdana" w:hAnsi="Verdana"/>
          <w:sz w:val="19"/>
          <w:szCs w:val="19"/>
          <w:u w:val="single"/>
        </w:rPr>
      </w:pPr>
      <w:bookmarkStart w:id="0" w:name="_GoBack"/>
      <w:bookmarkEnd w:id="0"/>
    </w:p>
    <w:p w14:paraId="3EDDAE2B" w14:textId="0B7B4B6F" w:rsidR="00B5760E" w:rsidRPr="00B5760E" w:rsidRDefault="00B5760E" w:rsidP="00C633AD">
      <w:pPr>
        <w:pStyle w:val="NormalWeb"/>
        <w:spacing w:afterLines="120" w:after="288" w:line="276" w:lineRule="auto"/>
        <w:rPr>
          <w:rFonts w:ascii="Verdana" w:hAnsi="Verdana"/>
          <w:b/>
          <w:sz w:val="28"/>
          <w:szCs w:val="28"/>
        </w:rPr>
      </w:pPr>
      <w:r w:rsidRPr="00B5760E">
        <w:rPr>
          <w:rFonts w:ascii="Verdana" w:hAnsi="Verdana"/>
          <w:b/>
          <w:sz w:val="28"/>
          <w:szCs w:val="28"/>
        </w:rPr>
        <w:t xml:space="preserve">Australia’s </w:t>
      </w:r>
      <w:r w:rsidR="00E21ED7">
        <w:rPr>
          <w:rFonts w:ascii="Verdana" w:hAnsi="Verdana"/>
          <w:b/>
          <w:sz w:val="28"/>
          <w:szCs w:val="28"/>
        </w:rPr>
        <w:t xml:space="preserve">imports and exports of ozone depleting chemicals </w:t>
      </w:r>
      <w:r w:rsidR="000E4ED7">
        <w:rPr>
          <w:rFonts w:ascii="Verdana" w:hAnsi="Verdana"/>
          <w:b/>
          <w:sz w:val="28"/>
          <w:szCs w:val="28"/>
        </w:rPr>
        <w:t>(201</w:t>
      </w:r>
      <w:r w:rsidR="00C36037">
        <w:rPr>
          <w:rFonts w:ascii="Verdana" w:hAnsi="Verdana"/>
          <w:b/>
          <w:sz w:val="28"/>
          <w:szCs w:val="28"/>
        </w:rPr>
        <w:t>9</w:t>
      </w:r>
      <w:r w:rsidR="005132C2">
        <w:rPr>
          <w:rFonts w:ascii="Verdana" w:hAnsi="Verdana"/>
          <w:b/>
          <w:sz w:val="28"/>
          <w:szCs w:val="28"/>
        </w:rPr>
        <w:t xml:space="preserve"> report</w:t>
      </w:r>
      <w:r w:rsidR="00EF348D">
        <w:rPr>
          <w:rFonts w:ascii="Verdana" w:hAnsi="Verdana"/>
          <w:b/>
          <w:sz w:val="28"/>
          <w:szCs w:val="28"/>
        </w:rPr>
        <w:t>)</w:t>
      </w:r>
    </w:p>
    <w:p w14:paraId="3EDDAE60" w14:textId="77777777" w:rsidR="00741F3E" w:rsidRDefault="008C63BE" w:rsidP="007067ED">
      <w:pPr>
        <w:spacing w:after="120"/>
        <w:textAlignment w:val="baseline"/>
        <w:rPr>
          <w:rFonts w:ascii="Verdana" w:eastAsia="Times New Roman" w:hAnsi="Verdana" w:cs="Times New Roman"/>
          <w:sz w:val="19"/>
          <w:szCs w:val="19"/>
          <w:lang w:eastAsia="en-AU"/>
        </w:rPr>
      </w:pPr>
      <w:r>
        <w:rPr>
          <w:rFonts w:ascii="Verdana" w:hAnsi="Verdana"/>
          <w:b/>
          <w:sz w:val="19"/>
          <w:szCs w:val="19"/>
        </w:rPr>
        <w:t xml:space="preserve">Bulk </w:t>
      </w:r>
      <w:r w:rsidR="00EF1A9B">
        <w:rPr>
          <w:rFonts w:ascii="Verdana" w:hAnsi="Verdana"/>
          <w:b/>
          <w:sz w:val="19"/>
          <w:szCs w:val="19"/>
        </w:rPr>
        <w:t>HCFC</w:t>
      </w:r>
      <w:r w:rsidR="0036697B">
        <w:rPr>
          <w:rFonts w:ascii="Verdana" w:hAnsi="Verdana"/>
          <w:b/>
          <w:sz w:val="19"/>
          <w:szCs w:val="19"/>
        </w:rPr>
        <w:t xml:space="preserve"> imports into Australia</w:t>
      </w:r>
    </w:p>
    <w:p w14:paraId="3887C394" w14:textId="06C9EFEC" w:rsidR="00E21ED7" w:rsidRDefault="00E21ED7" w:rsidP="007067ED">
      <w:pPr>
        <w:spacing w:after="120"/>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I</w:t>
      </w:r>
      <w:r w:rsidR="00741F3E">
        <w:rPr>
          <w:rFonts w:ascii="Verdana" w:eastAsia="Times New Roman" w:hAnsi="Verdana" w:cs="Times New Roman"/>
          <w:sz w:val="19"/>
          <w:szCs w:val="19"/>
          <w:lang w:eastAsia="en-AU"/>
        </w:rPr>
        <w:t xml:space="preserve">mporters have changed the mix of HCFC species </w:t>
      </w:r>
      <w:r w:rsidR="00EF1A9B">
        <w:rPr>
          <w:rFonts w:ascii="Verdana" w:eastAsia="Times New Roman" w:hAnsi="Verdana" w:cs="Times New Roman"/>
          <w:sz w:val="19"/>
          <w:szCs w:val="19"/>
          <w:lang w:eastAsia="en-AU"/>
        </w:rPr>
        <w:t>they import in response to market r</w:t>
      </w:r>
      <w:r w:rsidR="00854B34">
        <w:rPr>
          <w:rFonts w:ascii="Verdana" w:eastAsia="Times New Roman" w:hAnsi="Verdana" w:cs="Times New Roman"/>
          <w:sz w:val="19"/>
          <w:szCs w:val="19"/>
          <w:lang w:eastAsia="en-AU"/>
        </w:rPr>
        <w:t xml:space="preserve">equirements and opportunities. </w:t>
      </w:r>
      <w:r w:rsidR="00EA7C9F" w:rsidRPr="00C50BE9">
        <w:rPr>
          <w:rFonts w:ascii="Verdana" w:eastAsia="Times New Roman" w:hAnsi="Verdana" w:cs="Times New Roman"/>
          <w:sz w:val="19"/>
          <w:szCs w:val="19"/>
          <w:u w:val="single"/>
          <w:lang w:eastAsia="en-AU"/>
        </w:rPr>
        <w:t>G</w:t>
      </w:r>
      <w:r w:rsidR="00EF1A9B" w:rsidRPr="00C50BE9">
        <w:rPr>
          <w:rFonts w:ascii="Verdana" w:eastAsia="Times New Roman" w:hAnsi="Verdana" w:cs="Times New Roman"/>
          <w:sz w:val="19"/>
          <w:szCs w:val="19"/>
          <w:u w:val="single"/>
          <w:lang w:eastAsia="en-AU"/>
        </w:rPr>
        <w:t>raph</w:t>
      </w:r>
      <w:r w:rsidR="00EA7C9F" w:rsidRPr="00C50BE9">
        <w:rPr>
          <w:rFonts w:ascii="Verdana" w:eastAsia="Times New Roman" w:hAnsi="Verdana" w:cs="Times New Roman"/>
          <w:sz w:val="19"/>
          <w:szCs w:val="19"/>
          <w:u w:val="single"/>
          <w:lang w:eastAsia="en-AU"/>
        </w:rPr>
        <w:t xml:space="preserve"> </w:t>
      </w:r>
      <w:r w:rsidR="00C50BE9">
        <w:rPr>
          <w:rFonts w:ascii="Verdana" w:eastAsia="Times New Roman" w:hAnsi="Verdana" w:cs="Times New Roman"/>
          <w:sz w:val="19"/>
          <w:szCs w:val="19"/>
          <w:u w:val="single"/>
          <w:lang w:eastAsia="en-AU"/>
        </w:rPr>
        <w:t>3</w:t>
      </w:r>
      <w:r w:rsidR="00EF1A9B">
        <w:rPr>
          <w:rFonts w:ascii="Verdana" w:eastAsia="Times New Roman" w:hAnsi="Verdana" w:cs="Times New Roman"/>
          <w:sz w:val="19"/>
          <w:szCs w:val="19"/>
          <w:lang w:eastAsia="en-AU"/>
        </w:rPr>
        <w:t xml:space="preserve"> </w:t>
      </w:r>
      <w:r>
        <w:rPr>
          <w:rFonts w:ascii="Verdana" w:eastAsia="Times New Roman" w:hAnsi="Verdana" w:cs="Times New Roman"/>
          <w:sz w:val="19"/>
          <w:szCs w:val="19"/>
          <w:lang w:eastAsia="en-AU"/>
        </w:rPr>
        <w:t>shows</w:t>
      </w:r>
      <w:r w:rsidR="00EF1A9B">
        <w:rPr>
          <w:rFonts w:ascii="Verdana" w:eastAsia="Times New Roman" w:hAnsi="Verdana" w:cs="Times New Roman"/>
          <w:sz w:val="19"/>
          <w:szCs w:val="19"/>
          <w:lang w:eastAsia="en-AU"/>
        </w:rPr>
        <w:t xml:space="preserve"> importers </w:t>
      </w:r>
      <w:r w:rsidR="009A4934">
        <w:rPr>
          <w:rFonts w:ascii="Verdana" w:eastAsia="Times New Roman" w:hAnsi="Verdana" w:cs="Times New Roman"/>
          <w:sz w:val="19"/>
          <w:szCs w:val="19"/>
          <w:lang w:eastAsia="en-AU"/>
        </w:rPr>
        <w:t xml:space="preserve">decreased imports of HCFC-141b and HCFC-123 and </w:t>
      </w:r>
      <w:r w:rsidR="00EF1A9B">
        <w:rPr>
          <w:rFonts w:ascii="Verdana" w:eastAsia="Times New Roman" w:hAnsi="Verdana" w:cs="Times New Roman"/>
          <w:sz w:val="19"/>
          <w:szCs w:val="19"/>
          <w:lang w:eastAsia="en-AU"/>
        </w:rPr>
        <w:t xml:space="preserve">increased the </w:t>
      </w:r>
      <w:r>
        <w:rPr>
          <w:rFonts w:ascii="Verdana" w:eastAsia="Times New Roman" w:hAnsi="Verdana" w:cs="Times New Roman"/>
          <w:sz w:val="19"/>
          <w:szCs w:val="19"/>
          <w:lang w:eastAsia="en-AU"/>
        </w:rPr>
        <w:t xml:space="preserve">import </w:t>
      </w:r>
      <w:r w:rsidR="00EF1A9B">
        <w:rPr>
          <w:rFonts w:ascii="Verdana" w:eastAsia="Times New Roman" w:hAnsi="Verdana" w:cs="Times New Roman"/>
          <w:sz w:val="19"/>
          <w:szCs w:val="19"/>
          <w:lang w:eastAsia="en-AU"/>
        </w:rPr>
        <w:t xml:space="preserve">of </w:t>
      </w:r>
      <w:r w:rsidR="003B4FA2">
        <w:rPr>
          <w:rFonts w:ascii="Verdana" w:eastAsia="Times New Roman" w:hAnsi="Verdana" w:cs="Times New Roman"/>
          <w:sz w:val="19"/>
          <w:szCs w:val="19"/>
          <w:lang w:eastAsia="en-AU"/>
        </w:rPr>
        <w:t xml:space="preserve">HCFC-22 </w:t>
      </w:r>
      <w:r w:rsidR="009A4934">
        <w:rPr>
          <w:rFonts w:ascii="Verdana" w:eastAsia="Times New Roman" w:hAnsi="Verdana" w:cs="Times New Roman"/>
          <w:sz w:val="19"/>
          <w:szCs w:val="19"/>
          <w:lang w:eastAsia="en-AU"/>
        </w:rPr>
        <w:t>in preference to other HCFCs</w:t>
      </w:r>
      <w:r w:rsidR="00C50BE9">
        <w:rPr>
          <w:rFonts w:ascii="Verdana" w:eastAsia="Times New Roman" w:hAnsi="Verdana" w:cs="Times New Roman"/>
          <w:sz w:val="19"/>
          <w:szCs w:val="19"/>
          <w:lang w:eastAsia="en-AU"/>
        </w:rPr>
        <w:t xml:space="preserve"> (</w:t>
      </w:r>
      <w:r w:rsidR="00C50BE9" w:rsidRPr="00C50BE9">
        <w:rPr>
          <w:rFonts w:ascii="Verdana" w:eastAsia="Times New Roman" w:hAnsi="Verdana" w:cs="Times New Roman"/>
          <w:sz w:val="19"/>
          <w:szCs w:val="19"/>
          <w:u w:val="single"/>
          <w:lang w:eastAsia="en-AU"/>
        </w:rPr>
        <w:t>Graph 2</w:t>
      </w:r>
      <w:r w:rsidR="00C50BE9">
        <w:rPr>
          <w:rFonts w:ascii="Verdana" w:eastAsia="Times New Roman" w:hAnsi="Verdana" w:cs="Times New Roman"/>
          <w:sz w:val="19"/>
          <w:szCs w:val="19"/>
          <w:lang w:eastAsia="en-AU"/>
        </w:rPr>
        <w:t>)</w:t>
      </w:r>
      <w:r w:rsidR="00EF1A9B">
        <w:rPr>
          <w:rFonts w:ascii="Verdana" w:eastAsia="Times New Roman" w:hAnsi="Verdana" w:cs="Times New Roman"/>
          <w:sz w:val="19"/>
          <w:szCs w:val="19"/>
          <w:lang w:eastAsia="en-AU"/>
        </w:rPr>
        <w:t>.</w:t>
      </w:r>
      <w:r w:rsidR="003B4FA2">
        <w:rPr>
          <w:rFonts w:ascii="Verdana" w:eastAsia="Times New Roman" w:hAnsi="Verdana" w:cs="Times New Roman"/>
          <w:sz w:val="19"/>
          <w:szCs w:val="19"/>
          <w:lang w:eastAsia="en-AU"/>
        </w:rPr>
        <w:t xml:space="preserve"> </w:t>
      </w:r>
    </w:p>
    <w:p w14:paraId="3EDDAE61" w14:textId="3BC2E317" w:rsidR="00741F3E" w:rsidRDefault="004C1E2C" w:rsidP="007067ED">
      <w:pPr>
        <w:spacing w:after="120"/>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 xml:space="preserve">Australia reached the </w:t>
      </w:r>
      <w:r w:rsidR="00E21ED7">
        <w:rPr>
          <w:rFonts w:ascii="Verdana" w:eastAsia="Times New Roman" w:hAnsi="Verdana" w:cs="Times New Roman"/>
          <w:sz w:val="19"/>
          <w:szCs w:val="19"/>
          <w:lang w:eastAsia="en-AU"/>
        </w:rPr>
        <w:t xml:space="preserve">second </w:t>
      </w:r>
      <w:r>
        <w:rPr>
          <w:rFonts w:ascii="Verdana" w:eastAsia="Times New Roman" w:hAnsi="Verdana" w:cs="Times New Roman"/>
          <w:sz w:val="19"/>
          <w:szCs w:val="19"/>
          <w:lang w:eastAsia="en-AU"/>
        </w:rPr>
        <w:t xml:space="preserve">last step in its HCFC phase out </w:t>
      </w:r>
      <w:r w:rsidR="00DB7025">
        <w:rPr>
          <w:rFonts w:ascii="Verdana" w:eastAsia="Times New Roman" w:hAnsi="Verdana" w:cs="Times New Roman"/>
          <w:sz w:val="19"/>
          <w:szCs w:val="19"/>
          <w:lang w:eastAsia="en-AU"/>
        </w:rPr>
        <w:t>in</w:t>
      </w:r>
      <w:r>
        <w:rPr>
          <w:rFonts w:ascii="Verdana" w:eastAsia="Times New Roman" w:hAnsi="Verdana" w:cs="Times New Roman"/>
          <w:sz w:val="19"/>
          <w:szCs w:val="19"/>
          <w:lang w:eastAsia="en-AU"/>
        </w:rPr>
        <w:t xml:space="preserve"> 2016. The annual import limit HCFCs from 2016 to 2029 is 2.5 ODP tonnes which equates to around 45 tonnes of HCFC-22</w:t>
      </w:r>
      <w:r w:rsidR="000E4ED7">
        <w:rPr>
          <w:rFonts w:ascii="Verdana" w:eastAsia="Times New Roman" w:hAnsi="Verdana" w:cs="Times New Roman"/>
          <w:sz w:val="19"/>
          <w:szCs w:val="19"/>
          <w:lang w:eastAsia="en-AU"/>
        </w:rPr>
        <w:t xml:space="preserve"> annually</w:t>
      </w:r>
      <w:r>
        <w:rPr>
          <w:rFonts w:ascii="Verdana" w:eastAsia="Times New Roman" w:hAnsi="Verdana" w:cs="Times New Roman"/>
          <w:sz w:val="19"/>
          <w:szCs w:val="19"/>
          <w:lang w:eastAsia="en-AU"/>
        </w:rPr>
        <w:t xml:space="preserve">. </w:t>
      </w:r>
      <w:r w:rsidR="00D10A13">
        <w:rPr>
          <w:rFonts w:ascii="Verdana" w:eastAsia="Times New Roman" w:hAnsi="Verdana" w:cs="Times New Roman"/>
          <w:sz w:val="19"/>
          <w:szCs w:val="19"/>
          <w:lang w:eastAsia="en-AU"/>
        </w:rPr>
        <w:t>In 2030, the import limit goes to zero for all developed countries</w:t>
      </w:r>
      <w:r w:rsidR="003D4B64">
        <w:rPr>
          <w:rFonts w:ascii="Verdana" w:eastAsia="Times New Roman" w:hAnsi="Verdana" w:cs="Times New Roman"/>
          <w:sz w:val="19"/>
          <w:szCs w:val="19"/>
          <w:lang w:eastAsia="en-AU"/>
        </w:rPr>
        <w:t>.</w:t>
      </w:r>
      <w:r w:rsidR="00D10A13">
        <w:rPr>
          <w:rFonts w:ascii="Verdana" w:eastAsia="Times New Roman" w:hAnsi="Verdana" w:cs="Times New Roman"/>
          <w:sz w:val="19"/>
          <w:szCs w:val="19"/>
          <w:lang w:eastAsia="en-AU"/>
        </w:rPr>
        <w:t xml:space="preserve"> </w:t>
      </w:r>
    </w:p>
    <w:p w14:paraId="3EDDAE68" w14:textId="33AD835F" w:rsidR="00EF3319" w:rsidRDefault="00C50BE9" w:rsidP="007067ED">
      <w:pPr>
        <w:spacing w:after="0"/>
        <w:textAlignment w:val="baseline"/>
        <w:rPr>
          <w:rFonts w:ascii="Verdana" w:eastAsia="Times New Roman" w:hAnsi="Verdana" w:cs="Times New Roman"/>
          <w:sz w:val="19"/>
          <w:szCs w:val="19"/>
          <w:u w:val="single"/>
          <w:lang w:eastAsia="en-AU"/>
        </w:rPr>
      </w:pPr>
      <w:r>
        <w:rPr>
          <w:rFonts w:ascii="Verdana" w:eastAsia="Times New Roman" w:hAnsi="Verdana" w:cs="Times New Roman"/>
          <w:sz w:val="19"/>
          <w:szCs w:val="19"/>
          <w:u w:val="single"/>
          <w:lang w:eastAsia="en-AU"/>
        </w:rPr>
        <w:t>Graph 2</w:t>
      </w:r>
      <w:r w:rsidR="00EA7C9F" w:rsidRPr="00065586">
        <w:rPr>
          <w:rFonts w:ascii="Verdana" w:eastAsia="Times New Roman" w:hAnsi="Verdana" w:cs="Times New Roman"/>
          <w:sz w:val="19"/>
          <w:szCs w:val="19"/>
          <w:u w:val="single"/>
          <w:lang w:eastAsia="en-AU"/>
        </w:rPr>
        <w:t xml:space="preserve"> – </w:t>
      </w:r>
      <w:r>
        <w:rPr>
          <w:rFonts w:ascii="Verdana" w:eastAsia="Times New Roman" w:hAnsi="Verdana" w:cs="Times New Roman"/>
          <w:sz w:val="19"/>
          <w:szCs w:val="19"/>
          <w:u w:val="single"/>
          <w:lang w:eastAsia="en-AU"/>
        </w:rPr>
        <w:t xml:space="preserve">Bulk </w:t>
      </w:r>
      <w:r w:rsidR="00EA7C9F" w:rsidRPr="00065586">
        <w:rPr>
          <w:rFonts w:ascii="Verdana" w:eastAsia="Times New Roman" w:hAnsi="Verdana" w:cs="Times New Roman"/>
          <w:sz w:val="19"/>
          <w:szCs w:val="19"/>
          <w:u w:val="single"/>
          <w:lang w:eastAsia="en-AU"/>
        </w:rPr>
        <w:t xml:space="preserve">HCFC </w:t>
      </w:r>
      <w:r>
        <w:rPr>
          <w:rFonts w:ascii="Verdana" w:eastAsia="Times New Roman" w:hAnsi="Verdana" w:cs="Times New Roman"/>
          <w:sz w:val="19"/>
          <w:szCs w:val="19"/>
          <w:u w:val="single"/>
          <w:lang w:eastAsia="en-AU"/>
        </w:rPr>
        <w:t xml:space="preserve">22 </w:t>
      </w:r>
      <w:r w:rsidR="000E4ED7">
        <w:rPr>
          <w:rFonts w:ascii="Verdana" w:eastAsia="Times New Roman" w:hAnsi="Verdana" w:cs="Times New Roman"/>
          <w:sz w:val="19"/>
          <w:szCs w:val="19"/>
          <w:u w:val="single"/>
          <w:lang w:eastAsia="en-AU"/>
        </w:rPr>
        <w:t>imported from 2010-201</w:t>
      </w:r>
      <w:r w:rsidR="00C36037">
        <w:rPr>
          <w:rFonts w:ascii="Verdana" w:eastAsia="Times New Roman" w:hAnsi="Verdana" w:cs="Times New Roman"/>
          <w:sz w:val="19"/>
          <w:szCs w:val="19"/>
          <w:u w:val="single"/>
          <w:lang w:eastAsia="en-AU"/>
        </w:rPr>
        <w:t>9</w:t>
      </w:r>
      <w:r w:rsidR="00504486">
        <w:rPr>
          <w:rFonts w:ascii="Verdana" w:eastAsia="Times New Roman" w:hAnsi="Verdana" w:cs="Times New Roman"/>
          <w:sz w:val="19"/>
          <w:szCs w:val="19"/>
          <w:u w:val="single"/>
          <w:lang w:eastAsia="en-AU"/>
        </w:rPr>
        <w:t xml:space="preserve">  </w:t>
      </w:r>
    </w:p>
    <w:p w14:paraId="3EDDAE69" w14:textId="170F92F8" w:rsidR="00C633AD" w:rsidRPr="00065586" w:rsidRDefault="00F501D4" w:rsidP="007067ED">
      <w:pPr>
        <w:spacing w:after="0"/>
        <w:textAlignment w:val="baseline"/>
        <w:rPr>
          <w:rFonts w:ascii="Verdana" w:eastAsia="Times New Roman" w:hAnsi="Verdana" w:cs="Times New Roman"/>
          <w:sz w:val="19"/>
          <w:szCs w:val="19"/>
          <w:u w:val="single"/>
          <w:lang w:eastAsia="en-AU"/>
        </w:rPr>
      </w:pPr>
      <w:r>
        <w:rPr>
          <w:noProof/>
          <w:lang w:eastAsia="en-AU"/>
        </w:rPr>
        <w:drawing>
          <wp:inline distT="0" distB="0" distL="0" distR="0" wp14:anchorId="4B86047E" wp14:editId="2FA9F608">
            <wp:extent cx="5676900" cy="3314700"/>
            <wp:effectExtent l="0" t="0" r="0" b="0"/>
            <wp:docPr id="16" name="Chart 16" descr="Graph 2 shows a bar graph of the amount of HCFC 22 in metric tonnes imported into Australia by year from 2010 to 2019. The values range from a peak of over 1200 metric tonnes imported in 2011 steadily declining to less than 200 metric tonnes imported from 2014 onwards."/>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EDDAE6B" w14:textId="2354A9AC" w:rsidR="00F23365" w:rsidRPr="00C37A24" w:rsidRDefault="00F23365" w:rsidP="00C37A24">
      <w:pPr>
        <w:spacing w:after="120"/>
        <w:ind w:left="-210"/>
        <w:textAlignment w:val="baseline"/>
        <w:rPr>
          <w:rFonts w:ascii="Verdana" w:eastAsia="Times New Roman" w:hAnsi="Verdana" w:cs="Times New Roman"/>
          <w:color w:val="FF0000"/>
          <w:sz w:val="19"/>
          <w:szCs w:val="19"/>
          <w:lang w:eastAsia="en-AU"/>
        </w:rPr>
      </w:pPr>
    </w:p>
    <w:p w14:paraId="3EDDAE6C" w14:textId="17C84A60" w:rsidR="00CB4CA0" w:rsidRDefault="00CB4CA0" w:rsidP="007067ED">
      <w:pPr>
        <w:keepNext/>
        <w:spacing w:before="120" w:after="120"/>
        <w:textAlignment w:val="baseline"/>
        <w:rPr>
          <w:rFonts w:ascii="Verdana" w:eastAsia="Times New Roman" w:hAnsi="Verdana" w:cs="Times New Roman"/>
          <w:sz w:val="19"/>
          <w:szCs w:val="19"/>
          <w:u w:val="single"/>
          <w:lang w:eastAsia="en-AU"/>
        </w:rPr>
      </w:pPr>
      <w:r>
        <w:rPr>
          <w:rFonts w:ascii="Verdana" w:eastAsia="Times New Roman" w:hAnsi="Verdana" w:cs="Times New Roman"/>
          <w:sz w:val="19"/>
          <w:szCs w:val="19"/>
          <w:u w:val="single"/>
          <w:lang w:eastAsia="en-AU"/>
        </w:rPr>
        <w:lastRenderedPageBreak/>
        <w:t>Graph 3</w:t>
      </w:r>
      <w:r w:rsidRPr="00065586">
        <w:rPr>
          <w:rFonts w:ascii="Verdana" w:eastAsia="Times New Roman" w:hAnsi="Verdana" w:cs="Times New Roman"/>
          <w:sz w:val="19"/>
          <w:szCs w:val="19"/>
          <w:u w:val="single"/>
          <w:lang w:eastAsia="en-AU"/>
        </w:rPr>
        <w:t xml:space="preserve"> – </w:t>
      </w:r>
      <w:r>
        <w:rPr>
          <w:rFonts w:ascii="Verdana" w:eastAsia="Times New Roman" w:hAnsi="Verdana" w:cs="Times New Roman"/>
          <w:sz w:val="19"/>
          <w:szCs w:val="19"/>
          <w:u w:val="single"/>
          <w:lang w:eastAsia="en-AU"/>
        </w:rPr>
        <w:t xml:space="preserve">Bulk </w:t>
      </w:r>
      <w:r w:rsidR="000E4ED7">
        <w:rPr>
          <w:rFonts w:ascii="Verdana" w:eastAsia="Times New Roman" w:hAnsi="Verdana" w:cs="Times New Roman"/>
          <w:sz w:val="19"/>
          <w:szCs w:val="19"/>
          <w:u w:val="single"/>
          <w:lang w:eastAsia="en-AU"/>
        </w:rPr>
        <w:t>HCFC imported from 2010-201</w:t>
      </w:r>
      <w:r w:rsidR="00C36037">
        <w:rPr>
          <w:rFonts w:ascii="Verdana" w:eastAsia="Times New Roman" w:hAnsi="Verdana" w:cs="Times New Roman"/>
          <w:sz w:val="19"/>
          <w:szCs w:val="19"/>
          <w:u w:val="single"/>
          <w:lang w:eastAsia="en-AU"/>
        </w:rPr>
        <w:t>9</w:t>
      </w:r>
      <w:r w:rsidR="00DB7025">
        <w:rPr>
          <w:rFonts w:ascii="Verdana" w:eastAsia="Times New Roman" w:hAnsi="Verdana" w:cs="Times New Roman"/>
          <w:sz w:val="19"/>
          <w:szCs w:val="19"/>
          <w:u w:val="single"/>
          <w:lang w:eastAsia="en-AU"/>
        </w:rPr>
        <w:t xml:space="preserve"> </w:t>
      </w:r>
      <w:r>
        <w:rPr>
          <w:rFonts w:ascii="Verdana" w:eastAsia="Times New Roman" w:hAnsi="Verdana" w:cs="Times New Roman"/>
          <w:sz w:val="19"/>
          <w:szCs w:val="19"/>
          <w:u w:val="single"/>
          <w:lang w:eastAsia="en-AU"/>
        </w:rPr>
        <w:t>(excluding HCFC-22)</w:t>
      </w:r>
    </w:p>
    <w:p w14:paraId="79D9FE45" w14:textId="5E440BB1" w:rsidR="00F96A51" w:rsidRDefault="00F96A51" w:rsidP="007067ED">
      <w:pPr>
        <w:keepNext/>
        <w:spacing w:before="120" w:after="120"/>
        <w:textAlignment w:val="baseline"/>
        <w:rPr>
          <w:rFonts w:ascii="Verdana" w:eastAsia="Times New Roman" w:hAnsi="Verdana" w:cs="Times New Roman"/>
          <w:sz w:val="19"/>
          <w:szCs w:val="19"/>
          <w:u w:val="single"/>
          <w:lang w:eastAsia="en-AU"/>
        </w:rPr>
      </w:pPr>
      <w:r>
        <w:rPr>
          <w:noProof/>
          <w:lang w:eastAsia="en-AU"/>
        </w:rPr>
        <w:drawing>
          <wp:inline distT="0" distB="0" distL="0" distR="0" wp14:anchorId="73818128" wp14:editId="4EBF36EA">
            <wp:extent cx="5743575" cy="3204845"/>
            <wp:effectExtent l="0" t="0" r="9525" b="14605"/>
            <wp:docPr id="24" name="Chart 24" descr="Graph 3 shows a bar graph of the amount of all HCFCs except for HCFC 22 in metric tonnes imported into Australia by year from 2010 to 2019. The values range from a peak of over 60 metric tonnes in 2010 with a steady decline to less than 10 metric tonnes from 2014 onwards, dropping to nil for 2018 and 201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EDDAE6F" w14:textId="0471797E" w:rsidR="00C50BE9" w:rsidRDefault="00C50BE9" w:rsidP="00F96A51">
      <w:pPr>
        <w:spacing w:after="0"/>
        <w:textAlignment w:val="baseline"/>
        <w:rPr>
          <w:rFonts w:ascii="Verdana" w:eastAsia="Times New Roman" w:hAnsi="Verdana" w:cs="Times New Roman"/>
          <w:b/>
          <w:sz w:val="19"/>
          <w:szCs w:val="19"/>
          <w:lang w:eastAsia="en-AU"/>
        </w:rPr>
      </w:pPr>
    </w:p>
    <w:p w14:paraId="694BA8C2" w14:textId="44C35E9B" w:rsidR="002C2DB3" w:rsidRPr="002C2DB3" w:rsidRDefault="002C2DB3" w:rsidP="009B2E3D">
      <w:pPr>
        <w:spacing w:after="120"/>
        <w:textAlignment w:val="baseline"/>
        <w:rPr>
          <w:rFonts w:ascii="Verdana" w:eastAsia="Times New Roman" w:hAnsi="Verdana" w:cs="Times New Roman"/>
          <w:sz w:val="19"/>
          <w:szCs w:val="19"/>
          <w:u w:val="single"/>
          <w:lang w:eastAsia="en-AU"/>
        </w:rPr>
      </w:pPr>
      <w:r w:rsidRPr="002C2DB3">
        <w:rPr>
          <w:rFonts w:ascii="Verdana" w:eastAsia="Times New Roman" w:hAnsi="Verdana" w:cs="Times New Roman"/>
          <w:sz w:val="19"/>
          <w:szCs w:val="19"/>
          <w:u w:val="single"/>
          <w:lang w:eastAsia="en-AU"/>
        </w:rPr>
        <w:t>Table 1 –</w:t>
      </w:r>
      <w:r>
        <w:rPr>
          <w:rFonts w:ascii="Verdana" w:eastAsia="Times New Roman" w:hAnsi="Verdana" w:cs="Times New Roman"/>
          <w:sz w:val="19"/>
          <w:szCs w:val="19"/>
          <w:u w:val="single"/>
          <w:lang w:eastAsia="en-AU"/>
        </w:rPr>
        <w:t xml:space="preserve"> Bulk</w:t>
      </w:r>
      <w:r w:rsidR="000E4ED7">
        <w:rPr>
          <w:rFonts w:ascii="Verdana" w:eastAsia="Times New Roman" w:hAnsi="Verdana" w:cs="Times New Roman"/>
          <w:sz w:val="19"/>
          <w:szCs w:val="19"/>
          <w:u w:val="single"/>
          <w:lang w:eastAsia="en-AU"/>
        </w:rPr>
        <w:t xml:space="preserve"> HCFC imported from 2012-201</w:t>
      </w:r>
      <w:r w:rsidR="00C36037">
        <w:rPr>
          <w:rFonts w:ascii="Verdana" w:eastAsia="Times New Roman" w:hAnsi="Verdana" w:cs="Times New Roman"/>
          <w:sz w:val="19"/>
          <w:szCs w:val="19"/>
          <w:u w:val="single"/>
          <w:lang w:eastAsia="en-AU"/>
        </w:rPr>
        <w:t>9</w:t>
      </w:r>
    </w:p>
    <w:tbl>
      <w:tblPr>
        <w:tblStyle w:val="TableGrid"/>
        <w:tblW w:w="5000" w:type="pct"/>
        <w:jc w:val="center"/>
        <w:tblLook w:val="04A0" w:firstRow="1" w:lastRow="0" w:firstColumn="1" w:lastColumn="0" w:noHBand="0" w:noVBand="1"/>
      </w:tblPr>
      <w:tblGrid>
        <w:gridCol w:w="1954"/>
        <w:gridCol w:w="881"/>
        <w:gridCol w:w="882"/>
        <w:gridCol w:w="882"/>
        <w:gridCol w:w="882"/>
        <w:gridCol w:w="882"/>
        <w:gridCol w:w="882"/>
        <w:gridCol w:w="882"/>
        <w:gridCol w:w="889"/>
      </w:tblGrid>
      <w:tr w:rsidR="00C36037" w:rsidRPr="002C2DB3" w14:paraId="5D8C5930" w14:textId="068E0C0F" w:rsidTr="007067ED">
        <w:trPr>
          <w:jc w:val="center"/>
        </w:trPr>
        <w:tc>
          <w:tcPr>
            <w:tcW w:w="1084" w:type="pct"/>
            <w:vAlign w:val="bottom"/>
          </w:tcPr>
          <w:p w14:paraId="3038ADDA" w14:textId="25524F46" w:rsidR="00C36037" w:rsidRPr="002C2DB3" w:rsidRDefault="00C36037" w:rsidP="002C2DB3">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(Metric tonnes)</w:t>
            </w:r>
          </w:p>
        </w:tc>
        <w:tc>
          <w:tcPr>
            <w:tcW w:w="489" w:type="pct"/>
            <w:vAlign w:val="center"/>
          </w:tcPr>
          <w:p w14:paraId="0972519A" w14:textId="32D97138" w:rsidR="00C36037" w:rsidRPr="002C2DB3" w:rsidRDefault="00C36037" w:rsidP="00DA194B">
            <w:pPr>
              <w:spacing w:after="120"/>
              <w:jc w:val="center"/>
              <w:textAlignment w:val="baseline"/>
              <w:rPr>
                <w:rFonts w:ascii="Verdana" w:eastAsia="Times New Roman" w:hAnsi="Verdana" w:cs="Times New Roman"/>
                <w:b/>
                <w:sz w:val="19"/>
                <w:szCs w:val="19"/>
                <w:lang w:eastAsia="en-AU"/>
              </w:rPr>
            </w:pPr>
            <w:r w:rsidRPr="002C2DB3">
              <w:rPr>
                <w:rFonts w:ascii="Verdana" w:eastAsia="Times New Roman" w:hAnsi="Verdana" w:cs="Times New Roman"/>
                <w:b/>
                <w:sz w:val="19"/>
                <w:szCs w:val="19"/>
                <w:lang w:eastAsia="en-AU"/>
              </w:rPr>
              <w:t>2012</w:t>
            </w:r>
          </w:p>
        </w:tc>
        <w:tc>
          <w:tcPr>
            <w:tcW w:w="489" w:type="pct"/>
            <w:vAlign w:val="center"/>
          </w:tcPr>
          <w:p w14:paraId="01B1266A" w14:textId="5AD9371A" w:rsidR="00C36037" w:rsidRPr="002C2DB3" w:rsidRDefault="00C36037" w:rsidP="00DA194B">
            <w:pPr>
              <w:spacing w:after="120"/>
              <w:jc w:val="center"/>
              <w:textAlignment w:val="baseline"/>
              <w:rPr>
                <w:rFonts w:ascii="Verdana" w:eastAsia="Times New Roman" w:hAnsi="Verdana" w:cs="Times New Roman"/>
                <w:b/>
                <w:sz w:val="19"/>
                <w:szCs w:val="19"/>
                <w:lang w:eastAsia="en-AU"/>
              </w:rPr>
            </w:pPr>
            <w:r w:rsidRPr="002C2DB3">
              <w:rPr>
                <w:rFonts w:ascii="Verdana" w:eastAsia="Times New Roman" w:hAnsi="Verdana" w:cs="Times New Roman"/>
                <w:b/>
                <w:sz w:val="19"/>
                <w:szCs w:val="19"/>
                <w:lang w:eastAsia="en-AU"/>
              </w:rPr>
              <w:t>2013</w:t>
            </w:r>
          </w:p>
        </w:tc>
        <w:tc>
          <w:tcPr>
            <w:tcW w:w="489" w:type="pct"/>
            <w:vAlign w:val="center"/>
          </w:tcPr>
          <w:p w14:paraId="041B5D18" w14:textId="5A23BE67" w:rsidR="00C36037" w:rsidRPr="002C2DB3" w:rsidRDefault="00C36037" w:rsidP="00DA194B">
            <w:pPr>
              <w:spacing w:after="120"/>
              <w:jc w:val="center"/>
              <w:textAlignment w:val="baseline"/>
              <w:rPr>
                <w:rFonts w:ascii="Verdana" w:eastAsia="Times New Roman" w:hAnsi="Verdana" w:cs="Times New Roman"/>
                <w:b/>
                <w:sz w:val="19"/>
                <w:szCs w:val="19"/>
                <w:lang w:eastAsia="en-AU"/>
              </w:rPr>
            </w:pPr>
            <w:r w:rsidRPr="002C2DB3">
              <w:rPr>
                <w:rFonts w:ascii="Verdana" w:eastAsia="Times New Roman" w:hAnsi="Verdana" w:cs="Times New Roman"/>
                <w:b/>
                <w:sz w:val="19"/>
                <w:szCs w:val="19"/>
                <w:lang w:eastAsia="en-AU"/>
              </w:rPr>
              <w:t>2014</w:t>
            </w:r>
          </w:p>
        </w:tc>
        <w:tc>
          <w:tcPr>
            <w:tcW w:w="489" w:type="pct"/>
            <w:vAlign w:val="center"/>
          </w:tcPr>
          <w:p w14:paraId="28CF181F" w14:textId="284C6D15" w:rsidR="00C36037" w:rsidRPr="002C2DB3" w:rsidRDefault="00C36037" w:rsidP="00DA194B">
            <w:pPr>
              <w:spacing w:after="120"/>
              <w:jc w:val="center"/>
              <w:textAlignment w:val="baseline"/>
              <w:rPr>
                <w:rFonts w:ascii="Verdana" w:eastAsia="Times New Roman" w:hAnsi="Verdana" w:cs="Times New Roman"/>
                <w:b/>
                <w:sz w:val="19"/>
                <w:szCs w:val="19"/>
                <w:lang w:eastAsia="en-AU"/>
              </w:rPr>
            </w:pPr>
            <w:r w:rsidRPr="002C2DB3">
              <w:rPr>
                <w:rFonts w:ascii="Verdana" w:eastAsia="Times New Roman" w:hAnsi="Verdana" w:cs="Times New Roman"/>
                <w:b/>
                <w:sz w:val="19"/>
                <w:szCs w:val="19"/>
                <w:lang w:eastAsia="en-AU"/>
              </w:rPr>
              <w:t>2015</w:t>
            </w:r>
          </w:p>
        </w:tc>
        <w:tc>
          <w:tcPr>
            <w:tcW w:w="489" w:type="pct"/>
            <w:vAlign w:val="center"/>
          </w:tcPr>
          <w:p w14:paraId="2BDD22CA" w14:textId="1701752E" w:rsidR="00C36037" w:rsidRPr="002C2DB3" w:rsidRDefault="00C36037" w:rsidP="00DA194B">
            <w:pPr>
              <w:spacing w:after="120"/>
              <w:jc w:val="center"/>
              <w:textAlignment w:val="baseline"/>
              <w:rPr>
                <w:rFonts w:ascii="Verdana" w:eastAsia="Times New Roman" w:hAnsi="Verdana" w:cs="Times New Roman"/>
                <w:b/>
                <w:sz w:val="19"/>
                <w:szCs w:val="19"/>
                <w:lang w:eastAsia="en-AU"/>
              </w:rPr>
            </w:pPr>
            <w:r w:rsidRPr="002C2DB3">
              <w:rPr>
                <w:rFonts w:ascii="Verdana" w:eastAsia="Times New Roman" w:hAnsi="Verdana" w:cs="Times New Roman"/>
                <w:b/>
                <w:sz w:val="19"/>
                <w:szCs w:val="19"/>
                <w:lang w:eastAsia="en-AU"/>
              </w:rPr>
              <w:t>2016</w:t>
            </w:r>
          </w:p>
        </w:tc>
        <w:tc>
          <w:tcPr>
            <w:tcW w:w="489" w:type="pct"/>
            <w:vAlign w:val="center"/>
          </w:tcPr>
          <w:p w14:paraId="7AE3241A" w14:textId="1FDD3BC4" w:rsidR="00C36037" w:rsidRPr="002C2DB3" w:rsidRDefault="00C36037" w:rsidP="00DA194B">
            <w:pPr>
              <w:spacing w:after="120"/>
              <w:jc w:val="center"/>
              <w:textAlignment w:val="baseline"/>
              <w:rPr>
                <w:rFonts w:ascii="Verdana" w:eastAsia="Times New Roman" w:hAnsi="Verdana" w:cs="Times New Roman"/>
                <w:b/>
                <w:sz w:val="19"/>
                <w:szCs w:val="19"/>
                <w:lang w:eastAsia="en-AU"/>
              </w:rPr>
            </w:pPr>
            <w:r>
              <w:rPr>
                <w:rFonts w:ascii="Verdana" w:eastAsia="Times New Roman" w:hAnsi="Verdana" w:cs="Times New Roman"/>
                <w:b/>
                <w:sz w:val="19"/>
                <w:szCs w:val="19"/>
                <w:lang w:eastAsia="en-AU"/>
              </w:rPr>
              <w:t>2017</w:t>
            </w:r>
          </w:p>
        </w:tc>
        <w:tc>
          <w:tcPr>
            <w:tcW w:w="489" w:type="pct"/>
            <w:vAlign w:val="center"/>
          </w:tcPr>
          <w:p w14:paraId="0D54B9E6" w14:textId="054A8A39" w:rsidR="00C36037" w:rsidRDefault="00C36037" w:rsidP="00DA194B">
            <w:pPr>
              <w:spacing w:after="120"/>
              <w:jc w:val="center"/>
              <w:textAlignment w:val="baseline"/>
              <w:rPr>
                <w:rFonts w:ascii="Verdana" w:eastAsia="Times New Roman" w:hAnsi="Verdana" w:cs="Times New Roman"/>
                <w:b/>
                <w:sz w:val="19"/>
                <w:szCs w:val="19"/>
                <w:lang w:eastAsia="en-AU"/>
              </w:rPr>
            </w:pPr>
            <w:r>
              <w:rPr>
                <w:rFonts w:ascii="Verdana" w:eastAsia="Times New Roman" w:hAnsi="Verdana" w:cs="Times New Roman"/>
                <w:b/>
                <w:sz w:val="19"/>
                <w:szCs w:val="19"/>
                <w:lang w:eastAsia="en-AU"/>
              </w:rPr>
              <w:t>2018</w:t>
            </w:r>
          </w:p>
        </w:tc>
        <w:tc>
          <w:tcPr>
            <w:tcW w:w="496" w:type="pct"/>
            <w:vAlign w:val="center"/>
          </w:tcPr>
          <w:p w14:paraId="12715C31" w14:textId="050FCBF8" w:rsidR="00C36037" w:rsidRDefault="00C36037" w:rsidP="00DA194B">
            <w:pPr>
              <w:spacing w:after="120"/>
              <w:jc w:val="center"/>
              <w:textAlignment w:val="baseline"/>
              <w:rPr>
                <w:rFonts w:ascii="Verdana" w:eastAsia="Times New Roman" w:hAnsi="Verdana" w:cs="Times New Roman"/>
                <w:b/>
                <w:sz w:val="19"/>
                <w:szCs w:val="19"/>
                <w:lang w:eastAsia="en-AU"/>
              </w:rPr>
            </w:pPr>
            <w:r>
              <w:rPr>
                <w:rFonts w:ascii="Verdana" w:eastAsia="Times New Roman" w:hAnsi="Verdana" w:cs="Times New Roman"/>
                <w:b/>
                <w:sz w:val="19"/>
                <w:szCs w:val="19"/>
                <w:lang w:eastAsia="en-AU"/>
              </w:rPr>
              <w:t>2019</w:t>
            </w:r>
          </w:p>
        </w:tc>
      </w:tr>
      <w:tr w:rsidR="00C36037" w:rsidRPr="002C2DB3" w14:paraId="362641A6" w14:textId="21EA74E2" w:rsidTr="007067ED">
        <w:trPr>
          <w:jc w:val="center"/>
        </w:trPr>
        <w:tc>
          <w:tcPr>
            <w:tcW w:w="1084" w:type="pct"/>
            <w:vAlign w:val="bottom"/>
          </w:tcPr>
          <w:p w14:paraId="6C4678AA" w14:textId="2DF9222E" w:rsidR="00C36037" w:rsidRPr="002C2DB3" w:rsidRDefault="00C36037" w:rsidP="002C2DB3">
            <w:pPr>
              <w:spacing w:after="120"/>
              <w:jc w:val="center"/>
              <w:textAlignment w:val="baseline"/>
              <w:rPr>
                <w:rFonts w:ascii="Verdana" w:eastAsia="Times New Roman" w:hAnsi="Verdana" w:cs="Times New Roman"/>
                <w:sz w:val="19"/>
                <w:szCs w:val="19"/>
                <w:lang w:eastAsia="en-AU"/>
              </w:rPr>
            </w:pPr>
            <w:r w:rsidRPr="002C2DB3">
              <w:rPr>
                <w:rFonts w:ascii="Verdana" w:eastAsia="Times New Roman" w:hAnsi="Verdana" w:cs="Times New Roman"/>
                <w:sz w:val="19"/>
                <w:szCs w:val="19"/>
                <w:lang w:eastAsia="en-AU"/>
              </w:rPr>
              <w:t>HCFC-22</w:t>
            </w:r>
          </w:p>
        </w:tc>
        <w:tc>
          <w:tcPr>
            <w:tcW w:w="489" w:type="pct"/>
            <w:vAlign w:val="bottom"/>
          </w:tcPr>
          <w:p w14:paraId="668FFB68" w14:textId="40BDB512" w:rsidR="00C36037" w:rsidRPr="002C2DB3" w:rsidRDefault="00C36037" w:rsidP="002C2DB3">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702</w:t>
            </w:r>
          </w:p>
        </w:tc>
        <w:tc>
          <w:tcPr>
            <w:tcW w:w="489" w:type="pct"/>
            <w:vAlign w:val="bottom"/>
          </w:tcPr>
          <w:p w14:paraId="3CACA31E" w14:textId="48D84D4E" w:rsidR="00C36037" w:rsidRPr="002C2DB3" w:rsidRDefault="00C36037" w:rsidP="002C2DB3">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711</w:t>
            </w:r>
          </w:p>
        </w:tc>
        <w:tc>
          <w:tcPr>
            <w:tcW w:w="489" w:type="pct"/>
            <w:vAlign w:val="bottom"/>
          </w:tcPr>
          <w:p w14:paraId="45FA83AD" w14:textId="2D1A740A" w:rsidR="00C36037" w:rsidRPr="002C2DB3" w:rsidRDefault="00C36037" w:rsidP="002C2DB3">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178</w:t>
            </w:r>
          </w:p>
        </w:tc>
        <w:tc>
          <w:tcPr>
            <w:tcW w:w="489" w:type="pct"/>
            <w:vAlign w:val="bottom"/>
          </w:tcPr>
          <w:p w14:paraId="369A4C28" w14:textId="6AE28124" w:rsidR="00C36037" w:rsidRPr="002C2DB3" w:rsidRDefault="00C36037" w:rsidP="002C2DB3">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190</w:t>
            </w:r>
          </w:p>
        </w:tc>
        <w:tc>
          <w:tcPr>
            <w:tcW w:w="489" w:type="pct"/>
            <w:vAlign w:val="bottom"/>
          </w:tcPr>
          <w:p w14:paraId="586858DF" w14:textId="0E81364C" w:rsidR="00C36037" w:rsidRPr="002C2DB3" w:rsidRDefault="00C36037" w:rsidP="002C2DB3">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45</w:t>
            </w:r>
          </w:p>
        </w:tc>
        <w:tc>
          <w:tcPr>
            <w:tcW w:w="489" w:type="pct"/>
          </w:tcPr>
          <w:p w14:paraId="69F52C0C" w14:textId="3C5E2302" w:rsidR="00C36037" w:rsidRDefault="00C36037" w:rsidP="002C2DB3">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42.8</w:t>
            </w:r>
          </w:p>
        </w:tc>
        <w:tc>
          <w:tcPr>
            <w:tcW w:w="489" w:type="pct"/>
          </w:tcPr>
          <w:p w14:paraId="5C832656" w14:textId="0271EA28" w:rsidR="00C36037" w:rsidRDefault="00C36037" w:rsidP="002C2DB3">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45.4</w:t>
            </w:r>
          </w:p>
        </w:tc>
        <w:tc>
          <w:tcPr>
            <w:tcW w:w="496" w:type="pct"/>
          </w:tcPr>
          <w:p w14:paraId="3A92B49B" w14:textId="6331B362" w:rsidR="00C36037" w:rsidRDefault="00F501D4" w:rsidP="002C2DB3">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4</w:t>
            </w:r>
            <w:r w:rsidR="00466847">
              <w:rPr>
                <w:rFonts w:ascii="Verdana" w:eastAsia="Times New Roman" w:hAnsi="Verdana" w:cs="Times New Roman"/>
                <w:sz w:val="19"/>
                <w:szCs w:val="19"/>
                <w:lang w:eastAsia="en-AU"/>
              </w:rPr>
              <w:t>6</w:t>
            </w:r>
            <w:r>
              <w:rPr>
                <w:rFonts w:ascii="Verdana" w:eastAsia="Times New Roman" w:hAnsi="Verdana" w:cs="Times New Roman"/>
                <w:sz w:val="19"/>
                <w:szCs w:val="19"/>
                <w:lang w:eastAsia="en-AU"/>
              </w:rPr>
              <w:t>.</w:t>
            </w:r>
            <w:r w:rsidR="00466847">
              <w:rPr>
                <w:rFonts w:ascii="Verdana" w:eastAsia="Times New Roman" w:hAnsi="Verdana" w:cs="Times New Roman"/>
                <w:sz w:val="19"/>
                <w:szCs w:val="19"/>
                <w:lang w:eastAsia="en-AU"/>
              </w:rPr>
              <w:t>06</w:t>
            </w:r>
          </w:p>
        </w:tc>
      </w:tr>
      <w:tr w:rsidR="00C36037" w:rsidRPr="002C2DB3" w14:paraId="396683BD" w14:textId="2927621F" w:rsidTr="007067ED">
        <w:trPr>
          <w:jc w:val="center"/>
        </w:trPr>
        <w:tc>
          <w:tcPr>
            <w:tcW w:w="1084" w:type="pct"/>
            <w:vAlign w:val="bottom"/>
          </w:tcPr>
          <w:p w14:paraId="74B14096" w14:textId="49A10897" w:rsidR="00C36037" w:rsidRPr="002C2DB3" w:rsidRDefault="00C36037" w:rsidP="002C2DB3">
            <w:pPr>
              <w:spacing w:after="120"/>
              <w:jc w:val="center"/>
              <w:textAlignment w:val="baseline"/>
              <w:rPr>
                <w:rFonts w:ascii="Verdana" w:eastAsia="Times New Roman" w:hAnsi="Verdana" w:cs="Times New Roman"/>
                <w:sz w:val="19"/>
                <w:szCs w:val="19"/>
                <w:lang w:eastAsia="en-AU"/>
              </w:rPr>
            </w:pPr>
            <w:r w:rsidRPr="002C2DB3">
              <w:rPr>
                <w:rFonts w:ascii="Verdana" w:eastAsia="Times New Roman" w:hAnsi="Verdana" w:cs="Times New Roman"/>
                <w:sz w:val="19"/>
                <w:szCs w:val="19"/>
                <w:lang w:eastAsia="en-AU"/>
              </w:rPr>
              <w:t>HCFC-123</w:t>
            </w:r>
          </w:p>
        </w:tc>
        <w:tc>
          <w:tcPr>
            <w:tcW w:w="489" w:type="pct"/>
            <w:vAlign w:val="bottom"/>
          </w:tcPr>
          <w:p w14:paraId="4F07BF0A" w14:textId="0E0CAA99" w:rsidR="00C36037" w:rsidRPr="002C2DB3" w:rsidRDefault="00C36037" w:rsidP="002C2DB3">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26</w:t>
            </w:r>
          </w:p>
        </w:tc>
        <w:tc>
          <w:tcPr>
            <w:tcW w:w="489" w:type="pct"/>
            <w:vAlign w:val="bottom"/>
          </w:tcPr>
          <w:p w14:paraId="7738C8E8" w14:textId="16F970C6" w:rsidR="00C36037" w:rsidRPr="002C2DB3" w:rsidRDefault="00C36037" w:rsidP="002C2DB3">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8</w:t>
            </w:r>
          </w:p>
        </w:tc>
        <w:tc>
          <w:tcPr>
            <w:tcW w:w="489" w:type="pct"/>
            <w:vAlign w:val="bottom"/>
          </w:tcPr>
          <w:p w14:paraId="58806A29" w14:textId="7A681074" w:rsidR="00C36037" w:rsidRPr="002C2DB3" w:rsidRDefault="00C36037" w:rsidP="002C2DB3">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8.8</w:t>
            </w:r>
          </w:p>
        </w:tc>
        <w:tc>
          <w:tcPr>
            <w:tcW w:w="489" w:type="pct"/>
            <w:vAlign w:val="bottom"/>
          </w:tcPr>
          <w:p w14:paraId="517586BA" w14:textId="054C18A5" w:rsidR="00C36037" w:rsidRPr="002C2DB3" w:rsidRDefault="00C36037" w:rsidP="002C2DB3">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0</w:t>
            </w:r>
          </w:p>
        </w:tc>
        <w:tc>
          <w:tcPr>
            <w:tcW w:w="489" w:type="pct"/>
            <w:vAlign w:val="bottom"/>
          </w:tcPr>
          <w:p w14:paraId="24BE73A0" w14:textId="535A3800" w:rsidR="00C36037" w:rsidRPr="002C2DB3" w:rsidRDefault="00C36037" w:rsidP="002C2DB3">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0</w:t>
            </w:r>
          </w:p>
        </w:tc>
        <w:tc>
          <w:tcPr>
            <w:tcW w:w="489" w:type="pct"/>
          </w:tcPr>
          <w:p w14:paraId="473A6D16" w14:textId="6730BF9E" w:rsidR="00C36037" w:rsidRDefault="00C36037" w:rsidP="002C2DB3">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1.8</w:t>
            </w:r>
          </w:p>
        </w:tc>
        <w:tc>
          <w:tcPr>
            <w:tcW w:w="489" w:type="pct"/>
          </w:tcPr>
          <w:p w14:paraId="31525FEA" w14:textId="54340E5B" w:rsidR="00C36037" w:rsidRDefault="00C36037" w:rsidP="002C2DB3">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0</w:t>
            </w:r>
          </w:p>
        </w:tc>
        <w:tc>
          <w:tcPr>
            <w:tcW w:w="496" w:type="pct"/>
          </w:tcPr>
          <w:p w14:paraId="66EC017F" w14:textId="42F069CB" w:rsidR="00C36037" w:rsidRDefault="00931B3B" w:rsidP="002C2DB3">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0</w:t>
            </w:r>
          </w:p>
        </w:tc>
      </w:tr>
      <w:tr w:rsidR="00C36037" w:rsidRPr="002C2DB3" w14:paraId="4CF82065" w14:textId="070254DC" w:rsidTr="007067ED">
        <w:trPr>
          <w:jc w:val="center"/>
        </w:trPr>
        <w:tc>
          <w:tcPr>
            <w:tcW w:w="1084" w:type="pct"/>
            <w:vAlign w:val="bottom"/>
          </w:tcPr>
          <w:p w14:paraId="2CD8AF7F" w14:textId="41D36671" w:rsidR="00C36037" w:rsidRPr="002C2DB3" w:rsidRDefault="00C36037" w:rsidP="002C2DB3">
            <w:pPr>
              <w:spacing w:after="120"/>
              <w:jc w:val="center"/>
              <w:textAlignment w:val="baseline"/>
              <w:rPr>
                <w:rFonts w:ascii="Verdana" w:eastAsia="Times New Roman" w:hAnsi="Verdana" w:cs="Times New Roman"/>
                <w:sz w:val="19"/>
                <w:szCs w:val="19"/>
                <w:lang w:eastAsia="en-AU"/>
              </w:rPr>
            </w:pPr>
            <w:r w:rsidRPr="002C2DB3">
              <w:rPr>
                <w:rFonts w:ascii="Verdana" w:eastAsia="Times New Roman" w:hAnsi="Verdana" w:cs="Times New Roman"/>
                <w:sz w:val="19"/>
                <w:szCs w:val="19"/>
                <w:lang w:eastAsia="en-AU"/>
              </w:rPr>
              <w:t>HCFC-124</w:t>
            </w:r>
          </w:p>
        </w:tc>
        <w:tc>
          <w:tcPr>
            <w:tcW w:w="489" w:type="pct"/>
            <w:vAlign w:val="bottom"/>
          </w:tcPr>
          <w:p w14:paraId="0FD159B5" w14:textId="47232B78" w:rsidR="00C36037" w:rsidRPr="002C2DB3" w:rsidRDefault="00C36037" w:rsidP="002C2DB3">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4</w:t>
            </w:r>
          </w:p>
        </w:tc>
        <w:tc>
          <w:tcPr>
            <w:tcW w:w="489" w:type="pct"/>
            <w:vAlign w:val="bottom"/>
          </w:tcPr>
          <w:p w14:paraId="6D6B1B90" w14:textId="2B4781C6" w:rsidR="00C36037" w:rsidRPr="002C2DB3" w:rsidRDefault="00C36037" w:rsidP="002C2DB3">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3</w:t>
            </w:r>
          </w:p>
        </w:tc>
        <w:tc>
          <w:tcPr>
            <w:tcW w:w="489" w:type="pct"/>
            <w:vAlign w:val="bottom"/>
          </w:tcPr>
          <w:p w14:paraId="410D66F6" w14:textId="714A40F9" w:rsidR="00C36037" w:rsidRPr="002C2DB3" w:rsidRDefault="00C36037" w:rsidP="002C2DB3">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0.5</w:t>
            </w:r>
          </w:p>
        </w:tc>
        <w:tc>
          <w:tcPr>
            <w:tcW w:w="489" w:type="pct"/>
            <w:vAlign w:val="bottom"/>
          </w:tcPr>
          <w:p w14:paraId="3A33CAC0" w14:textId="48AB8B90" w:rsidR="00C36037" w:rsidRPr="002C2DB3" w:rsidRDefault="00C36037" w:rsidP="002C2DB3">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1.5</w:t>
            </w:r>
          </w:p>
        </w:tc>
        <w:tc>
          <w:tcPr>
            <w:tcW w:w="489" w:type="pct"/>
            <w:vAlign w:val="bottom"/>
          </w:tcPr>
          <w:p w14:paraId="6FF60A5A" w14:textId="7815FDEF" w:rsidR="00C36037" w:rsidRPr="002C2DB3" w:rsidRDefault="00C36037" w:rsidP="002C2DB3">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0</w:t>
            </w:r>
          </w:p>
        </w:tc>
        <w:tc>
          <w:tcPr>
            <w:tcW w:w="489" w:type="pct"/>
          </w:tcPr>
          <w:p w14:paraId="36E37AE3" w14:textId="4F748358" w:rsidR="00C36037" w:rsidRDefault="00C36037" w:rsidP="002C2DB3">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0</w:t>
            </w:r>
          </w:p>
        </w:tc>
        <w:tc>
          <w:tcPr>
            <w:tcW w:w="489" w:type="pct"/>
          </w:tcPr>
          <w:p w14:paraId="55960122" w14:textId="6C17907F" w:rsidR="00C36037" w:rsidRDefault="00C36037" w:rsidP="002C2DB3">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0</w:t>
            </w:r>
          </w:p>
        </w:tc>
        <w:tc>
          <w:tcPr>
            <w:tcW w:w="496" w:type="pct"/>
          </w:tcPr>
          <w:p w14:paraId="7F7E28BA" w14:textId="39DBCE7C" w:rsidR="00C36037" w:rsidRDefault="00931B3B" w:rsidP="002C2DB3">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0</w:t>
            </w:r>
          </w:p>
        </w:tc>
      </w:tr>
      <w:tr w:rsidR="00C36037" w:rsidRPr="002C2DB3" w14:paraId="5D21F2E3" w14:textId="25ED593D" w:rsidTr="007067ED">
        <w:trPr>
          <w:jc w:val="center"/>
        </w:trPr>
        <w:tc>
          <w:tcPr>
            <w:tcW w:w="1084" w:type="pct"/>
            <w:vAlign w:val="bottom"/>
          </w:tcPr>
          <w:p w14:paraId="65FFACB7" w14:textId="660DD1DE" w:rsidR="00C36037" w:rsidRPr="002C2DB3" w:rsidRDefault="00C36037" w:rsidP="002C2DB3">
            <w:pPr>
              <w:spacing w:after="120"/>
              <w:jc w:val="center"/>
              <w:textAlignment w:val="baseline"/>
              <w:rPr>
                <w:rFonts w:ascii="Verdana" w:eastAsia="Times New Roman" w:hAnsi="Verdana" w:cs="Times New Roman"/>
                <w:sz w:val="19"/>
                <w:szCs w:val="19"/>
                <w:lang w:eastAsia="en-AU"/>
              </w:rPr>
            </w:pPr>
            <w:r w:rsidRPr="002C2DB3">
              <w:rPr>
                <w:rFonts w:ascii="Verdana" w:eastAsia="Times New Roman" w:hAnsi="Verdana" w:cs="Times New Roman"/>
                <w:sz w:val="19"/>
                <w:szCs w:val="19"/>
                <w:lang w:eastAsia="en-AU"/>
              </w:rPr>
              <w:t>HCFC-142b</w:t>
            </w:r>
          </w:p>
        </w:tc>
        <w:tc>
          <w:tcPr>
            <w:tcW w:w="489" w:type="pct"/>
            <w:vAlign w:val="bottom"/>
          </w:tcPr>
          <w:p w14:paraId="1C91C325" w14:textId="7EBBA5DE" w:rsidR="00C36037" w:rsidRPr="002C2DB3" w:rsidRDefault="00C36037" w:rsidP="002C2DB3">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1</w:t>
            </w:r>
          </w:p>
        </w:tc>
        <w:tc>
          <w:tcPr>
            <w:tcW w:w="489" w:type="pct"/>
            <w:vAlign w:val="bottom"/>
          </w:tcPr>
          <w:p w14:paraId="1EF8340A" w14:textId="7FD73326" w:rsidR="00C36037" w:rsidRPr="002C2DB3" w:rsidRDefault="00C36037" w:rsidP="002C2DB3">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1</w:t>
            </w:r>
          </w:p>
        </w:tc>
        <w:tc>
          <w:tcPr>
            <w:tcW w:w="489" w:type="pct"/>
            <w:vAlign w:val="bottom"/>
          </w:tcPr>
          <w:p w14:paraId="32F1360E" w14:textId="7DD24298" w:rsidR="00C36037" w:rsidRPr="002C2DB3" w:rsidRDefault="00C36037" w:rsidP="002C2DB3">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0.3</w:t>
            </w:r>
          </w:p>
        </w:tc>
        <w:tc>
          <w:tcPr>
            <w:tcW w:w="489" w:type="pct"/>
            <w:vAlign w:val="bottom"/>
          </w:tcPr>
          <w:p w14:paraId="6AB3896E" w14:textId="0651C2EC" w:rsidR="00C36037" w:rsidRPr="002C2DB3" w:rsidRDefault="00C36037" w:rsidP="002C2DB3">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0</w:t>
            </w:r>
          </w:p>
        </w:tc>
        <w:tc>
          <w:tcPr>
            <w:tcW w:w="489" w:type="pct"/>
            <w:vAlign w:val="bottom"/>
          </w:tcPr>
          <w:p w14:paraId="04AC32B5" w14:textId="09AF9B66" w:rsidR="00C36037" w:rsidRPr="002C2DB3" w:rsidRDefault="00C36037" w:rsidP="002C2DB3">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0</w:t>
            </w:r>
          </w:p>
        </w:tc>
        <w:tc>
          <w:tcPr>
            <w:tcW w:w="489" w:type="pct"/>
          </w:tcPr>
          <w:p w14:paraId="239E612F" w14:textId="43DFAE72" w:rsidR="00C36037" w:rsidRDefault="00C36037" w:rsidP="002C2DB3">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0</w:t>
            </w:r>
          </w:p>
        </w:tc>
        <w:tc>
          <w:tcPr>
            <w:tcW w:w="489" w:type="pct"/>
          </w:tcPr>
          <w:p w14:paraId="68008A3F" w14:textId="5F0F575D" w:rsidR="00C36037" w:rsidRDefault="00C36037" w:rsidP="002C2DB3">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0</w:t>
            </w:r>
          </w:p>
        </w:tc>
        <w:tc>
          <w:tcPr>
            <w:tcW w:w="496" w:type="pct"/>
          </w:tcPr>
          <w:p w14:paraId="1D8541C5" w14:textId="722ED044" w:rsidR="00C36037" w:rsidRDefault="00931B3B" w:rsidP="002C2DB3">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0</w:t>
            </w:r>
          </w:p>
        </w:tc>
      </w:tr>
      <w:tr w:rsidR="00C36037" w:rsidRPr="002C2DB3" w14:paraId="1B8CC83B" w14:textId="1C38D66B" w:rsidTr="007067ED">
        <w:trPr>
          <w:jc w:val="center"/>
        </w:trPr>
        <w:tc>
          <w:tcPr>
            <w:tcW w:w="1084" w:type="pct"/>
            <w:vAlign w:val="bottom"/>
          </w:tcPr>
          <w:p w14:paraId="7A6FE3F3" w14:textId="3B39232A" w:rsidR="00C36037" w:rsidRPr="002C2DB3" w:rsidRDefault="00C36037" w:rsidP="002C2DB3">
            <w:pPr>
              <w:spacing w:after="120"/>
              <w:jc w:val="center"/>
              <w:textAlignment w:val="baseline"/>
              <w:rPr>
                <w:rFonts w:ascii="Verdana" w:eastAsia="Times New Roman" w:hAnsi="Verdana" w:cs="Times New Roman"/>
                <w:sz w:val="19"/>
                <w:szCs w:val="19"/>
                <w:lang w:eastAsia="en-AU"/>
              </w:rPr>
            </w:pPr>
            <w:r w:rsidRPr="002C2DB3">
              <w:rPr>
                <w:rFonts w:ascii="Verdana" w:eastAsia="Times New Roman" w:hAnsi="Verdana" w:cs="Times New Roman"/>
                <w:sz w:val="19"/>
                <w:szCs w:val="19"/>
                <w:lang w:eastAsia="en-AU"/>
              </w:rPr>
              <w:t>HCFC-225</w:t>
            </w:r>
          </w:p>
        </w:tc>
        <w:tc>
          <w:tcPr>
            <w:tcW w:w="489" w:type="pct"/>
            <w:vAlign w:val="bottom"/>
          </w:tcPr>
          <w:p w14:paraId="3188DA4A" w14:textId="30E94C5B" w:rsidR="00C36037" w:rsidRPr="002C2DB3" w:rsidRDefault="00C36037" w:rsidP="002C2DB3">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0.5</w:t>
            </w:r>
          </w:p>
        </w:tc>
        <w:tc>
          <w:tcPr>
            <w:tcW w:w="489" w:type="pct"/>
            <w:vAlign w:val="bottom"/>
          </w:tcPr>
          <w:p w14:paraId="6A2B09D8" w14:textId="012310A9" w:rsidR="00C36037" w:rsidRPr="002C2DB3" w:rsidRDefault="00C36037" w:rsidP="002C2DB3">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0</w:t>
            </w:r>
          </w:p>
        </w:tc>
        <w:tc>
          <w:tcPr>
            <w:tcW w:w="489" w:type="pct"/>
            <w:vAlign w:val="bottom"/>
          </w:tcPr>
          <w:p w14:paraId="10258FD1" w14:textId="3942CF74" w:rsidR="00C36037" w:rsidRPr="002C2DB3" w:rsidRDefault="00C36037" w:rsidP="002C2DB3">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0</w:t>
            </w:r>
          </w:p>
        </w:tc>
        <w:tc>
          <w:tcPr>
            <w:tcW w:w="489" w:type="pct"/>
            <w:vAlign w:val="bottom"/>
          </w:tcPr>
          <w:p w14:paraId="0C0B116E" w14:textId="531D677D" w:rsidR="00C36037" w:rsidRPr="002C2DB3" w:rsidRDefault="00C36037" w:rsidP="002C2DB3">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0.3</w:t>
            </w:r>
          </w:p>
        </w:tc>
        <w:tc>
          <w:tcPr>
            <w:tcW w:w="489" w:type="pct"/>
            <w:vAlign w:val="bottom"/>
          </w:tcPr>
          <w:p w14:paraId="1FA86DE6" w14:textId="2A17FD41" w:rsidR="00C36037" w:rsidRPr="002C2DB3" w:rsidRDefault="00C36037" w:rsidP="002C2DB3">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0.3</w:t>
            </w:r>
          </w:p>
        </w:tc>
        <w:tc>
          <w:tcPr>
            <w:tcW w:w="489" w:type="pct"/>
          </w:tcPr>
          <w:p w14:paraId="7FB286F0" w14:textId="77341F55" w:rsidR="00C36037" w:rsidRDefault="00C36037" w:rsidP="002C2DB3">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0</w:t>
            </w:r>
          </w:p>
        </w:tc>
        <w:tc>
          <w:tcPr>
            <w:tcW w:w="489" w:type="pct"/>
          </w:tcPr>
          <w:p w14:paraId="44D34EF5" w14:textId="6A97751B" w:rsidR="00C36037" w:rsidRDefault="00C36037" w:rsidP="002C2DB3">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0</w:t>
            </w:r>
          </w:p>
        </w:tc>
        <w:tc>
          <w:tcPr>
            <w:tcW w:w="496" w:type="pct"/>
          </w:tcPr>
          <w:p w14:paraId="4B869505" w14:textId="53C08CB4" w:rsidR="00C36037" w:rsidRDefault="00931B3B" w:rsidP="002C2DB3">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0</w:t>
            </w:r>
          </w:p>
        </w:tc>
      </w:tr>
    </w:tbl>
    <w:p w14:paraId="4F87BA7A" w14:textId="7747963A" w:rsidR="00DA4601" w:rsidRDefault="00DA4601" w:rsidP="00C37A24">
      <w:pPr>
        <w:spacing w:after="120"/>
        <w:textAlignment w:val="baseline"/>
        <w:rPr>
          <w:rFonts w:ascii="Verdana" w:eastAsia="Times New Roman" w:hAnsi="Verdana" w:cs="Times New Roman"/>
          <w:b/>
          <w:sz w:val="19"/>
          <w:szCs w:val="19"/>
          <w:lang w:eastAsia="en-AU"/>
        </w:rPr>
      </w:pPr>
    </w:p>
    <w:p w14:paraId="3EDDAE70" w14:textId="62B620D0" w:rsidR="0036697B" w:rsidRPr="0036697B" w:rsidRDefault="0036697B" w:rsidP="007067ED">
      <w:pPr>
        <w:spacing w:after="120"/>
        <w:textAlignment w:val="baseline"/>
        <w:rPr>
          <w:rFonts w:ascii="Verdana" w:eastAsia="Times New Roman" w:hAnsi="Verdana" w:cs="Times New Roman"/>
          <w:b/>
          <w:sz w:val="19"/>
          <w:szCs w:val="19"/>
          <w:lang w:eastAsia="en-AU"/>
        </w:rPr>
      </w:pPr>
      <w:r w:rsidRPr="0036697B">
        <w:rPr>
          <w:rFonts w:ascii="Verdana" w:eastAsia="Times New Roman" w:hAnsi="Verdana" w:cs="Times New Roman"/>
          <w:b/>
          <w:sz w:val="19"/>
          <w:szCs w:val="19"/>
          <w:lang w:eastAsia="en-AU"/>
        </w:rPr>
        <w:t xml:space="preserve">Australia’s </w:t>
      </w:r>
      <w:r w:rsidR="00E21ED7">
        <w:rPr>
          <w:rFonts w:ascii="Verdana" w:eastAsia="Times New Roman" w:hAnsi="Verdana" w:cs="Times New Roman"/>
          <w:b/>
          <w:sz w:val="19"/>
          <w:szCs w:val="19"/>
          <w:lang w:eastAsia="en-AU"/>
        </w:rPr>
        <w:t>b</w:t>
      </w:r>
      <w:r w:rsidR="008C63BE">
        <w:rPr>
          <w:rFonts w:ascii="Verdana" w:eastAsia="Times New Roman" w:hAnsi="Verdana" w:cs="Times New Roman"/>
          <w:b/>
          <w:sz w:val="19"/>
          <w:szCs w:val="19"/>
          <w:lang w:eastAsia="en-AU"/>
        </w:rPr>
        <w:t xml:space="preserve">ulk </w:t>
      </w:r>
      <w:r w:rsidRPr="0036697B">
        <w:rPr>
          <w:rFonts w:ascii="Verdana" w:eastAsia="Times New Roman" w:hAnsi="Verdana" w:cs="Times New Roman"/>
          <w:b/>
          <w:sz w:val="19"/>
          <w:szCs w:val="19"/>
          <w:lang w:eastAsia="en-AU"/>
        </w:rPr>
        <w:t xml:space="preserve">HCFC </w:t>
      </w:r>
      <w:r w:rsidR="00E21ED7">
        <w:rPr>
          <w:rFonts w:ascii="Verdana" w:eastAsia="Times New Roman" w:hAnsi="Verdana" w:cs="Times New Roman"/>
          <w:b/>
          <w:sz w:val="19"/>
          <w:szCs w:val="19"/>
          <w:lang w:eastAsia="en-AU"/>
        </w:rPr>
        <w:t>imports</w:t>
      </w:r>
      <w:r w:rsidRPr="0036697B">
        <w:rPr>
          <w:rFonts w:ascii="Verdana" w:eastAsia="Times New Roman" w:hAnsi="Verdana" w:cs="Times New Roman"/>
          <w:b/>
          <w:sz w:val="19"/>
          <w:szCs w:val="19"/>
          <w:lang w:eastAsia="en-AU"/>
        </w:rPr>
        <w:t xml:space="preserve"> compared to other countr</w:t>
      </w:r>
      <w:r w:rsidR="00E21ED7">
        <w:rPr>
          <w:rFonts w:ascii="Verdana" w:eastAsia="Times New Roman" w:hAnsi="Verdana" w:cs="Times New Roman"/>
          <w:b/>
          <w:sz w:val="19"/>
          <w:szCs w:val="19"/>
          <w:lang w:eastAsia="en-AU"/>
        </w:rPr>
        <w:t>ies</w:t>
      </w:r>
    </w:p>
    <w:p w14:paraId="51B07FDA" w14:textId="3DA583A6" w:rsidR="00D10A13" w:rsidRDefault="00EF1A9B" w:rsidP="007067ED">
      <w:pPr>
        <w:spacing w:after="120"/>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Australia’s phase</w:t>
      </w:r>
      <w:r w:rsidR="006C5A9F">
        <w:rPr>
          <w:rFonts w:ascii="Verdana" w:eastAsia="Times New Roman" w:hAnsi="Verdana" w:cs="Times New Roman"/>
          <w:sz w:val="19"/>
          <w:szCs w:val="19"/>
          <w:lang w:eastAsia="en-AU"/>
        </w:rPr>
        <w:t xml:space="preserve"> </w:t>
      </w:r>
      <w:r>
        <w:rPr>
          <w:rFonts w:ascii="Verdana" w:eastAsia="Times New Roman" w:hAnsi="Verdana" w:cs="Times New Roman"/>
          <w:sz w:val="19"/>
          <w:szCs w:val="19"/>
          <w:lang w:eastAsia="en-AU"/>
        </w:rPr>
        <w:t xml:space="preserve">out of HCFC </w:t>
      </w:r>
      <w:r w:rsidR="00311A48">
        <w:rPr>
          <w:rFonts w:ascii="Verdana" w:eastAsia="Times New Roman" w:hAnsi="Verdana" w:cs="Times New Roman"/>
          <w:sz w:val="19"/>
          <w:szCs w:val="19"/>
          <w:lang w:eastAsia="en-AU"/>
        </w:rPr>
        <w:t xml:space="preserve">is similar to or ahead of </w:t>
      </w:r>
      <w:r>
        <w:rPr>
          <w:rFonts w:ascii="Verdana" w:eastAsia="Times New Roman" w:hAnsi="Verdana" w:cs="Times New Roman"/>
          <w:sz w:val="19"/>
          <w:szCs w:val="19"/>
          <w:lang w:eastAsia="en-AU"/>
        </w:rPr>
        <w:t>other developed countries</w:t>
      </w:r>
      <w:r w:rsidR="0036697B">
        <w:rPr>
          <w:rFonts w:ascii="Verdana" w:eastAsia="Times New Roman" w:hAnsi="Verdana" w:cs="Times New Roman"/>
          <w:sz w:val="19"/>
          <w:szCs w:val="19"/>
          <w:lang w:eastAsia="en-AU"/>
        </w:rPr>
        <w:t xml:space="preserve"> (non-Article 5 </w:t>
      </w:r>
      <w:r w:rsidR="00065586">
        <w:rPr>
          <w:rFonts w:ascii="Verdana" w:eastAsia="Times New Roman" w:hAnsi="Verdana" w:cs="Times New Roman"/>
          <w:sz w:val="19"/>
          <w:szCs w:val="19"/>
          <w:lang w:eastAsia="en-AU"/>
        </w:rPr>
        <w:t xml:space="preserve">or </w:t>
      </w:r>
      <w:r w:rsidR="0025705C">
        <w:rPr>
          <w:rFonts w:ascii="Verdana" w:eastAsia="Times New Roman" w:hAnsi="Verdana" w:cs="Times New Roman"/>
          <w:sz w:val="19"/>
          <w:szCs w:val="19"/>
          <w:lang w:eastAsia="en-AU"/>
        </w:rPr>
        <w:t>“</w:t>
      </w:r>
      <w:r w:rsidR="00065586">
        <w:rPr>
          <w:rFonts w:ascii="Verdana" w:eastAsia="Times New Roman" w:hAnsi="Verdana" w:cs="Times New Roman"/>
          <w:sz w:val="19"/>
          <w:szCs w:val="19"/>
          <w:lang w:eastAsia="en-AU"/>
        </w:rPr>
        <w:t>non-A5</w:t>
      </w:r>
      <w:r w:rsidR="0025705C">
        <w:rPr>
          <w:rFonts w:ascii="Verdana" w:eastAsia="Times New Roman" w:hAnsi="Verdana" w:cs="Times New Roman"/>
          <w:sz w:val="19"/>
          <w:szCs w:val="19"/>
          <w:lang w:eastAsia="en-AU"/>
        </w:rPr>
        <w:t>”</w:t>
      </w:r>
      <w:r w:rsidR="00065586">
        <w:rPr>
          <w:rFonts w:ascii="Verdana" w:eastAsia="Times New Roman" w:hAnsi="Verdana" w:cs="Times New Roman"/>
          <w:sz w:val="19"/>
          <w:szCs w:val="19"/>
          <w:lang w:eastAsia="en-AU"/>
        </w:rPr>
        <w:t xml:space="preserve"> </w:t>
      </w:r>
      <w:r w:rsidR="0036697B">
        <w:rPr>
          <w:rFonts w:ascii="Verdana" w:eastAsia="Times New Roman" w:hAnsi="Verdana" w:cs="Times New Roman"/>
          <w:sz w:val="19"/>
          <w:szCs w:val="19"/>
          <w:lang w:eastAsia="en-AU"/>
        </w:rPr>
        <w:t>parties)</w:t>
      </w:r>
      <w:r w:rsidR="00EF348D">
        <w:rPr>
          <w:rFonts w:ascii="Verdana" w:eastAsia="Times New Roman" w:hAnsi="Verdana" w:cs="Times New Roman"/>
          <w:sz w:val="19"/>
          <w:szCs w:val="19"/>
          <w:lang w:eastAsia="en-AU"/>
        </w:rPr>
        <w:t xml:space="preserve"> </w:t>
      </w:r>
      <w:r>
        <w:rPr>
          <w:rFonts w:ascii="Verdana" w:eastAsia="Times New Roman" w:hAnsi="Verdana" w:cs="Times New Roman"/>
          <w:sz w:val="19"/>
          <w:szCs w:val="19"/>
          <w:lang w:eastAsia="en-AU"/>
        </w:rPr>
        <w:t>which are on the same phase</w:t>
      </w:r>
      <w:r w:rsidR="006C5A9F">
        <w:rPr>
          <w:rFonts w:ascii="Verdana" w:eastAsia="Times New Roman" w:hAnsi="Verdana" w:cs="Times New Roman"/>
          <w:sz w:val="19"/>
          <w:szCs w:val="19"/>
          <w:lang w:eastAsia="en-AU"/>
        </w:rPr>
        <w:t xml:space="preserve"> </w:t>
      </w:r>
      <w:r w:rsidR="00EF348D">
        <w:rPr>
          <w:rFonts w:ascii="Verdana" w:eastAsia="Times New Roman" w:hAnsi="Verdana" w:cs="Times New Roman"/>
          <w:sz w:val="19"/>
          <w:szCs w:val="19"/>
          <w:lang w:eastAsia="en-AU"/>
        </w:rPr>
        <w:t>out schedule</w:t>
      </w:r>
      <w:r w:rsidR="00C673B9">
        <w:rPr>
          <w:rFonts w:ascii="Verdana" w:eastAsia="Times New Roman" w:hAnsi="Verdana" w:cs="Times New Roman"/>
          <w:sz w:val="19"/>
          <w:szCs w:val="19"/>
          <w:lang w:eastAsia="en-AU"/>
        </w:rPr>
        <w:t xml:space="preserve"> </w:t>
      </w:r>
      <w:r w:rsidR="00C673B9" w:rsidRPr="00C673B9">
        <w:rPr>
          <w:rFonts w:ascii="Verdana" w:eastAsia="Times New Roman" w:hAnsi="Verdana" w:cs="Times New Roman"/>
          <w:sz w:val="19"/>
          <w:szCs w:val="19"/>
          <w:u w:val="single"/>
          <w:lang w:eastAsia="en-AU"/>
        </w:rPr>
        <w:t>(Graph 4</w:t>
      </w:r>
      <w:r w:rsidR="00D7547D">
        <w:rPr>
          <w:rFonts w:ascii="Verdana" w:eastAsia="Times New Roman" w:hAnsi="Verdana" w:cs="Times New Roman"/>
          <w:sz w:val="19"/>
          <w:szCs w:val="19"/>
          <w:u w:val="single"/>
          <w:lang w:eastAsia="en-AU"/>
        </w:rPr>
        <w:t xml:space="preserve"> and Table 2</w:t>
      </w:r>
      <w:r w:rsidR="00C673B9" w:rsidRPr="00C673B9">
        <w:rPr>
          <w:rFonts w:ascii="Verdana" w:eastAsia="Times New Roman" w:hAnsi="Verdana" w:cs="Times New Roman"/>
          <w:sz w:val="19"/>
          <w:szCs w:val="19"/>
          <w:u w:val="single"/>
          <w:lang w:eastAsia="en-AU"/>
        </w:rPr>
        <w:t>)</w:t>
      </w:r>
      <w:r w:rsidR="00EF348D">
        <w:rPr>
          <w:rFonts w:ascii="Verdana" w:eastAsia="Times New Roman" w:hAnsi="Verdana" w:cs="Times New Roman"/>
          <w:sz w:val="19"/>
          <w:szCs w:val="19"/>
          <w:lang w:eastAsia="en-AU"/>
        </w:rPr>
        <w:t xml:space="preserve">. </w:t>
      </w:r>
      <w:r w:rsidR="00D10A13">
        <w:rPr>
          <w:rFonts w:ascii="Verdana" w:eastAsia="Times New Roman" w:hAnsi="Verdana" w:cs="Times New Roman"/>
          <w:sz w:val="19"/>
          <w:szCs w:val="19"/>
          <w:lang w:eastAsia="en-AU"/>
        </w:rPr>
        <w:t>From 2020, imports of HCFC can only be used to service existing refrigeration</w:t>
      </w:r>
      <w:r w:rsidR="00B554C6">
        <w:rPr>
          <w:rFonts w:ascii="Verdana" w:eastAsia="Times New Roman" w:hAnsi="Verdana" w:cs="Times New Roman"/>
          <w:sz w:val="19"/>
          <w:szCs w:val="19"/>
          <w:lang w:eastAsia="en-AU"/>
        </w:rPr>
        <w:t>,</w:t>
      </w:r>
      <w:r w:rsidR="00D10A13">
        <w:rPr>
          <w:rFonts w:ascii="Verdana" w:eastAsia="Times New Roman" w:hAnsi="Verdana" w:cs="Times New Roman"/>
          <w:sz w:val="19"/>
          <w:szCs w:val="19"/>
          <w:lang w:eastAsia="en-AU"/>
        </w:rPr>
        <w:t xml:space="preserve"> air conditioning and fire protection, equipment. </w:t>
      </w:r>
    </w:p>
    <w:p w14:paraId="3EDDAE71" w14:textId="01B0BD2E" w:rsidR="00EF1A9B" w:rsidRDefault="00EF348D" w:rsidP="007067ED">
      <w:pPr>
        <w:spacing w:after="120"/>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T</w:t>
      </w:r>
      <w:r w:rsidR="00EF1A9B">
        <w:rPr>
          <w:rFonts w:ascii="Verdana" w:eastAsia="Times New Roman" w:hAnsi="Verdana" w:cs="Times New Roman"/>
          <w:sz w:val="19"/>
          <w:szCs w:val="19"/>
          <w:lang w:eastAsia="en-AU"/>
        </w:rPr>
        <w:t>he HCFC phase</w:t>
      </w:r>
      <w:r w:rsidR="006C5A9F">
        <w:rPr>
          <w:rFonts w:ascii="Verdana" w:eastAsia="Times New Roman" w:hAnsi="Verdana" w:cs="Times New Roman"/>
          <w:sz w:val="19"/>
          <w:szCs w:val="19"/>
          <w:lang w:eastAsia="en-AU"/>
        </w:rPr>
        <w:t xml:space="preserve"> </w:t>
      </w:r>
      <w:r w:rsidR="00EF1A9B">
        <w:rPr>
          <w:rFonts w:ascii="Verdana" w:eastAsia="Times New Roman" w:hAnsi="Verdana" w:cs="Times New Roman"/>
          <w:sz w:val="19"/>
          <w:szCs w:val="19"/>
          <w:lang w:eastAsia="en-AU"/>
        </w:rPr>
        <w:t>out in developing countries</w:t>
      </w:r>
      <w:r w:rsidR="0036697B">
        <w:rPr>
          <w:rFonts w:ascii="Verdana" w:eastAsia="Times New Roman" w:hAnsi="Verdana" w:cs="Times New Roman"/>
          <w:sz w:val="19"/>
          <w:szCs w:val="19"/>
          <w:lang w:eastAsia="en-AU"/>
        </w:rPr>
        <w:t xml:space="preserve"> (Article 5 </w:t>
      </w:r>
      <w:r w:rsidR="00065586">
        <w:rPr>
          <w:rFonts w:ascii="Verdana" w:eastAsia="Times New Roman" w:hAnsi="Verdana" w:cs="Times New Roman"/>
          <w:sz w:val="19"/>
          <w:szCs w:val="19"/>
          <w:lang w:eastAsia="en-AU"/>
        </w:rPr>
        <w:t xml:space="preserve">or </w:t>
      </w:r>
      <w:r w:rsidR="0025705C">
        <w:rPr>
          <w:rFonts w:ascii="Verdana" w:eastAsia="Times New Roman" w:hAnsi="Verdana" w:cs="Times New Roman"/>
          <w:sz w:val="19"/>
          <w:szCs w:val="19"/>
          <w:lang w:eastAsia="en-AU"/>
        </w:rPr>
        <w:t>“</w:t>
      </w:r>
      <w:r w:rsidR="00065586">
        <w:rPr>
          <w:rFonts w:ascii="Verdana" w:eastAsia="Times New Roman" w:hAnsi="Verdana" w:cs="Times New Roman"/>
          <w:sz w:val="19"/>
          <w:szCs w:val="19"/>
          <w:lang w:eastAsia="en-AU"/>
        </w:rPr>
        <w:t>A5</w:t>
      </w:r>
      <w:r w:rsidR="0025705C">
        <w:rPr>
          <w:rFonts w:ascii="Verdana" w:eastAsia="Times New Roman" w:hAnsi="Verdana" w:cs="Times New Roman"/>
          <w:sz w:val="19"/>
          <w:szCs w:val="19"/>
          <w:lang w:eastAsia="en-AU"/>
        </w:rPr>
        <w:t>”</w:t>
      </w:r>
      <w:r w:rsidR="00065586">
        <w:rPr>
          <w:rFonts w:ascii="Verdana" w:eastAsia="Times New Roman" w:hAnsi="Verdana" w:cs="Times New Roman"/>
          <w:sz w:val="19"/>
          <w:szCs w:val="19"/>
          <w:lang w:eastAsia="en-AU"/>
        </w:rPr>
        <w:t xml:space="preserve"> </w:t>
      </w:r>
      <w:r w:rsidR="0036697B">
        <w:rPr>
          <w:rFonts w:ascii="Verdana" w:eastAsia="Times New Roman" w:hAnsi="Verdana" w:cs="Times New Roman"/>
          <w:sz w:val="19"/>
          <w:szCs w:val="19"/>
          <w:lang w:eastAsia="en-AU"/>
        </w:rPr>
        <w:t>parties</w:t>
      </w:r>
      <w:r>
        <w:rPr>
          <w:rFonts w:ascii="Verdana" w:eastAsia="Times New Roman" w:hAnsi="Verdana" w:cs="Times New Roman"/>
          <w:sz w:val="19"/>
          <w:szCs w:val="19"/>
          <w:lang w:eastAsia="en-AU"/>
        </w:rPr>
        <w:t>)</w:t>
      </w:r>
      <w:r w:rsidR="00EF1A9B">
        <w:rPr>
          <w:rFonts w:ascii="Verdana" w:eastAsia="Times New Roman" w:hAnsi="Verdana" w:cs="Times New Roman"/>
          <w:sz w:val="19"/>
          <w:szCs w:val="19"/>
          <w:lang w:eastAsia="en-AU"/>
        </w:rPr>
        <w:t xml:space="preserve"> commenced in 2013 with a freeze at baseline levels</w:t>
      </w:r>
      <w:r w:rsidR="00C37A24">
        <w:rPr>
          <w:rFonts w:ascii="Verdana" w:eastAsia="Times New Roman" w:hAnsi="Verdana" w:cs="Times New Roman"/>
          <w:sz w:val="19"/>
          <w:szCs w:val="19"/>
          <w:lang w:eastAsia="en-AU"/>
        </w:rPr>
        <w:t xml:space="preserve"> and a 10% reduction step in 2015</w:t>
      </w:r>
      <w:r w:rsidR="00EF1A9B">
        <w:rPr>
          <w:rFonts w:ascii="Verdana" w:eastAsia="Times New Roman" w:hAnsi="Verdana" w:cs="Times New Roman"/>
          <w:sz w:val="19"/>
          <w:szCs w:val="19"/>
          <w:lang w:eastAsia="en-AU"/>
        </w:rPr>
        <w:t xml:space="preserve">. </w:t>
      </w:r>
      <w:r w:rsidR="006E5699" w:rsidRPr="00C633AD">
        <w:rPr>
          <w:rFonts w:ascii="Verdana" w:eastAsia="Times New Roman" w:hAnsi="Verdana" w:cs="Times New Roman"/>
          <w:sz w:val="19"/>
          <w:szCs w:val="19"/>
          <w:lang w:eastAsia="en-AU"/>
        </w:rPr>
        <w:t xml:space="preserve">This is reflected in the </w:t>
      </w:r>
      <w:r w:rsidR="00DA06DC">
        <w:rPr>
          <w:rFonts w:ascii="Verdana" w:eastAsia="Times New Roman" w:hAnsi="Verdana" w:cs="Times New Roman"/>
          <w:sz w:val="19"/>
          <w:szCs w:val="19"/>
          <w:lang w:eastAsia="en-AU"/>
        </w:rPr>
        <w:t>drop in</w:t>
      </w:r>
      <w:r w:rsidR="006E5699" w:rsidRPr="00C633AD">
        <w:rPr>
          <w:rFonts w:ascii="Verdana" w:eastAsia="Times New Roman" w:hAnsi="Verdana" w:cs="Times New Roman"/>
          <w:sz w:val="19"/>
          <w:szCs w:val="19"/>
          <w:lang w:eastAsia="en-AU"/>
        </w:rPr>
        <w:t xml:space="preserve"> HCFC </w:t>
      </w:r>
      <w:r w:rsidR="00E21ED7">
        <w:rPr>
          <w:rFonts w:ascii="Verdana" w:eastAsia="Times New Roman" w:hAnsi="Verdana" w:cs="Times New Roman"/>
          <w:sz w:val="19"/>
          <w:szCs w:val="19"/>
          <w:lang w:eastAsia="en-AU"/>
        </w:rPr>
        <w:t>imports</w:t>
      </w:r>
      <w:r w:rsidR="00E21ED7" w:rsidRPr="00C633AD">
        <w:rPr>
          <w:rFonts w:ascii="Verdana" w:eastAsia="Times New Roman" w:hAnsi="Verdana" w:cs="Times New Roman"/>
          <w:sz w:val="19"/>
          <w:szCs w:val="19"/>
          <w:lang w:eastAsia="en-AU"/>
        </w:rPr>
        <w:t xml:space="preserve"> </w:t>
      </w:r>
      <w:r w:rsidR="006E5699" w:rsidRPr="00C633AD">
        <w:rPr>
          <w:rFonts w:ascii="Verdana" w:eastAsia="Times New Roman" w:hAnsi="Verdana" w:cs="Times New Roman"/>
          <w:sz w:val="19"/>
          <w:szCs w:val="19"/>
          <w:lang w:eastAsia="en-AU"/>
        </w:rPr>
        <w:t>in 2014 for Article 5 Parties</w:t>
      </w:r>
      <w:r w:rsidR="00C37A24">
        <w:rPr>
          <w:rFonts w:ascii="Verdana" w:eastAsia="Times New Roman" w:hAnsi="Verdana" w:cs="Times New Roman"/>
          <w:sz w:val="19"/>
          <w:szCs w:val="19"/>
          <w:lang w:eastAsia="en-AU"/>
        </w:rPr>
        <w:t xml:space="preserve"> and a steady reduction thereafter</w:t>
      </w:r>
      <w:r w:rsidR="006E5699" w:rsidRPr="00C633AD">
        <w:rPr>
          <w:rFonts w:ascii="Verdana" w:eastAsia="Times New Roman" w:hAnsi="Verdana" w:cs="Times New Roman"/>
          <w:sz w:val="19"/>
          <w:szCs w:val="19"/>
          <w:lang w:eastAsia="en-AU"/>
        </w:rPr>
        <w:t>.</w:t>
      </w:r>
      <w:r w:rsidR="006E5699">
        <w:rPr>
          <w:rFonts w:ascii="Verdana" w:eastAsia="Times New Roman" w:hAnsi="Verdana" w:cs="Times New Roman"/>
          <w:sz w:val="19"/>
          <w:szCs w:val="19"/>
          <w:lang w:eastAsia="en-AU"/>
        </w:rPr>
        <w:t xml:space="preserve"> </w:t>
      </w:r>
      <w:r w:rsidR="00EF1A9B">
        <w:rPr>
          <w:rFonts w:ascii="Verdana" w:eastAsia="Times New Roman" w:hAnsi="Verdana" w:cs="Times New Roman"/>
          <w:sz w:val="19"/>
          <w:szCs w:val="19"/>
          <w:lang w:eastAsia="en-AU"/>
        </w:rPr>
        <w:t>The next phase</w:t>
      </w:r>
      <w:r w:rsidR="006C5A9F">
        <w:rPr>
          <w:rFonts w:ascii="Verdana" w:eastAsia="Times New Roman" w:hAnsi="Verdana" w:cs="Times New Roman"/>
          <w:sz w:val="19"/>
          <w:szCs w:val="19"/>
          <w:lang w:eastAsia="en-AU"/>
        </w:rPr>
        <w:t xml:space="preserve"> </w:t>
      </w:r>
      <w:r w:rsidR="00EF1A9B">
        <w:rPr>
          <w:rFonts w:ascii="Verdana" w:eastAsia="Times New Roman" w:hAnsi="Verdana" w:cs="Times New Roman"/>
          <w:sz w:val="19"/>
          <w:szCs w:val="19"/>
          <w:lang w:eastAsia="en-AU"/>
        </w:rPr>
        <w:t xml:space="preserve">out step for developing countries is a </w:t>
      </w:r>
      <w:r w:rsidR="00C37A24">
        <w:rPr>
          <w:rFonts w:ascii="Verdana" w:eastAsia="Times New Roman" w:hAnsi="Verdana" w:cs="Times New Roman"/>
          <w:sz w:val="19"/>
          <w:szCs w:val="19"/>
          <w:lang w:eastAsia="en-AU"/>
        </w:rPr>
        <w:t>35</w:t>
      </w:r>
      <w:r w:rsidR="00EF1A9B">
        <w:rPr>
          <w:rFonts w:ascii="Verdana" w:eastAsia="Times New Roman" w:hAnsi="Verdana" w:cs="Times New Roman"/>
          <w:sz w:val="19"/>
          <w:szCs w:val="19"/>
          <w:lang w:eastAsia="en-AU"/>
        </w:rPr>
        <w:t>% reduction in imports and prod</w:t>
      </w:r>
      <w:r w:rsidR="00C37A24">
        <w:rPr>
          <w:rFonts w:ascii="Verdana" w:eastAsia="Times New Roman" w:hAnsi="Verdana" w:cs="Times New Roman"/>
          <w:sz w:val="19"/>
          <w:szCs w:val="19"/>
          <w:lang w:eastAsia="en-AU"/>
        </w:rPr>
        <w:t>uction in 2020</w:t>
      </w:r>
      <w:r w:rsidR="00EF1A9B">
        <w:rPr>
          <w:rFonts w:ascii="Verdana" w:eastAsia="Times New Roman" w:hAnsi="Verdana" w:cs="Times New Roman"/>
          <w:sz w:val="19"/>
          <w:szCs w:val="19"/>
          <w:lang w:eastAsia="en-AU"/>
        </w:rPr>
        <w:t xml:space="preserve">, although some countries are already </w:t>
      </w:r>
      <w:r w:rsidR="00400107">
        <w:rPr>
          <w:rFonts w:ascii="Verdana" w:eastAsia="Times New Roman" w:hAnsi="Verdana" w:cs="Times New Roman"/>
          <w:sz w:val="19"/>
          <w:szCs w:val="19"/>
          <w:lang w:eastAsia="en-AU"/>
        </w:rPr>
        <w:t xml:space="preserve">well </w:t>
      </w:r>
      <w:r w:rsidR="00EF1A9B">
        <w:rPr>
          <w:rFonts w:ascii="Verdana" w:eastAsia="Times New Roman" w:hAnsi="Verdana" w:cs="Times New Roman"/>
          <w:sz w:val="19"/>
          <w:szCs w:val="19"/>
          <w:lang w:eastAsia="en-AU"/>
        </w:rPr>
        <w:t xml:space="preserve">in advance of this target. </w:t>
      </w:r>
    </w:p>
    <w:p w14:paraId="3EDDAE72" w14:textId="571E2F2E" w:rsidR="00EA7C9F" w:rsidRDefault="00CB4CA0" w:rsidP="009B2E3D">
      <w:pPr>
        <w:keepNext/>
        <w:rPr>
          <w:rFonts w:ascii="Verdana" w:eastAsia="Times New Roman" w:hAnsi="Verdana" w:cs="Times New Roman"/>
          <w:sz w:val="19"/>
          <w:szCs w:val="19"/>
          <w:u w:val="single"/>
          <w:lang w:eastAsia="en-AU"/>
        </w:rPr>
      </w:pPr>
      <w:r>
        <w:rPr>
          <w:rFonts w:ascii="Verdana" w:eastAsia="Times New Roman" w:hAnsi="Verdana" w:cs="Times New Roman"/>
          <w:sz w:val="19"/>
          <w:szCs w:val="19"/>
          <w:u w:val="single"/>
          <w:lang w:eastAsia="en-AU"/>
        </w:rPr>
        <w:lastRenderedPageBreak/>
        <w:t>Graph 4</w:t>
      </w:r>
      <w:r w:rsidR="00EA7C9F" w:rsidRPr="00065586">
        <w:rPr>
          <w:rFonts w:ascii="Verdana" w:eastAsia="Times New Roman" w:hAnsi="Verdana" w:cs="Times New Roman"/>
          <w:sz w:val="19"/>
          <w:szCs w:val="19"/>
          <w:u w:val="single"/>
          <w:lang w:eastAsia="en-AU"/>
        </w:rPr>
        <w:t xml:space="preserve"> – Australia’s HCFC consumption compared to </w:t>
      </w:r>
      <w:r w:rsidR="00D7547D">
        <w:rPr>
          <w:rFonts w:ascii="Verdana" w:eastAsia="Times New Roman" w:hAnsi="Verdana" w:cs="Times New Roman"/>
          <w:sz w:val="19"/>
          <w:szCs w:val="19"/>
          <w:u w:val="single"/>
          <w:lang w:eastAsia="en-AU"/>
        </w:rPr>
        <w:t>global</w:t>
      </w:r>
      <w:r w:rsidR="00EA7C9F" w:rsidRPr="00065586">
        <w:rPr>
          <w:rFonts w:ascii="Verdana" w:eastAsia="Times New Roman" w:hAnsi="Verdana" w:cs="Times New Roman"/>
          <w:sz w:val="19"/>
          <w:szCs w:val="19"/>
          <w:u w:val="single"/>
          <w:lang w:eastAsia="en-AU"/>
        </w:rPr>
        <w:t xml:space="preserve"> consumption</w:t>
      </w:r>
      <w:r w:rsidR="009A4934">
        <w:rPr>
          <w:rFonts w:ascii="Verdana" w:eastAsia="Times New Roman" w:hAnsi="Verdana" w:cs="Times New Roman"/>
          <w:sz w:val="19"/>
          <w:szCs w:val="19"/>
          <w:u w:val="single"/>
          <w:lang w:eastAsia="en-AU"/>
        </w:rPr>
        <w:t xml:space="preserve"> (20</w:t>
      </w:r>
      <w:r w:rsidR="00C673B9">
        <w:rPr>
          <w:rFonts w:ascii="Verdana" w:eastAsia="Times New Roman" w:hAnsi="Verdana" w:cs="Times New Roman"/>
          <w:sz w:val="19"/>
          <w:szCs w:val="19"/>
          <w:u w:val="single"/>
          <w:lang w:eastAsia="en-AU"/>
        </w:rPr>
        <w:t>10</w:t>
      </w:r>
      <w:r w:rsidR="009A4934">
        <w:rPr>
          <w:rFonts w:ascii="Verdana" w:eastAsia="Times New Roman" w:hAnsi="Verdana" w:cs="Times New Roman"/>
          <w:sz w:val="19"/>
          <w:szCs w:val="19"/>
          <w:u w:val="single"/>
          <w:lang w:eastAsia="en-AU"/>
        </w:rPr>
        <w:t>-201</w:t>
      </w:r>
      <w:r w:rsidR="00490662">
        <w:rPr>
          <w:rFonts w:ascii="Verdana" w:eastAsia="Times New Roman" w:hAnsi="Verdana" w:cs="Times New Roman"/>
          <w:sz w:val="19"/>
          <w:szCs w:val="19"/>
          <w:u w:val="single"/>
          <w:lang w:eastAsia="en-AU"/>
        </w:rPr>
        <w:t>8</w:t>
      </w:r>
      <w:r w:rsidR="00C37A24">
        <w:rPr>
          <w:rFonts w:ascii="Verdana" w:eastAsia="Times New Roman" w:hAnsi="Verdana" w:cs="Times New Roman"/>
          <w:sz w:val="19"/>
          <w:szCs w:val="19"/>
          <w:u w:val="single"/>
          <w:lang w:eastAsia="en-AU"/>
        </w:rPr>
        <w:t>)</w:t>
      </w:r>
    </w:p>
    <w:p w14:paraId="3EDDAE74" w14:textId="3C04DFA3" w:rsidR="00794E62" w:rsidRDefault="00D7547D" w:rsidP="007067ED">
      <w:pPr>
        <w:keepNext/>
        <w:spacing w:after="120"/>
        <w:textAlignment w:val="baseline"/>
        <w:rPr>
          <w:rFonts w:ascii="Verdana" w:eastAsia="Times New Roman" w:hAnsi="Verdana" w:cs="Times New Roman"/>
          <w:sz w:val="19"/>
          <w:szCs w:val="19"/>
          <w:lang w:eastAsia="en-AU"/>
        </w:rPr>
      </w:pPr>
      <w:r>
        <w:rPr>
          <w:noProof/>
          <w:lang w:eastAsia="en-AU"/>
        </w:rPr>
        <w:drawing>
          <wp:inline distT="0" distB="0" distL="0" distR="0" wp14:anchorId="7E4E7073" wp14:editId="55D27135">
            <wp:extent cx="5705475" cy="2552700"/>
            <wp:effectExtent l="0" t="0" r="9525" b="0"/>
            <wp:docPr id="4" name="Chart 4" descr="Graph 4 shows a line graph of the global consumption of HCFC in Ozone Depleting Potential tonnes for Australia, non Article 5 countries and Article 5 countries by year from 2010 to 2018. The values range from a peak of over 35,000 Ozone Depleting Potential tonnes for Article 5 countries consumed from 2010 to 2012, steadily declining to less than 25,000 Ozone Depleting Potential tonnes consumed for Article 5 countries from 2015 onwards. The HCFC consumption for non Article 5 countries declines to negligible levels from 2015 onwards. In comparison, the HCFC consumption level for Australia is negligible from 2010 to 201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3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2044795" w14:textId="75D51101" w:rsidR="00D7547D" w:rsidRPr="00D7547D" w:rsidRDefault="00D7547D" w:rsidP="007067ED">
      <w:pPr>
        <w:keepNext/>
        <w:spacing w:after="120"/>
        <w:textAlignment w:val="baseline"/>
        <w:rPr>
          <w:rFonts w:ascii="Verdana" w:eastAsia="Times New Roman" w:hAnsi="Verdana" w:cs="Times New Roman"/>
          <w:sz w:val="19"/>
          <w:szCs w:val="19"/>
          <w:u w:val="single"/>
          <w:lang w:eastAsia="en-AU"/>
        </w:rPr>
      </w:pPr>
      <w:r w:rsidRPr="00D7547D">
        <w:rPr>
          <w:rFonts w:ascii="Verdana" w:eastAsia="Times New Roman" w:hAnsi="Verdana" w:cs="Times New Roman"/>
          <w:sz w:val="19"/>
          <w:szCs w:val="19"/>
          <w:u w:val="single"/>
          <w:lang w:eastAsia="en-AU"/>
        </w:rPr>
        <w:t>Table 2 – Australia’s HCFC consumption compared to global consumption (2010-2018)</w:t>
      </w:r>
    </w:p>
    <w:tbl>
      <w:tblPr>
        <w:tblStyle w:val="TableGrid"/>
        <w:tblW w:w="9209" w:type="dxa"/>
        <w:jc w:val="center"/>
        <w:tblLook w:val="04A0" w:firstRow="1" w:lastRow="0" w:firstColumn="1" w:lastColumn="0" w:noHBand="0" w:noVBand="1"/>
      </w:tblPr>
      <w:tblGrid>
        <w:gridCol w:w="1054"/>
        <w:gridCol w:w="890"/>
        <w:gridCol w:w="890"/>
        <w:gridCol w:w="890"/>
        <w:gridCol w:w="890"/>
        <w:gridCol w:w="890"/>
        <w:gridCol w:w="890"/>
        <w:gridCol w:w="890"/>
        <w:gridCol w:w="890"/>
        <w:gridCol w:w="1035"/>
      </w:tblGrid>
      <w:tr w:rsidR="00D7547D" w:rsidRPr="002C2DB3" w14:paraId="3561031B" w14:textId="252E3E76" w:rsidTr="00CB1134">
        <w:trPr>
          <w:jc w:val="center"/>
        </w:trPr>
        <w:tc>
          <w:tcPr>
            <w:tcW w:w="0" w:type="auto"/>
            <w:vAlign w:val="center"/>
          </w:tcPr>
          <w:p w14:paraId="54F6698B" w14:textId="6B587AE7" w:rsidR="00D7547D" w:rsidRPr="002C2DB3" w:rsidRDefault="00D7547D" w:rsidP="007067ED">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(ODP tonnes)</w:t>
            </w:r>
          </w:p>
        </w:tc>
        <w:tc>
          <w:tcPr>
            <w:tcW w:w="0" w:type="auto"/>
            <w:vAlign w:val="center"/>
          </w:tcPr>
          <w:p w14:paraId="0C3BC973" w14:textId="28737F9A" w:rsidR="00D7547D" w:rsidRPr="002C2DB3" w:rsidRDefault="00D7547D" w:rsidP="007067ED">
            <w:pPr>
              <w:spacing w:after="120"/>
              <w:jc w:val="center"/>
              <w:textAlignment w:val="baseline"/>
              <w:rPr>
                <w:rFonts w:ascii="Verdana" w:eastAsia="Times New Roman" w:hAnsi="Verdana" w:cs="Times New Roman"/>
                <w:b/>
                <w:sz w:val="19"/>
                <w:szCs w:val="19"/>
                <w:lang w:eastAsia="en-AU"/>
              </w:rPr>
            </w:pPr>
            <w:r w:rsidRPr="002C2DB3">
              <w:rPr>
                <w:rFonts w:ascii="Verdana" w:eastAsia="Times New Roman" w:hAnsi="Verdana" w:cs="Times New Roman"/>
                <w:b/>
                <w:sz w:val="19"/>
                <w:szCs w:val="19"/>
                <w:lang w:eastAsia="en-AU"/>
              </w:rPr>
              <w:t>201</w:t>
            </w:r>
            <w:r>
              <w:rPr>
                <w:rFonts w:ascii="Verdana" w:eastAsia="Times New Roman" w:hAnsi="Verdana" w:cs="Times New Roman"/>
                <w:b/>
                <w:sz w:val="19"/>
                <w:szCs w:val="19"/>
                <w:lang w:eastAsia="en-AU"/>
              </w:rPr>
              <w:t>0</w:t>
            </w:r>
          </w:p>
        </w:tc>
        <w:tc>
          <w:tcPr>
            <w:tcW w:w="0" w:type="auto"/>
            <w:vAlign w:val="center"/>
          </w:tcPr>
          <w:p w14:paraId="6CABECFC" w14:textId="10CA0F62" w:rsidR="00D7547D" w:rsidRPr="002C2DB3" w:rsidRDefault="00D7547D" w:rsidP="007067ED">
            <w:pPr>
              <w:spacing w:after="120"/>
              <w:jc w:val="center"/>
              <w:textAlignment w:val="baseline"/>
              <w:rPr>
                <w:rFonts w:ascii="Verdana" w:eastAsia="Times New Roman" w:hAnsi="Verdana" w:cs="Times New Roman"/>
                <w:b/>
                <w:sz w:val="19"/>
                <w:szCs w:val="19"/>
                <w:lang w:eastAsia="en-AU"/>
              </w:rPr>
            </w:pPr>
            <w:r w:rsidRPr="002C2DB3">
              <w:rPr>
                <w:rFonts w:ascii="Verdana" w:eastAsia="Times New Roman" w:hAnsi="Verdana" w:cs="Times New Roman"/>
                <w:b/>
                <w:sz w:val="19"/>
                <w:szCs w:val="19"/>
                <w:lang w:eastAsia="en-AU"/>
              </w:rPr>
              <w:t>201</w:t>
            </w:r>
            <w:r>
              <w:rPr>
                <w:rFonts w:ascii="Verdana" w:eastAsia="Times New Roman" w:hAnsi="Verdana" w:cs="Times New Roman"/>
                <w:b/>
                <w:sz w:val="19"/>
                <w:szCs w:val="19"/>
                <w:lang w:eastAsia="en-AU"/>
              </w:rPr>
              <w:t>1</w:t>
            </w:r>
          </w:p>
        </w:tc>
        <w:tc>
          <w:tcPr>
            <w:tcW w:w="0" w:type="auto"/>
            <w:vAlign w:val="center"/>
          </w:tcPr>
          <w:p w14:paraId="1AAF5FD5" w14:textId="101A5E33" w:rsidR="00D7547D" w:rsidRPr="002C2DB3" w:rsidRDefault="00D7547D" w:rsidP="007067ED">
            <w:pPr>
              <w:spacing w:after="120"/>
              <w:jc w:val="center"/>
              <w:textAlignment w:val="baseline"/>
              <w:rPr>
                <w:rFonts w:ascii="Verdana" w:eastAsia="Times New Roman" w:hAnsi="Verdana" w:cs="Times New Roman"/>
                <w:b/>
                <w:sz w:val="19"/>
                <w:szCs w:val="19"/>
                <w:lang w:eastAsia="en-AU"/>
              </w:rPr>
            </w:pPr>
            <w:r w:rsidRPr="002C2DB3">
              <w:rPr>
                <w:rFonts w:ascii="Verdana" w:eastAsia="Times New Roman" w:hAnsi="Verdana" w:cs="Times New Roman"/>
                <w:b/>
                <w:sz w:val="19"/>
                <w:szCs w:val="19"/>
                <w:lang w:eastAsia="en-AU"/>
              </w:rPr>
              <w:t>201</w:t>
            </w:r>
            <w:r>
              <w:rPr>
                <w:rFonts w:ascii="Verdana" w:eastAsia="Times New Roman" w:hAnsi="Verdana" w:cs="Times New Roman"/>
                <w:b/>
                <w:sz w:val="19"/>
                <w:szCs w:val="19"/>
                <w:lang w:eastAsia="en-AU"/>
              </w:rPr>
              <w:t>2</w:t>
            </w:r>
          </w:p>
        </w:tc>
        <w:tc>
          <w:tcPr>
            <w:tcW w:w="0" w:type="auto"/>
            <w:vAlign w:val="center"/>
          </w:tcPr>
          <w:p w14:paraId="54FC3197" w14:textId="39D9FE90" w:rsidR="00D7547D" w:rsidRPr="002C2DB3" w:rsidRDefault="00D7547D" w:rsidP="007067ED">
            <w:pPr>
              <w:spacing w:after="120"/>
              <w:jc w:val="center"/>
              <w:textAlignment w:val="baseline"/>
              <w:rPr>
                <w:rFonts w:ascii="Verdana" w:eastAsia="Times New Roman" w:hAnsi="Verdana" w:cs="Times New Roman"/>
                <w:b/>
                <w:sz w:val="19"/>
                <w:szCs w:val="19"/>
                <w:lang w:eastAsia="en-AU"/>
              </w:rPr>
            </w:pPr>
            <w:r w:rsidRPr="002C2DB3">
              <w:rPr>
                <w:rFonts w:ascii="Verdana" w:eastAsia="Times New Roman" w:hAnsi="Verdana" w:cs="Times New Roman"/>
                <w:b/>
                <w:sz w:val="19"/>
                <w:szCs w:val="19"/>
                <w:lang w:eastAsia="en-AU"/>
              </w:rPr>
              <w:t>201</w:t>
            </w:r>
            <w:r>
              <w:rPr>
                <w:rFonts w:ascii="Verdana" w:eastAsia="Times New Roman" w:hAnsi="Verdana" w:cs="Times New Roman"/>
                <w:b/>
                <w:sz w:val="19"/>
                <w:szCs w:val="19"/>
                <w:lang w:eastAsia="en-AU"/>
              </w:rPr>
              <w:t>3</w:t>
            </w:r>
          </w:p>
        </w:tc>
        <w:tc>
          <w:tcPr>
            <w:tcW w:w="0" w:type="auto"/>
            <w:vAlign w:val="center"/>
          </w:tcPr>
          <w:p w14:paraId="6A074512" w14:textId="6E44341E" w:rsidR="00D7547D" w:rsidRPr="002C2DB3" w:rsidRDefault="00D7547D" w:rsidP="007067ED">
            <w:pPr>
              <w:spacing w:after="120"/>
              <w:jc w:val="center"/>
              <w:textAlignment w:val="baseline"/>
              <w:rPr>
                <w:rFonts w:ascii="Verdana" w:eastAsia="Times New Roman" w:hAnsi="Verdana" w:cs="Times New Roman"/>
                <w:b/>
                <w:sz w:val="19"/>
                <w:szCs w:val="19"/>
                <w:lang w:eastAsia="en-AU"/>
              </w:rPr>
            </w:pPr>
            <w:r w:rsidRPr="002C2DB3">
              <w:rPr>
                <w:rFonts w:ascii="Verdana" w:eastAsia="Times New Roman" w:hAnsi="Verdana" w:cs="Times New Roman"/>
                <w:b/>
                <w:sz w:val="19"/>
                <w:szCs w:val="19"/>
                <w:lang w:eastAsia="en-AU"/>
              </w:rPr>
              <w:t>201</w:t>
            </w:r>
            <w:r>
              <w:rPr>
                <w:rFonts w:ascii="Verdana" w:eastAsia="Times New Roman" w:hAnsi="Verdana" w:cs="Times New Roman"/>
                <w:b/>
                <w:sz w:val="19"/>
                <w:szCs w:val="19"/>
                <w:lang w:eastAsia="en-AU"/>
              </w:rPr>
              <w:t>4</w:t>
            </w:r>
          </w:p>
        </w:tc>
        <w:tc>
          <w:tcPr>
            <w:tcW w:w="0" w:type="auto"/>
            <w:vAlign w:val="center"/>
          </w:tcPr>
          <w:p w14:paraId="33F1ADDD" w14:textId="42003C29" w:rsidR="00D7547D" w:rsidRPr="002C2DB3" w:rsidRDefault="00D7547D" w:rsidP="007067ED">
            <w:pPr>
              <w:spacing w:after="120"/>
              <w:jc w:val="center"/>
              <w:textAlignment w:val="baseline"/>
              <w:rPr>
                <w:rFonts w:ascii="Verdana" w:eastAsia="Times New Roman" w:hAnsi="Verdana" w:cs="Times New Roman"/>
                <w:b/>
                <w:sz w:val="19"/>
                <w:szCs w:val="19"/>
                <w:lang w:eastAsia="en-AU"/>
              </w:rPr>
            </w:pPr>
            <w:r>
              <w:rPr>
                <w:rFonts w:ascii="Verdana" w:eastAsia="Times New Roman" w:hAnsi="Verdana" w:cs="Times New Roman"/>
                <w:b/>
                <w:sz w:val="19"/>
                <w:szCs w:val="19"/>
                <w:lang w:eastAsia="en-AU"/>
              </w:rPr>
              <w:t>2015</w:t>
            </w:r>
          </w:p>
        </w:tc>
        <w:tc>
          <w:tcPr>
            <w:tcW w:w="0" w:type="auto"/>
            <w:vAlign w:val="center"/>
          </w:tcPr>
          <w:p w14:paraId="59A7C775" w14:textId="03EE0F1B" w:rsidR="00D7547D" w:rsidRDefault="00D7547D" w:rsidP="007067ED">
            <w:pPr>
              <w:spacing w:after="120"/>
              <w:jc w:val="center"/>
              <w:textAlignment w:val="baseline"/>
              <w:rPr>
                <w:rFonts w:ascii="Verdana" w:eastAsia="Times New Roman" w:hAnsi="Verdana" w:cs="Times New Roman"/>
                <w:b/>
                <w:sz w:val="19"/>
                <w:szCs w:val="19"/>
                <w:lang w:eastAsia="en-AU"/>
              </w:rPr>
            </w:pPr>
            <w:r>
              <w:rPr>
                <w:rFonts w:ascii="Verdana" w:eastAsia="Times New Roman" w:hAnsi="Verdana" w:cs="Times New Roman"/>
                <w:b/>
                <w:sz w:val="19"/>
                <w:szCs w:val="19"/>
                <w:lang w:eastAsia="en-AU"/>
              </w:rPr>
              <w:t>2016</w:t>
            </w:r>
          </w:p>
        </w:tc>
        <w:tc>
          <w:tcPr>
            <w:tcW w:w="0" w:type="auto"/>
            <w:vAlign w:val="center"/>
          </w:tcPr>
          <w:p w14:paraId="149BBAFC" w14:textId="71F7698C" w:rsidR="00D7547D" w:rsidRDefault="00D7547D" w:rsidP="007067ED">
            <w:pPr>
              <w:spacing w:after="120"/>
              <w:jc w:val="center"/>
              <w:textAlignment w:val="baseline"/>
              <w:rPr>
                <w:rFonts w:ascii="Verdana" w:eastAsia="Times New Roman" w:hAnsi="Verdana" w:cs="Times New Roman"/>
                <w:b/>
                <w:sz w:val="19"/>
                <w:szCs w:val="19"/>
                <w:lang w:eastAsia="en-AU"/>
              </w:rPr>
            </w:pPr>
            <w:r>
              <w:rPr>
                <w:rFonts w:ascii="Verdana" w:eastAsia="Times New Roman" w:hAnsi="Verdana" w:cs="Times New Roman"/>
                <w:b/>
                <w:sz w:val="19"/>
                <w:szCs w:val="19"/>
                <w:lang w:eastAsia="en-AU"/>
              </w:rPr>
              <w:t>2017</w:t>
            </w:r>
          </w:p>
        </w:tc>
        <w:tc>
          <w:tcPr>
            <w:tcW w:w="1078" w:type="dxa"/>
            <w:vAlign w:val="center"/>
          </w:tcPr>
          <w:p w14:paraId="7A1F015E" w14:textId="24A5EDE7" w:rsidR="00D7547D" w:rsidRDefault="00D7547D" w:rsidP="007067ED">
            <w:pPr>
              <w:spacing w:after="120"/>
              <w:jc w:val="center"/>
              <w:textAlignment w:val="baseline"/>
              <w:rPr>
                <w:rFonts w:ascii="Verdana" w:eastAsia="Times New Roman" w:hAnsi="Verdana" w:cs="Times New Roman"/>
                <w:b/>
                <w:sz w:val="19"/>
                <w:szCs w:val="19"/>
                <w:lang w:eastAsia="en-AU"/>
              </w:rPr>
            </w:pPr>
            <w:r>
              <w:rPr>
                <w:rFonts w:ascii="Verdana" w:eastAsia="Times New Roman" w:hAnsi="Verdana" w:cs="Times New Roman"/>
                <w:b/>
                <w:sz w:val="19"/>
                <w:szCs w:val="19"/>
                <w:lang w:eastAsia="en-AU"/>
              </w:rPr>
              <w:t>2018</w:t>
            </w:r>
          </w:p>
        </w:tc>
      </w:tr>
      <w:tr w:rsidR="00D7547D" w:rsidRPr="002C2DB3" w14:paraId="69B838CF" w14:textId="4C65290B" w:rsidTr="00CB1134">
        <w:trPr>
          <w:jc w:val="center"/>
        </w:trPr>
        <w:tc>
          <w:tcPr>
            <w:tcW w:w="0" w:type="auto"/>
            <w:vAlign w:val="center"/>
          </w:tcPr>
          <w:p w14:paraId="65C0E711" w14:textId="63679F03" w:rsidR="00D7547D" w:rsidRPr="002C2DB3" w:rsidRDefault="00D7547D" w:rsidP="007067ED">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Australia</w:t>
            </w:r>
          </w:p>
        </w:tc>
        <w:tc>
          <w:tcPr>
            <w:tcW w:w="0" w:type="auto"/>
            <w:vAlign w:val="center"/>
          </w:tcPr>
          <w:p w14:paraId="346D6339" w14:textId="6D23AE00" w:rsidR="00D7547D" w:rsidRPr="002C2DB3" w:rsidRDefault="00D7547D" w:rsidP="007067ED">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70</w:t>
            </w:r>
          </w:p>
        </w:tc>
        <w:tc>
          <w:tcPr>
            <w:tcW w:w="0" w:type="auto"/>
            <w:vAlign w:val="center"/>
          </w:tcPr>
          <w:p w14:paraId="638458B2" w14:textId="47E7B9D8" w:rsidR="00D7547D" w:rsidRPr="002C2DB3" w:rsidRDefault="00D7547D" w:rsidP="007067ED">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70</w:t>
            </w:r>
          </w:p>
        </w:tc>
        <w:tc>
          <w:tcPr>
            <w:tcW w:w="0" w:type="auto"/>
            <w:vAlign w:val="center"/>
          </w:tcPr>
          <w:p w14:paraId="674BA072" w14:textId="2CF0D2EE" w:rsidR="00D7547D" w:rsidRPr="002C2DB3" w:rsidRDefault="00D7547D" w:rsidP="007067ED">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40</w:t>
            </w:r>
          </w:p>
        </w:tc>
        <w:tc>
          <w:tcPr>
            <w:tcW w:w="0" w:type="auto"/>
            <w:vAlign w:val="center"/>
          </w:tcPr>
          <w:p w14:paraId="5B5711F3" w14:textId="173DF086" w:rsidR="00D7547D" w:rsidRPr="002C2DB3" w:rsidRDefault="00D7547D" w:rsidP="007067ED">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40</w:t>
            </w:r>
          </w:p>
        </w:tc>
        <w:tc>
          <w:tcPr>
            <w:tcW w:w="0" w:type="auto"/>
            <w:vAlign w:val="center"/>
          </w:tcPr>
          <w:p w14:paraId="36587DA1" w14:textId="7A461726" w:rsidR="00D7547D" w:rsidRPr="002C2DB3" w:rsidRDefault="00D7547D" w:rsidP="007067ED">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10</w:t>
            </w:r>
          </w:p>
        </w:tc>
        <w:tc>
          <w:tcPr>
            <w:tcW w:w="0" w:type="auto"/>
            <w:vAlign w:val="center"/>
          </w:tcPr>
          <w:p w14:paraId="7BD867F8" w14:textId="0A4A7348" w:rsidR="00D7547D" w:rsidRDefault="00D7547D" w:rsidP="007067ED">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10</w:t>
            </w:r>
          </w:p>
        </w:tc>
        <w:tc>
          <w:tcPr>
            <w:tcW w:w="0" w:type="auto"/>
            <w:vAlign w:val="center"/>
          </w:tcPr>
          <w:p w14:paraId="3819972C" w14:textId="6D50E90D" w:rsidR="00D7547D" w:rsidRDefault="00D7547D" w:rsidP="007067ED">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2.5</w:t>
            </w:r>
          </w:p>
        </w:tc>
        <w:tc>
          <w:tcPr>
            <w:tcW w:w="0" w:type="auto"/>
            <w:vAlign w:val="center"/>
          </w:tcPr>
          <w:p w14:paraId="48C9330C" w14:textId="74B3C1CC" w:rsidR="00D7547D" w:rsidRDefault="00D7547D" w:rsidP="007067ED">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2.5</w:t>
            </w:r>
          </w:p>
        </w:tc>
        <w:tc>
          <w:tcPr>
            <w:tcW w:w="1078" w:type="dxa"/>
            <w:vAlign w:val="center"/>
          </w:tcPr>
          <w:p w14:paraId="5FE463EF" w14:textId="6F5E5805" w:rsidR="00D7547D" w:rsidRDefault="00D7547D" w:rsidP="007067ED">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2.5</w:t>
            </w:r>
          </w:p>
        </w:tc>
      </w:tr>
      <w:tr w:rsidR="00D7547D" w:rsidRPr="002C2DB3" w14:paraId="2ADF07BE" w14:textId="2138A159" w:rsidTr="00CB1134">
        <w:trPr>
          <w:jc w:val="center"/>
        </w:trPr>
        <w:tc>
          <w:tcPr>
            <w:tcW w:w="0" w:type="auto"/>
            <w:vAlign w:val="center"/>
          </w:tcPr>
          <w:p w14:paraId="5B685B27" w14:textId="4C29D29C" w:rsidR="00D7547D" w:rsidRPr="002C2DB3" w:rsidRDefault="00D7547D" w:rsidP="007067ED">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Non-A5 global</w:t>
            </w:r>
          </w:p>
        </w:tc>
        <w:tc>
          <w:tcPr>
            <w:tcW w:w="0" w:type="auto"/>
            <w:vAlign w:val="center"/>
          </w:tcPr>
          <w:p w14:paraId="4D7DCDF8" w14:textId="1DC8422B" w:rsidR="00D7547D" w:rsidRPr="002C2DB3" w:rsidRDefault="00D7547D" w:rsidP="007067ED">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3,874</w:t>
            </w:r>
          </w:p>
        </w:tc>
        <w:tc>
          <w:tcPr>
            <w:tcW w:w="0" w:type="auto"/>
            <w:vAlign w:val="center"/>
          </w:tcPr>
          <w:p w14:paraId="6E538506" w14:textId="3C451AD1" w:rsidR="00D7547D" w:rsidRPr="002C2DB3" w:rsidRDefault="00D7547D" w:rsidP="007067ED">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3,893</w:t>
            </w:r>
          </w:p>
        </w:tc>
        <w:tc>
          <w:tcPr>
            <w:tcW w:w="0" w:type="auto"/>
            <w:vAlign w:val="center"/>
          </w:tcPr>
          <w:p w14:paraId="15232088" w14:textId="40EDFF51" w:rsidR="00D7547D" w:rsidRPr="002C2DB3" w:rsidRDefault="00D7547D" w:rsidP="007067ED">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2,605</w:t>
            </w:r>
          </w:p>
        </w:tc>
        <w:tc>
          <w:tcPr>
            <w:tcW w:w="0" w:type="auto"/>
            <w:vAlign w:val="center"/>
          </w:tcPr>
          <w:p w14:paraId="7FA3C3DD" w14:textId="47E93E07" w:rsidR="00D7547D" w:rsidRPr="002C2DB3" w:rsidRDefault="00D7547D" w:rsidP="007067ED">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2,716</w:t>
            </w:r>
          </w:p>
        </w:tc>
        <w:tc>
          <w:tcPr>
            <w:tcW w:w="0" w:type="auto"/>
            <w:vAlign w:val="center"/>
          </w:tcPr>
          <w:p w14:paraId="489DF9E8" w14:textId="66CA50D7" w:rsidR="00D7547D" w:rsidRPr="002C2DB3" w:rsidRDefault="00D7547D" w:rsidP="007067ED">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2,207</w:t>
            </w:r>
          </w:p>
        </w:tc>
        <w:tc>
          <w:tcPr>
            <w:tcW w:w="0" w:type="auto"/>
            <w:vAlign w:val="center"/>
          </w:tcPr>
          <w:p w14:paraId="6F892699" w14:textId="53DF5D69" w:rsidR="00D7547D" w:rsidRDefault="00D7547D" w:rsidP="007067ED">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1,117</w:t>
            </w:r>
          </w:p>
        </w:tc>
        <w:tc>
          <w:tcPr>
            <w:tcW w:w="0" w:type="auto"/>
            <w:vAlign w:val="center"/>
          </w:tcPr>
          <w:p w14:paraId="7B9ABC4E" w14:textId="523FBA8A" w:rsidR="00D7547D" w:rsidRDefault="00D7547D" w:rsidP="007067ED">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904</w:t>
            </w:r>
          </w:p>
        </w:tc>
        <w:tc>
          <w:tcPr>
            <w:tcW w:w="0" w:type="auto"/>
            <w:vAlign w:val="center"/>
          </w:tcPr>
          <w:p w14:paraId="7A36FEEF" w14:textId="540F84B0" w:rsidR="00D7547D" w:rsidRDefault="00D7547D" w:rsidP="007067ED">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760</w:t>
            </w:r>
          </w:p>
        </w:tc>
        <w:tc>
          <w:tcPr>
            <w:tcW w:w="1078" w:type="dxa"/>
            <w:vAlign w:val="center"/>
          </w:tcPr>
          <w:p w14:paraId="1492A2FC" w14:textId="150C795A" w:rsidR="00D7547D" w:rsidRDefault="00D7547D" w:rsidP="007067ED">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805</w:t>
            </w:r>
          </w:p>
        </w:tc>
      </w:tr>
      <w:tr w:rsidR="00D7547D" w:rsidRPr="002C2DB3" w14:paraId="491840EE" w14:textId="5F0E61E2" w:rsidTr="00CB1134">
        <w:trPr>
          <w:jc w:val="center"/>
        </w:trPr>
        <w:tc>
          <w:tcPr>
            <w:tcW w:w="0" w:type="auto"/>
            <w:vAlign w:val="center"/>
          </w:tcPr>
          <w:p w14:paraId="4938D3AC" w14:textId="55ACC6FA" w:rsidR="00D7547D" w:rsidRPr="002C2DB3" w:rsidRDefault="00D7547D" w:rsidP="007067ED">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A5 global</w:t>
            </w:r>
          </w:p>
        </w:tc>
        <w:tc>
          <w:tcPr>
            <w:tcW w:w="0" w:type="auto"/>
            <w:vAlign w:val="center"/>
          </w:tcPr>
          <w:p w14:paraId="241D4A8C" w14:textId="031EB79A" w:rsidR="00D7547D" w:rsidRPr="002C2DB3" w:rsidRDefault="00D7547D" w:rsidP="007067ED">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37,026</w:t>
            </w:r>
          </w:p>
        </w:tc>
        <w:tc>
          <w:tcPr>
            <w:tcW w:w="0" w:type="auto"/>
            <w:vAlign w:val="center"/>
          </w:tcPr>
          <w:p w14:paraId="12C1A744" w14:textId="5239927D" w:rsidR="00D7547D" w:rsidRPr="002C2DB3" w:rsidRDefault="00D7547D" w:rsidP="007067ED">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37,015</w:t>
            </w:r>
          </w:p>
        </w:tc>
        <w:tc>
          <w:tcPr>
            <w:tcW w:w="0" w:type="auto"/>
            <w:vAlign w:val="center"/>
          </w:tcPr>
          <w:p w14:paraId="2A3A9D58" w14:textId="259B908E" w:rsidR="00D7547D" w:rsidRPr="002C2DB3" w:rsidRDefault="00D7547D" w:rsidP="007067ED">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39,137</w:t>
            </w:r>
          </w:p>
        </w:tc>
        <w:tc>
          <w:tcPr>
            <w:tcW w:w="0" w:type="auto"/>
            <w:vAlign w:val="center"/>
          </w:tcPr>
          <w:p w14:paraId="25B2F0F1" w14:textId="4980085D" w:rsidR="00D7547D" w:rsidRPr="002C2DB3" w:rsidRDefault="00D7547D" w:rsidP="007067ED">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29,283</w:t>
            </w:r>
          </w:p>
        </w:tc>
        <w:tc>
          <w:tcPr>
            <w:tcW w:w="0" w:type="auto"/>
            <w:vAlign w:val="center"/>
          </w:tcPr>
          <w:p w14:paraId="5CD21B53" w14:textId="2A1BC2B3" w:rsidR="00D7547D" w:rsidRPr="002C2DB3" w:rsidRDefault="00D7547D" w:rsidP="007067ED">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29,690</w:t>
            </w:r>
          </w:p>
        </w:tc>
        <w:tc>
          <w:tcPr>
            <w:tcW w:w="0" w:type="auto"/>
            <w:vAlign w:val="center"/>
          </w:tcPr>
          <w:p w14:paraId="036F2DD3" w14:textId="40660007" w:rsidR="00D7547D" w:rsidRDefault="00D7547D" w:rsidP="007067ED">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25,278</w:t>
            </w:r>
          </w:p>
        </w:tc>
        <w:tc>
          <w:tcPr>
            <w:tcW w:w="0" w:type="auto"/>
            <w:vAlign w:val="center"/>
          </w:tcPr>
          <w:p w14:paraId="5B3DB5FE" w14:textId="580DAE4D" w:rsidR="00D7547D" w:rsidRDefault="00D7547D" w:rsidP="007067ED">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24,822</w:t>
            </w:r>
          </w:p>
        </w:tc>
        <w:tc>
          <w:tcPr>
            <w:tcW w:w="0" w:type="auto"/>
            <w:vAlign w:val="center"/>
          </w:tcPr>
          <w:p w14:paraId="697BAFE8" w14:textId="70713B7B" w:rsidR="00D7547D" w:rsidRDefault="00D7547D" w:rsidP="007067ED">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24,423</w:t>
            </w:r>
          </w:p>
        </w:tc>
        <w:tc>
          <w:tcPr>
            <w:tcW w:w="1078" w:type="dxa"/>
            <w:vAlign w:val="center"/>
          </w:tcPr>
          <w:p w14:paraId="45CDF970" w14:textId="539D7614" w:rsidR="00D7547D" w:rsidRDefault="00D7547D" w:rsidP="007067ED">
            <w:pPr>
              <w:spacing w:after="12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23,445</w:t>
            </w:r>
          </w:p>
        </w:tc>
      </w:tr>
    </w:tbl>
    <w:p w14:paraId="09FA5A76" w14:textId="77777777" w:rsidR="00D7547D" w:rsidRDefault="00D7547D" w:rsidP="009B2E3D">
      <w:pPr>
        <w:keepNext/>
        <w:spacing w:after="120"/>
        <w:ind w:left="-210"/>
        <w:textAlignment w:val="baseline"/>
        <w:rPr>
          <w:rFonts w:ascii="Verdana" w:eastAsia="Times New Roman" w:hAnsi="Verdana" w:cs="Times New Roman"/>
          <w:sz w:val="19"/>
          <w:szCs w:val="19"/>
          <w:lang w:eastAsia="en-AU"/>
        </w:rPr>
      </w:pPr>
    </w:p>
    <w:p w14:paraId="3EDDAE76" w14:textId="77777777" w:rsidR="008C63BE" w:rsidRPr="008C63BE" w:rsidRDefault="008C63BE" w:rsidP="00CB1134">
      <w:pPr>
        <w:spacing w:after="120"/>
        <w:textAlignment w:val="baseline"/>
        <w:rPr>
          <w:rFonts w:ascii="Verdana" w:eastAsia="Times New Roman" w:hAnsi="Verdana" w:cs="Times New Roman"/>
          <w:b/>
          <w:sz w:val="19"/>
          <w:szCs w:val="19"/>
          <w:lang w:eastAsia="en-AU"/>
        </w:rPr>
      </w:pPr>
      <w:r w:rsidRPr="008C63BE">
        <w:rPr>
          <w:rFonts w:ascii="Verdana" w:eastAsia="Times New Roman" w:hAnsi="Verdana" w:cs="Times New Roman"/>
          <w:b/>
          <w:sz w:val="19"/>
          <w:szCs w:val="19"/>
          <w:lang w:eastAsia="en-AU"/>
        </w:rPr>
        <w:t>HCFC imported in</w:t>
      </w:r>
      <w:r>
        <w:rPr>
          <w:rFonts w:ascii="Verdana" w:eastAsia="Times New Roman" w:hAnsi="Verdana" w:cs="Times New Roman"/>
          <w:b/>
          <w:sz w:val="19"/>
          <w:szCs w:val="19"/>
          <w:lang w:eastAsia="en-AU"/>
        </w:rPr>
        <w:t>to</w:t>
      </w:r>
      <w:r w:rsidRPr="008C63BE">
        <w:rPr>
          <w:rFonts w:ascii="Verdana" w:eastAsia="Times New Roman" w:hAnsi="Verdana" w:cs="Times New Roman"/>
          <w:b/>
          <w:sz w:val="19"/>
          <w:szCs w:val="19"/>
          <w:lang w:eastAsia="en-AU"/>
        </w:rPr>
        <w:t xml:space="preserve"> Australia in pre-charged equipment</w:t>
      </w:r>
    </w:p>
    <w:p w14:paraId="46CA58DA" w14:textId="01C6810D" w:rsidR="00B600CC" w:rsidRDefault="008C63BE" w:rsidP="00CB1134">
      <w:pPr>
        <w:spacing w:after="120"/>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HCFC</w:t>
      </w:r>
      <w:r w:rsidR="006C5A9F">
        <w:rPr>
          <w:rFonts w:ascii="Verdana" w:eastAsia="Times New Roman" w:hAnsi="Verdana" w:cs="Times New Roman"/>
          <w:sz w:val="19"/>
          <w:szCs w:val="19"/>
          <w:lang w:eastAsia="en-AU"/>
        </w:rPr>
        <w:t>s</w:t>
      </w:r>
      <w:r>
        <w:rPr>
          <w:rFonts w:ascii="Verdana" w:eastAsia="Times New Roman" w:hAnsi="Verdana" w:cs="Times New Roman"/>
          <w:sz w:val="19"/>
          <w:szCs w:val="19"/>
          <w:lang w:eastAsia="en-AU"/>
        </w:rPr>
        <w:t xml:space="preserve"> imported into Australia </w:t>
      </w:r>
      <w:r w:rsidR="00EF348D">
        <w:rPr>
          <w:rFonts w:ascii="Verdana" w:eastAsia="Times New Roman" w:hAnsi="Verdana" w:cs="Times New Roman"/>
          <w:sz w:val="19"/>
          <w:szCs w:val="19"/>
          <w:lang w:eastAsia="en-AU"/>
        </w:rPr>
        <w:t>in equipment are</w:t>
      </w:r>
      <w:r w:rsidR="00025FB8">
        <w:rPr>
          <w:rFonts w:ascii="Verdana" w:eastAsia="Times New Roman" w:hAnsi="Verdana" w:cs="Times New Roman"/>
          <w:sz w:val="19"/>
          <w:szCs w:val="19"/>
          <w:lang w:eastAsia="en-AU"/>
        </w:rPr>
        <w:t xml:space="preserve"> not </w:t>
      </w:r>
      <w:r w:rsidR="0006690C">
        <w:rPr>
          <w:rFonts w:ascii="Verdana" w:eastAsia="Times New Roman" w:hAnsi="Verdana" w:cs="Times New Roman"/>
          <w:sz w:val="19"/>
          <w:szCs w:val="19"/>
          <w:lang w:eastAsia="en-AU"/>
        </w:rPr>
        <w:t>counted against Australia’s consumption</w:t>
      </w:r>
      <w:r w:rsidR="00EF348D">
        <w:rPr>
          <w:rFonts w:ascii="Verdana" w:eastAsia="Times New Roman" w:hAnsi="Verdana" w:cs="Times New Roman"/>
          <w:sz w:val="19"/>
          <w:szCs w:val="19"/>
          <w:lang w:eastAsia="en-AU"/>
        </w:rPr>
        <w:t xml:space="preserve"> by the Montreal Protocol. </w:t>
      </w:r>
      <w:r w:rsidR="0006690C">
        <w:rPr>
          <w:rFonts w:ascii="Verdana" w:eastAsia="Times New Roman" w:hAnsi="Verdana" w:cs="Times New Roman"/>
          <w:sz w:val="19"/>
          <w:szCs w:val="19"/>
          <w:lang w:eastAsia="en-AU"/>
        </w:rPr>
        <w:t xml:space="preserve">Instead they are accounted for in the country where the equipment was manufactured. </w:t>
      </w:r>
      <w:r w:rsidR="00EF348D">
        <w:rPr>
          <w:rFonts w:ascii="Verdana" w:eastAsia="Times New Roman" w:hAnsi="Verdana" w:cs="Times New Roman"/>
          <w:sz w:val="19"/>
          <w:szCs w:val="19"/>
          <w:lang w:eastAsia="en-AU"/>
        </w:rPr>
        <w:t>Australia regulate</w:t>
      </w:r>
      <w:r w:rsidR="008577E6">
        <w:rPr>
          <w:rFonts w:ascii="Verdana" w:eastAsia="Times New Roman" w:hAnsi="Verdana" w:cs="Times New Roman"/>
          <w:sz w:val="19"/>
          <w:szCs w:val="19"/>
          <w:lang w:eastAsia="en-AU"/>
        </w:rPr>
        <w:t>s</w:t>
      </w:r>
      <w:r w:rsidR="00EF348D">
        <w:rPr>
          <w:rFonts w:ascii="Verdana" w:eastAsia="Times New Roman" w:hAnsi="Verdana" w:cs="Times New Roman"/>
          <w:sz w:val="19"/>
          <w:szCs w:val="19"/>
          <w:lang w:eastAsia="en-AU"/>
        </w:rPr>
        <w:t xml:space="preserve"> imports of pre-charged </w:t>
      </w:r>
      <w:r w:rsidR="003C2701">
        <w:rPr>
          <w:rFonts w:ascii="Verdana" w:eastAsia="Times New Roman" w:hAnsi="Verdana" w:cs="Times New Roman"/>
          <w:sz w:val="19"/>
          <w:szCs w:val="19"/>
          <w:lang w:eastAsia="en-AU"/>
        </w:rPr>
        <w:t xml:space="preserve">HCFC refrigeration and air conditioning </w:t>
      </w:r>
      <w:r w:rsidR="00E21ED7">
        <w:rPr>
          <w:rFonts w:ascii="Verdana" w:eastAsia="Times New Roman" w:hAnsi="Verdana" w:cs="Times New Roman"/>
          <w:sz w:val="19"/>
          <w:szCs w:val="19"/>
          <w:lang w:eastAsia="en-AU"/>
        </w:rPr>
        <w:t xml:space="preserve">equipment </w:t>
      </w:r>
      <w:r w:rsidR="00EF348D">
        <w:rPr>
          <w:rFonts w:ascii="Verdana" w:eastAsia="Times New Roman" w:hAnsi="Verdana" w:cs="Times New Roman"/>
          <w:sz w:val="19"/>
          <w:szCs w:val="19"/>
          <w:lang w:eastAsia="en-AU"/>
        </w:rPr>
        <w:t>under</w:t>
      </w:r>
      <w:r w:rsidR="00025FB8">
        <w:rPr>
          <w:rFonts w:ascii="Verdana" w:eastAsia="Times New Roman" w:hAnsi="Verdana" w:cs="Times New Roman"/>
          <w:sz w:val="19"/>
          <w:szCs w:val="19"/>
          <w:lang w:eastAsia="en-AU"/>
        </w:rPr>
        <w:t xml:space="preserve"> the </w:t>
      </w:r>
      <w:r w:rsidR="00065586">
        <w:rPr>
          <w:rFonts w:ascii="Verdana" w:eastAsia="Times New Roman" w:hAnsi="Verdana" w:cs="Times New Roman"/>
          <w:sz w:val="19"/>
          <w:szCs w:val="19"/>
          <w:lang w:eastAsia="en-AU"/>
        </w:rPr>
        <w:t>Ozone</w:t>
      </w:r>
      <w:r w:rsidR="00025FB8">
        <w:rPr>
          <w:rFonts w:ascii="Verdana" w:eastAsia="Times New Roman" w:hAnsi="Verdana" w:cs="Times New Roman"/>
          <w:sz w:val="19"/>
          <w:szCs w:val="19"/>
          <w:lang w:eastAsia="en-AU"/>
        </w:rPr>
        <w:t xml:space="preserve"> Act to </w:t>
      </w:r>
      <w:r w:rsidR="0006690C">
        <w:rPr>
          <w:rFonts w:ascii="Verdana" w:eastAsia="Times New Roman" w:hAnsi="Verdana" w:cs="Times New Roman"/>
          <w:sz w:val="19"/>
          <w:szCs w:val="19"/>
          <w:lang w:eastAsia="en-AU"/>
        </w:rPr>
        <w:t>provide</w:t>
      </w:r>
      <w:r w:rsidR="00EF348D">
        <w:rPr>
          <w:rFonts w:ascii="Verdana" w:eastAsia="Times New Roman" w:hAnsi="Verdana" w:cs="Times New Roman"/>
          <w:sz w:val="19"/>
          <w:szCs w:val="19"/>
          <w:lang w:eastAsia="en-AU"/>
        </w:rPr>
        <w:t xml:space="preserve"> </w:t>
      </w:r>
      <w:r w:rsidR="00E21ED7">
        <w:rPr>
          <w:rFonts w:ascii="Verdana" w:eastAsia="Times New Roman" w:hAnsi="Verdana" w:cs="Times New Roman"/>
          <w:sz w:val="19"/>
          <w:szCs w:val="19"/>
          <w:lang w:eastAsia="en-AU"/>
        </w:rPr>
        <w:t>data on</w:t>
      </w:r>
      <w:r w:rsidR="00025FB8">
        <w:rPr>
          <w:rFonts w:ascii="Verdana" w:eastAsia="Times New Roman" w:hAnsi="Verdana" w:cs="Times New Roman"/>
          <w:sz w:val="19"/>
          <w:szCs w:val="19"/>
          <w:lang w:eastAsia="en-AU"/>
        </w:rPr>
        <w:t xml:space="preserve"> the bank of HCFC equipment</w:t>
      </w:r>
      <w:r w:rsidR="00E21ED7">
        <w:rPr>
          <w:rFonts w:ascii="Verdana" w:eastAsia="Times New Roman" w:hAnsi="Verdana" w:cs="Times New Roman"/>
          <w:sz w:val="19"/>
          <w:szCs w:val="19"/>
          <w:lang w:eastAsia="en-AU"/>
        </w:rPr>
        <w:t xml:space="preserve"> and the HCFCs required to service the equipment</w:t>
      </w:r>
      <w:r w:rsidR="00854B34">
        <w:rPr>
          <w:rFonts w:ascii="Verdana" w:eastAsia="Times New Roman" w:hAnsi="Verdana" w:cs="Times New Roman"/>
          <w:sz w:val="19"/>
          <w:szCs w:val="19"/>
          <w:lang w:eastAsia="en-AU"/>
        </w:rPr>
        <w:t xml:space="preserve">. </w:t>
      </w:r>
    </w:p>
    <w:p w14:paraId="3EDDAE77" w14:textId="29C53A7F" w:rsidR="008C63BE" w:rsidRDefault="00E451B9" w:rsidP="00CB1134">
      <w:pPr>
        <w:spacing w:after="120"/>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Import and manufacture of r</w:t>
      </w:r>
      <w:r w:rsidR="00025FB8">
        <w:rPr>
          <w:rFonts w:ascii="Verdana" w:eastAsia="Times New Roman" w:hAnsi="Verdana" w:cs="Times New Roman"/>
          <w:sz w:val="19"/>
          <w:szCs w:val="19"/>
          <w:lang w:eastAsia="en-AU"/>
        </w:rPr>
        <w:t xml:space="preserve">efrigeration and </w:t>
      </w:r>
      <w:r w:rsidR="006C5A9F">
        <w:rPr>
          <w:rFonts w:ascii="Verdana" w:eastAsia="Times New Roman" w:hAnsi="Verdana" w:cs="Times New Roman"/>
          <w:sz w:val="19"/>
          <w:szCs w:val="19"/>
          <w:lang w:eastAsia="en-AU"/>
        </w:rPr>
        <w:t>a</w:t>
      </w:r>
      <w:r w:rsidR="00025FB8">
        <w:rPr>
          <w:rFonts w:ascii="Verdana" w:eastAsia="Times New Roman" w:hAnsi="Verdana" w:cs="Times New Roman"/>
          <w:sz w:val="19"/>
          <w:szCs w:val="19"/>
          <w:lang w:eastAsia="en-AU"/>
        </w:rPr>
        <w:t>ir conditioning equipment charged with HCFCs w</w:t>
      </w:r>
      <w:r w:rsidR="006C5A9F">
        <w:rPr>
          <w:rFonts w:ascii="Verdana" w:eastAsia="Times New Roman" w:hAnsi="Verdana" w:cs="Times New Roman"/>
          <w:sz w:val="19"/>
          <w:szCs w:val="19"/>
          <w:lang w:eastAsia="en-AU"/>
        </w:rPr>
        <w:t>as</w:t>
      </w:r>
      <w:r w:rsidR="00025FB8">
        <w:rPr>
          <w:rFonts w:ascii="Verdana" w:eastAsia="Times New Roman" w:hAnsi="Verdana" w:cs="Times New Roman"/>
          <w:sz w:val="19"/>
          <w:szCs w:val="19"/>
          <w:lang w:eastAsia="en-AU"/>
        </w:rPr>
        <w:t xml:space="preserve"> largely banned </w:t>
      </w:r>
      <w:r>
        <w:rPr>
          <w:rFonts w:ascii="Verdana" w:eastAsia="Times New Roman" w:hAnsi="Verdana" w:cs="Times New Roman"/>
          <w:sz w:val="19"/>
          <w:szCs w:val="19"/>
          <w:lang w:eastAsia="en-AU"/>
        </w:rPr>
        <w:t xml:space="preserve">in </w:t>
      </w:r>
      <w:r w:rsidR="00025FB8">
        <w:rPr>
          <w:rFonts w:ascii="Verdana" w:eastAsia="Times New Roman" w:hAnsi="Verdana" w:cs="Times New Roman"/>
          <w:sz w:val="19"/>
          <w:szCs w:val="19"/>
          <w:lang w:eastAsia="en-AU"/>
        </w:rPr>
        <w:t xml:space="preserve">Australia in 2010, except for a few exemptions. </w:t>
      </w:r>
      <w:r w:rsidR="005B515E">
        <w:rPr>
          <w:rFonts w:ascii="Verdana" w:eastAsia="Times New Roman" w:hAnsi="Verdana" w:cs="Times New Roman"/>
          <w:sz w:val="19"/>
          <w:szCs w:val="19"/>
          <w:lang w:eastAsia="en-AU"/>
        </w:rPr>
        <w:t>From 201</w:t>
      </w:r>
      <w:r w:rsidR="00E21ED7">
        <w:rPr>
          <w:rFonts w:ascii="Verdana" w:eastAsia="Times New Roman" w:hAnsi="Verdana" w:cs="Times New Roman"/>
          <w:sz w:val="19"/>
          <w:szCs w:val="19"/>
          <w:lang w:eastAsia="en-AU"/>
        </w:rPr>
        <w:t>6</w:t>
      </w:r>
      <w:r w:rsidR="005B515E">
        <w:rPr>
          <w:rFonts w:ascii="Verdana" w:eastAsia="Times New Roman" w:hAnsi="Verdana" w:cs="Times New Roman"/>
          <w:sz w:val="19"/>
          <w:szCs w:val="19"/>
          <w:lang w:eastAsia="en-AU"/>
        </w:rPr>
        <w:t xml:space="preserve">, exemptions </w:t>
      </w:r>
      <w:r w:rsidR="00C37A24">
        <w:rPr>
          <w:rFonts w:ascii="Verdana" w:eastAsia="Times New Roman" w:hAnsi="Verdana" w:cs="Times New Roman"/>
          <w:sz w:val="19"/>
          <w:szCs w:val="19"/>
          <w:lang w:eastAsia="en-AU"/>
        </w:rPr>
        <w:t>are</w:t>
      </w:r>
      <w:r w:rsidR="005B515E">
        <w:rPr>
          <w:rFonts w:ascii="Verdana" w:eastAsia="Times New Roman" w:hAnsi="Verdana" w:cs="Times New Roman"/>
          <w:sz w:val="19"/>
          <w:szCs w:val="19"/>
          <w:lang w:eastAsia="en-AU"/>
        </w:rPr>
        <w:t xml:space="preserve"> limited to replacement parts for existing equipment</w:t>
      </w:r>
      <w:r w:rsidR="00ED02D0">
        <w:rPr>
          <w:rFonts w:ascii="Verdana" w:eastAsia="Times New Roman" w:hAnsi="Verdana" w:cs="Times New Roman"/>
          <w:sz w:val="19"/>
          <w:szCs w:val="19"/>
          <w:lang w:eastAsia="en-AU"/>
        </w:rPr>
        <w:t xml:space="preserve"> and the import of equipment for private or domestic use that has been owned by a person for more than 12 months</w:t>
      </w:r>
      <w:r w:rsidR="005B515E">
        <w:rPr>
          <w:rFonts w:ascii="Verdana" w:eastAsia="Times New Roman" w:hAnsi="Verdana" w:cs="Times New Roman"/>
          <w:sz w:val="19"/>
          <w:szCs w:val="19"/>
          <w:lang w:eastAsia="en-AU"/>
        </w:rPr>
        <w:t>.</w:t>
      </w:r>
      <w:r w:rsidR="00466847">
        <w:rPr>
          <w:rFonts w:ascii="Verdana" w:eastAsia="Times New Roman" w:hAnsi="Verdana" w:cs="Times New Roman"/>
          <w:sz w:val="19"/>
          <w:szCs w:val="19"/>
          <w:lang w:eastAsia="en-AU"/>
        </w:rPr>
        <w:t xml:space="preserve"> </w:t>
      </w:r>
    </w:p>
    <w:p w14:paraId="2BBCA459" w14:textId="4C5A70DD" w:rsidR="00565E4A" w:rsidRDefault="00565E4A" w:rsidP="00CB1134">
      <w:pPr>
        <w:spacing w:after="120"/>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 xml:space="preserve">There were no </w:t>
      </w:r>
      <w:r w:rsidR="00DA5E8A">
        <w:rPr>
          <w:rFonts w:ascii="Verdana" w:eastAsia="Times New Roman" w:hAnsi="Verdana" w:cs="Times New Roman"/>
          <w:sz w:val="19"/>
          <w:szCs w:val="19"/>
          <w:lang w:eastAsia="en-AU"/>
        </w:rPr>
        <w:t xml:space="preserve">non-HCFC-22 equipment imports for the period 2017 to 2019 as reflected in Table </w:t>
      </w:r>
      <w:r w:rsidR="00CB1134">
        <w:rPr>
          <w:rFonts w:ascii="Verdana" w:eastAsia="Times New Roman" w:hAnsi="Verdana" w:cs="Times New Roman"/>
          <w:sz w:val="19"/>
          <w:szCs w:val="19"/>
          <w:lang w:eastAsia="en-AU"/>
        </w:rPr>
        <w:t>3</w:t>
      </w:r>
      <w:r w:rsidR="00BD3A0E">
        <w:rPr>
          <w:rFonts w:ascii="Verdana" w:eastAsia="Times New Roman" w:hAnsi="Verdana" w:cs="Times New Roman"/>
          <w:sz w:val="19"/>
          <w:szCs w:val="19"/>
          <w:lang w:eastAsia="en-AU"/>
        </w:rPr>
        <w:t>.</w:t>
      </w:r>
      <w:r>
        <w:rPr>
          <w:rFonts w:ascii="Verdana" w:eastAsia="Times New Roman" w:hAnsi="Verdana" w:cs="Times New Roman"/>
          <w:sz w:val="19"/>
          <w:szCs w:val="19"/>
          <w:lang w:eastAsia="en-AU"/>
        </w:rPr>
        <w:t xml:space="preserve"> </w:t>
      </w:r>
    </w:p>
    <w:p w14:paraId="31BC86AE" w14:textId="1868A138" w:rsidR="005A0315" w:rsidRPr="005A0315" w:rsidRDefault="005A0315" w:rsidP="00CB1134">
      <w:pPr>
        <w:spacing w:after="120"/>
        <w:textAlignment w:val="baseline"/>
        <w:rPr>
          <w:rFonts w:ascii="Verdana" w:eastAsia="Times New Roman" w:hAnsi="Verdana" w:cs="Times New Roman"/>
          <w:sz w:val="18"/>
          <w:szCs w:val="18"/>
          <w:u w:val="single"/>
          <w:lang w:eastAsia="en-AU"/>
        </w:rPr>
      </w:pPr>
      <w:r w:rsidRPr="005A0315">
        <w:rPr>
          <w:rFonts w:ascii="Verdana" w:eastAsia="Times New Roman" w:hAnsi="Verdana" w:cs="Times New Roman"/>
          <w:sz w:val="18"/>
          <w:szCs w:val="18"/>
          <w:u w:val="single"/>
          <w:lang w:eastAsia="en-AU"/>
        </w:rPr>
        <w:t xml:space="preserve">Table </w:t>
      </w:r>
      <w:r w:rsidR="00CB1134">
        <w:rPr>
          <w:rFonts w:ascii="Verdana" w:eastAsia="Times New Roman" w:hAnsi="Verdana" w:cs="Times New Roman"/>
          <w:sz w:val="18"/>
          <w:szCs w:val="18"/>
          <w:u w:val="single"/>
          <w:lang w:eastAsia="en-AU"/>
        </w:rPr>
        <w:t>3</w:t>
      </w:r>
      <w:r w:rsidRPr="005A0315">
        <w:rPr>
          <w:rFonts w:ascii="Verdana" w:eastAsia="Times New Roman" w:hAnsi="Verdana" w:cs="Times New Roman"/>
          <w:sz w:val="18"/>
          <w:szCs w:val="18"/>
          <w:u w:val="single"/>
          <w:lang w:eastAsia="en-AU"/>
        </w:rPr>
        <w:t xml:space="preserve"> – </w:t>
      </w:r>
      <w:r w:rsidR="009A4934">
        <w:rPr>
          <w:rFonts w:ascii="Verdana" w:eastAsia="Times New Roman" w:hAnsi="Verdana" w:cs="Times New Roman"/>
          <w:sz w:val="18"/>
          <w:szCs w:val="18"/>
          <w:u w:val="single"/>
          <w:lang w:eastAsia="en-AU"/>
        </w:rPr>
        <w:t>HCFC Equipment imports 2012-201</w:t>
      </w:r>
      <w:r w:rsidR="00C36037">
        <w:rPr>
          <w:rFonts w:ascii="Verdana" w:eastAsia="Times New Roman" w:hAnsi="Verdana" w:cs="Times New Roman"/>
          <w:sz w:val="18"/>
          <w:szCs w:val="18"/>
          <w:u w:val="single"/>
          <w:lang w:eastAsia="en-AU"/>
        </w:rPr>
        <w:t>9</w:t>
      </w:r>
      <w:r w:rsidRPr="005A0315">
        <w:rPr>
          <w:rFonts w:ascii="Verdana" w:eastAsia="Times New Roman" w:hAnsi="Verdana" w:cs="Times New Roman"/>
          <w:sz w:val="18"/>
          <w:szCs w:val="18"/>
          <w:u w:val="single"/>
          <w:lang w:eastAsia="en-AU"/>
        </w:rPr>
        <w:t xml:space="preserve"> </w:t>
      </w:r>
    </w:p>
    <w:tbl>
      <w:tblPr>
        <w:tblStyle w:val="TableGrid"/>
        <w:tblW w:w="5000" w:type="pct"/>
        <w:tblLook w:val="04A0" w:firstRow="1" w:lastRow="0" w:firstColumn="1" w:lastColumn="0" w:noHBand="0" w:noVBand="1"/>
      </w:tblPr>
      <w:tblGrid>
        <w:gridCol w:w="1658"/>
        <w:gridCol w:w="920"/>
        <w:gridCol w:w="920"/>
        <w:gridCol w:w="920"/>
        <w:gridCol w:w="920"/>
        <w:gridCol w:w="920"/>
        <w:gridCol w:w="920"/>
        <w:gridCol w:w="920"/>
        <w:gridCol w:w="918"/>
      </w:tblGrid>
      <w:tr w:rsidR="00C36037" w:rsidRPr="005A0315" w14:paraId="02E80640" w14:textId="04C78EE6" w:rsidTr="00CB1134">
        <w:tc>
          <w:tcPr>
            <w:tcW w:w="920" w:type="pct"/>
            <w:vAlign w:val="center"/>
          </w:tcPr>
          <w:p w14:paraId="28879FC6" w14:textId="77777777" w:rsidR="00C36037" w:rsidRPr="005A0315" w:rsidRDefault="00C36037" w:rsidP="009A4934">
            <w:pPr>
              <w:spacing w:before="60" w:after="60"/>
              <w:jc w:val="center"/>
              <w:textAlignment w:val="baseline"/>
              <w:rPr>
                <w:rFonts w:ascii="Verdana" w:eastAsia="Times New Roman" w:hAnsi="Verdana" w:cs="Times New Roman"/>
                <w:b/>
                <w:sz w:val="16"/>
                <w:szCs w:val="16"/>
                <w:lang w:eastAsia="en-AU"/>
              </w:rPr>
            </w:pPr>
          </w:p>
        </w:tc>
        <w:tc>
          <w:tcPr>
            <w:tcW w:w="510" w:type="pct"/>
            <w:vAlign w:val="center"/>
          </w:tcPr>
          <w:p w14:paraId="76092B3E" w14:textId="77777777" w:rsidR="00C36037" w:rsidRPr="005A0315" w:rsidRDefault="00C36037" w:rsidP="009A4934">
            <w:pPr>
              <w:spacing w:before="60" w:after="60"/>
              <w:jc w:val="center"/>
              <w:textAlignment w:val="baseline"/>
              <w:rPr>
                <w:rFonts w:ascii="Verdana" w:eastAsia="Times New Roman" w:hAnsi="Verdana" w:cs="Times New Roman"/>
                <w:b/>
                <w:sz w:val="16"/>
                <w:szCs w:val="16"/>
                <w:lang w:eastAsia="en-AU"/>
              </w:rPr>
            </w:pPr>
            <w:r w:rsidRPr="005A0315">
              <w:rPr>
                <w:rFonts w:ascii="Verdana" w:eastAsia="Times New Roman" w:hAnsi="Verdana" w:cs="Times New Roman"/>
                <w:b/>
                <w:sz w:val="16"/>
                <w:szCs w:val="16"/>
                <w:lang w:eastAsia="en-AU"/>
              </w:rPr>
              <w:t>2012</w:t>
            </w:r>
          </w:p>
        </w:tc>
        <w:tc>
          <w:tcPr>
            <w:tcW w:w="510" w:type="pct"/>
            <w:vAlign w:val="center"/>
          </w:tcPr>
          <w:p w14:paraId="58CCF231" w14:textId="77777777" w:rsidR="00C36037" w:rsidRPr="005A0315" w:rsidRDefault="00C36037" w:rsidP="009A4934">
            <w:pPr>
              <w:spacing w:before="60" w:after="60"/>
              <w:jc w:val="center"/>
              <w:textAlignment w:val="baseline"/>
              <w:rPr>
                <w:rFonts w:ascii="Verdana" w:eastAsia="Times New Roman" w:hAnsi="Verdana" w:cs="Times New Roman"/>
                <w:b/>
                <w:sz w:val="16"/>
                <w:szCs w:val="16"/>
                <w:lang w:eastAsia="en-AU"/>
              </w:rPr>
            </w:pPr>
            <w:r w:rsidRPr="005A0315">
              <w:rPr>
                <w:rFonts w:ascii="Verdana" w:eastAsia="Times New Roman" w:hAnsi="Verdana" w:cs="Times New Roman"/>
                <w:b/>
                <w:sz w:val="16"/>
                <w:szCs w:val="16"/>
                <w:lang w:eastAsia="en-AU"/>
              </w:rPr>
              <w:t>2013</w:t>
            </w:r>
          </w:p>
        </w:tc>
        <w:tc>
          <w:tcPr>
            <w:tcW w:w="510" w:type="pct"/>
            <w:vAlign w:val="center"/>
          </w:tcPr>
          <w:p w14:paraId="497427A1" w14:textId="77777777" w:rsidR="00C36037" w:rsidRPr="005A0315" w:rsidRDefault="00C36037" w:rsidP="009A4934">
            <w:pPr>
              <w:spacing w:before="60" w:after="60"/>
              <w:jc w:val="center"/>
              <w:textAlignment w:val="baseline"/>
              <w:rPr>
                <w:rFonts w:ascii="Verdana" w:eastAsia="Times New Roman" w:hAnsi="Verdana" w:cs="Times New Roman"/>
                <w:b/>
                <w:sz w:val="16"/>
                <w:szCs w:val="16"/>
                <w:lang w:eastAsia="en-AU"/>
              </w:rPr>
            </w:pPr>
            <w:r w:rsidRPr="005A0315">
              <w:rPr>
                <w:rFonts w:ascii="Verdana" w:eastAsia="Times New Roman" w:hAnsi="Verdana" w:cs="Times New Roman"/>
                <w:b/>
                <w:sz w:val="16"/>
                <w:szCs w:val="16"/>
                <w:lang w:eastAsia="en-AU"/>
              </w:rPr>
              <w:t>2014</w:t>
            </w:r>
          </w:p>
        </w:tc>
        <w:tc>
          <w:tcPr>
            <w:tcW w:w="510" w:type="pct"/>
            <w:vAlign w:val="center"/>
          </w:tcPr>
          <w:p w14:paraId="08211F90" w14:textId="77777777" w:rsidR="00C36037" w:rsidRPr="005A0315" w:rsidRDefault="00C36037" w:rsidP="009A4934">
            <w:pPr>
              <w:spacing w:before="60" w:after="60"/>
              <w:jc w:val="center"/>
              <w:textAlignment w:val="baseline"/>
              <w:rPr>
                <w:rFonts w:ascii="Verdana" w:eastAsia="Times New Roman" w:hAnsi="Verdana" w:cs="Times New Roman"/>
                <w:b/>
                <w:sz w:val="16"/>
                <w:szCs w:val="16"/>
                <w:lang w:eastAsia="en-AU"/>
              </w:rPr>
            </w:pPr>
            <w:r w:rsidRPr="005A0315">
              <w:rPr>
                <w:rFonts w:ascii="Verdana" w:eastAsia="Times New Roman" w:hAnsi="Verdana" w:cs="Times New Roman"/>
                <w:b/>
                <w:sz w:val="16"/>
                <w:szCs w:val="16"/>
                <w:lang w:eastAsia="en-AU"/>
              </w:rPr>
              <w:t>2015</w:t>
            </w:r>
          </w:p>
        </w:tc>
        <w:tc>
          <w:tcPr>
            <w:tcW w:w="510" w:type="pct"/>
            <w:vAlign w:val="center"/>
          </w:tcPr>
          <w:p w14:paraId="79C48324" w14:textId="77777777" w:rsidR="00C36037" w:rsidRPr="005A0315" w:rsidRDefault="00C36037" w:rsidP="009A4934">
            <w:pPr>
              <w:spacing w:before="60" w:after="60"/>
              <w:jc w:val="center"/>
              <w:textAlignment w:val="baseline"/>
              <w:rPr>
                <w:rFonts w:ascii="Verdana" w:eastAsia="Times New Roman" w:hAnsi="Verdana" w:cs="Times New Roman"/>
                <w:b/>
                <w:sz w:val="16"/>
                <w:szCs w:val="16"/>
                <w:lang w:eastAsia="en-AU"/>
              </w:rPr>
            </w:pPr>
            <w:r w:rsidRPr="005A0315">
              <w:rPr>
                <w:rFonts w:ascii="Verdana" w:eastAsia="Times New Roman" w:hAnsi="Verdana" w:cs="Times New Roman"/>
                <w:b/>
                <w:sz w:val="16"/>
                <w:szCs w:val="16"/>
                <w:lang w:eastAsia="en-AU"/>
              </w:rPr>
              <w:t>2016</w:t>
            </w:r>
          </w:p>
        </w:tc>
        <w:tc>
          <w:tcPr>
            <w:tcW w:w="510" w:type="pct"/>
          </w:tcPr>
          <w:p w14:paraId="721D470E" w14:textId="2F1D12BB" w:rsidR="00C36037" w:rsidRPr="005A0315" w:rsidRDefault="00C36037" w:rsidP="009A4934">
            <w:pPr>
              <w:spacing w:before="60" w:after="60"/>
              <w:jc w:val="center"/>
              <w:textAlignment w:val="baseline"/>
              <w:rPr>
                <w:rFonts w:ascii="Verdana" w:eastAsia="Times New Roman" w:hAnsi="Verdana" w:cs="Times New Roman"/>
                <w:b/>
                <w:sz w:val="16"/>
                <w:szCs w:val="16"/>
                <w:lang w:eastAsia="en-AU"/>
              </w:rPr>
            </w:pPr>
            <w:r>
              <w:rPr>
                <w:rFonts w:ascii="Verdana" w:eastAsia="Times New Roman" w:hAnsi="Verdana" w:cs="Times New Roman"/>
                <w:b/>
                <w:sz w:val="16"/>
                <w:szCs w:val="16"/>
                <w:lang w:eastAsia="en-AU"/>
              </w:rPr>
              <w:t>2017</w:t>
            </w:r>
          </w:p>
        </w:tc>
        <w:tc>
          <w:tcPr>
            <w:tcW w:w="510" w:type="pct"/>
          </w:tcPr>
          <w:p w14:paraId="3883C3EA" w14:textId="4E8F5974" w:rsidR="00C36037" w:rsidRDefault="00C36037" w:rsidP="009A4934">
            <w:pPr>
              <w:spacing w:before="60" w:after="60"/>
              <w:jc w:val="center"/>
              <w:textAlignment w:val="baseline"/>
              <w:rPr>
                <w:rFonts w:ascii="Verdana" w:eastAsia="Times New Roman" w:hAnsi="Verdana" w:cs="Times New Roman"/>
                <w:b/>
                <w:sz w:val="16"/>
                <w:szCs w:val="16"/>
                <w:lang w:eastAsia="en-AU"/>
              </w:rPr>
            </w:pPr>
            <w:r>
              <w:rPr>
                <w:rFonts w:ascii="Verdana" w:eastAsia="Times New Roman" w:hAnsi="Verdana" w:cs="Times New Roman"/>
                <w:b/>
                <w:sz w:val="16"/>
                <w:szCs w:val="16"/>
                <w:lang w:eastAsia="en-AU"/>
              </w:rPr>
              <w:t>2018</w:t>
            </w:r>
          </w:p>
        </w:tc>
        <w:tc>
          <w:tcPr>
            <w:tcW w:w="509" w:type="pct"/>
          </w:tcPr>
          <w:p w14:paraId="76C1CCCB" w14:textId="02681B64" w:rsidR="00C36037" w:rsidRDefault="00C36037" w:rsidP="009A4934">
            <w:pPr>
              <w:spacing w:before="60" w:after="60"/>
              <w:jc w:val="center"/>
              <w:textAlignment w:val="baseline"/>
              <w:rPr>
                <w:rFonts w:ascii="Verdana" w:eastAsia="Times New Roman" w:hAnsi="Verdana" w:cs="Times New Roman"/>
                <w:b/>
                <w:sz w:val="16"/>
                <w:szCs w:val="16"/>
                <w:lang w:eastAsia="en-AU"/>
              </w:rPr>
            </w:pPr>
            <w:r>
              <w:rPr>
                <w:rFonts w:ascii="Verdana" w:eastAsia="Times New Roman" w:hAnsi="Verdana" w:cs="Times New Roman"/>
                <w:b/>
                <w:sz w:val="16"/>
                <w:szCs w:val="16"/>
                <w:lang w:eastAsia="en-AU"/>
              </w:rPr>
              <w:t>2019</w:t>
            </w:r>
          </w:p>
        </w:tc>
      </w:tr>
      <w:tr w:rsidR="00C36037" w14:paraId="4BD9345E" w14:textId="03DA6D47" w:rsidTr="00CB1134">
        <w:tc>
          <w:tcPr>
            <w:tcW w:w="920" w:type="pct"/>
            <w:vAlign w:val="center"/>
          </w:tcPr>
          <w:p w14:paraId="1A4476A1" w14:textId="77777777" w:rsidR="00C36037" w:rsidRPr="005A0315" w:rsidRDefault="00C36037" w:rsidP="009A4934">
            <w:pPr>
              <w:spacing w:before="60" w:after="60"/>
              <w:jc w:val="center"/>
              <w:textAlignment w:val="baseline"/>
              <w:rPr>
                <w:rFonts w:ascii="Verdana" w:eastAsia="Times New Roman" w:hAnsi="Verdana" w:cs="Times New Roman"/>
                <w:b/>
                <w:sz w:val="16"/>
                <w:szCs w:val="16"/>
                <w:lang w:eastAsia="en-AU"/>
              </w:rPr>
            </w:pPr>
            <w:r w:rsidRPr="005A0315">
              <w:rPr>
                <w:rFonts w:ascii="Verdana" w:eastAsia="Times New Roman" w:hAnsi="Verdana" w:cs="Times New Roman"/>
                <w:b/>
                <w:sz w:val="16"/>
                <w:szCs w:val="16"/>
                <w:lang w:eastAsia="en-AU"/>
              </w:rPr>
              <w:t>HCFC-22</w:t>
            </w:r>
          </w:p>
        </w:tc>
        <w:tc>
          <w:tcPr>
            <w:tcW w:w="510" w:type="pct"/>
            <w:vAlign w:val="center"/>
          </w:tcPr>
          <w:p w14:paraId="4F87CCDD" w14:textId="77777777" w:rsidR="00C36037" w:rsidRDefault="00C36037" w:rsidP="009A4934">
            <w:pPr>
              <w:spacing w:before="60" w:after="60"/>
              <w:jc w:val="center"/>
              <w:textAlignment w:val="baseline"/>
              <w:rPr>
                <w:rFonts w:ascii="Verdana" w:eastAsia="Times New Roman" w:hAnsi="Verdana" w:cs="Times New Roman"/>
                <w:sz w:val="16"/>
                <w:szCs w:val="16"/>
                <w:lang w:eastAsia="en-AU"/>
              </w:rPr>
            </w:pPr>
            <w:r>
              <w:rPr>
                <w:rFonts w:ascii="Verdana" w:eastAsia="Times New Roman" w:hAnsi="Verdana" w:cs="Times New Roman"/>
                <w:sz w:val="16"/>
                <w:szCs w:val="16"/>
                <w:lang w:eastAsia="en-AU"/>
              </w:rPr>
              <w:t>1.06</w:t>
            </w:r>
          </w:p>
        </w:tc>
        <w:tc>
          <w:tcPr>
            <w:tcW w:w="510" w:type="pct"/>
            <w:vAlign w:val="center"/>
          </w:tcPr>
          <w:p w14:paraId="27CB2AFB" w14:textId="77777777" w:rsidR="00C36037" w:rsidRDefault="00C36037" w:rsidP="009A4934">
            <w:pPr>
              <w:spacing w:before="60" w:after="60"/>
              <w:jc w:val="center"/>
              <w:textAlignment w:val="baseline"/>
              <w:rPr>
                <w:rFonts w:ascii="Verdana" w:eastAsia="Times New Roman" w:hAnsi="Verdana" w:cs="Times New Roman"/>
                <w:sz w:val="16"/>
                <w:szCs w:val="16"/>
                <w:lang w:eastAsia="en-AU"/>
              </w:rPr>
            </w:pPr>
            <w:r>
              <w:rPr>
                <w:rFonts w:ascii="Verdana" w:eastAsia="Times New Roman" w:hAnsi="Verdana" w:cs="Times New Roman"/>
                <w:sz w:val="16"/>
                <w:szCs w:val="16"/>
                <w:lang w:eastAsia="en-AU"/>
              </w:rPr>
              <w:t>0.12</w:t>
            </w:r>
          </w:p>
        </w:tc>
        <w:tc>
          <w:tcPr>
            <w:tcW w:w="510" w:type="pct"/>
            <w:vAlign w:val="center"/>
          </w:tcPr>
          <w:p w14:paraId="383C99DA" w14:textId="77777777" w:rsidR="00C36037" w:rsidRDefault="00C36037" w:rsidP="009A4934">
            <w:pPr>
              <w:spacing w:before="60" w:after="60"/>
              <w:jc w:val="center"/>
              <w:textAlignment w:val="baseline"/>
              <w:rPr>
                <w:rFonts w:ascii="Verdana" w:eastAsia="Times New Roman" w:hAnsi="Verdana" w:cs="Times New Roman"/>
                <w:sz w:val="16"/>
                <w:szCs w:val="16"/>
                <w:lang w:eastAsia="en-AU"/>
              </w:rPr>
            </w:pPr>
            <w:r>
              <w:rPr>
                <w:rFonts w:ascii="Verdana" w:eastAsia="Times New Roman" w:hAnsi="Verdana" w:cs="Times New Roman"/>
                <w:sz w:val="16"/>
                <w:szCs w:val="16"/>
                <w:lang w:eastAsia="en-AU"/>
              </w:rPr>
              <w:t>0.16</w:t>
            </w:r>
          </w:p>
        </w:tc>
        <w:tc>
          <w:tcPr>
            <w:tcW w:w="510" w:type="pct"/>
            <w:vAlign w:val="center"/>
          </w:tcPr>
          <w:p w14:paraId="07E722A8" w14:textId="77777777" w:rsidR="00C36037" w:rsidRDefault="00C36037" w:rsidP="009A4934">
            <w:pPr>
              <w:spacing w:before="60" w:after="60"/>
              <w:jc w:val="center"/>
              <w:textAlignment w:val="baseline"/>
              <w:rPr>
                <w:rFonts w:ascii="Verdana" w:eastAsia="Times New Roman" w:hAnsi="Verdana" w:cs="Times New Roman"/>
                <w:sz w:val="16"/>
                <w:szCs w:val="16"/>
                <w:lang w:eastAsia="en-AU"/>
              </w:rPr>
            </w:pPr>
            <w:r>
              <w:rPr>
                <w:rFonts w:ascii="Verdana" w:eastAsia="Times New Roman" w:hAnsi="Verdana" w:cs="Times New Roman"/>
                <w:sz w:val="16"/>
                <w:szCs w:val="16"/>
                <w:lang w:eastAsia="en-AU"/>
              </w:rPr>
              <w:t>0</w:t>
            </w:r>
          </w:p>
        </w:tc>
        <w:tc>
          <w:tcPr>
            <w:tcW w:w="510" w:type="pct"/>
            <w:vAlign w:val="center"/>
          </w:tcPr>
          <w:p w14:paraId="49292E12" w14:textId="77777777" w:rsidR="00C36037" w:rsidRDefault="00C36037" w:rsidP="009A4934">
            <w:pPr>
              <w:spacing w:before="60" w:after="60"/>
              <w:jc w:val="center"/>
              <w:textAlignment w:val="baseline"/>
              <w:rPr>
                <w:rFonts w:ascii="Verdana" w:eastAsia="Times New Roman" w:hAnsi="Verdana" w:cs="Times New Roman"/>
                <w:sz w:val="16"/>
                <w:szCs w:val="16"/>
                <w:lang w:eastAsia="en-AU"/>
              </w:rPr>
            </w:pPr>
            <w:r>
              <w:rPr>
                <w:rFonts w:ascii="Verdana" w:eastAsia="Times New Roman" w:hAnsi="Verdana" w:cs="Times New Roman"/>
                <w:sz w:val="16"/>
                <w:szCs w:val="16"/>
                <w:lang w:eastAsia="en-AU"/>
              </w:rPr>
              <w:t>0</w:t>
            </w:r>
          </w:p>
        </w:tc>
        <w:tc>
          <w:tcPr>
            <w:tcW w:w="510" w:type="pct"/>
          </w:tcPr>
          <w:p w14:paraId="26690ED1" w14:textId="5B1721DD" w:rsidR="00C36037" w:rsidRDefault="00C36037" w:rsidP="009A4934">
            <w:pPr>
              <w:spacing w:before="60" w:after="60"/>
              <w:jc w:val="center"/>
              <w:textAlignment w:val="baseline"/>
              <w:rPr>
                <w:rFonts w:ascii="Verdana" w:eastAsia="Times New Roman" w:hAnsi="Verdana" w:cs="Times New Roman"/>
                <w:sz w:val="16"/>
                <w:szCs w:val="16"/>
                <w:lang w:eastAsia="en-AU"/>
              </w:rPr>
            </w:pPr>
            <w:r>
              <w:rPr>
                <w:rFonts w:ascii="Verdana" w:eastAsia="Times New Roman" w:hAnsi="Verdana" w:cs="Times New Roman"/>
                <w:sz w:val="16"/>
                <w:szCs w:val="16"/>
                <w:lang w:eastAsia="en-AU"/>
              </w:rPr>
              <w:t>0.02</w:t>
            </w:r>
          </w:p>
        </w:tc>
        <w:tc>
          <w:tcPr>
            <w:tcW w:w="510" w:type="pct"/>
          </w:tcPr>
          <w:p w14:paraId="477DFFE6" w14:textId="6C679F4A" w:rsidR="00C36037" w:rsidRDefault="00C36037" w:rsidP="009A4934">
            <w:pPr>
              <w:spacing w:before="60" w:after="60"/>
              <w:jc w:val="center"/>
              <w:textAlignment w:val="baseline"/>
              <w:rPr>
                <w:rFonts w:ascii="Verdana" w:eastAsia="Times New Roman" w:hAnsi="Verdana" w:cs="Times New Roman"/>
                <w:sz w:val="16"/>
                <w:szCs w:val="16"/>
                <w:lang w:eastAsia="en-AU"/>
              </w:rPr>
            </w:pPr>
            <w:r>
              <w:rPr>
                <w:rFonts w:ascii="Verdana" w:eastAsia="Times New Roman" w:hAnsi="Verdana" w:cs="Times New Roman"/>
                <w:sz w:val="16"/>
                <w:szCs w:val="16"/>
                <w:lang w:eastAsia="en-AU"/>
              </w:rPr>
              <w:t>0.02</w:t>
            </w:r>
          </w:p>
        </w:tc>
        <w:tc>
          <w:tcPr>
            <w:tcW w:w="509" w:type="pct"/>
          </w:tcPr>
          <w:p w14:paraId="6D9EF510" w14:textId="7A8B811F" w:rsidR="00C36037" w:rsidRDefault="00F501D4" w:rsidP="009A4934">
            <w:pPr>
              <w:spacing w:before="60" w:after="60"/>
              <w:jc w:val="center"/>
              <w:textAlignment w:val="baseline"/>
              <w:rPr>
                <w:rFonts w:ascii="Verdana" w:eastAsia="Times New Roman" w:hAnsi="Verdana" w:cs="Times New Roman"/>
                <w:sz w:val="16"/>
                <w:szCs w:val="16"/>
                <w:lang w:eastAsia="en-AU"/>
              </w:rPr>
            </w:pPr>
            <w:r>
              <w:rPr>
                <w:rFonts w:ascii="Verdana" w:eastAsia="Times New Roman" w:hAnsi="Verdana" w:cs="Times New Roman"/>
                <w:sz w:val="16"/>
                <w:szCs w:val="16"/>
                <w:lang w:eastAsia="en-AU"/>
              </w:rPr>
              <w:t>0.01</w:t>
            </w:r>
          </w:p>
        </w:tc>
      </w:tr>
      <w:tr w:rsidR="00C36037" w14:paraId="034B3DE5" w14:textId="062C5077" w:rsidTr="00CB1134">
        <w:tc>
          <w:tcPr>
            <w:tcW w:w="920" w:type="pct"/>
            <w:vAlign w:val="center"/>
          </w:tcPr>
          <w:p w14:paraId="66BACD18" w14:textId="77777777" w:rsidR="00C36037" w:rsidRPr="005A0315" w:rsidRDefault="00C36037" w:rsidP="009A4934">
            <w:pPr>
              <w:spacing w:before="60" w:after="60"/>
              <w:jc w:val="center"/>
              <w:textAlignment w:val="baseline"/>
              <w:rPr>
                <w:rFonts w:ascii="Verdana" w:eastAsia="Times New Roman" w:hAnsi="Verdana" w:cs="Times New Roman"/>
                <w:b/>
                <w:sz w:val="16"/>
                <w:szCs w:val="16"/>
                <w:lang w:eastAsia="en-AU"/>
              </w:rPr>
            </w:pPr>
            <w:r w:rsidRPr="005A0315">
              <w:rPr>
                <w:rFonts w:ascii="Verdana" w:eastAsia="Times New Roman" w:hAnsi="Verdana" w:cs="Times New Roman"/>
                <w:b/>
                <w:sz w:val="16"/>
                <w:szCs w:val="16"/>
                <w:lang w:eastAsia="en-AU"/>
              </w:rPr>
              <w:t>HCFC-123</w:t>
            </w:r>
          </w:p>
        </w:tc>
        <w:tc>
          <w:tcPr>
            <w:tcW w:w="510" w:type="pct"/>
            <w:vAlign w:val="center"/>
          </w:tcPr>
          <w:p w14:paraId="275AEE7B" w14:textId="77777777" w:rsidR="00C36037" w:rsidRDefault="00C36037" w:rsidP="009A4934">
            <w:pPr>
              <w:spacing w:before="60" w:after="60"/>
              <w:jc w:val="center"/>
              <w:textAlignment w:val="baseline"/>
              <w:rPr>
                <w:rFonts w:ascii="Verdana" w:eastAsia="Times New Roman" w:hAnsi="Verdana" w:cs="Times New Roman"/>
                <w:sz w:val="16"/>
                <w:szCs w:val="16"/>
                <w:lang w:eastAsia="en-AU"/>
              </w:rPr>
            </w:pPr>
            <w:r>
              <w:rPr>
                <w:rFonts w:ascii="Verdana" w:eastAsia="Times New Roman" w:hAnsi="Verdana" w:cs="Times New Roman"/>
                <w:sz w:val="16"/>
                <w:szCs w:val="16"/>
                <w:lang w:eastAsia="en-AU"/>
              </w:rPr>
              <w:t>0.87</w:t>
            </w:r>
          </w:p>
        </w:tc>
        <w:tc>
          <w:tcPr>
            <w:tcW w:w="510" w:type="pct"/>
            <w:vAlign w:val="center"/>
          </w:tcPr>
          <w:p w14:paraId="667BB993" w14:textId="77777777" w:rsidR="00C36037" w:rsidRDefault="00C36037" w:rsidP="009A4934">
            <w:pPr>
              <w:spacing w:before="60" w:after="60"/>
              <w:jc w:val="center"/>
              <w:textAlignment w:val="baseline"/>
              <w:rPr>
                <w:rFonts w:ascii="Verdana" w:eastAsia="Times New Roman" w:hAnsi="Verdana" w:cs="Times New Roman"/>
                <w:sz w:val="16"/>
                <w:szCs w:val="16"/>
                <w:lang w:eastAsia="en-AU"/>
              </w:rPr>
            </w:pPr>
            <w:r>
              <w:rPr>
                <w:rFonts w:ascii="Verdana" w:eastAsia="Times New Roman" w:hAnsi="Verdana" w:cs="Times New Roman"/>
                <w:sz w:val="16"/>
                <w:szCs w:val="16"/>
                <w:lang w:eastAsia="en-AU"/>
              </w:rPr>
              <w:t>0.87</w:t>
            </w:r>
          </w:p>
        </w:tc>
        <w:tc>
          <w:tcPr>
            <w:tcW w:w="510" w:type="pct"/>
            <w:vAlign w:val="center"/>
          </w:tcPr>
          <w:p w14:paraId="338B34E3" w14:textId="77777777" w:rsidR="00C36037" w:rsidRDefault="00C36037" w:rsidP="009A4934">
            <w:pPr>
              <w:spacing w:before="60" w:after="60"/>
              <w:jc w:val="center"/>
              <w:textAlignment w:val="baseline"/>
              <w:rPr>
                <w:rFonts w:ascii="Verdana" w:eastAsia="Times New Roman" w:hAnsi="Verdana" w:cs="Times New Roman"/>
                <w:sz w:val="16"/>
                <w:szCs w:val="16"/>
                <w:lang w:eastAsia="en-AU"/>
              </w:rPr>
            </w:pPr>
            <w:r>
              <w:rPr>
                <w:rFonts w:ascii="Verdana" w:eastAsia="Times New Roman" w:hAnsi="Verdana" w:cs="Times New Roman"/>
                <w:sz w:val="16"/>
                <w:szCs w:val="16"/>
                <w:lang w:eastAsia="en-AU"/>
              </w:rPr>
              <w:t>0.28</w:t>
            </w:r>
          </w:p>
        </w:tc>
        <w:tc>
          <w:tcPr>
            <w:tcW w:w="510" w:type="pct"/>
            <w:vAlign w:val="center"/>
          </w:tcPr>
          <w:p w14:paraId="7E78C54C" w14:textId="77777777" w:rsidR="00C36037" w:rsidRDefault="00C36037" w:rsidP="009A4934">
            <w:pPr>
              <w:spacing w:before="60" w:after="60"/>
              <w:jc w:val="center"/>
              <w:textAlignment w:val="baseline"/>
              <w:rPr>
                <w:rFonts w:ascii="Verdana" w:eastAsia="Times New Roman" w:hAnsi="Verdana" w:cs="Times New Roman"/>
                <w:sz w:val="16"/>
                <w:szCs w:val="16"/>
                <w:lang w:eastAsia="en-AU"/>
              </w:rPr>
            </w:pPr>
            <w:r>
              <w:rPr>
                <w:rFonts w:ascii="Verdana" w:eastAsia="Times New Roman" w:hAnsi="Verdana" w:cs="Times New Roman"/>
                <w:sz w:val="16"/>
                <w:szCs w:val="16"/>
                <w:lang w:eastAsia="en-AU"/>
              </w:rPr>
              <w:t>0.02</w:t>
            </w:r>
          </w:p>
        </w:tc>
        <w:tc>
          <w:tcPr>
            <w:tcW w:w="510" w:type="pct"/>
            <w:vAlign w:val="center"/>
          </w:tcPr>
          <w:p w14:paraId="7A35F6D5" w14:textId="77777777" w:rsidR="00C36037" w:rsidRDefault="00C36037" w:rsidP="009A4934">
            <w:pPr>
              <w:spacing w:before="60" w:after="60"/>
              <w:jc w:val="center"/>
              <w:textAlignment w:val="baseline"/>
              <w:rPr>
                <w:rFonts w:ascii="Verdana" w:eastAsia="Times New Roman" w:hAnsi="Verdana" w:cs="Times New Roman"/>
                <w:sz w:val="16"/>
                <w:szCs w:val="16"/>
                <w:lang w:eastAsia="en-AU"/>
              </w:rPr>
            </w:pPr>
            <w:r>
              <w:rPr>
                <w:rFonts w:ascii="Verdana" w:eastAsia="Times New Roman" w:hAnsi="Verdana" w:cs="Times New Roman"/>
                <w:sz w:val="16"/>
                <w:szCs w:val="16"/>
                <w:lang w:eastAsia="en-AU"/>
              </w:rPr>
              <w:t>0</w:t>
            </w:r>
          </w:p>
        </w:tc>
        <w:tc>
          <w:tcPr>
            <w:tcW w:w="510" w:type="pct"/>
          </w:tcPr>
          <w:p w14:paraId="2AEC9F87" w14:textId="217B0EC0" w:rsidR="00C36037" w:rsidRDefault="00C36037" w:rsidP="009A4934">
            <w:pPr>
              <w:spacing w:before="60" w:after="60"/>
              <w:jc w:val="center"/>
              <w:textAlignment w:val="baseline"/>
              <w:rPr>
                <w:rFonts w:ascii="Verdana" w:eastAsia="Times New Roman" w:hAnsi="Verdana" w:cs="Times New Roman"/>
                <w:sz w:val="16"/>
                <w:szCs w:val="16"/>
                <w:lang w:eastAsia="en-AU"/>
              </w:rPr>
            </w:pPr>
            <w:r>
              <w:rPr>
                <w:rFonts w:ascii="Verdana" w:eastAsia="Times New Roman" w:hAnsi="Verdana" w:cs="Times New Roman"/>
                <w:sz w:val="16"/>
                <w:szCs w:val="16"/>
                <w:lang w:eastAsia="en-AU"/>
              </w:rPr>
              <w:t>0</w:t>
            </w:r>
          </w:p>
        </w:tc>
        <w:tc>
          <w:tcPr>
            <w:tcW w:w="510" w:type="pct"/>
          </w:tcPr>
          <w:p w14:paraId="1DFE89FB" w14:textId="5E56C627" w:rsidR="00C36037" w:rsidRDefault="00C36037" w:rsidP="009A4934">
            <w:pPr>
              <w:spacing w:before="60" w:after="60"/>
              <w:jc w:val="center"/>
              <w:textAlignment w:val="baseline"/>
              <w:rPr>
                <w:rFonts w:ascii="Verdana" w:eastAsia="Times New Roman" w:hAnsi="Verdana" w:cs="Times New Roman"/>
                <w:sz w:val="16"/>
                <w:szCs w:val="16"/>
                <w:lang w:eastAsia="en-AU"/>
              </w:rPr>
            </w:pPr>
            <w:r>
              <w:rPr>
                <w:rFonts w:ascii="Verdana" w:eastAsia="Times New Roman" w:hAnsi="Verdana" w:cs="Times New Roman"/>
                <w:sz w:val="16"/>
                <w:szCs w:val="16"/>
                <w:lang w:eastAsia="en-AU"/>
              </w:rPr>
              <w:t>0</w:t>
            </w:r>
          </w:p>
        </w:tc>
        <w:tc>
          <w:tcPr>
            <w:tcW w:w="509" w:type="pct"/>
          </w:tcPr>
          <w:p w14:paraId="6D179D33" w14:textId="73140F01" w:rsidR="00C36037" w:rsidRDefault="00466847" w:rsidP="009A4934">
            <w:pPr>
              <w:spacing w:before="60" w:after="60"/>
              <w:jc w:val="center"/>
              <w:textAlignment w:val="baseline"/>
              <w:rPr>
                <w:rFonts w:ascii="Verdana" w:eastAsia="Times New Roman" w:hAnsi="Verdana" w:cs="Times New Roman"/>
                <w:sz w:val="16"/>
                <w:szCs w:val="16"/>
                <w:lang w:eastAsia="en-AU"/>
              </w:rPr>
            </w:pPr>
            <w:r>
              <w:rPr>
                <w:rFonts w:ascii="Verdana" w:eastAsia="Times New Roman" w:hAnsi="Verdana" w:cs="Times New Roman"/>
                <w:sz w:val="16"/>
                <w:szCs w:val="16"/>
                <w:lang w:eastAsia="en-AU"/>
              </w:rPr>
              <w:t>0</w:t>
            </w:r>
          </w:p>
        </w:tc>
      </w:tr>
      <w:tr w:rsidR="00C36037" w14:paraId="395CAF6E" w14:textId="3DF6A1AB" w:rsidTr="00CB1134">
        <w:tc>
          <w:tcPr>
            <w:tcW w:w="920" w:type="pct"/>
            <w:vAlign w:val="center"/>
          </w:tcPr>
          <w:p w14:paraId="78923F0C" w14:textId="77777777" w:rsidR="00C36037" w:rsidRPr="005A0315" w:rsidRDefault="00C36037" w:rsidP="009A4934">
            <w:pPr>
              <w:spacing w:before="60" w:after="60"/>
              <w:jc w:val="center"/>
              <w:textAlignment w:val="baseline"/>
              <w:rPr>
                <w:rFonts w:ascii="Verdana" w:eastAsia="Times New Roman" w:hAnsi="Verdana" w:cs="Times New Roman"/>
                <w:b/>
                <w:sz w:val="16"/>
                <w:szCs w:val="16"/>
                <w:lang w:eastAsia="en-AU"/>
              </w:rPr>
            </w:pPr>
            <w:r w:rsidRPr="005A0315">
              <w:rPr>
                <w:rFonts w:ascii="Verdana" w:eastAsia="Times New Roman" w:hAnsi="Verdana" w:cs="Times New Roman"/>
                <w:b/>
                <w:sz w:val="16"/>
                <w:szCs w:val="16"/>
                <w:lang w:eastAsia="en-AU"/>
              </w:rPr>
              <w:t>HCFC-122</w:t>
            </w:r>
          </w:p>
        </w:tc>
        <w:tc>
          <w:tcPr>
            <w:tcW w:w="510" w:type="pct"/>
            <w:vAlign w:val="center"/>
          </w:tcPr>
          <w:p w14:paraId="1D89ACCB" w14:textId="77777777" w:rsidR="00C36037" w:rsidRDefault="00C36037" w:rsidP="009A4934">
            <w:pPr>
              <w:spacing w:before="60" w:after="60"/>
              <w:jc w:val="center"/>
              <w:textAlignment w:val="baseline"/>
              <w:rPr>
                <w:rFonts w:ascii="Verdana" w:eastAsia="Times New Roman" w:hAnsi="Verdana" w:cs="Times New Roman"/>
                <w:sz w:val="16"/>
                <w:szCs w:val="16"/>
                <w:lang w:eastAsia="en-AU"/>
              </w:rPr>
            </w:pPr>
            <w:r>
              <w:rPr>
                <w:rFonts w:ascii="Verdana" w:eastAsia="Times New Roman" w:hAnsi="Verdana" w:cs="Times New Roman"/>
                <w:sz w:val="16"/>
                <w:szCs w:val="16"/>
                <w:lang w:eastAsia="en-AU"/>
              </w:rPr>
              <w:t>0</w:t>
            </w:r>
          </w:p>
        </w:tc>
        <w:tc>
          <w:tcPr>
            <w:tcW w:w="510" w:type="pct"/>
            <w:vAlign w:val="center"/>
          </w:tcPr>
          <w:p w14:paraId="45B6B4D9" w14:textId="77777777" w:rsidR="00C36037" w:rsidRDefault="00C36037" w:rsidP="009A4934">
            <w:pPr>
              <w:spacing w:before="60" w:after="60"/>
              <w:jc w:val="center"/>
              <w:textAlignment w:val="baseline"/>
              <w:rPr>
                <w:rFonts w:ascii="Verdana" w:eastAsia="Times New Roman" w:hAnsi="Verdana" w:cs="Times New Roman"/>
                <w:sz w:val="16"/>
                <w:szCs w:val="16"/>
                <w:lang w:eastAsia="en-AU"/>
              </w:rPr>
            </w:pPr>
            <w:r>
              <w:rPr>
                <w:rFonts w:ascii="Verdana" w:eastAsia="Times New Roman" w:hAnsi="Verdana" w:cs="Times New Roman"/>
                <w:sz w:val="16"/>
                <w:szCs w:val="16"/>
                <w:lang w:eastAsia="en-AU"/>
              </w:rPr>
              <w:t>0</w:t>
            </w:r>
          </w:p>
        </w:tc>
        <w:tc>
          <w:tcPr>
            <w:tcW w:w="510" w:type="pct"/>
            <w:vAlign w:val="center"/>
          </w:tcPr>
          <w:p w14:paraId="0D44BF27" w14:textId="77777777" w:rsidR="00C36037" w:rsidRDefault="00C36037" w:rsidP="009A4934">
            <w:pPr>
              <w:spacing w:before="60" w:after="60"/>
              <w:jc w:val="center"/>
              <w:textAlignment w:val="baseline"/>
              <w:rPr>
                <w:rFonts w:ascii="Verdana" w:eastAsia="Times New Roman" w:hAnsi="Verdana" w:cs="Times New Roman"/>
                <w:sz w:val="16"/>
                <w:szCs w:val="16"/>
                <w:lang w:eastAsia="en-AU"/>
              </w:rPr>
            </w:pPr>
            <w:r>
              <w:rPr>
                <w:rFonts w:ascii="Verdana" w:eastAsia="Times New Roman" w:hAnsi="Verdana" w:cs="Times New Roman"/>
                <w:sz w:val="16"/>
                <w:szCs w:val="16"/>
                <w:lang w:eastAsia="en-AU"/>
              </w:rPr>
              <w:t>0</w:t>
            </w:r>
          </w:p>
        </w:tc>
        <w:tc>
          <w:tcPr>
            <w:tcW w:w="510" w:type="pct"/>
            <w:vAlign w:val="center"/>
          </w:tcPr>
          <w:p w14:paraId="2165F83D" w14:textId="77777777" w:rsidR="00C36037" w:rsidRDefault="00C36037" w:rsidP="009A4934">
            <w:pPr>
              <w:spacing w:before="60" w:after="60"/>
              <w:jc w:val="center"/>
              <w:textAlignment w:val="baseline"/>
              <w:rPr>
                <w:rFonts w:ascii="Verdana" w:eastAsia="Times New Roman" w:hAnsi="Verdana" w:cs="Times New Roman"/>
                <w:sz w:val="16"/>
                <w:szCs w:val="16"/>
                <w:lang w:eastAsia="en-AU"/>
              </w:rPr>
            </w:pPr>
            <w:r>
              <w:rPr>
                <w:rFonts w:ascii="Verdana" w:eastAsia="Times New Roman" w:hAnsi="Verdana" w:cs="Times New Roman"/>
                <w:sz w:val="16"/>
                <w:szCs w:val="16"/>
                <w:lang w:eastAsia="en-AU"/>
              </w:rPr>
              <w:t>0</w:t>
            </w:r>
          </w:p>
        </w:tc>
        <w:tc>
          <w:tcPr>
            <w:tcW w:w="510" w:type="pct"/>
            <w:vAlign w:val="center"/>
          </w:tcPr>
          <w:p w14:paraId="5FF0F10F" w14:textId="77777777" w:rsidR="00C36037" w:rsidRDefault="00C36037" w:rsidP="009A4934">
            <w:pPr>
              <w:spacing w:before="60" w:after="60"/>
              <w:jc w:val="center"/>
              <w:textAlignment w:val="baseline"/>
              <w:rPr>
                <w:rFonts w:ascii="Verdana" w:eastAsia="Times New Roman" w:hAnsi="Verdana" w:cs="Times New Roman"/>
                <w:sz w:val="16"/>
                <w:szCs w:val="16"/>
                <w:lang w:eastAsia="en-AU"/>
              </w:rPr>
            </w:pPr>
            <w:r>
              <w:rPr>
                <w:rFonts w:ascii="Verdana" w:eastAsia="Times New Roman" w:hAnsi="Verdana" w:cs="Times New Roman"/>
                <w:sz w:val="16"/>
                <w:szCs w:val="16"/>
                <w:lang w:eastAsia="en-AU"/>
              </w:rPr>
              <w:t>0.08</w:t>
            </w:r>
          </w:p>
        </w:tc>
        <w:tc>
          <w:tcPr>
            <w:tcW w:w="510" w:type="pct"/>
          </w:tcPr>
          <w:p w14:paraId="48CE1E7B" w14:textId="08F1B212" w:rsidR="00C36037" w:rsidRDefault="00C36037" w:rsidP="009A4934">
            <w:pPr>
              <w:spacing w:before="60" w:after="60"/>
              <w:jc w:val="center"/>
              <w:textAlignment w:val="baseline"/>
              <w:rPr>
                <w:rFonts w:ascii="Verdana" w:eastAsia="Times New Roman" w:hAnsi="Verdana" w:cs="Times New Roman"/>
                <w:sz w:val="16"/>
                <w:szCs w:val="16"/>
                <w:lang w:eastAsia="en-AU"/>
              </w:rPr>
            </w:pPr>
            <w:r>
              <w:rPr>
                <w:rFonts w:ascii="Verdana" w:eastAsia="Times New Roman" w:hAnsi="Verdana" w:cs="Times New Roman"/>
                <w:sz w:val="16"/>
                <w:szCs w:val="16"/>
                <w:lang w:eastAsia="en-AU"/>
              </w:rPr>
              <w:t>0</w:t>
            </w:r>
          </w:p>
        </w:tc>
        <w:tc>
          <w:tcPr>
            <w:tcW w:w="510" w:type="pct"/>
          </w:tcPr>
          <w:p w14:paraId="10F4BE8A" w14:textId="41FCB224" w:rsidR="00C36037" w:rsidRDefault="00C36037" w:rsidP="009A4934">
            <w:pPr>
              <w:spacing w:before="60" w:after="60"/>
              <w:jc w:val="center"/>
              <w:textAlignment w:val="baseline"/>
              <w:rPr>
                <w:rFonts w:ascii="Verdana" w:eastAsia="Times New Roman" w:hAnsi="Verdana" w:cs="Times New Roman"/>
                <w:sz w:val="16"/>
                <w:szCs w:val="16"/>
                <w:lang w:eastAsia="en-AU"/>
              </w:rPr>
            </w:pPr>
            <w:r>
              <w:rPr>
                <w:rFonts w:ascii="Verdana" w:eastAsia="Times New Roman" w:hAnsi="Verdana" w:cs="Times New Roman"/>
                <w:sz w:val="16"/>
                <w:szCs w:val="16"/>
                <w:lang w:eastAsia="en-AU"/>
              </w:rPr>
              <w:t>0</w:t>
            </w:r>
          </w:p>
        </w:tc>
        <w:tc>
          <w:tcPr>
            <w:tcW w:w="509" w:type="pct"/>
          </w:tcPr>
          <w:p w14:paraId="39A4E594" w14:textId="6390893B" w:rsidR="00C36037" w:rsidRDefault="00466847" w:rsidP="009A4934">
            <w:pPr>
              <w:spacing w:before="60" w:after="60"/>
              <w:jc w:val="center"/>
              <w:textAlignment w:val="baseline"/>
              <w:rPr>
                <w:rFonts w:ascii="Verdana" w:eastAsia="Times New Roman" w:hAnsi="Verdana" w:cs="Times New Roman"/>
                <w:sz w:val="16"/>
                <w:szCs w:val="16"/>
                <w:lang w:eastAsia="en-AU"/>
              </w:rPr>
            </w:pPr>
            <w:r>
              <w:rPr>
                <w:rFonts w:ascii="Verdana" w:eastAsia="Times New Roman" w:hAnsi="Verdana" w:cs="Times New Roman"/>
                <w:sz w:val="16"/>
                <w:szCs w:val="16"/>
                <w:lang w:eastAsia="en-AU"/>
              </w:rPr>
              <w:t>0</w:t>
            </w:r>
          </w:p>
        </w:tc>
      </w:tr>
    </w:tbl>
    <w:p w14:paraId="367FCE99" w14:textId="77777777" w:rsidR="00E62A2A" w:rsidRDefault="00E62A2A" w:rsidP="00CB4CA0">
      <w:pPr>
        <w:spacing w:after="0"/>
        <w:ind w:left="-210"/>
        <w:textAlignment w:val="baseline"/>
        <w:rPr>
          <w:rFonts w:ascii="Verdana" w:eastAsia="Times New Roman" w:hAnsi="Verdana" w:cs="Times New Roman"/>
          <w:sz w:val="19"/>
          <w:szCs w:val="19"/>
          <w:lang w:eastAsia="en-AU"/>
        </w:rPr>
      </w:pPr>
    </w:p>
    <w:p w14:paraId="3EDDAE7D" w14:textId="3C29AA1A" w:rsidR="00CB4CA0" w:rsidRDefault="00CB4CA0" w:rsidP="00CB1134">
      <w:pPr>
        <w:keepNext/>
        <w:spacing w:after="0"/>
        <w:textAlignment w:val="baseline"/>
        <w:rPr>
          <w:rFonts w:ascii="Verdana" w:eastAsia="Times New Roman" w:hAnsi="Verdana" w:cs="Times New Roman"/>
          <w:sz w:val="19"/>
          <w:szCs w:val="19"/>
          <w:u w:val="single"/>
          <w:lang w:eastAsia="en-AU"/>
        </w:rPr>
      </w:pPr>
      <w:r>
        <w:rPr>
          <w:rFonts w:ascii="Verdana" w:eastAsia="Times New Roman" w:hAnsi="Verdana" w:cs="Times New Roman"/>
          <w:sz w:val="19"/>
          <w:szCs w:val="19"/>
          <w:u w:val="single"/>
          <w:lang w:eastAsia="en-AU"/>
        </w:rPr>
        <w:lastRenderedPageBreak/>
        <w:t xml:space="preserve">Graph </w:t>
      </w:r>
      <w:r w:rsidR="009B2E3D">
        <w:rPr>
          <w:rFonts w:ascii="Verdana" w:eastAsia="Times New Roman" w:hAnsi="Verdana" w:cs="Times New Roman"/>
          <w:sz w:val="19"/>
          <w:szCs w:val="19"/>
          <w:u w:val="single"/>
          <w:lang w:eastAsia="en-AU"/>
        </w:rPr>
        <w:t>5</w:t>
      </w:r>
      <w:r>
        <w:rPr>
          <w:rFonts w:ascii="Verdana" w:eastAsia="Times New Roman" w:hAnsi="Verdana" w:cs="Times New Roman"/>
          <w:sz w:val="19"/>
          <w:szCs w:val="19"/>
          <w:u w:val="single"/>
          <w:lang w:eastAsia="en-AU"/>
        </w:rPr>
        <w:t xml:space="preserve"> – </w:t>
      </w:r>
      <w:r w:rsidR="009A4934">
        <w:rPr>
          <w:rFonts w:ascii="Verdana" w:eastAsia="Times New Roman" w:hAnsi="Verdana" w:cs="Times New Roman"/>
          <w:sz w:val="19"/>
          <w:szCs w:val="19"/>
          <w:u w:val="single"/>
          <w:lang w:eastAsia="en-AU"/>
        </w:rPr>
        <w:t>HCFC Equipment imports from 2010</w:t>
      </w:r>
      <w:r>
        <w:rPr>
          <w:rFonts w:ascii="Verdana" w:eastAsia="Times New Roman" w:hAnsi="Verdana" w:cs="Times New Roman"/>
          <w:sz w:val="19"/>
          <w:szCs w:val="19"/>
          <w:u w:val="single"/>
          <w:lang w:eastAsia="en-AU"/>
        </w:rPr>
        <w:t xml:space="preserve"> to</w:t>
      </w:r>
      <w:r w:rsidR="009A4934">
        <w:rPr>
          <w:rFonts w:ascii="Verdana" w:eastAsia="Times New Roman" w:hAnsi="Verdana" w:cs="Times New Roman"/>
          <w:sz w:val="19"/>
          <w:szCs w:val="19"/>
          <w:u w:val="single"/>
          <w:lang w:eastAsia="en-AU"/>
        </w:rPr>
        <w:t xml:space="preserve"> 201</w:t>
      </w:r>
      <w:r w:rsidR="00C36037">
        <w:rPr>
          <w:rFonts w:ascii="Verdana" w:eastAsia="Times New Roman" w:hAnsi="Verdana" w:cs="Times New Roman"/>
          <w:sz w:val="19"/>
          <w:szCs w:val="19"/>
          <w:u w:val="single"/>
          <w:lang w:eastAsia="en-AU"/>
        </w:rPr>
        <w:t>9</w:t>
      </w:r>
      <w:r>
        <w:rPr>
          <w:rFonts w:ascii="Verdana" w:eastAsia="Times New Roman" w:hAnsi="Verdana" w:cs="Times New Roman"/>
          <w:sz w:val="19"/>
          <w:szCs w:val="19"/>
          <w:u w:val="single"/>
          <w:lang w:eastAsia="en-AU"/>
        </w:rPr>
        <w:t xml:space="preserve"> (excluding HCFC-22 equipment)</w:t>
      </w:r>
    </w:p>
    <w:p w14:paraId="7485BFB5" w14:textId="6A626742" w:rsidR="005A0315" w:rsidRDefault="00F96A51" w:rsidP="00CB1134">
      <w:pPr>
        <w:keepNext/>
        <w:spacing w:after="0"/>
        <w:textAlignment w:val="baseline"/>
        <w:rPr>
          <w:rFonts w:ascii="Verdana" w:eastAsia="Times New Roman" w:hAnsi="Verdana" w:cs="Times New Roman"/>
          <w:i/>
          <w:sz w:val="16"/>
          <w:szCs w:val="16"/>
          <w:lang w:eastAsia="en-AU"/>
        </w:rPr>
      </w:pPr>
      <w:r>
        <w:rPr>
          <w:noProof/>
          <w:lang w:eastAsia="en-AU"/>
        </w:rPr>
        <w:drawing>
          <wp:inline distT="0" distB="0" distL="0" distR="0" wp14:anchorId="5C2051CD" wp14:editId="3C0151DB">
            <wp:extent cx="5657850" cy="2828925"/>
            <wp:effectExtent l="0" t="0" r="0" b="9525"/>
            <wp:docPr id="25" name="Chart 25" descr="Graph 5 shows a bar graph of the amount of HCFC equipment, excluding HCFC 22, in Ozone Depleting Potential tonnes imported into Australia by year from 2010 to 2019. The values range from a peak of over 1.2 Ozone Depleting Potential tonnes imported in 2010 steadily declining to less than 0.2 Ozone Depleting Potential tonnes imported from 2015 onwards.">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8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2E6F839" w14:textId="77777777" w:rsidR="00E62A2A" w:rsidRDefault="00E62A2A" w:rsidP="005A0315">
      <w:pPr>
        <w:spacing w:after="0"/>
        <w:ind w:left="-210"/>
        <w:textAlignment w:val="baseline"/>
        <w:rPr>
          <w:rFonts w:ascii="Verdana" w:eastAsia="Times New Roman" w:hAnsi="Verdana" w:cs="Times New Roman"/>
          <w:i/>
          <w:sz w:val="16"/>
          <w:szCs w:val="16"/>
          <w:lang w:eastAsia="en-AU"/>
        </w:rPr>
      </w:pPr>
    </w:p>
    <w:p w14:paraId="3EDDAE81" w14:textId="77777777" w:rsidR="00CB4CA0" w:rsidRPr="00CB4CA0" w:rsidRDefault="00CB4CA0" w:rsidP="00CB1134">
      <w:pPr>
        <w:spacing w:after="120"/>
        <w:textAlignment w:val="baseline"/>
        <w:rPr>
          <w:rFonts w:ascii="Verdana" w:eastAsia="Times New Roman" w:hAnsi="Verdana" w:cs="Times New Roman"/>
          <w:b/>
          <w:sz w:val="19"/>
          <w:szCs w:val="19"/>
          <w:lang w:eastAsia="en-AU"/>
        </w:rPr>
      </w:pPr>
      <w:r w:rsidRPr="0036697B">
        <w:rPr>
          <w:rFonts w:ascii="Verdana" w:eastAsia="Times New Roman" w:hAnsi="Verdana" w:cs="Times New Roman"/>
          <w:b/>
          <w:sz w:val="19"/>
          <w:szCs w:val="19"/>
          <w:lang w:eastAsia="en-AU"/>
        </w:rPr>
        <w:t>Destruction of HCFCs and CFC</w:t>
      </w:r>
      <w:r w:rsidR="00474AA4">
        <w:rPr>
          <w:rFonts w:ascii="Verdana" w:eastAsia="Times New Roman" w:hAnsi="Verdana" w:cs="Times New Roman"/>
          <w:b/>
          <w:sz w:val="19"/>
          <w:szCs w:val="19"/>
          <w:lang w:eastAsia="en-AU"/>
        </w:rPr>
        <w:t>s by Refrigerant</w:t>
      </w:r>
      <w:r w:rsidRPr="0036697B">
        <w:rPr>
          <w:rFonts w:ascii="Verdana" w:eastAsia="Times New Roman" w:hAnsi="Verdana" w:cs="Times New Roman"/>
          <w:b/>
          <w:sz w:val="19"/>
          <w:szCs w:val="19"/>
          <w:lang w:eastAsia="en-AU"/>
        </w:rPr>
        <w:t xml:space="preserve"> </w:t>
      </w:r>
      <w:r>
        <w:rPr>
          <w:rFonts w:ascii="Verdana" w:eastAsia="Times New Roman" w:hAnsi="Verdana" w:cs="Times New Roman"/>
          <w:b/>
          <w:sz w:val="19"/>
          <w:szCs w:val="19"/>
          <w:lang w:eastAsia="en-AU"/>
        </w:rPr>
        <w:t xml:space="preserve">Reclaim </w:t>
      </w:r>
      <w:r w:rsidRPr="0036697B">
        <w:rPr>
          <w:rFonts w:ascii="Verdana" w:eastAsia="Times New Roman" w:hAnsi="Verdana" w:cs="Times New Roman"/>
          <w:b/>
          <w:sz w:val="19"/>
          <w:szCs w:val="19"/>
          <w:lang w:eastAsia="en-AU"/>
        </w:rPr>
        <w:t>Australia</w:t>
      </w:r>
    </w:p>
    <w:p w14:paraId="3EDDAE82" w14:textId="5D8D89A8" w:rsidR="00854B34" w:rsidRDefault="00E965B1" w:rsidP="00CB1134">
      <w:pPr>
        <w:spacing w:after="120"/>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 xml:space="preserve">Under the product stewardship program run by Australian industry to manage </w:t>
      </w:r>
      <w:r w:rsidR="00312C6E">
        <w:rPr>
          <w:rFonts w:ascii="Verdana" w:eastAsia="Times New Roman" w:hAnsi="Verdana" w:cs="Times New Roman"/>
          <w:sz w:val="19"/>
          <w:szCs w:val="19"/>
          <w:lang w:eastAsia="en-AU"/>
        </w:rPr>
        <w:t xml:space="preserve">waste </w:t>
      </w:r>
      <w:r w:rsidR="00461410">
        <w:rPr>
          <w:rFonts w:ascii="Verdana" w:eastAsia="Times New Roman" w:hAnsi="Verdana" w:cs="Times New Roman"/>
          <w:sz w:val="19"/>
          <w:szCs w:val="19"/>
          <w:lang w:eastAsia="en-AU"/>
        </w:rPr>
        <w:t>refrigerants</w:t>
      </w:r>
      <w:r w:rsidR="003B4FA2">
        <w:rPr>
          <w:rFonts w:ascii="Verdana" w:eastAsia="Times New Roman" w:hAnsi="Verdana" w:cs="Times New Roman"/>
          <w:sz w:val="19"/>
          <w:szCs w:val="19"/>
          <w:lang w:eastAsia="en-AU"/>
        </w:rPr>
        <w:t xml:space="preserve"> </w:t>
      </w:r>
      <w:r>
        <w:rPr>
          <w:rFonts w:ascii="Verdana" w:eastAsia="Times New Roman" w:hAnsi="Verdana" w:cs="Times New Roman"/>
          <w:sz w:val="19"/>
          <w:szCs w:val="19"/>
          <w:lang w:eastAsia="en-AU"/>
        </w:rPr>
        <w:t xml:space="preserve">at end of their life, </w:t>
      </w:r>
      <w:r w:rsidR="00461410">
        <w:rPr>
          <w:rFonts w:ascii="Verdana" w:eastAsia="Times New Roman" w:hAnsi="Verdana" w:cs="Times New Roman"/>
          <w:sz w:val="19"/>
          <w:szCs w:val="19"/>
          <w:lang w:eastAsia="en-AU"/>
        </w:rPr>
        <w:t xml:space="preserve">thousands </w:t>
      </w:r>
      <w:r>
        <w:rPr>
          <w:rFonts w:ascii="Verdana" w:eastAsia="Times New Roman" w:hAnsi="Verdana" w:cs="Times New Roman"/>
          <w:sz w:val="19"/>
          <w:szCs w:val="19"/>
          <w:lang w:eastAsia="en-AU"/>
        </w:rPr>
        <w:t>of tonnes of HCFC</w:t>
      </w:r>
      <w:r w:rsidR="00792E16">
        <w:rPr>
          <w:rFonts w:ascii="Verdana" w:eastAsia="Times New Roman" w:hAnsi="Verdana" w:cs="Times New Roman"/>
          <w:sz w:val="19"/>
          <w:szCs w:val="19"/>
          <w:lang w:eastAsia="en-AU"/>
        </w:rPr>
        <w:t>s</w:t>
      </w:r>
      <w:r>
        <w:rPr>
          <w:rFonts w:ascii="Verdana" w:eastAsia="Times New Roman" w:hAnsi="Verdana" w:cs="Times New Roman"/>
          <w:sz w:val="19"/>
          <w:szCs w:val="19"/>
          <w:lang w:eastAsia="en-AU"/>
        </w:rPr>
        <w:t xml:space="preserve"> </w:t>
      </w:r>
      <w:r w:rsidR="003B4FA2">
        <w:rPr>
          <w:rFonts w:ascii="Verdana" w:eastAsia="Times New Roman" w:hAnsi="Verdana" w:cs="Times New Roman"/>
          <w:sz w:val="19"/>
          <w:szCs w:val="19"/>
          <w:lang w:eastAsia="en-AU"/>
        </w:rPr>
        <w:t>and CFC</w:t>
      </w:r>
      <w:r w:rsidR="00792E16">
        <w:rPr>
          <w:rFonts w:ascii="Verdana" w:eastAsia="Times New Roman" w:hAnsi="Verdana" w:cs="Times New Roman"/>
          <w:sz w:val="19"/>
          <w:szCs w:val="19"/>
          <w:lang w:eastAsia="en-AU"/>
        </w:rPr>
        <w:t>s</w:t>
      </w:r>
      <w:r w:rsidR="003B4FA2">
        <w:rPr>
          <w:rFonts w:ascii="Verdana" w:eastAsia="Times New Roman" w:hAnsi="Verdana" w:cs="Times New Roman"/>
          <w:sz w:val="19"/>
          <w:szCs w:val="19"/>
          <w:lang w:eastAsia="en-AU"/>
        </w:rPr>
        <w:t xml:space="preserve"> </w:t>
      </w:r>
      <w:r>
        <w:rPr>
          <w:rFonts w:ascii="Verdana" w:eastAsia="Times New Roman" w:hAnsi="Verdana" w:cs="Times New Roman"/>
          <w:sz w:val="19"/>
          <w:szCs w:val="19"/>
          <w:lang w:eastAsia="en-AU"/>
        </w:rPr>
        <w:t>have been destroyed after being returned to Refrige</w:t>
      </w:r>
      <w:r w:rsidR="00474AA4">
        <w:rPr>
          <w:rFonts w:ascii="Verdana" w:eastAsia="Times New Roman" w:hAnsi="Verdana" w:cs="Times New Roman"/>
          <w:sz w:val="19"/>
          <w:szCs w:val="19"/>
          <w:lang w:eastAsia="en-AU"/>
        </w:rPr>
        <w:t>rant</w:t>
      </w:r>
      <w:r w:rsidR="00854B34">
        <w:rPr>
          <w:rFonts w:ascii="Verdana" w:eastAsia="Times New Roman" w:hAnsi="Verdana" w:cs="Times New Roman"/>
          <w:sz w:val="19"/>
          <w:szCs w:val="19"/>
          <w:lang w:eastAsia="en-AU"/>
        </w:rPr>
        <w:t xml:space="preserve"> Reclaim Australia (RRA). </w:t>
      </w:r>
      <w:r w:rsidR="00792E16">
        <w:rPr>
          <w:rFonts w:ascii="Verdana" w:eastAsia="Times New Roman" w:hAnsi="Verdana" w:cs="Times New Roman"/>
          <w:sz w:val="19"/>
          <w:szCs w:val="19"/>
          <w:lang w:eastAsia="en-AU"/>
        </w:rPr>
        <w:t xml:space="preserve">RRA also collects and destroys waste </w:t>
      </w:r>
      <w:r w:rsidR="00D737C8">
        <w:rPr>
          <w:rFonts w:ascii="Verdana" w:eastAsia="Times New Roman" w:hAnsi="Verdana" w:cs="Times New Roman"/>
          <w:sz w:val="19"/>
          <w:szCs w:val="19"/>
          <w:lang w:eastAsia="en-AU"/>
        </w:rPr>
        <w:t>HFCs (</w:t>
      </w:r>
      <w:r w:rsidR="00792E16">
        <w:rPr>
          <w:rFonts w:ascii="Verdana" w:eastAsia="Times New Roman" w:hAnsi="Verdana" w:cs="Times New Roman"/>
          <w:sz w:val="19"/>
          <w:szCs w:val="19"/>
          <w:lang w:eastAsia="en-AU"/>
        </w:rPr>
        <w:t>hydrofluorocarbon</w:t>
      </w:r>
      <w:r w:rsidR="00474AA4">
        <w:rPr>
          <w:rFonts w:ascii="Verdana" w:eastAsia="Times New Roman" w:hAnsi="Verdana" w:cs="Times New Roman"/>
          <w:sz w:val="19"/>
          <w:szCs w:val="19"/>
          <w:lang w:eastAsia="en-AU"/>
        </w:rPr>
        <w:t>s</w:t>
      </w:r>
      <w:r w:rsidR="00D737C8">
        <w:rPr>
          <w:rFonts w:ascii="Verdana" w:eastAsia="Times New Roman" w:hAnsi="Verdana" w:cs="Times New Roman"/>
          <w:sz w:val="19"/>
          <w:szCs w:val="19"/>
          <w:lang w:eastAsia="en-AU"/>
        </w:rPr>
        <w:t>)</w:t>
      </w:r>
      <w:r w:rsidR="00792E16">
        <w:rPr>
          <w:rFonts w:ascii="Verdana" w:eastAsia="Times New Roman" w:hAnsi="Verdana" w:cs="Times New Roman"/>
          <w:sz w:val="19"/>
          <w:szCs w:val="19"/>
          <w:lang w:eastAsia="en-AU"/>
        </w:rPr>
        <w:t xml:space="preserve"> refrigerant. </w:t>
      </w:r>
      <w:r w:rsidR="00BC44B3">
        <w:rPr>
          <w:rFonts w:ascii="Verdana" w:eastAsia="Times New Roman" w:hAnsi="Verdana" w:cs="Times New Roman"/>
          <w:sz w:val="19"/>
          <w:szCs w:val="19"/>
          <w:lang w:eastAsia="en-AU"/>
        </w:rPr>
        <w:t>These substances are destroyed using Montreal Protocol approved technolog</w:t>
      </w:r>
      <w:r w:rsidR="00BD3A0E">
        <w:rPr>
          <w:rFonts w:ascii="Verdana" w:eastAsia="Times New Roman" w:hAnsi="Verdana" w:cs="Times New Roman"/>
          <w:sz w:val="19"/>
          <w:szCs w:val="19"/>
          <w:lang w:eastAsia="en-AU"/>
        </w:rPr>
        <w:t>ies</w:t>
      </w:r>
      <w:r w:rsidR="00BC44B3">
        <w:rPr>
          <w:rFonts w:ascii="Verdana" w:eastAsia="Times New Roman" w:hAnsi="Verdana" w:cs="Times New Roman"/>
          <w:sz w:val="19"/>
          <w:szCs w:val="19"/>
          <w:lang w:eastAsia="en-AU"/>
        </w:rPr>
        <w:t xml:space="preserve">. </w:t>
      </w:r>
    </w:p>
    <w:p w14:paraId="3EDDAE83" w14:textId="4A0824A3" w:rsidR="00F23365" w:rsidRDefault="0025705C" w:rsidP="00CB1134">
      <w:pPr>
        <w:spacing w:after="120"/>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G</w:t>
      </w:r>
      <w:r w:rsidR="00E965B1">
        <w:rPr>
          <w:rFonts w:ascii="Verdana" w:eastAsia="Times New Roman" w:hAnsi="Verdana" w:cs="Times New Roman"/>
          <w:sz w:val="19"/>
          <w:szCs w:val="19"/>
          <w:lang w:eastAsia="en-AU"/>
        </w:rPr>
        <w:t xml:space="preserve">raph </w:t>
      </w:r>
      <w:r w:rsidR="009B2E3D">
        <w:rPr>
          <w:rFonts w:ascii="Verdana" w:eastAsia="Times New Roman" w:hAnsi="Verdana" w:cs="Times New Roman"/>
          <w:sz w:val="19"/>
          <w:szCs w:val="19"/>
          <w:lang w:eastAsia="en-AU"/>
        </w:rPr>
        <w:t>6</w:t>
      </w:r>
      <w:r>
        <w:rPr>
          <w:rFonts w:ascii="Verdana" w:eastAsia="Times New Roman" w:hAnsi="Verdana" w:cs="Times New Roman"/>
          <w:sz w:val="19"/>
          <w:szCs w:val="19"/>
          <w:lang w:eastAsia="en-AU"/>
        </w:rPr>
        <w:t xml:space="preserve"> </w:t>
      </w:r>
      <w:r w:rsidR="00E965B1">
        <w:rPr>
          <w:rFonts w:ascii="Verdana" w:eastAsia="Times New Roman" w:hAnsi="Verdana" w:cs="Times New Roman"/>
          <w:sz w:val="19"/>
          <w:szCs w:val="19"/>
          <w:lang w:eastAsia="en-AU"/>
        </w:rPr>
        <w:t>charts the amount of HCFC</w:t>
      </w:r>
      <w:r w:rsidR="00CA7DD4">
        <w:rPr>
          <w:rFonts w:ascii="Verdana" w:eastAsia="Times New Roman" w:hAnsi="Verdana" w:cs="Times New Roman"/>
          <w:sz w:val="19"/>
          <w:szCs w:val="19"/>
          <w:lang w:eastAsia="en-AU"/>
        </w:rPr>
        <w:t>s</w:t>
      </w:r>
      <w:r w:rsidR="00E965B1">
        <w:rPr>
          <w:rFonts w:ascii="Verdana" w:eastAsia="Times New Roman" w:hAnsi="Verdana" w:cs="Times New Roman"/>
          <w:sz w:val="19"/>
          <w:szCs w:val="19"/>
          <w:lang w:eastAsia="en-AU"/>
        </w:rPr>
        <w:t xml:space="preserve"> </w:t>
      </w:r>
      <w:r w:rsidR="003B4FA2">
        <w:rPr>
          <w:rFonts w:ascii="Verdana" w:eastAsia="Times New Roman" w:hAnsi="Verdana" w:cs="Times New Roman"/>
          <w:sz w:val="19"/>
          <w:szCs w:val="19"/>
          <w:lang w:eastAsia="en-AU"/>
        </w:rPr>
        <w:t>and CFC</w:t>
      </w:r>
      <w:r w:rsidR="00CA7DD4">
        <w:rPr>
          <w:rFonts w:ascii="Verdana" w:eastAsia="Times New Roman" w:hAnsi="Verdana" w:cs="Times New Roman"/>
          <w:sz w:val="19"/>
          <w:szCs w:val="19"/>
          <w:lang w:eastAsia="en-AU"/>
        </w:rPr>
        <w:t>s</w:t>
      </w:r>
      <w:r w:rsidR="003B4FA2">
        <w:rPr>
          <w:rFonts w:ascii="Verdana" w:eastAsia="Times New Roman" w:hAnsi="Verdana" w:cs="Times New Roman"/>
          <w:sz w:val="19"/>
          <w:szCs w:val="19"/>
          <w:lang w:eastAsia="en-AU"/>
        </w:rPr>
        <w:t xml:space="preserve"> </w:t>
      </w:r>
      <w:r>
        <w:rPr>
          <w:rFonts w:ascii="Verdana" w:eastAsia="Times New Roman" w:hAnsi="Verdana" w:cs="Times New Roman"/>
          <w:sz w:val="19"/>
          <w:szCs w:val="19"/>
          <w:lang w:eastAsia="en-AU"/>
        </w:rPr>
        <w:t>destroyed since 2005</w:t>
      </w:r>
      <w:r w:rsidR="00E965B1">
        <w:rPr>
          <w:rFonts w:ascii="Verdana" w:eastAsia="Times New Roman" w:hAnsi="Verdana" w:cs="Times New Roman"/>
          <w:sz w:val="19"/>
          <w:szCs w:val="19"/>
          <w:lang w:eastAsia="en-AU"/>
        </w:rPr>
        <w:t>. The reduced amoun</w:t>
      </w:r>
      <w:r w:rsidR="006E5699">
        <w:rPr>
          <w:rFonts w:ascii="Verdana" w:eastAsia="Times New Roman" w:hAnsi="Verdana" w:cs="Times New Roman"/>
          <w:sz w:val="19"/>
          <w:szCs w:val="19"/>
          <w:lang w:eastAsia="en-AU"/>
        </w:rPr>
        <w:t xml:space="preserve">ts of HCFC destroyed </w:t>
      </w:r>
      <w:r w:rsidR="00C37A24">
        <w:rPr>
          <w:rFonts w:ascii="Verdana" w:eastAsia="Times New Roman" w:hAnsi="Verdana" w:cs="Times New Roman"/>
          <w:sz w:val="19"/>
          <w:szCs w:val="19"/>
          <w:lang w:eastAsia="en-AU"/>
        </w:rPr>
        <w:t>from 2012 onwards</w:t>
      </w:r>
      <w:r w:rsidR="006E5699">
        <w:rPr>
          <w:rFonts w:ascii="Verdana" w:eastAsia="Times New Roman" w:hAnsi="Verdana" w:cs="Times New Roman"/>
          <w:sz w:val="19"/>
          <w:szCs w:val="19"/>
          <w:lang w:eastAsia="en-AU"/>
        </w:rPr>
        <w:t xml:space="preserve"> </w:t>
      </w:r>
      <w:r w:rsidR="00E965B1">
        <w:rPr>
          <w:rFonts w:ascii="Verdana" w:eastAsia="Times New Roman" w:hAnsi="Verdana" w:cs="Times New Roman"/>
          <w:sz w:val="19"/>
          <w:szCs w:val="19"/>
          <w:lang w:eastAsia="en-AU"/>
        </w:rPr>
        <w:t xml:space="preserve">reflect </w:t>
      </w:r>
      <w:r w:rsidR="00DE4588">
        <w:rPr>
          <w:rFonts w:ascii="Verdana" w:eastAsia="Times New Roman" w:hAnsi="Verdana" w:cs="Times New Roman"/>
          <w:sz w:val="19"/>
          <w:szCs w:val="19"/>
          <w:lang w:eastAsia="en-AU"/>
        </w:rPr>
        <w:t xml:space="preserve">the </w:t>
      </w:r>
      <w:r w:rsidR="00D737C8">
        <w:rPr>
          <w:rFonts w:ascii="Verdana" w:eastAsia="Times New Roman" w:hAnsi="Verdana" w:cs="Times New Roman"/>
          <w:sz w:val="19"/>
          <w:szCs w:val="19"/>
          <w:lang w:eastAsia="en-AU"/>
        </w:rPr>
        <w:t>greater re-use of recovered HCFCs as import limits reduce</w:t>
      </w:r>
      <w:r w:rsidR="00423E2C">
        <w:rPr>
          <w:rFonts w:ascii="Verdana" w:eastAsia="Times New Roman" w:hAnsi="Verdana" w:cs="Times New Roman"/>
          <w:sz w:val="19"/>
          <w:szCs w:val="19"/>
          <w:lang w:eastAsia="en-AU"/>
        </w:rPr>
        <w:t>.</w:t>
      </w:r>
      <w:r w:rsidR="00BC44B3">
        <w:rPr>
          <w:rFonts w:ascii="Verdana" w:eastAsia="Times New Roman" w:hAnsi="Verdana" w:cs="Times New Roman"/>
          <w:sz w:val="19"/>
          <w:szCs w:val="19"/>
          <w:lang w:eastAsia="en-AU"/>
        </w:rPr>
        <w:t xml:space="preserve"> </w:t>
      </w:r>
      <w:r w:rsidR="00EF348D">
        <w:rPr>
          <w:rFonts w:ascii="Verdana" w:eastAsia="Times New Roman" w:hAnsi="Verdana" w:cs="Times New Roman"/>
          <w:sz w:val="19"/>
          <w:szCs w:val="19"/>
          <w:lang w:eastAsia="en-AU"/>
        </w:rPr>
        <w:t>D</w:t>
      </w:r>
      <w:r w:rsidR="00854B34">
        <w:rPr>
          <w:rFonts w:ascii="Verdana" w:eastAsia="Times New Roman" w:hAnsi="Verdana" w:cs="Times New Roman"/>
          <w:sz w:val="19"/>
          <w:szCs w:val="19"/>
          <w:lang w:eastAsia="en-AU"/>
        </w:rPr>
        <w:t>espite imports of CFC</w:t>
      </w:r>
      <w:r w:rsidR="00CA7DD4">
        <w:rPr>
          <w:rFonts w:ascii="Verdana" w:eastAsia="Times New Roman" w:hAnsi="Verdana" w:cs="Times New Roman"/>
          <w:sz w:val="19"/>
          <w:szCs w:val="19"/>
          <w:lang w:eastAsia="en-AU"/>
        </w:rPr>
        <w:t>s</w:t>
      </w:r>
      <w:r w:rsidR="00854B34">
        <w:rPr>
          <w:rFonts w:ascii="Verdana" w:eastAsia="Times New Roman" w:hAnsi="Verdana" w:cs="Times New Roman"/>
          <w:sz w:val="19"/>
          <w:szCs w:val="19"/>
          <w:lang w:eastAsia="en-AU"/>
        </w:rPr>
        <w:t xml:space="preserve"> b</w:t>
      </w:r>
      <w:r w:rsidR="00BC44B3">
        <w:rPr>
          <w:rFonts w:ascii="Verdana" w:eastAsia="Times New Roman" w:hAnsi="Verdana" w:cs="Times New Roman"/>
          <w:sz w:val="19"/>
          <w:szCs w:val="19"/>
          <w:lang w:eastAsia="en-AU"/>
        </w:rPr>
        <w:t xml:space="preserve">eing banned </w:t>
      </w:r>
      <w:r w:rsidR="00CA7DD4">
        <w:rPr>
          <w:rFonts w:ascii="Verdana" w:eastAsia="Times New Roman" w:hAnsi="Verdana" w:cs="Times New Roman"/>
          <w:sz w:val="19"/>
          <w:szCs w:val="19"/>
          <w:lang w:eastAsia="en-AU"/>
        </w:rPr>
        <w:t>from</w:t>
      </w:r>
      <w:r w:rsidR="00BC44B3">
        <w:rPr>
          <w:rFonts w:ascii="Verdana" w:eastAsia="Times New Roman" w:hAnsi="Verdana" w:cs="Times New Roman"/>
          <w:sz w:val="19"/>
          <w:szCs w:val="19"/>
          <w:lang w:eastAsia="en-AU"/>
        </w:rPr>
        <w:t xml:space="preserve"> 1996, there are still tonnes of CFC being </w:t>
      </w:r>
      <w:r w:rsidR="00B554C6">
        <w:rPr>
          <w:rFonts w:ascii="Verdana" w:eastAsia="Times New Roman" w:hAnsi="Verdana" w:cs="Times New Roman"/>
          <w:sz w:val="19"/>
          <w:szCs w:val="19"/>
          <w:lang w:eastAsia="en-AU"/>
        </w:rPr>
        <w:t>returned</w:t>
      </w:r>
      <w:r w:rsidR="00BC44B3">
        <w:rPr>
          <w:rFonts w:ascii="Verdana" w:eastAsia="Times New Roman" w:hAnsi="Verdana" w:cs="Times New Roman"/>
          <w:sz w:val="19"/>
          <w:szCs w:val="19"/>
          <w:lang w:eastAsia="en-AU"/>
        </w:rPr>
        <w:t xml:space="preserve"> for destruction, largely from </w:t>
      </w:r>
      <w:r w:rsidR="006E26B3">
        <w:rPr>
          <w:rFonts w:ascii="Verdana" w:eastAsia="Times New Roman" w:hAnsi="Verdana" w:cs="Times New Roman"/>
          <w:sz w:val="19"/>
          <w:szCs w:val="19"/>
          <w:lang w:eastAsia="en-AU"/>
        </w:rPr>
        <w:t xml:space="preserve">decommissioning of </w:t>
      </w:r>
      <w:r w:rsidR="00CA7DD4">
        <w:rPr>
          <w:rFonts w:ascii="Verdana" w:eastAsia="Times New Roman" w:hAnsi="Verdana" w:cs="Times New Roman"/>
          <w:sz w:val="19"/>
          <w:szCs w:val="19"/>
          <w:lang w:eastAsia="en-AU"/>
        </w:rPr>
        <w:t xml:space="preserve">old </w:t>
      </w:r>
      <w:r w:rsidR="00EF3319">
        <w:rPr>
          <w:rFonts w:ascii="Verdana" w:eastAsia="Times New Roman" w:hAnsi="Verdana" w:cs="Times New Roman"/>
          <w:sz w:val="19"/>
          <w:szCs w:val="19"/>
          <w:lang w:eastAsia="en-AU"/>
        </w:rPr>
        <w:t>equipment.</w:t>
      </w:r>
      <w:r w:rsidR="001B7E8A">
        <w:rPr>
          <w:rFonts w:ascii="Verdana" w:eastAsia="Times New Roman" w:hAnsi="Verdana" w:cs="Times New Roman"/>
          <w:sz w:val="19"/>
          <w:szCs w:val="19"/>
          <w:lang w:eastAsia="en-AU"/>
        </w:rPr>
        <w:t xml:space="preserve"> This data includes</w:t>
      </w:r>
      <w:r w:rsidR="00B600CC">
        <w:rPr>
          <w:rFonts w:ascii="Verdana" w:eastAsia="Times New Roman" w:hAnsi="Verdana" w:cs="Times New Roman"/>
          <w:sz w:val="19"/>
          <w:szCs w:val="19"/>
          <w:lang w:eastAsia="en-AU"/>
        </w:rPr>
        <w:t xml:space="preserve"> a small amount</w:t>
      </w:r>
      <w:r w:rsidR="001B7E8A">
        <w:rPr>
          <w:rFonts w:ascii="Verdana" w:eastAsia="Times New Roman" w:hAnsi="Verdana" w:cs="Times New Roman"/>
          <w:sz w:val="19"/>
          <w:szCs w:val="19"/>
          <w:lang w:eastAsia="en-AU"/>
        </w:rPr>
        <w:t xml:space="preserve"> used refrigerant imported from New Zealand for destruction. </w:t>
      </w:r>
    </w:p>
    <w:p w14:paraId="3EDDAE85" w14:textId="6303C5F3" w:rsidR="004B42FE" w:rsidRDefault="00CB4CA0" w:rsidP="00CB1134">
      <w:pPr>
        <w:spacing w:after="0"/>
        <w:textAlignment w:val="baseline"/>
        <w:rPr>
          <w:rFonts w:ascii="Verdana" w:eastAsia="Times New Roman" w:hAnsi="Verdana" w:cs="Times New Roman"/>
          <w:sz w:val="19"/>
          <w:szCs w:val="19"/>
          <w:u w:val="single"/>
          <w:lang w:eastAsia="en-AU"/>
        </w:rPr>
      </w:pPr>
      <w:r>
        <w:rPr>
          <w:rFonts w:ascii="Verdana" w:eastAsia="Times New Roman" w:hAnsi="Verdana" w:cs="Times New Roman"/>
          <w:sz w:val="19"/>
          <w:szCs w:val="19"/>
          <w:u w:val="single"/>
          <w:lang w:eastAsia="en-AU"/>
        </w:rPr>
        <w:t xml:space="preserve">Graph </w:t>
      </w:r>
      <w:r w:rsidR="009B2E3D">
        <w:rPr>
          <w:rFonts w:ascii="Verdana" w:eastAsia="Times New Roman" w:hAnsi="Verdana" w:cs="Times New Roman"/>
          <w:sz w:val="19"/>
          <w:szCs w:val="19"/>
          <w:u w:val="single"/>
          <w:lang w:eastAsia="en-AU"/>
        </w:rPr>
        <w:t>6</w:t>
      </w:r>
      <w:r w:rsidR="00065586" w:rsidRPr="00065586">
        <w:rPr>
          <w:rFonts w:ascii="Verdana" w:eastAsia="Times New Roman" w:hAnsi="Verdana" w:cs="Times New Roman"/>
          <w:sz w:val="19"/>
          <w:szCs w:val="19"/>
          <w:u w:val="single"/>
          <w:lang w:eastAsia="en-AU"/>
        </w:rPr>
        <w:t xml:space="preserve"> – HCFC and CFC destruction from 2005 </w:t>
      </w:r>
      <w:r w:rsidR="00065586" w:rsidRPr="00F4133B">
        <w:rPr>
          <w:rFonts w:ascii="Verdana" w:eastAsia="Times New Roman" w:hAnsi="Verdana" w:cs="Times New Roman"/>
          <w:sz w:val="19"/>
          <w:szCs w:val="19"/>
          <w:u w:val="single"/>
          <w:lang w:eastAsia="en-AU"/>
        </w:rPr>
        <w:t>to 201</w:t>
      </w:r>
      <w:r w:rsidR="00B422E1">
        <w:rPr>
          <w:rFonts w:ascii="Verdana" w:eastAsia="Times New Roman" w:hAnsi="Verdana" w:cs="Times New Roman"/>
          <w:sz w:val="19"/>
          <w:szCs w:val="19"/>
          <w:u w:val="single"/>
          <w:lang w:eastAsia="en-AU"/>
        </w:rPr>
        <w:t>9</w:t>
      </w:r>
    </w:p>
    <w:p w14:paraId="67E1CE13" w14:textId="6A43817F" w:rsidR="00C37A24" w:rsidRDefault="00A37B71" w:rsidP="00CB1134">
      <w:pPr>
        <w:spacing w:after="0"/>
        <w:textAlignment w:val="baseline"/>
        <w:rPr>
          <w:rFonts w:ascii="Verdana" w:eastAsia="Times New Roman" w:hAnsi="Verdana" w:cs="Times New Roman"/>
          <w:sz w:val="19"/>
          <w:szCs w:val="19"/>
          <w:u w:val="single"/>
          <w:lang w:eastAsia="en-AU"/>
        </w:rPr>
      </w:pPr>
      <w:r>
        <w:rPr>
          <w:noProof/>
          <w:lang w:eastAsia="en-AU"/>
        </w:rPr>
        <w:drawing>
          <wp:inline distT="0" distB="0" distL="0" distR="0" wp14:anchorId="3ACBCFC3" wp14:editId="6A2E1760">
            <wp:extent cx="5734050" cy="2628900"/>
            <wp:effectExtent l="0" t="0" r="0" b="0"/>
            <wp:docPr id="21" name="Chart 21" descr="Graph 6 shows a bar graph of the amount of HCFC and CFC in metric tonnes destroyed in Australia by year from 2005 to 2019. The values range from a peak of over 250 metric tonnes of HCFC destroyed  in 2011, steadily declining to less than 50 metric tonnes destroyed from 2015 onwards. Destruction of CFC peaked in 2006 with over 50 metric tonnes destroyed, declining to negligible levels by 20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A21B650" w14:textId="30B2FCDD" w:rsidR="00E62A2A" w:rsidRDefault="00E62A2A" w:rsidP="00E62A2A">
      <w:pPr>
        <w:spacing w:after="0"/>
        <w:ind w:left="-210"/>
        <w:textAlignment w:val="baseline"/>
        <w:rPr>
          <w:rFonts w:ascii="Verdana" w:eastAsia="Times New Roman" w:hAnsi="Verdana" w:cs="Times New Roman"/>
          <w:b/>
          <w:sz w:val="19"/>
          <w:szCs w:val="19"/>
          <w:lang w:eastAsia="en-AU"/>
        </w:rPr>
      </w:pPr>
    </w:p>
    <w:p w14:paraId="48F7B08C" w14:textId="2AC70611" w:rsidR="001B7E8A" w:rsidRPr="001B7E8A" w:rsidRDefault="001B7E8A" w:rsidP="007067ED">
      <w:pPr>
        <w:keepNext/>
        <w:spacing w:after="0"/>
        <w:textAlignment w:val="baseline"/>
        <w:rPr>
          <w:rFonts w:ascii="Verdana" w:eastAsia="Times New Roman" w:hAnsi="Verdana" w:cs="Times New Roman"/>
          <w:sz w:val="19"/>
          <w:szCs w:val="19"/>
          <w:u w:val="single"/>
          <w:lang w:eastAsia="en-AU"/>
        </w:rPr>
      </w:pPr>
      <w:r w:rsidRPr="001B7E8A">
        <w:rPr>
          <w:rFonts w:ascii="Verdana" w:eastAsia="Times New Roman" w:hAnsi="Verdana" w:cs="Times New Roman"/>
          <w:sz w:val="19"/>
          <w:szCs w:val="19"/>
          <w:u w:val="single"/>
          <w:lang w:eastAsia="en-AU"/>
        </w:rPr>
        <w:lastRenderedPageBreak/>
        <w:t xml:space="preserve">Table </w:t>
      </w:r>
      <w:r w:rsidR="00CB1134">
        <w:rPr>
          <w:rFonts w:ascii="Verdana" w:eastAsia="Times New Roman" w:hAnsi="Verdana" w:cs="Times New Roman"/>
          <w:sz w:val="19"/>
          <w:szCs w:val="19"/>
          <w:u w:val="single"/>
          <w:lang w:eastAsia="en-AU"/>
        </w:rPr>
        <w:t>4</w:t>
      </w:r>
      <w:r w:rsidRPr="001B7E8A">
        <w:rPr>
          <w:rFonts w:ascii="Verdana" w:eastAsia="Times New Roman" w:hAnsi="Verdana" w:cs="Times New Roman"/>
          <w:sz w:val="19"/>
          <w:szCs w:val="19"/>
          <w:u w:val="single"/>
          <w:lang w:eastAsia="en-AU"/>
        </w:rPr>
        <w:t xml:space="preserve"> – HCF</w:t>
      </w:r>
      <w:r w:rsidR="00C708E2">
        <w:rPr>
          <w:rFonts w:ascii="Verdana" w:eastAsia="Times New Roman" w:hAnsi="Verdana" w:cs="Times New Roman"/>
          <w:sz w:val="19"/>
          <w:szCs w:val="19"/>
          <w:u w:val="single"/>
          <w:lang w:eastAsia="en-AU"/>
        </w:rPr>
        <w:t>C and CFC destruction (20</w:t>
      </w:r>
      <w:r w:rsidR="00DA194B">
        <w:rPr>
          <w:rFonts w:ascii="Verdana" w:eastAsia="Times New Roman" w:hAnsi="Verdana" w:cs="Times New Roman"/>
          <w:sz w:val="19"/>
          <w:szCs w:val="19"/>
          <w:u w:val="single"/>
          <w:lang w:eastAsia="en-AU"/>
        </w:rPr>
        <w:t>10</w:t>
      </w:r>
      <w:r w:rsidR="00C708E2">
        <w:rPr>
          <w:rFonts w:ascii="Verdana" w:eastAsia="Times New Roman" w:hAnsi="Verdana" w:cs="Times New Roman"/>
          <w:sz w:val="19"/>
          <w:szCs w:val="19"/>
          <w:u w:val="single"/>
          <w:lang w:eastAsia="en-AU"/>
        </w:rPr>
        <w:t>-</w:t>
      </w:r>
      <w:r w:rsidR="00C708E2" w:rsidRPr="00F4133B">
        <w:rPr>
          <w:rFonts w:ascii="Verdana" w:eastAsia="Times New Roman" w:hAnsi="Verdana" w:cs="Times New Roman"/>
          <w:sz w:val="19"/>
          <w:szCs w:val="19"/>
          <w:u w:val="single"/>
          <w:lang w:eastAsia="en-AU"/>
        </w:rPr>
        <w:t>201</w:t>
      </w:r>
      <w:r w:rsidR="00C36037">
        <w:rPr>
          <w:rFonts w:ascii="Verdana" w:eastAsia="Times New Roman" w:hAnsi="Verdana" w:cs="Times New Roman"/>
          <w:sz w:val="19"/>
          <w:szCs w:val="19"/>
          <w:u w:val="single"/>
          <w:lang w:eastAsia="en-AU"/>
        </w:rPr>
        <w:t>9</w:t>
      </w:r>
      <w:r w:rsidRPr="00F4133B">
        <w:rPr>
          <w:rFonts w:ascii="Verdana" w:eastAsia="Times New Roman" w:hAnsi="Verdana" w:cs="Times New Roman"/>
          <w:sz w:val="19"/>
          <w:szCs w:val="19"/>
          <w:u w:val="single"/>
          <w:lang w:eastAsia="en-AU"/>
        </w:rPr>
        <w:t>)</w:t>
      </w:r>
    </w:p>
    <w:tbl>
      <w:tblPr>
        <w:tblStyle w:val="TableGrid"/>
        <w:tblW w:w="5003" w:type="pct"/>
        <w:tblInd w:w="-5" w:type="dxa"/>
        <w:tblLook w:val="04A0" w:firstRow="1" w:lastRow="0" w:firstColumn="1" w:lastColumn="0" w:noHBand="0" w:noVBand="1"/>
      </w:tblPr>
      <w:tblGrid>
        <w:gridCol w:w="1118"/>
        <w:gridCol w:w="791"/>
        <w:gridCol w:w="791"/>
        <w:gridCol w:w="791"/>
        <w:gridCol w:w="791"/>
        <w:gridCol w:w="791"/>
        <w:gridCol w:w="791"/>
        <w:gridCol w:w="791"/>
        <w:gridCol w:w="791"/>
        <w:gridCol w:w="790"/>
        <w:gridCol w:w="785"/>
      </w:tblGrid>
      <w:tr w:rsidR="00F96A51" w14:paraId="32E39C41" w14:textId="54A7E9D5" w:rsidTr="007067ED">
        <w:trPr>
          <w:trHeight w:val="454"/>
        </w:trPr>
        <w:tc>
          <w:tcPr>
            <w:tcW w:w="619" w:type="pct"/>
            <w:vAlign w:val="center"/>
          </w:tcPr>
          <w:p w14:paraId="2C5859E4" w14:textId="77777777" w:rsidR="00F96A51" w:rsidRDefault="00F96A51" w:rsidP="009B2E3D">
            <w:pPr>
              <w:keepNext/>
              <w:jc w:val="center"/>
              <w:textAlignment w:val="baseline"/>
              <w:rPr>
                <w:rFonts w:ascii="Verdana" w:eastAsia="Times New Roman" w:hAnsi="Verdana" w:cs="Times New Roman"/>
                <w:b/>
                <w:sz w:val="19"/>
                <w:szCs w:val="19"/>
                <w:lang w:eastAsia="en-AU"/>
              </w:rPr>
            </w:pPr>
          </w:p>
        </w:tc>
        <w:tc>
          <w:tcPr>
            <w:tcW w:w="438" w:type="pct"/>
            <w:vAlign w:val="center"/>
          </w:tcPr>
          <w:p w14:paraId="65D1129F" w14:textId="111D00CB" w:rsidR="00F96A51" w:rsidRDefault="00F96A51" w:rsidP="009B2E3D">
            <w:pPr>
              <w:keepNext/>
              <w:jc w:val="center"/>
              <w:textAlignment w:val="baseline"/>
              <w:rPr>
                <w:rFonts w:ascii="Verdana" w:eastAsia="Times New Roman" w:hAnsi="Verdana" w:cs="Times New Roman"/>
                <w:b/>
                <w:sz w:val="19"/>
                <w:szCs w:val="19"/>
                <w:lang w:eastAsia="en-AU"/>
              </w:rPr>
            </w:pPr>
            <w:r>
              <w:rPr>
                <w:rFonts w:ascii="Verdana" w:eastAsia="Times New Roman" w:hAnsi="Verdana" w:cs="Times New Roman"/>
                <w:b/>
                <w:sz w:val="19"/>
                <w:szCs w:val="19"/>
                <w:lang w:eastAsia="en-AU"/>
              </w:rPr>
              <w:t>2010</w:t>
            </w:r>
          </w:p>
        </w:tc>
        <w:tc>
          <w:tcPr>
            <w:tcW w:w="438" w:type="pct"/>
            <w:vAlign w:val="center"/>
          </w:tcPr>
          <w:p w14:paraId="20C4598C" w14:textId="24EC1CE3" w:rsidR="00F96A51" w:rsidRDefault="00F96A51" w:rsidP="009B2E3D">
            <w:pPr>
              <w:keepNext/>
              <w:jc w:val="center"/>
              <w:textAlignment w:val="baseline"/>
              <w:rPr>
                <w:rFonts w:ascii="Verdana" w:eastAsia="Times New Roman" w:hAnsi="Verdana" w:cs="Times New Roman"/>
                <w:b/>
                <w:sz w:val="19"/>
                <w:szCs w:val="19"/>
                <w:lang w:eastAsia="en-AU"/>
              </w:rPr>
            </w:pPr>
            <w:r>
              <w:rPr>
                <w:rFonts w:ascii="Verdana" w:eastAsia="Times New Roman" w:hAnsi="Verdana" w:cs="Times New Roman"/>
                <w:b/>
                <w:sz w:val="19"/>
                <w:szCs w:val="19"/>
                <w:lang w:eastAsia="en-AU"/>
              </w:rPr>
              <w:t>2011</w:t>
            </w:r>
          </w:p>
        </w:tc>
        <w:tc>
          <w:tcPr>
            <w:tcW w:w="438" w:type="pct"/>
            <w:vAlign w:val="center"/>
          </w:tcPr>
          <w:p w14:paraId="27AC0609" w14:textId="082595AF" w:rsidR="00F96A51" w:rsidRDefault="00F96A51" w:rsidP="009B2E3D">
            <w:pPr>
              <w:keepNext/>
              <w:jc w:val="center"/>
              <w:textAlignment w:val="baseline"/>
              <w:rPr>
                <w:rFonts w:ascii="Verdana" w:eastAsia="Times New Roman" w:hAnsi="Verdana" w:cs="Times New Roman"/>
                <w:b/>
                <w:sz w:val="19"/>
                <w:szCs w:val="19"/>
                <w:lang w:eastAsia="en-AU"/>
              </w:rPr>
            </w:pPr>
            <w:r>
              <w:rPr>
                <w:rFonts w:ascii="Verdana" w:eastAsia="Times New Roman" w:hAnsi="Verdana" w:cs="Times New Roman"/>
                <w:b/>
                <w:sz w:val="19"/>
                <w:szCs w:val="19"/>
                <w:lang w:eastAsia="en-AU"/>
              </w:rPr>
              <w:t>2012</w:t>
            </w:r>
          </w:p>
        </w:tc>
        <w:tc>
          <w:tcPr>
            <w:tcW w:w="438" w:type="pct"/>
            <w:vAlign w:val="center"/>
          </w:tcPr>
          <w:p w14:paraId="0D704743" w14:textId="3B174E5A" w:rsidR="00F96A51" w:rsidRDefault="00F96A51" w:rsidP="009B2E3D">
            <w:pPr>
              <w:keepNext/>
              <w:jc w:val="center"/>
              <w:textAlignment w:val="baseline"/>
              <w:rPr>
                <w:rFonts w:ascii="Verdana" w:eastAsia="Times New Roman" w:hAnsi="Verdana" w:cs="Times New Roman"/>
                <w:b/>
                <w:sz w:val="19"/>
                <w:szCs w:val="19"/>
                <w:lang w:eastAsia="en-AU"/>
              </w:rPr>
            </w:pPr>
            <w:r>
              <w:rPr>
                <w:rFonts w:ascii="Verdana" w:eastAsia="Times New Roman" w:hAnsi="Verdana" w:cs="Times New Roman"/>
                <w:b/>
                <w:sz w:val="19"/>
                <w:szCs w:val="19"/>
                <w:lang w:eastAsia="en-AU"/>
              </w:rPr>
              <w:t>2013</w:t>
            </w:r>
          </w:p>
        </w:tc>
        <w:tc>
          <w:tcPr>
            <w:tcW w:w="438" w:type="pct"/>
            <w:vAlign w:val="center"/>
          </w:tcPr>
          <w:p w14:paraId="276A8D77" w14:textId="249D2168" w:rsidR="00F96A51" w:rsidRDefault="00F96A51" w:rsidP="009B2E3D">
            <w:pPr>
              <w:keepNext/>
              <w:jc w:val="center"/>
              <w:textAlignment w:val="baseline"/>
              <w:rPr>
                <w:rFonts w:ascii="Verdana" w:eastAsia="Times New Roman" w:hAnsi="Verdana" w:cs="Times New Roman"/>
                <w:b/>
                <w:sz w:val="19"/>
                <w:szCs w:val="19"/>
                <w:lang w:eastAsia="en-AU"/>
              </w:rPr>
            </w:pPr>
            <w:r>
              <w:rPr>
                <w:rFonts w:ascii="Verdana" w:eastAsia="Times New Roman" w:hAnsi="Verdana" w:cs="Times New Roman"/>
                <w:b/>
                <w:sz w:val="19"/>
                <w:szCs w:val="19"/>
                <w:lang w:eastAsia="en-AU"/>
              </w:rPr>
              <w:t>2014</w:t>
            </w:r>
          </w:p>
        </w:tc>
        <w:tc>
          <w:tcPr>
            <w:tcW w:w="438" w:type="pct"/>
            <w:vAlign w:val="center"/>
          </w:tcPr>
          <w:p w14:paraId="3DC1C394" w14:textId="75CF1673" w:rsidR="00F96A51" w:rsidRDefault="00F96A51" w:rsidP="009B2E3D">
            <w:pPr>
              <w:keepNext/>
              <w:jc w:val="center"/>
              <w:textAlignment w:val="baseline"/>
              <w:rPr>
                <w:rFonts w:ascii="Verdana" w:eastAsia="Times New Roman" w:hAnsi="Verdana" w:cs="Times New Roman"/>
                <w:b/>
                <w:sz w:val="19"/>
                <w:szCs w:val="19"/>
                <w:lang w:eastAsia="en-AU"/>
              </w:rPr>
            </w:pPr>
            <w:r>
              <w:rPr>
                <w:rFonts w:ascii="Verdana" w:eastAsia="Times New Roman" w:hAnsi="Verdana" w:cs="Times New Roman"/>
                <w:b/>
                <w:sz w:val="19"/>
                <w:szCs w:val="19"/>
                <w:lang w:eastAsia="en-AU"/>
              </w:rPr>
              <w:t>2015</w:t>
            </w:r>
          </w:p>
        </w:tc>
        <w:tc>
          <w:tcPr>
            <w:tcW w:w="438" w:type="pct"/>
            <w:vAlign w:val="center"/>
          </w:tcPr>
          <w:p w14:paraId="4D78EB31" w14:textId="22536ED1" w:rsidR="00F96A51" w:rsidRDefault="00F96A51" w:rsidP="009B2E3D">
            <w:pPr>
              <w:keepNext/>
              <w:jc w:val="center"/>
              <w:textAlignment w:val="baseline"/>
              <w:rPr>
                <w:rFonts w:ascii="Verdana" w:eastAsia="Times New Roman" w:hAnsi="Verdana" w:cs="Times New Roman"/>
                <w:b/>
                <w:sz w:val="19"/>
                <w:szCs w:val="19"/>
                <w:lang w:eastAsia="en-AU"/>
              </w:rPr>
            </w:pPr>
            <w:r>
              <w:rPr>
                <w:rFonts w:ascii="Verdana" w:eastAsia="Times New Roman" w:hAnsi="Verdana" w:cs="Times New Roman"/>
                <w:b/>
                <w:sz w:val="19"/>
                <w:szCs w:val="19"/>
                <w:lang w:eastAsia="en-AU"/>
              </w:rPr>
              <w:t>2016</w:t>
            </w:r>
          </w:p>
        </w:tc>
        <w:tc>
          <w:tcPr>
            <w:tcW w:w="438" w:type="pct"/>
            <w:vAlign w:val="center"/>
          </w:tcPr>
          <w:p w14:paraId="7022BF9B" w14:textId="1D8F9A37" w:rsidR="00F96A51" w:rsidRDefault="00F96A51" w:rsidP="009B2E3D">
            <w:pPr>
              <w:keepNext/>
              <w:jc w:val="center"/>
              <w:textAlignment w:val="baseline"/>
              <w:rPr>
                <w:rFonts w:ascii="Verdana" w:eastAsia="Times New Roman" w:hAnsi="Verdana" w:cs="Times New Roman"/>
                <w:b/>
                <w:sz w:val="19"/>
                <w:szCs w:val="19"/>
                <w:lang w:eastAsia="en-AU"/>
              </w:rPr>
            </w:pPr>
            <w:r>
              <w:rPr>
                <w:rFonts w:ascii="Verdana" w:eastAsia="Times New Roman" w:hAnsi="Verdana" w:cs="Times New Roman"/>
                <w:b/>
                <w:sz w:val="19"/>
                <w:szCs w:val="19"/>
                <w:lang w:eastAsia="en-AU"/>
              </w:rPr>
              <w:t>2017</w:t>
            </w:r>
          </w:p>
        </w:tc>
        <w:tc>
          <w:tcPr>
            <w:tcW w:w="438" w:type="pct"/>
            <w:vAlign w:val="center"/>
          </w:tcPr>
          <w:p w14:paraId="1856EE8C" w14:textId="2CE88624" w:rsidR="00F96A51" w:rsidRDefault="00F96A51" w:rsidP="009B2E3D">
            <w:pPr>
              <w:keepNext/>
              <w:jc w:val="center"/>
              <w:textAlignment w:val="baseline"/>
              <w:rPr>
                <w:rFonts w:ascii="Verdana" w:eastAsia="Times New Roman" w:hAnsi="Verdana" w:cs="Times New Roman"/>
                <w:b/>
                <w:sz w:val="19"/>
                <w:szCs w:val="19"/>
                <w:lang w:eastAsia="en-AU"/>
              </w:rPr>
            </w:pPr>
            <w:r>
              <w:rPr>
                <w:rFonts w:ascii="Verdana" w:eastAsia="Times New Roman" w:hAnsi="Verdana" w:cs="Times New Roman"/>
                <w:b/>
                <w:sz w:val="19"/>
                <w:szCs w:val="19"/>
                <w:lang w:eastAsia="en-AU"/>
              </w:rPr>
              <w:t>2018</w:t>
            </w:r>
          </w:p>
        </w:tc>
        <w:tc>
          <w:tcPr>
            <w:tcW w:w="435" w:type="pct"/>
            <w:vAlign w:val="center"/>
          </w:tcPr>
          <w:p w14:paraId="48C2680B" w14:textId="1AE0E2FB" w:rsidR="00F96A51" w:rsidRDefault="00F96A51" w:rsidP="009B2E3D">
            <w:pPr>
              <w:keepNext/>
              <w:jc w:val="center"/>
              <w:textAlignment w:val="baseline"/>
              <w:rPr>
                <w:rFonts w:ascii="Verdana" w:eastAsia="Times New Roman" w:hAnsi="Verdana" w:cs="Times New Roman"/>
                <w:b/>
                <w:sz w:val="19"/>
                <w:szCs w:val="19"/>
                <w:lang w:eastAsia="en-AU"/>
              </w:rPr>
            </w:pPr>
            <w:r>
              <w:rPr>
                <w:rFonts w:ascii="Verdana" w:eastAsia="Times New Roman" w:hAnsi="Verdana" w:cs="Times New Roman"/>
                <w:b/>
                <w:sz w:val="19"/>
                <w:szCs w:val="19"/>
                <w:lang w:eastAsia="en-AU"/>
              </w:rPr>
              <w:t>2019</w:t>
            </w:r>
          </w:p>
        </w:tc>
      </w:tr>
      <w:tr w:rsidR="00F96A51" w14:paraId="293FA33B" w14:textId="651E5BC4" w:rsidTr="007067ED">
        <w:trPr>
          <w:trHeight w:val="454"/>
        </w:trPr>
        <w:tc>
          <w:tcPr>
            <w:tcW w:w="619" w:type="pct"/>
            <w:vAlign w:val="center"/>
          </w:tcPr>
          <w:p w14:paraId="60EE4134" w14:textId="5F39955F" w:rsidR="00F96A51" w:rsidRDefault="00F96A51" w:rsidP="009B2E3D">
            <w:pPr>
              <w:keepNext/>
              <w:jc w:val="center"/>
              <w:textAlignment w:val="baseline"/>
              <w:rPr>
                <w:rFonts w:ascii="Verdana" w:eastAsia="Times New Roman" w:hAnsi="Verdana" w:cs="Times New Roman"/>
                <w:b/>
                <w:sz w:val="19"/>
                <w:szCs w:val="19"/>
                <w:lang w:eastAsia="en-AU"/>
              </w:rPr>
            </w:pPr>
            <w:r>
              <w:rPr>
                <w:rFonts w:ascii="Verdana" w:eastAsia="Times New Roman" w:hAnsi="Verdana" w:cs="Times New Roman"/>
                <w:b/>
                <w:sz w:val="19"/>
                <w:szCs w:val="19"/>
                <w:lang w:eastAsia="en-AU"/>
              </w:rPr>
              <w:t>CFC</w:t>
            </w:r>
          </w:p>
        </w:tc>
        <w:tc>
          <w:tcPr>
            <w:tcW w:w="438" w:type="pct"/>
            <w:vAlign w:val="center"/>
          </w:tcPr>
          <w:p w14:paraId="0531C6C9" w14:textId="1FB94EB9" w:rsidR="00F96A51" w:rsidRPr="001B7E8A" w:rsidRDefault="00F96A51" w:rsidP="009B2E3D">
            <w:pPr>
              <w:keepNext/>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24</w:t>
            </w:r>
          </w:p>
        </w:tc>
        <w:tc>
          <w:tcPr>
            <w:tcW w:w="438" w:type="pct"/>
            <w:vAlign w:val="center"/>
          </w:tcPr>
          <w:p w14:paraId="61A3CF54" w14:textId="230DCEE6" w:rsidR="00F96A51" w:rsidRPr="001B7E8A" w:rsidRDefault="00F96A51" w:rsidP="009B2E3D">
            <w:pPr>
              <w:keepNext/>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30</w:t>
            </w:r>
          </w:p>
        </w:tc>
        <w:tc>
          <w:tcPr>
            <w:tcW w:w="438" w:type="pct"/>
            <w:vAlign w:val="center"/>
          </w:tcPr>
          <w:p w14:paraId="6455C033" w14:textId="63C7102A" w:rsidR="00F96A51" w:rsidRPr="001B7E8A" w:rsidRDefault="00F96A51" w:rsidP="009B2E3D">
            <w:pPr>
              <w:keepNext/>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15</w:t>
            </w:r>
          </w:p>
        </w:tc>
        <w:tc>
          <w:tcPr>
            <w:tcW w:w="438" w:type="pct"/>
            <w:vAlign w:val="center"/>
          </w:tcPr>
          <w:p w14:paraId="48BB59F1" w14:textId="66C40774" w:rsidR="00F96A51" w:rsidRPr="001B7E8A" w:rsidRDefault="00F96A51" w:rsidP="009B2E3D">
            <w:pPr>
              <w:keepNext/>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7</w:t>
            </w:r>
          </w:p>
        </w:tc>
        <w:tc>
          <w:tcPr>
            <w:tcW w:w="438" w:type="pct"/>
            <w:vAlign w:val="center"/>
          </w:tcPr>
          <w:p w14:paraId="56763E3A" w14:textId="095ED213" w:rsidR="00F96A51" w:rsidRPr="001B7E8A" w:rsidRDefault="00F96A51" w:rsidP="009B2E3D">
            <w:pPr>
              <w:keepNext/>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15</w:t>
            </w:r>
          </w:p>
        </w:tc>
        <w:tc>
          <w:tcPr>
            <w:tcW w:w="438" w:type="pct"/>
            <w:vAlign w:val="center"/>
          </w:tcPr>
          <w:p w14:paraId="113E2272" w14:textId="15ADC9B8" w:rsidR="00F96A51" w:rsidRPr="001B7E8A" w:rsidRDefault="00F96A51" w:rsidP="009B2E3D">
            <w:pPr>
              <w:keepNext/>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9</w:t>
            </w:r>
          </w:p>
        </w:tc>
        <w:tc>
          <w:tcPr>
            <w:tcW w:w="438" w:type="pct"/>
            <w:vAlign w:val="center"/>
          </w:tcPr>
          <w:p w14:paraId="17BC2E0F" w14:textId="47204EC4" w:rsidR="00F96A51" w:rsidRPr="001B7E8A" w:rsidRDefault="00F96A51" w:rsidP="009B2E3D">
            <w:pPr>
              <w:keepNext/>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7</w:t>
            </w:r>
          </w:p>
        </w:tc>
        <w:tc>
          <w:tcPr>
            <w:tcW w:w="438" w:type="pct"/>
            <w:vAlign w:val="center"/>
          </w:tcPr>
          <w:p w14:paraId="3661BB1F" w14:textId="291BF12B" w:rsidR="00F96A51" w:rsidRDefault="00F96A51" w:rsidP="009B2E3D">
            <w:pPr>
              <w:keepNext/>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7.5</w:t>
            </w:r>
          </w:p>
        </w:tc>
        <w:tc>
          <w:tcPr>
            <w:tcW w:w="438" w:type="pct"/>
            <w:vAlign w:val="center"/>
          </w:tcPr>
          <w:p w14:paraId="517FD028" w14:textId="1DFB869C" w:rsidR="00F96A51" w:rsidRDefault="00F96A51" w:rsidP="00DA194B">
            <w:pPr>
              <w:keepNext/>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2.3</w:t>
            </w:r>
          </w:p>
        </w:tc>
        <w:tc>
          <w:tcPr>
            <w:tcW w:w="435" w:type="pct"/>
            <w:vAlign w:val="center"/>
          </w:tcPr>
          <w:p w14:paraId="58B34C03" w14:textId="5567D6E7" w:rsidR="00F96A51" w:rsidRDefault="00F96A51" w:rsidP="00DA194B">
            <w:pPr>
              <w:keepNext/>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3</w:t>
            </w:r>
          </w:p>
        </w:tc>
      </w:tr>
      <w:tr w:rsidR="00F96A51" w14:paraId="1E00DE0E" w14:textId="7177F8D0" w:rsidTr="007067ED">
        <w:trPr>
          <w:trHeight w:val="454"/>
        </w:trPr>
        <w:tc>
          <w:tcPr>
            <w:tcW w:w="619" w:type="pct"/>
            <w:vAlign w:val="center"/>
          </w:tcPr>
          <w:p w14:paraId="0965E79A" w14:textId="3F244284" w:rsidR="00F96A51" w:rsidRDefault="00F96A51" w:rsidP="009B2E3D">
            <w:pPr>
              <w:keepNext/>
              <w:jc w:val="center"/>
              <w:textAlignment w:val="baseline"/>
              <w:rPr>
                <w:rFonts w:ascii="Verdana" w:eastAsia="Times New Roman" w:hAnsi="Verdana" w:cs="Times New Roman"/>
                <w:b/>
                <w:sz w:val="19"/>
                <w:szCs w:val="19"/>
                <w:lang w:eastAsia="en-AU"/>
              </w:rPr>
            </w:pPr>
            <w:r>
              <w:rPr>
                <w:rFonts w:ascii="Verdana" w:eastAsia="Times New Roman" w:hAnsi="Verdana" w:cs="Times New Roman"/>
                <w:b/>
                <w:sz w:val="19"/>
                <w:szCs w:val="19"/>
                <w:lang w:eastAsia="en-AU"/>
              </w:rPr>
              <w:t>HCFC</w:t>
            </w:r>
          </w:p>
        </w:tc>
        <w:tc>
          <w:tcPr>
            <w:tcW w:w="438" w:type="pct"/>
            <w:vAlign w:val="center"/>
          </w:tcPr>
          <w:p w14:paraId="3EA4A325" w14:textId="78F32D87" w:rsidR="00F96A51" w:rsidRPr="001B7E8A" w:rsidRDefault="00F96A51" w:rsidP="009B2E3D">
            <w:pPr>
              <w:keepNext/>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263</w:t>
            </w:r>
          </w:p>
        </w:tc>
        <w:tc>
          <w:tcPr>
            <w:tcW w:w="438" w:type="pct"/>
            <w:vAlign w:val="center"/>
          </w:tcPr>
          <w:p w14:paraId="4D138786" w14:textId="24267D9E" w:rsidR="00F96A51" w:rsidRPr="001B7E8A" w:rsidRDefault="00F96A51" w:rsidP="009B2E3D">
            <w:pPr>
              <w:keepNext/>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296</w:t>
            </w:r>
          </w:p>
        </w:tc>
        <w:tc>
          <w:tcPr>
            <w:tcW w:w="438" w:type="pct"/>
            <w:vAlign w:val="center"/>
          </w:tcPr>
          <w:p w14:paraId="01430BA8" w14:textId="73ADEDB0" w:rsidR="00F96A51" w:rsidRPr="001B7E8A" w:rsidRDefault="00F96A51" w:rsidP="009B2E3D">
            <w:pPr>
              <w:keepNext/>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134</w:t>
            </w:r>
          </w:p>
        </w:tc>
        <w:tc>
          <w:tcPr>
            <w:tcW w:w="438" w:type="pct"/>
            <w:vAlign w:val="center"/>
          </w:tcPr>
          <w:p w14:paraId="0422D5B2" w14:textId="72846A3A" w:rsidR="00F96A51" w:rsidRPr="001B7E8A" w:rsidRDefault="00F96A51" w:rsidP="009B2E3D">
            <w:pPr>
              <w:keepNext/>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37</w:t>
            </w:r>
          </w:p>
        </w:tc>
        <w:tc>
          <w:tcPr>
            <w:tcW w:w="438" w:type="pct"/>
            <w:vAlign w:val="center"/>
          </w:tcPr>
          <w:p w14:paraId="476CC0D7" w14:textId="5CEC257C" w:rsidR="00F96A51" w:rsidRPr="001B7E8A" w:rsidRDefault="00F96A51" w:rsidP="009B2E3D">
            <w:pPr>
              <w:keepNext/>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60</w:t>
            </w:r>
          </w:p>
        </w:tc>
        <w:tc>
          <w:tcPr>
            <w:tcW w:w="438" w:type="pct"/>
            <w:vAlign w:val="center"/>
          </w:tcPr>
          <w:p w14:paraId="322EDFC4" w14:textId="6A66EDF8" w:rsidR="00F96A51" w:rsidRPr="001B7E8A" w:rsidRDefault="00F96A51" w:rsidP="009B2E3D">
            <w:pPr>
              <w:keepNext/>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34</w:t>
            </w:r>
          </w:p>
        </w:tc>
        <w:tc>
          <w:tcPr>
            <w:tcW w:w="438" w:type="pct"/>
            <w:vAlign w:val="center"/>
          </w:tcPr>
          <w:p w14:paraId="4B4B2CC2" w14:textId="09C440D4" w:rsidR="00F96A51" w:rsidRPr="001B7E8A" w:rsidRDefault="00F96A51" w:rsidP="009B2E3D">
            <w:pPr>
              <w:keepNext/>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31</w:t>
            </w:r>
          </w:p>
        </w:tc>
        <w:tc>
          <w:tcPr>
            <w:tcW w:w="438" w:type="pct"/>
            <w:vAlign w:val="center"/>
          </w:tcPr>
          <w:p w14:paraId="47916D39" w14:textId="2FFFD983" w:rsidR="00F96A51" w:rsidRDefault="00F96A51" w:rsidP="009B2E3D">
            <w:pPr>
              <w:keepNext/>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40</w:t>
            </w:r>
          </w:p>
        </w:tc>
        <w:tc>
          <w:tcPr>
            <w:tcW w:w="438" w:type="pct"/>
            <w:vAlign w:val="center"/>
          </w:tcPr>
          <w:p w14:paraId="46F395ED" w14:textId="23E5C8BE" w:rsidR="00F96A51" w:rsidRDefault="00F96A51" w:rsidP="00DA194B">
            <w:pPr>
              <w:keepNext/>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27</w:t>
            </w:r>
          </w:p>
        </w:tc>
        <w:tc>
          <w:tcPr>
            <w:tcW w:w="435" w:type="pct"/>
            <w:vAlign w:val="center"/>
          </w:tcPr>
          <w:p w14:paraId="229128B8" w14:textId="3C9B4D20" w:rsidR="00F96A51" w:rsidRDefault="00F96A51" w:rsidP="00DA194B">
            <w:pPr>
              <w:keepNext/>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28</w:t>
            </w:r>
          </w:p>
        </w:tc>
      </w:tr>
    </w:tbl>
    <w:p w14:paraId="489E4F07" w14:textId="77777777" w:rsidR="00E62A2A" w:rsidRDefault="00E62A2A" w:rsidP="00E62A2A">
      <w:pPr>
        <w:spacing w:after="0"/>
        <w:ind w:left="-210"/>
        <w:textAlignment w:val="baseline"/>
        <w:rPr>
          <w:rFonts w:ascii="Verdana" w:eastAsia="Times New Roman" w:hAnsi="Verdana" w:cs="Times New Roman"/>
          <w:b/>
          <w:sz w:val="19"/>
          <w:szCs w:val="19"/>
          <w:lang w:eastAsia="en-AU"/>
        </w:rPr>
      </w:pPr>
    </w:p>
    <w:p w14:paraId="3EDDAE8A" w14:textId="77777777" w:rsidR="00EF1A9B" w:rsidRPr="003B4FA2" w:rsidRDefault="0036697B" w:rsidP="007067ED">
      <w:pPr>
        <w:spacing w:after="120"/>
        <w:textAlignment w:val="baseline"/>
        <w:rPr>
          <w:rFonts w:ascii="Verdana" w:eastAsia="Times New Roman" w:hAnsi="Verdana" w:cs="Times New Roman"/>
          <w:b/>
          <w:sz w:val="19"/>
          <w:szCs w:val="19"/>
          <w:lang w:eastAsia="en-AU"/>
        </w:rPr>
      </w:pPr>
      <w:r>
        <w:rPr>
          <w:rFonts w:ascii="Verdana" w:eastAsia="Times New Roman" w:hAnsi="Verdana" w:cs="Times New Roman"/>
          <w:b/>
          <w:sz w:val="19"/>
          <w:szCs w:val="19"/>
          <w:lang w:eastAsia="en-AU"/>
        </w:rPr>
        <w:t xml:space="preserve">Quarantine and pre-shipment uses of </w:t>
      </w:r>
      <w:r w:rsidR="00065586">
        <w:rPr>
          <w:rFonts w:ascii="Verdana" w:eastAsia="Times New Roman" w:hAnsi="Verdana" w:cs="Times New Roman"/>
          <w:b/>
          <w:sz w:val="19"/>
          <w:szCs w:val="19"/>
          <w:lang w:eastAsia="en-AU"/>
        </w:rPr>
        <w:t>m</w:t>
      </w:r>
      <w:r w:rsidR="003B4FA2" w:rsidRPr="003B4FA2">
        <w:rPr>
          <w:rFonts w:ascii="Verdana" w:eastAsia="Times New Roman" w:hAnsi="Verdana" w:cs="Times New Roman"/>
          <w:b/>
          <w:sz w:val="19"/>
          <w:szCs w:val="19"/>
          <w:lang w:eastAsia="en-AU"/>
        </w:rPr>
        <w:t>ethyl bromide</w:t>
      </w:r>
      <w:r w:rsidR="00065586">
        <w:rPr>
          <w:rFonts w:ascii="Verdana" w:eastAsia="Times New Roman" w:hAnsi="Verdana" w:cs="Times New Roman"/>
          <w:b/>
          <w:sz w:val="19"/>
          <w:szCs w:val="19"/>
          <w:lang w:eastAsia="en-AU"/>
        </w:rPr>
        <w:t xml:space="preserve"> (MB)</w:t>
      </w:r>
    </w:p>
    <w:p w14:paraId="3EDDAE8B" w14:textId="38FE75E7" w:rsidR="003B4FA2" w:rsidRDefault="003B4FA2" w:rsidP="007067ED">
      <w:pPr>
        <w:spacing w:after="120"/>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Quarantine and pre</w:t>
      </w:r>
      <w:r w:rsidR="00F21E98">
        <w:rPr>
          <w:rFonts w:ascii="Verdana" w:eastAsia="Times New Roman" w:hAnsi="Verdana" w:cs="Times New Roman"/>
          <w:sz w:val="19"/>
          <w:szCs w:val="19"/>
          <w:lang w:eastAsia="en-AU"/>
        </w:rPr>
        <w:t>-</w:t>
      </w:r>
      <w:r>
        <w:rPr>
          <w:rFonts w:ascii="Verdana" w:eastAsia="Times New Roman" w:hAnsi="Verdana" w:cs="Times New Roman"/>
          <w:sz w:val="19"/>
          <w:szCs w:val="19"/>
          <w:lang w:eastAsia="en-AU"/>
        </w:rPr>
        <w:t xml:space="preserve">shipment </w:t>
      </w:r>
      <w:r w:rsidR="00065586">
        <w:rPr>
          <w:rFonts w:ascii="Verdana" w:eastAsia="Times New Roman" w:hAnsi="Verdana" w:cs="Times New Roman"/>
          <w:sz w:val="19"/>
          <w:szCs w:val="19"/>
          <w:lang w:eastAsia="en-AU"/>
        </w:rPr>
        <w:t xml:space="preserve">(QPS) </w:t>
      </w:r>
      <w:r>
        <w:rPr>
          <w:rFonts w:ascii="Verdana" w:eastAsia="Times New Roman" w:hAnsi="Verdana" w:cs="Times New Roman"/>
          <w:sz w:val="19"/>
          <w:szCs w:val="19"/>
          <w:lang w:eastAsia="en-AU"/>
        </w:rPr>
        <w:t>uses of methyl bromide are contr</w:t>
      </w:r>
      <w:r w:rsidR="00BA11BC">
        <w:rPr>
          <w:rFonts w:ascii="Verdana" w:eastAsia="Times New Roman" w:hAnsi="Verdana" w:cs="Times New Roman"/>
          <w:sz w:val="19"/>
          <w:szCs w:val="19"/>
          <w:lang w:eastAsia="en-AU"/>
        </w:rPr>
        <w:t>olled by the Montreal Protocol. However</w:t>
      </w:r>
      <w:r w:rsidR="00DA194B">
        <w:rPr>
          <w:rFonts w:ascii="Verdana" w:eastAsia="Times New Roman" w:hAnsi="Verdana" w:cs="Times New Roman"/>
          <w:sz w:val="19"/>
          <w:szCs w:val="19"/>
          <w:lang w:eastAsia="en-AU"/>
        </w:rPr>
        <w:t>,</w:t>
      </w:r>
      <w:r w:rsidR="00BA11BC">
        <w:rPr>
          <w:rFonts w:ascii="Verdana" w:eastAsia="Times New Roman" w:hAnsi="Verdana" w:cs="Times New Roman"/>
          <w:sz w:val="19"/>
          <w:szCs w:val="19"/>
          <w:lang w:eastAsia="en-AU"/>
        </w:rPr>
        <w:t xml:space="preserve"> QPS uses of methyl bromide are </w:t>
      </w:r>
      <w:r>
        <w:rPr>
          <w:rFonts w:ascii="Verdana" w:eastAsia="Times New Roman" w:hAnsi="Verdana" w:cs="Times New Roman"/>
          <w:sz w:val="19"/>
          <w:szCs w:val="19"/>
          <w:lang w:eastAsia="en-AU"/>
        </w:rPr>
        <w:t xml:space="preserve">not subject </w:t>
      </w:r>
      <w:r w:rsidR="00F21E98">
        <w:rPr>
          <w:rFonts w:ascii="Verdana" w:eastAsia="Times New Roman" w:hAnsi="Verdana" w:cs="Times New Roman"/>
          <w:sz w:val="19"/>
          <w:szCs w:val="19"/>
          <w:lang w:eastAsia="en-AU"/>
        </w:rPr>
        <w:t>to phase</w:t>
      </w:r>
      <w:r w:rsidR="00792E16">
        <w:rPr>
          <w:rFonts w:ascii="Verdana" w:eastAsia="Times New Roman" w:hAnsi="Verdana" w:cs="Times New Roman"/>
          <w:sz w:val="19"/>
          <w:szCs w:val="19"/>
          <w:lang w:eastAsia="en-AU"/>
        </w:rPr>
        <w:t xml:space="preserve"> </w:t>
      </w:r>
      <w:r w:rsidR="00F21E98">
        <w:rPr>
          <w:rFonts w:ascii="Verdana" w:eastAsia="Times New Roman" w:hAnsi="Verdana" w:cs="Times New Roman"/>
          <w:sz w:val="19"/>
          <w:szCs w:val="19"/>
          <w:lang w:eastAsia="en-AU"/>
        </w:rPr>
        <w:t xml:space="preserve">out </w:t>
      </w:r>
      <w:r w:rsidR="00461410">
        <w:rPr>
          <w:rFonts w:ascii="Verdana" w:eastAsia="Times New Roman" w:hAnsi="Verdana" w:cs="Times New Roman"/>
          <w:sz w:val="19"/>
          <w:szCs w:val="19"/>
          <w:lang w:eastAsia="en-AU"/>
        </w:rPr>
        <w:t>as there is a lack of alternatives and they play an</w:t>
      </w:r>
      <w:r w:rsidR="00F21E98">
        <w:rPr>
          <w:rFonts w:ascii="Verdana" w:eastAsia="Times New Roman" w:hAnsi="Verdana" w:cs="Times New Roman"/>
          <w:sz w:val="19"/>
          <w:szCs w:val="19"/>
          <w:lang w:eastAsia="en-AU"/>
        </w:rPr>
        <w:t xml:space="preserve"> important role in preventing the spread of invasive pests</w:t>
      </w:r>
      <w:r w:rsidR="00B600CC">
        <w:rPr>
          <w:rFonts w:ascii="Verdana" w:eastAsia="Times New Roman" w:hAnsi="Verdana" w:cs="Times New Roman"/>
          <w:sz w:val="19"/>
          <w:szCs w:val="19"/>
          <w:lang w:eastAsia="en-AU"/>
        </w:rPr>
        <w:t xml:space="preserve"> and </w:t>
      </w:r>
      <w:r w:rsidR="00827716">
        <w:rPr>
          <w:rFonts w:ascii="Verdana" w:eastAsia="Times New Roman" w:hAnsi="Verdana" w:cs="Times New Roman"/>
          <w:sz w:val="19"/>
          <w:szCs w:val="19"/>
          <w:lang w:eastAsia="en-AU"/>
        </w:rPr>
        <w:t>diseases</w:t>
      </w:r>
      <w:r w:rsidR="00B554C6">
        <w:rPr>
          <w:rFonts w:ascii="Verdana" w:eastAsia="Times New Roman" w:hAnsi="Verdana" w:cs="Times New Roman"/>
          <w:sz w:val="19"/>
          <w:szCs w:val="19"/>
          <w:lang w:eastAsia="en-AU"/>
        </w:rPr>
        <w:t>, and facilitating trade</w:t>
      </w:r>
      <w:r w:rsidR="00F21E98">
        <w:rPr>
          <w:rFonts w:ascii="Verdana" w:eastAsia="Times New Roman" w:hAnsi="Verdana" w:cs="Times New Roman"/>
          <w:sz w:val="19"/>
          <w:szCs w:val="19"/>
          <w:lang w:eastAsia="en-AU"/>
        </w:rPr>
        <w:t xml:space="preserve">. The amount of methyl bromide </w:t>
      </w:r>
      <w:r w:rsidR="00792E16">
        <w:rPr>
          <w:rFonts w:ascii="Verdana" w:eastAsia="Times New Roman" w:hAnsi="Verdana" w:cs="Times New Roman"/>
          <w:sz w:val="19"/>
          <w:szCs w:val="19"/>
          <w:lang w:eastAsia="en-AU"/>
        </w:rPr>
        <w:t xml:space="preserve">imported </w:t>
      </w:r>
      <w:r w:rsidR="00F21E98">
        <w:rPr>
          <w:rFonts w:ascii="Verdana" w:eastAsia="Times New Roman" w:hAnsi="Verdana" w:cs="Times New Roman"/>
          <w:sz w:val="19"/>
          <w:szCs w:val="19"/>
          <w:lang w:eastAsia="en-AU"/>
        </w:rPr>
        <w:t xml:space="preserve">for </w:t>
      </w:r>
      <w:r w:rsidR="00BA11BC">
        <w:rPr>
          <w:rFonts w:ascii="Verdana" w:eastAsia="Times New Roman" w:hAnsi="Verdana" w:cs="Times New Roman"/>
          <w:sz w:val="19"/>
          <w:szCs w:val="19"/>
          <w:lang w:eastAsia="en-AU"/>
        </w:rPr>
        <w:t>QPS</w:t>
      </w:r>
      <w:r w:rsidR="00F21E98">
        <w:rPr>
          <w:rFonts w:ascii="Verdana" w:eastAsia="Times New Roman" w:hAnsi="Verdana" w:cs="Times New Roman"/>
          <w:sz w:val="19"/>
          <w:szCs w:val="19"/>
          <w:lang w:eastAsia="en-AU"/>
        </w:rPr>
        <w:t xml:space="preserve"> uses </w:t>
      </w:r>
      <w:r w:rsidR="00794E62">
        <w:rPr>
          <w:rFonts w:ascii="Verdana" w:eastAsia="Times New Roman" w:hAnsi="Verdana" w:cs="Times New Roman"/>
          <w:sz w:val="19"/>
          <w:szCs w:val="19"/>
          <w:lang w:eastAsia="en-AU"/>
        </w:rPr>
        <w:t xml:space="preserve">in Australia </w:t>
      </w:r>
      <w:r w:rsidR="00F21E98">
        <w:rPr>
          <w:rFonts w:ascii="Verdana" w:eastAsia="Times New Roman" w:hAnsi="Verdana" w:cs="Times New Roman"/>
          <w:sz w:val="19"/>
          <w:szCs w:val="19"/>
          <w:lang w:eastAsia="en-AU"/>
        </w:rPr>
        <w:t>varies from year to year depending on growing conditions, export markets, sources of im</w:t>
      </w:r>
      <w:r w:rsidR="0086167D">
        <w:rPr>
          <w:rFonts w:ascii="Verdana" w:eastAsia="Times New Roman" w:hAnsi="Verdana" w:cs="Times New Roman"/>
          <w:sz w:val="19"/>
          <w:szCs w:val="19"/>
          <w:lang w:eastAsia="en-AU"/>
        </w:rPr>
        <w:t>ports and p</w:t>
      </w:r>
      <w:r w:rsidR="00CB4CA0">
        <w:rPr>
          <w:rFonts w:ascii="Verdana" w:eastAsia="Times New Roman" w:hAnsi="Verdana" w:cs="Times New Roman"/>
          <w:sz w:val="19"/>
          <w:szCs w:val="19"/>
          <w:lang w:eastAsia="en-AU"/>
        </w:rPr>
        <w:t xml:space="preserve">ests being targeted (see </w:t>
      </w:r>
      <w:r w:rsidR="00CB4CA0" w:rsidRPr="00FC17D6">
        <w:rPr>
          <w:rFonts w:ascii="Verdana" w:eastAsia="Times New Roman" w:hAnsi="Verdana" w:cs="Times New Roman"/>
          <w:sz w:val="19"/>
          <w:szCs w:val="19"/>
          <w:u w:val="single"/>
          <w:lang w:eastAsia="en-AU"/>
        </w:rPr>
        <w:t xml:space="preserve">Graph </w:t>
      </w:r>
      <w:r w:rsidR="009B2E3D">
        <w:rPr>
          <w:rFonts w:ascii="Verdana" w:eastAsia="Times New Roman" w:hAnsi="Verdana" w:cs="Times New Roman"/>
          <w:sz w:val="19"/>
          <w:szCs w:val="19"/>
          <w:u w:val="single"/>
          <w:lang w:eastAsia="en-AU"/>
        </w:rPr>
        <w:t>7</w:t>
      </w:r>
      <w:r w:rsidR="0086167D">
        <w:rPr>
          <w:rFonts w:ascii="Verdana" w:eastAsia="Times New Roman" w:hAnsi="Verdana" w:cs="Times New Roman"/>
          <w:sz w:val="19"/>
          <w:szCs w:val="19"/>
          <w:lang w:eastAsia="en-AU"/>
        </w:rPr>
        <w:t>).</w:t>
      </w:r>
      <w:r w:rsidR="000331C8">
        <w:rPr>
          <w:rFonts w:ascii="Verdana" w:eastAsia="Times New Roman" w:hAnsi="Verdana" w:cs="Times New Roman"/>
          <w:sz w:val="19"/>
          <w:szCs w:val="19"/>
          <w:lang w:eastAsia="en-AU"/>
        </w:rPr>
        <w:t xml:space="preserve"> </w:t>
      </w:r>
      <w:r w:rsidR="00FC17D6" w:rsidRPr="00FC17D6">
        <w:rPr>
          <w:rFonts w:ascii="Verdana" w:eastAsia="Times New Roman" w:hAnsi="Verdana" w:cs="Times New Roman"/>
          <w:sz w:val="19"/>
          <w:szCs w:val="19"/>
          <w:u w:val="single"/>
          <w:lang w:eastAsia="en-AU"/>
        </w:rPr>
        <w:t xml:space="preserve">Graph </w:t>
      </w:r>
      <w:r w:rsidR="009B2E3D">
        <w:rPr>
          <w:rFonts w:ascii="Verdana" w:eastAsia="Times New Roman" w:hAnsi="Verdana" w:cs="Times New Roman"/>
          <w:sz w:val="19"/>
          <w:szCs w:val="19"/>
          <w:u w:val="single"/>
          <w:lang w:eastAsia="en-AU"/>
        </w:rPr>
        <w:t>7</w:t>
      </w:r>
      <w:r w:rsidR="00FC17D6">
        <w:rPr>
          <w:rFonts w:ascii="Verdana" w:eastAsia="Times New Roman" w:hAnsi="Verdana" w:cs="Times New Roman"/>
          <w:sz w:val="19"/>
          <w:szCs w:val="19"/>
          <w:lang w:eastAsia="en-AU"/>
        </w:rPr>
        <w:t xml:space="preserve"> also illustrates that MB QPS imports vary on a global level from year to year and no clear trend on use is evident. </w:t>
      </w:r>
    </w:p>
    <w:p w14:paraId="3EDDAE8D" w14:textId="519A61D9" w:rsidR="005132C2" w:rsidRDefault="00CB4CA0" w:rsidP="007067ED">
      <w:pPr>
        <w:keepNext/>
        <w:spacing w:after="0"/>
        <w:textAlignment w:val="baseline"/>
        <w:rPr>
          <w:rFonts w:ascii="Verdana" w:eastAsia="Times New Roman" w:hAnsi="Verdana" w:cs="Times New Roman"/>
          <w:sz w:val="19"/>
          <w:szCs w:val="19"/>
          <w:u w:val="single"/>
          <w:lang w:eastAsia="en-AU"/>
        </w:rPr>
      </w:pPr>
      <w:r>
        <w:rPr>
          <w:rFonts w:ascii="Verdana" w:eastAsia="Times New Roman" w:hAnsi="Verdana" w:cs="Times New Roman"/>
          <w:sz w:val="19"/>
          <w:szCs w:val="19"/>
          <w:u w:val="single"/>
          <w:lang w:eastAsia="en-AU"/>
        </w:rPr>
        <w:t xml:space="preserve">Graph </w:t>
      </w:r>
      <w:r w:rsidR="009B2E3D">
        <w:rPr>
          <w:rFonts w:ascii="Verdana" w:eastAsia="Times New Roman" w:hAnsi="Verdana" w:cs="Times New Roman"/>
          <w:sz w:val="19"/>
          <w:szCs w:val="19"/>
          <w:u w:val="single"/>
          <w:lang w:eastAsia="en-AU"/>
        </w:rPr>
        <w:t>7</w:t>
      </w:r>
      <w:r w:rsidR="00065586" w:rsidRPr="00065586">
        <w:rPr>
          <w:rFonts w:ascii="Verdana" w:eastAsia="Times New Roman" w:hAnsi="Verdana" w:cs="Times New Roman"/>
          <w:sz w:val="19"/>
          <w:szCs w:val="19"/>
          <w:u w:val="single"/>
          <w:lang w:eastAsia="en-AU"/>
        </w:rPr>
        <w:t xml:space="preserve"> – Australian QPS imports of methyl bromide </w:t>
      </w:r>
      <w:r w:rsidR="0086167D">
        <w:rPr>
          <w:rFonts w:ascii="Verdana" w:eastAsia="Times New Roman" w:hAnsi="Verdana" w:cs="Times New Roman"/>
          <w:sz w:val="19"/>
          <w:szCs w:val="19"/>
          <w:u w:val="single"/>
          <w:lang w:eastAsia="en-AU"/>
        </w:rPr>
        <w:t>versus</w:t>
      </w:r>
      <w:r w:rsidR="00065586" w:rsidRPr="00065586">
        <w:rPr>
          <w:rFonts w:ascii="Verdana" w:eastAsia="Times New Roman" w:hAnsi="Verdana" w:cs="Times New Roman"/>
          <w:sz w:val="19"/>
          <w:szCs w:val="19"/>
          <w:u w:val="single"/>
          <w:lang w:eastAsia="en-AU"/>
        </w:rPr>
        <w:t xml:space="preserve"> global imports</w:t>
      </w:r>
      <w:r w:rsidR="00C708E2">
        <w:rPr>
          <w:rFonts w:ascii="Verdana" w:eastAsia="Times New Roman" w:hAnsi="Verdana" w:cs="Times New Roman"/>
          <w:sz w:val="19"/>
          <w:szCs w:val="19"/>
          <w:u w:val="single"/>
          <w:lang w:eastAsia="en-AU"/>
        </w:rPr>
        <w:t xml:space="preserve"> from 2005 to </w:t>
      </w:r>
      <w:r w:rsidR="00C708E2" w:rsidRPr="00F4133B">
        <w:rPr>
          <w:rFonts w:ascii="Verdana" w:eastAsia="Times New Roman" w:hAnsi="Verdana" w:cs="Times New Roman"/>
          <w:sz w:val="19"/>
          <w:szCs w:val="19"/>
          <w:u w:val="single"/>
          <w:lang w:eastAsia="en-AU"/>
        </w:rPr>
        <w:t>201</w:t>
      </w:r>
      <w:r w:rsidR="00490662">
        <w:rPr>
          <w:rFonts w:ascii="Verdana" w:eastAsia="Times New Roman" w:hAnsi="Verdana" w:cs="Times New Roman"/>
          <w:sz w:val="19"/>
          <w:szCs w:val="19"/>
          <w:u w:val="single"/>
          <w:lang w:eastAsia="en-AU"/>
        </w:rPr>
        <w:t>8</w:t>
      </w:r>
    </w:p>
    <w:p w14:paraId="3EDDAE90" w14:textId="131A468E" w:rsidR="00181B6E" w:rsidRDefault="008D142E" w:rsidP="007067ED">
      <w:pPr>
        <w:keepNext/>
        <w:spacing w:after="120"/>
        <w:textAlignment w:val="baseline"/>
        <w:rPr>
          <w:rFonts w:ascii="Verdana" w:eastAsia="Times New Roman" w:hAnsi="Verdana" w:cs="Times New Roman"/>
          <w:b/>
          <w:sz w:val="19"/>
          <w:szCs w:val="19"/>
          <w:lang w:eastAsia="en-AU"/>
        </w:rPr>
      </w:pPr>
      <w:r>
        <w:rPr>
          <w:noProof/>
          <w:lang w:eastAsia="en-AU"/>
        </w:rPr>
        <w:drawing>
          <wp:inline distT="0" distB="0" distL="0" distR="0" wp14:anchorId="72116935" wp14:editId="57B9DCE2">
            <wp:extent cx="5867400" cy="2743200"/>
            <wp:effectExtent l="0" t="0" r="0" b="0"/>
            <wp:docPr id="17" name="Chart 17" descr="Graph 7 shows a line graph of the amount of methyl bromide imported for quarantine and pre-shipment purposes in metric tonnes by year from 2005 to 2018. The graph compares data of Australia, non Article 5 countries and Article 5 countries. The values range from a peak of over 7000 metric tonnes imported by non Article 5 countries in 2006 and peaking again in 2014 to just over 6000 metric tonnes. Methyl Bromide imports for Article 5 countries increased to over 6000 metric tonnes in 2018. Australia's methyl bromide imports also increased over the period but remains less than 1000 metric tonn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419E706" w14:textId="34CC598B" w:rsidR="00456685" w:rsidRPr="00456685" w:rsidRDefault="00456685" w:rsidP="007067ED">
      <w:pPr>
        <w:spacing w:after="120"/>
        <w:textAlignment w:val="baseline"/>
        <w:rPr>
          <w:rFonts w:ascii="Verdana" w:eastAsia="Times New Roman" w:hAnsi="Verdana" w:cs="Times New Roman"/>
          <w:sz w:val="19"/>
          <w:szCs w:val="19"/>
          <w:u w:val="single"/>
          <w:lang w:eastAsia="en-AU"/>
        </w:rPr>
      </w:pPr>
      <w:r w:rsidRPr="00456685">
        <w:rPr>
          <w:rFonts w:ascii="Verdana" w:eastAsia="Times New Roman" w:hAnsi="Verdana" w:cs="Times New Roman"/>
          <w:sz w:val="19"/>
          <w:szCs w:val="19"/>
          <w:u w:val="single"/>
          <w:lang w:eastAsia="en-AU"/>
        </w:rPr>
        <w:t xml:space="preserve">Table </w:t>
      </w:r>
      <w:r w:rsidR="00CB1134">
        <w:rPr>
          <w:rFonts w:ascii="Verdana" w:eastAsia="Times New Roman" w:hAnsi="Verdana" w:cs="Times New Roman"/>
          <w:sz w:val="19"/>
          <w:szCs w:val="19"/>
          <w:u w:val="single"/>
          <w:lang w:eastAsia="en-AU"/>
        </w:rPr>
        <w:t>5</w:t>
      </w:r>
      <w:r w:rsidRPr="00456685">
        <w:rPr>
          <w:rFonts w:ascii="Verdana" w:eastAsia="Times New Roman" w:hAnsi="Verdana" w:cs="Times New Roman"/>
          <w:sz w:val="19"/>
          <w:szCs w:val="19"/>
          <w:u w:val="single"/>
          <w:lang w:eastAsia="en-AU"/>
        </w:rPr>
        <w:t xml:space="preserve"> – Australian QPS imports ver</w:t>
      </w:r>
      <w:r w:rsidR="00C708E2">
        <w:rPr>
          <w:rFonts w:ascii="Verdana" w:eastAsia="Times New Roman" w:hAnsi="Verdana" w:cs="Times New Roman"/>
          <w:sz w:val="19"/>
          <w:szCs w:val="19"/>
          <w:u w:val="single"/>
          <w:lang w:eastAsia="en-AU"/>
        </w:rPr>
        <w:t>sus global imports (200</w:t>
      </w:r>
      <w:r w:rsidR="00DA194B">
        <w:rPr>
          <w:rFonts w:ascii="Verdana" w:eastAsia="Times New Roman" w:hAnsi="Verdana" w:cs="Times New Roman"/>
          <w:sz w:val="19"/>
          <w:szCs w:val="19"/>
          <w:u w:val="single"/>
          <w:lang w:eastAsia="en-AU"/>
        </w:rPr>
        <w:t>9</w:t>
      </w:r>
      <w:r w:rsidR="00C708E2">
        <w:rPr>
          <w:rFonts w:ascii="Verdana" w:eastAsia="Times New Roman" w:hAnsi="Verdana" w:cs="Times New Roman"/>
          <w:sz w:val="19"/>
          <w:szCs w:val="19"/>
          <w:u w:val="single"/>
          <w:lang w:eastAsia="en-AU"/>
        </w:rPr>
        <w:t>-201</w:t>
      </w:r>
      <w:r w:rsidR="00490662">
        <w:rPr>
          <w:rFonts w:ascii="Verdana" w:eastAsia="Times New Roman" w:hAnsi="Verdana" w:cs="Times New Roman"/>
          <w:sz w:val="19"/>
          <w:szCs w:val="19"/>
          <w:u w:val="single"/>
          <w:lang w:eastAsia="en-AU"/>
        </w:rPr>
        <w:t>8</w:t>
      </w:r>
      <w:r w:rsidRPr="00456685">
        <w:rPr>
          <w:rFonts w:ascii="Verdana" w:eastAsia="Times New Roman" w:hAnsi="Verdana" w:cs="Times New Roman"/>
          <w:sz w:val="19"/>
          <w:szCs w:val="19"/>
          <w:u w:val="single"/>
          <w:lang w:eastAsia="en-AU"/>
        </w:rPr>
        <w:t>)</w:t>
      </w:r>
    </w:p>
    <w:tbl>
      <w:tblPr>
        <w:tblStyle w:val="TableGrid"/>
        <w:tblW w:w="5000" w:type="pct"/>
        <w:tblLook w:val="04A0" w:firstRow="1" w:lastRow="0" w:firstColumn="1" w:lastColumn="0" w:noHBand="0" w:noVBand="1"/>
      </w:tblPr>
      <w:tblGrid>
        <w:gridCol w:w="1446"/>
        <w:gridCol w:w="757"/>
        <w:gridCol w:w="757"/>
        <w:gridCol w:w="757"/>
        <w:gridCol w:w="757"/>
        <w:gridCol w:w="757"/>
        <w:gridCol w:w="757"/>
        <w:gridCol w:w="757"/>
        <w:gridCol w:w="757"/>
        <w:gridCol w:w="757"/>
        <w:gridCol w:w="757"/>
      </w:tblGrid>
      <w:tr w:rsidR="00DA194B" w14:paraId="33C40F66" w14:textId="6043E54A" w:rsidTr="00CB1134">
        <w:tc>
          <w:tcPr>
            <w:tcW w:w="869" w:type="pct"/>
          </w:tcPr>
          <w:p w14:paraId="0DDAC0D4" w14:textId="77777777" w:rsidR="00DA194B" w:rsidRDefault="00DA194B" w:rsidP="007067ED">
            <w:pPr>
              <w:spacing w:after="120"/>
              <w:ind w:left="30"/>
              <w:textAlignment w:val="baseline"/>
              <w:rPr>
                <w:rFonts w:ascii="Verdana" w:eastAsia="Times New Roman" w:hAnsi="Verdana" w:cs="Times New Roman"/>
                <w:b/>
                <w:sz w:val="19"/>
                <w:szCs w:val="19"/>
                <w:lang w:eastAsia="en-AU"/>
              </w:rPr>
            </w:pPr>
          </w:p>
        </w:tc>
        <w:tc>
          <w:tcPr>
            <w:tcW w:w="413" w:type="pct"/>
          </w:tcPr>
          <w:p w14:paraId="35306498" w14:textId="38BDF3DD" w:rsidR="00DA194B" w:rsidRDefault="00DA194B" w:rsidP="00741F3E">
            <w:pPr>
              <w:spacing w:after="120"/>
              <w:textAlignment w:val="baseline"/>
              <w:rPr>
                <w:rFonts w:ascii="Verdana" w:eastAsia="Times New Roman" w:hAnsi="Verdana" w:cs="Times New Roman"/>
                <w:b/>
                <w:sz w:val="19"/>
                <w:szCs w:val="19"/>
                <w:lang w:eastAsia="en-AU"/>
              </w:rPr>
            </w:pPr>
            <w:r>
              <w:rPr>
                <w:rFonts w:ascii="Verdana" w:eastAsia="Times New Roman" w:hAnsi="Verdana" w:cs="Times New Roman"/>
                <w:b/>
                <w:sz w:val="19"/>
                <w:szCs w:val="19"/>
                <w:lang w:eastAsia="en-AU"/>
              </w:rPr>
              <w:t>2009</w:t>
            </w:r>
          </w:p>
        </w:tc>
        <w:tc>
          <w:tcPr>
            <w:tcW w:w="413" w:type="pct"/>
          </w:tcPr>
          <w:p w14:paraId="1C8FDA03" w14:textId="6A413CA6" w:rsidR="00DA194B" w:rsidRDefault="00DA194B" w:rsidP="00741F3E">
            <w:pPr>
              <w:spacing w:after="120"/>
              <w:textAlignment w:val="baseline"/>
              <w:rPr>
                <w:rFonts w:ascii="Verdana" w:eastAsia="Times New Roman" w:hAnsi="Verdana" w:cs="Times New Roman"/>
                <w:b/>
                <w:sz w:val="19"/>
                <w:szCs w:val="19"/>
                <w:lang w:eastAsia="en-AU"/>
              </w:rPr>
            </w:pPr>
            <w:r>
              <w:rPr>
                <w:rFonts w:ascii="Verdana" w:eastAsia="Times New Roman" w:hAnsi="Verdana" w:cs="Times New Roman"/>
                <w:b/>
                <w:sz w:val="19"/>
                <w:szCs w:val="19"/>
                <w:lang w:eastAsia="en-AU"/>
              </w:rPr>
              <w:t>2010</w:t>
            </w:r>
          </w:p>
        </w:tc>
        <w:tc>
          <w:tcPr>
            <w:tcW w:w="413" w:type="pct"/>
          </w:tcPr>
          <w:p w14:paraId="55AB60CF" w14:textId="63C0A490" w:rsidR="00DA194B" w:rsidRDefault="00DA194B" w:rsidP="00741F3E">
            <w:pPr>
              <w:spacing w:after="120"/>
              <w:textAlignment w:val="baseline"/>
              <w:rPr>
                <w:rFonts w:ascii="Verdana" w:eastAsia="Times New Roman" w:hAnsi="Verdana" w:cs="Times New Roman"/>
                <w:b/>
                <w:sz w:val="19"/>
                <w:szCs w:val="19"/>
                <w:lang w:eastAsia="en-AU"/>
              </w:rPr>
            </w:pPr>
            <w:r>
              <w:rPr>
                <w:rFonts w:ascii="Verdana" w:eastAsia="Times New Roman" w:hAnsi="Verdana" w:cs="Times New Roman"/>
                <w:b/>
                <w:sz w:val="19"/>
                <w:szCs w:val="19"/>
                <w:lang w:eastAsia="en-AU"/>
              </w:rPr>
              <w:t>2011</w:t>
            </w:r>
          </w:p>
        </w:tc>
        <w:tc>
          <w:tcPr>
            <w:tcW w:w="413" w:type="pct"/>
          </w:tcPr>
          <w:p w14:paraId="2AADB620" w14:textId="7076169B" w:rsidR="00DA194B" w:rsidRDefault="00DA194B" w:rsidP="00741F3E">
            <w:pPr>
              <w:spacing w:after="120"/>
              <w:textAlignment w:val="baseline"/>
              <w:rPr>
                <w:rFonts w:ascii="Verdana" w:eastAsia="Times New Roman" w:hAnsi="Verdana" w:cs="Times New Roman"/>
                <w:b/>
                <w:sz w:val="19"/>
                <w:szCs w:val="19"/>
                <w:lang w:eastAsia="en-AU"/>
              </w:rPr>
            </w:pPr>
            <w:r>
              <w:rPr>
                <w:rFonts w:ascii="Verdana" w:eastAsia="Times New Roman" w:hAnsi="Verdana" w:cs="Times New Roman"/>
                <w:b/>
                <w:sz w:val="19"/>
                <w:szCs w:val="19"/>
                <w:lang w:eastAsia="en-AU"/>
              </w:rPr>
              <w:t>2012</w:t>
            </w:r>
          </w:p>
        </w:tc>
        <w:tc>
          <w:tcPr>
            <w:tcW w:w="413" w:type="pct"/>
          </w:tcPr>
          <w:p w14:paraId="6530A3B1" w14:textId="7D4E2088" w:rsidR="00DA194B" w:rsidRDefault="00DA194B" w:rsidP="00741F3E">
            <w:pPr>
              <w:spacing w:after="120"/>
              <w:textAlignment w:val="baseline"/>
              <w:rPr>
                <w:rFonts w:ascii="Verdana" w:eastAsia="Times New Roman" w:hAnsi="Verdana" w:cs="Times New Roman"/>
                <w:b/>
                <w:sz w:val="19"/>
                <w:szCs w:val="19"/>
                <w:lang w:eastAsia="en-AU"/>
              </w:rPr>
            </w:pPr>
            <w:r>
              <w:rPr>
                <w:rFonts w:ascii="Verdana" w:eastAsia="Times New Roman" w:hAnsi="Verdana" w:cs="Times New Roman"/>
                <w:b/>
                <w:sz w:val="19"/>
                <w:szCs w:val="19"/>
                <w:lang w:eastAsia="en-AU"/>
              </w:rPr>
              <w:t>2013</w:t>
            </w:r>
          </w:p>
        </w:tc>
        <w:tc>
          <w:tcPr>
            <w:tcW w:w="413" w:type="pct"/>
          </w:tcPr>
          <w:p w14:paraId="1604B4BD" w14:textId="3942F4B9" w:rsidR="00DA194B" w:rsidRDefault="00DA194B" w:rsidP="00741F3E">
            <w:pPr>
              <w:spacing w:after="120"/>
              <w:textAlignment w:val="baseline"/>
              <w:rPr>
                <w:rFonts w:ascii="Verdana" w:eastAsia="Times New Roman" w:hAnsi="Verdana" w:cs="Times New Roman"/>
                <w:b/>
                <w:sz w:val="19"/>
                <w:szCs w:val="19"/>
                <w:lang w:eastAsia="en-AU"/>
              </w:rPr>
            </w:pPr>
            <w:r>
              <w:rPr>
                <w:rFonts w:ascii="Verdana" w:eastAsia="Times New Roman" w:hAnsi="Verdana" w:cs="Times New Roman"/>
                <w:b/>
                <w:sz w:val="19"/>
                <w:szCs w:val="19"/>
                <w:lang w:eastAsia="en-AU"/>
              </w:rPr>
              <w:t>2014</w:t>
            </w:r>
          </w:p>
        </w:tc>
        <w:tc>
          <w:tcPr>
            <w:tcW w:w="413" w:type="pct"/>
          </w:tcPr>
          <w:p w14:paraId="4D967EAA" w14:textId="58B325A9" w:rsidR="00DA194B" w:rsidRDefault="00DA194B" w:rsidP="00741F3E">
            <w:pPr>
              <w:spacing w:after="120"/>
              <w:textAlignment w:val="baseline"/>
              <w:rPr>
                <w:rFonts w:ascii="Verdana" w:eastAsia="Times New Roman" w:hAnsi="Verdana" w:cs="Times New Roman"/>
                <w:b/>
                <w:sz w:val="19"/>
                <w:szCs w:val="19"/>
                <w:lang w:eastAsia="en-AU"/>
              </w:rPr>
            </w:pPr>
            <w:r>
              <w:rPr>
                <w:rFonts w:ascii="Verdana" w:eastAsia="Times New Roman" w:hAnsi="Verdana" w:cs="Times New Roman"/>
                <w:b/>
                <w:sz w:val="19"/>
                <w:szCs w:val="19"/>
                <w:lang w:eastAsia="en-AU"/>
              </w:rPr>
              <w:t>2015</w:t>
            </w:r>
          </w:p>
        </w:tc>
        <w:tc>
          <w:tcPr>
            <w:tcW w:w="413" w:type="pct"/>
          </w:tcPr>
          <w:p w14:paraId="21862EF4" w14:textId="6BB8B708" w:rsidR="00DA194B" w:rsidRDefault="00DA194B" w:rsidP="00741F3E">
            <w:pPr>
              <w:spacing w:after="120"/>
              <w:textAlignment w:val="baseline"/>
              <w:rPr>
                <w:rFonts w:ascii="Verdana" w:eastAsia="Times New Roman" w:hAnsi="Verdana" w:cs="Times New Roman"/>
                <w:b/>
                <w:sz w:val="19"/>
                <w:szCs w:val="19"/>
                <w:lang w:eastAsia="en-AU"/>
              </w:rPr>
            </w:pPr>
            <w:r>
              <w:rPr>
                <w:rFonts w:ascii="Verdana" w:eastAsia="Times New Roman" w:hAnsi="Verdana" w:cs="Times New Roman"/>
                <w:b/>
                <w:sz w:val="19"/>
                <w:szCs w:val="19"/>
                <w:lang w:eastAsia="en-AU"/>
              </w:rPr>
              <w:t>2016</w:t>
            </w:r>
          </w:p>
        </w:tc>
        <w:tc>
          <w:tcPr>
            <w:tcW w:w="413" w:type="pct"/>
          </w:tcPr>
          <w:p w14:paraId="7A4DD0C8" w14:textId="52471C63" w:rsidR="00DA194B" w:rsidRDefault="00DA194B" w:rsidP="00741F3E">
            <w:pPr>
              <w:spacing w:after="120"/>
              <w:textAlignment w:val="baseline"/>
              <w:rPr>
                <w:rFonts w:ascii="Verdana" w:eastAsia="Times New Roman" w:hAnsi="Verdana" w:cs="Times New Roman"/>
                <w:b/>
                <w:sz w:val="19"/>
                <w:szCs w:val="19"/>
                <w:lang w:eastAsia="en-AU"/>
              </w:rPr>
            </w:pPr>
            <w:r>
              <w:rPr>
                <w:rFonts w:ascii="Verdana" w:eastAsia="Times New Roman" w:hAnsi="Verdana" w:cs="Times New Roman"/>
                <w:b/>
                <w:sz w:val="19"/>
                <w:szCs w:val="19"/>
                <w:lang w:eastAsia="en-AU"/>
              </w:rPr>
              <w:t>2017</w:t>
            </w:r>
          </w:p>
        </w:tc>
        <w:tc>
          <w:tcPr>
            <w:tcW w:w="413" w:type="pct"/>
          </w:tcPr>
          <w:p w14:paraId="624E04B9" w14:textId="315AD143" w:rsidR="00DA194B" w:rsidRDefault="00DA194B" w:rsidP="00741F3E">
            <w:pPr>
              <w:spacing w:after="120"/>
              <w:textAlignment w:val="baseline"/>
              <w:rPr>
                <w:rFonts w:ascii="Verdana" w:eastAsia="Times New Roman" w:hAnsi="Verdana" w:cs="Times New Roman"/>
                <w:b/>
                <w:sz w:val="19"/>
                <w:szCs w:val="19"/>
                <w:lang w:eastAsia="en-AU"/>
              </w:rPr>
            </w:pPr>
            <w:r>
              <w:rPr>
                <w:rFonts w:ascii="Verdana" w:eastAsia="Times New Roman" w:hAnsi="Verdana" w:cs="Times New Roman"/>
                <w:b/>
                <w:sz w:val="19"/>
                <w:szCs w:val="19"/>
                <w:lang w:eastAsia="en-AU"/>
              </w:rPr>
              <w:t>2018</w:t>
            </w:r>
          </w:p>
        </w:tc>
      </w:tr>
      <w:tr w:rsidR="00DA194B" w14:paraId="296B4989" w14:textId="1491FD13" w:rsidTr="00CB1134">
        <w:tc>
          <w:tcPr>
            <w:tcW w:w="869" w:type="pct"/>
          </w:tcPr>
          <w:p w14:paraId="038F7DD9" w14:textId="761854CF" w:rsidR="00DA194B" w:rsidRPr="00C708E2" w:rsidRDefault="00DA194B" w:rsidP="00741F3E">
            <w:pPr>
              <w:spacing w:after="120"/>
              <w:textAlignment w:val="baseline"/>
              <w:rPr>
                <w:rFonts w:ascii="Verdana" w:eastAsia="Times New Roman" w:hAnsi="Verdana" w:cs="Times New Roman"/>
                <w:b/>
                <w:sz w:val="18"/>
                <w:szCs w:val="18"/>
                <w:lang w:eastAsia="en-AU"/>
              </w:rPr>
            </w:pPr>
            <w:r w:rsidRPr="00C708E2">
              <w:rPr>
                <w:rFonts w:ascii="Verdana" w:eastAsia="Times New Roman" w:hAnsi="Verdana" w:cs="Times New Roman"/>
                <w:b/>
                <w:sz w:val="18"/>
                <w:szCs w:val="18"/>
                <w:lang w:eastAsia="en-AU"/>
              </w:rPr>
              <w:t>A5 Parties</w:t>
            </w:r>
          </w:p>
        </w:tc>
        <w:tc>
          <w:tcPr>
            <w:tcW w:w="413" w:type="pct"/>
          </w:tcPr>
          <w:p w14:paraId="2BCB87C6" w14:textId="3D09C062" w:rsidR="00DA194B" w:rsidRPr="001B7E8A" w:rsidRDefault="00DA194B" w:rsidP="00741F3E">
            <w:pPr>
              <w:spacing w:after="120"/>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5482</w:t>
            </w:r>
          </w:p>
        </w:tc>
        <w:tc>
          <w:tcPr>
            <w:tcW w:w="413" w:type="pct"/>
          </w:tcPr>
          <w:p w14:paraId="3A247FFC" w14:textId="3A264B04" w:rsidR="00DA194B" w:rsidRPr="001B7E8A" w:rsidRDefault="00DA194B" w:rsidP="00741F3E">
            <w:pPr>
              <w:spacing w:after="120"/>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5601</w:t>
            </w:r>
          </w:p>
        </w:tc>
        <w:tc>
          <w:tcPr>
            <w:tcW w:w="413" w:type="pct"/>
          </w:tcPr>
          <w:p w14:paraId="254EC436" w14:textId="6A18A301" w:rsidR="00DA194B" w:rsidRPr="001B7E8A" w:rsidRDefault="00DA194B" w:rsidP="00741F3E">
            <w:pPr>
              <w:spacing w:after="120"/>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5888</w:t>
            </w:r>
          </w:p>
        </w:tc>
        <w:tc>
          <w:tcPr>
            <w:tcW w:w="413" w:type="pct"/>
          </w:tcPr>
          <w:p w14:paraId="59CA010A" w14:textId="4E32534D" w:rsidR="00DA194B" w:rsidRPr="001B7E8A" w:rsidRDefault="00DA194B" w:rsidP="00741F3E">
            <w:pPr>
              <w:spacing w:after="120"/>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5835</w:t>
            </w:r>
          </w:p>
        </w:tc>
        <w:tc>
          <w:tcPr>
            <w:tcW w:w="413" w:type="pct"/>
          </w:tcPr>
          <w:p w14:paraId="3596CA07" w14:textId="7BB28710" w:rsidR="00DA194B" w:rsidRPr="001B7E8A" w:rsidRDefault="00DA194B" w:rsidP="00741F3E">
            <w:pPr>
              <w:spacing w:after="120"/>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5520</w:t>
            </w:r>
          </w:p>
        </w:tc>
        <w:tc>
          <w:tcPr>
            <w:tcW w:w="413" w:type="pct"/>
          </w:tcPr>
          <w:p w14:paraId="74D14FDF" w14:textId="15803FC5" w:rsidR="00DA194B" w:rsidRPr="001B7E8A" w:rsidRDefault="00DA194B" w:rsidP="00741F3E">
            <w:pPr>
              <w:spacing w:after="120"/>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4961</w:t>
            </w:r>
          </w:p>
        </w:tc>
        <w:tc>
          <w:tcPr>
            <w:tcW w:w="413" w:type="pct"/>
          </w:tcPr>
          <w:p w14:paraId="1CF21C58" w14:textId="741B35E4" w:rsidR="00DA194B" w:rsidRPr="001B7E8A" w:rsidRDefault="00DA194B" w:rsidP="00741F3E">
            <w:pPr>
              <w:spacing w:after="120"/>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4686</w:t>
            </w:r>
          </w:p>
        </w:tc>
        <w:tc>
          <w:tcPr>
            <w:tcW w:w="413" w:type="pct"/>
          </w:tcPr>
          <w:p w14:paraId="0F36190A" w14:textId="52EF570D" w:rsidR="00DA194B" w:rsidRPr="001B7E8A" w:rsidRDefault="00DA194B" w:rsidP="00741F3E">
            <w:pPr>
              <w:spacing w:after="120"/>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5867</w:t>
            </w:r>
          </w:p>
        </w:tc>
        <w:tc>
          <w:tcPr>
            <w:tcW w:w="413" w:type="pct"/>
          </w:tcPr>
          <w:p w14:paraId="75D812EE" w14:textId="42EB64DD" w:rsidR="00DA194B" w:rsidRDefault="00DA194B" w:rsidP="00741F3E">
            <w:pPr>
              <w:spacing w:after="120"/>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6616</w:t>
            </w:r>
          </w:p>
        </w:tc>
        <w:tc>
          <w:tcPr>
            <w:tcW w:w="413" w:type="pct"/>
          </w:tcPr>
          <w:p w14:paraId="458AC9BC" w14:textId="0F071E15" w:rsidR="00DA194B" w:rsidRDefault="00DA194B" w:rsidP="00741F3E">
            <w:pPr>
              <w:spacing w:after="120"/>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6597</w:t>
            </w:r>
          </w:p>
        </w:tc>
      </w:tr>
      <w:tr w:rsidR="00DA194B" w14:paraId="71298B78" w14:textId="726D1F54" w:rsidTr="00CB1134">
        <w:tc>
          <w:tcPr>
            <w:tcW w:w="869" w:type="pct"/>
          </w:tcPr>
          <w:p w14:paraId="13F0C964" w14:textId="4D33F39E" w:rsidR="00DA194B" w:rsidRPr="00C708E2" w:rsidRDefault="00DA194B" w:rsidP="00741F3E">
            <w:pPr>
              <w:spacing w:after="120"/>
              <w:textAlignment w:val="baseline"/>
              <w:rPr>
                <w:rFonts w:ascii="Verdana" w:eastAsia="Times New Roman" w:hAnsi="Verdana" w:cs="Times New Roman"/>
                <w:b/>
                <w:sz w:val="18"/>
                <w:szCs w:val="18"/>
                <w:lang w:eastAsia="en-AU"/>
              </w:rPr>
            </w:pPr>
            <w:r w:rsidRPr="00C708E2">
              <w:rPr>
                <w:rFonts w:ascii="Verdana" w:eastAsia="Times New Roman" w:hAnsi="Verdana" w:cs="Times New Roman"/>
                <w:b/>
                <w:sz w:val="18"/>
                <w:szCs w:val="18"/>
                <w:lang w:eastAsia="en-AU"/>
              </w:rPr>
              <w:t>Non-A5 Parties</w:t>
            </w:r>
          </w:p>
        </w:tc>
        <w:tc>
          <w:tcPr>
            <w:tcW w:w="413" w:type="pct"/>
          </w:tcPr>
          <w:p w14:paraId="735977FF" w14:textId="04FE2640" w:rsidR="00DA194B" w:rsidRPr="001B7E8A" w:rsidRDefault="00DA194B" w:rsidP="00741F3E">
            <w:pPr>
              <w:spacing w:after="120"/>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3648</w:t>
            </w:r>
          </w:p>
        </w:tc>
        <w:tc>
          <w:tcPr>
            <w:tcW w:w="413" w:type="pct"/>
          </w:tcPr>
          <w:p w14:paraId="4A5D6D91" w14:textId="250E0ED6" w:rsidR="00DA194B" w:rsidRPr="001B7E8A" w:rsidRDefault="00DA194B" w:rsidP="00741F3E">
            <w:pPr>
              <w:spacing w:after="120"/>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5355</w:t>
            </w:r>
          </w:p>
        </w:tc>
        <w:tc>
          <w:tcPr>
            <w:tcW w:w="413" w:type="pct"/>
          </w:tcPr>
          <w:p w14:paraId="7D413E4C" w14:textId="275BFA51" w:rsidR="00DA194B" w:rsidRPr="001B7E8A" w:rsidRDefault="00DA194B" w:rsidP="00741F3E">
            <w:pPr>
              <w:spacing w:after="120"/>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3812</w:t>
            </w:r>
          </w:p>
        </w:tc>
        <w:tc>
          <w:tcPr>
            <w:tcW w:w="413" w:type="pct"/>
          </w:tcPr>
          <w:p w14:paraId="4AFFD5A8" w14:textId="0E9EAF59" w:rsidR="00DA194B" w:rsidRPr="001B7E8A" w:rsidRDefault="00DA194B" w:rsidP="00741F3E">
            <w:pPr>
              <w:spacing w:after="120"/>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3025</w:t>
            </w:r>
          </w:p>
        </w:tc>
        <w:tc>
          <w:tcPr>
            <w:tcW w:w="413" w:type="pct"/>
          </w:tcPr>
          <w:p w14:paraId="53B4652C" w14:textId="78B9AC77" w:rsidR="00DA194B" w:rsidRPr="001B7E8A" w:rsidRDefault="00DA194B" w:rsidP="00741F3E">
            <w:pPr>
              <w:spacing w:after="120"/>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4307</w:t>
            </w:r>
          </w:p>
        </w:tc>
        <w:tc>
          <w:tcPr>
            <w:tcW w:w="413" w:type="pct"/>
          </w:tcPr>
          <w:p w14:paraId="4A9A2C57" w14:textId="061A47D9" w:rsidR="00DA194B" w:rsidRPr="001B7E8A" w:rsidRDefault="00DA194B" w:rsidP="00741F3E">
            <w:pPr>
              <w:spacing w:after="120"/>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6165</w:t>
            </w:r>
          </w:p>
        </w:tc>
        <w:tc>
          <w:tcPr>
            <w:tcW w:w="413" w:type="pct"/>
          </w:tcPr>
          <w:p w14:paraId="17A3D9E7" w14:textId="3942F1A0" w:rsidR="00DA194B" w:rsidRPr="001B7E8A" w:rsidRDefault="00DA194B" w:rsidP="00741F3E">
            <w:pPr>
              <w:spacing w:after="120"/>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3488</w:t>
            </w:r>
          </w:p>
        </w:tc>
        <w:tc>
          <w:tcPr>
            <w:tcW w:w="413" w:type="pct"/>
          </w:tcPr>
          <w:p w14:paraId="03EB33A9" w14:textId="0B9B3E06" w:rsidR="00DA194B" w:rsidRPr="001B7E8A" w:rsidRDefault="00DA194B" w:rsidP="00741F3E">
            <w:pPr>
              <w:spacing w:after="120"/>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2483</w:t>
            </w:r>
          </w:p>
        </w:tc>
        <w:tc>
          <w:tcPr>
            <w:tcW w:w="413" w:type="pct"/>
          </w:tcPr>
          <w:p w14:paraId="67497EA2" w14:textId="0E89F5F1" w:rsidR="00DA194B" w:rsidRDefault="00DA194B" w:rsidP="00741F3E">
            <w:pPr>
              <w:spacing w:after="120"/>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3337</w:t>
            </w:r>
          </w:p>
        </w:tc>
        <w:tc>
          <w:tcPr>
            <w:tcW w:w="413" w:type="pct"/>
          </w:tcPr>
          <w:p w14:paraId="172E8FE8" w14:textId="64C14E44" w:rsidR="00DA194B" w:rsidRDefault="00DA194B" w:rsidP="00741F3E">
            <w:pPr>
              <w:spacing w:after="120"/>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4493</w:t>
            </w:r>
          </w:p>
        </w:tc>
      </w:tr>
      <w:tr w:rsidR="00DA194B" w14:paraId="34578D9B" w14:textId="43F58B75" w:rsidTr="00CB1134">
        <w:tc>
          <w:tcPr>
            <w:tcW w:w="869" w:type="pct"/>
          </w:tcPr>
          <w:p w14:paraId="5F131683" w14:textId="1B7950EA" w:rsidR="00DA194B" w:rsidRPr="00C708E2" w:rsidRDefault="00DA194B" w:rsidP="00741F3E">
            <w:pPr>
              <w:spacing w:after="120"/>
              <w:textAlignment w:val="baseline"/>
              <w:rPr>
                <w:rFonts w:ascii="Verdana" w:eastAsia="Times New Roman" w:hAnsi="Verdana" w:cs="Times New Roman"/>
                <w:b/>
                <w:sz w:val="18"/>
                <w:szCs w:val="18"/>
                <w:lang w:eastAsia="en-AU"/>
              </w:rPr>
            </w:pPr>
            <w:r w:rsidRPr="00C708E2">
              <w:rPr>
                <w:rFonts w:ascii="Verdana" w:eastAsia="Times New Roman" w:hAnsi="Verdana" w:cs="Times New Roman"/>
                <w:b/>
                <w:sz w:val="18"/>
                <w:szCs w:val="18"/>
                <w:lang w:eastAsia="en-AU"/>
              </w:rPr>
              <w:t>Australia</w:t>
            </w:r>
          </w:p>
        </w:tc>
        <w:tc>
          <w:tcPr>
            <w:tcW w:w="413" w:type="pct"/>
          </w:tcPr>
          <w:p w14:paraId="72741F74" w14:textId="32D5144B" w:rsidR="00DA194B" w:rsidRPr="001B7E8A" w:rsidRDefault="00DA194B" w:rsidP="00741F3E">
            <w:pPr>
              <w:spacing w:after="120"/>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509</w:t>
            </w:r>
          </w:p>
        </w:tc>
        <w:tc>
          <w:tcPr>
            <w:tcW w:w="413" w:type="pct"/>
          </w:tcPr>
          <w:p w14:paraId="6BE79CA6" w14:textId="3378401D" w:rsidR="00DA194B" w:rsidRPr="001B7E8A" w:rsidRDefault="00DA194B" w:rsidP="00741F3E">
            <w:pPr>
              <w:spacing w:after="120"/>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472</w:t>
            </w:r>
          </w:p>
        </w:tc>
        <w:tc>
          <w:tcPr>
            <w:tcW w:w="413" w:type="pct"/>
          </w:tcPr>
          <w:p w14:paraId="2F7181B8" w14:textId="27405B39" w:rsidR="00DA194B" w:rsidRPr="001B7E8A" w:rsidRDefault="00DA194B" w:rsidP="00741F3E">
            <w:pPr>
              <w:spacing w:after="120"/>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690</w:t>
            </w:r>
          </w:p>
        </w:tc>
        <w:tc>
          <w:tcPr>
            <w:tcW w:w="413" w:type="pct"/>
          </w:tcPr>
          <w:p w14:paraId="308A3B99" w14:textId="6AF86682" w:rsidR="00DA194B" w:rsidRPr="001B7E8A" w:rsidRDefault="00DA194B" w:rsidP="00741F3E">
            <w:pPr>
              <w:spacing w:after="120"/>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676</w:t>
            </w:r>
          </w:p>
        </w:tc>
        <w:tc>
          <w:tcPr>
            <w:tcW w:w="413" w:type="pct"/>
          </w:tcPr>
          <w:p w14:paraId="421D288F" w14:textId="56816A08" w:rsidR="00DA194B" w:rsidRPr="001B7E8A" w:rsidRDefault="00DA194B" w:rsidP="00741F3E">
            <w:pPr>
              <w:spacing w:after="120"/>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618</w:t>
            </w:r>
          </w:p>
        </w:tc>
        <w:tc>
          <w:tcPr>
            <w:tcW w:w="413" w:type="pct"/>
          </w:tcPr>
          <w:p w14:paraId="73A9D6D4" w14:textId="3DCDA8D2" w:rsidR="00DA194B" w:rsidRPr="001B7E8A" w:rsidRDefault="00DA194B" w:rsidP="00741F3E">
            <w:pPr>
              <w:spacing w:after="120"/>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588</w:t>
            </w:r>
          </w:p>
        </w:tc>
        <w:tc>
          <w:tcPr>
            <w:tcW w:w="413" w:type="pct"/>
          </w:tcPr>
          <w:p w14:paraId="55A37DE6" w14:textId="15D25A0E" w:rsidR="00DA194B" w:rsidRPr="001B7E8A" w:rsidRDefault="00DA194B" w:rsidP="00741F3E">
            <w:pPr>
              <w:spacing w:after="120"/>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864</w:t>
            </w:r>
          </w:p>
        </w:tc>
        <w:tc>
          <w:tcPr>
            <w:tcW w:w="413" w:type="pct"/>
          </w:tcPr>
          <w:p w14:paraId="7C21B632" w14:textId="41D595CA" w:rsidR="00DA194B" w:rsidRPr="001B7E8A" w:rsidRDefault="00DA194B" w:rsidP="00741F3E">
            <w:pPr>
              <w:spacing w:after="120"/>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708</w:t>
            </w:r>
          </w:p>
        </w:tc>
        <w:tc>
          <w:tcPr>
            <w:tcW w:w="413" w:type="pct"/>
          </w:tcPr>
          <w:p w14:paraId="616A45F1" w14:textId="5DA71371" w:rsidR="00DA194B" w:rsidRDefault="00DA194B" w:rsidP="00741F3E">
            <w:pPr>
              <w:spacing w:after="120"/>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898</w:t>
            </w:r>
          </w:p>
        </w:tc>
        <w:tc>
          <w:tcPr>
            <w:tcW w:w="413" w:type="pct"/>
          </w:tcPr>
          <w:p w14:paraId="4DA04A37" w14:textId="135241AC" w:rsidR="00DA194B" w:rsidRDefault="00DA194B" w:rsidP="00741F3E">
            <w:pPr>
              <w:spacing w:after="120"/>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682</w:t>
            </w:r>
          </w:p>
        </w:tc>
      </w:tr>
    </w:tbl>
    <w:p w14:paraId="135C617A" w14:textId="1AD5DCDC" w:rsidR="001B7E8A" w:rsidRDefault="001B7E8A" w:rsidP="00741F3E">
      <w:pPr>
        <w:spacing w:after="120"/>
        <w:ind w:left="-210"/>
        <w:textAlignment w:val="baseline"/>
        <w:rPr>
          <w:rFonts w:ascii="Verdana" w:eastAsia="Times New Roman" w:hAnsi="Verdana" w:cs="Times New Roman"/>
          <w:b/>
          <w:sz w:val="19"/>
          <w:szCs w:val="19"/>
          <w:lang w:eastAsia="en-AU"/>
        </w:rPr>
      </w:pPr>
    </w:p>
    <w:p w14:paraId="3EDDAE91" w14:textId="77777777" w:rsidR="0036697B" w:rsidRPr="0036697B" w:rsidRDefault="0036697B" w:rsidP="007067ED">
      <w:pPr>
        <w:spacing w:after="120"/>
        <w:textAlignment w:val="baseline"/>
        <w:rPr>
          <w:rFonts w:ascii="Verdana" w:eastAsia="Times New Roman" w:hAnsi="Verdana" w:cs="Times New Roman"/>
          <w:b/>
          <w:sz w:val="19"/>
          <w:szCs w:val="19"/>
          <w:lang w:eastAsia="en-AU"/>
        </w:rPr>
      </w:pPr>
      <w:r w:rsidRPr="0036697B">
        <w:rPr>
          <w:rFonts w:ascii="Verdana" w:eastAsia="Times New Roman" w:hAnsi="Verdana" w:cs="Times New Roman"/>
          <w:b/>
          <w:sz w:val="19"/>
          <w:szCs w:val="19"/>
          <w:lang w:eastAsia="en-AU"/>
        </w:rPr>
        <w:t>Non-Quarantine and Pre-shipment uses of methyl bromide</w:t>
      </w:r>
    </w:p>
    <w:p w14:paraId="3EDDAE92" w14:textId="577E6619" w:rsidR="00F21E98" w:rsidRDefault="00F21E98" w:rsidP="007067ED">
      <w:pPr>
        <w:spacing w:after="120"/>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Non-quarantine and pre-s</w:t>
      </w:r>
      <w:r w:rsidR="00F52C71">
        <w:rPr>
          <w:rFonts w:ascii="Verdana" w:eastAsia="Times New Roman" w:hAnsi="Verdana" w:cs="Times New Roman"/>
          <w:sz w:val="19"/>
          <w:szCs w:val="19"/>
          <w:lang w:eastAsia="en-AU"/>
        </w:rPr>
        <w:t xml:space="preserve">hipment uses of methyl bromide </w:t>
      </w:r>
      <w:r>
        <w:rPr>
          <w:rFonts w:ascii="Verdana" w:eastAsia="Times New Roman" w:hAnsi="Verdana" w:cs="Times New Roman"/>
          <w:sz w:val="19"/>
          <w:szCs w:val="19"/>
          <w:lang w:eastAsia="en-AU"/>
        </w:rPr>
        <w:t>were phased</w:t>
      </w:r>
      <w:r w:rsidR="00792E16">
        <w:rPr>
          <w:rFonts w:ascii="Verdana" w:eastAsia="Times New Roman" w:hAnsi="Verdana" w:cs="Times New Roman"/>
          <w:sz w:val="19"/>
          <w:szCs w:val="19"/>
          <w:lang w:eastAsia="en-AU"/>
        </w:rPr>
        <w:t xml:space="preserve"> </w:t>
      </w:r>
      <w:r>
        <w:rPr>
          <w:rFonts w:ascii="Verdana" w:eastAsia="Times New Roman" w:hAnsi="Verdana" w:cs="Times New Roman"/>
          <w:sz w:val="19"/>
          <w:szCs w:val="19"/>
          <w:lang w:eastAsia="en-AU"/>
        </w:rPr>
        <w:t xml:space="preserve">out under the Montreal Protocol </w:t>
      </w:r>
      <w:r w:rsidR="00461410">
        <w:rPr>
          <w:rFonts w:ascii="Verdana" w:eastAsia="Times New Roman" w:hAnsi="Verdana" w:cs="Times New Roman"/>
          <w:sz w:val="19"/>
          <w:szCs w:val="19"/>
          <w:lang w:eastAsia="en-AU"/>
        </w:rPr>
        <w:t xml:space="preserve">in developed countries </w:t>
      </w:r>
      <w:r w:rsidR="00792E16">
        <w:rPr>
          <w:rFonts w:ascii="Verdana" w:eastAsia="Times New Roman" w:hAnsi="Verdana" w:cs="Times New Roman"/>
          <w:sz w:val="19"/>
          <w:szCs w:val="19"/>
          <w:lang w:eastAsia="en-AU"/>
        </w:rPr>
        <w:t xml:space="preserve">from </w:t>
      </w:r>
      <w:r>
        <w:rPr>
          <w:rFonts w:ascii="Verdana" w:eastAsia="Times New Roman" w:hAnsi="Verdana" w:cs="Times New Roman"/>
          <w:sz w:val="19"/>
          <w:szCs w:val="19"/>
          <w:lang w:eastAsia="en-AU"/>
        </w:rPr>
        <w:t xml:space="preserve">2005, except for </w:t>
      </w:r>
      <w:r w:rsidR="00F52C71">
        <w:rPr>
          <w:rFonts w:ascii="Verdana" w:eastAsia="Times New Roman" w:hAnsi="Verdana" w:cs="Times New Roman"/>
          <w:sz w:val="19"/>
          <w:szCs w:val="19"/>
          <w:lang w:eastAsia="en-AU"/>
        </w:rPr>
        <w:t xml:space="preserve">critical uses approved </w:t>
      </w:r>
      <w:r w:rsidR="00854B34">
        <w:rPr>
          <w:rFonts w:ascii="Verdana" w:eastAsia="Times New Roman" w:hAnsi="Verdana" w:cs="Times New Roman"/>
          <w:sz w:val="19"/>
          <w:szCs w:val="19"/>
          <w:lang w:eastAsia="en-AU"/>
        </w:rPr>
        <w:t xml:space="preserve">by Parties </w:t>
      </w:r>
      <w:r w:rsidR="00792E16">
        <w:rPr>
          <w:rFonts w:ascii="Verdana" w:eastAsia="Times New Roman" w:hAnsi="Verdana" w:cs="Times New Roman"/>
          <w:sz w:val="19"/>
          <w:szCs w:val="19"/>
          <w:lang w:eastAsia="en-AU"/>
        </w:rPr>
        <w:t>to the Montreal Protocol</w:t>
      </w:r>
      <w:r w:rsidR="00854B34">
        <w:rPr>
          <w:rFonts w:ascii="Verdana" w:eastAsia="Times New Roman" w:hAnsi="Verdana" w:cs="Times New Roman"/>
          <w:sz w:val="19"/>
          <w:szCs w:val="19"/>
          <w:lang w:eastAsia="en-AU"/>
        </w:rPr>
        <w:t xml:space="preserve">. </w:t>
      </w:r>
      <w:r w:rsidR="00F52C71">
        <w:rPr>
          <w:rFonts w:ascii="Verdana" w:eastAsia="Times New Roman" w:hAnsi="Verdana" w:cs="Times New Roman"/>
          <w:sz w:val="19"/>
          <w:szCs w:val="19"/>
          <w:lang w:eastAsia="en-AU"/>
        </w:rPr>
        <w:t xml:space="preserve">Australia </w:t>
      </w:r>
      <w:r w:rsidR="00961056">
        <w:rPr>
          <w:rFonts w:ascii="Verdana" w:eastAsia="Times New Roman" w:hAnsi="Verdana" w:cs="Times New Roman"/>
          <w:sz w:val="19"/>
          <w:szCs w:val="19"/>
          <w:lang w:eastAsia="en-AU"/>
        </w:rPr>
        <w:t xml:space="preserve">started with six critical uses in 2005, </w:t>
      </w:r>
      <w:r w:rsidR="002F0EF0">
        <w:rPr>
          <w:rFonts w:ascii="Verdana" w:eastAsia="Times New Roman" w:hAnsi="Verdana" w:cs="Times New Roman"/>
          <w:sz w:val="19"/>
          <w:szCs w:val="19"/>
          <w:lang w:eastAsia="en-AU"/>
        </w:rPr>
        <w:t xml:space="preserve">and </w:t>
      </w:r>
      <w:r w:rsidR="00961056">
        <w:rPr>
          <w:rFonts w:ascii="Verdana" w:eastAsia="Times New Roman" w:hAnsi="Verdana" w:cs="Times New Roman"/>
          <w:sz w:val="19"/>
          <w:szCs w:val="19"/>
          <w:lang w:eastAsia="en-AU"/>
        </w:rPr>
        <w:t xml:space="preserve">by </w:t>
      </w:r>
      <w:r w:rsidR="00490662">
        <w:rPr>
          <w:rFonts w:ascii="Verdana" w:eastAsia="Times New Roman" w:hAnsi="Verdana" w:cs="Times New Roman"/>
          <w:sz w:val="19"/>
          <w:szCs w:val="19"/>
          <w:lang w:eastAsia="en-AU"/>
        </w:rPr>
        <w:t>2019</w:t>
      </w:r>
      <w:r w:rsidR="00961056">
        <w:rPr>
          <w:rFonts w:ascii="Verdana" w:eastAsia="Times New Roman" w:hAnsi="Verdana" w:cs="Times New Roman"/>
          <w:sz w:val="19"/>
          <w:szCs w:val="19"/>
          <w:lang w:eastAsia="en-AU"/>
        </w:rPr>
        <w:t xml:space="preserve">, </w:t>
      </w:r>
      <w:r w:rsidR="00C37A24">
        <w:rPr>
          <w:rFonts w:ascii="Verdana" w:eastAsia="Times New Roman" w:hAnsi="Verdana" w:cs="Times New Roman"/>
          <w:sz w:val="19"/>
          <w:szCs w:val="19"/>
          <w:lang w:eastAsia="en-AU"/>
        </w:rPr>
        <w:t>is</w:t>
      </w:r>
      <w:r w:rsidR="00854B34">
        <w:rPr>
          <w:rFonts w:ascii="Verdana" w:eastAsia="Times New Roman" w:hAnsi="Verdana" w:cs="Times New Roman"/>
          <w:sz w:val="19"/>
          <w:szCs w:val="19"/>
          <w:lang w:eastAsia="en-AU"/>
        </w:rPr>
        <w:t xml:space="preserve"> down to </w:t>
      </w:r>
      <w:r w:rsidR="00C37A24">
        <w:rPr>
          <w:rFonts w:ascii="Verdana" w:eastAsia="Times New Roman" w:hAnsi="Verdana" w:cs="Times New Roman"/>
          <w:sz w:val="19"/>
          <w:szCs w:val="19"/>
          <w:lang w:eastAsia="en-AU"/>
        </w:rPr>
        <w:t>one critical use for strawberry runners in Victoria,</w:t>
      </w:r>
      <w:r w:rsidR="009B4610">
        <w:rPr>
          <w:rFonts w:ascii="Verdana" w:eastAsia="Times New Roman" w:hAnsi="Verdana" w:cs="Times New Roman"/>
          <w:sz w:val="19"/>
          <w:szCs w:val="19"/>
          <w:lang w:eastAsia="en-AU"/>
        </w:rPr>
        <w:t xml:space="preserve"> </w:t>
      </w:r>
      <w:r w:rsidR="00961056">
        <w:rPr>
          <w:rFonts w:ascii="Verdana" w:eastAsia="Times New Roman" w:hAnsi="Verdana" w:cs="Times New Roman"/>
          <w:sz w:val="19"/>
          <w:szCs w:val="19"/>
          <w:lang w:eastAsia="en-AU"/>
        </w:rPr>
        <w:t xml:space="preserve">for which no </w:t>
      </w:r>
      <w:r w:rsidR="00792E16">
        <w:rPr>
          <w:rFonts w:ascii="Verdana" w:eastAsia="Times New Roman" w:hAnsi="Verdana" w:cs="Times New Roman"/>
          <w:sz w:val="19"/>
          <w:szCs w:val="19"/>
          <w:lang w:eastAsia="en-AU"/>
        </w:rPr>
        <w:t xml:space="preserve">technically or economically </w:t>
      </w:r>
      <w:r w:rsidR="00961056">
        <w:rPr>
          <w:rFonts w:ascii="Verdana" w:eastAsia="Times New Roman" w:hAnsi="Verdana" w:cs="Times New Roman"/>
          <w:sz w:val="19"/>
          <w:szCs w:val="19"/>
          <w:lang w:eastAsia="en-AU"/>
        </w:rPr>
        <w:t xml:space="preserve">suitable alternatives </w:t>
      </w:r>
      <w:r w:rsidR="00DE4588">
        <w:rPr>
          <w:rFonts w:ascii="Verdana" w:eastAsia="Times New Roman" w:hAnsi="Verdana" w:cs="Times New Roman"/>
          <w:sz w:val="19"/>
          <w:szCs w:val="19"/>
          <w:lang w:eastAsia="en-AU"/>
        </w:rPr>
        <w:t>are available</w:t>
      </w:r>
      <w:r w:rsidR="00961056">
        <w:rPr>
          <w:rFonts w:ascii="Verdana" w:eastAsia="Times New Roman" w:hAnsi="Verdana" w:cs="Times New Roman"/>
          <w:sz w:val="19"/>
          <w:szCs w:val="19"/>
          <w:lang w:eastAsia="en-AU"/>
        </w:rPr>
        <w:t xml:space="preserve">. </w:t>
      </w:r>
    </w:p>
    <w:p w14:paraId="14DF7388" w14:textId="704BB37D" w:rsidR="003E6921" w:rsidRDefault="00FC17D6" w:rsidP="007067ED">
      <w:pPr>
        <w:keepNext/>
        <w:spacing w:after="0"/>
        <w:textAlignment w:val="baseline"/>
        <w:rPr>
          <w:rFonts w:ascii="Verdana" w:eastAsia="Times New Roman" w:hAnsi="Verdana" w:cs="Times New Roman"/>
          <w:sz w:val="19"/>
          <w:szCs w:val="19"/>
          <w:u w:val="single"/>
          <w:lang w:eastAsia="en-AU"/>
        </w:rPr>
      </w:pPr>
      <w:r>
        <w:rPr>
          <w:rFonts w:ascii="Verdana" w:eastAsia="Times New Roman" w:hAnsi="Verdana" w:cs="Times New Roman"/>
          <w:sz w:val="19"/>
          <w:szCs w:val="19"/>
          <w:u w:val="single"/>
          <w:lang w:eastAsia="en-AU"/>
        </w:rPr>
        <w:lastRenderedPageBreak/>
        <w:t xml:space="preserve">Graph </w:t>
      </w:r>
      <w:r w:rsidR="009B2E3D">
        <w:rPr>
          <w:rFonts w:ascii="Verdana" w:eastAsia="Times New Roman" w:hAnsi="Verdana" w:cs="Times New Roman"/>
          <w:sz w:val="19"/>
          <w:szCs w:val="19"/>
          <w:u w:val="single"/>
          <w:lang w:eastAsia="en-AU"/>
        </w:rPr>
        <w:t>8</w:t>
      </w:r>
      <w:r w:rsidR="00065586" w:rsidRPr="00065586">
        <w:rPr>
          <w:rFonts w:ascii="Verdana" w:eastAsia="Times New Roman" w:hAnsi="Verdana" w:cs="Times New Roman"/>
          <w:sz w:val="19"/>
          <w:szCs w:val="19"/>
          <w:u w:val="single"/>
          <w:lang w:eastAsia="en-AU"/>
        </w:rPr>
        <w:t xml:space="preserve"> – Australian n</w:t>
      </w:r>
      <w:r w:rsidR="003E6921" w:rsidRPr="00065586">
        <w:rPr>
          <w:rFonts w:ascii="Verdana" w:eastAsia="Times New Roman" w:hAnsi="Verdana" w:cs="Times New Roman"/>
          <w:sz w:val="19"/>
          <w:szCs w:val="19"/>
          <w:u w:val="single"/>
          <w:lang w:eastAsia="en-AU"/>
        </w:rPr>
        <w:t>on-QPS methyl b</w:t>
      </w:r>
      <w:r w:rsidR="001C7B2A">
        <w:rPr>
          <w:rFonts w:ascii="Verdana" w:eastAsia="Times New Roman" w:hAnsi="Verdana" w:cs="Times New Roman"/>
          <w:sz w:val="19"/>
          <w:szCs w:val="19"/>
          <w:u w:val="single"/>
          <w:lang w:eastAsia="en-AU"/>
        </w:rPr>
        <w:t>romide imports from 2007 to 201</w:t>
      </w:r>
      <w:r w:rsidR="00C36037">
        <w:rPr>
          <w:rFonts w:ascii="Verdana" w:eastAsia="Times New Roman" w:hAnsi="Verdana" w:cs="Times New Roman"/>
          <w:sz w:val="19"/>
          <w:szCs w:val="19"/>
          <w:u w:val="single"/>
          <w:lang w:eastAsia="en-AU"/>
        </w:rPr>
        <w:t>9</w:t>
      </w:r>
    </w:p>
    <w:p w14:paraId="0EBC5531" w14:textId="6F11AB4F" w:rsidR="007C4723" w:rsidRDefault="00644A66" w:rsidP="007067ED">
      <w:pPr>
        <w:keepNext/>
        <w:spacing w:after="0"/>
        <w:textAlignment w:val="baseline"/>
        <w:rPr>
          <w:rFonts w:ascii="Verdana" w:eastAsia="Times New Roman" w:hAnsi="Verdana" w:cs="Times New Roman"/>
          <w:sz w:val="19"/>
          <w:szCs w:val="19"/>
          <w:u w:val="single"/>
          <w:lang w:eastAsia="en-AU"/>
        </w:rPr>
      </w:pPr>
      <w:r>
        <w:rPr>
          <w:noProof/>
          <w:lang w:eastAsia="en-AU"/>
        </w:rPr>
        <w:drawing>
          <wp:inline distT="0" distB="0" distL="0" distR="0" wp14:anchorId="13E5DD7A" wp14:editId="7034C392">
            <wp:extent cx="5876925" cy="2800350"/>
            <wp:effectExtent l="0" t="0" r="9525" b="0"/>
            <wp:docPr id="18" name="Chart 18" descr="Graph 8 shows a bar graph of the amount of methyl bromide for non quarantine and pre shipment uses in metric tonnes imported into Australia by year from 2007 to 2019. The graph compares methyl bromide imports by commodity for strawberry runners, rice and cut flowers. The values range from a peak of over 35 metric tonnes imported in 2007 for strawberry runners declining to less than 30 metric tonnes imported from 2009 onwards. Methyl bromide use for rice and cut flowers declines to negligible levels from 2015 onwards."/>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A186108" w14:textId="449081FA" w:rsidR="003E6921" w:rsidRDefault="003E6921" w:rsidP="0086167D">
      <w:pPr>
        <w:spacing w:after="0"/>
        <w:ind w:left="-210"/>
        <w:textAlignment w:val="baseline"/>
        <w:rPr>
          <w:rFonts w:ascii="Verdana" w:eastAsia="Times New Roman" w:hAnsi="Verdana" w:cs="Times New Roman"/>
          <w:sz w:val="19"/>
          <w:szCs w:val="19"/>
          <w:u w:val="single"/>
          <w:lang w:eastAsia="en-AU"/>
        </w:rPr>
      </w:pPr>
    </w:p>
    <w:p w14:paraId="3EDDAE95" w14:textId="5CFD4D12" w:rsidR="00961056" w:rsidRDefault="009B4610" w:rsidP="007067ED">
      <w:pPr>
        <w:spacing w:after="0"/>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 xml:space="preserve">Australia’s </w:t>
      </w:r>
      <w:r w:rsidR="00BA11BC">
        <w:rPr>
          <w:rFonts w:ascii="Verdana" w:eastAsia="Times New Roman" w:hAnsi="Verdana" w:cs="Times New Roman"/>
          <w:sz w:val="19"/>
          <w:szCs w:val="19"/>
          <w:lang w:eastAsia="en-AU"/>
        </w:rPr>
        <w:t>critical uses of methyl bromide</w:t>
      </w:r>
      <w:r>
        <w:rPr>
          <w:rFonts w:ascii="Verdana" w:eastAsia="Times New Roman" w:hAnsi="Verdana" w:cs="Times New Roman"/>
          <w:sz w:val="19"/>
          <w:szCs w:val="19"/>
          <w:lang w:eastAsia="en-AU"/>
        </w:rPr>
        <w:t xml:space="preserve"> have been small compared to the total amount of methyl bromide sought </w:t>
      </w:r>
      <w:r w:rsidR="00461410">
        <w:rPr>
          <w:rFonts w:ascii="Verdana" w:eastAsia="Times New Roman" w:hAnsi="Verdana" w:cs="Times New Roman"/>
          <w:sz w:val="19"/>
          <w:szCs w:val="19"/>
          <w:lang w:eastAsia="en-AU"/>
        </w:rPr>
        <w:t xml:space="preserve">globally </w:t>
      </w:r>
      <w:r>
        <w:rPr>
          <w:rFonts w:ascii="Verdana" w:eastAsia="Times New Roman" w:hAnsi="Verdana" w:cs="Times New Roman"/>
          <w:sz w:val="19"/>
          <w:szCs w:val="19"/>
          <w:lang w:eastAsia="en-AU"/>
        </w:rPr>
        <w:t>thr</w:t>
      </w:r>
      <w:r w:rsidR="00854B34">
        <w:rPr>
          <w:rFonts w:ascii="Verdana" w:eastAsia="Times New Roman" w:hAnsi="Verdana" w:cs="Times New Roman"/>
          <w:sz w:val="19"/>
          <w:szCs w:val="19"/>
          <w:lang w:eastAsia="en-AU"/>
        </w:rPr>
        <w:t>ough the critical use process</w:t>
      </w:r>
      <w:r w:rsidR="003D4B64">
        <w:rPr>
          <w:rFonts w:ascii="Verdana" w:eastAsia="Times New Roman" w:hAnsi="Verdana" w:cs="Times New Roman"/>
          <w:sz w:val="19"/>
          <w:szCs w:val="19"/>
          <w:lang w:eastAsia="en-AU"/>
        </w:rPr>
        <w:t xml:space="preserve">. </w:t>
      </w:r>
      <w:r>
        <w:rPr>
          <w:rFonts w:ascii="Verdana" w:eastAsia="Times New Roman" w:hAnsi="Verdana" w:cs="Times New Roman"/>
          <w:sz w:val="19"/>
          <w:szCs w:val="19"/>
          <w:lang w:eastAsia="en-AU"/>
        </w:rPr>
        <w:t>However, the difficulties in transitioning strawberry runners in Victoria to alternatives</w:t>
      </w:r>
      <w:r w:rsidR="00461410">
        <w:rPr>
          <w:rFonts w:ascii="Verdana" w:eastAsia="Times New Roman" w:hAnsi="Verdana" w:cs="Times New Roman"/>
          <w:sz w:val="19"/>
          <w:szCs w:val="19"/>
          <w:lang w:eastAsia="en-AU"/>
        </w:rPr>
        <w:t xml:space="preserve"> due to the soil type and temperatures</w:t>
      </w:r>
      <w:r>
        <w:rPr>
          <w:rFonts w:ascii="Verdana" w:eastAsia="Times New Roman" w:hAnsi="Verdana" w:cs="Times New Roman"/>
          <w:sz w:val="19"/>
          <w:szCs w:val="19"/>
          <w:lang w:eastAsia="en-AU"/>
        </w:rPr>
        <w:t xml:space="preserve"> means </w:t>
      </w:r>
      <w:r w:rsidR="00905A4B">
        <w:rPr>
          <w:rFonts w:ascii="Verdana" w:eastAsia="Times New Roman" w:hAnsi="Verdana" w:cs="Times New Roman"/>
          <w:sz w:val="19"/>
          <w:szCs w:val="19"/>
          <w:lang w:eastAsia="en-AU"/>
        </w:rPr>
        <w:t>this use is now one of only a</w:t>
      </w:r>
      <w:r w:rsidR="008149B9">
        <w:rPr>
          <w:rFonts w:ascii="Verdana" w:eastAsia="Times New Roman" w:hAnsi="Verdana" w:cs="Times New Roman"/>
          <w:sz w:val="19"/>
          <w:szCs w:val="19"/>
          <w:lang w:eastAsia="en-AU"/>
        </w:rPr>
        <w:t xml:space="preserve"> few remaining globally. </w:t>
      </w:r>
      <w:r w:rsidR="002A3E14">
        <w:rPr>
          <w:rFonts w:ascii="Verdana" w:eastAsia="Times New Roman" w:hAnsi="Verdana" w:cs="Times New Roman"/>
          <w:sz w:val="19"/>
          <w:szCs w:val="19"/>
          <w:lang w:eastAsia="en-AU"/>
        </w:rPr>
        <w:t xml:space="preserve">Australia’s critical uses are a significant proportion of the remaining </w:t>
      </w:r>
      <w:r w:rsidR="008149B9">
        <w:rPr>
          <w:rFonts w:ascii="Verdana" w:eastAsia="Times New Roman" w:hAnsi="Verdana" w:cs="Times New Roman"/>
          <w:sz w:val="19"/>
          <w:szCs w:val="19"/>
          <w:lang w:eastAsia="en-AU"/>
        </w:rPr>
        <w:t xml:space="preserve">global </w:t>
      </w:r>
      <w:r w:rsidR="002A3E14">
        <w:rPr>
          <w:rFonts w:ascii="Verdana" w:eastAsia="Times New Roman" w:hAnsi="Verdana" w:cs="Times New Roman"/>
          <w:sz w:val="19"/>
          <w:szCs w:val="19"/>
          <w:lang w:eastAsia="en-AU"/>
        </w:rPr>
        <w:t>critic</w:t>
      </w:r>
      <w:r w:rsidR="00905A4B">
        <w:rPr>
          <w:rFonts w:ascii="Verdana" w:eastAsia="Times New Roman" w:hAnsi="Verdana" w:cs="Times New Roman"/>
          <w:sz w:val="19"/>
          <w:szCs w:val="19"/>
          <w:lang w:eastAsia="en-AU"/>
        </w:rPr>
        <w:t xml:space="preserve">al uses, despite being under </w:t>
      </w:r>
      <w:r w:rsidR="00487F7A">
        <w:rPr>
          <w:rFonts w:ascii="Verdana" w:eastAsia="Times New Roman" w:hAnsi="Verdana" w:cs="Times New Roman"/>
          <w:sz w:val="19"/>
          <w:szCs w:val="19"/>
          <w:lang w:eastAsia="en-AU"/>
        </w:rPr>
        <w:t>30 </w:t>
      </w:r>
      <w:r w:rsidR="00905A4B">
        <w:rPr>
          <w:rFonts w:ascii="Verdana" w:eastAsia="Times New Roman" w:hAnsi="Verdana" w:cs="Times New Roman"/>
          <w:sz w:val="19"/>
          <w:szCs w:val="19"/>
          <w:lang w:eastAsia="en-AU"/>
        </w:rPr>
        <w:t xml:space="preserve">metric </w:t>
      </w:r>
      <w:r w:rsidR="002A3E14">
        <w:rPr>
          <w:rFonts w:ascii="Verdana" w:eastAsia="Times New Roman" w:hAnsi="Verdana" w:cs="Times New Roman"/>
          <w:sz w:val="19"/>
          <w:szCs w:val="19"/>
          <w:lang w:eastAsia="en-AU"/>
        </w:rPr>
        <w:t xml:space="preserve">tonnes per year. </w:t>
      </w:r>
      <w:r w:rsidR="00ED02D0">
        <w:rPr>
          <w:rFonts w:ascii="Verdana" w:eastAsia="Times New Roman" w:hAnsi="Verdana" w:cs="Times New Roman"/>
          <w:sz w:val="19"/>
          <w:szCs w:val="19"/>
          <w:lang w:eastAsia="en-AU"/>
        </w:rPr>
        <w:t>Canada is the only other non-Article 5 country that was granted a critical use exemption in 2019 for 5.261 tonnes of methyl bromide use on strawberry runners on Prince Edward Island (</w:t>
      </w:r>
      <w:hyperlink r:id="rId20" w:history="1">
        <w:r w:rsidR="00ED02D0" w:rsidRPr="007C61FF">
          <w:rPr>
            <w:rStyle w:val="Hyperlink"/>
            <w:rFonts w:ascii="Verdana" w:eastAsia="Times New Roman" w:hAnsi="Verdana" w:cs="Times New Roman"/>
            <w:sz w:val="19"/>
            <w:szCs w:val="19"/>
            <w:bdr w:val="none" w:sz="0" w:space="0" w:color="auto"/>
            <w:lang w:eastAsia="en-AU"/>
          </w:rPr>
          <w:t>Decision XXX/9</w:t>
        </w:r>
      </w:hyperlink>
      <w:r w:rsidR="00ED02D0">
        <w:rPr>
          <w:rFonts w:ascii="Verdana" w:eastAsia="Times New Roman" w:hAnsi="Verdana" w:cs="Times New Roman"/>
          <w:sz w:val="19"/>
          <w:szCs w:val="19"/>
          <w:lang w:eastAsia="en-AU"/>
        </w:rPr>
        <w:t>).</w:t>
      </w:r>
    </w:p>
    <w:p w14:paraId="0CE0672A" w14:textId="6662EDBE" w:rsidR="00E10620" w:rsidRDefault="00E10620" w:rsidP="00FB5431">
      <w:pPr>
        <w:spacing w:after="0"/>
        <w:ind w:left="-210"/>
        <w:textAlignment w:val="baseline"/>
        <w:rPr>
          <w:rFonts w:ascii="Verdana" w:eastAsia="Times New Roman" w:hAnsi="Verdana" w:cs="Times New Roman"/>
          <w:sz w:val="19"/>
          <w:szCs w:val="19"/>
          <w:lang w:eastAsia="en-AU"/>
        </w:rPr>
      </w:pPr>
    </w:p>
    <w:p w14:paraId="3EDDAE96" w14:textId="719B072F" w:rsidR="00BA11BC" w:rsidRDefault="00FC17D6" w:rsidP="00CB1134">
      <w:pPr>
        <w:spacing w:after="0"/>
        <w:textAlignment w:val="baseline"/>
        <w:rPr>
          <w:rFonts w:ascii="Verdana" w:eastAsia="Times New Roman" w:hAnsi="Verdana" w:cs="Times New Roman"/>
          <w:sz w:val="19"/>
          <w:szCs w:val="19"/>
          <w:u w:val="single"/>
          <w:lang w:eastAsia="en-AU"/>
        </w:rPr>
      </w:pPr>
      <w:r>
        <w:rPr>
          <w:rFonts w:ascii="Verdana" w:eastAsia="Times New Roman" w:hAnsi="Verdana" w:cs="Times New Roman"/>
          <w:sz w:val="19"/>
          <w:szCs w:val="19"/>
          <w:u w:val="single"/>
          <w:lang w:eastAsia="en-AU"/>
        </w:rPr>
        <w:t xml:space="preserve">Graph </w:t>
      </w:r>
      <w:r w:rsidR="009B2E3D">
        <w:rPr>
          <w:rFonts w:ascii="Verdana" w:eastAsia="Times New Roman" w:hAnsi="Verdana" w:cs="Times New Roman"/>
          <w:sz w:val="19"/>
          <w:szCs w:val="19"/>
          <w:u w:val="single"/>
          <w:lang w:eastAsia="en-AU"/>
        </w:rPr>
        <w:t>9</w:t>
      </w:r>
      <w:r w:rsidR="00905A4B" w:rsidRPr="00905A4B">
        <w:rPr>
          <w:rFonts w:ascii="Verdana" w:eastAsia="Times New Roman" w:hAnsi="Verdana" w:cs="Times New Roman"/>
          <w:sz w:val="19"/>
          <w:szCs w:val="19"/>
          <w:u w:val="single"/>
          <w:lang w:eastAsia="en-AU"/>
        </w:rPr>
        <w:t xml:space="preserve"> – Australian non-QPS methyl bromide imports </w:t>
      </w:r>
      <w:r w:rsidR="001C7B2A">
        <w:rPr>
          <w:rFonts w:ascii="Verdana" w:eastAsia="Times New Roman" w:hAnsi="Verdana" w:cs="Times New Roman"/>
          <w:sz w:val="19"/>
          <w:szCs w:val="19"/>
          <w:u w:val="single"/>
          <w:lang w:eastAsia="en-AU"/>
        </w:rPr>
        <w:t>v all non-A5 imports 2010</w:t>
      </w:r>
      <w:r w:rsidR="00905A4B">
        <w:rPr>
          <w:rFonts w:ascii="Verdana" w:eastAsia="Times New Roman" w:hAnsi="Verdana" w:cs="Times New Roman"/>
          <w:sz w:val="19"/>
          <w:szCs w:val="19"/>
          <w:u w:val="single"/>
          <w:lang w:eastAsia="en-AU"/>
        </w:rPr>
        <w:t xml:space="preserve"> to </w:t>
      </w:r>
      <w:r w:rsidR="001C7B2A">
        <w:rPr>
          <w:rFonts w:ascii="Verdana" w:eastAsia="Times New Roman" w:hAnsi="Verdana" w:cs="Times New Roman"/>
          <w:sz w:val="19"/>
          <w:szCs w:val="19"/>
          <w:u w:val="single"/>
          <w:lang w:eastAsia="en-AU"/>
        </w:rPr>
        <w:t>201</w:t>
      </w:r>
      <w:r w:rsidR="00C36037">
        <w:rPr>
          <w:rFonts w:ascii="Verdana" w:eastAsia="Times New Roman" w:hAnsi="Verdana" w:cs="Times New Roman"/>
          <w:sz w:val="19"/>
          <w:szCs w:val="19"/>
          <w:u w:val="single"/>
          <w:lang w:eastAsia="en-AU"/>
        </w:rPr>
        <w:t>9</w:t>
      </w:r>
    </w:p>
    <w:p w14:paraId="3238595E" w14:textId="39FC126A" w:rsidR="003E6921" w:rsidRDefault="00A37B71" w:rsidP="00CB1134">
      <w:pPr>
        <w:spacing w:after="0"/>
        <w:textAlignment w:val="baseline"/>
        <w:rPr>
          <w:rFonts w:ascii="Verdana" w:eastAsia="Times New Roman" w:hAnsi="Verdana" w:cs="Times New Roman"/>
          <w:sz w:val="19"/>
          <w:szCs w:val="19"/>
          <w:u w:val="single"/>
          <w:lang w:eastAsia="en-AU"/>
        </w:rPr>
      </w:pPr>
      <w:r>
        <w:rPr>
          <w:noProof/>
          <w:lang w:eastAsia="en-AU"/>
        </w:rPr>
        <w:drawing>
          <wp:inline distT="0" distB="0" distL="0" distR="0" wp14:anchorId="165B4141" wp14:editId="63148177">
            <wp:extent cx="5819775" cy="3324225"/>
            <wp:effectExtent l="0" t="0" r="9525" b="9525"/>
            <wp:docPr id="22" name="Chart 22" descr="Graph 9 shows a line graph of the amount of methyl bromide imported for non quarantine and pre shipment uses by developed countries in metric tonnes for the years 2010 to 2019. The values range from a peak of over 3000 metric tonnes imported by non Article 5 countries in 2010 steadily declining to negligible levels from 2017 onwards. In comparison, methyl bromide imported by Australia for non quarantine and pre shipment purposes is negligible."/>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EDDAE97" w14:textId="37DA1FC0" w:rsidR="005132C2" w:rsidRDefault="005132C2" w:rsidP="00E76327">
      <w:pPr>
        <w:spacing w:after="0"/>
        <w:ind w:left="-210"/>
        <w:textAlignment w:val="baseline"/>
        <w:rPr>
          <w:rFonts w:ascii="Verdana" w:eastAsia="Times New Roman" w:hAnsi="Verdana" w:cs="Times New Roman"/>
          <w:sz w:val="19"/>
          <w:szCs w:val="19"/>
          <w:u w:val="single"/>
          <w:lang w:eastAsia="en-AU"/>
        </w:rPr>
      </w:pPr>
    </w:p>
    <w:p w14:paraId="3EDDAE99" w14:textId="77777777" w:rsidR="00F23365" w:rsidRDefault="00F23365" w:rsidP="00F23365">
      <w:pPr>
        <w:spacing w:after="0"/>
        <w:ind w:left="-210"/>
        <w:textAlignment w:val="baseline"/>
        <w:rPr>
          <w:rFonts w:ascii="Verdana" w:eastAsia="Times New Roman" w:hAnsi="Verdana" w:cs="Times New Roman"/>
          <w:b/>
          <w:sz w:val="19"/>
          <w:szCs w:val="19"/>
          <w:lang w:eastAsia="en-AU"/>
        </w:rPr>
      </w:pPr>
    </w:p>
    <w:p w14:paraId="0E217EBE" w14:textId="583B8508" w:rsidR="00ED6237" w:rsidRPr="00ED6237" w:rsidRDefault="00ED6237" w:rsidP="00CB1134">
      <w:pPr>
        <w:keepNext/>
        <w:spacing w:after="0"/>
        <w:textAlignment w:val="baseline"/>
        <w:rPr>
          <w:rFonts w:ascii="Verdana" w:eastAsia="Times New Roman" w:hAnsi="Verdana" w:cs="Times New Roman"/>
          <w:sz w:val="19"/>
          <w:szCs w:val="19"/>
          <w:u w:val="single"/>
          <w:lang w:eastAsia="en-AU"/>
        </w:rPr>
      </w:pPr>
      <w:r w:rsidRPr="00ED6237">
        <w:rPr>
          <w:rFonts w:ascii="Verdana" w:eastAsia="Times New Roman" w:hAnsi="Verdana" w:cs="Times New Roman"/>
          <w:sz w:val="19"/>
          <w:szCs w:val="19"/>
          <w:u w:val="single"/>
          <w:lang w:eastAsia="en-AU"/>
        </w:rPr>
        <w:lastRenderedPageBreak/>
        <w:t xml:space="preserve">Table </w:t>
      </w:r>
      <w:r w:rsidR="00590498">
        <w:rPr>
          <w:rFonts w:ascii="Verdana" w:eastAsia="Times New Roman" w:hAnsi="Verdana" w:cs="Times New Roman"/>
          <w:sz w:val="19"/>
          <w:szCs w:val="19"/>
          <w:u w:val="single"/>
          <w:lang w:eastAsia="en-AU"/>
        </w:rPr>
        <w:t>6</w:t>
      </w:r>
      <w:r w:rsidRPr="00ED6237">
        <w:rPr>
          <w:rFonts w:ascii="Verdana" w:eastAsia="Times New Roman" w:hAnsi="Verdana" w:cs="Times New Roman"/>
          <w:sz w:val="19"/>
          <w:szCs w:val="19"/>
          <w:u w:val="single"/>
          <w:lang w:eastAsia="en-AU"/>
        </w:rPr>
        <w:t xml:space="preserve"> – Australian non-QPS methyl bromide </w:t>
      </w:r>
      <w:r w:rsidR="007C4723">
        <w:rPr>
          <w:rFonts w:ascii="Verdana" w:eastAsia="Times New Roman" w:hAnsi="Verdana" w:cs="Times New Roman"/>
          <w:sz w:val="19"/>
          <w:szCs w:val="19"/>
          <w:u w:val="single"/>
          <w:lang w:eastAsia="en-AU"/>
        </w:rPr>
        <w:t xml:space="preserve">versus global </w:t>
      </w:r>
      <w:r w:rsidR="000E2B87">
        <w:rPr>
          <w:rFonts w:ascii="Verdana" w:eastAsia="Times New Roman" w:hAnsi="Verdana" w:cs="Times New Roman"/>
          <w:sz w:val="19"/>
          <w:szCs w:val="19"/>
          <w:u w:val="single"/>
          <w:lang w:eastAsia="en-AU"/>
        </w:rPr>
        <w:t xml:space="preserve">non-A5 </w:t>
      </w:r>
      <w:r w:rsidR="007C4723">
        <w:rPr>
          <w:rFonts w:ascii="Verdana" w:eastAsia="Times New Roman" w:hAnsi="Verdana" w:cs="Times New Roman"/>
          <w:sz w:val="19"/>
          <w:szCs w:val="19"/>
          <w:u w:val="single"/>
          <w:lang w:eastAsia="en-AU"/>
        </w:rPr>
        <w:t>imports (20</w:t>
      </w:r>
      <w:r w:rsidR="009B2E3D">
        <w:rPr>
          <w:rFonts w:ascii="Verdana" w:eastAsia="Times New Roman" w:hAnsi="Verdana" w:cs="Times New Roman"/>
          <w:sz w:val="19"/>
          <w:szCs w:val="19"/>
          <w:u w:val="single"/>
          <w:lang w:eastAsia="en-AU"/>
        </w:rPr>
        <w:t>10</w:t>
      </w:r>
      <w:r w:rsidR="007C4723">
        <w:rPr>
          <w:rFonts w:ascii="Verdana" w:eastAsia="Times New Roman" w:hAnsi="Verdana" w:cs="Times New Roman"/>
          <w:sz w:val="19"/>
          <w:szCs w:val="19"/>
          <w:u w:val="single"/>
          <w:lang w:eastAsia="en-AU"/>
        </w:rPr>
        <w:t>-201</w:t>
      </w:r>
      <w:r w:rsidR="00C36037">
        <w:rPr>
          <w:rFonts w:ascii="Verdana" w:eastAsia="Times New Roman" w:hAnsi="Verdana" w:cs="Times New Roman"/>
          <w:sz w:val="19"/>
          <w:szCs w:val="19"/>
          <w:u w:val="single"/>
          <w:lang w:eastAsia="en-AU"/>
        </w:rPr>
        <w:t>9</w:t>
      </w:r>
      <w:r w:rsidRPr="00ED6237">
        <w:rPr>
          <w:rFonts w:ascii="Verdana" w:eastAsia="Times New Roman" w:hAnsi="Verdana" w:cs="Times New Roman"/>
          <w:sz w:val="19"/>
          <w:szCs w:val="19"/>
          <w:u w:val="single"/>
          <w:lang w:eastAsia="en-AU"/>
        </w:rPr>
        <w:t>)</w:t>
      </w:r>
    </w:p>
    <w:tbl>
      <w:tblPr>
        <w:tblStyle w:val="TableGrid"/>
        <w:tblW w:w="5000" w:type="pct"/>
        <w:tblLook w:val="04A0" w:firstRow="1" w:lastRow="0" w:firstColumn="1" w:lastColumn="0" w:noHBand="0" w:noVBand="1"/>
      </w:tblPr>
      <w:tblGrid>
        <w:gridCol w:w="1410"/>
        <w:gridCol w:w="769"/>
        <w:gridCol w:w="769"/>
        <w:gridCol w:w="769"/>
        <w:gridCol w:w="757"/>
        <w:gridCol w:w="757"/>
        <w:gridCol w:w="757"/>
        <w:gridCol w:w="757"/>
        <w:gridCol w:w="757"/>
        <w:gridCol w:w="757"/>
        <w:gridCol w:w="757"/>
      </w:tblGrid>
      <w:tr w:rsidR="009B2E3D" w14:paraId="7A03CC35" w14:textId="3225A8E4" w:rsidTr="00CB1134">
        <w:trPr>
          <w:trHeight w:val="454"/>
        </w:trPr>
        <w:tc>
          <w:tcPr>
            <w:tcW w:w="850" w:type="pct"/>
          </w:tcPr>
          <w:p w14:paraId="1362C992" w14:textId="70F9DAAC" w:rsidR="009B2E3D" w:rsidRDefault="009B2E3D" w:rsidP="00FB5431">
            <w:pPr>
              <w:keepNext/>
              <w:textAlignment w:val="baseline"/>
              <w:rPr>
                <w:rFonts w:ascii="Verdana" w:eastAsia="Times New Roman" w:hAnsi="Verdana" w:cs="Times New Roman"/>
                <w:b/>
                <w:sz w:val="19"/>
                <w:szCs w:val="19"/>
                <w:lang w:eastAsia="en-AU"/>
              </w:rPr>
            </w:pPr>
            <w:r>
              <w:rPr>
                <w:rFonts w:ascii="Verdana" w:eastAsia="Times New Roman" w:hAnsi="Verdana" w:cs="Times New Roman"/>
                <w:b/>
                <w:sz w:val="19"/>
                <w:szCs w:val="19"/>
                <w:lang w:eastAsia="en-AU"/>
              </w:rPr>
              <w:t>(metric tonnes)</w:t>
            </w:r>
          </w:p>
        </w:tc>
        <w:tc>
          <w:tcPr>
            <w:tcW w:w="420" w:type="pct"/>
          </w:tcPr>
          <w:p w14:paraId="0C311B00" w14:textId="2468EE70" w:rsidR="009B2E3D" w:rsidRDefault="009B2E3D" w:rsidP="00FB5431">
            <w:pPr>
              <w:keepNext/>
              <w:textAlignment w:val="baseline"/>
              <w:rPr>
                <w:rFonts w:ascii="Verdana" w:eastAsia="Times New Roman" w:hAnsi="Verdana" w:cs="Times New Roman"/>
                <w:b/>
                <w:sz w:val="19"/>
                <w:szCs w:val="19"/>
                <w:lang w:eastAsia="en-AU"/>
              </w:rPr>
            </w:pPr>
            <w:r>
              <w:rPr>
                <w:rFonts w:ascii="Verdana" w:eastAsia="Times New Roman" w:hAnsi="Verdana" w:cs="Times New Roman"/>
                <w:b/>
                <w:sz w:val="19"/>
                <w:szCs w:val="19"/>
                <w:lang w:eastAsia="en-AU"/>
              </w:rPr>
              <w:t>2010</w:t>
            </w:r>
          </w:p>
        </w:tc>
        <w:tc>
          <w:tcPr>
            <w:tcW w:w="420" w:type="pct"/>
          </w:tcPr>
          <w:p w14:paraId="52E575E3" w14:textId="689001E5" w:rsidR="009B2E3D" w:rsidRDefault="009B2E3D" w:rsidP="00FB5431">
            <w:pPr>
              <w:keepNext/>
              <w:textAlignment w:val="baseline"/>
              <w:rPr>
                <w:rFonts w:ascii="Verdana" w:eastAsia="Times New Roman" w:hAnsi="Verdana" w:cs="Times New Roman"/>
                <w:b/>
                <w:sz w:val="19"/>
                <w:szCs w:val="19"/>
                <w:lang w:eastAsia="en-AU"/>
              </w:rPr>
            </w:pPr>
            <w:r>
              <w:rPr>
                <w:rFonts w:ascii="Verdana" w:eastAsia="Times New Roman" w:hAnsi="Verdana" w:cs="Times New Roman"/>
                <w:b/>
                <w:sz w:val="19"/>
                <w:szCs w:val="19"/>
                <w:lang w:eastAsia="en-AU"/>
              </w:rPr>
              <w:t>2011</w:t>
            </w:r>
          </w:p>
        </w:tc>
        <w:tc>
          <w:tcPr>
            <w:tcW w:w="420" w:type="pct"/>
          </w:tcPr>
          <w:p w14:paraId="47E869B8" w14:textId="77A5ABC5" w:rsidR="009B2E3D" w:rsidRDefault="009B2E3D" w:rsidP="00FB5431">
            <w:pPr>
              <w:keepNext/>
              <w:textAlignment w:val="baseline"/>
              <w:rPr>
                <w:rFonts w:ascii="Verdana" w:eastAsia="Times New Roman" w:hAnsi="Verdana" w:cs="Times New Roman"/>
                <w:b/>
                <w:sz w:val="19"/>
                <w:szCs w:val="19"/>
                <w:lang w:eastAsia="en-AU"/>
              </w:rPr>
            </w:pPr>
            <w:r>
              <w:rPr>
                <w:rFonts w:ascii="Verdana" w:eastAsia="Times New Roman" w:hAnsi="Verdana" w:cs="Times New Roman"/>
                <w:b/>
                <w:sz w:val="19"/>
                <w:szCs w:val="19"/>
                <w:lang w:eastAsia="en-AU"/>
              </w:rPr>
              <w:t>2012</w:t>
            </w:r>
          </w:p>
        </w:tc>
        <w:tc>
          <w:tcPr>
            <w:tcW w:w="413" w:type="pct"/>
          </w:tcPr>
          <w:p w14:paraId="3A2C9308" w14:textId="29BB8EE4" w:rsidR="009B2E3D" w:rsidRDefault="009B2E3D" w:rsidP="00FB5431">
            <w:pPr>
              <w:keepNext/>
              <w:textAlignment w:val="baseline"/>
              <w:rPr>
                <w:rFonts w:ascii="Verdana" w:eastAsia="Times New Roman" w:hAnsi="Verdana" w:cs="Times New Roman"/>
                <w:b/>
                <w:sz w:val="19"/>
                <w:szCs w:val="19"/>
                <w:lang w:eastAsia="en-AU"/>
              </w:rPr>
            </w:pPr>
            <w:r>
              <w:rPr>
                <w:rFonts w:ascii="Verdana" w:eastAsia="Times New Roman" w:hAnsi="Verdana" w:cs="Times New Roman"/>
                <w:b/>
                <w:sz w:val="19"/>
                <w:szCs w:val="19"/>
                <w:lang w:eastAsia="en-AU"/>
              </w:rPr>
              <w:t>2013</w:t>
            </w:r>
          </w:p>
        </w:tc>
        <w:tc>
          <w:tcPr>
            <w:tcW w:w="413" w:type="pct"/>
          </w:tcPr>
          <w:p w14:paraId="5B1175EB" w14:textId="1B659114" w:rsidR="009B2E3D" w:rsidRDefault="009B2E3D" w:rsidP="00FB5431">
            <w:pPr>
              <w:keepNext/>
              <w:textAlignment w:val="baseline"/>
              <w:rPr>
                <w:rFonts w:ascii="Verdana" w:eastAsia="Times New Roman" w:hAnsi="Verdana" w:cs="Times New Roman"/>
                <w:b/>
                <w:sz w:val="19"/>
                <w:szCs w:val="19"/>
                <w:lang w:eastAsia="en-AU"/>
              </w:rPr>
            </w:pPr>
            <w:r>
              <w:rPr>
                <w:rFonts w:ascii="Verdana" w:eastAsia="Times New Roman" w:hAnsi="Verdana" w:cs="Times New Roman"/>
                <w:b/>
                <w:sz w:val="19"/>
                <w:szCs w:val="19"/>
                <w:lang w:eastAsia="en-AU"/>
              </w:rPr>
              <w:t>2014</w:t>
            </w:r>
          </w:p>
        </w:tc>
        <w:tc>
          <w:tcPr>
            <w:tcW w:w="413" w:type="pct"/>
          </w:tcPr>
          <w:p w14:paraId="47E5944F" w14:textId="227B7459" w:rsidR="009B2E3D" w:rsidRDefault="009B2E3D" w:rsidP="00FB5431">
            <w:pPr>
              <w:keepNext/>
              <w:textAlignment w:val="baseline"/>
              <w:rPr>
                <w:rFonts w:ascii="Verdana" w:eastAsia="Times New Roman" w:hAnsi="Verdana" w:cs="Times New Roman"/>
                <w:b/>
                <w:sz w:val="19"/>
                <w:szCs w:val="19"/>
                <w:lang w:eastAsia="en-AU"/>
              </w:rPr>
            </w:pPr>
            <w:r>
              <w:rPr>
                <w:rFonts w:ascii="Verdana" w:eastAsia="Times New Roman" w:hAnsi="Verdana" w:cs="Times New Roman"/>
                <w:b/>
                <w:sz w:val="19"/>
                <w:szCs w:val="19"/>
                <w:lang w:eastAsia="en-AU"/>
              </w:rPr>
              <w:t>2015</w:t>
            </w:r>
          </w:p>
        </w:tc>
        <w:tc>
          <w:tcPr>
            <w:tcW w:w="413" w:type="pct"/>
          </w:tcPr>
          <w:p w14:paraId="4D776FAB" w14:textId="752B4A21" w:rsidR="009B2E3D" w:rsidRDefault="009B2E3D" w:rsidP="00FB5431">
            <w:pPr>
              <w:keepNext/>
              <w:textAlignment w:val="baseline"/>
              <w:rPr>
                <w:rFonts w:ascii="Verdana" w:eastAsia="Times New Roman" w:hAnsi="Verdana" w:cs="Times New Roman"/>
                <w:b/>
                <w:sz w:val="19"/>
                <w:szCs w:val="19"/>
                <w:lang w:eastAsia="en-AU"/>
              </w:rPr>
            </w:pPr>
            <w:r>
              <w:rPr>
                <w:rFonts w:ascii="Verdana" w:eastAsia="Times New Roman" w:hAnsi="Verdana" w:cs="Times New Roman"/>
                <w:b/>
                <w:sz w:val="19"/>
                <w:szCs w:val="19"/>
                <w:lang w:eastAsia="en-AU"/>
              </w:rPr>
              <w:t>2016</w:t>
            </w:r>
          </w:p>
        </w:tc>
        <w:tc>
          <w:tcPr>
            <w:tcW w:w="413" w:type="pct"/>
          </w:tcPr>
          <w:p w14:paraId="30912EAF" w14:textId="66B92EFF" w:rsidR="009B2E3D" w:rsidRDefault="009B2E3D" w:rsidP="00FB5431">
            <w:pPr>
              <w:keepNext/>
              <w:textAlignment w:val="baseline"/>
              <w:rPr>
                <w:rFonts w:ascii="Verdana" w:eastAsia="Times New Roman" w:hAnsi="Verdana" w:cs="Times New Roman"/>
                <w:b/>
                <w:sz w:val="19"/>
                <w:szCs w:val="19"/>
                <w:lang w:eastAsia="en-AU"/>
              </w:rPr>
            </w:pPr>
            <w:r>
              <w:rPr>
                <w:rFonts w:ascii="Verdana" w:eastAsia="Times New Roman" w:hAnsi="Verdana" w:cs="Times New Roman"/>
                <w:b/>
                <w:sz w:val="19"/>
                <w:szCs w:val="19"/>
                <w:lang w:eastAsia="en-AU"/>
              </w:rPr>
              <w:t>2017</w:t>
            </w:r>
          </w:p>
        </w:tc>
        <w:tc>
          <w:tcPr>
            <w:tcW w:w="413" w:type="pct"/>
          </w:tcPr>
          <w:p w14:paraId="24EF7F1B" w14:textId="3B81D89F" w:rsidR="009B2E3D" w:rsidRDefault="009B2E3D" w:rsidP="00FB5431">
            <w:pPr>
              <w:keepNext/>
              <w:textAlignment w:val="baseline"/>
              <w:rPr>
                <w:rFonts w:ascii="Verdana" w:eastAsia="Times New Roman" w:hAnsi="Verdana" w:cs="Times New Roman"/>
                <w:b/>
                <w:sz w:val="19"/>
                <w:szCs w:val="19"/>
                <w:lang w:eastAsia="en-AU"/>
              </w:rPr>
            </w:pPr>
            <w:r>
              <w:rPr>
                <w:rFonts w:ascii="Verdana" w:eastAsia="Times New Roman" w:hAnsi="Verdana" w:cs="Times New Roman"/>
                <w:b/>
                <w:sz w:val="19"/>
                <w:szCs w:val="19"/>
                <w:lang w:eastAsia="en-AU"/>
              </w:rPr>
              <w:t>2018</w:t>
            </w:r>
          </w:p>
        </w:tc>
        <w:tc>
          <w:tcPr>
            <w:tcW w:w="413" w:type="pct"/>
          </w:tcPr>
          <w:p w14:paraId="69CCF9DC" w14:textId="7F602F6A" w:rsidR="009B2E3D" w:rsidRDefault="009B2E3D" w:rsidP="00FB5431">
            <w:pPr>
              <w:keepNext/>
              <w:textAlignment w:val="baseline"/>
              <w:rPr>
                <w:rFonts w:ascii="Verdana" w:eastAsia="Times New Roman" w:hAnsi="Verdana" w:cs="Times New Roman"/>
                <w:b/>
                <w:sz w:val="19"/>
                <w:szCs w:val="19"/>
                <w:lang w:eastAsia="en-AU"/>
              </w:rPr>
            </w:pPr>
            <w:r>
              <w:rPr>
                <w:rFonts w:ascii="Verdana" w:eastAsia="Times New Roman" w:hAnsi="Verdana" w:cs="Times New Roman"/>
                <w:b/>
                <w:sz w:val="19"/>
                <w:szCs w:val="19"/>
                <w:lang w:eastAsia="en-AU"/>
              </w:rPr>
              <w:t>2019</w:t>
            </w:r>
          </w:p>
        </w:tc>
      </w:tr>
      <w:tr w:rsidR="009B2E3D" w14:paraId="2DE759BF" w14:textId="779A4E40" w:rsidTr="00CB1134">
        <w:trPr>
          <w:trHeight w:val="454"/>
        </w:trPr>
        <w:tc>
          <w:tcPr>
            <w:tcW w:w="850" w:type="pct"/>
          </w:tcPr>
          <w:p w14:paraId="7EBE0C54" w14:textId="24B5D650" w:rsidR="009B2E3D" w:rsidRDefault="009B2E3D" w:rsidP="00FB5431">
            <w:pPr>
              <w:keepNext/>
              <w:textAlignment w:val="baseline"/>
              <w:rPr>
                <w:rFonts w:ascii="Verdana" w:eastAsia="Times New Roman" w:hAnsi="Verdana" w:cs="Times New Roman"/>
                <w:b/>
                <w:sz w:val="19"/>
                <w:szCs w:val="19"/>
                <w:lang w:eastAsia="en-AU"/>
              </w:rPr>
            </w:pPr>
            <w:r>
              <w:rPr>
                <w:rFonts w:ascii="Verdana" w:eastAsia="Times New Roman" w:hAnsi="Verdana" w:cs="Times New Roman"/>
                <w:b/>
                <w:sz w:val="19"/>
                <w:szCs w:val="19"/>
                <w:lang w:eastAsia="en-AU"/>
              </w:rPr>
              <w:t>Australia</w:t>
            </w:r>
          </w:p>
        </w:tc>
        <w:tc>
          <w:tcPr>
            <w:tcW w:w="420" w:type="pct"/>
          </w:tcPr>
          <w:p w14:paraId="2C6013B7" w14:textId="262F26E4" w:rsidR="009B2E3D" w:rsidRPr="00ED6237" w:rsidRDefault="009B2E3D" w:rsidP="00FB5431">
            <w:pPr>
              <w:keepNext/>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34</w:t>
            </w:r>
          </w:p>
        </w:tc>
        <w:tc>
          <w:tcPr>
            <w:tcW w:w="420" w:type="pct"/>
          </w:tcPr>
          <w:p w14:paraId="7CE12992" w14:textId="79F3B9F0" w:rsidR="009B2E3D" w:rsidRPr="00ED6237" w:rsidRDefault="009B2E3D" w:rsidP="00FB5431">
            <w:pPr>
              <w:keepNext/>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33</w:t>
            </w:r>
          </w:p>
        </w:tc>
        <w:tc>
          <w:tcPr>
            <w:tcW w:w="420" w:type="pct"/>
          </w:tcPr>
          <w:p w14:paraId="6504BAED" w14:textId="16312679" w:rsidR="009B2E3D" w:rsidRPr="00ED6237" w:rsidRDefault="009B2E3D" w:rsidP="00FB5431">
            <w:pPr>
              <w:keepNext/>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33</w:t>
            </w:r>
          </w:p>
        </w:tc>
        <w:tc>
          <w:tcPr>
            <w:tcW w:w="413" w:type="pct"/>
          </w:tcPr>
          <w:p w14:paraId="0183FDBA" w14:textId="769DB437" w:rsidR="009B2E3D" w:rsidRPr="00ED6237" w:rsidRDefault="009B2E3D" w:rsidP="00FB5431">
            <w:pPr>
              <w:keepNext/>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31</w:t>
            </w:r>
          </w:p>
        </w:tc>
        <w:tc>
          <w:tcPr>
            <w:tcW w:w="413" w:type="pct"/>
          </w:tcPr>
          <w:p w14:paraId="3FA98410" w14:textId="1B178E08" w:rsidR="009B2E3D" w:rsidRPr="00ED6237" w:rsidRDefault="009B2E3D" w:rsidP="00FB5431">
            <w:pPr>
              <w:keepNext/>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30</w:t>
            </w:r>
          </w:p>
        </w:tc>
        <w:tc>
          <w:tcPr>
            <w:tcW w:w="413" w:type="pct"/>
          </w:tcPr>
          <w:p w14:paraId="653C3C31" w14:textId="71B079AF" w:rsidR="009B2E3D" w:rsidRPr="00ED6237" w:rsidRDefault="009B2E3D" w:rsidP="00FB5431">
            <w:pPr>
              <w:keepNext/>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30</w:t>
            </w:r>
          </w:p>
        </w:tc>
        <w:tc>
          <w:tcPr>
            <w:tcW w:w="413" w:type="pct"/>
          </w:tcPr>
          <w:p w14:paraId="52DE1C0F" w14:textId="1A3911EF" w:rsidR="009B2E3D" w:rsidRPr="00ED6237" w:rsidRDefault="009B2E3D" w:rsidP="00FB5431">
            <w:pPr>
              <w:keepNext/>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30</w:t>
            </w:r>
          </w:p>
        </w:tc>
        <w:tc>
          <w:tcPr>
            <w:tcW w:w="413" w:type="pct"/>
          </w:tcPr>
          <w:p w14:paraId="4CC7ADA3" w14:textId="694CDE3A" w:rsidR="009B2E3D" w:rsidRDefault="009B2E3D" w:rsidP="00FB5431">
            <w:pPr>
              <w:keepNext/>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30</w:t>
            </w:r>
          </w:p>
        </w:tc>
        <w:tc>
          <w:tcPr>
            <w:tcW w:w="413" w:type="pct"/>
          </w:tcPr>
          <w:p w14:paraId="0217D0DF" w14:textId="79E87BB9" w:rsidR="009B2E3D" w:rsidRDefault="009B2E3D" w:rsidP="00FB5431">
            <w:pPr>
              <w:keepNext/>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30</w:t>
            </w:r>
          </w:p>
        </w:tc>
        <w:tc>
          <w:tcPr>
            <w:tcW w:w="413" w:type="pct"/>
          </w:tcPr>
          <w:p w14:paraId="75B8EB93" w14:textId="050AEB61" w:rsidR="009B2E3D" w:rsidRDefault="009B2E3D" w:rsidP="00FB5431">
            <w:pPr>
              <w:keepNext/>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29</w:t>
            </w:r>
          </w:p>
        </w:tc>
      </w:tr>
      <w:tr w:rsidR="009B2E3D" w14:paraId="5C15E8F0" w14:textId="52327032" w:rsidTr="00CB1134">
        <w:trPr>
          <w:trHeight w:val="454"/>
        </w:trPr>
        <w:tc>
          <w:tcPr>
            <w:tcW w:w="850" w:type="pct"/>
          </w:tcPr>
          <w:p w14:paraId="1F6AB640" w14:textId="38C8232A" w:rsidR="009B2E3D" w:rsidRDefault="009B2E3D" w:rsidP="00FB5431">
            <w:pPr>
              <w:keepNext/>
              <w:textAlignment w:val="baseline"/>
              <w:rPr>
                <w:rFonts w:ascii="Verdana" w:eastAsia="Times New Roman" w:hAnsi="Verdana" w:cs="Times New Roman"/>
                <w:b/>
                <w:sz w:val="19"/>
                <w:szCs w:val="19"/>
                <w:lang w:eastAsia="en-AU"/>
              </w:rPr>
            </w:pPr>
            <w:r>
              <w:rPr>
                <w:rFonts w:ascii="Verdana" w:eastAsia="Times New Roman" w:hAnsi="Verdana" w:cs="Times New Roman"/>
                <w:b/>
                <w:sz w:val="19"/>
                <w:szCs w:val="19"/>
                <w:lang w:eastAsia="en-AU"/>
              </w:rPr>
              <w:t>Global</w:t>
            </w:r>
          </w:p>
        </w:tc>
        <w:tc>
          <w:tcPr>
            <w:tcW w:w="420" w:type="pct"/>
          </w:tcPr>
          <w:p w14:paraId="76CA51D8" w14:textId="68584326" w:rsidR="009B2E3D" w:rsidRPr="00ED6237" w:rsidRDefault="009B2E3D" w:rsidP="00FB5431">
            <w:pPr>
              <w:keepNext/>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3,397</w:t>
            </w:r>
          </w:p>
        </w:tc>
        <w:tc>
          <w:tcPr>
            <w:tcW w:w="420" w:type="pct"/>
          </w:tcPr>
          <w:p w14:paraId="4AB2CBF9" w14:textId="1D14ECB0" w:rsidR="009B2E3D" w:rsidRPr="00ED6237" w:rsidRDefault="009B2E3D" w:rsidP="00FB5431">
            <w:pPr>
              <w:keepNext/>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2,377</w:t>
            </w:r>
          </w:p>
        </w:tc>
        <w:tc>
          <w:tcPr>
            <w:tcW w:w="420" w:type="pct"/>
          </w:tcPr>
          <w:p w14:paraId="4847EDA4" w14:textId="239BAEEE" w:rsidR="009B2E3D" w:rsidRPr="00ED6237" w:rsidRDefault="009B2E3D" w:rsidP="00FB5431">
            <w:pPr>
              <w:keepNext/>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1,192</w:t>
            </w:r>
          </w:p>
        </w:tc>
        <w:tc>
          <w:tcPr>
            <w:tcW w:w="413" w:type="pct"/>
          </w:tcPr>
          <w:p w14:paraId="0A7492C9" w14:textId="26929D88" w:rsidR="009B2E3D" w:rsidRPr="00ED6237" w:rsidRDefault="009B2E3D" w:rsidP="00FB5431">
            <w:pPr>
              <w:keepNext/>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616</w:t>
            </w:r>
          </w:p>
        </w:tc>
        <w:tc>
          <w:tcPr>
            <w:tcW w:w="413" w:type="pct"/>
          </w:tcPr>
          <w:p w14:paraId="352FD335" w14:textId="61B21F4E" w:rsidR="009B2E3D" w:rsidRPr="00ED6237" w:rsidRDefault="009B2E3D" w:rsidP="00FB5431">
            <w:pPr>
              <w:keepNext/>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484</w:t>
            </w:r>
          </w:p>
        </w:tc>
        <w:tc>
          <w:tcPr>
            <w:tcW w:w="413" w:type="pct"/>
          </w:tcPr>
          <w:p w14:paraId="06C655D9" w14:textId="0967D652" w:rsidR="009B2E3D" w:rsidRPr="00ED6237" w:rsidRDefault="009B2E3D" w:rsidP="00FB5431">
            <w:pPr>
              <w:keepNext/>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412</w:t>
            </w:r>
          </w:p>
        </w:tc>
        <w:tc>
          <w:tcPr>
            <w:tcW w:w="413" w:type="pct"/>
          </w:tcPr>
          <w:p w14:paraId="01D82527" w14:textId="6F95B93D" w:rsidR="009B2E3D" w:rsidRPr="00ED6237" w:rsidRDefault="009B2E3D" w:rsidP="00FB5431">
            <w:pPr>
              <w:keepNext/>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270</w:t>
            </w:r>
          </w:p>
        </w:tc>
        <w:tc>
          <w:tcPr>
            <w:tcW w:w="413" w:type="pct"/>
          </w:tcPr>
          <w:p w14:paraId="18D21740" w14:textId="44F63EFF" w:rsidR="009B2E3D" w:rsidRDefault="009B2E3D" w:rsidP="00FB5431">
            <w:pPr>
              <w:keepNext/>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35</w:t>
            </w:r>
          </w:p>
        </w:tc>
        <w:tc>
          <w:tcPr>
            <w:tcW w:w="413" w:type="pct"/>
          </w:tcPr>
          <w:p w14:paraId="3C99A2F5" w14:textId="24645DCA" w:rsidR="009B2E3D" w:rsidRDefault="009B2E3D" w:rsidP="00FB5431">
            <w:pPr>
              <w:keepNext/>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35</w:t>
            </w:r>
          </w:p>
        </w:tc>
        <w:tc>
          <w:tcPr>
            <w:tcW w:w="413" w:type="pct"/>
          </w:tcPr>
          <w:p w14:paraId="74070980" w14:textId="13718329" w:rsidR="009B2E3D" w:rsidRDefault="009B2E3D" w:rsidP="00FB5431">
            <w:pPr>
              <w:keepNext/>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34</w:t>
            </w:r>
          </w:p>
        </w:tc>
      </w:tr>
    </w:tbl>
    <w:p w14:paraId="240C4906" w14:textId="21BB12D8" w:rsidR="00ED6237" w:rsidRDefault="00ED6237" w:rsidP="00F23365">
      <w:pPr>
        <w:spacing w:after="0"/>
        <w:ind w:left="-210"/>
        <w:textAlignment w:val="baseline"/>
        <w:rPr>
          <w:rFonts w:ascii="Verdana" w:eastAsia="Times New Roman" w:hAnsi="Verdana" w:cs="Times New Roman"/>
          <w:b/>
          <w:sz w:val="19"/>
          <w:szCs w:val="19"/>
          <w:lang w:eastAsia="en-AU"/>
        </w:rPr>
      </w:pPr>
    </w:p>
    <w:p w14:paraId="3EDDAE9A" w14:textId="24FB48F5" w:rsidR="00EF3319" w:rsidRDefault="00EF3319" w:rsidP="00CB1134">
      <w:pPr>
        <w:spacing w:after="120"/>
        <w:textAlignment w:val="baseline"/>
        <w:rPr>
          <w:rFonts w:ascii="Verdana" w:eastAsia="Times New Roman" w:hAnsi="Verdana" w:cs="Times New Roman"/>
          <w:b/>
          <w:sz w:val="19"/>
          <w:szCs w:val="19"/>
          <w:lang w:eastAsia="en-AU"/>
        </w:rPr>
      </w:pPr>
      <w:r w:rsidRPr="00EF3319">
        <w:rPr>
          <w:rFonts w:ascii="Verdana" w:eastAsia="Times New Roman" w:hAnsi="Verdana" w:cs="Times New Roman"/>
          <w:b/>
          <w:sz w:val="19"/>
          <w:szCs w:val="19"/>
          <w:lang w:eastAsia="en-AU"/>
        </w:rPr>
        <w:t xml:space="preserve">Imports of </w:t>
      </w:r>
      <w:r w:rsidR="00373BAC" w:rsidRPr="00975F7C">
        <w:rPr>
          <w:rFonts w:ascii="Verdana" w:eastAsia="Times New Roman" w:hAnsi="Verdana" w:cs="Times New Roman"/>
          <w:b/>
          <w:sz w:val="19"/>
          <w:szCs w:val="19"/>
          <w:lang w:eastAsia="en-AU"/>
        </w:rPr>
        <w:t>ozone depleting substances</w:t>
      </w:r>
      <w:r w:rsidR="00373BAC" w:rsidRPr="008D5EC5">
        <w:rPr>
          <w:rFonts w:ascii="Verdana" w:eastAsia="Times New Roman" w:hAnsi="Verdana" w:cs="Times New Roman"/>
          <w:sz w:val="19"/>
          <w:szCs w:val="19"/>
          <w:lang w:eastAsia="en-AU"/>
        </w:rPr>
        <w:t xml:space="preserve"> </w:t>
      </w:r>
      <w:r w:rsidRPr="00EF3319">
        <w:rPr>
          <w:rFonts w:ascii="Verdana" w:eastAsia="Times New Roman" w:hAnsi="Verdana" w:cs="Times New Roman"/>
          <w:b/>
          <w:sz w:val="19"/>
          <w:szCs w:val="19"/>
          <w:lang w:eastAsia="en-AU"/>
        </w:rPr>
        <w:t>used as feedstock into Australia</w:t>
      </w:r>
    </w:p>
    <w:p w14:paraId="3EDDAE9B" w14:textId="378D0073" w:rsidR="00EF3319" w:rsidRDefault="00EF3319" w:rsidP="00CB1134">
      <w:pPr>
        <w:spacing w:after="120"/>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 xml:space="preserve">Feedstock uses of </w:t>
      </w:r>
      <w:r w:rsidR="00373BAC">
        <w:rPr>
          <w:rFonts w:ascii="Verdana" w:eastAsia="Times New Roman" w:hAnsi="Verdana" w:cs="Times New Roman"/>
          <w:sz w:val="19"/>
          <w:szCs w:val="19"/>
          <w:lang w:eastAsia="en-AU"/>
        </w:rPr>
        <w:t>o</w:t>
      </w:r>
      <w:r w:rsidR="00373BAC" w:rsidRPr="008D5EC5">
        <w:rPr>
          <w:rFonts w:ascii="Verdana" w:eastAsia="Times New Roman" w:hAnsi="Verdana" w:cs="Times New Roman"/>
          <w:sz w:val="19"/>
          <w:szCs w:val="19"/>
          <w:lang w:eastAsia="en-AU"/>
        </w:rPr>
        <w:t xml:space="preserve">zone depleting substances </w:t>
      </w:r>
      <w:r>
        <w:rPr>
          <w:rFonts w:ascii="Verdana" w:eastAsia="Times New Roman" w:hAnsi="Verdana" w:cs="Times New Roman"/>
          <w:sz w:val="19"/>
          <w:szCs w:val="19"/>
          <w:lang w:eastAsia="en-AU"/>
        </w:rPr>
        <w:t xml:space="preserve">are those uses of </w:t>
      </w:r>
      <w:r w:rsidR="00373BAC">
        <w:rPr>
          <w:rFonts w:ascii="Verdana" w:eastAsia="Times New Roman" w:hAnsi="Verdana" w:cs="Times New Roman"/>
          <w:sz w:val="19"/>
          <w:szCs w:val="19"/>
          <w:lang w:eastAsia="en-AU"/>
        </w:rPr>
        <w:t>o</w:t>
      </w:r>
      <w:r w:rsidR="00373BAC" w:rsidRPr="008D5EC5">
        <w:rPr>
          <w:rFonts w:ascii="Verdana" w:eastAsia="Times New Roman" w:hAnsi="Verdana" w:cs="Times New Roman"/>
          <w:sz w:val="19"/>
          <w:szCs w:val="19"/>
          <w:lang w:eastAsia="en-AU"/>
        </w:rPr>
        <w:t xml:space="preserve">zone depleting substances </w:t>
      </w:r>
      <w:r>
        <w:rPr>
          <w:rFonts w:ascii="Verdana" w:eastAsia="Times New Roman" w:hAnsi="Verdana" w:cs="Times New Roman"/>
          <w:sz w:val="19"/>
          <w:szCs w:val="19"/>
          <w:lang w:eastAsia="en-AU"/>
        </w:rPr>
        <w:t>where they are transformed in a manufacturin</w:t>
      </w:r>
      <w:r w:rsidR="00854B34">
        <w:rPr>
          <w:rFonts w:ascii="Verdana" w:eastAsia="Times New Roman" w:hAnsi="Verdana" w:cs="Times New Roman"/>
          <w:sz w:val="19"/>
          <w:szCs w:val="19"/>
          <w:lang w:eastAsia="en-AU"/>
        </w:rPr>
        <w:t xml:space="preserve">g process to another chemical. </w:t>
      </w:r>
      <w:r w:rsidR="00DE4588">
        <w:rPr>
          <w:rFonts w:ascii="Verdana" w:eastAsia="Times New Roman" w:hAnsi="Verdana" w:cs="Times New Roman"/>
          <w:sz w:val="19"/>
          <w:szCs w:val="19"/>
          <w:lang w:eastAsia="en-AU"/>
        </w:rPr>
        <w:t xml:space="preserve">The resulting </w:t>
      </w:r>
      <w:r>
        <w:rPr>
          <w:rFonts w:ascii="Verdana" w:eastAsia="Times New Roman" w:hAnsi="Verdana" w:cs="Times New Roman"/>
          <w:sz w:val="19"/>
          <w:szCs w:val="19"/>
          <w:lang w:eastAsia="en-AU"/>
        </w:rPr>
        <w:t xml:space="preserve">chemicals are </w:t>
      </w:r>
      <w:r w:rsidR="003E6921">
        <w:rPr>
          <w:rFonts w:ascii="Verdana" w:eastAsia="Times New Roman" w:hAnsi="Verdana" w:cs="Times New Roman"/>
          <w:sz w:val="19"/>
          <w:szCs w:val="19"/>
          <w:lang w:eastAsia="en-AU"/>
        </w:rPr>
        <w:t xml:space="preserve">no longer ozone depleting, and </w:t>
      </w:r>
      <w:r>
        <w:rPr>
          <w:rFonts w:ascii="Verdana" w:eastAsia="Times New Roman" w:hAnsi="Verdana" w:cs="Times New Roman"/>
          <w:sz w:val="19"/>
          <w:szCs w:val="19"/>
          <w:lang w:eastAsia="en-AU"/>
        </w:rPr>
        <w:t xml:space="preserve">are </w:t>
      </w:r>
      <w:r w:rsidR="00FA46E0">
        <w:rPr>
          <w:rFonts w:ascii="Verdana" w:eastAsia="Times New Roman" w:hAnsi="Verdana" w:cs="Times New Roman"/>
          <w:sz w:val="19"/>
          <w:szCs w:val="19"/>
          <w:lang w:eastAsia="en-AU"/>
        </w:rPr>
        <w:t xml:space="preserve">therefore </w:t>
      </w:r>
      <w:r>
        <w:rPr>
          <w:rFonts w:ascii="Verdana" w:eastAsia="Times New Roman" w:hAnsi="Verdana" w:cs="Times New Roman"/>
          <w:sz w:val="19"/>
          <w:szCs w:val="19"/>
          <w:lang w:eastAsia="en-AU"/>
        </w:rPr>
        <w:t xml:space="preserve">not included in a country’s official consumption figures. Australia has very few feedstock uses of </w:t>
      </w:r>
      <w:r w:rsidR="00373BAC">
        <w:rPr>
          <w:rFonts w:ascii="Verdana" w:eastAsia="Times New Roman" w:hAnsi="Verdana" w:cs="Times New Roman"/>
          <w:sz w:val="19"/>
          <w:szCs w:val="19"/>
          <w:lang w:eastAsia="en-AU"/>
        </w:rPr>
        <w:t>o</w:t>
      </w:r>
      <w:r w:rsidR="00373BAC" w:rsidRPr="008D5EC5">
        <w:rPr>
          <w:rFonts w:ascii="Verdana" w:eastAsia="Times New Roman" w:hAnsi="Verdana" w:cs="Times New Roman"/>
          <w:sz w:val="19"/>
          <w:szCs w:val="19"/>
          <w:lang w:eastAsia="en-AU"/>
        </w:rPr>
        <w:t xml:space="preserve">zone depleting substances </w:t>
      </w:r>
      <w:r>
        <w:rPr>
          <w:rFonts w:ascii="Verdana" w:eastAsia="Times New Roman" w:hAnsi="Verdana" w:cs="Times New Roman"/>
          <w:sz w:val="19"/>
          <w:szCs w:val="19"/>
          <w:lang w:eastAsia="en-AU"/>
        </w:rPr>
        <w:t xml:space="preserve">– and since </w:t>
      </w:r>
      <w:r w:rsidR="0025705C">
        <w:rPr>
          <w:rFonts w:ascii="Verdana" w:eastAsia="Times New Roman" w:hAnsi="Verdana" w:cs="Times New Roman"/>
          <w:sz w:val="19"/>
          <w:szCs w:val="19"/>
          <w:lang w:eastAsia="en-AU"/>
        </w:rPr>
        <w:t>2005</w:t>
      </w:r>
      <w:r w:rsidR="00A35843">
        <w:rPr>
          <w:rFonts w:ascii="Verdana" w:eastAsia="Times New Roman" w:hAnsi="Verdana" w:cs="Times New Roman"/>
          <w:sz w:val="19"/>
          <w:szCs w:val="19"/>
          <w:lang w:eastAsia="en-AU"/>
        </w:rPr>
        <w:t xml:space="preserve"> has only imported two </w:t>
      </w:r>
      <w:r w:rsidR="00373BAC">
        <w:rPr>
          <w:rFonts w:ascii="Verdana" w:eastAsia="Times New Roman" w:hAnsi="Verdana" w:cs="Times New Roman"/>
          <w:sz w:val="19"/>
          <w:szCs w:val="19"/>
          <w:lang w:eastAsia="en-AU"/>
        </w:rPr>
        <w:t>o</w:t>
      </w:r>
      <w:r w:rsidR="00373BAC" w:rsidRPr="008D5EC5">
        <w:rPr>
          <w:rFonts w:ascii="Verdana" w:eastAsia="Times New Roman" w:hAnsi="Verdana" w:cs="Times New Roman"/>
          <w:sz w:val="19"/>
          <w:szCs w:val="19"/>
          <w:lang w:eastAsia="en-AU"/>
        </w:rPr>
        <w:t xml:space="preserve">zone depleting substances </w:t>
      </w:r>
      <w:r w:rsidR="00A35843">
        <w:rPr>
          <w:rFonts w:ascii="Verdana" w:eastAsia="Times New Roman" w:hAnsi="Verdana" w:cs="Times New Roman"/>
          <w:sz w:val="19"/>
          <w:szCs w:val="19"/>
          <w:lang w:eastAsia="en-AU"/>
        </w:rPr>
        <w:t>for feedstock uses (H</w:t>
      </w:r>
      <w:r w:rsidR="0025705C">
        <w:rPr>
          <w:rFonts w:ascii="Verdana" w:eastAsia="Times New Roman" w:hAnsi="Verdana" w:cs="Times New Roman"/>
          <w:sz w:val="19"/>
          <w:szCs w:val="19"/>
          <w:lang w:eastAsia="en-AU"/>
        </w:rPr>
        <w:t>CFC-123 and methyl bromide). S</w:t>
      </w:r>
      <w:r w:rsidR="00A35843">
        <w:rPr>
          <w:rFonts w:ascii="Verdana" w:eastAsia="Times New Roman" w:hAnsi="Verdana" w:cs="Times New Roman"/>
          <w:sz w:val="19"/>
          <w:szCs w:val="19"/>
          <w:lang w:eastAsia="en-AU"/>
        </w:rPr>
        <w:t xml:space="preserve">ince 2010, </w:t>
      </w:r>
      <w:r w:rsidR="007C61FF">
        <w:rPr>
          <w:rFonts w:ascii="Verdana" w:eastAsia="Times New Roman" w:hAnsi="Verdana" w:cs="Times New Roman"/>
          <w:sz w:val="19"/>
          <w:szCs w:val="19"/>
          <w:lang w:eastAsia="en-AU"/>
        </w:rPr>
        <w:t xml:space="preserve">it is predominantly </w:t>
      </w:r>
      <w:r w:rsidR="00A35843">
        <w:rPr>
          <w:rFonts w:ascii="Verdana" w:eastAsia="Times New Roman" w:hAnsi="Verdana" w:cs="Times New Roman"/>
          <w:sz w:val="19"/>
          <w:szCs w:val="19"/>
          <w:lang w:eastAsia="en-AU"/>
        </w:rPr>
        <w:t xml:space="preserve">HCFC-123 </w:t>
      </w:r>
      <w:r w:rsidR="007C61FF">
        <w:rPr>
          <w:rFonts w:ascii="Verdana" w:eastAsia="Times New Roman" w:hAnsi="Verdana" w:cs="Times New Roman"/>
          <w:sz w:val="19"/>
          <w:szCs w:val="19"/>
          <w:lang w:eastAsia="en-AU"/>
        </w:rPr>
        <w:t xml:space="preserve">that </w:t>
      </w:r>
      <w:r w:rsidR="00A35843">
        <w:rPr>
          <w:rFonts w:ascii="Verdana" w:eastAsia="Times New Roman" w:hAnsi="Verdana" w:cs="Times New Roman"/>
          <w:sz w:val="19"/>
          <w:szCs w:val="19"/>
          <w:lang w:eastAsia="en-AU"/>
        </w:rPr>
        <w:t>has be</w:t>
      </w:r>
      <w:r w:rsidR="00854B34">
        <w:rPr>
          <w:rFonts w:ascii="Verdana" w:eastAsia="Times New Roman" w:hAnsi="Verdana" w:cs="Times New Roman"/>
          <w:sz w:val="19"/>
          <w:szCs w:val="19"/>
          <w:lang w:eastAsia="en-AU"/>
        </w:rPr>
        <w:t xml:space="preserve">en imported for feedstock use. </w:t>
      </w:r>
      <w:r w:rsidR="00A530F8">
        <w:rPr>
          <w:rFonts w:ascii="Verdana" w:eastAsia="Times New Roman" w:hAnsi="Verdana" w:cs="Times New Roman"/>
          <w:sz w:val="19"/>
          <w:szCs w:val="19"/>
          <w:lang w:eastAsia="en-AU"/>
        </w:rPr>
        <w:t>However,</w:t>
      </w:r>
      <w:r w:rsidR="002A1599">
        <w:rPr>
          <w:rFonts w:ascii="Verdana" w:eastAsia="Times New Roman" w:hAnsi="Verdana" w:cs="Times New Roman"/>
          <w:sz w:val="19"/>
          <w:szCs w:val="19"/>
          <w:lang w:eastAsia="en-AU"/>
        </w:rPr>
        <w:t xml:space="preserve"> </w:t>
      </w:r>
      <w:r w:rsidR="00A530F8">
        <w:rPr>
          <w:rFonts w:ascii="Verdana" w:eastAsia="Times New Roman" w:hAnsi="Verdana" w:cs="Times New Roman"/>
          <w:sz w:val="19"/>
          <w:szCs w:val="19"/>
          <w:lang w:eastAsia="en-AU"/>
        </w:rPr>
        <w:t xml:space="preserve">17 </w:t>
      </w:r>
      <w:r w:rsidR="00BD3A0E">
        <w:rPr>
          <w:rFonts w:ascii="Verdana" w:eastAsia="Times New Roman" w:hAnsi="Verdana" w:cs="Times New Roman"/>
          <w:sz w:val="19"/>
          <w:szCs w:val="19"/>
          <w:lang w:eastAsia="en-AU"/>
        </w:rPr>
        <w:t>kilograms</w:t>
      </w:r>
      <w:r w:rsidR="002A1599">
        <w:rPr>
          <w:rFonts w:ascii="Verdana" w:eastAsia="Times New Roman" w:hAnsi="Verdana" w:cs="Times New Roman"/>
          <w:sz w:val="19"/>
          <w:szCs w:val="19"/>
          <w:lang w:eastAsia="en-AU"/>
        </w:rPr>
        <w:t xml:space="preserve"> of methyl bromide </w:t>
      </w:r>
      <w:r w:rsidR="00BD3A0E">
        <w:rPr>
          <w:rFonts w:ascii="Verdana" w:eastAsia="Times New Roman" w:hAnsi="Verdana" w:cs="Times New Roman"/>
          <w:sz w:val="19"/>
          <w:szCs w:val="19"/>
          <w:lang w:eastAsia="en-AU"/>
        </w:rPr>
        <w:t>w</w:t>
      </w:r>
      <w:r w:rsidR="00A530F8">
        <w:rPr>
          <w:rFonts w:ascii="Verdana" w:eastAsia="Times New Roman" w:hAnsi="Verdana" w:cs="Times New Roman"/>
          <w:sz w:val="19"/>
          <w:szCs w:val="19"/>
          <w:lang w:eastAsia="en-AU"/>
        </w:rPr>
        <w:t>as</w:t>
      </w:r>
      <w:r w:rsidR="00BD3A0E">
        <w:rPr>
          <w:rFonts w:ascii="Verdana" w:eastAsia="Times New Roman" w:hAnsi="Verdana" w:cs="Times New Roman"/>
          <w:sz w:val="19"/>
          <w:szCs w:val="19"/>
          <w:lang w:eastAsia="en-AU"/>
        </w:rPr>
        <w:t xml:space="preserve"> </w:t>
      </w:r>
      <w:r w:rsidR="00A530F8">
        <w:rPr>
          <w:rFonts w:ascii="Verdana" w:eastAsia="Times New Roman" w:hAnsi="Verdana" w:cs="Times New Roman"/>
          <w:sz w:val="19"/>
          <w:szCs w:val="19"/>
          <w:lang w:eastAsia="en-AU"/>
        </w:rPr>
        <w:t xml:space="preserve">reported </w:t>
      </w:r>
      <w:r w:rsidR="002A1599">
        <w:rPr>
          <w:rFonts w:ascii="Verdana" w:eastAsia="Times New Roman" w:hAnsi="Verdana" w:cs="Times New Roman"/>
          <w:sz w:val="19"/>
          <w:szCs w:val="19"/>
          <w:lang w:eastAsia="en-AU"/>
        </w:rPr>
        <w:t xml:space="preserve">for feedstock purposes </w:t>
      </w:r>
      <w:r w:rsidR="00740C85">
        <w:rPr>
          <w:rFonts w:ascii="Verdana" w:eastAsia="Times New Roman" w:hAnsi="Verdana" w:cs="Times New Roman"/>
          <w:sz w:val="19"/>
          <w:szCs w:val="19"/>
          <w:lang w:eastAsia="en-AU"/>
        </w:rPr>
        <w:t>in 2018</w:t>
      </w:r>
      <w:r w:rsidR="00A530F8">
        <w:rPr>
          <w:rFonts w:ascii="Verdana" w:eastAsia="Times New Roman" w:hAnsi="Verdana" w:cs="Times New Roman"/>
          <w:sz w:val="19"/>
          <w:szCs w:val="19"/>
          <w:lang w:eastAsia="en-AU"/>
        </w:rPr>
        <w:t>, although this amount was not initially imported for feedstock purposes</w:t>
      </w:r>
      <w:r w:rsidR="002A1599">
        <w:rPr>
          <w:rFonts w:ascii="Verdana" w:eastAsia="Times New Roman" w:hAnsi="Verdana" w:cs="Times New Roman"/>
          <w:sz w:val="19"/>
          <w:szCs w:val="19"/>
          <w:lang w:eastAsia="en-AU"/>
        </w:rPr>
        <w:t xml:space="preserve">. </w:t>
      </w:r>
      <w:r w:rsidR="002A1599" w:rsidRPr="00D636C3">
        <w:rPr>
          <w:rFonts w:ascii="Verdana" w:eastAsia="Times New Roman" w:hAnsi="Verdana" w:cs="Times New Roman"/>
          <w:sz w:val="19"/>
          <w:szCs w:val="19"/>
          <w:lang w:eastAsia="en-AU"/>
        </w:rPr>
        <w:t xml:space="preserve">There </w:t>
      </w:r>
      <w:r w:rsidR="002C43AA" w:rsidRPr="00D636C3">
        <w:rPr>
          <w:rFonts w:ascii="Verdana" w:eastAsia="Times New Roman" w:hAnsi="Verdana" w:cs="Times New Roman"/>
          <w:sz w:val="19"/>
          <w:szCs w:val="19"/>
          <w:lang w:eastAsia="en-AU"/>
        </w:rPr>
        <w:t>have been</w:t>
      </w:r>
      <w:r w:rsidR="002A1599" w:rsidRPr="00D636C3">
        <w:rPr>
          <w:rFonts w:ascii="Verdana" w:eastAsia="Times New Roman" w:hAnsi="Verdana" w:cs="Times New Roman"/>
          <w:sz w:val="19"/>
          <w:szCs w:val="19"/>
          <w:lang w:eastAsia="en-AU"/>
        </w:rPr>
        <w:t xml:space="preserve"> no feedstock uses reported</w:t>
      </w:r>
      <w:r w:rsidR="00740C85" w:rsidRPr="00D636C3">
        <w:rPr>
          <w:rFonts w:ascii="Verdana" w:eastAsia="Times New Roman" w:hAnsi="Verdana" w:cs="Times New Roman"/>
          <w:sz w:val="19"/>
          <w:szCs w:val="19"/>
          <w:lang w:eastAsia="en-AU"/>
        </w:rPr>
        <w:t xml:space="preserve"> </w:t>
      </w:r>
      <w:r w:rsidR="002A1599" w:rsidRPr="00D636C3">
        <w:rPr>
          <w:rFonts w:ascii="Verdana" w:eastAsia="Times New Roman" w:hAnsi="Verdana" w:cs="Times New Roman"/>
          <w:sz w:val="19"/>
          <w:szCs w:val="19"/>
          <w:lang w:eastAsia="en-AU"/>
        </w:rPr>
        <w:t>f</w:t>
      </w:r>
      <w:r w:rsidR="00740C85" w:rsidRPr="00D636C3">
        <w:rPr>
          <w:rFonts w:ascii="Verdana" w:eastAsia="Times New Roman" w:hAnsi="Verdana" w:cs="Times New Roman"/>
          <w:sz w:val="19"/>
          <w:szCs w:val="19"/>
          <w:lang w:eastAsia="en-AU"/>
        </w:rPr>
        <w:t>or 2019</w:t>
      </w:r>
      <w:r w:rsidR="002C43AA" w:rsidRPr="00D636C3">
        <w:rPr>
          <w:rFonts w:ascii="Verdana" w:eastAsia="Times New Roman" w:hAnsi="Verdana" w:cs="Times New Roman"/>
          <w:sz w:val="19"/>
          <w:szCs w:val="19"/>
          <w:lang w:eastAsia="en-AU"/>
        </w:rPr>
        <w:t xml:space="preserve"> to date</w:t>
      </w:r>
      <w:r w:rsidR="00740C85" w:rsidRPr="00D636C3">
        <w:rPr>
          <w:rFonts w:ascii="Verdana" w:eastAsia="Times New Roman" w:hAnsi="Verdana" w:cs="Times New Roman"/>
          <w:sz w:val="19"/>
          <w:szCs w:val="19"/>
          <w:lang w:eastAsia="en-AU"/>
        </w:rPr>
        <w:t>.</w:t>
      </w:r>
    </w:p>
    <w:p w14:paraId="3EDDAE9C" w14:textId="37570BCD" w:rsidR="0049449E" w:rsidRDefault="00FC17D6" w:rsidP="00CB1134">
      <w:pPr>
        <w:spacing w:after="0"/>
        <w:textAlignment w:val="baseline"/>
        <w:rPr>
          <w:rFonts w:ascii="Verdana" w:eastAsia="Times New Roman" w:hAnsi="Verdana" w:cs="Times New Roman"/>
          <w:sz w:val="19"/>
          <w:szCs w:val="19"/>
          <w:u w:val="single"/>
          <w:lang w:eastAsia="en-AU"/>
        </w:rPr>
      </w:pPr>
      <w:r>
        <w:rPr>
          <w:rFonts w:ascii="Verdana" w:eastAsia="Times New Roman" w:hAnsi="Verdana" w:cs="Times New Roman"/>
          <w:sz w:val="19"/>
          <w:szCs w:val="19"/>
          <w:u w:val="single"/>
          <w:lang w:eastAsia="en-AU"/>
        </w:rPr>
        <w:t>Graph 1</w:t>
      </w:r>
      <w:r w:rsidR="009B2E3D">
        <w:rPr>
          <w:rFonts w:ascii="Verdana" w:eastAsia="Times New Roman" w:hAnsi="Verdana" w:cs="Times New Roman"/>
          <w:sz w:val="19"/>
          <w:szCs w:val="19"/>
          <w:u w:val="single"/>
          <w:lang w:eastAsia="en-AU"/>
        </w:rPr>
        <w:t>0</w:t>
      </w:r>
      <w:r w:rsidR="00905A4B" w:rsidRPr="00905A4B">
        <w:rPr>
          <w:rFonts w:ascii="Verdana" w:eastAsia="Times New Roman" w:hAnsi="Verdana" w:cs="Times New Roman"/>
          <w:sz w:val="19"/>
          <w:szCs w:val="19"/>
          <w:u w:val="single"/>
          <w:lang w:eastAsia="en-AU"/>
        </w:rPr>
        <w:t xml:space="preserve"> – Australian fee</w:t>
      </w:r>
      <w:r w:rsidR="00B92949">
        <w:rPr>
          <w:rFonts w:ascii="Verdana" w:eastAsia="Times New Roman" w:hAnsi="Verdana" w:cs="Times New Roman"/>
          <w:sz w:val="19"/>
          <w:szCs w:val="19"/>
          <w:u w:val="single"/>
          <w:lang w:eastAsia="en-AU"/>
        </w:rPr>
        <w:t xml:space="preserve">dstock </w:t>
      </w:r>
      <w:r w:rsidR="007C61FF">
        <w:rPr>
          <w:rFonts w:ascii="Verdana" w:eastAsia="Times New Roman" w:hAnsi="Verdana" w:cs="Times New Roman"/>
          <w:sz w:val="19"/>
          <w:szCs w:val="19"/>
          <w:u w:val="single"/>
          <w:lang w:eastAsia="en-AU"/>
        </w:rPr>
        <w:t xml:space="preserve">use </w:t>
      </w:r>
      <w:r w:rsidR="00B92949">
        <w:rPr>
          <w:rFonts w:ascii="Verdana" w:eastAsia="Times New Roman" w:hAnsi="Verdana" w:cs="Times New Roman"/>
          <w:sz w:val="19"/>
          <w:szCs w:val="19"/>
          <w:u w:val="single"/>
          <w:lang w:eastAsia="en-AU"/>
        </w:rPr>
        <w:t>from 2010</w:t>
      </w:r>
      <w:r w:rsidR="005132C2">
        <w:rPr>
          <w:rFonts w:ascii="Verdana" w:eastAsia="Times New Roman" w:hAnsi="Verdana" w:cs="Times New Roman"/>
          <w:sz w:val="19"/>
          <w:szCs w:val="19"/>
          <w:u w:val="single"/>
          <w:lang w:eastAsia="en-AU"/>
        </w:rPr>
        <w:t xml:space="preserve"> to </w:t>
      </w:r>
      <w:r w:rsidR="00B92949">
        <w:rPr>
          <w:rFonts w:ascii="Verdana" w:eastAsia="Times New Roman" w:hAnsi="Verdana" w:cs="Times New Roman"/>
          <w:sz w:val="19"/>
          <w:szCs w:val="19"/>
          <w:u w:val="single"/>
          <w:lang w:eastAsia="en-AU"/>
        </w:rPr>
        <w:t>201</w:t>
      </w:r>
      <w:r w:rsidR="00C36037">
        <w:rPr>
          <w:rFonts w:ascii="Verdana" w:eastAsia="Times New Roman" w:hAnsi="Verdana" w:cs="Times New Roman"/>
          <w:sz w:val="19"/>
          <w:szCs w:val="19"/>
          <w:u w:val="single"/>
          <w:lang w:eastAsia="en-AU"/>
        </w:rPr>
        <w:t>9</w:t>
      </w:r>
    </w:p>
    <w:p w14:paraId="35704F83" w14:textId="525BA5BC" w:rsidR="00400107" w:rsidRDefault="00A530F8" w:rsidP="00CB1134">
      <w:pPr>
        <w:spacing w:after="120"/>
        <w:textAlignment w:val="baseline"/>
        <w:rPr>
          <w:rFonts w:ascii="Verdana" w:eastAsia="Times New Roman" w:hAnsi="Verdana" w:cs="Times New Roman"/>
          <w:sz w:val="19"/>
          <w:szCs w:val="19"/>
          <w:lang w:eastAsia="en-AU"/>
        </w:rPr>
      </w:pPr>
      <w:r>
        <w:rPr>
          <w:noProof/>
          <w:lang w:eastAsia="en-AU"/>
        </w:rPr>
        <w:drawing>
          <wp:inline distT="0" distB="0" distL="0" distR="0" wp14:anchorId="0588144A" wp14:editId="7B1C07AB">
            <wp:extent cx="5724525" cy="2600325"/>
            <wp:effectExtent l="0" t="0" r="9525" b="9525"/>
            <wp:docPr id="3" name="Chart 3" descr="Graph 10 shows a bar graph of the amount of HCFC 123 and methyl bromide in metric tonnes imported into Australia by year for feedstock use from 2010 to 2019. The values range from a peak of over 7 metric tonnes of HCFC 123 imported in 2013 steadily declining to negligible levels for 2018 and 2019. In comparison, the amount of methyl bromide imported for feedstock use is negligible from 2011 onwards.">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EDDAEA1" w14:textId="30A71E05" w:rsidR="00A35843" w:rsidRPr="00400107" w:rsidRDefault="0049449E" w:rsidP="00CB1134">
      <w:pPr>
        <w:spacing w:after="120"/>
        <w:textAlignment w:val="baseline"/>
        <w:rPr>
          <w:rFonts w:ascii="Verdana" w:eastAsia="Times New Roman" w:hAnsi="Verdana" w:cs="Times New Roman"/>
          <w:sz w:val="19"/>
          <w:szCs w:val="19"/>
          <w:lang w:eastAsia="en-AU"/>
        </w:rPr>
      </w:pPr>
      <w:r w:rsidRPr="0049449E">
        <w:rPr>
          <w:rFonts w:ascii="Verdana" w:eastAsia="Times New Roman" w:hAnsi="Verdana" w:cs="Times New Roman"/>
          <w:b/>
          <w:sz w:val="19"/>
          <w:szCs w:val="19"/>
          <w:lang w:eastAsia="en-AU"/>
        </w:rPr>
        <w:t>Imports of halon in equipment</w:t>
      </w:r>
    </w:p>
    <w:p w14:paraId="3EDDAEA2" w14:textId="2E789B18" w:rsidR="00F64791" w:rsidRDefault="0049449E" w:rsidP="00CB1134">
      <w:pPr>
        <w:spacing w:after="120"/>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 xml:space="preserve">The </w:t>
      </w:r>
      <w:r w:rsidR="00B554C6">
        <w:rPr>
          <w:rFonts w:ascii="Verdana" w:eastAsia="Times New Roman" w:hAnsi="Verdana" w:cs="Times New Roman"/>
          <w:sz w:val="19"/>
          <w:szCs w:val="19"/>
          <w:lang w:eastAsia="en-AU"/>
        </w:rPr>
        <w:t xml:space="preserve">manufacture and </w:t>
      </w:r>
      <w:r>
        <w:rPr>
          <w:rFonts w:ascii="Verdana" w:eastAsia="Times New Roman" w:hAnsi="Verdana" w:cs="Times New Roman"/>
          <w:sz w:val="19"/>
          <w:szCs w:val="19"/>
          <w:lang w:eastAsia="en-AU"/>
        </w:rPr>
        <w:t xml:space="preserve">import of </w:t>
      </w:r>
      <w:r w:rsidR="003F25EA">
        <w:rPr>
          <w:rFonts w:ascii="Verdana" w:eastAsia="Times New Roman" w:hAnsi="Verdana" w:cs="Times New Roman"/>
          <w:sz w:val="19"/>
          <w:szCs w:val="19"/>
          <w:lang w:eastAsia="en-AU"/>
        </w:rPr>
        <w:t xml:space="preserve">new </w:t>
      </w:r>
      <w:r>
        <w:rPr>
          <w:rFonts w:ascii="Verdana" w:eastAsia="Times New Roman" w:hAnsi="Verdana" w:cs="Times New Roman"/>
          <w:sz w:val="19"/>
          <w:szCs w:val="19"/>
          <w:lang w:eastAsia="en-AU"/>
        </w:rPr>
        <w:t xml:space="preserve">halon in bulk into developed countries has been prohibited </w:t>
      </w:r>
      <w:r w:rsidR="00CD3FE5">
        <w:rPr>
          <w:rFonts w:ascii="Verdana" w:eastAsia="Times New Roman" w:hAnsi="Verdana" w:cs="Times New Roman"/>
          <w:sz w:val="19"/>
          <w:szCs w:val="19"/>
          <w:lang w:eastAsia="en-AU"/>
        </w:rPr>
        <w:t xml:space="preserve">under the Montreal Protocol </w:t>
      </w:r>
      <w:r>
        <w:rPr>
          <w:rFonts w:ascii="Verdana" w:eastAsia="Times New Roman" w:hAnsi="Verdana" w:cs="Times New Roman"/>
          <w:sz w:val="19"/>
          <w:szCs w:val="19"/>
          <w:lang w:eastAsia="en-AU"/>
        </w:rPr>
        <w:t>since 1994</w:t>
      </w:r>
      <w:r w:rsidR="004D1754">
        <w:rPr>
          <w:rFonts w:ascii="Verdana" w:eastAsia="Times New Roman" w:hAnsi="Verdana" w:cs="Times New Roman"/>
          <w:sz w:val="19"/>
          <w:szCs w:val="19"/>
          <w:lang w:eastAsia="en-AU"/>
        </w:rPr>
        <w:t xml:space="preserve"> and in developing countries since 2010</w:t>
      </w:r>
      <w:r w:rsidR="003F25EA">
        <w:rPr>
          <w:rFonts w:ascii="Verdana" w:eastAsia="Times New Roman" w:hAnsi="Verdana" w:cs="Times New Roman"/>
          <w:sz w:val="19"/>
          <w:szCs w:val="19"/>
          <w:lang w:eastAsia="en-AU"/>
        </w:rPr>
        <w:t>. H</w:t>
      </w:r>
      <w:r>
        <w:rPr>
          <w:rFonts w:ascii="Verdana" w:eastAsia="Times New Roman" w:hAnsi="Verdana" w:cs="Times New Roman"/>
          <w:sz w:val="19"/>
          <w:szCs w:val="19"/>
          <w:lang w:eastAsia="en-AU"/>
        </w:rPr>
        <w:t xml:space="preserve">alon </w:t>
      </w:r>
      <w:r w:rsidR="00B554C6">
        <w:rPr>
          <w:rFonts w:ascii="Verdana" w:eastAsia="Times New Roman" w:hAnsi="Verdana" w:cs="Times New Roman"/>
          <w:sz w:val="19"/>
          <w:szCs w:val="19"/>
          <w:lang w:eastAsia="en-AU"/>
        </w:rPr>
        <w:t xml:space="preserve">imports </w:t>
      </w:r>
      <w:r>
        <w:rPr>
          <w:rFonts w:ascii="Verdana" w:eastAsia="Times New Roman" w:hAnsi="Verdana" w:cs="Times New Roman"/>
          <w:sz w:val="19"/>
          <w:szCs w:val="19"/>
          <w:lang w:eastAsia="en-AU"/>
        </w:rPr>
        <w:t xml:space="preserve">in equipment </w:t>
      </w:r>
      <w:r w:rsidR="003F25EA">
        <w:rPr>
          <w:rFonts w:ascii="Verdana" w:eastAsia="Times New Roman" w:hAnsi="Verdana" w:cs="Times New Roman"/>
          <w:sz w:val="19"/>
          <w:szCs w:val="19"/>
          <w:lang w:eastAsia="en-AU"/>
        </w:rPr>
        <w:t xml:space="preserve">is not prohibited under the Montreal Protocol. Halon charged into new equipment is sourced from halon recovered from decommissioned equipment. </w:t>
      </w:r>
      <w:r>
        <w:rPr>
          <w:rFonts w:ascii="Verdana" w:eastAsia="Times New Roman" w:hAnsi="Verdana" w:cs="Times New Roman"/>
          <w:sz w:val="19"/>
          <w:szCs w:val="19"/>
          <w:lang w:eastAsia="en-AU"/>
        </w:rPr>
        <w:t>This permits used halon to be retained for essentia</w:t>
      </w:r>
      <w:r w:rsidR="00854B34">
        <w:rPr>
          <w:rFonts w:ascii="Verdana" w:eastAsia="Times New Roman" w:hAnsi="Verdana" w:cs="Times New Roman"/>
          <w:sz w:val="19"/>
          <w:szCs w:val="19"/>
          <w:lang w:eastAsia="en-AU"/>
        </w:rPr>
        <w:t xml:space="preserve">l uses like fire suppression. </w:t>
      </w:r>
      <w:r w:rsidR="00ED0623">
        <w:rPr>
          <w:rFonts w:ascii="Verdana" w:eastAsia="Times New Roman" w:hAnsi="Verdana" w:cs="Times New Roman"/>
          <w:sz w:val="19"/>
          <w:szCs w:val="19"/>
          <w:lang w:eastAsia="en-AU"/>
        </w:rPr>
        <w:t xml:space="preserve">Australia </w:t>
      </w:r>
      <w:r w:rsidR="00CD3FE5">
        <w:rPr>
          <w:rFonts w:ascii="Verdana" w:eastAsia="Times New Roman" w:hAnsi="Verdana" w:cs="Times New Roman"/>
          <w:sz w:val="19"/>
          <w:szCs w:val="19"/>
          <w:lang w:eastAsia="en-AU"/>
        </w:rPr>
        <w:t>has banned the import of halon in equipment</w:t>
      </w:r>
      <w:r w:rsidR="0025705C">
        <w:rPr>
          <w:rFonts w:ascii="Verdana" w:eastAsia="Times New Roman" w:hAnsi="Verdana" w:cs="Times New Roman"/>
          <w:sz w:val="19"/>
          <w:szCs w:val="19"/>
          <w:lang w:eastAsia="en-AU"/>
        </w:rPr>
        <w:t>,</w:t>
      </w:r>
      <w:r w:rsidR="00CD3FE5">
        <w:rPr>
          <w:rFonts w:ascii="Verdana" w:eastAsia="Times New Roman" w:hAnsi="Verdana" w:cs="Times New Roman"/>
          <w:sz w:val="19"/>
          <w:szCs w:val="19"/>
          <w:lang w:eastAsia="en-AU"/>
        </w:rPr>
        <w:t xml:space="preserve"> but allows an exemption </w:t>
      </w:r>
      <w:r w:rsidR="00FD7A63">
        <w:rPr>
          <w:rFonts w:ascii="Verdana" w:eastAsia="Times New Roman" w:hAnsi="Verdana" w:cs="Times New Roman"/>
          <w:sz w:val="19"/>
          <w:szCs w:val="19"/>
          <w:lang w:eastAsia="en-AU"/>
        </w:rPr>
        <w:t xml:space="preserve">for </w:t>
      </w:r>
      <w:r w:rsidR="00ED0623">
        <w:rPr>
          <w:rFonts w:ascii="Verdana" w:eastAsia="Times New Roman" w:hAnsi="Verdana" w:cs="Times New Roman"/>
          <w:sz w:val="19"/>
          <w:szCs w:val="19"/>
          <w:lang w:eastAsia="en-AU"/>
        </w:rPr>
        <w:t xml:space="preserve">the import of halon in products </w:t>
      </w:r>
      <w:r w:rsidR="00FD7A63">
        <w:rPr>
          <w:rFonts w:ascii="Verdana" w:eastAsia="Times New Roman" w:hAnsi="Verdana" w:cs="Times New Roman"/>
          <w:sz w:val="19"/>
          <w:szCs w:val="19"/>
          <w:lang w:eastAsia="en-AU"/>
        </w:rPr>
        <w:t>where they are necessary for medical, veterinary, d</w:t>
      </w:r>
      <w:r w:rsidR="0025705C">
        <w:rPr>
          <w:rFonts w:ascii="Verdana" w:eastAsia="Times New Roman" w:hAnsi="Verdana" w:cs="Times New Roman"/>
          <w:sz w:val="19"/>
          <w:szCs w:val="19"/>
          <w:lang w:eastAsia="en-AU"/>
        </w:rPr>
        <w:t>efence or public safety and</w:t>
      </w:r>
      <w:r w:rsidR="00281D78">
        <w:rPr>
          <w:rFonts w:ascii="Verdana" w:eastAsia="Times New Roman" w:hAnsi="Verdana" w:cs="Times New Roman"/>
          <w:sz w:val="19"/>
          <w:szCs w:val="19"/>
          <w:lang w:eastAsia="en-AU"/>
        </w:rPr>
        <w:t xml:space="preserve"> no alternatives available</w:t>
      </w:r>
      <w:r w:rsidR="00854B34">
        <w:rPr>
          <w:rFonts w:ascii="Verdana" w:eastAsia="Times New Roman" w:hAnsi="Verdana" w:cs="Times New Roman"/>
          <w:sz w:val="19"/>
          <w:szCs w:val="19"/>
          <w:lang w:eastAsia="en-AU"/>
        </w:rPr>
        <w:t xml:space="preserve">. </w:t>
      </w:r>
    </w:p>
    <w:p w14:paraId="3EDDAEA4" w14:textId="778D6F87" w:rsidR="00FC17D6" w:rsidRDefault="00F64791" w:rsidP="00F31654">
      <w:pPr>
        <w:spacing w:after="0"/>
        <w:textAlignment w:val="baseline"/>
        <w:rPr>
          <w:rFonts w:ascii="Verdana" w:eastAsia="Times New Roman" w:hAnsi="Verdana" w:cs="Times New Roman"/>
          <w:sz w:val="19"/>
          <w:szCs w:val="19"/>
          <w:u w:val="single"/>
          <w:lang w:eastAsia="en-AU"/>
        </w:rPr>
      </w:pPr>
      <w:r w:rsidRPr="00FC17D6">
        <w:rPr>
          <w:rFonts w:ascii="Verdana" w:eastAsia="Times New Roman" w:hAnsi="Verdana" w:cs="Times New Roman"/>
          <w:sz w:val="19"/>
          <w:szCs w:val="19"/>
          <w:u w:val="single"/>
          <w:lang w:eastAsia="en-AU"/>
        </w:rPr>
        <w:t>G</w:t>
      </w:r>
      <w:r w:rsidR="00ED0623" w:rsidRPr="00FC17D6">
        <w:rPr>
          <w:rFonts w:ascii="Verdana" w:eastAsia="Times New Roman" w:hAnsi="Verdana" w:cs="Times New Roman"/>
          <w:sz w:val="19"/>
          <w:szCs w:val="19"/>
          <w:u w:val="single"/>
          <w:lang w:eastAsia="en-AU"/>
        </w:rPr>
        <w:t>raph</w:t>
      </w:r>
      <w:r w:rsidR="00FC17D6" w:rsidRPr="00FC17D6">
        <w:rPr>
          <w:rFonts w:ascii="Verdana" w:eastAsia="Times New Roman" w:hAnsi="Verdana" w:cs="Times New Roman"/>
          <w:sz w:val="19"/>
          <w:szCs w:val="19"/>
          <w:u w:val="single"/>
          <w:lang w:eastAsia="en-AU"/>
        </w:rPr>
        <w:t xml:space="preserve"> 11</w:t>
      </w:r>
      <w:r w:rsidR="00ED0623">
        <w:rPr>
          <w:rFonts w:ascii="Verdana" w:eastAsia="Times New Roman" w:hAnsi="Verdana" w:cs="Times New Roman"/>
          <w:sz w:val="19"/>
          <w:szCs w:val="19"/>
          <w:lang w:eastAsia="en-AU"/>
        </w:rPr>
        <w:t xml:space="preserve"> provides data on equipment contai</w:t>
      </w:r>
      <w:r w:rsidR="00854B34">
        <w:rPr>
          <w:rFonts w:ascii="Verdana" w:eastAsia="Times New Roman" w:hAnsi="Verdana" w:cs="Times New Roman"/>
          <w:sz w:val="19"/>
          <w:szCs w:val="19"/>
          <w:lang w:eastAsia="en-AU"/>
        </w:rPr>
        <w:t>ning halon imported since 2011</w:t>
      </w:r>
      <w:r w:rsidR="00FC2992">
        <w:rPr>
          <w:rFonts w:ascii="Verdana" w:eastAsia="Times New Roman" w:hAnsi="Verdana" w:cs="Times New Roman"/>
          <w:sz w:val="19"/>
          <w:szCs w:val="19"/>
          <w:lang w:eastAsia="en-AU"/>
        </w:rPr>
        <w:t>, mainly for aircraft and defence uses</w:t>
      </w:r>
      <w:r w:rsidR="00854B34">
        <w:rPr>
          <w:rFonts w:ascii="Verdana" w:eastAsia="Times New Roman" w:hAnsi="Verdana" w:cs="Times New Roman"/>
          <w:sz w:val="19"/>
          <w:szCs w:val="19"/>
          <w:lang w:eastAsia="en-AU"/>
        </w:rPr>
        <w:t>.</w:t>
      </w:r>
      <w:r w:rsidR="00ED0623">
        <w:rPr>
          <w:rFonts w:ascii="Verdana" w:eastAsia="Times New Roman" w:hAnsi="Verdana" w:cs="Times New Roman"/>
          <w:sz w:val="19"/>
          <w:szCs w:val="19"/>
          <w:lang w:eastAsia="en-AU"/>
        </w:rPr>
        <w:t xml:space="preserve"> It is worth noting that the </w:t>
      </w:r>
      <w:r w:rsidR="00FC2992">
        <w:rPr>
          <w:rFonts w:ascii="Verdana" w:eastAsia="Times New Roman" w:hAnsi="Verdana" w:cs="Times New Roman"/>
          <w:sz w:val="19"/>
          <w:szCs w:val="19"/>
          <w:lang w:eastAsia="en-AU"/>
        </w:rPr>
        <w:t>ozone depleting potential (</w:t>
      </w:r>
      <w:r w:rsidR="00ED0623">
        <w:rPr>
          <w:rFonts w:ascii="Verdana" w:eastAsia="Times New Roman" w:hAnsi="Verdana" w:cs="Times New Roman"/>
          <w:sz w:val="19"/>
          <w:szCs w:val="19"/>
          <w:lang w:eastAsia="en-AU"/>
        </w:rPr>
        <w:t>ODP</w:t>
      </w:r>
      <w:r w:rsidR="00FC2992">
        <w:rPr>
          <w:rFonts w:ascii="Verdana" w:eastAsia="Times New Roman" w:hAnsi="Verdana" w:cs="Times New Roman"/>
          <w:sz w:val="19"/>
          <w:szCs w:val="19"/>
          <w:lang w:eastAsia="en-AU"/>
        </w:rPr>
        <w:t>)</w:t>
      </w:r>
      <w:r w:rsidR="00ED0623">
        <w:rPr>
          <w:rFonts w:ascii="Verdana" w:eastAsia="Times New Roman" w:hAnsi="Verdana" w:cs="Times New Roman"/>
          <w:sz w:val="19"/>
          <w:szCs w:val="19"/>
          <w:lang w:eastAsia="en-AU"/>
        </w:rPr>
        <w:t xml:space="preserve"> value of halon 1301 is 10 (</w:t>
      </w:r>
      <w:proofErr w:type="spellStart"/>
      <w:r w:rsidR="00FD7A63">
        <w:rPr>
          <w:rFonts w:ascii="Verdana" w:eastAsia="Times New Roman" w:hAnsi="Verdana" w:cs="Times New Roman"/>
          <w:sz w:val="19"/>
          <w:szCs w:val="19"/>
          <w:lang w:eastAsia="en-AU"/>
        </w:rPr>
        <w:t>ie</w:t>
      </w:r>
      <w:proofErr w:type="spellEnd"/>
      <w:r w:rsidR="00FD7A63">
        <w:rPr>
          <w:rFonts w:ascii="Verdana" w:eastAsia="Times New Roman" w:hAnsi="Verdana" w:cs="Times New Roman"/>
          <w:sz w:val="19"/>
          <w:szCs w:val="19"/>
          <w:lang w:eastAsia="en-AU"/>
        </w:rPr>
        <w:t>. it is 10 time</w:t>
      </w:r>
      <w:r w:rsidR="00486784">
        <w:rPr>
          <w:rFonts w:ascii="Verdana" w:eastAsia="Times New Roman" w:hAnsi="Verdana" w:cs="Times New Roman"/>
          <w:sz w:val="19"/>
          <w:szCs w:val="19"/>
          <w:lang w:eastAsia="en-AU"/>
        </w:rPr>
        <w:t>s</w:t>
      </w:r>
      <w:r w:rsidR="00FD7A63">
        <w:rPr>
          <w:rFonts w:ascii="Verdana" w:eastAsia="Times New Roman" w:hAnsi="Verdana" w:cs="Times New Roman"/>
          <w:sz w:val="19"/>
          <w:szCs w:val="19"/>
          <w:lang w:eastAsia="en-AU"/>
        </w:rPr>
        <w:t xml:space="preserve"> more potent than CFC 11 </w:t>
      </w:r>
      <w:r w:rsidR="008149B9">
        <w:rPr>
          <w:rFonts w:ascii="Verdana" w:eastAsia="Times New Roman" w:hAnsi="Verdana" w:cs="Times New Roman"/>
          <w:sz w:val="19"/>
          <w:szCs w:val="19"/>
          <w:lang w:eastAsia="en-AU"/>
        </w:rPr>
        <w:t>at destroying ozone in the stratosphere</w:t>
      </w:r>
      <w:r w:rsidR="00ED0623">
        <w:rPr>
          <w:rFonts w:ascii="Verdana" w:eastAsia="Times New Roman" w:hAnsi="Verdana" w:cs="Times New Roman"/>
          <w:sz w:val="19"/>
          <w:szCs w:val="19"/>
          <w:lang w:eastAsia="en-AU"/>
        </w:rPr>
        <w:t xml:space="preserve">) and the ODP value of halon 1211 is three. </w:t>
      </w:r>
      <w:r w:rsidR="00F31654" w:rsidRPr="00F31654">
        <w:rPr>
          <w:rFonts w:ascii="Verdana" w:eastAsia="Times New Roman" w:hAnsi="Verdana" w:cs="Times New Roman"/>
          <w:sz w:val="19"/>
          <w:szCs w:val="19"/>
          <w:lang w:eastAsia="en-AU"/>
        </w:rPr>
        <w:t xml:space="preserve">There is an overall declining trend in the import of equipment containing halon. The amount of halon-1301 imported in 2017 is higher than the average due to the used halon imported into Australia that year being exported for reprocessing at a later time. </w:t>
      </w:r>
    </w:p>
    <w:p w14:paraId="3EDDAEA5" w14:textId="7C11B61A" w:rsidR="00905A4B" w:rsidRDefault="00FC17D6" w:rsidP="00CB1134">
      <w:pPr>
        <w:keepNext/>
        <w:spacing w:after="0"/>
        <w:textAlignment w:val="baseline"/>
        <w:rPr>
          <w:rFonts w:ascii="Verdana" w:eastAsia="Times New Roman" w:hAnsi="Verdana" w:cs="Times New Roman"/>
          <w:sz w:val="19"/>
          <w:szCs w:val="19"/>
          <w:u w:val="single"/>
          <w:lang w:eastAsia="en-AU"/>
        </w:rPr>
      </w:pPr>
      <w:r>
        <w:rPr>
          <w:rFonts w:ascii="Verdana" w:eastAsia="Times New Roman" w:hAnsi="Verdana" w:cs="Times New Roman"/>
          <w:sz w:val="19"/>
          <w:szCs w:val="19"/>
          <w:u w:val="single"/>
          <w:lang w:eastAsia="en-AU"/>
        </w:rPr>
        <w:lastRenderedPageBreak/>
        <w:t>Graph 11</w:t>
      </w:r>
      <w:r w:rsidR="00905A4B" w:rsidRPr="00905A4B">
        <w:rPr>
          <w:rFonts w:ascii="Verdana" w:eastAsia="Times New Roman" w:hAnsi="Verdana" w:cs="Times New Roman"/>
          <w:sz w:val="19"/>
          <w:szCs w:val="19"/>
          <w:u w:val="single"/>
          <w:lang w:eastAsia="en-AU"/>
        </w:rPr>
        <w:t xml:space="preserve"> – Australia imports in pre-charged equipment from 201</w:t>
      </w:r>
      <w:r w:rsidR="00B17CDA">
        <w:rPr>
          <w:rFonts w:ascii="Verdana" w:eastAsia="Times New Roman" w:hAnsi="Verdana" w:cs="Times New Roman"/>
          <w:sz w:val="19"/>
          <w:szCs w:val="19"/>
          <w:u w:val="single"/>
          <w:lang w:eastAsia="en-AU"/>
        </w:rPr>
        <w:t>2</w:t>
      </w:r>
      <w:r w:rsidR="00905A4B" w:rsidRPr="00905A4B">
        <w:rPr>
          <w:rFonts w:ascii="Verdana" w:eastAsia="Times New Roman" w:hAnsi="Verdana" w:cs="Times New Roman"/>
          <w:sz w:val="19"/>
          <w:szCs w:val="19"/>
          <w:u w:val="single"/>
          <w:lang w:eastAsia="en-AU"/>
        </w:rPr>
        <w:t xml:space="preserve"> to </w:t>
      </w:r>
      <w:r w:rsidR="00B63166">
        <w:rPr>
          <w:rFonts w:ascii="Verdana" w:eastAsia="Times New Roman" w:hAnsi="Verdana" w:cs="Times New Roman"/>
          <w:sz w:val="19"/>
          <w:szCs w:val="19"/>
          <w:u w:val="single"/>
          <w:lang w:eastAsia="en-AU"/>
        </w:rPr>
        <w:t>201</w:t>
      </w:r>
      <w:r w:rsidR="00C36037">
        <w:rPr>
          <w:rFonts w:ascii="Verdana" w:eastAsia="Times New Roman" w:hAnsi="Verdana" w:cs="Times New Roman"/>
          <w:sz w:val="19"/>
          <w:szCs w:val="19"/>
          <w:u w:val="single"/>
          <w:lang w:eastAsia="en-AU"/>
        </w:rPr>
        <w:t>9</w:t>
      </w:r>
    </w:p>
    <w:p w14:paraId="4F63F9BB" w14:textId="3B733116" w:rsidR="00E21ED7" w:rsidRDefault="00644A66" w:rsidP="00CB1134">
      <w:pPr>
        <w:keepNext/>
        <w:spacing w:after="0"/>
        <w:textAlignment w:val="baseline"/>
        <w:rPr>
          <w:rFonts w:ascii="Verdana" w:eastAsia="Times New Roman" w:hAnsi="Verdana" w:cs="Times New Roman"/>
          <w:sz w:val="19"/>
          <w:szCs w:val="19"/>
          <w:u w:val="single"/>
          <w:lang w:eastAsia="en-AU"/>
        </w:rPr>
      </w:pPr>
      <w:r>
        <w:rPr>
          <w:noProof/>
          <w:lang w:eastAsia="en-AU"/>
        </w:rPr>
        <w:drawing>
          <wp:inline distT="0" distB="0" distL="0" distR="0" wp14:anchorId="4D2EE079" wp14:editId="4F2B14C0">
            <wp:extent cx="5695950" cy="3190875"/>
            <wp:effectExtent l="0" t="0" r="0" b="9525"/>
            <wp:docPr id="19" name="Chart 19" descr="Graph 11 shows a bar graph of the amount of used halon contained in pre charged equipment in Ozone Depleting Potential tonnes imported into Australia by year from 2012 to 2019. The graph compares data for halon 1301 and halon 1211. The values range from a peak of over 35 Ozone Depleting Potential tonnes of halon 1301 imported in equipment in 2013 steadily declining to negligible levels for 2018 and 2019. A spike of imports in 2017 of over 35 Ozone Depleting Potential tonnes was due to equipment being imported for re-export to another market. The values of halon 1211 imported are minimal over the same period and have declined to negligible levels."/>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CB00636" w14:textId="7B102C0C" w:rsidR="00E21ED7" w:rsidRDefault="00E21ED7" w:rsidP="00E76327">
      <w:pPr>
        <w:spacing w:after="0"/>
        <w:ind w:left="-210"/>
        <w:textAlignment w:val="baseline"/>
        <w:rPr>
          <w:rFonts w:ascii="Verdana" w:eastAsia="Times New Roman" w:hAnsi="Verdana" w:cs="Times New Roman"/>
          <w:sz w:val="19"/>
          <w:szCs w:val="19"/>
          <w:u w:val="single"/>
          <w:lang w:eastAsia="en-AU"/>
        </w:rPr>
      </w:pPr>
    </w:p>
    <w:p w14:paraId="67786570" w14:textId="3325CDF3" w:rsidR="000E2B87" w:rsidRPr="000E2B87" w:rsidRDefault="000E2B87" w:rsidP="00E21ED7">
      <w:pPr>
        <w:pStyle w:val="NormalWeb"/>
        <w:spacing w:afterLines="120" w:after="288" w:line="276" w:lineRule="auto"/>
        <w:rPr>
          <w:rFonts w:ascii="Verdana" w:hAnsi="Verdana"/>
          <w:b/>
          <w:sz w:val="19"/>
          <w:szCs w:val="19"/>
        </w:rPr>
      </w:pPr>
      <w:r w:rsidRPr="000E2B87">
        <w:rPr>
          <w:rFonts w:ascii="Verdana" w:hAnsi="Verdana"/>
          <w:b/>
          <w:sz w:val="19"/>
          <w:szCs w:val="19"/>
        </w:rPr>
        <w:t xml:space="preserve">Background </w:t>
      </w:r>
    </w:p>
    <w:p w14:paraId="1CCB97E1" w14:textId="77BB3870" w:rsidR="00E21ED7" w:rsidRDefault="00E21ED7" w:rsidP="00E21ED7">
      <w:pPr>
        <w:pStyle w:val="NormalWeb"/>
        <w:spacing w:afterLines="120" w:after="288" w:line="276" w:lineRule="auto"/>
        <w:rPr>
          <w:rFonts w:ascii="Verdana" w:hAnsi="Verdana"/>
          <w:sz w:val="19"/>
          <w:szCs w:val="19"/>
        </w:rPr>
      </w:pPr>
      <w:r>
        <w:rPr>
          <w:rFonts w:ascii="Verdana" w:hAnsi="Verdana"/>
          <w:sz w:val="19"/>
          <w:szCs w:val="19"/>
        </w:rPr>
        <w:t>The Montreal Protocol sets out a mandatory timetable for the phase out of the manufacture and import of o</w:t>
      </w:r>
      <w:r w:rsidRPr="008D5EC5">
        <w:rPr>
          <w:rFonts w:ascii="Verdana" w:hAnsi="Verdana"/>
          <w:sz w:val="19"/>
          <w:szCs w:val="19"/>
        </w:rPr>
        <w:t>zone depleting substances</w:t>
      </w:r>
      <w:r>
        <w:rPr>
          <w:rFonts w:ascii="Verdana" w:hAnsi="Verdana"/>
          <w:sz w:val="19"/>
          <w:szCs w:val="19"/>
        </w:rPr>
        <w:t xml:space="preserve">. This timetable has been reviewed regularly, with phase out dates accelerated in accordance with scientific understanding and technological advances. Science tells us that thanks to the Montreal Protocol and its </w:t>
      </w:r>
      <w:r w:rsidRPr="000E2B87">
        <w:rPr>
          <w:rFonts w:ascii="Verdana" w:hAnsi="Verdana"/>
          <w:sz w:val="19"/>
          <w:szCs w:val="19"/>
        </w:rPr>
        <w:t>19</w:t>
      </w:r>
      <w:r w:rsidR="00FC2992">
        <w:rPr>
          <w:rFonts w:ascii="Verdana" w:hAnsi="Verdana"/>
          <w:sz w:val="19"/>
          <w:szCs w:val="19"/>
        </w:rPr>
        <w:t>8</w:t>
      </w:r>
      <w:r w:rsidRPr="000E2B87">
        <w:rPr>
          <w:rFonts w:ascii="Verdana" w:hAnsi="Verdana"/>
          <w:sz w:val="19"/>
          <w:szCs w:val="19"/>
        </w:rPr>
        <w:t xml:space="preserve"> signatory nations, the ozone layer is on track to recover to 1980 levels by </w:t>
      </w:r>
      <w:r w:rsidR="00AB6775">
        <w:rPr>
          <w:rFonts w:ascii="Verdana" w:hAnsi="Verdana"/>
          <w:sz w:val="19"/>
          <w:szCs w:val="19"/>
        </w:rPr>
        <w:t xml:space="preserve">the </w:t>
      </w:r>
      <w:r w:rsidRPr="000E2B87">
        <w:rPr>
          <w:rFonts w:ascii="Verdana" w:hAnsi="Verdana"/>
          <w:sz w:val="19"/>
          <w:szCs w:val="19"/>
        </w:rPr>
        <w:t>20</w:t>
      </w:r>
      <w:r w:rsidR="00AB6775">
        <w:rPr>
          <w:rFonts w:ascii="Verdana" w:hAnsi="Verdana"/>
          <w:sz w:val="19"/>
          <w:szCs w:val="19"/>
        </w:rPr>
        <w:t>30s</w:t>
      </w:r>
      <w:r w:rsidRPr="000E2B87">
        <w:rPr>
          <w:rFonts w:ascii="Verdana" w:hAnsi="Verdana"/>
          <w:sz w:val="19"/>
          <w:szCs w:val="19"/>
        </w:rPr>
        <w:t xml:space="preserve"> for </w:t>
      </w:r>
      <w:r w:rsidR="00AB6775">
        <w:rPr>
          <w:rFonts w:ascii="Verdana" w:hAnsi="Verdana"/>
          <w:sz w:val="19"/>
          <w:szCs w:val="19"/>
        </w:rPr>
        <w:t xml:space="preserve">northern hemisphere </w:t>
      </w:r>
      <w:r w:rsidRPr="000E2B87">
        <w:rPr>
          <w:rFonts w:ascii="Verdana" w:hAnsi="Verdana"/>
          <w:sz w:val="19"/>
          <w:szCs w:val="19"/>
        </w:rPr>
        <w:t xml:space="preserve">mid-latitudes, and by </w:t>
      </w:r>
      <w:r w:rsidR="00AB6775">
        <w:rPr>
          <w:rFonts w:ascii="Verdana" w:hAnsi="Verdana"/>
          <w:sz w:val="19"/>
          <w:szCs w:val="19"/>
        </w:rPr>
        <w:t>around the mid-century</w:t>
      </w:r>
      <w:r w:rsidRPr="000E2B87">
        <w:rPr>
          <w:rFonts w:ascii="Verdana" w:hAnsi="Verdana"/>
          <w:sz w:val="19"/>
          <w:szCs w:val="19"/>
        </w:rPr>
        <w:t xml:space="preserve"> </w:t>
      </w:r>
      <w:r w:rsidR="00AB6775">
        <w:rPr>
          <w:rFonts w:ascii="Verdana" w:hAnsi="Verdana"/>
          <w:sz w:val="19"/>
          <w:szCs w:val="19"/>
        </w:rPr>
        <w:t>for southern hemisphere mid-latitudes</w:t>
      </w:r>
      <w:r w:rsidRPr="000E2B87">
        <w:rPr>
          <w:rFonts w:ascii="Verdana" w:hAnsi="Verdana"/>
          <w:sz w:val="19"/>
          <w:szCs w:val="19"/>
        </w:rPr>
        <w:t xml:space="preserve">. </w:t>
      </w:r>
      <w:r w:rsidR="00AB6775">
        <w:rPr>
          <w:rFonts w:ascii="Verdana" w:hAnsi="Verdana"/>
          <w:sz w:val="19"/>
          <w:szCs w:val="19"/>
        </w:rPr>
        <w:t>The Antarctic ozone hole is expected to return to 1980 values in the 2060s.</w:t>
      </w:r>
    </w:p>
    <w:p w14:paraId="498E5E1E" w14:textId="614CF07D" w:rsidR="00E21ED7" w:rsidRDefault="00E21ED7" w:rsidP="00E21ED7">
      <w:pPr>
        <w:pStyle w:val="NormalWeb"/>
        <w:spacing w:afterLines="120" w:after="288" w:line="276" w:lineRule="auto"/>
        <w:rPr>
          <w:rFonts w:ascii="Verdana" w:hAnsi="Verdana"/>
          <w:sz w:val="19"/>
          <w:szCs w:val="19"/>
        </w:rPr>
      </w:pPr>
      <w:r>
        <w:rPr>
          <w:rFonts w:ascii="Verdana" w:hAnsi="Verdana"/>
          <w:sz w:val="19"/>
          <w:szCs w:val="19"/>
        </w:rPr>
        <w:t>The Montreal Protocol sets binding progressive phase out obligations for developed and developing countries for all the major ozone depleting substances, including chlorofluorocarbons (CFCs), halons and less damaging transitional chemicals such as hydrochlorofluorocarbons (HCFCs). Binding phase-down obligations for hydrofluorocarbons (HFCs) which are generally high global warming alternatives to o</w:t>
      </w:r>
      <w:r w:rsidRPr="008D5EC5">
        <w:rPr>
          <w:rFonts w:ascii="Verdana" w:hAnsi="Verdana"/>
          <w:sz w:val="19"/>
          <w:szCs w:val="19"/>
        </w:rPr>
        <w:t xml:space="preserve">zone depleting substances </w:t>
      </w:r>
      <w:r>
        <w:rPr>
          <w:rFonts w:ascii="Verdana" w:hAnsi="Verdana"/>
          <w:sz w:val="19"/>
          <w:szCs w:val="19"/>
        </w:rPr>
        <w:t>for developed countries like Australia commence</w:t>
      </w:r>
      <w:r w:rsidR="00FC2992">
        <w:rPr>
          <w:rFonts w:ascii="Verdana" w:hAnsi="Verdana"/>
          <w:sz w:val="19"/>
          <w:szCs w:val="19"/>
        </w:rPr>
        <w:t>d</w:t>
      </w:r>
      <w:r>
        <w:rPr>
          <w:rFonts w:ascii="Verdana" w:hAnsi="Verdana"/>
          <w:sz w:val="19"/>
          <w:szCs w:val="19"/>
        </w:rPr>
        <w:t xml:space="preserve"> in 2019</w:t>
      </w:r>
      <w:r w:rsidR="00FC2992">
        <w:rPr>
          <w:rFonts w:ascii="Verdana" w:hAnsi="Verdana"/>
          <w:sz w:val="19"/>
          <w:szCs w:val="19"/>
        </w:rPr>
        <w:t>, with developing countries commencing i</w:t>
      </w:r>
      <w:r w:rsidR="00CF42B3">
        <w:rPr>
          <w:rFonts w:ascii="Verdana" w:hAnsi="Verdana"/>
          <w:sz w:val="19"/>
          <w:szCs w:val="19"/>
        </w:rPr>
        <w:t>n</w:t>
      </w:r>
      <w:r w:rsidR="00FC2992">
        <w:rPr>
          <w:rFonts w:ascii="Verdana" w:hAnsi="Verdana"/>
          <w:sz w:val="19"/>
          <w:szCs w:val="19"/>
        </w:rPr>
        <w:t xml:space="preserve"> </w:t>
      </w:r>
      <w:r w:rsidR="00AB6775">
        <w:rPr>
          <w:rFonts w:ascii="Verdana" w:hAnsi="Verdana"/>
          <w:sz w:val="19"/>
          <w:szCs w:val="19"/>
        </w:rPr>
        <w:t>2024</w:t>
      </w:r>
      <w:r>
        <w:rPr>
          <w:rFonts w:ascii="Verdana" w:hAnsi="Verdana"/>
          <w:sz w:val="19"/>
          <w:szCs w:val="19"/>
        </w:rPr>
        <w:t>.</w:t>
      </w:r>
    </w:p>
    <w:p w14:paraId="75BD7465" w14:textId="77777777" w:rsidR="00E21ED7" w:rsidRPr="001E0ADE" w:rsidRDefault="00E21ED7" w:rsidP="00E21ED7">
      <w:pPr>
        <w:spacing w:after="120"/>
        <w:textAlignment w:val="baseline"/>
        <w:rPr>
          <w:rFonts w:ascii="Verdana" w:eastAsia="Times New Roman" w:hAnsi="Verdana" w:cs="Times New Roman"/>
          <w:sz w:val="19"/>
          <w:szCs w:val="19"/>
          <w:lang w:eastAsia="en-AU"/>
        </w:rPr>
      </w:pPr>
      <w:r w:rsidRPr="008D5EC5">
        <w:rPr>
          <w:rFonts w:ascii="Verdana" w:eastAsia="Times New Roman" w:hAnsi="Verdana" w:cs="Times New Roman"/>
          <w:sz w:val="19"/>
          <w:szCs w:val="19"/>
          <w:lang w:eastAsia="en-AU"/>
        </w:rPr>
        <w:t>Ozone depleting substances are those substances which deplete the ozone layer and are widely used in refrigerators, air</w:t>
      </w:r>
      <w:r>
        <w:rPr>
          <w:rFonts w:ascii="Verdana" w:eastAsia="Times New Roman" w:hAnsi="Verdana" w:cs="Times New Roman"/>
          <w:sz w:val="19"/>
          <w:szCs w:val="19"/>
          <w:lang w:eastAsia="en-AU"/>
        </w:rPr>
        <w:t xml:space="preserve"> </w:t>
      </w:r>
      <w:r w:rsidRPr="008D5EC5">
        <w:rPr>
          <w:rFonts w:ascii="Verdana" w:eastAsia="Times New Roman" w:hAnsi="Verdana" w:cs="Times New Roman"/>
          <w:sz w:val="19"/>
          <w:szCs w:val="19"/>
          <w:lang w:eastAsia="en-AU"/>
        </w:rPr>
        <w:t xml:space="preserve">conditioners, fire extinguishers, in dry cleaning, </w:t>
      </w:r>
      <w:r>
        <w:rPr>
          <w:rFonts w:ascii="Verdana" w:eastAsia="Times New Roman" w:hAnsi="Verdana" w:cs="Times New Roman"/>
          <w:sz w:val="19"/>
          <w:szCs w:val="19"/>
          <w:lang w:eastAsia="en-AU"/>
        </w:rPr>
        <w:t xml:space="preserve">thermal insulation in foam products, propellant in aerosols such as asthma inhalers, </w:t>
      </w:r>
      <w:r w:rsidRPr="008D5EC5">
        <w:rPr>
          <w:rFonts w:ascii="Verdana" w:eastAsia="Times New Roman" w:hAnsi="Verdana" w:cs="Times New Roman"/>
          <w:sz w:val="19"/>
          <w:szCs w:val="19"/>
          <w:lang w:eastAsia="en-AU"/>
        </w:rPr>
        <w:t xml:space="preserve">as solvents for </w:t>
      </w:r>
      <w:r w:rsidRPr="001E0ADE">
        <w:rPr>
          <w:rFonts w:ascii="Verdana" w:eastAsia="Times New Roman" w:hAnsi="Verdana" w:cs="Times New Roman"/>
          <w:sz w:val="19"/>
          <w:szCs w:val="19"/>
          <w:lang w:eastAsia="en-AU"/>
        </w:rPr>
        <w:t xml:space="preserve">cleaning, electronic equipment and as fumigants </w:t>
      </w:r>
      <w:r>
        <w:rPr>
          <w:rFonts w:ascii="Verdana" w:eastAsia="Times New Roman" w:hAnsi="Verdana" w:cs="Times New Roman"/>
          <w:sz w:val="19"/>
          <w:szCs w:val="19"/>
          <w:lang w:eastAsia="en-AU"/>
        </w:rPr>
        <w:t xml:space="preserve">in </w:t>
      </w:r>
      <w:r w:rsidRPr="001E0ADE">
        <w:rPr>
          <w:rFonts w:ascii="Verdana" w:eastAsia="Times New Roman" w:hAnsi="Verdana" w:cs="Times New Roman"/>
          <w:sz w:val="19"/>
          <w:szCs w:val="19"/>
          <w:lang w:eastAsia="en-AU"/>
        </w:rPr>
        <w:t>agricultural</w:t>
      </w:r>
      <w:r>
        <w:rPr>
          <w:rFonts w:ascii="Verdana" w:eastAsia="Times New Roman" w:hAnsi="Verdana" w:cs="Times New Roman"/>
          <w:sz w:val="19"/>
          <w:szCs w:val="19"/>
          <w:lang w:eastAsia="en-AU"/>
        </w:rPr>
        <w:t xml:space="preserve"> and quarantine applications</w:t>
      </w:r>
      <w:r w:rsidRPr="001E0ADE">
        <w:rPr>
          <w:rFonts w:ascii="Verdana" w:eastAsia="Times New Roman" w:hAnsi="Verdana" w:cs="Times New Roman"/>
          <w:sz w:val="19"/>
          <w:szCs w:val="19"/>
          <w:lang w:eastAsia="en-AU"/>
        </w:rPr>
        <w:t xml:space="preserve">. Their potency </w:t>
      </w:r>
      <w:r>
        <w:rPr>
          <w:rFonts w:ascii="Verdana" w:eastAsia="Times New Roman" w:hAnsi="Verdana" w:cs="Times New Roman"/>
          <w:sz w:val="19"/>
          <w:szCs w:val="19"/>
          <w:lang w:eastAsia="en-AU"/>
        </w:rPr>
        <w:t xml:space="preserve">to destroy ozone </w:t>
      </w:r>
      <w:r w:rsidRPr="001E0ADE">
        <w:rPr>
          <w:rFonts w:ascii="Verdana" w:eastAsia="Times New Roman" w:hAnsi="Verdana" w:cs="Times New Roman"/>
          <w:sz w:val="19"/>
          <w:szCs w:val="19"/>
          <w:lang w:eastAsia="en-AU"/>
        </w:rPr>
        <w:t xml:space="preserve">is measured by their Ozone Depleting Potential (ODP).  </w:t>
      </w:r>
    </w:p>
    <w:p w14:paraId="00273C2F" w14:textId="77777777" w:rsidR="00E21ED7" w:rsidRPr="008D5EC5" w:rsidRDefault="00E21ED7" w:rsidP="00E21ED7">
      <w:pPr>
        <w:spacing w:after="120"/>
        <w:textAlignment w:val="baseline"/>
        <w:rPr>
          <w:rFonts w:ascii="Verdana" w:eastAsia="Times New Roman" w:hAnsi="Verdana" w:cs="Times New Roman"/>
          <w:sz w:val="19"/>
          <w:szCs w:val="19"/>
          <w:lang w:eastAsia="en-AU"/>
        </w:rPr>
      </w:pPr>
      <w:r w:rsidRPr="008D5EC5">
        <w:rPr>
          <w:rFonts w:ascii="Verdana" w:eastAsia="Times New Roman" w:hAnsi="Verdana" w:cs="Times New Roman"/>
          <w:sz w:val="19"/>
          <w:szCs w:val="19"/>
          <w:lang w:eastAsia="en-AU"/>
        </w:rPr>
        <w:t>Ozone depleting substances controlled by Montreal Protocol include:</w:t>
      </w:r>
    </w:p>
    <w:p w14:paraId="7C3C835A" w14:textId="77777777" w:rsidR="00E21ED7" w:rsidRPr="008D5EC5" w:rsidRDefault="00E21ED7" w:rsidP="00E21ED7">
      <w:pPr>
        <w:numPr>
          <w:ilvl w:val="0"/>
          <w:numId w:val="1"/>
        </w:numPr>
        <w:spacing w:after="0"/>
        <w:ind w:left="567" w:hanging="567"/>
        <w:textAlignment w:val="baseline"/>
        <w:rPr>
          <w:rFonts w:ascii="Verdana" w:eastAsia="Times New Roman" w:hAnsi="Verdana" w:cs="Times New Roman"/>
          <w:sz w:val="19"/>
          <w:szCs w:val="19"/>
          <w:lang w:eastAsia="en-AU"/>
        </w:rPr>
      </w:pPr>
      <w:r w:rsidRPr="008D5EC5">
        <w:rPr>
          <w:rFonts w:ascii="Verdana" w:eastAsia="Times New Roman" w:hAnsi="Verdana" w:cs="Times New Roman"/>
          <w:sz w:val="19"/>
          <w:szCs w:val="19"/>
          <w:lang w:eastAsia="en-AU"/>
        </w:rPr>
        <w:t>CFCs</w:t>
      </w:r>
    </w:p>
    <w:p w14:paraId="38882150" w14:textId="77777777" w:rsidR="00E21ED7" w:rsidRPr="00961056" w:rsidRDefault="009333F7" w:rsidP="00E21ED7">
      <w:pPr>
        <w:numPr>
          <w:ilvl w:val="0"/>
          <w:numId w:val="1"/>
        </w:numPr>
        <w:spacing w:after="0"/>
        <w:ind w:left="567" w:hanging="567"/>
        <w:textAlignment w:val="baseline"/>
        <w:rPr>
          <w:rFonts w:ascii="Verdana" w:eastAsia="Times New Roman" w:hAnsi="Verdana" w:cs="Times New Roman"/>
          <w:sz w:val="19"/>
          <w:szCs w:val="19"/>
          <w:lang w:eastAsia="en-AU"/>
        </w:rPr>
      </w:pPr>
      <w:hyperlink r:id="rId24" w:history="1">
        <w:r w:rsidR="00E21ED7" w:rsidRPr="00961056">
          <w:rPr>
            <w:rFonts w:ascii="Verdana" w:eastAsia="Times New Roman" w:hAnsi="Verdana" w:cs="Times New Roman"/>
            <w:sz w:val="19"/>
            <w:lang w:eastAsia="en-AU"/>
          </w:rPr>
          <w:t>Halon</w:t>
        </w:r>
      </w:hyperlink>
    </w:p>
    <w:p w14:paraId="5972C776" w14:textId="77777777" w:rsidR="00E21ED7" w:rsidRDefault="00E21ED7" w:rsidP="00E21ED7">
      <w:pPr>
        <w:numPr>
          <w:ilvl w:val="0"/>
          <w:numId w:val="1"/>
        </w:numPr>
        <w:spacing w:after="0"/>
        <w:ind w:left="567" w:hanging="567"/>
        <w:textAlignment w:val="baseline"/>
        <w:rPr>
          <w:rFonts w:ascii="Verdana" w:eastAsia="Times New Roman" w:hAnsi="Verdana" w:cs="Times New Roman"/>
          <w:sz w:val="19"/>
          <w:szCs w:val="19"/>
          <w:lang w:eastAsia="en-AU"/>
        </w:rPr>
      </w:pPr>
      <w:r w:rsidRPr="008D5EC5">
        <w:rPr>
          <w:rFonts w:ascii="Verdana" w:eastAsia="Times New Roman" w:hAnsi="Verdana" w:cs="Times New Roman"/>
          <w:sz w:val="19"/>
          <w:szCs w:val="19"/>
          <w:lang w:eastAsia="en-AU"/>
        </w:rPr>
        <w:t>Carbon tetrachloride</w:t>
      </w:r>
    </w:p>
    <w:p w14:paraId="235AEC0F" w14:textId="77777777" w:rsidR="00E21ED7" w:rsidRPr="008D5EC5" w:rsidRDefault="00E21ED7" w:rsidP="00E21ED7">
      <w:pPr>
        <w:numPr>
          <w:ilvl w:val="0"/>
          <w:numId w:val="1"/>
        </w:numPr>
        <w:spacing w:after="0"/>
        <w:ind w:left="567" w:hanging="567"/>
        <w:textAlignment w:val="baseline"/>
        <w:rPr>
          <w:rFonts w:ascii="Verdana" w:eastAsia="Times New Roman" w:hAnsi="Verdana" w:cs="Times New Roman"/>
          <w:sz w:val="19"/>
          <w:szCs w:val="19"/>
          <w:lang w:eastAsia="en-AU"/>
        </w:rPr>
      </w:pPr>
      <w:r w:rsidRPr="008D5EC5">
        <w:rPr>
          <w:rFonts w:ascii="Verdana" w:eastAsia="Times New Roman" w:hAnsi="Verdana" w:cs="Times New Roman"/>
          <w:sz w:val="19"/>
          <w:szCs w:val="19"/>
          <w:lang w:eastAsia="en-AU"/>
        </w:rPr>
        <w:t>Methyl chloroform</w:t>
      </w:r>
    </w:p>
    <w:p w14:paraId="721ECE64" w14:textId="77777777" w:rsidR="00E21ED7" w:rsidRPr="008D5EC5" w:rsidRDefault="00E21ED7" w:rsidP="00E21ED7">
      <w:pPr>
        <w:numPr>
          <w:ilvl w:val="0"/>
          <w:numId w:val="1"/>
        </w:numPr>
        <w:spacing w:after="0"/>
        <w:ind w:left="567" w:hanging="567"/>
        <w:textAlignment w:val="baseline"/>
        <w:rPr>
          <w:rFonts w:ascii="Verdana" w:eastAsia="Times New Roman" w:hAnsi="Verdana" w:cs="Times New Roman"/>
          <w:sz w:val="19"/>
          <w:szCs w:val="19"/>
          <w:lang w:eastAsia="en-AU"/>
        </w:rPr>
      </w:pPr>
      <w:proofErr w:type="spellStart"/>
      <w:r w:rsidRPr="008D5EC5">
        <w:rPr>
          <w:rFonts w:ascii="Verdana" w:eastAsia="Times New Roman" w:hAnsi="Verdana" w:cs="Times New Roman"/>
          <w:sz w:val="19"/>
          <w:szCs w:val="19"/>
          <w:lang w:eastAsia="en-AU"/>
        </w:rPr>
        <w:t>Hydrobromofluorocarbons</w:t>
      </w:r>
      <w:proofErr w:type="spellEnd"/>
      <w:r w:rsidRPr="008D5EC5">
        <w:rPr>
          <w:rFonts w:ascii="Verdana" w:eastAsia="Times New Roman" w:hAnsi="Verdana" w:cs="Times New Roman"/>
          <w:sz w:val="19"/>
          <w:szCs w:val="19"/>
          <w:lang w:eastAsia="en-AU"/>
        </w:rPr>
        <w:t xml:space="preserve"> (HBFCs)</w:t>
      </w:r>
    </w:p>
    <w:p w14:paraId="22E0D574" w14:textId="77777777" w:rsidR="00E21ED7" w:rsidRPr="008D5EC5" w:rsidRDefault="00E21ED7" w:rsidP="00E21ED7">
      <w:pPr>
        <w:numPr>
          <w:ilvl w:val="0"/>
          <w:numId w:val="1"/>
        </w:numPr>
        <w:spacing w:after="0"/>
        <w:ind w:left="567" w:hanging="567"/>
        <w:textAlignment w:val="baseline"/>
        <w:rPr>
          <w:rFonts w:ascii="Verdana" w:eastAsia="Times New Roman" w:hAnsi="Verdana" w:cs="Times New Roman"/>
          <w:sz w:val="19"/>
          <w:szCs w:val="19"/>
          <w:lang w:eastAsia="en-AU"/>
        </w:rPr>
      </w:pPr>
      <w:r w:rsidRPr="008D5EC5">
        <w:rPr>
          <w:rFonts w:ascii="Verdana" w:eastAsia="Times New Roman" w:hAnsi="Verdana" w:cs="Times New Roman"/>
          <w:sz w:val="19"/>
          <w:szCs w:val="19"/>
          <w:lang w:eastAsia="en-AU"/>
        </w:rPr>
        <w:t>HCFCs</w:t>
      </w:r>
    </w:p>
    <w:p w14:paraId="26699830" w14:textId="77777777" w:rsidR="00E21ED7" w:rsidRPr="00961056" w:rsidRDefault="009333F7" w:rsidP="00E21ED7">
      <w:pPr>
        <w:numPr>
          <w:ilvl w:val="0"/>
          <w:numId w:val="1"/>
        </w:numPr>
        <w:spacing w:after="0"/>
        <w:ind w:left="567" w:hanging="567"/>
        <w:textAlignment w:val="baseline"/>
        <w:rPr>
          <w:rFonts w:ascii="Verdana" w:eastAsia="Times New Roman" w:hAnsi="Verdana" w:cs="Times New Roman"/>
          <w:sz w:val="19"/>
          <w:szCs w:val="19"/>
          <w:lang w:eastAsia="en-AU"/>
        </w:rPr>
      </w:pPr>
      <w:hyperlink r:id="rId25" w:history="1">
        <w:r w:rsidR="00E21ED7" w:rsidRPr="00961056">
          <w:rPr>
            <w:rFonts w:ascii="Verdana" w:eastAsia="Times New Roman" w:hAnsi="Verdana" w:cs="Times New Roman"/>
            <w:sz w:val="19"/>
            <w:lang w:eastAsia="en-AU"/>
          </w:rPr>
          <w:t xml:space="preserve">Methyl bromide </w:t>
        </w:r>
      </w:hyperlink>
    </w:p>
    <w:p w14:paraId="3C002322" w14:textId="77777777" w:rsidR="00E21ED7" w:rsidRPr="008D5EC5" w:rsidRDefault="00E21ED7" w:rsidP="00E21ED7">
      <w:pPr>
        <w:numPr>
          <w:ilvl w:val="0"/>
          <w:numId w:val="1"/>
        </w:numPr>
        <w:spacing w:after="0"/>
        <w:ind w:left="567" w:hanging="567"/>
        <w:textAlignment w:val="baseline"/>
        <w:rPr>
          <w:rFonts w:ascii="Verdana" w:eastAsia="Times New Roman" w:hAnsi="Verdana" w:cs="Times New Roman"/>
          <w:sz w:val="19"/>
          <w:szCs w:val="19"/>
          <w:lang w:eastAsia="en-AU"/>
        </w:rPr>
      </w:pPr>
      <w:r w:rsidRPr="008D5EC5">
        <w:rPr>
          <w:rFonts w:ascii="Verdana" w:eastAsia="Times New Roman" w:hAnsi="Verdana" w:cs="Times New Roman"/>
          <w:sz w:val="19"/>
          <w:szCs w:val="19"/>
          <w:lang w:eastAsia="en-AU"/>
        </w:rPr>
        <w:t xml:space="preserve">Bromochloromethane </w:t>
      </w:r>
    </w:p>
    <w:p w14:paraId="6CAE5786" w14:textId="77777777" w:rsidR="00E21ED7" w:rsidRDefault="00E21ED7" w:rsidP="00E21ED7">
      <w:pPr>
        <w:spacing w:after="120"/>
        <w:textAlignment w:val="baseline"/>
        <w:rPr>
          <w:rFonts w:ascii="Verdana" w:eastAsia="Times New Roman" w:hAnsi="Verdana" w:cs="Times New Roman"/>
          <w:sz w:val="19"/>
          <w:szCs w:val="19"/>
          <w:lang w:eastAsia="en-AU"/>
        </w:rPr>
      </w:pPr>
      <w:r w:rsidRPr="008D5EC5">
        <w:rPr>
          <w:rFonts w:ascii="Verdana" w:eastAsia="Times New Roman" w:hAnsi="Verdana" w:cs="Times New Roman"/>
          <w:sz w:val="19"/>
          <w:szCs w:val="19"/>
          <w:lang w:eastAsia="en-AU"/>
        </w:rPr>
        <w:t>There are other ozone depleting substances, but their ozone depleting effects are very small in comparison to these controlled substances.</w:t>
      </w:r>
    </w:p>
    <w:p w14:paraId="77609CFF" w14:textId="77777777" w:rsidR="00E21ED7" w:rsidRPr="008D5EC5" w:rsidRDefault="00E21ED7" w:rsidP="00E21ED7">
      <w:pPr>
        <w:spacing w:after="120"/>
        <w:textAlignment w:val="baseline"/>
        <w:rPr>
          <w:rFonts w:ascii="Verdana" w:eastAsia="Times New Roman" w:hAnsi="Verdana" w:cs="Times New Roman"/>
          <w:sz w:val="19"/>
          <w:szCs w:val="19"/>
          <w:u w:val="single"/>
          <w:lang w:eastAsia="en-AU"/>
        </w:rPr>
      </w:pPr>
      <w:r w:rsidRPr="008D5EC5">
        <w:rPr>
          <w:rFonts w:ascii="Verdana" w:eastAsia="Times New Roman" w:hAnsi="Verdana" w:cs="Times New Roman"/>
          <w:sz w:val="19"/>
          <w:szCs w:val="19"/>
          <w:u w:val="single"/>
          <w:lang w:eastAsia="en-AU"/>
        </w:rPr>
        <w:t>Australian obligations under the Montreal Protocol</w:t>
      </w:r>
    </w:p>
    <w:p w14:paraId="5073E370" w14:textId="77777777" w:rsidR="00E21ED7" w:rsidRDefault="00E21ED7" w:rsidP="00E21ED7">
      <w:pPr>
        <w:pStyle w:val="NormalWeb"/>
        <w:spacing w:afterLines="120" w:after="288" w:line="276" w:lineRule="auto"/>
        <w:rPr>
          <w:rFonts w:ascii="Verdana" w:hAnsi="Verdana"/>
          <w:sz w:val="19"/>
          <w:szCs w:val="19"/>
        </w:rPr>
      </w:pPr>
      <w:r>
        <w:rPr>
          <w:rFonts w:ascii="Verdana" w:hAnsi="Verdana"/>
          <w:sz w:val="19"/>
          <w:szCs w:val="19"/>
        </w:rPr>
        <w:t>Australia acceded to the Vienna Convention for the Protection of the Ozone Layer in 1987 and ratified the Montreal Protocol on Substances that Deplete the Ozone Layer originally in 1989, and then again for each of the five amendments agreed between 1990 and 2016.</w:t>
      </w:r>
    </w:p>
    <w:p w14:paraId="08E922D2" w14:textId="50F0A042" w:rsidR="00E21ED7" w:rsidRDefault="00E21ED7" w:rsidP="00E21ED7">
      <w:pPr>
        <w:pStyle w:val="NormalWeb"/>
        <w:spacing w:afterLines="120" w:after="288" w:line="276" w:lineRule="auto"/>
        <w:rPr>
          <w:rFonts w:ascii="Verdana" w:hAnsi="Verdana"/>
          <w:sz w:val="19"/>
          <w:szCs w:val="19"/>
        </w:rPr>
      </w:pPr>
      <w:r>
        <w:rPr>
          <w:rFonts w:ascii="Verdana" w:hAnsi="Verdana"/>
          <w:sz w:val="19"/>
          <w:szCs w:val="19"/>
        </w:rPr>
        <w:t>As one of the early countries to ratify the Montreal Protocol, Australia continues to be a leader in the phase out of o</w:t>
      </w:r>
      <w:r w:rsidRPr="008D5EC5">
        <w:rPr>
          <w:rFonts w:ascii="Verdana" w:hAnsi="Verdana"/>
          <w:sz w:val="19"/>
          <w:szCs w:val="19"/>
        </w:rPr>
        <w:t>zone depleting substances</w:t>
      </w:r>
      <w:r>
        <w:rPr>
          <w:rFonts w:ascii="Verdana" w:hAnsi="Verdana"/>
          <w:sz w:val="19"/>
          <w:szCs w:val="19"/>
        </w:rPr>
        <w:t xml:space="preserve">. In many cases, Australia is well ahead of the </w:t>
      </w:r>
      <w:r w:rsidR="00FC2992">
        <w:rPr>
          <w:rFonts w:ascii="Verdana" w:hAnsi="Verdana"/>
          <w:sz w:val="19"/>
          <w:szCs w:val="19"/>
        </w:rPr>
        <w:t xml:space="preserve">Montreal </w:t>
      </w:r>
      <w:r>
        <w:rPr>
          <w:rFonts w:ascii="Verdana" w:hAnsi="Verdana"/>
          <w:sz w:val="19"/>
          <w:szCs w:val="19"/>
        </w:rPr>
        <w:t>Protocol requirements. Australia’s approach has been based on a cooperative partnership between industry, community, and all levels of government.</w:t>
      </w:r>
    </w:p>
    <w:p w14:paraId="72E991AD" w14:textId="77777777" w:rsidR="00E21ED7" w:rsidRDefault="00E21ED7" w:rsidP="00E21ED7">
      <w:pPr>
        <w:pStyle w:val="NormalWeb"/>
        <w:spacing w:afterLines="120" w:after="288" w:line="276" w:lineRule="auto"/>
        <w:rPr>
          <w:rFonts w:ascii="Verdana" w:hAnsi="Verdana"/>
          <w:sz w:val="19"/>
          <w:szCs w:val="19"/>
        </w:rPr>
      </w:pPr>
      <w:r>
        <w:rPr>
          <w:rFonts w:ascii="Verdana" w:hAnsi="Verdana"/>
          <w:sz w:val="19"/>
          <w:szCs w:val="19"/>
        </w:rPr>
        <w:t xml:space="preserve">Australia has met or exceeded all of its phase out obligations under the Montreal Protocol. For example, Australia largely phased out consumption of HCFCs in 2016, four years ahead of the schedule required under the Montreal Protocol (see </w:t>
      </w:r>
      <w:r w:rsidRPr="00C50BE9">
        <w:rPr>
          <w:rFonts w:ascii="Verdana" w:hAnsi="Verdana"/>
          <w:sz w:val="19"/>
          <w:szCs w:val="19"/>
          <w:u w:val="single"/>
        </w:rPr>
        <w:t>Graph 1</w:t>
      </w:r>
      <w:r>
        <w:rPr>
          <w:rFonts w:ascii="Verdana" w:hAnsi="Verdana"/>
          <w:sz w:val="19"/>
          <w:szCs w:val="19"/>
        </w:rPr>
        <w:t>). In doing so, Australia will consume 61 per cent less HCFC in the period 1996-2020 than permitted under the Montreal Protocol - even after the Parties to the Montreal Protocol agreed in 2007 to accelerate HCFC phase out globally.</w:t>
      </w:r>
    </w:p>
    <w:p w14:paraId="05868D51" w14:textId="77777777" w:rsidR="00E21ED7" w:rsidRPr="00741F3E" w:rsidRDefault="00E21ED7" w:rsidP="00E21ED7">
      <w:pPr>
        <w:spacing w:after="120"/>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 xml:space="preserve">In 1996 </w:t>
      </w:r>
      <w:r w:rsidRPr="00741F3E">
        <w:rPr>
          <w:rFonts w:ascii="Verdana" w:eastAsia="Times New Roman" w:hAnsi="Verdana" w:cs="Times New Roman"/>
          <w:sz w:val="19"/>
          <w:szCs w:val="19"/>
          <w:lang w:eastAsia="en-AU"/>
        </w:rPr>
        <w:t>Australia adopted an accelerated phase</w:t>
      </w:r>
      <w:r>
        <w:rPr>
          <w:rFonts w:ascii="Verdana" w:eastAsia="Times New Roman" w:hAnsi="Verdana" w:cs="Times New Roman"/>
          <w:sz w:val="19"/>
          <w:szCs w:val="19"/>
          <w:lang w:eastAsia="en-AU"/>
        </w:rPr>
        <w:t xml:space="preserve"> </w:t>
      </w:r>
      <w:r w:rsidRPr="00741F3E">
        <w:rPr>
          <w:rFonts w:ascii="Verdana" w:eastAsia="Times New Roman" w:hAnsi="Verdana" w:cs="Times New Roman"/>
          <w:sz w:val="19"/>
          <w:szCs w:val="19"/>
          <w:lang w:eastAsia="en-AU"/>
        </w:rPr>
        <w:t>out of HCFCs. The level of permitted imports and manufacture decreases every two years, as specified in the table below.</w:t>
      </w:r>
    </w:p>
    <w:tbl>
      <w:tblPr>
        <w:tblW w:w="3213"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56"/>
        <w:gridCol w:w="4138"/>
      </w:tblGrid>
      <w:tr w:rsidR="00E21ED7" w:rsidRPr="00741F3E" w14:paraId="6C788D46" w14:textId="77777777" w:rsidTr="00E21ED7">
        <w:trPr>
          <w:trHeight w:val="227"/>
        </w:trPr>
        <w:tc>
          <w:tcPr>
            <w:tcW w:w="1429" w:type="pct"/>
            <w:shd w:val="clear" w:color="auto" w:fill="CDE0F5"/>
            <w:tcMar>
              <w:top w:w="120" w:type="dxa"/>
              <w:left w:w="120" w:type="dxa"/>
              <w:bottom w:w="120" w:type="dxa"/>
              <w:right w:w="120" w:type="dxa"/>
            </w:tcMar>
            <w:hideMark/>
          </w:tcPr>
          <w:p w14:paraId="15E80C75" w14:textId="77777777" w:rsidR="00E21ED7" w:rsidRPr="00741F3E" w:rsidRDefault="00E21ED7" w:rsidP="00E21ED7">
            <w:pPr>
              <w:spacing w:after="0"/>
              <w:textAlignment w:val="baseline"/>
              <w:rPr>
                <w:rFonts w:ascii="Verdana" w:eastAsia="Times New Roman" w:hAnsi="Verdana" w:cs="Times New Roman"/>
                <w:b/>
                <w:bCs/>
                <w:color w:val="000000"/>
                <w:sz w:val="19"/>
                <w:szCs w:val="19"/>
                <w:lang w:eastAsia="en-AU"/>
              </w:rPr>
            </w:pPr>
            <w:r w:rsidRPr="00741F3E">
              <w:rPr>
                <w:rFonts w:ascii="Verdana" w:eastAsia="Times New Roman" w:hAnsi="Verdana" w:cs="Times New Roman"/>
                <w:b/>
                <w:bCs/>
                <w:color w:val="000000"/>
                <w:sz w:val="19"/>
                <w:szCs w:val="19"/>
                <w:lang w:eastAsia="en-AU"/>
              </w:rPr>
              <w:t>Year</w:t>
            </w:r>
          </w:p>
        </w:tc>
        <w:tc>
          <w:tcPr>
            <w:tcW w:w="3571" w:type="pct"/>
            <w:shd w:val="clear" w:color="auto" w:fill="CDE0F5"/>
            <w:tcMar>
              <w:top w:w="120" w:type="dxa"/>
              <w:left w:w="120" w:type="dxa"/>
              <w:bottom w:w="120" w:type="dxa"/>
              <w:right w:w="120" w:type="dxa"/>
            </w:tcMar>
            <w:hideMark/>
          </w:tcPr>
          <w:p w14:paraId="0232A88B" w14:textId="77777777" w:rsidR="00E21ED7" w:rsidRPr="00741F3E" w:rsidRDefault="00E21ED7" w:rsidP="00E21ED7">
            <w:pPr>
              <w:spacing w:after="0"/>
              <w:textAlignment w:val="baseline"/>
              <w:rPr>
                <w:rFonts w:ascii="Verdana" w:eastAsia="Times New Roman" w:hAnsi="Verdana" w:cs="Times New Roman"/>
                <w:b/>
                <w:bCs/>
                <w:color w:val="000000"/>
                <w:sz w:val="19"/>
                <w:szCs w:val="19"/>
                <w:lang w:eastAsia="en-AU"/>
              </w:rPr>
            </w:pPr>
            <w:r w:rsidRPr="00741F3E">
              <w:rPr>
                <w:rFonts w:ascii="Verdana" w:eastAsia="Times New Roman" w:hAnsi="Verdana" w:cs="Times New Roman"/>
                <w:b/>
                <w:bCs/>
                <w:color w:val="000000"/>
                <w:sz w:val="19"/>
                <w:szCs w:val="19"/>
                <w:lang w:eastAsia="en-AU"/>
              </w:rPr>
              <w:t>Annua</w:t>
            </w:r>
            <w:r>
              <w:rPr>
                <w:rFonts w:ascii="Verdana" w:eastAsia="Times New Roman" w:hAnsi="Verdana" w:cs="Times New Roman"/>
                <w:b/>
                <w:bCs/>
                <w:color w:val="000000"/>
                <w:sz w:val="19"/>
                <w:szCs w:val="19"/>
                <w:lang w:eastAsia="en-AU"/>
              </w:rPr>
              <w:t>l import limit (ODP tonnes</w:t>
            </w:r>
            <w:r w:rsidRPr="00741F3E">
              <w:rPr>
                <w:rFonts w:ascii="Verdana" w:eastAsia="Times New Roman" w:hAnsi="Verdana" w:cs="Times New Roman"/>
                <w:b/>
                <w:bCs/>
                <w:color w:val="000000"/>
                <w:sz w:val="19"/>
                <w:szCs w:val="19"/>
                <w:lang w:eastAsia="en-AU"/>
              </w:rPr>
              <w:t>)</w:t>
            </w:r>
          </w:p>
        </w:tc>
      </w:tr>
      <w:tr w:rsidR="00E21ED7" w:rsidRPr="00741F3E" w14:paraId="07F7A456" w14:textId="77777777" w:rsidTr="00E21ED7">
        <w:trPr>
          <w:trHeight w:val="170"/>
        </w:trPr>
        <w:tc>
          <w:tcPr>
            <w:tcW w:w="1429" w:type="pct"/>
            <w:shd w:val="clear" w:color="auto" w:fill="FFFFFF"/>
            <w:tcMar>
              <w:top w:w="60" w:type="dxa"/>
              <w:left w:w="120" w:type="dxa"/>
              <w:bottom w:w="60" w:type="dxa"/>
              <w:right w:w="120" w:type="dxa"/>
            </w:tcMar>
            <w:hideMark/>
          </w:tcPr>
          <w:p w14:paraId="67D099C9" w14:textId="77777777" w:rsidR="00E21ED7" w:rsidRPr="00741F3E" w:rsidRDefault="00E21ED7" w:rsidP="00E21ED7">
            <w:pPr>
              <w:spacing w:after="0"/>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2008, 2009</w:t>
            </w:r>
          </w:p>
        </w:tc>
        <w:tc>
          <w:tcPr>
            <w:tcW w:w="3571" w:type="pct"/>
            <w:shd w:val="clear" w:color="auto" w:fill="FFFFFF"/>
            <w:tcMar>
              <w:top w:w="60" w:type="dxa"/>
              <w:left w:w="120" w:type="dxa"/>
              <w:bottom w:w="60" w:type="dxa"/>
              <w:right w:w="120" w:type="dxa"/>
            </w:tcMar>
            <w:hideMark/>
          </w:tcPr>
          <w:p w14:paraId="48A89F64" w14:textId="77777777" w:rsidR="00E21ED7" w:rsidRPr="00741F3E" w:rsidRDefault="00E21ED7" w:rsidP="00E21ED7">
            <w:pPr>
              <w:spacing w:after="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100</w:t>
            </w:r>
          </w:p>
        </w:tc>
      </w:tr>
      <w:tr w:rsidR="00E21ED7" w:rsidRPr="00741F3E" w14:paraId="1B887FA8" w14:textId="77777777" w:rsidTr="00E21ED7">
        <w:trPr>
          <w:trHeight w:val="170"/>
        </w:trPr>
        <w:tc>
          <w:tcPr>
            <w:tcW w:w="1429" w:type="pct"/>
            <w:shd w:val="clear" w:color="auto" w:fill="FFFFFF"/>
            <w:tcMar>
              <w:top w:w="60" w:type="dxa"/>
              <w:left w:w="120" w:type="dxa"/>
              <w:bottom w:w="60" w:type="dxa"/>
              <w:right w:w="120" w:type="dxa"/>
            </w:tcMar>
            <w:hideMark/>
          </w:tcPr>
          <w:p w14:paraId="42682506" w14:textId="77777777" w:rsidR="00E21ED7" w:rsidRPr="00741F3E" w:rsidRDefault="00E21ED7" w:rsidP="00E21ED7">
            <w:pPr>
              <w:spacing w:after="0"/>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2010, 2011</w:t>
            </w:r>
          </w:p>
        </w:tc>
        <w:tc>
          <w:tcPr>
            <w:tcW w:w="3571" w:type="pct"/>
            <w:shd w:val="clear" w:color="auto" w:fill="FFFFFF"/>
            <w:tcMar>
              <w:top w:w="60" w:type="dxa"/>
              <w:left w:w="120" w:type="dxa"/>
              <w:bottom w:w="60" w:type="dxa"/>
              <w:right w:w="120" w:type="dxa"/>
            </w:tcMar>
            <w:hideMark/>
          </w:tcPr>
          <w:p w14:paraId="30613058" w14:textId="77777777" w:rsidR="00E21ED7" w:rsidRPr="00741F3E" w:rsidRDefault="00E21ED7" w:rsidP="00E21ED7">
            <w:pPr>
              <w:spacing w:after="0"/>
              <w:jc w:val="center"/>
              <w:textAlignment w:val="baseline"/>
              <w:rPr>
                <w:rFonts w:ascii="Verdana" w:eastAsia="Times New Roman" w:hAnsi="Verdana" w:cs="Times New Roman"/>
                <w:sz w:val="19"/>
                <w:szCs w:val="19"/>
                <w:lang w:eastAsia="en-AU"/>
              </w:rPr>
            </w:pPr>
            <w:r>
              <w:rPr>
                <w:rFonts w:ascii="Verdana" w:eastAsia="Times New Roman" w:hAnsi="Verdana" w:cs="Times New Roman"/>
                <w:sz w:val="19"/>
                <w:szCs w:val="19"/>
                <w:lang w:eastAsia="en-AU"/>
              </w:rPr>
              <w:t>70</w:t>
            </w:r>
          </w:p>
        </w:tc>
      </w:tr>
      <w:tr w:rsidR="00E21ED7" w:rsidRPr="00741F3E" w14:paraId="19DEC476" w14:textId="77777777" w:rsidTr="00E21ED7">
        <w:trPr>
          <w:trHeight w:val="170"/>
        </w:trPr>
        <w:tc>
          <w:tcPr>
            <w:tcW w:w="1429" w:type="pct"/>
            <w:shd w:val="clear" w:color="auto" w:fill="FFFFFF"/>
            <w:tcMar>
              <w:top w:w="60" w:type="dxa"/>
              <w:left w:w="120" w:type="dxa"/>
              <w:bottom w:w="60" w:type="dxa"/>
              <w:right w:w="120" w:type="dxa"/>
            </w:tcMar>
            <w:hideMark/>
          </w:tcPr>
          <w:p w14:paraId="5E9601C8" w14:textId="77777777" w:rsidR="00E21ED7" w:rsidRPr="00741F3E" w:rsidRDefault="00E21ED7" w:rsidP="00E21ED7">
            <w:pPr>
              <w:spacing w:after="0"/>
              <w:textAlignment w:val="baseline"/>
              <w:rPr>
                <w:rFonts w:ascii="Verdana" w:eastAsia="Times New Roman" w:hAnsi="Verdana" w:cs="Times New Roman"/>
                <w:sz w:val="19"/>
                <w:szCs w:val="19"/>
                <w:lang w:eastAsia="en-AU"/>
              </w:rPr>
            </w:pPr>
            <w:r w:rsidRPr="00741F3E">
              <w:rPr>
                <w:rFonts w:ascii="Verdana" w:eastAsia="Times New Roman" w:hAnsi="Verdana" w:cs="Times New Roman"/>
                <w:sz w:val="19"/>
                <w:szCs w:val="19"/>
                <w:lang w:eastAsia="en-AU"/>
              </w:rPr>
              <w:t>2012, 2013</w:t>
            </w:r>
          </w:p>
        </w:tc>
        <w:tc>
          <w:tcPr>
            <w:tcW w:w="3571" w:type="pct"/>
            <w:shd w:val="clear" w:color="auto" w:fill="FFFFFF"/>
            <w:tcMar>
              <w:top w:w="60" w:type="dxa"/>
              <w:left w:w="120" w:type="dxa"/>
              <w:bottom w:w="60" w:type="dxa"/>
              <w:right w:w="120" w:type="dxa"/>
            </w:tcMar>
            <w:hideMark/>
          </w:tcPr>
          <w:p w14:paraId="3BCF46E0" w14:textId="77777777" w:rsidR="00E21ED7" w:rsidRPr="00741F3E" w:rsidRDefault="00E21ED7" w:rsidP="00E21ED7">
            <w:pPr>
              <w:spacing w:after="0"/>
              <w:jc w:val="center"/>
              <w:textAlignment w:val="baseline"/>
              <w:rPr>
                <w:rFonts w:ascii="Verdana" w:eastAsia="Times New Roman" w:hAnsi="Verdana" w:cs="Times New Roman"/>
                <w:sz w:val="19"/>
                <w:szCs w:val="19"/>
                <w:lang w:eastAsia="en-AU"/>
              </w:rPr>
            </w:pPr>
            <w:r w:rsidRPr="00741F3E">
              <w:rPr>
                <w:rFonts w:ascii="Verdana" w:eastAsia="Times New Roman" w:hAnsi="Verdana" w:cs="Times New Roman"/>
                <w:sz w:val="19"/>
                <w:szCs w:val="19"/>
                <w:lang w:eastAsia="en-AU"/>
              </w:rPr>
              <w:t>40</w:t>
            </w:r>
          </w:p>
        </w:tc>
      </w:tr>
      <w:tr w:rsidR="00E21ED7" w:rsidRPr="00741F3E" w14:paraId="7BFCA981" w14:textId="77777777" w:rsidTr="00E21ED7">
        <w:trPr>
          <w:trHeight w:val="170"/>
        </w:trPr>
        <w:tc>
          <w:tcPr>
            <w:tcW w:w="1429" w:type="pct"/>
            <w:shd w:val="clear" w:color="auto" w:fill="FFFFFF"/>
            <w:tcMar>
              <w:top w:w="60" w:type="dxa"/>
              <w:left w:w="120" w:type="dxa"/>
              <w:bottom w:w="60" w:type="dxa"/>
              <w:right w:w="120" w:type="dxa"/>
            </w:tcMar>
            <w:hideMark/>
          </w:tcPr>
          <w:p w14:paraId="1223A87B" w14:textId="77777777" w:rsidR="00E21ED7" w:rsidRPr="00741F3E" w:rsidRDefault="00E21ED7" w:rsidP="00E21ED7">
            <w:pPr>
              <w:spacing w:after="0"/>
              <w:textAlignment w:val="baseline"/>
              <w:rPr>
                <w:rFonts w:ascii="Verdana" w:eastAsia="Times New Roman" w:hAnsi="Verdana" w:cs="Times New Roman"/>
                <w:sz w:val="19"/>
                <w:szCs w:val="19"/>
                <w:lang w:eastAsia="en-AU"/>
              </w:rPr>
            </w:pPr>
            <w:r w:rsidRPr="00741F3E">
              <w:rPr>
                <w:rFonts w:ascii="Verdana" w:eastAsia="Times New Roman" w:hAnsi="Verdana" w:cs="Times New Roman"/>
                <w:sz w:val="19"/>
                <w:szCs w:val="19"/>
                <w:lang w:eastAsia="en-AU"/>
              </w:rPr>
              <w:t>2014, 2015</w:t>
            </w:r>
          </w:p>
        </w:tc>
        <w:tc>
          <w:tcPr>
            <w:tcW w:w="3571" w:type="pct"/>
            <w:shd w:val="clear" w:color="auto" w:fill="FFFFFF"/>
            <w:tcMar>
              <w:top w:w="60" w:type="dxa"/>
              <w:left w:w="120" w:type="dxa"/>
              <w:bottom w:w="60" w:type="dxa"/>
              <w:right w:w="120" w:type="dxa"/>
            </w:tcMar>
            <w:hideMark/>
          </w:tcPr>
          <w:p w14:paraId="7D032057" w14:textId="77777777" w:rsidR="00E21ED7" w:rsidRPr="001F79F5" w:rsidRDefault="00E21ED7" w:rsidP="00E21ED7">
            <w:pPr>
              <w:spacing w:after="0"/>
              <w:jc w:val="center"/>
              <w:textAlignment w:val="baseline"/>
              <w:rPr>
                <w:rFonts w:ascii="Verdana" w:eastAsia="Times New Roman" w:hAnsi="Verdana" w:cs="Times New Roman"/>
                <w:sz w:val="19"/>
                <w:szCs w:val="19"/>
                <w:lang w:eastAsia="en-AU"/>
              </w:rPr>
            </w:pPr>
            <w:r w:rsidRPr="001F79F5">
              <w:rPr>
                <w:rFonts w:ascii="Verdana" w:eastAsia="Times New Roman" w:hAnsi="Verdana" w:cs="Times New Roman"/>
                <w:bCs/>
                <w:sz w:val="19"/>
                <w:lang w:eastAsia="en-AU"/>
              </w:rPr>
              <w:t>10</w:t>
            </w:r>
          </w:p>
        </w:tc>
      </w:tr>
      <w:tr w:rsidR="00E21ED7" w:rsidRPr="00741F3E" w14:paraId="317B4D98" w14:textId="77777777" w:rsidTr="00E21ED7">
        <w:trPr>
          <w:trHeight w:val="170"/>
        </w:trPr>
        <w:tc>
          <w:tcPr>
            <w:tcW w:w="1429" w:type="pct"/>
            <w:shd w:val="clear" w:color="auto" w:fill="FFFFFF"/>
            <w:tcMar>
              <w:top w:w="60" w:type="dxa"/>
              <w:left w:w="120" w:type="dxa"/>
              <w:bottom w:w="60" w:type="dxa"/>
              <w:right w:w="120" w:type="dxa"/>
            </w:tcMar>
            <w:hideMark/>
          </w:tcPr>
          <w:p w14:paraId="26FFBC77" w14:textId="77777777" w:rsidR="00E21ED7" w:rsidRPr="00741F3E" w:rsidRDefault="00E21ED7" w:rsidP="00E21ED7">
            <w:pPr>
              <w:spacing w:after="0"/>
              <w:textAlignment w:val="baseline"/>
              <w:rPr>
                <w:rFonts w:ascii="Verdana" w:eastAsia="Times New Roman" w:hAnsi="Verdana" w:cs="Times New Roman"/>
                <w:sz w:val="19"/>
                <w:szCs w:val="19"/>
                <w:lang w:eastAsia="en-AU"/>
              </w:rPr>
            </w:pPr>
            <w:r w:rsidRPr="00741F3E">
              <w:rPr>
                <w:rFonts w:ascii="Verdana" w:eastAsia="Times New Roman" w:hAnsi="Verdana" w:cs="Times New Roman"/>
                <w:sz w:val="19"/>
                <w:szCs w:val="19"/>
                <w:lang w:eastAsia="en-AU"/>
              </w:rPr>
              <w:t>2016 – 2029</w:t>
            </w:r>
          </w:p>
        </w:tc>
        <w:tc>
          <w:tcPr>
            <w:tcW w:w="3571" w:type="pct"/>
            <w:shd w:val="clear" w:color="auto" w:fill="FFFFFF"/>
            <w:tcMar>
              <w:top w:w="60" w:type="dxa"/>
              <w:left w:w="120" w:type="dxa"/>
              <w:bottom w:w="60" w:type="dxa"/>
              <w:right w:w="120" w:type="dxa"/>
            </w:tcMar>
            <w:hideMark/>
          </w:tcPr>
          <w:p w14:paraId="3BEDEBC9" w14:textId="77777777" w:rsidR="00E21ED7" w:rsidRPr="001F79F5" w:rsidRDefault="00E21ED7" w:rsidP="00E21ED7">
            <w:pPr>
              <w:spacing w:after="0"/>
              <w:jc w:val="center"/>
              <w:textAlignment w:val="baseline"/>
              <w:rPr>
                <w:rFonts w:ascii="Verdana" w:eastAsia="Times New Roman" w:hAnsi="Verdana" w:cs="Times New Roman"/>
                <w:b/>
                <w:sz w:val="19"/>
                <w:szCs w:val="19"/>
                <w:lang w:eastAsia="en-AU"/>
              </w:rPr>
            </w:pPr>
            <w:r w:rsidRPr="001F79F5">
              <w:rPr>
                <w:rFonts w:ascii="Verdana" w:eastAsia="Times New Roman" w:hAnsi="Verdana" w:cs="Times New Roman"/>
                <w:b/>
                <w:sz w:val="19"/>
                <w:szCs w:val="19"/>
                <w:lang w:eastAsia="en-AU"/>
              </w:rPr>
              <w:t>2.5</w:t>
            </w:r>
          </w:p>
        </w:tc>
      </w:tr>
      <w:tr w:rsidR="00E21ED7" w:rsidRPr="00741F3E" w14:paraId="20B6E71F" w14:textId="77777777" w:rsidTr="00E21ED7">
        <w:trPr>
          <w:trHeight w:val="170"/>
        </w:trPr>
        <w:tc>
          <w:tcPr>
            <w:tcW w:w="1429" w:type="pct"/>
            <w:shd w:val="clear" w:color="auto" w:fill="FFFFFF"/>
            <w:tcMar>
              <w:top w:w="60" w:type="dxa"/>
              <w:left w:w="120" w:type="dxa"/>
              <w:bottom w:w="60" w:type="dxa"/>
              <w:right w:w="120" w:type="dxa"/>
            </w:tcMar>
            <w:hideMark/>
          </w:tcPr>
          <w:p w14:paraId="625C964F" w14:textId="77777777" w:rsidR="00E21ED7" w:rsidRPr="00741F3E" w:rsidRDefault="00E21ED7" w:rsidP="00E21ED7">
            <w:pPr>
              <w:spacing w:after="0"/>
              <w:textAlignment w:val="baseline"/>
              <w:rPr>
                <w:rFonts w:ascii="Verdana" w:eastAsia="Times New Roman" w:hAnsi="Verdana" w:cs="Times New Roman"/>
                <w:sz w:val="19"/>
                <w:szCs w:val="19"/>
                <w:lang w:eastAsia="en-AU"/>
              </w:rPr>
            </w:pPr>
            <w:r w:rsidRPr="00741F3E">
              <w:rPr>
                <w:rFonts w:ascii="Verdana" w:eastAsia="Times New Roman" w:hAnsi="Verdana" w:cs="Times New Roman"/>
                <w:sz w:val="19"/>
                <w:szCs w:val="19"/>
                <w:lang w:eastAsia="en-AU"/>
              </w:rPr>
              <w:t>2030</w:t>
            </w:r>
          </w:p>
        </w:tc>
        <w:tc>
          <w:tcPr>
            <w:tcW w:w="3571" w:type="pct"/>
            <w:shd w:val="clear" w:color="auto" w:fill="FFFFFF"/>
            <w:tcMar>
              <w:top w:w="60" w:type="dxa"/>
              <w:left w:w="120" w:type="dxa"/>
              <w:bottom w:w="60" w:type="dxa"/>
              <w:right w:w="120" w:type="dxa"/>
            </w:tcMar>
            <w:hideMark/>
          </w:tcPr>
          <w:p w14:paraId="14FF4997" w14:textId="77777777" w:rsidR="00E21ED7" w:rsidRPr="00741F3E" w:rsidRDefault="00E21ED7" w:rsidP="00E21ED7">
            <w:pPr>
              <w:spacing w:after="0"/>
              <w:jc w:val="center"/>
              <w:textAlignment w:val="baseline"/>
              <w:rPr>
                <w:rFonts w:ascii="Verdana" w:eastAsia="Times New Roman" w:hAnsi="Verdana" w:cs="Times New Roman"/>
                <w:sz w:val="19"/>
                <w:szCs w:val="19"/>
                <w:lang w:eastAsia="en-AU"/>
              </w:rPr>
            </w:pPr>
            <w:r w:rsidRPr="00741F3E">
              <w:rPr>
                <w:rFonts w:ascii="Verdana" w:eastAsia="Times New Roman" w:hAnsi="Verdana" w:cs="Times New Roman"/>
                <w:sz w:val="19"/>
                <w:szCs w:val="19"/>
                <w:lang w:eastAsia="en-AU"/>
              </w:rPr>
              <w:t>0</w:t>
            </w:r>
          </w:p>
        </w:tc>
      </w:tr>
    </w:tbl>
    <w:p w14:paraId="23CD4BC2" w14:textId="77777777" w:rsidR="00E21ED7" w:rsidRDefault="00E21ED7" w:rsidP="00E21ED7">
      <w:pPr>
        <w:pStyle w:val="NormalWeb"/>
        <w:spacing w:after="0" w:line="276" w:lineRule="auto"/>
        <w:rPr>
          <w:rFonts w:ascii="Verdana" w:hAnsi="Verdana"/>
          <w:color w:val="FF0000"/>
          <w:sz w:val="19"/>
          <w:szCs w:val="19"/>
        </w:rPr>
      </w:pPr>
    </w:p>
    <w:p w14:paraId="15E00D7F" w14:textId="77777777" w:rsidR="00E21ED7" w:rsidRPr="00C50BE9" w:rsidRDefault="00E21ED7" w:rsidP="00FB5431">
      <w:pPr>
        <w:pStyle w:val="NormalWeb"/>
        <w:keepNext/>
        <w:spacing w:after="120" w:line="276" w:lineRule="auto"/>
        <w:rPr>
          <w:rFonts w:ascii="Verdana" w:hAnsi="Verdana"/>
          <w:sz w:val="19"/>
          <w:szCs w:val="19"/>
          <w:u w:val="single"/>
        </w:rPr>
      </w:pPr>
      <w:r w:rsidRPr="00C50BE9">
        <w:rPr>
          <w:rFonts w:ascii="Verdana" w:hAnsi="Verdana"/>
          <w:sz w:val="19"/>
          <w:szCs w:val="19"/>
          <w:u w:val="single"/>
        </w:rPr>
        <w:lastRenderedPageBreak/>
        <w:t>Graph 1: Australia’s HCFC phase-out schedule compared to our Montreal Protocol obligation</w:t>
      </w:r>
    </w:p>
    <w:p w14:paraId="4F728792" w14:textId="77777777" w:rsidR="00E21ED7" w:rsidRDefault="00E21ED7" w:rsidP="00FB5431">
      <w:pPr>
        <w:pStyle w:val="NormalWeb"/>
        <w:keepNext/>
        <w:spacing w:afterLines="120" w:after="288" w:line="276" w:lineRule="auto"/>
        <w:rPr>
          <w:rFonts w:ascii="Verdana" w:hAnsi="Verdana"/>
          <w:color w:val="FF0000"/>
          <w:sz w:val="19"/>
          <w:szCs w:val="19"/>
        </w:rPr>
      </w:pPr>
      <w:r>
        <w:rPr>
          <w:noProof/>
        </w:rPr>
        <w:drawing>
          <wp:inline distT="0" distB="0" distL="0" distR="0" wp14:anchorId="65DBDCEE" wp14:editId="7220B682">
            <wp:extent cx="5705475" cy="2759075"/>
            <wp:effectExtent l="0" t="0" r="9525" b="3175"/>
            <wp:docPr id="2" name="Chart 2" descr="Graph 1 shows a line graph of the HCFC phase out schedule for Australia from 1996 to 2031. The graph compares the legislated limits in Australia to the Montreal Protocol obligations against the HCFC baseline in Ozone Depleting Potential tonnes.  The values show Australia's domestic limits being well within the Montreal Protocol obligations and under the baseline. Australia aims to phase out HCFC by 2016 which is well before the Montreal Protocol obligation target of 20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483AB7B" w14:textId="4C5A9F25" w:rsidR="00E21ED7" w:rsidRPr="008D5EC5" w:rsidRDefault="00E21ED7" w:rsidP="00E21ED7">
      <w:pPr>
        <w:spacing w:afterLines="120" w:after="288"/>
        <w:rPr>
          <w:rFonts w:ascii="Verdana" w:hAnsi="Verdana"/>
          <w:sz w:val="19"/>
          <w:szCs w:val="19"/>
          <w:u w:val="single"/>
        </w:rPr>
      </w:pPr>
      <w:r w:rsidRPr="008D5EC5">
        <w:rPr>
          <w:rFonts w:ascii="Verdana" w:hAnsi="Verdana"/>
          <w:sz w:val="19"/>
          <w:szCs w:val="19"/>
          <w:u w:val="single"/>
        </w:rPr>
        <w:t>The Australian legislation</w:t>
      </w:r>
    </w:p>
    <w:p w14:paraId="0A566E1F" w14:textId="77777777" w:rsidR="00E21ED7" w:rsidRDefault="00E21ED7" w:rsidP="00E21ED7">
      <w:pPr>
        <w:spacing w:afterLines="120" w:after="288"/>
        <w:rPr>
          <w:rFonts w:ascii="Verdana" w:hAnsi="Verdana"/>
          <w:sz w:val="19"/>
          <w:szCs w:val="19"/>
        </w:rPr>
      </w:pPr>
      <w:r>
        <w:rPr>
          <w:rFonts w:ascii="Verdana" w:hAnsi="Verdana"/>
          <w:sz w:val="19"/>
          <w:szCs w:val="19"/>
        </w:rPr>
        <w:t xml:space="preserve">The </w:t>
      </w:r>
      <w:r>
        <w:rPr>
          <w:rStyle w:val="Emphasis"/>
          <w:rFonts w:ascii="Verdana" w:hAnsi="Verdana"/>
          <w:sz w:val="19"/>
          <w:szCs w:val="19"/>
        </w:rPr>
        <w:t>Ozone Protection and Synthetic Greenhouse Gas Management Act 1989</w:t>
      </w:r>
      <w:r>
        <w:rPr>
          <w:rFonts w:ascii="Verdana" w:hAnsi="Verdana"/>
          <w:sz w:val="19"/>
          <w:szCs w:val="19"/>
        </w:rPr>
        <w:t xml:space="preserve"> (the Ozone Act) protects the environment by reducing emissions of o</w:t>
      </w:r>
      <w:r w:rsidRPr="008D5EC5">
        <w:rPr>
          <w:rFonts w:ascii="Verdana" w:eastAsia="Times New Roman" w:hAnsi="Verdana" w:cs="Times New Roman"/>
          <w:sz w:val="19"/>
          <w:szCs w:val="19"/>
          <w:lang w:eastAsia="en-AU"/>
        </w:rPr>
        <w:t xml:space="preserve">zone depleting substances </w:t>
      </w:r>
      <w:r>
        <w:rPr>
          <w:rFonts w:ascii="Verdana" w:hAnsi="Verdana"/>
          <w:sz w:val="19"/>
          <w:szCs w:val="19"/>
        </w:rPr>
        <w:t>and synthetic greenhouse gases (SGGs). The Ozone Act controls the manufacture, import, export and end use of o</w:t>
      </w:r>
      <w:r w:rsidRPr="008D5EC5">
        <w:rPr>
          <w:rFonts w:ascii="Verdana" w:eastAsia="Times New Roman" w:hAnsi="Verdana" w:cs="Times New Roman"/>
          <w:sz w:val="19"/>
          <w:szCs w:val="19"/>
          <w:lang w:eastAsia="en-AU"/>
        </w:rPr>
        <w:t xml:space="preserve">zone depleting substances </w:t>
      </w:r>
      <w:r>
        <w:rPr>
          <w:rFonts w:ascii="Verdana" w:hAnsi="Verdana"/>
          <w:sz w:val="19"/>
          <w:szCs w:val="19"/>
        </w:rPr>
        <w:t>and synthetic greenhouse gases</w:t>
      </w:r>
      <w:r w:rsidDel="00373BAC">
        <w:rPr>
          <w:rFonts w:ascii="Verdana" w:hAnsi="Verdana"/>
          <w:sz w:val="19"/>
          <w:szCs w:val="19"/>
        </w:rPr>
        <w:t xml:space="preserve"> </w:t>
      </w:r>
      <w:r>
        <w:rPr>
          <w:rFonts w:ascii="Verdana" w:hAnsi="Verdana"/>
          <w:sz w:val="19"/>
          <w:szCs w:val="19"/>
        </w:rPr>
        <w:t xml:space="preserve">and equipment containing these gases. </w:t>
      </w:r>
    </w:p>
    <w:p w14:paraId="30CB45F9" w14:textId="77777777" w:rsidR="00E21ED7" w:rsidRDefault="00E21ED7" w:rsidP="00E21ED7">
      <w:pPr>
        <w:spacing w:afterLines="120" w:after="288"/>
        <w:rPr>
          <w:rFonts w:ascii="Verdana" w:hAnsi="Verdana"/>
          <w:sz w:val="19"/>
          <w:szCs w:val="19"/>
        </w:rPr>
      </w:pPr>
      <w:r>
        <w:rPr>
          <w:rFonts w:ascii="Verdana" w:hAnsi="Verdana"/>
          <w:sz w:val="19"/>
          <w:szCs w:val="19"/>
        </w:rPr>
        <w:t>The import, export and manufacture of these 'controlled substances', and the import and manufacture of most equipment containing these substances, is prohibited in Australia unless the correct licence or exemption is held. The Ozone Act also prohibits the import and manufacture of certain equipment that contains o</w:t>
      </w:r>
      <w:r w:rsidRPr="008D5EC5">
        <w:rPr>
          <w:rFonts w:ascii="Verdana" w:eastAsia="Times New Roman" w:hAnsi="Verdana" w:cs="Times New Roman"/>
          <w:sz w:val="19"/>
          <w:szCs w:val="19"/>
          <w:lang w:eastAsia="en-AU"/>
        </w:rPr>
        <w:t>zone depleting substances</w:t>
      </w:r>
      <w:r>
        <w:rPr>
          <w:rFonts w:ascii="Verdana" w:hAnsi="Verdana"/>
          <w:sz w:val="19"/>
          <w:szCs w:val="19"/>
        </w:rPr>
        <w:t xml:space="preserve"> such as CFCs and HCFCs, including foams blown with CFCs.</w:t>
      </w:r>
    </w:p>
    <w:p w14:paraId="01482978" w14:textId="77777777" w:rsidR="00E21ED7" w:rsidRPr="00400107" w:rsidRDefault="00E21ED7" w:rsidP="00E21ED7">
      <w:pPr>
        <w:spacing w:after="120"/>
        <w:textAlignment w:val="baseline"/>
        <w:rPr>
          <w:rFonts w:ascii="Verdana" w:eastAsia="Times New Roman" w:hAnsi="Verdana" w:cs="Times New Roman"/>
          <w:sz w:val="19"/>
          <w:szCs w:val="19"/>
          <w:lang w:eastAsia="en-AU"/>
        </w:rPr>
      </w:pPr>
      <w:r w:rsidRPr="00400107">
        <w:rPr>
          <w:rFonts w:ascii="Verdana" w:eastAsia="Times New Roman" w:hAnsi="Verdana" w:cs="Times New Roman"/>
          <w:sz w:val="19"/>
          <w:szCs w:val="19"/>
          <w:lang w:eastAsia="en-AU"/>
        </w:rPr>
        <w:t xml:space="preserve">There are four types of import/export licences under the </w:t>
      </w:r>
      <w:r>
        <w:rPr>
          <w:rFonts w:ascii="Verdana" w:eastAsia="Times New Roman" w:hAnsi="Verdana" w:cs="Times New Roman"/>
          <w:sz w:val="19"/>
          <w:szCs w:val="19"/>
          <w:lang w:eastAsia="en-AU"/>
        </w:rPr>
        <w:t xml:space="preserve">Ozone </w:t>
      </w:r>
      <w:r w:rsidRPr="00400107">
        <w:rPr>
          <w:rFonts w:ascii="Verdana" w:eastAsia="Times New Roman" w:hAnsi="Verdana" w:cs="Times New Roman"/>
          <w:sz w:val="19"/>
          <w:szCs w:val="19"/>
          <w:lang w:eastAsia="en-AU"/>
        </w:rPr>
        <w:t>Act.</w:t>
      </w:r>
    </w:p>
    <w:p w14:paraId="486B8310" w14:textId="77777777" w:rsidR="00E21ED7" w:rsidRPr="00400107" w:rsidRDefault="00E21ED7" w:rsidP="00E21ED7">
      <w:pPr>
        <w:numPr>
          <w:ilvl w:val="0"/>
          <w:numId w:val="2"/>
        </w:numPr>
        <w:spacing w:after="120"/>
        <w:ind w:left="150"/>
        <w:textAlignment w:val="baseline"/>
        <w:rPr>
          <w:rFonts w:ascii="Verdana" w:eastAsia="Times New Roman" w:hAnsi="Verdana" w:cs="Times New Roman"/>
          <w:sz w:val="19"/>
          <w:szCs w:val="19"/>
          <w:lang w:eastAsia="en-AU"/>
        </w:rPr>
      </w:pPr>
      <w:r w:rsidRPr="005B0C8B">
        <w:rPr>
          <w:rFonts w:ascii="Verdana" w:eastAsia="Times New Roman" w:hAnsi="Verdana" w:cs="Times New Roman"/>
          <w:b/>
          <w:sz w:val="19"/>
          <w:szCs w:val="19"/>
          <w:lang w:eastAsia="en-AU"/>
        </w:rPr>
        <w:t xml:space="preserve">Ozone depleting substances </w:t>
      </w:r>
      <w:r w:rsidRPr="00373BAC">
        <w:rPr>
          <w:rFonts w:ascii="Verdana" w:eastAsia="Times New Roman" w:hAnsi="Verdana" w:cs="Times New Roman"/>
          <w:b/>
          <w:bCs/>
          <w:sz w:val="19"/>
          <w:szCs w:val="19"/>
          <w:lang w:eastAsia="en-AU"/>
        </w:rPr>
        <w:t>and</w:t>
      </w:r>
      <w:r w:rsidRPr="00400107">
        <w:rPr>
          <w:rFonts w:ascii="Verdana" w:eastAsia="Times New Roman" w:hAnsi="Verdana" w:cs="Times New Roman"/>
          <w:b/>
          <w:bCs/>
          <w:sz w:val="19"/>
          <w:szCs w:val="19"/>
          <w:lang w:eastAsia="en-AU"/>
        </w:rPr>
        <w:t xml:space="preserve"> </w:t>
      </w:r>
      <w:r w:rsidRPr="003D4B64">
        <w:rPr>
          <w:rFonts w:ascii="Verdana" w:hAnsi="Verdana"/>
          <w:b/>
          <w:bCs/>
          <w:sz w:val="19"/>
          <w:szCs w:val="19"/>
        </w:rPr>
        <w:t>synthetic greenhouse gas</w:t>
      </w:r>
      <w:r w:rsidRPr="00400107" w:rsidDel="00373BAC">
        <w:rPr>
          <w:rFonts w:ascii="Verdana" w:eastAsia="Times New Roman" w:hAnsi="Verdana" w:cs="Times New Roman"/>
          <w:b/>
          <w:bCs/>
          <w:sz w:val="19"/>
          <w:szCs w:val="19"/>
          <w:lang w:eastAsia="en-AU"/>
        </w:rPr>
        <w:t xml:space="preserve"> </w:t>
      </w:r>
      <w:r w:rsidRPr="00400107">
        <w:rPr>
          <w:rFonts w:ascii="Verdana" w:eastAsia="Times New Roman" w:hAnsi="Verdana" w:cs="Times New Roman"/>
          <w:b/>
          <w:bCs/>
          <w:sz w:val="19"/>
          <w:szCs w:val="19"/>
          <w:lang w:eastAsia="en-AU"/>
        </w:rPr>
        <w:t>equipment licences: (EQPL)</w:t>
      </w:r>
      <w:r w:rsidRPr="00400107">
        <w:rPr>
          <w:rFonts w:ascii="Verdana" w:eastAsia="Times New Roman" w:hAnsi="Verdana" w:cs="Times New Roman"/>
          <w:sz w:val="19"/>
          <w:szCs w:val="19"/>
          <w:lang w:eastAsia="en-AU"/>
        </w:rPr>
        <w:t xml:space="preserve"> used to import equipment that contains </w:t>
      </w:r>
      <w:r>
        <w:rPr>
          <w:rFonts w:ascii="Verdana" w:hAnsi="Verdana"/>
          <w:sz w:val="19"/>
          <w:szCs w:val="19"/>
        </w:rPr>
        <w:t>synthetic greenhouse gases</w:t>
      </w:r>
      <w:r w:rsidRPr="00400107">
        <w:rPr>
          <w:rFonts w:ascii="Verdana" w:eastAsia="Times New Roman" w:hAnsi="Verdana" w:cs="Times New Roman"/>
          <w:sz w:val="19"/>
          <w:szCs w:val="19"/>
          <w:lang w:eastAsia="en-AU"/>
        </w:rPr>
        <w:t>, a limited range of refrigeration and air conditioning equipment that contain a HCFC, and</w:t>
      </w:r>
      <w:r w:rsidRPr="00400107">
        <w:rPr>
          <w:rFonts w:ascii="Verdana" w:eastAsia="Times New Roman" w:hAnsi="Verdana" w:cs="Times New Roman"/>
          <w:sz w:val="20"/>
          <w:szCs w:val="20"/>
          <w:lang w:val="en" w:eastAsia="en-AU"/>
        </w:rPr>
        <w:t xml:space="preserve"> some types of equipment ordinarily banned, such as a </w:t>
      </w:r>
      <w:r w:rsidRPr="00400107">
        <w:rPr>
          <w:rFonts w:ascii="Verdana" w:hAnsi="Verdana"/>
          <w:sz w:val="20"/>
          <w:szCs w:val="20"/>
          <w:lang w:val="en"/>
        </w:rPr>
        <w:t>halon fire suppression system aboard an aircraft</w:t>
      </w:r>
    </w:p>
    <w:p w14:paraId="5F8FC591" w14:textId="77777777" w:rsidR="00E21ED7" w:rsidRPr="00400107" w:rsidRDefault="00E21ED7" w:rsidP="00E21ED7">
      <w:pPr>
        <w:numPr>
          <w:ilvl w:val="0"/>
          <w:numId w:val="2"/>
        </w:numPr>
        <w:spacing w:after="120"/>
        <w:ind w:left="150"/>
        <w:textAlignment w:val="baseline"/>
        <w:rPr>
          <w:rFonts w:ascii="Verdana" w:eastAsia="Times New Roman" w:hAnsi="Verdana" w:cs="Times New Roman"/>
          <w:sz w:val="19"/>
          <w:szCs w:val="19"/>
          <w:lang w:eastAsia="en-AU"/>
        </w:rPr>
      </w:pPr>
      <w:r w:rsidRPr="00400107">
        <w:rPr>
          <w:rFonts w:ascii="Verdana" w:eastAsia="Times New Roman" w:hAnsi="Verdana" w:cs="Times New Roman"/>
          <w:b/>
          <w:bCs/>
          <w:sz w:val="19"/>
          <w:szCs w:val="19"/>
          <w:lang w:eastAsia="en-AU"/>
        </w:rPr>
        <w:t>Controlled substances licences:</w:t>
      </w:r>
      <w:r w:rsidRPr="00400107">
        <w:rPr>
          <w:rFonts w:ascii="Verdana" w:eastAsia="Times New Roman" w:hAnsi="Verdana" w:cs="Times New Roman"/>
          <w:sz w:val="19"/>
          <w:szCs w:val="19"/>
          <w:lang w:eastAsia="en-AU"/>
        </w:rPr>
        <w:t xml:space="preserve"> used to import (in bulk), export and manufacture HCFCs and methyl bromide, and </w:t>
      </w:r>
      <w:r>
        <w:rPr>
          <w:rFonts w:ascii="Verdana" w:eastAsia="Times New Roman" w:hAnsi="Verdana" w:cs="Times New Roman"/>
          <w:sz w:val="19"/>
          <w:szCs w:val="19"/>
          <w:lang w:eastAsia="en-AU"/>
        </w:rPr>
        <w:t xml:space="preserve">synthetic greenhouse gases (HFCs (hydrofluorocarbons), PFCs (perfluorocarbons), </w:t>
      </w:r>
      <w:proofErr w:type="spellStart"/>
      <w:r>
        <w:rPr>
          <w:rFonts w:ascii="Verdana" w:eastAsia="Times New Roman" w:hAnsi="Verdana" w:cs="Times New Roman"/>
          <w:sz w:val="19"/>
          <w:szCs w:val="19"/>
          <w:lang w:eastAsia="en-AU"/>
        </w:rPr>
        <w:t>sulfur</w:t>
      </w:r>
      <w:proofErr w:type="spellEnd"/>
      <w:r>
        <w:rPr>
          <w:rFonts w:ascii="Verdana" w:eastAsia="Times New Roman" w:hAnsi="Verdana" w:cs="Times New Roman"/>
          <w:sz w:val="19"/>
          <w:szCs w:val="19"/>
          <w:lang w:eastAsia="en-AU"/>
        </w:rPr>
        <w:t xml:space="preserve"> hexafluoride (SF</w:t>
      </w:r>
      <w:r w:rsidRPr="005B0C8B">
        <w:rPr>
          <w:rFonts w:ascii="Verdana" w:eastAsia="Times New Roman" w:hAnsi="Verdana" w:cs="Times New Roman"/>
          <w:sz w:val="19"/>
          <w:szCs w:val="19"/>
          <w:vertAlign w:val="subscript"/>
          <w:lang w:eastAsia="en-AU"/>
        </w:rPr>
        <w:t>6</w:t>
      </w:r>
      <w:r>
        <w:rPr>
          <w:rFonts w:ascii="Verdana" w:eastAsia="Times New Roman" w:hAnsi="Verdana" w:cs="Times New Roman"/>
          <w:sz w:val="19"/>
          <w:szCs w:val="19"/>
          <w:lang w:eastAsia="en-AU"/>
        </w:rPr>
        <w:t>) and nitrogen trifluoride).</w:t>
      </w:r>
    </w:p>
    <w:p w14:paraId="299B3F4B" w14:textId="77777777" w:rsidR="00E21ED7" w:rsidRPr="00400107" w:rsidRDefault="00E21ED7" w:rsidP="00E21ED7">
      <w:pPr>
        <w:numPr>
          <w:ilvl w:val="0"/>
          <w:numId w:val="2"/>
        </w:numPr>
        <w:spacing w:after="120"/>
        <w:ind w:left="150"/>
        <w:textAlignment w:val="baseline"/>
        <w:rPr>
          <w:rFonts w:ascii="Verdana" w:eastAsia="Times New Roman" w:hAnsi="Verdana" w:cs="Times New Roman"/>
          <w:sz w:val="19"/>
          <w:szCs w:val="19"/>
          <w:lang w:eastAsia="en-AU"/>
        </w:rPr>
      </w:pPr>
      <w:r w:rsidRPr="00400107">
        <w:rPr>
          <w:rFonts w:ascii="Verdana" w:eastAsia="Times New Roman" w:hAnsi="Verdana" w:cs="Times New Roman"/>
          <w:b/>
          <w:bCs/>
          <w:sz w:val="19"/>
          <w:szCs w:val="19"/>
          <w:lang w:eastAsia="en-AU"/>
        </w:rPr>
        <w:t>Essential uses licences:</w:t>
      </w:r>
      <w:r w:rsidRPr="00400107">
        <w:rPr>
          <w:rFonts w:ascii="Verdana" w:eastAsia="Times New Roman" w:hAnsi="Verdana" w:cs="Times New Roman"/>
          <w:sz w:val="19"/>
          <w:szCs w:val="19"/>
          <w:lang w:eastAsia="en-AU"/>
        </w:rPr>
        <w:t xml:space="preserve"> The </w:t>
      </w:r>
      <w:r>
        <w:rPr>
          <w:rFonts w:ascii="Verdana" w:eastAsia="Times New Roman" w:hAnsi="Verdana" w:cs="Times New Roman"/>
          <w:sz w:val="19"/>
          <w:szCs w:val="19"/>
          <w:lang w:eastAsia="en-AU"/>
        </w:rPr>
        <w:t xml:space="preserve">Ozone </w:t>
      </w:r>
      <w:r w:rsidRPr="00400107">
        <w:rPr>
          <w:rFonts w:ascii="Verdana" w:eastAsia="Times New Roman" w:hAnsi="Verdana" w:cs="Times New Roman"/>
          <w:sz w:val="19"/>
          <w:szCs w:val="19"/>
          <w:lang w:eastAsia="en-AU"/>
        </w:rPr>
        <w:t xml:space="preserve">Act prohibits the import, export and manufacture of CFCs, halons, methyl chloroform, carbon tetrachloride and bromochloromethane, and the import of HBFCs without an essential uses licence. Such licences are only granted for a strictly limited range of essential uses approved by the parties to the Montreal Protocol. </w:t>
      </w:r>
    </w:p>
    <w:p w14:paraId="43D7DE23" w14:textId="77777777" w:rsidR="00E21ED7" w:rsidRPr="00400107" w:rsidRDefault="00E21ED7" w:rsidP="00E21ED7">
      <w:pPr>
        <w:numPr>
          <w:ilvl w:val="0"/>
          <w:numId w:val="2"/>
        </w:numPr>
        <w:spacing w:after="120"/>
        <w:ind w:left="150"/>
        <w:textAlignment w:val="baseline"/>
        <w:rPr>
          <w:rFonts w:ascii="Verdana" w:eastAsia="Times New Roman" w:hAnsi="Verdana" w:cs="Times New Roman"/>
          <w:sz w:val="19"/>
          <w:szCs w:val="19"/>
          <w:lang w:eastAsia="en-AU"/>
        </w:rPr>
      </w:pPr>
      <w:r w:rsidRPr="00400107">
        <w:rPr>
          <w:rFonts w:ascii="Verdana" w:eastAsia="Times New Roman" w:hAnsi="Verdana" w:cs="Times New Roman"/>
          <w:b/>
          <w:bCs/>
          <w:sz w:val="19"/>
          <w:szCs w:val="19"/>
          <w:lang w:eastAsia="en-AU"/>
        </w:rPr>
        <w:t>Used substance licences:</w:t>
      </w:r>
      <w:r w:rsidRPr="00400107">
        <w:rPr>
          <w:rFonts w:ascii="Verdana" w:eastAsia="Times New Roman" w:hAnsi="Verdana" w:cs="Times New Roman"/>
          <w:sz w:val="19"/>
          <w:szCs w:val="19"/>
          <w:lang w:eastAsia="en-AU"/>
        </w:rPr>
        <w:t xml:space="preserve"> The </w:t>
      </w:r>
      <w:r>
        <w:rPr>
          <w:rFonts w:ascii="Verdana" w:eastAsia="Times New Roman" w:hAnsi="Verdana" w:cs="Times New Roman"/>
          <w:sz w:val="19"/>
          <w:szCs w:val="19"/>
          <w:lang w:eastAsia="en-AU"/>
        </w:rPr>
        <w:t xml:space="preserve">Ozone </w:t>
      </w:r>
      <w:r w:rsidRPr="00400107">
        <w:rPr>
          <w:rFonts w:ascii="Verdana" w:eastAsia="Times New Roman" w:hAnsi="Verdana" w:cs="Times New Roman"/>
          <w:sz w:val="19"/>
          <w:szCs w:val="19"/>
          <w:lang w:eastAsia="en-AU"/>
        </w:rPr>
        <w:t xml:space="preserve">Act prohibits the import and export of used or recycled HCFCs, methyl bromide, bromochloromethane, CFCs, halon, carbon tetrachloride, methyl chloroform and </w:t>
      </w:r>
      <w:r>
        <w:rPr>
          <w:rFonts w:ascii="Verdana" w:hAnsi="Verdana"/>
          <w:sz w:val="19"/>
          <w:szCs w:val="19"/>
        </w:rPr>
        <w:t>synthetic greenhouse gases</w:t>
      </w:r>
      <w:r w:rsidRPr="00400107" w:rsidDel="00373BAC">
        <w:rPr>
          <w:rFonts w:ascii="Verdana" w:eastAsia="Times New Roman" w:hAnsi="Verdana" w:cs="Times New Roman"/>
          <w:sz w:val="19"/>
          <w:szCs w:val="19"/>
          <w:lang w:eastAsia="en-AU"/>
        </w:rPr>
        <w:t xml:space="preserve"> </w:t>
      </w:r>
      <w:r w:rsidRPr="00400107">
        <w:rPr>
          <w:rFonts w:ascii="Verdana" w:eastAsia="Times New Roman" w:hAnsi="Verdana" w:cs="Times New Roman"/>
          <w:sz w:val="19"/>
          <w:szCs w:val="19"/>
          <w:lang w:eastAsia="en-AU"/>
        </w:rPr>
        <w:t xml:space="preserve">without a used substance licence. </w:t>
      </w:r>
      <w:r>
        <w:rPr>
          <w:rFonts w:ascii="Verdana" w:eastAsia="Times New Roman" w:hAnsi="Verdana" w:cs="Times New Roman"/>
          <w:sz w:val="19"/>
          <w:szCs w:val="19"/>
          <w:lang w:eastAsia="en-AU"/>
        </w:rPr>
        <w:t xml:space="preserve">Import of these substances is </w:t>
      </w:r>
      <w:r w:rsidRPr="00400107">
        <w:rPr>
          <w:rFonts w:ascii="Verdana" w:eastAsia="Times New Roman" w:hAnsi="Verdana" w:cs="Times New Roman"/>
          <w:sz w:val="19"/>
          <w:szCs w:val="19"/>
          <w:lang w:eastAsia="en-AU"/>
        </w:rPr>
        <w:t xml:space="preserve">generally only permitted for their </w:t>
      </w:r>
      <w:r>
        <w:rPr>
          <w:rFonts w:ascii="Verdana" w:eastAsia="Times New Roman" w:hAnsi="Verdana" w:cs="Times New Roman"/>
          <w:sz w:val="19"/>
          <w:szCs w:val="19"/>
          <w:lang w:eastAsia="en-AU"/>
        </w:rPr>
        <w:t>disposal</w:t>
      </w:r>
      <w:r w:rsidRPr="00400107">
        <w:rPr>
          <w:rFonts w:ascii="Verdana" w:eastAsia="Times New Roman" w:hAnsi="Verdana" w:cs="Times New Roman"/>
          <w:sz w:val="19"/>
          <w:szCs w:val="19"/>
          <w:lang w:eastAsia="en-AU"/>
        </w:rPr>
        <w:t>.</w:t>
      </w:r>
    </w:p>
    <w:p w14:paraId="3EDDAEA9" w14:textId="346DEA3A" w:rsidR="00E76327" w:rsidRPr="00EF3319" w:rsidRDefault="00E21ED7" w:rsidP="00B17CDA">
      <w:pPr>
        <w:spacing w:after="120"/>
        <w:ind w:left="-142"/>
        <w:textAlignment w:val="baseline"/>
        <w:rPr>
          <w:rFonts w:ascii="Verdana" w:eastAsia="Times New Roman" w:hAnsi="Verdana" w:cs="Times New Roman"/>
          <w:sz w:val="19"/>
          <w:szCs w:val="19"/>
          <w:lang w:eastAsia="en-AU"/>
        </w:rPr>
      </w:pPr>
      <w:r w:rsidRPr="0075641D">
        <w:rPr>
          <w:rFonts w:ascii="Verdana" w:hAnsi="Verdana"/>
          <w:sz w:val="19"/>
          <w:szCs w:val="19"/>
        </w:rPr>
        <w:lastRenderedPageBreak/>
        <w:t>Australia reports its consumption</w:t>
      </w:r>
      <w:r w:rsidRPr="00427636">
        <w:rPr>
          <w:rFonts w:ascii="Verdana" w:hAnsi="Verdana"/>
          <w:sz w:val="19"/>
          <w:szCs w:val="19"/>
        </w:rPr>
        <w:t xml:space="preserve"> </w:t>
      </w:r>
      <w:r>
        <w:rPr>
          <w:rFonts w:ascii="Verdana" w:hAnsi="Verdana"/>
          <w:sz w:val="19"/>
          <w:szCs w:val="19"/>
        </w:rPr>
        <w:t>(manufacture plus imports, minus exports)</w:t>
      </w:r>
      <w:r w:rsidRPr="0075641D">
        <w:rPr>
          <w:rFonts w:ascii="Verdana" w:hAnsi="Verdana"/>
          <w:sz w:val="19"/>
          <w:szCs w:val="19"/>
        </w:rPr>
        <w:t xml:space="preserve"> of bulk </w:t>
      </w:r>
      <w:r>
        <w:rPr>
          <w:rFonts w:ascii="Verdana" w:hAnsi="Verdana"/>
          <w:sz w:val="19"/>
          <w:szCs w:val="19"/>
        </w:rPr>
        <w:t>o</w:t>
      </w:r>
      <w:r w:rsidRPr="008D5EC5">
        <w:rPr>
          <w:rFonts w:ascii="Verdana" w:eastAsia="Times New Roman" w:hAnsi="Verdana" w:cs="Times New Roman"/>
          <w:sz w:val="19"/>
          <w:szCs w:val="19"/>
          <w:lang w:eastAsia="en-AU"/>
        </w:rPr>
        <w:t xml:space="preserve">zone depleting substances </w:t>
      </w:r>
      <w:r>
        <w:rPr>
          <w:rFonts w:ascii="Verdana" w:hAnsi="Verdana"/>
          <w:sz w:val="19"/>
          <w:szCs w:val="19"/>
        </w:rPr>
        <w:t>and HFCs</w:t>
      </w:r>
      <w:r w:rsidRPr="0075641D">
        <w:rPr>
          <w:rFonts w:ascii="Verdana" w:hAnsi="Verdana"/>
          <w:sz w:val="19"/>
          <w:szCs w:val="19"/>
        </w:rPr>
        <w:t xml:space="preserve"> </w:t>
      </w:r>
      <w:r>
        <w:rPr>
          <w:rFonts w:ascii="Verdana" w:hAnsi="Verdana"/>
          <w:sz w:val="19"/>
          <w:szCs w:val="19"/>
        </w:rPr>
        <w:t xml:space="preserve">to the Montreal Protocol </w:t>
      </w:r>
      <w:r w:rsidRPr="0075641D">
        <w:rPr>
          <w:rFonts w:ascii="Verdana" w:hAnsi="Verdana"/>
          <w:sz w:val="19"/>
          <w:szCs w:val="19"/>
        </w:rPr>
        <w:t>on a calendar year basis</w:t>
      </w:r>
      <w:r>
        <w:rPr>
          <w:rFonts w:ascii="Verdana" w:hAnsi="Verdana"/>
          <w:sz w:val="19"/>
          <w:szCs w:val="19"/>
        </w:rPr>
        <w:t>. This data is reported</w:t>
      </w:r>
      <w:r w:rsidRPr="0075641D">
        <w:rPr>
          <w:rFonts w:ascii="Verdana" w:hAnsi="Verdana"/>
          <w:sz w:val="19"/>
          <w:szCs w:val="19"/>
        </w:rPr>
        <w:t xml:space="preserve"> in accordance with Article 7 of the Montreal Protocol and is called “Article 7 data”. Most of the information presented in this document is based on Australia’s, or global, Article 7 data. Australia do</w:t>
      </w:r>
      <w:r>
        <w:rPr>
          <w:rFonts w:ascii="Verdana" w:hAnsi="Verdana"/>
          <w:sz w:val="19"/>
          <w:szCs w:val="19"/>
        </w:rPr>
        <w:t>es</w:t>
      </w:r>
      <w:r w:rsidRPr="0075641D">
        <w:rPr>
          <w:rFonts w:ascii="Verdana" w:hAnsi="Verdana"/>
          <w:sz w:val="19"/>
          <w:szCs w:val="19"/>
        </w:rPr>
        <w:t xml:space="preserve"> not manufacture </w:t>
      </w:r>
      <w:r>
        <w:rPr>
          <w:rFonts w:ascii="Verdana" w:hAnsi="Verdana"/>
          <w:sz w:val="19"/>
          <w:szCs w:val="19"/>
        </w:rPr>
        <w:t>controlled substances</w:t>
      </w:r>
      <w:r w:rsidRPr="0075641D">
        <w:rPr>
          <w:rFonts w:ascii="Verdana" w:hAnsi="Verdana"/>
          <w:sz w:val="19"/>
          <w:szCs w:val="19"/>
        </w:rPr>
        <w:t xml:space="preserve">. </w:t>
      </w:r>
    </w:p>
    <w:sectPr w:rsidR="00E76327" w:rsidRPr="00EF3319" w:rsidSect="00B5760E">
      <w:footerReference w:type="default" r:id="rId27"/>
      <w:headerReference w:type="first" r:id="rId28"/>
      <w:footerReference w:type="first" r:id="rId2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DAEC4" w14:textId="77777777" w:rsidR="00E21ED7" w:rsidRDefault="00E21ED7" w:rsidP="00B5760E">
      <w:pPr>
        <w:spacing w:after="0" w:line="240" w:lineRule="auto"/>
      </w:pPr>
      <w:r>
        <w:separator/>
      </w:r>
    </w:p>
  </w:endnote>
  <w:endnote w:type="continuationSeparator" w:id="0">
    <w:p w14:paraId="3EDDAEC5" w14:textId="77777777" w:rsidR="00E21ED7" w:rsidRDefault="00E21ED7" w:rsidP="00B57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90323"/>
      <w:docPartObj>
        <w:docPartGallery w:val="Page Numbers (Bottom of Page)"/>
        <w:docPartUnique/>
      </w:docPartObj>
    </w:sdtPr>
    <w:sdtEndPr>
      <w:rPr>
        <w:color w:val="7F7F7F" w:themeColor="background1" w:themeShade="7F"/>
        <w:spacing w:val="60"/>
      </w:rPr>
    </w:sdtEndPr>
    <w:sdtContent>
      <w:p w14:paraId="3EDDAEC6" w14:textId="77777777" w:rsidR="00E21ED7" w:rsidRDefault="00E21ED7">
        <w:pPr>
          <w:pStyle w:val="Footer"/>
          <w:pBdr>
            <w:top w:val="single" w:sz="4" w:space="1" w:color="D9D9D9" w:themeColor="background1" w:themeShade="D9"/>
          </w:pBdr>
          <w:rPr>
            <w:b/>
          </w:rPr>
        </w:pPr>
        <w:r>
          <w:fldChar w:fldCharType="begin"/>
        </w:r>
        <w:r>
          <w:instrText xml:space="preserve"> PAGE   \* MERGEFORMAT </w:instrText>
        </w:r>
        <w:r>
          <w:fldChar w:fldCharType="separate"/>
        </w:r>
        <w:r w:rsidR="009333F7" w:rsidRPr="009333F7">
          <w:rPr>
            <w:b/>
            <w:noProof/>
          </w:rPr>
          <w:t>11</w:t>
        </w:r>
        <w:r>
          <w:rPr>
            <w:b/>
            <w:noProof/>
          </w:rPr>
          <w:fldChar w:fldCharType="end"/>
        </w:r>
        <w:r>
          <w:rPr>
            <w:b/>
          </w:rPr>
          <w:t xml:space="preserve"> | </w:t>
        </w:r>
        <w:r>
          <w:rPr>
            <w:color w:val="7F7F7F" w:themeColor="background1" w:themeShade="7F"/>
            <w:spacing w:val="60"/>
          </w:rPr>
          <w:t>Page</w:t>
        </w:r>
      </w:p>
    </w:sdtContent>
  </w:sdt>
  <w:p w14:paraId="3EDDAEC7" w14:textId="77777777" w:rsidR="00E21ED7" w:rsidRDefault="00E21E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90322"/>
      <w:docPartObj>
        <w:docPartGallery w:val="Page Numbers (Bottom of Page)"/>
        <w:docPartUnique/>
      </w:docPartObj>
    </w:sdtPr>
    <w:sdtEndPr/>
    <w:sdtContent>
      <w:p w14:paraId="3EDDAEC9" w14:textId="77777777" w:rsidR="00E21ED7" w:rsidRDefault="00E21ED7">
        <w:pPr>
          <w:pStyle w:val="Footer"/>
        </w:pPr>
        <w:r>
          <w:t xml:space="preserve">Page | </w:t>
        </w:r>
        <w:r>
          <w:fldChar w:fldCharType="begin"/>
        </w:r>
        <w:r>
          <w:instrText xml:space="preserve"> PAGE   \* MERGEFORMAT </w:instrText>
        </w:r>
        <w:r>
          <w:fldChar w:fldCharType="separate"/>
        </w:r>
        <w:r w:rsidR="009333F7">
          <w:rPr>
            <w:noProof/>
          </w:rPr>
          <w:t>1</w:t>
        </w:r>
        <w:r>
          <w:rPr>
            <w:noProof/>
          </w:rPr>
          <w:fldChar w:fldCharType="end"/>
        </w:r>
      </w:p>
    </w:sdtContent>
  </w:sdt>
  <w:p w14:paraId="3EDDAECA" w14:textId="77777777" w:rsidR="00E21ED7" w:rsidRDefault="00E21ED7" w:rsidP="00B5760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DAEC2" w14:textId="77777777" w:rsidR="00E21ED7" w:rsidRDefault="00E21ED7" w:rsidP="00B5760E">
      <w:pPr>
        <w:spacing w:after="0" w:line="240" w:lineRule="auto"/>
      </w:pPr>
      <w:r>
        <w:separator/>
      </w:r>
    </w:p>
  </w:footnote>
  <w:footnote w:type="continuationSeparator" w:id="0">
    <w:p w14:paraId="3EDDAEC3" w14:textId="77777777" w:rsidR="00E21ED7" w:rsidRDefault="00E21ED7" w:rsidP="00B576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DAEC8" w14:textId="209F33C3" w:rsidR="00E21ED7" w:rsidRDefault="00C36037">
    <w:pPr>
      <w:pStyle w:val="Header"/>
    </w:pPr>
    <w:r>
      <w:rPr>
        <w:noProof/>
        <w:lang w:eastAsia="en-AU"/>
      </w:rPr>
      <w:drawing>
        <wp:inline distT="0" distB="0" distL="0" distR="0" wp14:anchorId="1A4D0D9B" wp14:editId="190FBD6A">
          <wp:extent cx="2123264" cy="63724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A155B"/>
    <w:multiLevelType w:val="multilevel"/>
    <w:tmpl w:val="1626F69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8B758B"/>
    <w:multiLevelType w:val="multilevel"/>
    <w:tmpl w:val="5372A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D20"/>
    <w:rsid w:val="000043F0"/>
    <w:rsid w:val="00010763"/>
    <w:rsid w:val="00014C84"/>
    <w:rsid w:val="00015928"/>
    <w:rsid w:val="00017AEB"/>
    <w:rsid w:val="0002275A"/>
    <w:rsid w:val="00025FB8"/>
    <w:rsid w:val="000331C8"/>
    <w:rsid w:val="000564B1"/>
    <w:rsid w:val="00065586"/>
    <w:rsid w:val="0006690C"/>
    <w:rsid w:val="00070413"/>
    <w:rsid w:val="000868BF"/>
    <w:rsid w:val="00093A05"/>
    <w:rsid w:val="0009610B"/>
    <w:rsid w:val="00096D2C"/>
    <w:rsid w:val="000A038E"/>
    <w:rsid w:val="000B7649"/>
    <w:rsid w:val="000C090B"/>
    <w:rsid w:val="000E2B87"/>
    <w:rsid w:val="000E4ED7"/>
    <w:rsid w:val="000F6AD9"/>
    <w:rsid w:val="001045B6"/>
    <w:rsid w:val="00121D7D"/>
    <w:rsid w:val="00156A11"/>
    <w:rsid w:val="001638FC"/>
    <w:rsid w:val="00181B6E"/>
    <w:rsid w:val="00190CE9"/>
    <w:rsid w:val="00197BE1"/>
    <w:rsid w:val="001A680A"/>
    <w:rsid w:val="001B57ED"/>
    <w:rsid w:val="001B7E8A"/>
    <w:rsid w:val="001C7B2A"/>
    <w:rsid w:val="001E0ADE"/>
    <w:rsid w:val="001E3050"/>
    <w:rsid w:val="001F044A"/>
    <w:rsid w:val="001F4A20"/>
    <w:rsid w:val="001F79F5"/>
    <w:rsid w:val="002544CE"/>
    <w:rsid w:val="0025705C"/>
    <w:rsid w:val="00275C41"/>
    <w:rsid w:val="00281D78"/>
    <w:rsid w:val="00284FD7"/>
    <w:rsid w:val="00293604"/>
    <w:rsid w:val="002A1599"/>
    <w:rsid w:val="002A3E14"/>
    <w:rsid w:val="002A438F"/>
    <w:rsid w:val="002C2DB3"/>
    <w:rsid w:val="002C4189"/>
    <w:rsid w:val="002C43AA"/>
    <w:rsid w:val="002F0EF0"/>
    <w:rsid w:val="00305577"/>
    <w:rsid w:val="00311A48"/>
    <w:rsid w:val="00312C6E"/>
    <w:rsid w:val="00315CDE"/>
    <w:rsid w:val="003366E2"/>
    <w:rsid w:val="0035271C"/>
    <w:rsid w:val="0035563F"/>
    <w:rsid w:val="00362C82"/>
    <w:rsid w:val="0036697B"/>
    <w:rsid w:val="003709E5"/>
    <w:rsid w:val="00373BAC"/>
    <w:rsid w:val="0037603E"/>
    <w:rsid w:val="00382053"/>
    <w:rsid w:val="00384E95"/>
    <w:rsid w:val="00393CBC"/>
    <w:rsid w:val="003B4FA2"/>
    <w:rsid w:val="003B5FBD"/>
    <w:rsid w:val="003C12FF"/>
    <w:rsid w:val="003C2701"/>
    <w:rsid w:val="003D2067"/>
    <w:rsid w:val="003D4B64"/>
    <w:rsid w:val="003E6921"/>
    <w:rsid w:val="003F25EA"/>
    <w:rsid w:val="00400107"/>
    <w:rsid w:val="00405A23"/>
    <w:rsid w:val="00414297"/>
    <w:rsid w:val="00423E2C"/>
    <w:rsid w:val="004264B6"/>
    <w:rsid w:val="00427636"/>
    <w:rsid w:val="00444EB8"/>
    <w:rsid w:val="00456685"/>
    <w:rsid w:val="00461410"/>
    <w:rsid w:val="00462CD3"/>
    <w:rsid w:val="00466847"/>
    <w:rsid w:val="00474AA4"/>
    <w:rsid w:val="004803BC"/>
    <w:rsid w:val="00483D95"/>
    <w:rsid w:val="00486784"/>
    <w:rsid w:val="00487F7A"/>
    <w:rsid w:val="00490662"/>
    <w:rsid w:val="0049449E"/>
    <w:rsid w:val="00496CA3"/>
    <w:rsid w:val="004B42FE"/>
    <w:rsid w:val="004C1E2C"/>
    <w:rsid w:val="004C7170"/>
    <w:rsid w:val="004D0AD6"/>
    <w:rsid w:val="004D1754"/>
    <w:rsid w:val="004D3B11"/>
    <w:rsid w:val="004E6DCF"/>
    <w:rsid w:val="004F0519"/>
    <w:rsid w:val="00504486"/>
    <w:rsid w:val="00511031"/>
    <w:rsid w:val="005132C2"/>
    <w:rsid w:val="00535C8F"/>
    <w:rsid w:val="00552DE4"/>
    <w:rsid w:val="00555991"/>
    <w:rsid w:val="00565E4A"/>
    <w:rsid w:val="00590498"/>
    <w:rsid w:val="005A0315"/>
    <w:rsid w:val="005B515E"/>
    <w:rsid w:val="00644A66"/>
    <w:rsid w:val="006A08F9"/>
    <w:rsid w:val="006C1AAB"/>
    <w:rsid w:val="006C5A9F"/>
    <w:rsid w:val="006E26B3"/>
    <w:rsid w:val="006E55A6"/>
    <w:rsid w:val="006E5699"/>
    <w:rsid w:val="006F7994"/>
    <w:rsid w:val="007067ED"/>
    <w:rsid w:val="0071477E"/>
    <w:rsid w:val="00740C85"/>
    <w:rsid w:val="00741F3E"/>
    <w:rsid w:val="00743E35"/>
    <w:rsid w:val="00744005"/>
    <w:rsid w:val="00752A3F"/>
    <w:rsid w:val="0075641D"/>
    <w:rsid w:val="007612DB"/>
    <w:rsid w:val="007704DC"/>
    <w:rsid w:val="00782B56"/>
    <w:rsid w:val="00792E16"/>
    <w:rsid w:val="00794E62"/>
    <w:rsid w:val="007C4723"/>
    <w:rsid w:val="007C61FF"/>
    <w:rsid w:val="00804BCE"/>
    <w:rsid w:val="008066F2"/>
    <w:rsid w:val="00807060"/>
    <w:rsid w:val="008108A4"/>
    <w:rsid w:val="008149B9"/>
    <w:rsid w:val="00820536"/>
    <w:rsid w:val="008218F3"/>
    <w:rsid w:val="00827716"/>
    <w:rsid w:val="00830ECE"/>
    <w:rsid w:val="0083517D"/>
    <w:rsid w:val="00854B34"/>
    <w:rsid w:val="008577E6"/>
    <w:rsid w:val="0086167D"/>
    <w:rsid w:val="00864505"/>
    <w:rsid w:val="008664A8"/>
    <w:rsid w:val="00892392"/>
    <w:rsid w:val="00892B66"/>
    <w:rsid w:val="008C11B6"/>
    <w:rsid w:val="008C14C2"/>
    <w:rsid w:val="008C2318"/>
    <w:rsid w:val="008C36C8"/>
    <w:rsid w:val="008C63BE"/>
    <w:rsid w:val="008C71A0"/>
    <w:rsid w:val="008D1281"/>
    <w:rsid w:val="008D142E"/>
    <w:rsid w:val="008D5EC5"/>
    <w:rsid w:val="008D66AD"/>
    <w:rsid w:val="00905A4B"/>
    <w:rsid w:val="00914E29"/>
    <w:rsid w:val="00931B3B"/>
    <w:rsid w:val="009333F7"/>
    <w:rsid w:val="009453C7"/>
    <w:rsid w:val="00955AE1"/>
    <w:rsid w:val="00956EED"/>
    <w:rsid w:val="00961056"/>
    <w:rsid w:val="009712B6"/>
    <w:rsid w:val="0097339B"/>
    <w:rsid w:val="00975F7C"/>
    <w:rsid w:val="009839F5"/>
    <w:rsid w:val="009906AE"/>
    <w:rsid w:val="009A0182"/>
    <w:rsid w:val="009A4934"/>
    <w:rsid w:val="009A692C"/>
    <w:rsid w:val="009B2DD4"/>
    <w:rsid w:val="009B2E3D"/>
    <w:rsid w:val="009B4610"/>
    <w:rsid w:val="009C2FE8"/>
    <w:rsid w:val="009E0682"/>
    <w:rsid w:val="00A115B7"/>
    <w:rsid w:val="00A276DC"/>
    <w:rsid w:val="00A35843"/>
    <w:rsid w:val="00A37B71"/>
    <w:rsid w:val="00A41AE0"/>
    <w:rsid w:val="00A530F8"/>
    <w:rsid w:val="00A576BD"/>
    <w:rsid w:val="00A83C46"/>
    <w:rsid w:val="00AA571D"/>
    <w:rsid w:val="00AB16BB"/>
    <w:rsid w:val="00AB6775"/>
    <w:rsid w:val="00B03874"/>
    <w:rsid w:val="00B1010C"/>
    <w:rsid w:val="00B11336"/>
    <w:rsid w:val="00B12271"/>
    <w:rsid w:val="00B169DE"/>
    <w:rsid w:val="00B17CDA"/>
    <w:rsid w:val="00B422E1"/>
    <w:rsid w:val="00B554C6"/>
    <w:rsid w:val="00B5760E"/>
    <w:rsid w:val="00B600CC"/>
    <w:rsid w:val="00B63166"/>
    <w:rsid w:val="00B81A2E"/>
    <w:rsid w:val="00B87B6E"/>
    <w:rsid w:val="00B92949"/>
    <w:rsid w:val="00BA11BC"/>
    <w:rsid w:val="00BC44B3"/>
    <w:rsid w:val="00BD3A0E"/>
    <w:rsid w:val="00BF1FB4"/>
    <w:rsid w:val="00C36037"/>
    <w:rsid w:val="00C37A24"/>
    <w:rsid w:val="00C50BE9"/>
    <w:rsid w:val="00C633AD"/>
    <w:rsid w:val="00C673B9"/>
    <w:rsid w:val="00C708E2"/>
    <w:rsid w:val="00C71C82"/>
    <w:rsid w:val="00C75F82"/>
    <w:rsid w:val="00C841F1"/>
    <w:rsid w:val="00CA4FEA"/>
    <w:rsid w:val="00CA7DD4"/>
    <w:rsid w:val="00CB1134"/>
    <w:rsid w:val="00CB4CA0"/>
    <w:rsid w:val="00CD3AE0"/>
    <w:rsid w:val="00CD3FE5"/>
    <w:rsid w:val="00CF42B3"/>
    <w:rsid w:val="00D10A13"/>
    <w:rsid w:val="00D24C48"/>
    <w:rsid w:val="00D339AD"/>
    <w:rsid w:val="00D43336"/>
    <w:rsid w:val="00D618D5"/>
    <w:rsid w:val="00D636C3"/>
    <w:rsid w:val="00D737C8"/>
    <w:rsid w:val="00D7547D"/>
    <w:rsid w:val="00D84531"/>
    <w:rsid w:val="00D8645F"/>
    <w:rsid w:val="00DA06DC"/>
    <w:rsid w:val="00DA194B"/>
    <w:rsid w:val="00DA3281"/>
    <w:rsid w:val="00DA4601"/>
    <w:rsid w:val="00DA5E8A"/>
    <w:rsid w:val="00DA64AB"/>
    <w:rsid w:val="00DA6B86"/>
    <w:rsid w:val="00DB7025"/>
    <w:rsid w:val="00DE4588"/>
    <w:rsid w:val="00E10620"/>
    <w:rsid w:val="00E11CC7"/>
    <w:rsid w:val="00E21ED7"/>
    <w:rsid w:val="00E451B9"/>
    <w:rsid w:val="00E45555"/>
    <w:rsid w:val="00E628F1"/>
    <w:rsid w:val="00E62A2A"/>
    <w:rsid w:val="00E666CC"/>
    <w:rsid w:val="00E67D20"/>
    <w:rsid w:val="00E67D77"/>
    <w:rsid w:val="00E70EEF"/>
    <w:rsid w:val="00E71CDE"/>
    <w:rsid w:val="00E76327"/>
    <w:rsid w:val="00E8551C"/>
    <w:rsid w:val="00E965B1"/>
    <w:rsid w:val="00EA7C9F"/>
    <w:rsid w:val="00ED02D0"/>
    <w:rsid w:val="00ED0623"/>
    <w:rsid w:val="00ED109F"/>
    <w:rsid w:val="00ED1B2F"/>
    <w:rsid w:val="00ED2148"/>
    <w:rsid w:val="00ED6237"/>
    <w:rsid w:val="00EF1A9B"/>
    <w:rsid w:val="00EF3319"/>
    <w:rsid w:val="00EF348D"/>
    <w:rsid w:val="00F01467"/>
    <w:rsid w:val="00F051BC"/>
    <w:rsid w:val="00F11C76"/>
    <w:rsid w:val="00F21E98"/>
    <w:rsid w:val="00F23365"/>
    <w:rsid w:val="00F24289"/>
    <w:rsid w:val="00F31654"/>
    <w:rsid w:val="00F4133B"/>
    <w:rsid w:val="00F446A3"/>
    <w:rsid w:val="00F501D4"/>
    <w:rsid w:val="00F52C71"/>
    <w:rsid w:val="00F56EF8"/>
    <w:rsid w:val="00F56F02"/>
    <w:rsid w:val="00F64791"/>
    <w:rsid w:val="00F91EAC"/>
    <w:rsid w:val="00F96A51"/>
    <w:rsid w:val="00FA46E0"/>
    <w:rsid w:val="00FB5431"/>
    <w:rsid w:val="00FC17D6"/>
    <w:rsid w:val="00FC2992"/>
    <w:rsid w:val="00FD06D4"/>
    <w:rsid w:val="00FD7A63"/>
    <w:rsid w:val="00FE4508"/>
    <w:rsid w:val="00FE5D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DAE2A"/>
  <w15:docId w15:val="{EF46E393-1CF1-40CC-B1F2-686ADD4AC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8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67D20"/>
    <w:rPr>
      <w:i/>
      <w:iCs/>
      <w:sz w:val="24"/>
      <w:szCs w:val="24"/>
      <w:bdr w:val="none" w:sz="0" w:space="0" w:color="auto" w:frame="1"/>
      <w:vertAlign w:val="baseline"/>
    </w:rPr>
  </w:style>
  <w:style w:type="paragraph" w:styleId="NormalWeb">
    <w:name w:val="Normal (Web)"/>
    <w:basedOn w:val="Normal"/>
    <w:uiPriority w:val="99"/>
    <w:semiHidden/>
    <w:unhideWhenUsed/>
    <w:rsid w:val="00E67D20"/>
    <w:pPr>
      <w:spacing w:after="180" w:line="240" w:lineRule="auto"/>
      <w:textAlignment w:val="baseline"/>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26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4B6"/>
    <w:rPr>
      <w:rFonts w:ascii="Tahoma" w:hAnsi="Tahoma" w:cs="Tahoma"/>
      <w:sz w:val="16"/>
      <w:szCs w:val="16"/>
    </w:rPr>
  </w:style>
  <w:style w:type="character" w:styleId="Hyperlink">
    <w:name w:val="Hyperlink"/>
    <w:basedOn w:val="DefaultParagraphFont"/>
    <w:uiPriority w:val="99"/>
    <w:unhideWhenUsed/>
    <w:rsid w:val="008D5EC5"/>
    <w:rPr>
      <w:strike w:val="0"/>
      <w:dstrike w:val="0"/>
      <w:color w:val="0062A0"/>
      <w:sz w:val="24"/>
      <w:szCs w:val="24"/>
      <w:u w:val="single"/>
      <w:effect w:val="none"/>
      <w:bdr w:val="none" w:sz="0" w:space="0" w:color="auto" w:frame="1"/>
      <w:vertAlign w:val="baseline"/>
    </w:rPr>
  </w:style>
  <w:style w:type="character" w:styleId="Strong">
    <w:name w:val="Strong"/>
    <w:basedOn w:val="DefaultParagraphFont"/>
    <w:uiPriority w:val="22"/>
    <w:qFormat/>
    <w:rsid w:val="00F01467"/>
    <w:rPr>
      <w:b/>
      <w:bCs/>
      <w:sz w:val="24"/>
      <w:szCs w:val="24"/>
      <w:bdr w:val="none" w:sz="0" w:space="0" w:color="auto" w:frame="1"/>
      <w:vertAlign w:val="baseline"/>
    </w:rPr>
  </w:style>
  <w:style w:type="character" w:styleId="CommentReference">
    <w:name w:val="annotation reference"/>
    <w:basedOn w:val="DefaultParagraphFont"/>
    <w:uiPriority w:val="99"/>
    <w:semiHidden/>
    <w:unhideWhenUsed/>
    <w:rsid w:val="00F446A3"/>
    <w:rPr>
      <w:sz w:val="16"/>
      <w:szCs w:val="16"/>
    </w:rPr>
  </w:style>
  <w:style w:type="paragraph" w:styleId="CommentText">
    <w:name w:val="annotation text"/>
    <w:basedOn w:val="Normal"/>
    <w:link w:val="CommentTextChar"/>
    <w:uiPriority w:val="99"/>
    <w:semiHidden/>
    <w:unhideWhenUsed/>
    <w:rsid w:val="00F446A3"/>
    <w:pPr>
      <w:spacing w:line="240" w:lineRule="auto"/>
    </w:pPr>
    <w:rPr>
      <w:sz w:val="20"/>
      <w:szCs w:val="20"/>
    </w:rPr>
  </w:style>
  <w:style w:type="character" w:customStyle="1" w:styleId="CommentTextChar">
    <w:name w:val="Comment Text Char"/>
    <w:basedOn w:val="DefaultParagraphFont"/>
    <w:link w:val="CommentText"/>
    <w:uiPriority w:val="99"/>
    <w:semiHidden/>
    <w:rsid w:val="00F446A3"/>
    <w:rPr>
      <w:sz w:val="20"/>
      <w:szCs w:val="20"/>
    </w:rPr>
  </w:style>
  <w:style w:type="paragraph" w:styleId="CommentSubject">
    <w:name w:val="annotation subject"/>
    <w:basedOn w:val="CommentText"/>
    <w:next w:val="CommentText"/>
    <w:link w:val="CommentSubjectChar"/>
    <w:uiPriority w:val="99"/>
    <w:semiHidden/>
    <w:unhideWhenUsed/>
    <w:rsid w:val="00F446A3"/>
    <w:rPr>
      <w:b/>
      <w:bCs/>
    </w:rPr>
  </w:style>
  <w:style w:type="character" w:customStyle="1" w:styleId="CommentSubjectChar">
    <w:name w:val="Comment Subject Char"/>
    <w:basedOn w:val="CommentTextChar"/>
    <w:link w:val="CommentSubject"/>
    <w:uiPriority w:val="99"/>
    <w:semiHidden/>
    <w:rsid w:val="00F446A3"/>
    <w:rPr>
      <w:b/>
      <w:bCs/>
      <w:sz w:val="20"/>
      <w:szCs w:val="20"/>
    </w:rPr>
  </w:style>
  <w:style w:type="paragraph" w:styleId="Header">
    <w:name w:val="header"/>
    <w:basedOn w:val="Normal"/>
    <w:link w:val="HeaderChar"/>
    <w:uiPriority w:val="99"/>
    <w:unhideWhenUsed/>
    <w:rsid w:val="00B576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60E"/>
  </w:style>
  <w:style w:type="paragraph" w:styleId="Footer">
    <w:name w:val="footer"/>
    <w:basedOn w:val="Normal"/>
    <w:link w:val="FooterChar"/>
    <w:uiPriority w:val="99"/>
    <w:unhideWhenUsed/>
    <w:rsid w:val="00B576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60E"/>
  </w:style>
  <w:style w:type="table" w:styleId="TableGrid">
    <w:name w:val="Table Grid"/>
    <w:basedOn w:val="TableNormal"/>
    <w:uiPriority w:val="59"/>
    <w:rsid w:val="002C2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106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0620"/>
    <w:rPr>
      <w:sz w:val="20"/>
      <w:szCs w:val="20"/>
    </w:rPr>
  </w:style>
  <w:style w:type="character" w:styleId="FootnoteReference">
    <w:name w:val="footnote reference"/>
    <w:basedOn w:val="DefaultParagraphFont"/>
    <w:uiPriority w:val="99"/>
    <w:semiHidden/>
    <w:unhideWhenUsed/>
    <w:rsid w:val="00E10620"/>
    <w:rPr>
      <w:vertAlign w:val="superscript"/>
    </w:rPr>
  </w:style>
  <w:style w:type="character" w:customStyle="1" w:styleId="UnresolvedMention">
    <w:name w:val="Unresolved Mention"/>
    <w:basedOn w:val="DefaultParagraphFont"/>
    <w:uiPriority w:val="99"/>
    <w:semiHidden/>
    <w:unhideWhenUsed/>
    <w:rsid w:val="00E10620"/>
    <w:rPr>
      <w:color w:val="605E5C"/>
      <w:shd w:val="clear" w:color="auto" w:fill="E1DFDD"/>
    </w:rPr>
  </w:style>
  <w:style w:type="character" w:styleId="FollowedHyperlink">
    <w:name w:val="FollowedHyperlink"/>
    <w:basedOn w:val="DefaultParagraphFont"/>
    <w:uiPriority w:val="99"/>
    <w:semiHidden/>
    <w:unhideWhenUsed/>
    <w:rsid w:val="00E106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202421">
      <w:bodyDiv w:val="1"/>
      <w:marLeft w:val="0"/>
      <w:marRight w:val="0"/>
      <w:marTop w:val="0"/>
      <w:marBottom w:val="0"/>
      <w:divBdr>
        <w:top w:val="none" w:sz="0" w:space="0" w:color="auto"/>
        <w:left w:val="none" w:sz="0" w:space="0" w:color="auto"/>
        <w:bottom w:val="none" w:sz="0" w:space="0" w:color="auto"/>
        <w:right w:val="none" w:sz="0" w:space="0" w:color="auto"/>
      </w:divBdr>
      <w:divsChild>
        <w:div w:id="1634746250">
          <w:marLeft w:val="0"/>
          <w:marRight w:val="0"/>
          <w:marTop w:val="0"/>
          <w:marBottom w:val="0"/>
          <w:divBdr>
            <w:top w:val="none" w:sz="0" w:space="0" w:color="auto"/>
            <w:left w:val="none" w:sz="0" w:space="0" w:color="auto"/>
            <w:bottom w:val="none" w:sz="0" w:space="0" w:color="auto"/>
            <w:right w:val="none" w:sz="0" w:space="0" w:color="auto"/>
          </w:divBdr>
          <w:divsChild>
            <w:div w:id="1404647991">
              <w:marLeft w:val="0"/>
              <w:marRight w:val="0"/>
              <w:marTop w:val="0"/>
              <w:marBottom w:val="0"/>
              <w:divBdr>
                <w:top w:val="none" w:sz="0" w:space="0" w:color="auto"/>
                <w:left w:val="none" w:sz="0" w:space="0" w:color="auto"/>
                <w:bottom w:val="none" w:sz="0" w:space="0" w:color="auto"/>
                <w:right w:val="none" w:sz="0" w:space="0" w:color="auto"/>
              </w:divBdr>
              <w:divsChild>
                <w:div w:id="1852640102">
                  <w:marLeft w:val="0"/>
                  <w:marRight w:val="0"/>
                  <w:marTop w:val="0"/>
                  <w:marBottom w:val="0"/>
                  <w:divBdr>
                    <w:top w:val="none" w:sz="0" w:space="0" w:color="auto"/>
                    <w:left w:val="none" w:sz="0" w:space="0" w:color="auto"/>
                    <w:bottom w:val="none" w:sz="0" w:space="0" w:color="auto"/>
                    <w:right w:val="none" w:sz="0" w:space="0" w:color="auto"/>
                  </w:divBdr>
                  <w:divsChild>
                    <w:div w:id="102727151">
                      <w:marLeft w:val="150"/>
                      <w:marRight w:val="150"/>
                      <w:marTop w:val="0"/>
                      <w:marBottom w:val="0"/>
                      <w:divBdr>
                        <w:top w:val="none" w:sz="0" w:space="0" w:color="auto"/>
                        <w:left w:val="none" w:sz="0" w:space="0" w:color="auto"/>
                        <w:bottom w:val="none" w:sz="0" w:space="0" w:color="auto"/>
                        <w:right w:val="none" w:sz="0" w:space="0" w:color="auto"/>
                      </w:divBdr>
                      <w:divsChild>
                        <w:div w:id="637763256">
                          <w:marLeft w:val="0"/>
                          <w:marRight w:val="0"/>
                          <w:marTop w:val="0"/>
                          <w:marBottom w:val="0"/>
                          <w:divBdr>
                            <w:top w:val="none" w:sz="0" w:space="0" w:color="auto"/>
                            <w:left w:val="none" w:sz="0" w:space="0" w:color="auto"/>
                            <w:bottom w:val="none" w:sz="0" w:space="0" w:color="auto"/>
                            <w:right w:val="none" w:sz="0" w:space="0" w:color="auto"/>
                          </w:divBdr>
                          <w:divsChild>
                            <w:div w:id="1157041284">
                              <w:marLeft w:val="0"/>
                              <w:marRight w:val="0"/>
                              <w:marTop w:val="0"/>
                              <w:marBottom w:val="240"/>
                              <w:divBdr>
                                <w:top w:val="none" w:sz="0" w:space="0" w:color="auto"/>
                                <w:left w:val="none" w:sz="0" w:space="0" w:color="auto"/>
                                <w:bottom w:val="none" w:sz="0" w:space="0" w:color="auto"/>
                                <w:right w:val="none" w:sz="0" w:space="0" w:color="auto"/>
                              </w:divBdr>
                              <w:divsChild>
                                <w:div w:id="1913924763">
                                  <w:marLeft w:val="0"/>
                                  <w:marRight w:val="0"/>
                                  <w:marTop w:val="0"/>
                                  <w:marBottom w:val="0"/>
                                  <w:divBdr>
                                    <w:top w:val="none" w:sz="0" w:space="0" w:color="auto"/>
                                    <w:left w:val="none" w:sz="0" w:space="0" w:color="auto"/>
                                    <w:bottom w:val="none" w:sz="0" w:space="0" w:color="auto"/>
                                    <w:right w:val="none" w:sz="0" w:space="0" w:color="auto"/>
                                  </w:divBdr>
                                  <w:divsChild>
                                    <w:div w:id="768434005">
                                      <w:marLeft w:val="0"/>
                                      <w:marRight w:val="0"/>
                                      <w:marTop w:val="0"/>
                                      <w:marBottom w:val="0"/>
                                      <w:divBdr>
                                        <w:top w:val="none" w:sz="0" w:space="0" w:color="auto"/>
                                        <w:left w:val="none" w:sz="0" w:space="0" w:color="auto"/>
                                        <w:bottom w:val="none" w:sz="0" w:space="0" w:color="auto"/>
                                        <w:right w:val="none" w:sz="0" w:space="0" w:color="auto"/>
                                      </w:divBdr>
                                      <w:divsChild>
                                        <w:div w:id="1320617252">
                                          <w:marLeft w:val="0"/>
                                          <w:marRight w:val="0"/>
                                          <w:marTop w:val="0"/>
                                          <w:marBottom w:val="0"/>
                                          <w:divBdr>
                                            <w:top w:val="none" w:sz="0" w:space="0" w:color="auto"/>
                                            <w:left w:val="none" w:sz="0" w:space="0" w:color="auto"/>
                                            <w:bottom w:val="none" w:sz="0" w:space="0" w:color="auto"/>
                                            <w:right w:val="none" w:sz="0" w:space="0" w:color="auto"/>
                                          </w:divBdr>
                                          <w:divsChild>
                                            <w:div w:id="1232929307">
                                              <w:marLeft w:val="0"/>
                                              <w:marRight w:val="0"/>
                                              <w:marTop w:val="0"/>
                                              <w:marBottom w:val="0"/>
                                              <w:divBdr>
                                                <w:top w:val="none" w:sz="0" w:space="0" w:color="auto"/>
                                                <w:left w:val="none" w:sz="0" w:space="0" w:color="auto"/>
                                                <w:bottom w:val="none" w:sz="0" w:space="0" w:color="auto"/>
                                                <w:right w:val="none" w:sz="0" w:space="0" w:color="auto"/>
                                              </w:divBdr>
                                              <w:divsChild>
                                                <w:div w:id="1800999405">
                                                  <w:marLeft w:val="0"/>
                                                  <w:marRight w:val="0"/>
                                                  <w:marTop w:val="0"/>
                                                  <w:marBottom w:val="0"/>
                                                  <w:divBdr>
                                                    <w:top w:val="none" w:sz="0" w:space="0" w:color="auto"/>
                                                    <w:left w:val="none" w:sz="0" w:space="0" w:color="auto"/>
                                                    <w:bottom w:val="none" w:sz="0" w:space="0" w:color="auto"/>
                                                    <w:right w:val="none" w:sz="0" w:space="0" w:color="auto"/>
                                                  </w:divBdr>
                                                  <w:divsChild>
                                                    <w:div w:id="45148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4274276">
      <w:bodyDiv w:val="1"/>
      <w:marLeft w:val="0"/>
      <w:marRight w:val="0"/>
      <w:marTop w:val="0"/>
      <w:marBottom w:val="0"/>
      <w:divBdr>
        <w:top w:val="none" w:sz="0" w:space="0" w:color="auto"/>
        <w:left w:val="none" w:sz="0" w:space="0" w:color="auto"/>
        <w:bottom w:val="none" w:sz="0" w:space="0" w:color="auto"/>
        <w:right w:val="none" w:sz="0" w:space="0" w:color="auto"/>
      </w:divBdr>
      <w:divsChild>
        <w:div w:id="1368795273">
          <w:marLeft w:val="0"/>
          <w:marRight w:val="0"/>
          <w:marTop w:val="0"/>
          <w:marBottom w:val="0"/>
          <w:divBdr>
            <w:top w:val="none" w:sz="0" w:space="0" w:color="auto"/>
            <w:left w:val="none" w:sz="0" w:space="0" w:color="auto"/>
            <w:bottom w:val="none" w:sz="0" w:space="0" w:color="auto"/>
            <w:right w:val="none" w:sz="0" w:space="0" w:color="auto"/>
          </w:divBdr>
          <w:divsChild>
            <w:div w:id="1373531596">
              <w:marLeft w:val="0"/>
              <w:marRight w:val="0"/>
              <w:marTop w:val="0"/>
              <w:marBottom w:val="0"/>
              <w:divBdr>
                <w:top w:val="none" w:sz="0" w:space="0" w:color="auto"/>
                <w:left w:val="none" w:sz="0" w:space="0" w:color="auto"/>
                <w:bottom w:val="none" w:sz="0" w:space="0" w:color="auto"/>
                <w:right w:val="none" w:sz="0" w:space="0" w:color="auto"/>
              </w:divBdr>
              <w:divsChild>
                <w:div w:id="505365621">
                  <w:marLeft w:val="0"/>
                  <w:marRight w:val="0"/>
                  <w:marTop w:val="0"/>
                  <w:marBottom w:val="0"/>
                  <w:divBdr>
                    <w:top w:val="none" w:sz="0" w:space="0" w:color="auto"/>
                    <w:left w:val="none" w:sz="0" w:space="0" w:color="auto"/>
                    <w:bottom w:val="none" w:sz="0" w:space="0" w:color="auto"/>
                    <w:right w:val="none" w:sz="0" w:space="0" w:color="auto"/>
                  </w:divBdr>
                  <w:divsChild>
                    <w:div w:id="832262287">
                      <w:marLeft w:val="150"/>
                      <w:marRight w:val="150"/>
                      <w:marTop w:val="0"/>
                      <w:marBottom w:val="0"/>
                      <w:divBdr>
                        <w:top w:val="none" w:sz="0" w:space="0" w:color="auto"/>
                        <w:left w:val="none" w:sz="0" w:space="0" w:color="auto"/>
                        <w:bottom w:val="none" w:sz="0" w:space="0" w:color="auto"/>
                        <w:right w:val="none" w:sz="0" w:space="0" w:color="auto"/>
                      </w:divBdr>
                      <w:divsChild>
                        <w:div w:id="74743154">
                          <w:marLeft w:val="0"/>
                          <w:marRight w:val="0"/>
                          <w:marTop w:val="0"/>
                          <w:marBottom w:val="0"/>
                          <w:divBdr>
                            <w:top w:val="none" w:sz="0" w:space="0" w:color="auto"/>
                            <w:left w:val="none" w:sz="0" w:space="0" w:color="auto"/>
                            <w:bottom w:val="none" w:sz="0" w:space="0" w:color="auto"/>
                            <w:right w:val="none" w:sz="0" w:space="0" w:color="auto"/>
                          </w:divBdr>
                          <w:divsChild>
                            <w:div w:id="294990775">
                              <w:marLeft w:val="0"/>
                              <w:marRight w:val="0"/>
                              <w:marTop w:val="0"/>
                              <w:marBottom w:val="240"/>
                              <w:divBdr>
                                <w:top w:val="none" w:sz="0" w:space="0" w:color="auto"/>
                                <w:left w:val="none" w:sz="0" w:space="0" w:color="auto"/>
                                <w:bottom w:val="none" w:sz="0" w:space="0" w:color="auto"/>
                                <w:right w:val="none" w:sz="0" w:space="0" w:color="auto"/>
                              </w:divBdr>
                              <w:divsChild>
                                <w:div w:id="340400000">
                                  <w:marLeft w:val="0"/>
                                  <w:marRight w:val="0"/>
                                  <w:marTop w:val="0"/>
                                  <w:marBottom w:val="0"/>
                                  <w:divBdr>
                                    <w:top w:val="none" w:sz="0" w:space="0" w:color="auto"/>
                                    <w:left w:val="none" w:sz="0" w:space="0" w:color="auto"/>
                                    <w:bottom w:val="none" w:sz="0" w:space="0" w:color="auto"/>
                                    <w:right w:val="none" w:sz="0" w:space="0" w:color="auto"/>
                                  </w:divBdr>
                                  <w:divsChild>
                                    <w:div w:id="1958295393">
                                      <w:marLeft w:val="0"/>
                                      <w:marRight w:val="0"/>
                                      <w:marTop w:val="0"/>
                                      <w:marBottom w:val="0"/>
                                      <w:divBdr>
                                        <w:top w:val="none" w:sz="0" w:space="0" w:color="auto"/>
                                        <w:left w:val="none" w:sz="0" w:space="0" w:color="auto"/>
                                        <w:bottom w:val="none" w:sz="0" w:space="0" w:color="auto"/>
                                        <w:right w:val="none" w:sz="0" w:space="0" w:color="auto"/>
                                      </w:divBdr>
                                      <w:divsChild>
                                        <w:div w:id="1904870760">
                                          <w:marLeft w:val="0"/>
                                          <w:marRight w:val="0"/>
                                          <w:marTop w:val="0"/>
                                          <w:marBottom w:val="0"/>
                                          <w:divBdr>
                                            <w:top w:val="none" w:sz="0" w:space="0" w:color="auto"/>
                                            <w:left w:val="none" w:sz="0" w:space="0" w:color="auto"/>
                                            <w:bottom w:val="none" w:sz="0" w:space="0" w:color="auto"/>
                                            <w:right w:val="none" w:sz="0" w:space="0" w:color="auto"/>
                                          </w:divBdr>
                                          <w:divsChild>
                                            <w:div w:id="147208713">
                                              <w:marLeft w:val="0"/>
                                              <w:marRight w:val="0"/>
                                              <w:marTop w:val="0"/>
                                              <w:marBottom w:val="0"/>
                                              <w:divBdr>
                                                <w:top w:val="none" w:sz="0" w:space="0" w:color="auto"/>
                                                <w:left w:val="none" w:sz="0" w:space="0" w:color="auto"/>
                                                <w:bottom w:val="none" w:sz="0" w:space="0" w:color="auto"/>
                                                <w:right w:val="none" w:sz="0" w:space="0" w:color="auto"/>
                                              </w:divBdr>
                                              <w:divsChild>
                                                <w:div w:id="882641494">
                                                  <w:marLeft w:val="0"/>
                                                  <w:marRight w:val="0"/>
                                                  <w:marTop w:val="0"/>
                                                  <w:marBottom w:val="0"/>
                                                  <w:divBdr>
                                                    <w:top w:val="none" w:sz="0" w:space="0" w:color="auto"/>
                                                    <w:left w:val="none" w:sz="0" w:space="0" w:color="auto"/>
                                                    <w:bottom w:val="none" w:sz="0" w:space="0" w:color="auto"/>
                                                    <w:right w:val="none" w:sz="0" w:space="0" w:color="auto"/>
                                                  </w:divBdr>
                                                  <w:divsChild>
                                                    <w:div w:id="698314838">
                                                      <w:marLeft w:val="0"/>
                                                      <w:marRight w:val="0"/>
                                                      <w:marTop w:val="0"/>
                                                      <w:marBottom w:val="0"/>
                                                      <w:divBdr>
                                                        <w:top w:val="none" w:sz="0" w:space="0" w:color="auto"/>
                                                        <w:left w:val="none" w:sz="0" w:space="0" w:color="auto"/>
                                                        <w:bottom w:val="none" w:sz="0" w:space="0" w:color="auto"/>
                                                        <w:right w:val="none" w:sz="0" w:space="0" w:color="auto"/>
                                                      </w:divBdr>
                                                      <w:divsChild>
                                                        <w:div w:id="146318705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8202479">
      <w:bodyDiv w:val="1"/>
      <w:marLeft w:val="0"/>
      <w:marRight w:val="0"/>
      <w:marTop w:val="0"/>
      <w:marBottom w:val="0"/>
      <w:divBdr>
        <w:top w:val="none" w:sz="0" w:space="0" w:color="auto"/>
        <w:left w:val="none" w:sz="0" w:space="0" w:color="auto"/>
        <w:bottom w:val="none" w:sz="0" w:space="0" w:color="auto"/>
        <w:right w:val="none" w:sz="0" w:space="0" w:color="auto"/>
      </w:divBdr>
      <w:divsChild>
        <w:div w:id="1454863823">
          <w:marLeft w:val="0"/>
          <w:marRight w:val="0"/>
          <w:marTop w:val="0"/>
          <w:marBottom w:val="0"/>
          <w:divBdr>
            <w:top w:val="none" w:sz="0" w:space="0" w:color="auto"/>
            <w:left w:val="none" w:sz="0" w:space="0" w:color="auto"/>
            <w:bottom w:val="none" w:sz="0" w:space="0" w:color="auto"/>
            <w:right w:val="none" w:sz="0" w:space="0" w:color="auto"/>
          </w:divBdr>
          <w:divsChild>
            <w:div w:id="1891377503">
              <w:marLeft w:val="0"/>
              <w:marRight w:val="0"/>
              <w:marTop w:val="0"/>
              <w:marBottom w:val="0"/>
              <w:divBdr>
                <w:top w:val="none" w:sz="0" w:space="0" w:color="auto"/>
                <w:left w:val="none" w:sz="0" w:space="0" w:color="auto"/>
                <w:bottom w:val="none" w:sz="0" w:space="0" w:color="auto"/>
                <w:right w:val="none" w:sz="0" w:space="0" w:color="auto"/>
              </w:divBdr>
              <w:divsChild>
                <w:div w:id="777990550">
                  <w:marLeft w:val="0"/>
                  <w:marRight w:val="0"/>
                  <w:marTop w:val="0"/>
                  <w:marBottom w:val="0"/>
                  <w:divBdr>
                    <w:top w:val="none" w:sz="0" w:space="0" w:color="auto"/>
                    <w:left w:val="none" w:sz="0" w:space="0" w:color="auto"/>
                    <w:bottom w:val="none" w:sz="0" w:space="0" w:color="auto"/>
                    <w:right w:val="none" w:sz="0" w:space="0" w:color="auto"/>
                  </w:divBdr>
                  <w:divsChild>
                    <w:div w:id="1485927233">
                      <w:marLeft w:val="150"/>
                      <w:marRight w:val="150"/>
                      <w:marTop w:val="0"/>
                      <w:marBottom w:val="0"/>
                      <w:divBdr>
                        <w:top w:val="none" w:sz="0" w:space="0" w:color="auto"/>
                        <w:left w:val="none" w:sz="0" w:space="0" w:color="auto"/>
                        <w:bottom w:val="none" w:sz="0" w:space="0" w:color="auto"/>
                        <w:right w:val="none" w:sz="0" w:space="0" w:color="auto"/>
                      </w:divBdr>
                      <w:divsChild>
                        <w:div w:id="139546408">
                          <w:marLeft w:val="0"/>
                          <w:marRight w:val="0"/>
                          <w:marTop w:val="0"/>
                          <w:marBottom w:val="0"/>
                          <w:divBdr>
                            <w:top w:val="none" w:sz="0" w:space="0" w:color="auto"/>
                            <w:left w:val="none" w:sz="0" w:space="0" w:color="auto"/>
                            <w:bottom w:val="none" w:sz="0" w:space="0" w:color="auto"/>
                            <w:right w:val="none" w:sz="0" w:space="0" w:color="auto"/>
                          </w:divBdr>
                          <w:divsChild>
                            <w:div w:id="1622343793">
                              <w:marLeft w:val="0"/>
                              <w:marRight w:val="0"/>
                              <w:marTop w:val="0"/>
                              <w:marBottom w:val="240"/>
                              <w:divBdr>
                                <w:top w:val="none" w:sz="0" w:space="0" w:color="auto"/>
                                <w:left w:val="none" w:sz="0" w:space="0" w:color="auto"/>
                                <w:bottom w:val="none" w:sz="0" w:space="0" w:color="auto"/>
                                <w:right w:val="none" w:sz="0" w:space="0" w:color="auto"/>
                              </w:divBdr>
                              <w:divsChild>
                                <w:div w:id="1886328549">
                                  <w:marLeft w:val="0"/>
                                  <w:marRight w:val="0"/>
                                  <w:marTop w:val="0"/>
                                  <w:marBottom w:val="0"/>
                                  <w:divBdr>
                                    <w:top w:val="none" w:sz="0" w:space="0" w:color="auto"/>
                                    <w:left w:val="none" w:sz="0" w:space="0" w:color="auto"/>
                                    <w:bottom w:val="none" w:sz="0" w:space="0" w:color="auto"/>
                                    <w:right w:val="none" w:sz="0" w:space="0" w:color="auto"/>
                                  </w:divBdr>
                                  <w:divsChild>
                                    <w:div w:id="1318727536">
                                      <w:marLeft w:val="0"/>
                                      <w:marRight w:val="0"/>
                                      <w:marTop w:val="0"/>
                                      <w:marBottom w:val="0"/>
                                      <w:divBdr>
                                        <w:top w:val="none" w:sz="0" w:space="0" w:color="auto"/>
                                        <w:left w:val="none" w:sz="0" w:space="0" w:color="auto"/>
                                        <w:bottom w:val="none" w:sz="0" w:space="0" w:color="auto"/>
                                        <w:right w:val="none" w:sz="0" w:space="0" w:color="auto"/>
                                      </w:divBdr>
                                      <w:divsChild>
                                        <w:div w:id="195972083">
                                          <w:marLeft w:val="0"/>
                                          <w:marRight w:val="0"/>
                                          <w:marTop w:val="0"/>
                                          <w:marBottom w:val="0"/>
                                          <w:divBdr>
                                            <w:top w:val="none" w:sz="0" w:space="0" w:color="auto"/>
                                            <w:left w:val="none" w:sz="0" w:space="0" w:color="auto"/>
                                            <w:bottom w:val="none" w:sz="0" w:space="0" w:color="auto"/>
                                            <w:right w:val="none" w:sz="0" w:space="0" w:color="auto"/>
                                          </w:divBdr>
                                          <w:divsChild>
                                            <w:div w:id="934940323">
                                              <w:marLeft w:val="0"/>
                                              <w:marRight w:val="0"/>
                                              <w:marTop w:val="0"/>
                                              <w:marBottom w:val="0"/>
                                              <w:divBdr>
                                                <w:top w:val="none" w:sz="0" w:space="0" w:color="auto"/>
                                                <w:left w:val="none" w:sz="0" w:space="0" w:color="auto"/>
                                                <w:bottom w:val="none" w:sz="0" w:space="0" w:color="auto"/>
                                                <w:right w:val="none" w:sz="0" w:space="0" w:color="auto"/>
                                              </w:divBdr>
                                              <w:divsChild>
                                                <w:div w:id="2146312512">
                                                  <w:marLeft w:val="0"/>
                                                  <w:marRight w:val="0"/>
                                                  <w:marTop w:val="0"/>
                                                  <w:marBottom w:val="0"/>
                                                  <w:divBdr>
                                                    <w:top w:val="none" w:sz="0" w:space="0" w:color="auto"/>
                                                    <w:left w:val="none" w:sz="0" w:space="0" w:color="auto"/>
                                                    <w:bottom w:val="none" w:sz="0" w:space="0" w:color="auto"/>
                                                    <w:right w:val="none" w:sz="0" w:space="0" w:color="auto"/>
                                                  </w:divBdr>
                                                  <w:divsChild>
                                                    <w:div w:id="57987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2954400">
      <w:bodyDiv w:val="1"/>
      <w:marLeft w:val="0"/>
      <w:marRight w:val="0"/>
      <w:marTop w:val="0"/>
      <w:marBottom w:val="0"/>
      <w:divBdr>
        <w:top w:val="none" w:sz="0" w:space="0" w:color="auto"/>
        <w:left w:val="none" w:sz="0" w:space="0" w:color="auto"/>
        <w:bottom w:val="none" w:sz="0" w:space="0" w:color="auto"/>
        <w:right w:val="none" w:sz="0" w:space="0" w:color="auto"/>
      </w:divBdr>
      <w:divsChild>
        <w:div w:id="281111455">
          <w:marLeft w:val="0"/>
          <w:marRight w:val="0"/>
          <w:marTop w:val="0"/>
          <w:marBottom w:val="0"/>
          <w:divBdr>
            <w:top w:val="none" w:sz="0" w:space="0" w:color="auto"/>
            <w:left w:val="none" w:sz="0" w:space="0" w:color="auto"/>
            <w:bottom w:val="none" w:sz="0" w:space="0" w:color="auto"/>
            <w:right w:val="none" w:sz="0" w:space="0" w:color="auto"/>
          </w:divBdr>
          <w:divsChild>
            <w:div w:id="1337221034">
              <w:marLeft w:val="0"/>
              <w:marRight w:val="0"/>
              <w:marTop w:val="0"/>
              <w:marBottom w:val="0"/>
              <w:divBdr>
                <w:top w:val="none" w:sz="0" w:space="0" w:color="auto"/>
                <w:left w:val="none" w:sz="0" w:space="0" w:color="auto"/>
                <w:bottom w:val="none" w:sz="0" w:space="0" w:color="auto"/>
                <w:right w:val="none" w:sz="0" w:space="0" w:color="auto"/>
              </w:divBdr>
              <w:divsChild>
                <w:div w:id="1839231032">
                  <w:marLeft w:val="0"/>
                  <w:marRight w:val="0"/>
                  <w:marTop w:val="0"/>
                  <w:marBottom w:val="0"/>
                  <w:divBdr>
                    <w:top w:val="none" w:sz="0" w:space="0" w:color="auto"/>
                    <w:left w:val="none" w:sz="0" w:space="0" w:color="auto"/>
                    <w:bottom w:val="none" w:sz="0" w:space="0" w:color="auto"/>
                    <w:right w:val="none" w:sz="0" w:space="0" w:color="auto"/>
                  </w:divBdr>
                  <w:divsChild>
                    <w:div w:id="1462843589">
                      <w:marLeft w:val="150"/>
                      <w:marRight w:val="150"/>
                      <w:marTop w:val="0"/>
                      <w:marBottom w:val="0"/>
                      <w:divBdr>
                        <w:top w:val="none" w:sz="0" w:space="0" w:color="auto"/>
                        <w:left w:val="none" w:sz="0" w:space="0" w:color="auto"/>
                        <w:bottom w:val="none" w:sz="0" w:space="0" w:color="auto"/>
                        <w:right w:val="none" w:sz="0" w:space="0" w:color="auto"/>
                      </w:divBdr>
                      <w:divsChild>
                        <w:div w:id="2004821163">
                          <w:marLeft w:val="0"/>
                          <w:marRight w:val="0"/>
                          <w:marTop w:val="0"/>
                          <w:marBottom w:val="0"/>
                          <w:divBdr>
                            <w:top w:val="none" w:sz="0" w:space="0" w:color="auto"/>
                            <w:left w:val="none" w:sz="0" w:space="0" w:color="auto"/>
                            <w:bottom w:val="none" w:sz="0" w:space="0" w:color="auto"/>
                            <w:right w:val="none" w:sz="0" w:space="0" w:color="auto"/>
                          </w:divBdr>
                          <w:divsChild>
                            <w:div w:id="1233663340">
                              <w:marLeft w:val="0"/>
                              <w:marRight w:val="0"/>
                              <w:marTop w:val="0"/>
                              <w:marBottom w:val="240"/>
                              <w:divBdr>
                                <w:top w:val="none" w:sz="0" w:space="0" w:color="auto"/>
                                <w:left w:val="none" w:sz="0" w:space="0" w:color="auto"/>
                                <w:bottom w:val="none" w:sz="0" w:space="0" w:color="auto"/>
                                <w:right w:val="none" w:sz="0" w:space="0" w:color="auto"/>
                              </w:divBdr>
                              <w:divsChild>
                                <w:div w:id="392234960">
                                  <w:marLeft w:val="0"/>
                                  <w:marRight w:val="0"/>
                                  <w:marTop w:val="0"/>
                                  <w:marBottom w:val="0"/>
                                  <w:divBdr>
                                    <w:top w:val="none" w:sz="0" w:space="0" w:color="auto"/>
                                    <w:left w:val="none" w:sz="0" w:space="0" w:color="auto"/>
                                    <w:bottom w:val="none" w:sz="0" w:space="0" w:color="auto"/>
                                    <w:right w:val="none" w:sz="0" w:space="0" w:color="auto"/>
                                  </w:divBdr>
                                  <w:divsChild>
                                    <w:div w:id="706371745">
                                      <w:marLeft w:val="0"/>
                                      <w:marRight w:val="0"/>
                                      <w:marTop w:val="0"/>
                                      <w:marBottom w:val="0"/>
                                      <w:divBdr>
                                        <w:top w:val="none" w:sz="0" w:space="0" w:color="auto"/>
                                        <w:left w:val="none" w:sz="0" w:space="0" w:color="auto"/>
                                        <w:bottom w:val="none" w:sz="0" w:space="0" w:color="auto"/>
                                        <w:right w:val="none" w:sz="0" w:space="0" w:color="auto"/>
                                      </w:divBdr>
                                      <w:divsChild>
                                        <w:div w:id="841168837">
                                          <w:marLeft w:val="0"/>
                                          <w:marRight w:val="0"/>
                                          <w:marTop w:val="0"/>
                                          <w:marBottom w:val="0"/>
                                          <w:divBdr>
                                            <w:top w:val="none" w:sz="0" w:space="0" w:color="auto"/>
                                            <w:left w:val="none" w:sz="0" w:space="0" w:color="auto"/>
                                            <w:bottom w:val="none" w:sz="0" w:space="0" w:color="auto"/>
                                            <w:right w:val="none" w:sz="0" w:space="0" w:color="auto"/>
                                          </w:divBdr>
                                          <w:divsChild>
                                            <w:div w:id="635447981">
                                              <w:marLeft w:val="0"/>
                                              <w:marRight w:val="0"/>
                                              <w:marTop w:val="0"/>
                                              <w:marBottom w:val="0"/>
                                              <w:divBdr>
                                                <w:top w:val="none" w:sz="0" w:space="0" w:color="auto"/>
                                                <w:left w:val="none" w:sz="0" w:space="0" w:color="auto"/>
                                                <w:bottom w:val="none" w:sz="0" w:space="0" w:color="auto"/>
                                                <w:right w:val="none" w:sz="0" w:space="0" w:color="auto"/>
                                              </w:divBdr>
                                              <w:divsChild>
                                                <w:div w:id="224880264">
                                                  <w:marLeft w:val="0"/>
                                                  <w:marRight w:val="0"/>
                                                  <w:marTop w:val="0"/>
                                                  <w:marBottom w:val="0"/>
                                                  <w:divBdr>
                                                    <w:top w:val="none" w:sz="0" w:space="0" w:color="auto"/>
                                                    <w:left w:val="none" w:sz="0" w:space="0" w:color="auto"/>
                                                    <w:bottom w:val="none" w:sz="0" w:space="0" w:color="auto"/>
                                                    <w:right w:val="none" w:sz="0" w:space="0" w:color="auto"/>
                                                  </w:divBdr>
                                                  <w:divsChild>
                                                    <w:div w:id="148808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7756393">
      <w:bodyDiv w:val="1"/>
      <w:marLeft w:val="0"/>
      <w:marRight w:val="0"/>
      <w:marTop w:val="0"/>
      <w:marBottom w:val="0"/>
      <w:divBdr>
        <w:top w:val="none" w:sz="0" w:space="0" w:color="auto"/>
        <w:left w:val="none" w:sz="0" w:space="0" w:color="auto"/>
        <w:bottom w:val="none" w:sz="0" w:space="0" w:color="auto"/>
        <w:right w:val="none" w:sz="0" w:space="0" w:color="auto"/>
      </w:divBdr>
      <w:divsChild>
        <w:div w:id="842546843">
          <w:marLeft w:val="0"/>
          <w:marRight w:val="0"/>
          <w:marTop w:val="0"/>
          <w:marBottom w:val="0"/>
          <w:divBdr>
            <w:top w:val="none" w:sz="0" w:space="0" w:color="auto"/>
            <w:left w:val="none" w:sz="0" w:space="0" w:color="auto"/>
            <w:bottom w:val="none" w:sz="0" w:space="0" w:color="auto"/>
            <w:right w:val="none" w:sz="0" w:space="0" w:color="auto"/>
          </w:divBdr>
          <w:divsChild>
            <w:div w:id="287666549">
              <w:marLeft w:val="0"/>
              <w:marRight w:val="0"/>
              <w:marTop w:val="0"/>
              <w:marBottom w:val="0"/>
              <w:divBdr>
                <w:top w:val="none" w:sz="0" w:space="0" w:color="auto"/>
                <w:left w:val="none" w:sz="0" w:space="0" w:color="auto"/>
                <w:bottom w:val="none" w:sz="0" w:space="0" w:color="auto"/>
                <w:right w:val="none" w:sz="0" w:space="0" w:color="auto"/>
              </w:divBdr>
              <w:divsChild>
                <w:div w:id="547762950">
                  <w:marLeft w:val="0"/>
                  <w:marRight w:val="0"/>
                  <w:marTop w:val="0"/>
                  <w:marBottom w:val="0"/>
                  <w:divBdr>
                    <w:top w:val="none" w:sz="0" w:space="0" w:color="auto"/>
                    <w:left w:val="none" w:sz="0" w:space="0" w:color="auto"/>
                    <w:bottom w:val="none" w:sz="0" w:space="0" w:color="auto"/>
                    <w:right w:val="none" w:sz="0" w:space="0" w:color="auto"/>
                  </w:divBdr>
                  <w:divsChild>
                    <w:div w:id="1725447276">
                      <w:marLeft w:val="150"/>
                      <w:marRight w:val="150"/>
                      <w:marTop w:val="0"/>
                      <w:marBottom w:val="0"/>
                      <w:divBdr>
                        <w:top w:val="none" w:sz="0" w:space="0" w:color="auto"/>
                        <w:left w:val="none" w:sz="0" w:space="0" w:color="auto"/>
                        <w:bottom w:val="none" w:sz="0" w:space="0" w:color="auto"/>
                        <w:right w:val="none" w:sz="0" w:space="0" w:color="auto"/>
                      </w:divBdr>
                      <w:divsChild>
                        <w:div w:id="1951426657">
                          <w:marLeft w:val="0"/>
                          <w:marRight w:val="0"/>
                          <w:marTop w:val="0"/>
                          <w:marBottom w:val="0"/>
                          <w:divBdr>
                            <w:top w:val="none" w:sz="0" w:space="0" w:color="auto"/>
                            <w:left w:val="none" w:sz="0" w:space="0" w:color="auto"/>
                            <w:bottom w:val="none" w:sz="0" w:space="0" w:color="auto"/>
                            <w:right w:val="none" w:sz="0" w:space="0" w:color="auto"/>
                          </w:divBdr>
                          <w:divsChild>
                            <w:div w:id="2064018693">
                              <w:marLeft w:val="0"/>
                              <w:marRight w:val="0"/>
                              <w:marTop w:val="0"/>
                              <w:marBottom w:val="240"/>
                              <w:divBdr>
                                <w:top w:val="none" w:sz="0" w:space="0" w:color="auto"/>
                                <w:left w:val="none" w:sz="0" w:space="0" w:color="auto"/>
                                <w:bottom w:val="none" w:sz="0" w:space="0" w:color="auto"/>
                                <w:right w:val="none" w:sz="0" w:space="0" w:color="auto"/>
                              </w:divBdr>
                              <w:divsChild>
                                <w:div w:id="1652099339">
                                  <w:marLeft w:val="0"/>
                                  <w:marRight w:val="0"/>
                                  <w:marTop w:val="0"/>
                                  <w:marBottom w:val="0"/>
                                  <w:divBdr>
                                    <w:top w:val="none" w:sz="0" w:space="0" w:color="auto"/>
                                    <w:left w:val="none" w:sz="0" w:space="0" w:color="auto"/>
                                    <w:bottom w:val="none" w:sz="0" w:space="0" w:color="auto"/>
                                    <w:right w:val="none" w:sz="0" w:space="0" w:color="auto"/>
                                  </w:divBdr>
                                  <w:divsChild>
                                    <w:div w:id="372968084">
                                      <w:marLeft w:val="0"/>
                                      <w:marRight w:val="0"/>
                                      <w:marTop w:val="0"/>
                                      <w:marBottom w:val="0"/>
                                      <w:divBdr>
                                        <w:top w:val="none" w:sz="0" w:space="0" w:color="auto"/>
                                        <w:left w:val="none" w:sz="0" w:space="0" w:color="auto"/>
                                        <w:bottom w:val="none" w:sz="0" w:space="0" w:color="auto"/>
                                        <w:right w:val="none" w:sz="0" w:space="0" w:color="auto"/>
                                      </w:divBdr>
                                      <w:divsChild>
                                        <w:div w:id="2044133970">
                                          <w:marLeft w:val="0"/>
                                          <w:marRight w:val="0"/>
                                          <w:marTop w:val="0"/>
                                          <w:marBottom w:val="0"/>
                                          <w:divBdr>
                                            <w:top w:val="none" w:sz="0" w:space="0" w:color="auto"/>
                                            <w:left w:val="none" w:sz="0" w:space="0" w:color="auto"/>
                                            <w:bottom w:val="none" w:sz="0" w:space="0" w:color="auto"/>
                                            <w:right w:val="none" w:sz="0" w:space="0" w:color="auto"/>
                                          </w:divBdr>
                                          <w:divsChild>
                                            <w:div w:id="682559889">
                                              <w:marLeft w:val="0"/>
                                              <w:marRight w:val="0"/>
                                              <w:marTop w:val="0"/>
                                              <w:marBottom w:val="0"/>
                                              <w:divBdr>
                                                <w:top w:val="none" w:sz="0" w:space="0" w:color="auto"/>
                                                <w:left w:val="none" w:sz="0" w:space="0" w:color="auto"/>
                                                <w:bottom w:val="none" w:sz="0" w:space="0" w:color="auto"/>
                                                <w:right w:val="none" w:sz="0" w:space="0" w:color="auto"/>
                                              </w:divBdr>
                                              <w:divsChild>
                                                <w:div w:id="327901839">
                                                  <w:marLeft w:val="0"/>
                                                  <w:marRight w:val="0"/>
                                                  <w:marTop w:val="0"/>
                                                  <w:marBottom w:val="0"/>
                                                  <w:divBdr>
                                                    <w:top w:val="none" w:sz="0" w:space="0" w:color="auto"/>
                                                    <w:left w:val="none" w:sz="0" w:space="0" w:color="auto"/>
                                                    <w:bottom w:val="none" w:sz="0" w:space="0" w:color="auto"/>
                                                    <w:right w:val="none" w:sz="0" w:space="0" w:color="auto"/>
                                                  </w:divBdr>
                                                  <w:divsChild>
                                                    <w:div w:id="14517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1.xml"/><Relationship Id="rId3" Type="http://schemas.openxmlformats.org/officeDocument/2006/relationships/customXml" Target="../customXml/item3.xml"/><Relationship Id="rId21" Type="http://schemas.openxmlformats.org/officeDocument/2006/relationships/chart" Target="charts/chart8.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hart" Target="charts/chart5.xml"/><Relationship Id="rId25" Type="http://schemas.openxmlformats.org/officeDocument/2006/relationships/hyperlink" Target="http://www.environment.gov.au/atmosphere/ozone/ods/methylbromide/index.html" TargetMode="Externa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hyperlink" Target="https://ozone.unep.org/treaties/montreal-protocol/meetings/thirtieth-meeting-parties/decisions/decision-xxx9-critical-use?q=treaties/montreal-protocol/meetings/twenty-ninth-meeting-parties/decisions/decision-xxix6-critical&amp;source=decisions_by_issue&amp;args%5B0%5D=415&amp;parent=3025&amp;nextParent=3016"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environment.gov.au/atmosphere/ozone/ods/halon/index.html" TargetMode="External"/><Relationship Id="rId5" Type="http://schemas.openxmlformats.org/officeDocument/2006/relationships/customXml" Target="../customXml/item5.xml"/><Relationship Id="rId15" Type="http://schemas.openxmlformats.org/officeDocument/2006/relationships/chart" Target="charts/chart3.xml"/><Relationship Id="rId23" Type="http://schemas.openxmlformats.org/officeDocument/2006/relationships/chart" Target="charts/chart10.xml"/><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chart" Target="charts/chart7.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2.xml"/><Relationship Id="rId22" Type="http://schemas.openxmlformats.org/officeDocument/2006/relationships/chart" Target="charts/chart9.xm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http://spire.environment.gov.au/spire/743624/789000/789006/170/2020%20-%20Montreal%20Protocol%20Communications/data%20file%20for%20updated%20ODS%20graph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pire.environment.gov.au/spire/743624/789000/789006/170/2020%20-%20Montreal%20Protocol%20Communications/data%20file%20for%20updated%20ODS%20graphs.xlsx" TargetMode="External"/></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http://spire.environment.gov.au/spire/743624/789000/789006/170/2020%20-%20Montreal%20Protocol%20Communications/data%20file%20for%20updated%20ODS%20graph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pire.environment.gov.au/spire/743624/789000/789006/170/2020%20-%20Montreal%20Protocol%20Communications/data%20file%20for%20updated%20ODS%20graph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pire.environment.gov.au/spire/743624/789000/789006/170/2020%20-%20Montreal%20Protocol%20Communications/data%20file%20for%20updated%20ODS%20graph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pire.environment.gov.au/spire/743624/789000/789006/170/2020%20-%20Montreal%20Protocol%20Communications/data%20file%20for%20updated%20ODS%20graph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pire.environment.gov.au/spire/743624/789000/789006/170/2020%20-%20Montreal%20Protocol%20Communications/data%20file%20for%20updated%20ODS%20graph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pire.environment.gov.au/spire/743624/789000/789006/170/2020%20-%20Montreal%20Protocol%20Communications/data%20file%20for%20updated%20ODS%20graph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pire.environment.gov.au/spire/743624/789000/789006/170/2020%20-%20Montreal%20Protocol%20Communications/data%20file%20for%20updated%20ODS%20graph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pire.environment.gov.au/spire/743624/789000/789006/170/2020%20-%20Montreal%20Protocol%20Communications/data%20file%20for%20updated%20ODS%20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a:t>HCFC-22 imported by year</a:t>
            </a:r>
          </a:p>
        </c:rich>
      </c:tx>
      <c:layout/>
      <c:overlay val="0"/>
    </c:title>
    <c:autoTitleDeleted val="0"/>
    <c:plotArea>
      <c:layout>
        <c:manualLayout>
          <c:layoutTarget val="inner"/>
          <c:xMode val="edge"/>
          <c:yMode val="edge"/>
          <c:x val="0.14261309541630493"/>
          <c:y val="0.15207491920652774"/>
          <c:w val="0.82696865363312477"/>
          <c:h val="0.73431213955398433"/>
        </c:manualLayout>
      </c:layout>
      <c:barChart>
        <c:barDir val="col"/>
        <c:grouping val="clustered"/>
        <c:varyColors val="0"/>
        <c:ser>
          <c:idx val="0"/>
          <c:order val="0"/>
          <c:tx>
            <c:strRef>
              <c:f>'HCFC species imported by year'!$A$2</c:f>
              <c:strCache>
                <c:ptCount val="1"/>
                <c:pt idx="0">
                  <c:v>HCFC-22</c:v>
                </c:pt>
              </c:strCache>
            </c:strRef>
          </c:tx>
          <c:invertIfNegative val="0"/>
          <c:cat>
            <c:numRef>
              <c:f>'HCFC species imported by year'!$G$1:$P$1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'HCFC species imported by year'!$G$2:$P$2</c:f>
              <c:numCache>
                <c:formatCode>General</c:formatCode>
                <c:ptCount val="10"/>
                <c:pt idx="0">
                  <c:v>1119</c:v>
                </c:pt>
                <c:pt idx="1">
                  <c:v>1290</c:v>
                </c:pt>
                <c:pt idx="2">
                  <c:v>702</c:v>
                </c:pt>
                <c:pt idx="3">
                  <c:v>711</c:v>
                </c:pt>
                <c:pt idx="4">
                  <c:v>178</c:v>
                </c:pt>
                <c:pt idx="5">
                  <c:v>190</c:v>
                </c:pt>
                <c:pt idx="6">
                  <c:v>45</c:v>
                </c:pt>
                <c:pt idx="7">
                  <c:v>42.8</c:v>
                </c:pt>
                <c:pt idx="8">
                  <c:v>45.4</c:v>
                </c:pt>
                <c:pt idx="9">
                  <c:v>47.8</c:v>
                </c:pt>
              </c:numCache>
            </c:numRef>
          </c:val>
          <c:extLst xmlns:c16r2="http://schemas.microsoft.com/office/drawing/2015/06/chart">
            <c:ext xmlns:c16="http://schemas.microsoft.com/office/drawing/2014/chart" uri="{C3380CC4-5D6E-409C-BE32-E72D297353CC}">
              <c16:uniqueId val="{00000000-9A58-4D93-B5A5-072B30DF0D55}"/>
            </c:ext>
          </c:extLst>
        </c:ser>
        <c:dLbls>
          <c:showLegendKey val="0"/>
          <c:showVal val="0"/>
          <c:showCatName val="0"/>
          <c:showSerName val="0"/>
          <c:showPercent val="0"/>
          <c:showBubbleSize val="0"/>
        </c:dLbls>
        <c:gapWidth val="150"/>
        <c:axId val="411737568"/>
        <c:axId val="504631752"/>
      </c:barChart>
      <c:catAx>
        <c:axId val="411737568"/>
        <c:scaling>
          <c:orientation val="minMax"/>
        </c:scaling>
        <c:delete val="0"/>
        <c:axPos val="b"/>
        <c:numFmt formatCode="General" sourceLinked="1"/>
        <c:majorTickMark val="out"/>
        <c:minorTickMark val="none"/>
        <c:tickLblPos val="nextTo"/>
        <c:crossAx val="504631752"/>
        <c:crosses val="autoZero"/>
        <c:auto val="1"/>
        <c:lblAlgn val="ctr"/>
        <c:lblOffset val="100"/>
        <c:noMultiLvlLbl val="0"/>
      </c:catAx>
      <c:valAx>
        <c:axId val="504631752"/>
        <c:scaling>
          <c:orientation val="minMax"/>
        </c:scaling>
        <c:delete val="0"/>
        <c:axPos val="l"/>
        <c:majorGridlines/>
        <c:title>
          <c:tx>
            <c:rich>
              <a:bodyPr rot="-5400000" vert="horz"/>
              <a:lstStyle/>
              <a:p>
                <a:pPr>
                  <a:defRPr/>
                </a:pPr>
                <a:r>
                  <a:rPr lang="en-US"/>
                  <a:t>Metric tonnes</a:t>
                </a:r>
              </a:p>
            </c:rich>
          </c:tx>
          <c:layout/>
          <c:overlay val="0"/>
        </c:title>
        <c:numFmt formatCode="General" sourceLinked="1"/>
        <c:majorTickMark val="out"/>
        <c:minorTickMark val="none"/>
        <c:tickLblPos val="nextTo"/>
        <c:crossAx val="411737568"/>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a:t>Halon used imports</a:t>
            </a:r>
          </a:p>
        </c:rich>
      </c:tx>
      <c:layout>
        <c:manualLayout>
          <c:xMode val="edge"/>
          <c:yMode val="edge"/>
          <c:x val="0.40144444444444488"/>
          <c:y val="1.388888888888897E-2"/>
        </c:manualLayout>
      </c:layout>
      <c:overlay val="1"/>
    </c:title>
    <c:autoTitleDeleted val="0"/>
    <c:plotArea>
      <c:layout>
        <c:manualLayout>
          <c:layoutTarget val="inner"/>
          <c:xMode val="edge"/>
          <c:yMode val="edge"/>
          <c:x val="0.13089129483814524"/>
          <c:y val="0.10695610965296004"/>
          <c:w val="0.73120363079615069"/>
          <c:h val="0.60906459609215513"/>
        </c:manualLayout>
      </c:layout>
      <c:barChart>
        <c:barDir val="col"/>
        <c:grouping val="clustered"/>
        <c:varyColors val="0"/>
        <c:ser>
          <c:idx val="1"/>
          <c:order val="1"/>
          <c:tx>
            <c:strRef>
              <c:f>'Halon imports (OPD)'!$C$25</c:f>
              <c:strCache>
                <c:ptCount val="1"/>
                <c:pt idx="0">
                  <c:v>Halon-1301</c:v>
                </c:pt>
              </c:strCache>
            </c:strRef>
          </c:tx>
          <c:invertIfNegative val="0"/>
          <c:cat>
            <c:numRef>
              <c:f>'Halon imports (OPD)'!$A$27:$A$34</c:f>
              <c:numCache>
                <c:formatCode>General</c:formatCode>
                <c:ptCount val="8"/>
                <c:pt idx="0">
                  <c:v>2012</c:v>
                </c:pt>
                <c:pt idx="1">
                  <c:v>2013</c:v>
                </c:pt>
                <c:pt idx="2">
                  <c:v>2014</c:v>
                </c:pt>
                <c:pt idx="3">
                  <c:v>2015</c:v>
                </c:pt>
                <c:pt idx="4">
                  <c:v>2016</c:v>
                </c:pt>
                <c:pt idx="5">
                  <c:v>2017</c:v>
                </c:pt>
                <c:pt idx="6">
                  <c:v>2018</c:v>
                </c:pt>
                <c:pt idx="7">
                  <c:v>2019</c:v>
                </c:pt>
              </c:numCache>
            </c:numRef>
          </c:cat>
          <c:val>
            <c:numRef>
              <c:f>'Halon imports (OPD)'!$C$27:$C$34</c:f>
              <c:numCache>
                <c:formatCode>General</c:formatCode>
                <c:ptCount val="8"/>
                <c:pt idx="0">
                  <c:v>37.368620000000007</c:v>
                </c:pt>
                <c:pt idx="1">
                  <c:v>37.992129999999996</c:v>
                </c:pt>
                <c:pt idx="2">
                  <c:v>25.531423599999997</c:v>
                </c:pt>
                <c:pt idx="3">
                  <c:v>2</c:v>
                </c:pt>
                <c:pt idx="4">
                  <c:v>5.72</c:v>
                </c:pt>
                <c:pt idx="5">
                  <c:v>36.5</c:v>
                </c:pt>
                <c:pt idx="6">
                  <c:v>0</c:v>
                </c:pt>
                <c:pt idx="7">
                  <c:v>0.49</c:v>
                </c:pt>
              </c:numCache>
            </c:numRef>
          </c:val>
          <c:extLst xmlns:c16r2="http://schemas.microsoft.com/office/drawing/2015/06/chart">
            <c:ext xmlns:c16="http://schemas.microsoft.com/office/drawing/2014/chart" uri="{C3380CC4-5D6E-409C-BE32-E72D297353CC}">
              <c16:uniqueId val="{00000000-D635-4764-BA67-7B09153BF4DD}"/>
            </c:ext>
          </c:extLst>
        </c:ser>
        <c:ser>
          <c:idx val="0"/>
          <c:order val="0"/>
          <c:tx>
            <c:strRef>
              <c:f>'Halon imports (OPD)'!$B$25</c:f>
              <c:strCache>
                <c:ptCount val="1"/>
                <c:pt idx="0">
                  <c:v>Halon-1211</c:v>
                </c:pt>
              </c:strCache>
            </c:strRef>
          </c:tx>
          <c:invertIfNegative val="0"/>
          <c:cat>
            <c:numRef>
              <c:f>'Halon imports (OPD)'!$A$27:$A$34</c:f>
              <c:numCache>
                <c:formatCode>General</c:formatCode>
                <c:ptCount val="8"/>
                <c:pt idx="0">
                  <c:v>2012</c:v>
                </c:pt>
                <c:pt idx="1">
                  <c:v>2013</c:v>
                </c:pt>
                <c:pt idx="2">
                  <c:v>2014</c:v>
                </c:pt>
                <c:pt idx="3">
                  <c:v>2015</c:v>
                </c:pt>
                <c:pt idx="4">
                  <c:v>2016</c:v>
                </c:pt>
                <c:pt idx="5">
                  <c:v>2017</c:v>
                </c:pt>
                <c:pt idx="6">
                  <c:v>2018</c:v>
                </c:pt>
                <c:pt idx="7">
                  <c:v>2019</c:v>
                </c:pt>
              </c:numCache>
            </c:numRef>
          </c:cat>
          <c:val>
            <c:numRef>
              <c:f>'Halon imports (OPD)'!$B$27:$B$34</c:f>
              <c:numCache>
                <c:formatCode>General</c:formatCode>
                <c:ptCount val="8"/>
                <c:pt idx="0">
                  <c:v>1.8443010000000002</c:v>
                </c:pt>
                <c:pt idx="1">
                  <c:v>1.9189349999999998</c:v>
                </c:pt>
                <c:pt idx="2">
                  <c:v>1.2664949999999999</c:v>
                </c:pt>
                <c:pt idx="3">
                  <c:v>1.89</c:v>
                </c:pt>
                <c:pt idx="4">
                  <c:v>0.85</c:v>
                </c:pt>
                <c:pt idx="5">
                  <c:v>0.3</c:v>
                </c:pt>
                <c:pt idx="6">
                  <c:v>0.33</c:v>
                </c:pt>
                <c:pt idx="7">
                  <c:v>0.02</c:v>
                </c:pt>
              </c:numCache>
            </c:numRef>
          </c:val>
          <c:extLst xmlns:c16r2="http://schemas.microsoft.com/office/drawing/2015/06/chart">
            <c:ext xmlns:c16="http://schemas.microsoft.com/office/drawing/2014/chart" uri="{C3380CC4-5D6E-409C-BE32-E72D297353CC}">
              <c16:uniqueId val="{00000001-D635-4764-BA67-7B09153BF4DD}"/>
            </c:ext>
          </c:extLst>
        </c:ser>
        <c:dLbls>
          <c:showLegendKey val="0"/>
          <c:showVal val="0"/>
          <c:showCatName val="0"/>
          <c:showSerName val="0"/>
          <c:showPercent val="0"/>
          <c:showBubbleSize val="0"/>
        </c:dLbls>
        <c:gapWidth val="150"/>
        <c:axId val="508408040"/>
        <c:axId val="508408432"/>
      </c:barChart>
      <c:catAx>
        <c:axId val="508408040"/>
        <c:scaling>
          <c:orientation val="minMax"/>
        </c:scaling>
        <c:delete val="0"/>
        <c:axPos val="b"/>
        <c:numFmt formatCode="General" sourceLinked="0"/>
        <c:majorTickMark val="out"/>
        <c:minorTickMark val="none"/>
        <c:tickLblPos val="nextTo"/>
        <c:crossAx val="508408432"/>
        <c:crosses val="autoZero"/>
        <c:auto val="1"/>
        <c:lblAlgn val="ctr"/>
        <c:lblOffset val="100"/>
        <c:noMultiLvlLbl val="0"/>
      </c:catAx>
      <c:valAx>
        <c:axId val="508408432"/>
        <c:scaling>
          <c:orientation val="minMax"/>
        </c:scaling>
        <c:delete val="0"/>
        <c:axPos val="l"/>
        <c:majorGridlines/>
        <c:title>
          <c:tx>
            <c:rich>
              <a:bodyPr rot="-5400000" vert="horz"/>
              <a:lstStyle/>
              <a:p>
                <a:pPr>
                  <a:defRPr/>
                </a:pPr>
                <a:r>
                  <a:rPr lang="en-US"/>
                  <a:t>ODP tonnes</a:t>
                </a:r>
              </a:p>
            </c:rich>
          </c:tx>
          <c:layout/>
          <c:overlay val="0"/>
        </c:title>
        <c:numFmt formatCode="General" sourceLinked="1"/>
        <c:majorTickMark val="out"/>
        <c:minorTickMark val="none"/>
        <c:tickLblPos val="nextTo"/>
        <c:crossAx val="508408040"/>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a:t>HCFC Phase-out schedule</a:t>
            </a:r>
          </a:p>
        </c:rich>
      </c:tx>
      <c:layout/>
      <c:overlay val="1"/>
    </c:title>
    <c:autoTitleDeleted val="0"/>
    <c:plotArea>
      <c:layout>
        <c:manualLayout>
          <c:layoutTarget val="inner"/>
          <c:xMode val="edge"/>
          <c:yMode val="edge"/>
          <c:x val="7.7223244290725399E-2"/>
          <c:y val="9.1038790122906027E-2"/>
          <c:w val="0.89536242549120149"/>
          <c:h val="0.69287234279850995"/>
        </c:manualLayout>
      </c:layout>
      <c:lineChart>
        <c:grouping val="standard"/>
        <c:varyColors val="0"/>
        <c:ser>
          <c:idx val="1"/>
          <c:order val="0"/>
          <c:tx>
            <c:strRef>
              <c:f>'HCFC phase-out schedule'!$B$2</c:f>
              <c:strCache>
                <c:ptCount val="1"/>
                <c:pt idx="0">
                  <c:v>Act limit</c:v>
                </c:pt>
              </c:strCache>
            </c:strRef>
          </c:tx>
          <c:marker>
            <c:symbol val="none"/>
          </c:marker>
          <c:cat>
            <c:numRef>
              <c:f>'HCFC phase-out schedule'!$A$3:$A$37</c:f>
              <c:numCache>
                <c:formatCode>General</c:formatCode>
                <c:ptCount val="35"/>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pt idx="24">
                  <c:v>2020</c:v>
                </c:pt>
                <c:pt idx="25">
                  <c:v>2021</c:v>
                </c:pt>
                <c:pt idx="26">
                  <c:v>2022</c:v>
                </c:pt>
                <c:pt idx="27">
                  <c:v>2023</c:v>
                </c:pt>
                <c:pt idx="28">
                  <c:v>2024</c:v>
                </c:pt>
                <c:pt idx="29">
                  <c:v>2025</c:v>
                </c:pt>
                <c:pt idx="30">
                  <c:v>2026</c:v>
                </c:pt>
                <c:pt idx="31">
                  <c:v>2027</c:v>
                </c:pt>
                <c:pt idx="32">
                  <c:v>2029</c:v>
                </c:pt>
                <c:pt idx="33">
                  <c:v>2030</c:v>
                </c:pt>
                <c:pt idx="34">
                  <c:v>2031</c:v>
                </c:pt>
              </c:numCache>
            </c:numRef>
          </c:cat>
          <c:val>
            <c:numRef>
              <c:f>'HCFC phase-out schedule'!$B$3:$B$37</c:f>
              <c:numCache>
                <c:formatCode>General</c:formatCode>
                <c:ptCount val="35"/>
                <c:pt idx="0">
                  <c:v>250</c:v>
                </c:pt>
                <c:pt idx="1">
                  <c:v>250</c:v>
                </c:pt>
                <c:pt idx="2">
                  <c:v>250</c:v>
                </c:pt>
                <c:pt idx="3">
                  <c:v>250</c:v>
                </c:pt>
                <c:pt idx="4">
                  <c:v>220</c:v>
                </c:pt>
                <c:pt idx="5">
                  <c:v>220</c:v>
                </c:pt>
                <c:pt idx="6">
                  <c:v>190</c:v>
                </c:pt>
                <c:pt idx="7">
                  <c:v>190</c:v>
                </c:pt>
                <c:pt idx="8">
                  <c:v>160</c:v>
                </c:pt>
                <c:pt idx="9">
                  <c:v>160</c:v>
                </c:pt>
                <c:pt idx="10">
                  <c:v>130</c:v>
                </c:pt>
                <c:pt idx="11">
                  <c:v>130</c:v>
                </c:pt>
                <c:pt idx="12">
                  <c:v>100</c:v>
                </c:pt>
                <c:pt idx="13">
                  <c:v>100</c:v>
                </c:pt>
                <c:pt idx="14">
                  <c:v>70</c:v>
                </c:pt>
                <c:pt idx="15">
                  <c:v>70</c:v>
                </c:pt>
                <c:pt idx="16">
                  <c:v>40</c:v>
                </c:pt>
                <c:pt idx="17">
                  <c:v>40</c:v>
                </c:pt>
                <c:pt idx="18">
                  <c:v>10</c:v>
                </c:pt>
                <c:pt idx="19">
                  <c:v>10</c:v>
                </c:pt>
                <c:pt idx="20">
                  <c:v>2.5</c:v>
                </c:pt>
                <c:pt idx="21">
                  <c:v>2.5</c:v>
                </c:pt>
                <c:pt idx="22">
                  <c:v>2.5</c:v>
                </c:pt>
                <c:pt idx="23">
                  <c:v>2.5</c:v>
                </c:pt>
                <c:pt idx="24">
                  <c:v>2.5</c:v>
                </c:pt>
                <c:pt idx="25">
                  <c:v>2.5</c:v>
                </c:pt>
                <c:pt idx="26">
                  <c:v>2.5</c:v>
                </c:pt>
                <c:pt idx="27">
                  <c:v>2.5</c:v>
                </c:pt>
                <c:pt idx="28">
                  <c:v>2.5</c:v>
                </c:pt>
                <c:pt idx="29">
                  <c:v>2.5</c:v>
                </c:pt>
                <c:pt idx="30">
                  <c:v>2.5</c:v>
                </c:pt>
                <c:pt idx="31">
                  <c:v>2.5</c:v>
                </c:pt>
                <c:pt idx="32">
                  <c:v>2.5</c:v>
                </c:pt>
                <c:pt idx="33">
                  <c:v>0</c:v>
                </c:pt>
              </c:numCache>
            </c:numRef>
          </c:val>
          <c:smooth val="0"/>
          <c:extLst xmlns:c16r2="http://schemas.microsoft.com/office/drawing/2015/06/chart">
            <c:ext xmlns:c16="http://schemas.microsoft.com/office/drawing/2014/chart" uri="{C3380CC4-5D6E-409C-BE32-E72D297353CC}">
              <c16:uniqueId val="{00000000-4A37-441E-B7BE-7819874732F8}"/>
            </c:ext>
          </c:extLst>
        </c:ser>
        <c:ser>
          <c:idx val="2"/>
          <c:order val="1"/>
          <c:tx>
            <c:strRef>
              <c:f>'HCFC phase-out schedule'!$C$2</c:f>
              <c:strCache>
                <c:ptCount val="1"/>
                <c:pt idx="0">
                  <c:v>MP obligation</c:v>
                </c:pt>
              </c:strCache>
            </c:strRef>
          </c:tx>
          <c:marker>
            <c:symbol val="none"/>
          </c:marker>
          <c:cat>
            <c:numRef>
              <c:f>'HCFC phase-out schedule'!$A$3:$A$37</c:f>
              <c:numCache>
                <c:formatCode>General</c:formatCode>
                <c:ptCount val="35"/>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pt idx="24">
                  <c:v>2020</c:v>
                </c:pt>
                <c:pt idx="25">
                  <c:v>2021</c:v>
                </c:pt>
                <c:pt idx="26">
                  <c:v>2022</c:v>
                </c:pt>
                <c:pt idx="27">
                  <c:v>2023</c:v>
                </c:pt>
                <c:pt idx="28">
                  <c:v>2024</c:v>
                </c:pt>
                <c:pt idx="29">
                  <c:v>2025</c:v>
                </c:pt>
                <c:pt idx="30">
                  <c:v>2026</c:v>
                </c:pt>
                <c:pt idx="31">
                  <c:v>2027</c:v>
                </c:pt>
                <c:pt idx="32">
                  <c:v>2029</c:v>
                </c:pt>
                <c:pt idx="33">
                  <c:v>2030</c:v>
                </c:pt>
                <c:pt idx="34">
                  <c:v>2031</c:v>
                </c:pt>
              </c:numCache>
            </c:numRef>
          </c:cat>
          <c:val>
            <c:numRef>
              <c:f>'HCFC phase-out schedule'!$C$3:$C$37</c:f>
              <c:numCache>
                <c:formatCode>General</c:formatCode>
                <c:ptCount val="35"/>
                <c:pt idx="0">
                  <c:v>548</c:v>
                </c:pt>
                <c:pt idx="1">
                  <c:v>548</c:v>
                </c:pt>
                <c:pt idx="2">
                  <c:v>548</c:v>
                </c:pt>
                <c:pt idx="3">
                  <c:v>548</c:v>
                </c:pt>
                <c:pt idx="4">
                  <c:v>548</c:v>
                </c:pt>
                <c:pt idx="5">
                  <c:v>548</c:v>
                </c:pt>
                <c:pt idx="6">
                  <c:v>548</c:v>
                </c:pt>
                <c:pt idx="7">
                  <c:v>548</c:v>
                </c:pt>
                <c:pt idx="8">
                  <c:v>356</c:v>
                </c:pt>
                <c:pt idx="9">
                  <c:v>356</c:v>
                </c:pt>
                <c:pt idx="10">
                  <c:v>356</c:v>
                </c:pt>
                <c:pt idx="11">
                  <c:v>356</c:v>
                </c:pt>
                <c:pt idx="12">
                  <c:v>356</c:v>
                </c:pt>
                <c:pt idx="13">
                  <c:v>356</c:v>
                </c:pt>
                <c:pt idx="14">
                  <c:v>137</c:v>
                </c:pt>
                <c:pt idx="15">
                  <c:v>137</c:v>
                </c:pt>
                <c:pt idx="16">
                  <c:v>137</c:v>
                </c:pt>
                <c:pt idx="17">
                  <c:v>137</c:v>
                </c:pt>
                <c:pt idx="18">
                  <c:v>137</c:v>
                </c:pt>
                <c:pt idx="19">
                  <c:v>55</c:v>
                </c:pt>
                <c:pt idx="20">
                  <c:v>55</c:v>
                </c:pt>
                <c:pt idx="21">
                  <c:v>55</c:v>
                </c:pt>
                <c:pt idx="22">
                  <c:v>55</c:v>
                </c:pt>
                <c:pt idx="23">
                  <c:v>55</c:v>
                </c:pt>
                <c:pt idx="24">
                  <c:v>2.74</c:v>
                </c:pt>
                <c:pt idx="25">
                  <c:v>2.74</c:v>
                </c:pt>
                <c:pt idx="26">
                  <c:v>2.74</c:v>
                </c:pt>
                <c:pt idx="27">
                  <c:v>2.74</c:v>
                </c:pt>
                <c:pt idx="28">
                  <c:v>2.74</c:v>
                </c:pt>
                <c:pt idx="29">
                  <c:v>2.74</c:v>
                </c:pt>
                <c:pt idx="30">
                  <c:v>2.74</c:v>
                </c:pt>
                <c:pt idx="31">
                  <c:v>2.74</c:v>
                </c:pt>
                <c:pt idx="32">
                  <c:v>2.74</c:v>
                </c:pt>
                <c:pt idx="33">
                  <c:v>0</c:v>
                </c:pt>
              </c:numCache>
            </c:numRef>
          </c:val>
          <c:smooth val="0"/>
          <c:extLst xmlns:c16r2="http://schemas.microsoft.com/office/drawing/2015/06/chart">
            <c:ext xmlns:c16="http://schemas.microsoft.com/office/drawing/2014/chart" uri="{C3380CC4-5D6E-409C-BE32-E72D297353CC}">
              <c16:uniqueId val="{00000001-4A37-441E-B7BE-7819874732F8}"/>
            </c:ext>
          </c:extLst>
        </c:ser>
        <c:ser>
          <c:idx val="3"/>
          <c:order val="2"/>
          <c:tx>
            <c:strRef>
              <c:f>'HCFC phase-out schedule'!$D$2</c:f>
              <c:strCache>
                <c:ptCount val="1"/>
                <c:pt idx="0">
                  <c:v>Baseline</c:v>
                </c:pt>
              </c:strCache>
            </c:strRef>
          </c:tx>
          <c:marker>
            <c:symbol val="none"/>
          </c:marker>
          <c:cat>
            <c:numRef>
              <c:f>'HCFC phase-out schedule'!$A$3:$A$37</c:f>
              <c:numCache>
                <c:formatCode>General</c:formatCode>
                <c:ptCount val="35"/>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pt idx="24">
                  <c:v>2020</c:v>
                </c:pt>
                <c:pt idx="25">
                  <c:v>2021</c:v>
                </c:pt>
                <c:pt idx="26">
                  <c:v>2022</c:v>
                </c:pt>
                <c:pt idx="27">
                  <c:v>2023</c:v>
                </c:pt>
                <c:pt idx="28">
                  <c:v>2024</c:v>
                </c:pt>
                <c:pt idx="29">
                  <c:v>2025</c:v>
                </c:pt>
                <c:pt idx="30">
                  <c:v>2026</c:v>
                </c:pt>
                <c:pt idx="31">
                  <c:v>2027</c:v>
                </c:pt>
                <c:pt idx="32">
                  <c:v>2029</c:v>
                </c:pt>
                <c:pt idx="33">
                  <c:v>2030</c:v>
                </c:pt>
                <c:pt idx="34">
                  <c:v>2031</c:v>
                </c:pt>
              </c:numCache>
            </c:numRef>
          </c:cat>
          <c:val>
            <c:numRef>
              <c:f>'HCFC phase-out schedule'!$D$3:$D$37</c:f>
              <c:numCache>
                <c:formatCode>General</c:formatCode>
                <c:ptCount val="35"/>
                <c:pt idx="0">
                  <c:v>548</c:v>
                </c:pt>
                <c:pt idx="1">
                  <c:v>548</c:v>
                </c:pt>
                <c:pt idx="2">
                  <c:v>548</c:v>
                </c:pt>
                <c:pt idx="3">
                  <c:v>548</c:v>
                </c:pt>
                <c:pt idx="4">
                  <c:v>548</c:v>
                </c:pt>
                <c:pt idx="5">
                  <c:v>548</c:v>
                </c:pt>
                <c:pt idx="6">
                  <c:v>548</c:v>
                </c:pt>
                <c:pt idx="7">
                  <c:v>548</c:v>
                </c:pt>
                <c:pt idx="8">
                  <c:v>548</c:v>
                </c:pt>
                <c:pt idx="9">
                  <c:v>548</c:v>
                </c:pt>
                <c:pt idx="10">
                  <c:v>548</c:v>
                </c:pt>
                <c:pt idx="11">
                  <c:v>548</c:v>
                </c:pt>
                <c:pt idx="12">
                  <c:v>548</c:v>
                </c:pt>
                <c:pt idx="13">
                  <c:v>548</c:v>
                </c:pt>
                <c:pt idx="14">
                  <c:v>548</c:v>
                </c:pt>
                <c:pt idx="15">
                  <c:v>548</c:v>
                </c:pt>
                <c:pt idx="16">
                  <c:v>548</c:v>
                </c:pt>
                <c:pt idx="17">
                  <c:v>548</c:v>
                </c:pt>
                <c:pt idx="18">
                  <c:v>548</c:v>
                </c:pt>
                <c:pt idx="19">
                  <c:v>548</c:v>
                </c:pt>
                <c:pt idx="20">
                  <c:v>548</c:v>
                </c:pt>
                <c:pt idx="21">
                  <c:v>548</c:v>
                </c:pt>
                <c:pt idx="22">
                  <c:v>548</c:v>
                </c:pt>
                <c:pt idx="23">
                  <c:v>548</c:v>
                </c:pt>
                <c:pt idx="24">
                  <c:v>548</c:v>
                </c:pt>
                <c:pt idx="25">
                  <c:v>548</c:v>
                </c:pt>
                <c:pt idx="26">
                  <c:v>548</c:v>
                </c:pt>
                <c:pt idx="27">
                  <c:v>548</c:v>
                </c:pt>
                <c:pt idx="28">
                  <c:v>548</c:v>
                </c:pt>
                <c:pt idx="29">
                  <c:v>548</c:v>
                </c:pt>
                <c:pt idx="30">
                  <c:v>548</c:v>
                </c:pt>
                <c:pt idx="31">
                  <c:v>548</c:v>
                </c:pt>
                <c:pt idx="32">
                  <c:v>548</c:v>
                </c:pt>
                <c:pt idx="33">
                  <c:v>548</c:v>
                </c:pt>
              </c:numCache>
            </c:numRef>
          </c:val>
          <c:smooth val="0"/>
          <c:extLst xmlns:c16r2="http://schemas.microsoft.com/office/drawing/2015/06/chart">
            <c:ext xmlns:c16="http://schemas.microsoft.com/office/drawing/2014/chart" uri="{C3380CC4-5D6E-409C-BE32-E72D297353CC}">
              <c16:uniqueId val="{00000002-4A37-441E-B7BE-7819874732F8}"/>
            </c:ext>
          </c:extLst>
        </c:ser>
        <c:dLbls>
          <c:showLegendKey val="0"/>
          <c:showVal val="0"/>
          <c:showCatName val="0"/>
          <c:showSerName val="0"/>
          <c:showPercent val="0"/>
          <c:showBubbleSize val="0"/>
        </c:dLbls>
        <c:smooth val="0"/>
        <c:axId val="508409216"/>
        <c:axId val="408632480"/>
      </c:lineChart>
      <c:catAx>
        <c:axId val="508409216"/>
        <c:scaling>
          <c:orientation val="minMax"/>
        </c:scaling>
        <c:delete val="0"/>
        <c:axPos val="b"/>
        <c:numFmt formatCode="General" sourceLinked="1"/>
        <c:majorTickMark val="out"/>
        <c:minorTickMark val="none"/>
        <c:tickLblPos val="nextTo"/>
        <c:crossAx val="408632480"/>
        <c:crosses val="autoZero"/>
        <c:auto val="1"/>
        <c:lblAlgn val="ctr"/>
        <c:lblOffset val="100"/>
        <c:noMultiLvlLbl val="0"/>
      </c:catAx>
      <c:valAx>
        <c:axId val="408632480"/>
        <c:scaling>
          <c:orientation val="minMax"/>
        </c:scaling>
        <c:delete val="0"/>
        <c:axPos val="l"/>
        <c:majorGridlines/>
        <c:numFmt formatCode="General" sourceLinked="1"/>
        <c:majorTickMark val="out"/>
        <c:minorTickMark val="none"/>
        <c:tickLblPos val="nextTo"/>
        <c:crossAx val="508409216"/>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AU" sz="1100"/>
              <a:t>HCFC imported</a:t>
            </a:r>
            <a:r>
              <a:rPr lang="en-AU" sz="1100" baseline="0"/>
              <a:t> by year (excluding HCFC 22)</a:t>
            </a:r>
            <a:endParaRPr lang="en-AU" sz="1100"/>
          </a:p>
        </c:rich>
      </c:tx>
      <c:layout>
        <c:manualLayout>
          <c:xMode val="edge"/>
          <c:yMode val="edge"/>
          <c:x val="0.21729855643044682"/>
          <c:y val="0"/>
        </c:manualLayout>
      </c:layout>
      <c:overlay val="1"/>
    </c:title>
    <c:autoTitleDeleted val="0"/>
    <c:plotArea>
      <c:layout>
        <c:manualLayout>
          <c:layoutTarget val="inner"/>
          <c:xMode val="edge"/>
          <c:yMode val="edge"/>
          <c:x val="0.1166272965879265"/>
          <c:y val="8.8437591134441565E-2"/>
          <c:w val="0.70966010089860265"/>
          <c:h val="0.80021216097987746"/>
        </c:manualLayout>
      </c:layout>
      <c:barChart>
        <c:barDir val="col"/>
        <c:grouping val="stacked"/>
        <c:varyColors val="0"/>
        <c:ser>
          <c:idx val="1"/>
          <c:order val="0"/>
          <c:tx>
            <c:strRef>
              <c:f>'HCFC species imported by year'!$A$3</c:f>
              <c:strCache>
                <c:ptCount val="1"/>
                <c:pt idx="0">
                  <c:v>HCFC-123</c:v>
                </c:pt>
              </c:strCache>
            </c:strRef>
          </c:tx>
          <c:invertIfNegative val="0"/>
          <c:cat>
            <c:numRef>
              <c:f>'HCFC species imported by year'!$B$1:$P$1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'HCFC species imported by year'!$B$3:$P$3</c:f>
              <c:numCache>
                <c:formatCode>General</c:formatCode>
                <c:ptCount val="10"/>
                <c:pt idx="0">
                  <c:v>6</c:v>
                </c:pt>
                <c:pt idx="1">
                  <c:v>2</c:v>
                </c:pt>
                <c:pt idx="2">
                  <c:v>26</c:v>
                </c:pt>
                <c:pt idx="3">
                  <c:v>8</c:v>
                </c:pt>
                <c:pt idx="4">
                  <c:v>8.8000000000000007</c:v>
                </c:pt>
                <c:pt idx="5">
                  <c:v>0</c:v>
                </c:pt>
                <c:pt idx="6">
                  <c:v>0</c:v>
                </c:pt>
                <c:pt idx="7">
                  <c:v>1.8</c:v>
                </c:pt>
                <c:pt idx="8">
                  <c:v>0</c:v>
                </c:pt>
                <c:pt idx="9">
                  <c:v>0</c:v>
                </c:pt>
              </c:numCache>
            </c:numRef>
          </c:val>
          <c:extLst xmlns:c16r2="http://schemas.microsoft.com/office/drawing/2015/06/chart">
            <c:ext xmlns:c16="http://schemas.microsoft.com/office/drawing/2014/chart" uri="{C3380CC4-5D6E-409C-BE32-E72D297353CC}">
              <c16:uniqueId val="{00000000-7D16-4C61-B626-6FAB690C175B}"/>
            </c:ext>
          </c:extLst>
        </c:ser>
        <c:ser>
          <c:idx val="2"/>
          <c:order val="1"/>
          <c:tx>
            <c:strRef>
              <c:f>'HCFC species imported by year'!$A$4</c:f>
              <c:strCache>
                <c:ptCount val="1"/>
                <c:pt idx="0">
                  <c:v>HCFC-124*</c:v>
                </c:pt>
              </c:strCache>
            </c:strRef>
          </c:tx>
          <c:invertIfNegative val="0"/>
          <c:cat>
            <c:numRef>
              <c:f>'HCFC species imported by year'!$B$1:$P$1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'HCFC species imported by year'!$B$4:$P$4</c:f>
              <c:numCache>
                <c:formatCode>General</c:formatCode>
                <c:ptCount val="10"/>
                <c:pt idx="0">
                  <c:v>6</c:v>
                </c:pt>
                <c:pt idx="1">
                  <c:v>6</c:v>
                </c:pt>
                <c:pt idx="2">
                  <c:v>4</c:v>
                </c:pt>
                <c:pt idx="3">
                  <c:v>3</c:v>
                </c:pt>
                <c:pt idx="4">
                  <c:v>0.5</c:v>
                </c:pt>
                <c:pt idx="5">
                  <c:v>1.5</c:v>
                </c:pt>
                <c:pt idx="6">
                  <c:v>0</c:v>
                </c:pt>
                <c:pt idx="7">
                  <c:v>0</c:v>
                </c:pt>
                <c:pt idx="8">
                  <c:v>0</c:v>
                </c:pt>
                <c:pt idx="9">
                  <c:v>0</c:v>
                </c:pt>
              </c:numCache>
            </c:numRef>
          </c:val>
          <c:extLst xmlns:c16r2="http://schemas.microsoft.com/office/drawing/2015/06/chart">
            <c:ext xmlns:c16="http://schemas.microsoft.com/office/drawing/2014/chart" uri="{C3380CC4-5D6E-409C-BE32-E72D297353CC}">
              <c16:uniqueId val="{00000001-7D16-4C61-B626-6FAB690C175B}"/>
            </c:ext>
          </c:extLst>
        </c:ser>
        <c:ser>
          <c:idx val="3"/>
          <c:order val="2"/>
          <c:tx>
            <c:strRef>
              <c:f>'HCFC species imported by year'!$A$5</c:f>
              <c:strCache>
                <c:ptCount val="1"/>
                <c:pt idx="0">
                  <c:v>HCFC-141b</c:v>
                </c:pt>
              </c:strCache>
            </c:strRef>
          </c:tx>
          <c:invertIfNegative val="0"/>
          <c:cat>
            <c:numRef>
              <c:f>'HCFC species imported by year'!$B$1:$P$1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'HCFC species imported by year'!$B$5:$P$5</c:f>
              <c:numCache>
                <c:formatCode>General</c:formatCode>
                <c:ptCount val="10"/>
                <c:pt idx="0">
                  <c:v>49</c:v>
                </c:pt>
                <c:pt idx="1">
                  <c:v>3</c:v>
                </c:pt>
                <c:pt idx="2">
                  <c:v>0</c:v>
                </c:pt>
                <c:pt idx="3">
                  <c:v>0</c:v>
                </c:pt>
                <c:pt idx="4">
                  <c:v>0</c:v>
                </c:pt>
                <c:pt idx="5">
                  <c:v>0</c:v>
                </c:pt>
                <c:pt idx="6">
                  <c:v>0</c:v>
                </c:pt>
                <c:pt idx="7">
                  <c:v>0</c:v>
                </c:pt>
                <c:pt idx="8">
                  <c:v>0</c:v>
                </c:pt>
                <c:pt idx="9">
                  <c:v>0</c:v>
                </c:pt>
              </c:numCache>
            </c:numRef>
          </c:val>
          <c:extLst xmlns:c16r2="http://schemas.microsoft.com/office/drawing/2015/06/chart">
            <c:ext xmlns:c16="http://schemas.microsoft.com/office/drawing/2014/chart" uri="{C3380CC4-5D6E-409C-BE32-E72D297353CC}">
              <c16:uniqueId val="{00000002-7D16-4C61-B626-6FAB690C175B}"/>
            </c:ext>
          </c:extLst>
        </c:ser>
        <c:ser>
          <c:idx val="4"/>
          <c:order val="3"/>
          <c:tx>
            <c:strRef>
              <c:f>'HCFC species imported by year'!$A$6</c:f>
              <c:strCache>
                <c:ptCount val="1"/>
                <c:pt idx="0">
                  <c:v>HCFC-142b</c:v>
                </c:pt>
              </c:strCache>
            </c:strRef>
          </c:tx>
          <c:invertIfNegative val="0"/>
          <c:cat>
            <c:numRef>
              <c:f>'HCFC species imported by year'!$B$1:$P$1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'HCFC species imported by year'!$B$6:$P$6</c:f>
              <c:numCache>
                <c:formatCode>General</c:formatCode>
                <c:ptCount val="10"/>
                <c:pt idx="0">
                  <c:v>5</c:v>
                </c:pt>
                <c:pt idx="1">
                  <c:v>2</c:v>
                </c:pt>
                <c:pt idx="2">
                  <c:v>1</c:v>
                </c:pt>
                <c:pt idx="3">
                  <c:v>1</c:v>
                </c:pt>
                <c:pt idx="4">
                  <c:v>0.3</c:v>
                </c:pt>
                <c:pt idx="5">
                  <c:v>0</c:v>
                </c:pt>
                <c:pt idx="6">
                  <c:v>0</c:v>
                </c:pt>
                <c:pt idx="7">
                  <c:v>0</c:v>
                </c:pt>
                <c:pt idx="8">
                  <c:v>0</c:v>
                </c:pt>
                <c:pt idx="9">
                  <c:v>0</c:v>
                </c:pt>
              </c:numCache>
            </c:numRef>
          </c:val>
          <c:extLst xmlns:c16r2="http://schemas.microsoft.com/office/drawing/2015/06/chart">
            <c:ext xmlns:c16="http://schemas.microsoft.com/office/drawing/2014/chart" uri="{C3380CC4-5D6E-409C-BE32-E72D297353CC}">
              <c16:uniqueId val="{00000003-7D16-4C61-B626-6FAB690C175B}"/>
            </c:ext>
          </c:extLst>
        </c:ser>
        <c:ser>
          <c:idx val="5"/>
          <c:order val="4"/>
          <c:tx>
            <c:strRef>
              <c:f>'HCFC species imported by year'!$A$7</c:f>
              <c:strCache>
                <c:ptCount val="1"/>
                <c:pt idx="0">
                  <c:v>HCFC-225^</c:v>
                </c:pt>
              </c:strCache>
            </c:strRef>
          </c:tx>
          <c:invertIfNegative val="0"/>
          <c:cat>
            <c:numRef>
              <c:f>'HCFC species imported by year'!$B$1:$P$1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'HCFC species imported by year'!$B$7:$P$7</c:f>
              <c:numCache>
                <c:formatCode>General</c:formatCode>
                <c:ptCount val="10"/>
                <c:pt idx="0">
                  <c:v>0.3</c:v>
                </c:pt>
                <c:pt idx="1">
                  <c:v>3</c:v>
                </c:pt>
                <c:pt idx="2">
                  <c:v>0.5</c:v>
                </c:pt>
                <c:pt idx="5">
                  <c:v>0.3</c:v>
                </c:pt>
                <c:pt idx="6">
                  <c:v>0.3</c:v>
                </c:pt>
                <c:pt idx="7">
                  <c:v>0</c:v>
                </c:pt>
                <c:pt idx="8">
                  <c:v>0</c:v>
                </c:pt>
                <c:pt idx="9">
                  <c:v>0</c:v>
                </c:pt>
              </c:numCache>
            </c:numRef>
          </c:val>
          <c:extLst xmlns:c16r2="http://schemas.microsoft.com/office/drawing/2015/06/chart">
            <c:ext xmlns:c16="http://schemas.microsoft.com/office/drawing/2014/chart" uri="{C3380CC4-5D6E-409C-BE32-E72D297353CC}">
              <c16:uniqueId val="{00000004-7D16-4C61-B626-6FAB690C175B}"/>
            </c:ext>
          </c:extLst>
        </c:ser>
        <c:ser>
          <c:idx val="6"/>
          <c:order val="5"/>
          <c:tx>
            <c:strRef>
              <c:f>'HCFC species imported by year'!$A$8</c:f>
              <c:strCache>
                <c:ptCount val="1"/>
                <c:pt idx="0">
                  <c:v>HCFC-406a</c:v>
                </c:pt>
              </c:strCache>
            </c:strRef>
          </c:tx>
          <c:invertIfNegative val="0"/>
          <c:cat>
            <c:numRef>
              <c:f>'HCFC species imported by year'!$B$1:$P$1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'HCFC species imported by year'!$B$8:$P$8</c:f>
              <c:numCache>
                <c:formatCode>General</c:formatCode>
                <c:ptCount val="10"/>
              </c:numCache>
            </c:numRef>
          </c:val>
          <c:extLst xmlns:c16r2="http://schemas.microsoft.com/office/drawing/2015/06/chart">
            <c:ext xmlns:c16="http://schemas.microsoft.com/office/drawing/2014/chart" uri="{C3380CC4-5D6E-409C-BE32-E72D297353CC}">
              <c16:uniqueId val="{00000005-7D16-4C61-B626-6FAB690C175B}"/>
            </c:ext>
          </c:extLst>
        </c:ser>
        <c:ser>
          <c:idx val="7"/>
          <c:order val="6"/>
          <c:tx>
            <c:strRef>
              <c:f>'HCFC species imported by year'!$A$9</c:f>
              <c:strCache>
                <c:ptCount val="1"/>
                <c:pt idx="0">
                  <c:v>HCFC-408a</c:v>
                </c:pt>
              </c:strCache>
            </c:strRef>
          </c:tx>
          <c:invertIfNegative val="0"/>
          <c:cat>
            <c:numRef>
              <c:f>'HCFC species imported by year'!$B$1:$P$1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'HCFC species imported by year'!$B$9:$P$9</c:f>
              <c:numCache>
                <c:formatCode>General</c:formatCode>
                <c:ptCount val="10"/>
              </c:numCache>
            </c:numRef>
          </c:val>
          <c:extLst xmlns:c16r2="http://schemas.microsoft.com/office/drawing/2015/06/chart">
            <c:ext xmlns:c16="http://schemas.microsoft.com/office/drawing/2014/chart" uri="{C3380CC4-5D6E-409C-BE32-E72D297353CC}">
              <c16:uniqueId val="{00000006-7D16-4C61-B626-6FAB690C175B}"/>
            </c:ext>
          </c:extLst>
        </c:ser>
        <c:ser>
          <c:idx val="0"/>
          <c:order val="7"/>
          <c:tx>
            <c:strRef>
              <c:f>'HCFC species imported by year'!$A$10</c:f>
              <c:strCache>
                <c:ptCount val="1"/>
                <c:pt idx="0">
                  <c:v>HCFC-409a</c:v>
                </c:pt>
              </c:strCache>
            </c:strRef>
          </c:tx>
          <c:invertIfNegative val="0"/>
          <c:cat>
            <c:numRef>
              <c:f>'HCFC species imported by year'!$B$1:$P$1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'HCFC species imported by year'!$B$10:$P$10</c:f>
              <c:numCache>
                <c:formatCode>General</c:formatCode>
                <c:ptCount val="10"/>
              </c:numCache>
            </c:numRef>
          </c:val>
          <c:extLst xmlns:c16r2="http://schemas.microsoft.com/office/drawing/2015/06/chart">
            <c:ext xmlns:c16="http://schemas.microsoft.com/office/drawing/2014/chart" uri="{C3380CC4-5D6E-409C-BE32-E72D297353CC}">
              <c16:uniqueId val="{00000007-7D16-4C61-B626-6FAB690C175B}"/>
            </c:ext>
          </c:extLst>
        </c:ser>
        <c:dLbls>
          <c:showLegendKey val="0"/>
          <c:showVal val="0"/>
          <c:showCatName val="0"/>
          <c:showSerName val="0"/>
          <c:showPercent val="0"/>
          <c:showBubbleSize val="0"/>
        </c:dLbls>
        <c:gapWidth val="150"/>
        <c:overlap val="100"/>
        <c:axId val="504632928"/>
        <c:axId val="504633320"/>
      </c:barChart>
      <c:catAx>
        <c:axId val="504632928"/>
        <c:scaling>
          <c:orientation val="minMax"/>
        </c:scaling>
        <c:delete val="0"/>
        <c:axPos val="b"/>
        <c:numFmt formatCode="General" sourceLinked="1"/>
        <c:majorTickMark val="out"/>
        <c:minorTickMark val="none"/>
        <c:tickLblPos val="nextTo"/>
        <c:crossAx val="504633320"/>
        <c:crosses val="autoZero"/>
        <c:auto val="1"/>
        <c:lblAlgn val="ctr"/>
        <c:lblOffset val="100"/>
        <c:noMultiLvlLbl val="0"/>
      </c:catAx>
      <c:valAx>
        <c:axId val="504633320"/>
        <c:scaling>
          <c:orientation val="minMax"/>
        </c:scaling>
        <c:delete val="0"/>
        <c:axPos val="l"/>
        <c:majorGridlines/>
        <c:title>
          <c:tx>
            <c:rich>
              <a:bodyPr rot="-5400000" vert="horz"/>
              <a:lstStyle/>
              <a:p>
                <a:pPr>
                  <a:defRPr/>
                </a:pPr>
                <a:r>
                  <a:rPr lang="en-US"/>
                  <a:t>Metric tonnes</a:t>
                </a:r>
              </a:p>
            </c:rich>
          </c:tx>
          <c:layout/>
          <c:overlay val="0"/>
        </c:title>
        <c:numFmt formatCode="General" sourceLinked="1"/>
        <c:majorTickMark val="out"/>
        <c:minorTickMark val="none"/>
        <c:tickLblPos val="nextTo"/>
        <c:crossAx val="50463292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a:t>HCFC global consumption</a:t>
            </a:r>
          </a:p>
        </c:rich>
      </c:tx>
      <c:layout>
        <c:manualLayout>
          <c:xMode val="edge"/>
          <c:yMode val="edge"/>
          <c:x val="0.33003477690289118"/>
          <c:y val="9.2592592592593767E-3"/>
        </c:manualLayout>
      </c:layout>
      <c:overlay val="1"/>
    </c:title>
    <c:autoTitleDeleted val="0"/>
    <c:plotArea>
      <c:layout>
        <c:manualLayout>
          <c:layoutTarget val="inner"/>
          <c:xMode val="edge"/>
          <c:yMode val="edge"/>
          <c:x val="0.18007174103237189"/>
          <c:y val="8.3807961504813025E-2"/>
          <c:w val="0.78659492563429567"/>
          <c:h val="0.68871719160104949"/>
        </c:manualLayout>
      </c:layout>
      <c:lineChart>
        <c:grouping val="standard"/>
        <c:varyColors val="0"/>
        <c:ser>
          <c:idx val="1"/>
          <c:order val="0"/>
          <c:tx>
            <c:strRef>
              <c:f>'HCFC consumption global'!$B$1</c:f>
              <c:strCache>
                <c:ptCount val="1"/>
                <c:pt idx="0">
                  <c:v>Australia</c:v>
                </c:pt>
              </c:strCache>
            </c:strRef>
          </c:tx>
          <c:marker>
            <c:symbol val="none"/>
          </c:marker>
          <c:cat>
            <c:numRef>
              <c:f>'HCFC consumption global'!$A$3:$A$15</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'HCFC consumption global'!$B$3:$B$15</c:f>
              <c:numCache>
                <c:formatCode>#,##0</c:formatCode>
                <c:ptCount val="9"/>
                <c:pt idx="0" formatCode="General">
                  <c:v>70</c:v>
                </c:pt>
                <c:pt idx="1">
                  <c:v>70</c:v>
                </c:pt>
                <c:pt idx="2" formatCode="General">
                  <c:v>40</c:v>
                </c:pt>
                <c:pt idx="3" formatCode="General">
                  <c:v>40</c:v>
                </c:pt>
                <c:pt idx="4" formatCode="General">
                  <c:v>10</c:v>
                </c:pt>
                <c:pt idx="5" formatCode="General">
                  <c:v>10</c:v>
                </c:pt>
                <c:pt idx="6" formatCode="General">
                  <c:v>2.5</c:v>
                </c:pt>
                <c:pt idx="7" formatCode="General">
                  <c:v>2.5</c:v>
                </c:pt>
                <c:pt idx="8" formatCode="General">
                  <c:v>2.5</c:v>
                </c:pt>
              </c:numCache>
            </c:numRef>
          </c:val>
          <c:smooth val="0"/>
          <c:extLst xmlns:c16r2="http://schemas.microsoft.com/office/drawing/2015/06/chart">
            <c:ext xmlns:c16="http://schemas.microsoft.com/office/drawing/2014/chart" uri="{C3380CC4-5D6E-409C-BE32-E72D297353CC}">
              <c16:uniqueId val="{00000000-D27B-476E-B0FF-CDBA9996284B}"/>
            </c:ext>
          </c:extLst>
        </c:ser>
        <c:ser>
          <c:idx val="2"/>
          <c:order val="1"/>
          <c:tx>
            <c:strRef>
              <c:f>'HCFC consumption global'!$C$1</c:f>
              <c:strCache>
                <c:ptCount val="1"/>
                <c:pt idx="0">
                  <c:v>non-A5 global</c:v>
                </c:pt>
              </c:strCache>
            </c:strRef>
          </c:tx>
          <c:marker>
            <c:symbol val="none"/>
          </c:marker>
          <c:cat>
            <c:numRef>
              <c:f>'HCFC consumption global'!$A$3:$A$15</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'HCFC consumption global'!$C$3:$C$15</c:f>
              <c:numCache>
                <c:formatCode>#,##0</c:formatCode>
                <c:ptCount val="9"/>
                <c:pt idx="0">
                  <c:v>3874</c:v>
                </c:pt>
                <c:pt idx="1">
                  <c:v>3893</c:v>
                </c:pt>
                <c:pt idx="2">
                  <c:v>2605</c:v>
                </c:pt>
                <c:pt idx="3">
                  <c:v>2716</c:v>
                </c:pt>
                <c:pt idx="4">
                  <c:v>2207</c:v>
                </c:pt>
                <c:pt idx="5">
                  <c:v>1117</c:v>
                </c:pt>
                <c:pt idx="6" formatCode="General">
                  <c:v>904</c:v>
                </c:pt>
                <c:pt idx="7" formatCode="General">
                  <c:v>760</c:v>
                </c:pt>
                <c:pt idx="8" formatCode="General">
                  <c:v>805</c:v>
                </c:pt>
              </c:numCache>
            </c:numRef>
          </c:val>
          <c:smooth val="0"/>
          <c:extLst xmlns:c16r2="http://schemas.microsoft.com/office/drawing/2015/06/chart">
            <c:ext xmlns:c16="http://schemas.microsoft.com/office/drawing/2014/chart" uri="{C3380CC4-5D6E-409C-BE32-E72D297353CC}">
              <c16:uniqueId val="{00000001-D27B-476E-B0FF-CDBA9996284B}"/>
            </c:ext>
          </c:extLst>
        </c:ser>
        <c:ser>
          <c:idx val="3"/>
          <c:order val="2"/>
          <c:tx>
            <c:strRef>
              <c:f>'HCFC consumption global'!$D$1</c:f>
              <c:strCache>
                <c:ptCount val="1"/>
                <c:pt idx="0">
                  <c:v>A5 global</c:v>
                </c:pt>
              </c:strCache>
              <c:extLst xmlns:c16r2="http://schemas.microsoft.com/office/drawing/2015/06/chart" xmlns:c15="http://schemas.microsoft.com/office/drawing/2012/chart"/>
            </c:strRef>
          </c:tx>
          <c:marker>
            <c:symbol val="none"/>
          </c:marker>
          <c:cat>
            <c:numRef>
              <c:f>'HCFC consumption global'!$A$3:$A$15</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'HCFC consumption global'!$D$3:$D$15</c:f>
              <c:numCache>
                <c:formatCode>#,##0</c:formatCode>
                <c:ptCount val="9"/>
                <c:pt idx="0">
                  <c:v>37026</c:v>
                </c:pt>
                <c:pt idx="1">
                  <c:v>37015</c:v>
                </c:pt>
                <c:pt idx="2">
                  <c:v>39137</c:v>
                </c:pt>
                <c:pt idx="3">
                  <c:v>29283</c:v>
                </c:pt>
                <c:pt idx="4">
                  <c:v>29690</c:v>
                </c:pt>
                <c:pt idx="5">
                  <c:v>25278</c:v>
                </c:pt>
                <c:pt idx="6">
                  <c:v>24822</c:v>
                </c:pt>
                <c:pt idx="7">
                  <c:v>24423</c:v>
                </c:pt>
                <c:pt idx="8">
                  <c:v>23445</c:v>
                </c:pt>
              </c:numCache>
            </c:numRef>
          </c:val>
          <c:smooth val="0"/>
          <c:extLst xmlns:c16r2="http://schemas.microsoft.com/office/drawing/2015/06/chart" xmlns:c15="http://schemas.microsoft.com/office/drawing/2012/chart">
            <c:ext xmlns:c16="http://schemas.microsoft.com/office/drawing/2014/chart" uri="{C3380CC4-5D6E-409C-BE32-E72D297353CC}">
              <c16:uniqueId val="{00000002-D27B-476E-B0FF-CDBA9996284B}"/>
            </c:ext>
          </c:extLst>
        </c:ser>
        <c:dLbls>
          <c:showLegendKey val="0"/>
          <c:showVal val="0"/>
          <c:showCatName val="0"/>
          <c:showSerName val="0"/>
          <c:showPercent val="0"/>
          <c:showBubbleSize val="0"/>
        </c:dLbls>
        <c:smooth val="0"/>
        <c:axId val="252812080"/>
        <c:axId val="252812472"/>
        <c:extLst xmlns:c16r2="http://schemas.microsoft.com/office/drawing/2015/06/chart"/>
      </c:lineChart>
      <c:catAx>
        <c:axId val="252812080"/>
        <c:scaling>
          <c:orientation val="minMax"/>
        </c:scaling>
        <c:delete val="0"/>
        <c:axPos val="b"/>
        <c:numFmt formatCode="General" sourceLinked="1"/>
        <c:majorTickMark val="out"/>
        <c:minorTickMark val="none"/>
        <c:tickLblPos val="nextTo"/>
        <c:crossAx val="252812472"/>
        <c:crosses val="autoZero"/>
        <c:auto val="1"/>
        <c:lblAlgn val="ctr"/>
        <c:lblOffset val="100"/>
        <c:noMultiLvlLbl val="0"/>
      </c:catAx>
      <c:valAx>
        <c:axId val="252812472"/>
        <c:scaling>
          <c:orientation val="minMax"/>
        </c:scaling>
        <c:delete val="0"/>
        <c:axPos val="l"/>
        <c:majorGridlines/>
        <c:title>
          <c:tx>
            <c:rich>
              <a:bodyPr rot="-5400000" vert="horz"/>
              <a:lstStyle/>
              <a:p>
                <a:pPr>
                  <a:defRPr/>
                </a:pPr>
                <a:r>
                  <a:rPr lang="en-US"/>
                  <a:t>ODP</a:t>
                </a:r>
                <a:r>
                  <a:rPr lang="en-US" baseline="0"/>
                  <a:t> </a:t>
                </a:r>
                <a:r>
                  <a:rPr lang="en-US"/>
                  <a:t>tonnes</a:t>
                </a:r>
              </a:p>
            </c:rich>
          </c:tx>
          <c:layout>
            <c:manualLayout>
              <c:xMode val="edge"/>
              <c:yMode val="edge"/>
              <c:x val="1.6666666666666701E-2"/>
              <c:y val="0.2631434091571887"/>
            </c:manualLayout>
          </c:layout>
          <c:overlay val="0"/>
        </c:title>
        <c:numFmt formatCode="General" sourceLinked="1"/>
        <c:majorTickMark val="out"/>
        <c:minorTickMark val="none"/>
        <c:tickLblPos val="nextTo"/>
        <c:crossAx val="252812080"/>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a:t>HCFC Equipment imports, excluding</a:t>
            </a:r>
            <a:r>
              <a:rPr lang="en-US" sz="1100" baseline="0"/>
              <a:t> HCFC-22</a:t>
            </a:r>
            <a:r>
              <a:rPr lang="en-US" sz="1100"/>
              <a:t> </a:t>
            </a:r>
          </a:p>
        </c:rich>
      </c:tx>
      <c:layout>
        <c:manualLayout>
          <c:xMode val="edge"/>
          <c:yMode val="edge"/>
          <c:x val="0.24697704074556015"/>
          <c:y val="1.2130049400390608E-2"/>
        </c:manualLayout>
      </c:layout>
      <c:overlay val="1"/>
    </c:title>
    <c:autoTitleDeleted val="0"/>
    <c:plotArea>
      <c:layout>
        <c:manualLayout>
          <c:layoutTarget val="inner"/>
          <c:xMode val="edge"/>
          <c:yMode val="edge"/>
          <c:x val="0.11289157707543022"/>
          <c:y val="0.10467757186917293"/>
          <c:w val="0.84407257577509931"/>
          <c:h val="0.68149208621649571"/>
        </c:manualLayout>
      </c:layout>
      <c:barChart>
        <c:barDir val="col"/>
        <c:grouping val="stacked"/>
        <c:varyColors val="0"/>
        <c:ser>
          <c:idx val="0"/>
          <c:order val="0"/>
          <c:tx>
            <c:v>HCFC-123</c:v>
          </c:tx>
          <c:invertIfNegative val="0"/>
          <c:cat>
            <c:numRef>
              <c:f>'HCFC EQPL imports (substance)'!$A$6:$A$15</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'HCFC EQPL imports (substance)'!$B$6:$B$15</c:f>
              <c:numCache>
                <c:formatCode>General</c:formatCode>
                <c:ptCount val="10"/>
                <c:pt idx="0">
                  <c:v>1.2361206</c:v>
                </c:pt>
                <c:pt idx="1">
                  <c:v>0.95052546000000004</c:v>
                </c:pt>
                <c:pt idx="2">
                  <c:v>0.86902980000000007</c:v>
                </c:pt>
                <c:pt idx="3">
                  <c:v>0.86796419999999985</c:v>
                </c:pt>
                <c:pt idx="4">
                  <c:v>0.28480680000000003</c:v>
                </c:pt>
                <c:pt idx="5">
                  <c:v>2.1000000000000001E-2</c:v>
                </c:pt>
              </c:numCache>
            </c:numRef>
          </c:val>
          <c:extLst xmlns:c16r2="http://schemas.microsoft.com/office/drawing/2015/06/chart">
            <c:ext xmlns:c16="http://schemas.microsoft.com/office/drawing/2014/chart" uri="{C3380CC4-5D6E-409C-BE32-E72D297353CC}">
              <c16:uniqueId val="{00000000-89BF-4171-8D4D-768A714697AA}"/>
            </c:ext>
          </c:extLst>
        </c:ser>
        <c:ser>
          <c:idx val="3"/>
          <c:order val="2"/>
          <c:tx>
            <c:v>HCFC-122</c:v>
          </c:tx>
          <c:invertIfNegative val="0"/>
          <c:cat>
            <c:numRef>
              <c:f>'HCFC EQPL imports (substance)'!$A$6:$A$15</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'HCFC EQPL imports (substance)'!$F$6:$F$15</c:f>
              <c:numCache>
                <c:formatCode>General</c:formatCode>
                <c:ptCount val="10"/>
                <c:pt idx="6">
                  <c:v>0.08</c:v>
                </c:pt>
              </c:numCache>
            </c:numRef>
          </c:val>
          <c:extLst xmlns:c16r2="http://schemas.microsoft.com/office/drawing/2015/06/chart">
            <c:ext xmlns:c16="http://schemas.microsoft.com/office/drawing/2014/chart" uri="{C3380CC4-5D6E-409C-BE32-E72D297353CC}">
              <c16:uniqueId val="{00000001-89BF-4171-8D4D-768A714697AA}"/>
            </c:ext>
          </c:extLst>
        </c:ser>
        <c:dLbls>
          <c:showLegendKey val="0"/>
          <c:showVal val="0"/>
          <c:showCatName val="0"/>
          <c:showSerName val="0"/>
          <c:showPercent val="0"/>
          <c:showBubbleSize val="0"/>
        </c:dLbls>
        <c:gapWidth val="150"/>
        <c:overlap val="100"/>
        <c:axId val="252812864"/>
        <c:axId val="252813256"/>
        <c:extLst xmlns:c16r2="http://schemas.microsoft.com/office/drawing/2015/06/chart">
          <c:ext xmlns:c15="http://schemas.microsoft.com/office/drawing/2012/chart" uri="{02D57815-91ED-43cb-92C2-25804820EDAC}">
            <c15:filteredBarSeries>
              <c15:ser>
                <c:idx val="1"/>
                <c:order val="1"/>
                <c:tx>
                  <c:v>HCFC-232</c:v>
                </c:tx>
                <c:invertIfNegative val="0"/>
                <c:cat>
                  <c:numRef>
                    <c:extLst xmlns:c16r2="http://schemas.microsoft.com/office/drawing/2015/06/chart">
                      <c:ext uri="{02D57815-91ED-43cb-92C2-25804820EDAC}">
                        <c15:formulaRef>
                          <c15:sqref>'HCFC EQPL imports (substance)'!$A$6:$A$15</c15:sqref>
                        </c15:formulaRef>
                      </c:ext>
                    </c:extLst>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extLst xmlns:c16r2="http://schemas.microsoft.com/office/drawing/2015/06/chart">
                      <c:ext uri="{02D57815-91ED-43cb-92C2-25804820EDAC}">
                        <c15:formulaRef>
                          <c15:sqref>'HCFC EQPL imports (substance)'!$E$6:$E$14</c15:sqref>
                        </c15:formulaRef>
                      </c:ext>
                    </c:extLst>
                    <c:numCache>
                      <c:formatCode>General</c:formatCode>
                      <c:ptCount val="9"/>
                    </c:numCache>
                  </c:numRef>
                </c:val>
                <c:extLst xmlns:c16r2="http://schemas.microsoft.com/office/drawing/2015/06/chart">
                  <c:ext xmlns:c16="http://schemas.microsoft.com/office/drawing/2014/chart" uri="{C3380CC4-5D6E-409C-BE32-E72D297353CC}">
                    <c16:uniqueId val="{00000002-89BF-4171-8D4D-768A714697AA}"/>
                  </c:ext>
                </c:extLst>
              </c15:ser>
            </c15:filteredBarSeries>
          </c:ext>
        </c:extLst>
      </c:barChart>
      <c:catAx>
        <c:axId val="252812864"/>
        <c:scaling>
          <c:orientation val="minMax"/>
        </c:scaling>
        <c:delete val="0"/>
        <c:axPos val="b"/>
        <c:numFmt formatCode="General" sourceLinked="1"/>
        <c:majorTickMark val="out"/>
        <c:minorTickMark val="none"/>
        <c:tickLblPos val="nextTo"/>
        <c:crossAx val="252813256"/>
        <c:crosses val="autoZero"/>
        <c:auto val="1"/>
        <c:lblAlgn val="ctr"/>
        <c:lblOffset val="100"/>
        <c:noMultiLvlLbl val="0"/>
      </c:catAx>
      <c:valAx>
        <c:axId val="252813256"/>
        <c:scaling>
          <c:orientation val="minMax"/>
        </c:scaling>
        <c:delete val="0"/>
        <c:axPos val="l"/>
        <c:majorGridlines/>
        <c:title>
          <c:tx>
            <c:rich>
              <a:bodyPr rot="-5400000" vert="horz"/>
              <a:lstStyle/>
              <a:p>
                <a:pPr>
                  <a:defRPr sz="1100"/>
                </a:pPr>
                <a:r>
                  <a:rPr lang="en-US" sz="1100"/>
                  <a:t>ODP Tonnes</a:t>
                </a:r>
              </a:p>
            </c:rich>
          </c:tx>
          <c:layout/>
          <c:overlay val="0"/>
        </c:title>
        <c:numFmt formatCode="General" sourceLinked="1"/>
        <c:majorTickMark val="out"/>
        <c:minorTickMark val="none"/>
        <c:tickLblPos val="nextTo"/>
        <c:crossAx val="252812864"/>
        <c:crosses val="autoZero"/>
        <c:crossBetween val="between"/>
      </c:valAx>
      <c:spPr>
        <a:noFill/>
        <a:ln w="25400">
          <a:noFill/>
        </a:ln>
      </c:spPr>
    </c:plotArea>
    <c:legend>
      <c:legendPos val="b"/>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HCFC - CFC destruction (Australia)</a:t>
            </a:r>
          </a:p>
        </c:rich>
      </c:tx>
      <c:layout>
        <c:manualLayout>
          <c:xMode val="edge"/>
          <c:yMode val="edge"/>
          <c:x val="0.36093044619422582"/>
          <c:y val="0"/>
        </c:manualLayout>
      </c:layout>
      <c:overlay val="1"/>
    </c:title>
    <c:autoTitleDeleted val="0"/>
    <c:plotArea>
      <c:layout>
        <c:manualLayout>
          <c:layoutTarget val="inner"/>
          <c:xMode val="edge"/>
          <c:yMode val="edge"/>
          <c:x val="0.14497462817147871"/>
          <c:y val="0.10866891638545192"/>
          <c:w val="0.82446981627296589"/>
          <c:h val="0.67862733067458603"/>
        </c:manualLayout>
      </c:layout>
      <c:barChart>
        <c:barDir val="col"/>
        <c:grouping val="clustered"/>
        <c:varyColors val="0"/>
        <c:ser>
          <c:idx val="1"/>
          <c:order val="0"/>
          <c:tx>
            <c:strRef>
              <c:f>'HCFC - CFC destruction'!$B$1</c:f>
              <c:strCache>
                <c:ptCount val="1"/>
                <c:pt idx="0">
                  <c:v>HCFC (mt)</c:v>
                </c:pt>
              </c:strCache>
            </c:strRef>
          </c:tx>
          <c:invertIfNegative val="0"/>
          <c:cat>
            <c:numRef>
              <c:f>'HCFC - CFC destruction'!$A$2:$A$16</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'HCFC - CFC destruction'!$B$2:$B$16</c:f>
              <c:numCache>
                <c:formatCode>General</c:formatCode>
                <c:ptCount val="15"/>
                <c:pt idx="0">
                  <c:v>150</c:v>
                </c:pt>
                <c:pt idx="1">
                  <c:v>244</c:v>
                </c:pt>
                <c:pt idx="2">
                  <c:v>265</c:v>
                </c:pt>
                <c:pt idx="3">
                  <c:v>261</c:v>
                </c:pt>
                <c:pt idx="4">
                  <c:v>285</c:v>
                </c:pt>
                <c:pt idx="5">
                  <c:v>263</c:v>
                </c:pt>
                <c:pt idx="6">
                  <c:v>296</c:v>
                </c:pt>
                <c:pt idx="7">
                  <c:v>133.6</c:v>
                </c:pt>
                <c:pt idx="8">
                  <c:v>37</c:v>
                </c:pt>
                <c:pt idx="9">
                  <c:v>60</c:v>
                </c:pt>
                <c:pt idx="10">
                  <c:v>34</c:v>
                </c:pt>
                <c:pt idx="11">
                  <c:v>31</c:v>
                </c:pt>
                <c:pt idx="12">
                  <c:v>40</c:v>
                </c:pt>
                <c:pt idx="13">
                  <c:v>27</c:v>
                </c:pt>
                <c:pt idx="14">
                  <c:v>28</c:v>
                </c:pt>
              </c:numCache>
            </c:numRef>
          </c:val>
          <c:extLst xmlns:c16r2="http://schemas.microsoft.com/office/drawing/2015/06/chart">
            <c:ext xmlns:c16="http://schemas.microsoft.com/office/drawing/2014/chart" uri="{C3380CC4-5D6E-409C-BE32-E72D297353CC}">
              <c16:uniqueId val="{00000000-E601-45DB-AC7B-B234C33DE318}"/>
            </c:ext>
          </c:extLst>
        </c:ser>
        <c:ser>
          <c:idx val="2"/>
          <c:order val="1"/>
          <c:tx>
            <c:strRef>
              <c:f>'HCFC - CFC destruction'!$C$1</c:f>
              <c:strCache>
                <c:ptCount val="1"/>
                <c:pt idx="0">
                  <c:v>CFC (mt)</c:v>
                </c:pt>
              </c:strCache>
            </c:strRef>
          </c:tx>
          <c:invertIfNegative val="0"/>
          <c:cat>
            <c:numRef>
              <c:f>'HCFC - CFC destruction'!$A$2:$A$16</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'HCFC - CFC destruction'!$C$2:$C$16</c:f>
              <c:numCache>
                <c:formatCode>General</c:formatCode>
                <c:ptCount val="15"/>
                <c:pt idx="0">
                  <c:v>55.38</c:v>
                </c:pt>
                <c:pt idx="1">
                  <c:v>79.95</c:v>
                </c:pt>
                <c:pt idx="2">
                  <c:v>54.95</c:v>
                </c:pt>
                <c:pt idx="3">
                  <c:v>41.95</c:v>
                </c:pt>
                <c:pt idx="4">
                  <c:v>46.41</c:v>
                </c:pt>
                <c:pt idx="5">
                  <c:v>23.87</c:v>
                </c:pt>
                <c:pt idx="6">
                  <c:v>30.11</c:v>
                </c:pt>
                <c:pt idx="7">
                  <c:v>15.21</c:v>
                </c:pt>
                <c:pt idx="8">
                  <c:v>7.48</c:v>
                </c:pt>
                <c:pt idx="9">
                  <c:v>14.6</c:v>
                </c:pt>
                <c:pt idx="10">
                  <c:v>8.9</c:v>
                </c:pt>
                <c:pt idx="11">
                  <c:v>7.2</c:v>
                </c:pt>
                <c:pt idx="12">
                  <c:v>7.5</c:v>
                </c:pt>
                <c:pt idx="13">
                  <c:v>2.2999999999999998</c:v>
                </c:pt>
                <c:pt idx="14">
                  <c:v>3</c:v>
                </c:pt>
              </c:numCache>
            </c:numRef>
          </c:val>
          <c:extLst xmlns:c16r2="http://schemas.microsoft.com/office/drawing/2015/06/chart">
            <c:ext xmlns:c16="http://schemas.microsoft.com/office/drawing/2014/chart" uri="{C3380CC4-5D6E-409C-BE32-E72D297353CC}">
              <c16:uniqueId val="{00000001-E601-45DB-AC7B-B234C33DE318}"/>
            </c:ext>
          </c:extLst>
        </c:ser>
        <c:dLbls>
          <c:showLegendKey val="0"/>
          <c:showVal val="0"/>
          <c:showCatName val="0"/>
          <c:showSerName val="0"/>
          <c:showPercent val="0"/>
          <c:showBubbleSize val="0"/>
        </c:dLbls>
        <c:gapWidth val="150"/>
        <c:axId val="505050896"/>
        <c:axId val="505051288"/>
      </c:barChart>
      <c:catAx>
        <c:axId val="505050896"/>
        <c:scaling>
          <c:orientation val="minMax"/>
        </c:scaling>
        <c:delete val="0"/>
        <c:axPos val="b"/>
        <c:numFmt formatCode="General" sourceLinked="1"/>
        <c:majorTickMark val="out"/>
        <c:minorTickMark val="none"/>
        <c:tickLblPos val="nextTo"/>
        <c:crossAx val="505051288"/>
        <c:crosses val="autoZero"/>
        <c:auto val="1"/>
        <c:lblAlgn val="ctr"/>
        <c:lblOffset val="100"/>
        <c:noMultiLvlLbl val="0"/>
      </c:catAx>
      <c:valAx>
        <c:axId val="505051288"/>
        <c:scaling>
          <c:orientation val="minMax"/>
        </c:scaling>
        <c:delete val="0"/>
        <c:axPos val="l"/>
        <c:majorGridlines/>
        <c:title>
          <c:tx>
            <c:rich>
              <a:bodyPr rot="-5400000" vert="horz"/>
              <a:lstStyle/>
              <a:p>
                <a:pPr>
                  <a:defRPr/>
                </a:pPr>
                <a:r>
                  <a:rPr lang="en-US"/>
                  <a:t>Metric tonnes</a:t>
                </a:r>
              </a:p>
            </c:rich>
          </c:tx>
          <c:layout/>
          <c:overlay val="0"/>
        </c:title>
        <c:numFmt formatCode="General" sourceLinked="1"/>
        <c:majorTickMark val="out"/>
        <c:minorTickMark val="none"/>
        <c:tickLblPos val="nextTo"/>
        <c:crossAx val="505050896"/>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a:t>MB QPS imports</a:t>
            </a:r>
          </a:p>
        </c:rich>
      </c:tx>
      <c:layout/>
      <c:overlay val="1"/>
    </c:title>
    <c:autoTitleDeleted val="0"/>
    <c:plotArea>
      <c:layout>
        <c:manualLayout>
          <c:layoutTarget val="inner"/>
          <c:xMode val="edge"/>
          <c:yMode val="edge"/>
          <c:x val="0.17314129483814544"/>
          <c:y val="0.10232648002333072"/>
          <c:w val="0.79630314960629756"/>
          <c:h val="0.67019867308253911"/>
        </c:manualLayout>
      </c:layout>
      <c:lineChart>
        <c:grouping val="standard"/>
        <c:varyColors val="0"/>
        <c:ser>
          <c:idx val="1"/>
          <c:order val="0"/>
          <c:tx>
            <c:strRef>
              <c:f>'MB QPS imports'!$B$1</c:f>
              <c:strCache>
                <c:ptCount val="1"/>
                <c:pt idx="0">
                  <c:v>Australia MT</c:v>
                </c:pt>
              </c:strCache>
            </c:strRef>
          </c:tx>
          <c:marker>
            <c:symbol val="none"/>
          </c:marker>
          <c:cat>
            <c:numRef>
              <c:f>'MB QPS imports'!$A$2:$A$15</c:f>
              <c:numCache>
                <c:formatCode>General</c:formatCod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numCache>
            </c:numRef>
          </c:cat>
          <c:val>
            <c:numRef>
              <c:f>'MB QPS imports'!$B$2:$B$15</c:f>
              <c:numCache>
                <c:formatCode>General</c:formatCode>
                <c:ptCount val="14"/>
                <c:pt idx="0">
                  <c:v>361</c:v>
                </c:pt>
                <c:pt idx="1">
                  <c:v>361</c:v>
                </c:pt>
                <c:pt idx="2">
                  <c:v>294</c:v>
                </c:pt>
                <c:pt idx="3">
                  <c:v>417</c:v>
                </c:pt>
                <c:pt idx="4">
                  <c:v>509</c:v>
                </c:pt>
                <c:pt idx="5">
                  <c:v>472</c:v>
                </c:pt>
                <c:pt idx="6">
                  <c:v>690</c:v>
                </c:pt>
                <c:pt idx="7">
                  <c:v>676</c:v>
                </c:pt>
                <c:pt idx="8">
                  <c:v>618</c:v>
                </c:pt>
                <c:pt idx="9">
                  <c:v>588</c:v>
                </c:pt>
                <c:pt idx="10">
                  <c:v>864</c:v>
                </c:pt>
                <c:pt idx="11">
                  <c:v>708</c:v>
                </c:pt>
                <c:pt idx="12">
                  <c:v>898</c:v>
                </c:pt>
                <c:pt idx="13">
                  <c:v>682</c:v>
                </c:pt>
              </c:numCache>
            </c:numRef>
          </c:val>
          <c:smooth val="0"/>
          <c:extLst xmlns:c16r2="http://schemas.microsoft.com/office/drawing/2015/06/chart">
            <c:ext xmlns:c16="http://schemas.microsoft.com/office/drawing/2014/chart" uri="{C3380CC4-5D6E-409C-BE32-E72D297353CC}">
              <c16:uniqueId val="{00000000-371F-4693-966F-4BA946277D37}"/>
            </c:ext>
          </c:extLst>
        </c:ser>
        <c:ser>
          <c:idx val="2"/>
          <c:order val="1"/>
          <c:tx>
            <c:strRef>
              <c:f>'MB QPS imports'!$C$1</c:f>
              <c:strCache>
                <c:ptCount val="1"/>
                <c:pt idx="0">
                  <c:v>non-A5 parties MT total</c:v>
                </c:pt>
              </c:strCache>
            </c:strRef>
          </c:tx>
          <c:marker>
            <c:symbol val="none"/>
          </c:marker>
          <c:cat>
            <c:numRef>
              <c:f>'MB QPS imports'!$A$2:$A$15</c:f>
              <c:numCache>
                <c:formatCode>General</c:formatCod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numCache>
            </c:numRef>
          </c:cat>
          <c:val>
            <c:numRef>
              <c:f>'MB QPS imports'!$C$2:$C$15</c:f>
              <c:numCache>
                <c:formatCode>General</c:formatCode>
                <c:ptCount val="14"/>
                <c:pt idx="0">
                  <c:v>5679</c:v>
                </c:pt>
                <c:pt idx="1">
                  <c:v>7550</c:v>
                </c:pt>
                <c:pt idx="2" formatCode="#,##0">
                  <c:v>4933</c:v>
                </c:pt>
                <c:pt idx="3">
                  <c:v>3120</c:v>
                </c:pt>
                <c:pt idx="4">
                  <c:v>3648</c:v>
                </c:pt>
                <c:pt idx="5">
                  <c:v>5355</c:v>
                </c:pt>
                <c:pt idx="6">
                  <c:v>3812</c:v>
                </c:pt>
                <c:pt idx="7">
                  <c:v>3025</c:v>
                </c:pt>
                <c:pt idx="8">
                  <c:v>4307</c:v>
                </c:pt>
                <c:pt idx="9" formatCode="#,##0">
                  <c:v>6165</c:v>
                </c:pt>
                <c:pt idx="10" formatCode="#,##0">
                  <c:v>3488</c:v>
                </c:pt>
                <c:pt idx="11" formatCode="#,##0">
                  <c:v>2483</c:v>
                </c:pt>
                <c:pt idx="12" formatCode="#,##0">
                  <c:v>3337</c:v>
                </c:pt>
                <c:pt idx="13" formatCode="#,##0">
                  <c:v>4493</c:v>
                </c:pt>
              </c:numCache>
            </c:numRef>
          </c:val>
          <c:smooth val="0"/>
          <c:extLst xmlns:c16r2="http://schemas.microsoft.com/office/drawing/2015/06/chart">
            <c:ext xmlns:c16="http://schemas.microsoft.com/office/drawing/2014/chart" uri="{C3380CC4-5D6E-409C-BE32-E72D297353CC}">
              <c16:uniqueId val="{00000001-371F-4693-966F-4BA946277D37}"/>
            </c:ext>
          </c:extLst>
        </c:ser>
        <c:ser>
          <c:idx val="3"/>
          <c:order val="2"/>
          <c:tx>
            <c:strRef>
              <c:f>'MB QPS imports'!$D$1</c:f>
              <c:strCache>
                <c:ptCount val="1"/>
                <c:pt idx="0">
                  <c:v>A5 parties MT total</c:v>
                </c:pt>
              </c:strCache>
            </c:strRef>
          </c:tx>
          <c:marker>
            <c:symbol val="none"/>
          </c:marker>
          <c:cat>
            <c:numRef>
              <c:f>'MB QPS imports'!$A$2:$A$15</c:f>
              <c:numCache>
                <c:formatCode>General</c:formatCod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numCache>
            </c:numRef>
          </c:cat>
          <c:val>
            <c:numRef>
              <c:f>'MB QPS imports'!$D$2:$D$15</c:f>
              <c:numCache>
                <c:formatCode>General</c:formatCode>
                <c:ptCount val="14"/>
                <c:pt idx="0">
                  <c:v>5764</c:v>
                </c:pt>
                <c:pt idx="1">
                  <c:v>5178</c:v>
                </c:pt>
                <c:pt idx="2">
                  <c:v>5777</c:v>
                </c:pt>
                <c:pt idx="3">
                  <c:v>5786</c:v>
                </c:pt>
                <c:pt idx="4">
                  <c:v>5482</c:v>
                </c:pt>
                <c:pt idx="5">
                  <c:v>5601</c:v>
                </c:pt>
                <c:pt idx="6">
                  <c:v>5888</c:v>
                </c:pt>
                <c:pt idx="7">
                  <c:v>5835</c:v>
                </c:pt>
                <c:pt idx="8">
                  <c:v>5520</c:v>
                </c:pt>
                <c:pt idx="9" formatCode="#,##0">
                  <c:v>4961</c:v>
                </c:pt>
                <c:pt idx="10" formatCode="#,##0">
                  <c:v>4686</c:v>
                </c:pt>
                <c:pt idx="11" formatCode="#,##0">
                  <c:v>5867</c:v>
                </c:pt>
                <c:pt idx="12" formatCode="#,##0">
                  <c:v>6616</c:v>
                </c:pt>
                <c:pt idx="13" formatCode="#,##0">
                  <c:v>6597</c:v>
                </c:pt>
              </c:numCache>
            </c:numRef>
          </c:val>
          <c:smooth val="0"/>
          <c:extLst xmlns:c16r2="http://schemas.microsoft.com/office/drawing/2015/06/chart">
            <c:ext xmlns:c16="http://schemas.microsoft.com/office/drawing/2014/chart" uri="{C3380CC4-5D6E-409C-BE32-E72D297353CC}">
              <c16:uniqueId val="{00000002-371F-4693-966F-4BA946277D37}"/>
            </c:ext>
          </c:extLst>
        </c:ser>
        <c:dLbls>
          <c:showLegendKey val="0"/>
          <c:showVal val="0"/>
          <c:showCatName val="0"/>
          <c:showSerName val="0"/>
          <c:showPercent val="0"/>
          <c:showBubbleSize val="0"/>
        </c:dLbls>
        <c:smooth val="0"/>
        <c:axId val="407554104"/>
        <c:axId val="407554496"/>
      </c:lineChart>
      <c:catAx>
        <c:axId val="407554104"/>
        <c:scaling>
          <c:orientation val="minMax"/>
        </c:scaling>
        <c:delete val="0"/>
        <c:axPos val="b"/>
        <c:numFmt formatCode="General" sourceLinked="1"/>
        <c:majorTickMark val="out"/>
        <c:minorTickMark val="none"/>
        <c:tickLblPos val="nextTo"/>
        <c:crossAx val="407554496"/>
        <c:crosses val="autoZero"/>
        <c:auto val="1"/>
        <c:lblAlgn val="ctr"/>
        <c:lblOffset val="100"/>
        <c:noMultiLvlLbl val="0"/>
      </c:catAx>
      <c:valAx>
        <c:axId val="407554496"/>
        <c:scaling>
          <c:orientation val="minMax"/>
        </c:scaling>
        <c:delete val="0"/>
        <c:axPos val="l"/>
        <c:majorGridlines/>
        <c:title>
          <c:tx>
            <c:rich>
              <a:bodyPr rot="-5400000" vert="horz"/>
              <a:lstStyle/>
              <a:p>
                <a:pPr>
                  <a:defRPr/>
                </a:pPr>
                <a:r>
                  <a:rPr lang="en-US"/>
                  <a:t>Metric tonnes</a:t>
                </a:r>
              </a:p>
            </c:rich>
          </c:tx>
          <c:layout/>
          <c:overlay val="0"/>
        </c:title>
        <c:numFmt formatCode="General" sourceLinked="1"/>
        <c:majorTickMark val="out"/>
        <c:minorTickMark val="none"/>
        <c:tickLblPos val="nextTo"/>
        <c:crossAx val="407554104"/>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AU" sz="1100"/>
              <a:t>MB non-QPS</a:t>
            </a:r>
            <a:r>
              <a:rPr lang="en-AU" sz="1100" baseline="0"/>
              <a:t> by commodity</a:t>
            </a:r>
            <a:endParaRPr lang="en-AU" sz="1100"/>
          </a:p>
        </c:rich>
      </c:tx>
      <c:layout>
        <c:manualLayout>
          <c:xMode val="edge"/>
          <c:yMode val="edge"/>
          <c:x val="0.31665266841644996"/>
          <c:y val="0"/>
        </c:manualLayout>
      </c:layout>
      <c:overlay val="1"/>
    </c:title>
    <c:autoTitleDeleted val="0"/>
    <c:plotArea>
      <c:layout>
        <c:manualLayout>
          <c:layoutTarget val="inner"/>
          <c:xMode val="edge"/>
          <c:yMode val="edge"/>
          <c:x val="8.607164104486939E-2"/>
          <c:y val="7.9178316996089779E-2"/>
          <c:w val="0.88059492563429576"/>
          <c:h val="0.65077079650757941"/>
        </c:manualLayout>
      </c:layout>
      <c:barChart>
        <c:barDir val="col"/>
        <c:grouping val="clustered"/>
        <c:varyColors val="0"/>
        <c:ser>
          <c:idx val="1"/>
          <c:order val="0"/>
          <c:tx>
            <c:strRef>
              <c:f>'MB non-QPS'!$F$1</c:f>
              <c:strCache>
                <c:ptCount val="1"/>
                <c:pt idx="0">
                  <c:v>Rice (MT)</c:v>
                </c:pt>
              </c:strCache>
            </c:strRef>
          </c:tx>
          <c:invertIfNegative val="0"/>
          <c:cat>
            <c:numRef>
              <c:f>'MB non-QPS'!$E$4:$E$16</c:f>
              <c:numCache>
                <c:formatCode>General</c:formatCode>
                <c:ptCount val="13"/>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numCache>
            </c:numRef>
          </c:cat>
          <c:val>
            <c:numRef>
              <c:f>'MB non-QPS'!$F$4:$F$15</c:f>
              <c:numCache>
                <c:formatCode>General</c:formatCode>
                <c:ptCount val="12"/>
                <c:pt idx="0">
                  <c:v>7.84</c:v>
                </c:pt>
                <c:pt idx="1">
                  <c:v>3.6709999999999998</c:v>
                </c:pt>
                <c:pt idx="2">
                  <c:v>3.488</c:v>
                </c:pt>
                <c:pt idx="3">
                  <c:v>4.3769999999999998</c:v>
                </c:pt>
                <c:pt idx="4">
                  <c:v>4.0419999999999998</c:v>
                </c:pt>
                <c:pt idx="5">
                  <c:v>3.3029999999999999</c:v>
                </c:pt>
                <c:pt idx="6">
                  <c:v>3.5379999999999998</c:v>
                </c:pt>
                <c:pt idx="7">
                  <c:v>1.19</c:v>
                </c:pt>
                <c:pt idx="8">
                  <c:v>0</c:v>
                </c:pt>
                <c:pt idx="9">
                  <c:v>0</c:v>
                </c:pt>
                <c:pt idx="10">
                  <c:v>0</c:v>
                </c:pt>
                <c:pt idx="11">
                  <c:v>0</c:v>
                </c:pt>
              </c:numCache>
            </c:numRef>
          </c:val>
          <c:extLst xmlns:c16r2="http://schemas.microsoft.com/office/drawing/2015/06/chart">
            <c:ext xmlns:c16="http://schemas.microsoft.com/office/drawing/2014/chart" uri="{C3380CC4-5D6E-409C-BE32-E72D297353CC}">
              <c16:uniqueId val="{00000000-C5B4-49DC-B664-91D4D5F29393}"/>
            </c:ext>
          </c:extLst>
        </c:ser>
        <c:ser>
          <c:idx val="2"/>
          <c:order val="1"/>
          <c:tx>
            <c:strRef>
              <c:f>'MB non-QPS'!$G$1</c:f>
              <c:strCache>
                <c:ptCount val="1"/>
                <c:pt idx="0">
                  <c:v>Strawberry Runners (MT)</c:v>
                </c:pt>
              </c:strCache>
            </c:strRef>
          </c:tx>
          <c:invertIfNegative val="0"/>
          <c:cat>
            <c:numRef>
              <c:f>'MB non-QPS'!$E$4:$E$16</c:f>
              <c:numCache>
                <c:formatCode>General</c:formatCode>
                <c:ptCount val="13"/>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numCache>
            </c:numRef>
          </c:cat>
          <c:val>
            <c:numRef>
              <c:f>'MB non-QPS'!$G$4:$G$16</c:f>
              <c:numCache>
                <c:formatCode>General</c:formatCode>
                <c:ptCount val="13"/>
                <c:pt idx="0">
                  <c:v>35.18</c:v>
                </c:pt>
                <c:pt idx="1">
                  <c:v>34.729999999999997</c:v>
                </c:pt>
                <c:pt idx="2">
                  <c:v>29.79</c:v>
                </c:pt>
                <c:pt idx="3">
                  <c:v>29.79</c:v>
                </c:pt>
                <c:pt idx="4">
                  <c:v>29.29</c:v>
                </c:pt>
                <c:pt idx="5">
                  <c:v>29.29</c:v>
                </c:pt>
                <c:pt idx="6">
                  <c:v>27.5</c:v>
                </c:pt>
                <c:pt idx="7">
                  <c:v>29.76</c:v>
                </c:pt>
                <c:pt idx="8">
                  <c:v>29.75</c:v>
                </c:pt>
                <c:pt idx="9">
                  <c:v>29.75</c:v>
                </c:pt>
                <c:pt idx="10">
                  <c:v>29.75</c:v>
                </c:pt>
                <c:pt idx="11">
                  <c:v>29.73</c:v>
                </c:pt>
                <c:pt idx="12">
                  <c:v>28.98</c:v>
                </c:pt>
              </c:numCache>
            </c:numRef>
          </c:val>
          <c:extLst xmlns:c16r2="http://schemas.microsoft.com/office/drawing/2015/06/chart">
            <c:ext xmlns:c16="http://schemas.microsoft.com/office/drawing/2014/chart" uri="{C3380CC4-5D6E-409C-BE32-E72D297353CC}">
              <c16:uniqueId val="{00000001-C5B4-49DC-B664-91D4D5F29393}"/>
            </c:ext>
          </c:extLst>
        </c:ser>
        <c:ser>
          <c:idx val="3"/>
          <c:order val="2"/>
          <c:tx>
            <c:strRef>
              <c:f>'MB non-QPS'!$H$1</c:f>
              <c:strCache>
                <c:ptCount val="1"/>
                <c:pt idx="0">
                  <c:v>Cut Flowers (MT)</c:v>
                </c:pt>
              </c:strCache>
            </c:strRef>
          </c:tx>
          <c:invertIfNegative val="0"/>
          <c:cat>
            <c:numRef>
              <c:f>'MB non-QPS'!$E$4:$E$16</c:f>
              <c:numCache>
                <c:formatCode>General</c:formatCode>
                <c:ptCount val="13"/>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numCache>
            </c:numRef>
          </c:cat>
          <c:val>
            <c:numRef>
              <c:f>'MB non-QPS'!$H$4:$H$15</c:f>
              <c:numCache>
                <c:formatCode>General</c:formatCode>
                <c:ptCount val="12"/>
                <c:pt idx="0">
                  <c:v>2.8119999999999998</c:v>
                </c:pt>
                <c:pt idx="1">
                  <c:v>2.6360000000000001</c:v>
                </c:pt>
                <c:pt idx="2">
                  <c:v>0</c:v>
                </c:pt>
                <c:pt idx="3">
                  <c:v>0</c:v>
                </c:pt>
                <c:pt idx="4">
                  <c:v>0</c:v>
                </c:pt>
                <c:pt idx="5">
                  <c:v>0</c:v>
                </c:pt>
                <c:pt idx="6">
                  <c:v>0</c:v>
                </c:pt>
                <c:pt idx="7">
                  <c:v>0</c:v>
                </c:pt>
                <c:pt idx="8">
                  <c:v>0</c:v>
                </c:pt>
                <c:pt idx="9">
                  <c:v>0</c:v>
                </c:pt>
                <c:pt idx="10">
                  <c:v>0</c:v>
                </c:pt>
                <c:pt idx="11">
                  <c:v>0</c:v>
                </c:pt>
              </c:numCache>
            </c:numRef>
          </c:val>
          <c:extLst xmlns:c16r2="http://schemas.microsoft.com/office/drawing/2015/06/chart">
            <c:ext xmlns:c16="http://schemas.microsoft.com/office/drawing/2014/chart" uri="{C3380CC4-5D6E-409C-BE32-E72D297353CC}">
              <c16:uniqueId val="{00000002-C5B4-49DC-B664-91D4D5F29393}"/>
            </c:ext>
          </c:extLst>
        </c:ser>
        <c:dLbls>
          <c:showLegendKey val="0"/>
          <c:showVal val="0"/>
          <c:showCatName val="0"/>
          <c:showSerName val="0"/>
          <c:showPercent val="0"/>
          <c:showBubbleSize val="0"/>
        </c:dLbls>
        <c:gapWidth val="150"/>
        <c:axId val="505050504"/>
        <c:axId val="407555280"/>
        <c:extLst xmlns:c16r2="http://schemas.microsoft.com/office/drawing/2015/06/chart">
          <c:ext xmlns:c15="http://schemas.microsoft.com/office/drawing/2012/chart" uri="{02D57815-91ED-43cb-92C2-25804820EDAC}">
            <c15:filteredBarSeries>
              <c15:ser>
                <c:idx val="4"/>
                <c:order val="3"/>
                <c:tx>
                  <c:strRef>
                    <c:extLst xmlns:c16r2="http://schemas.microsoft.com/office/drawing/2015/06/chart">
                      <c:ext uri="{02D57815-91ED-43cb-92C2-25804820EDAC}">
                        <c15:formulaRef>
                          <c15:sqref>'MB non-QPS'!$I$1</c15:sqref>
                        </c15:formulaRef>
                      </c:ext>
                    </c:extLst>
                    <c:strCache>
                      <c:ptCount val="1"/>
                      <c:pt idx="0">
                        <c:v>Cut Flowers - Bulbs (MT)</c:v>
                      </c:pt>
                    </c:strCache>
                  </c:strRef>
                </c:tx>
                <c:invertIfNegative val="0"/>
                <c:cat>
                  <c:numRef>
                    <c:extLst xmlns:c16r2="http://schemas.microsoft.com/office/drawing/2015/06/chart">
                      <c:ext uri="{02D57815-91ED-43cb-92C2-25804820EDAC}">
                        <c15:formulaRef>
                          <c15:sqref>'MB non-QPS'!$E$4:$E$16</c15:sqref>
                        </c15:formulaRef>
                      </c:ext>
                    </c:extLst>
                    <c:numCache>
                      <c:formatCode>General</c:formatCode>
                      <c:ptCount val="13"/>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numCache>
                  </c:numRef>
                </c:cat>
                <c:val>
                  <c:numRef>
                    <c:extLst xmlns:c16r2="http://schemas.microsoft.com/office/drawing/2015/06/chart">
                      <c:ext uri="{02D57815-91ED-43cb-92C2-25804820EDAC}">
                        <c15:formulaRef>
                          <c15:sqref>'MB non-QPS'!$I$4:$I$15</c15:sqref>
                        </c15:formulaRef>
                      </c:ext>
                    </c:extLst>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extLst xmlns:c16r2="http://schemas.microsoft.com/office/drawing/2015/06/chart">
                  <c:ext xmlns:c16="http://schemas.microsoft.com/office/drawing/2014/chart" uri="{C3380CC4-5D6E-409C-BE32-E72D297353CC}">
                    <c16:uniqueId val="{00000003-C5B4-49DC-B664-91D4D5F29393}"/>
                  </c:ext>
                </c:extLst>
              </c15:ser>
            </c15:filteredBarSeries>
            <c15:filteredBarSeries>
              <c15:ser>
                <c:idx val="5"/>
                <c:order val="4"/>
                <c:tx>
                  <c:strRef>
                    <c:extLst xmlns:c16r2="http://schemas.microsoft.com/office/drawing/2015/06/chart" xmlns:c15="http://schemas.microsoft.com/office/drawing/2012/chart">
                      <c:ext xmlns:c15="http://schemas.microsoft.com/office/drawing/2012/chart" uri="{02D57815-91ED-43cb-92C2-25804820EDAC}">
                        <c15:formulaRef>
                          <c15:sqref>'MB non-QPS'!$J$1</c15:sqref>
                        </c15:formulaRef>
                      </c:ext>
                    </c:extLst>
                    <c:strCache>
                      <c:ptCount val="1"/>
                      <c:pt idx="0">
                        <c:v>Almonds (MT)</c:v>
                      </c:pt>
                    </c:strCache>
                  </c:strRef>
                </c:tx>
                <c:invertIfNegative val="0"/>
                <c:cat>
                  <c:numRef>
                    <c:extLst xmlns:c16r2="http://schemas.microsoft.com/office/drawing/2015/06/chart" xmlns:c15="http://schemas.microsoft.com/office/drawing/2012/chart">
                      <c:ext xmlns:c15="http://schemas.microsoft.com/office/drawing/2012/chart" uri="{02D57815-91ED-43cb-92C2-25804820EDAC}">
                        <c15:formulaRef>
                          <c15:sqref>'MB non-QPS'!$E$4:$E$16</c15:sqref>
                        </c15:formulaRef>
                      </c:ext>
                    </c:extLst>
                    <c:numCache>
                      <c:formatCode>General</c:formatCode>
                      <c:ptCount val="13"/>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numCache>
                  </c:numRef>
                </c:cat>
                <c:val>
                  <c:numRef>
                    <c:extLst xmlns:c16r2="http://schemas.microsoft.com/office/drawing/2015/06/chart" xmlns:c15="http://schemas.microsoft.com/office/drawing/2012/chart">
                      <c:ext xmlns:c15="http://schemas.microsoft.com/office/drawing/2012/chart" uri="{02D57815-91ED-43cb-92C2-25804820EDAC}">
                        <c15:formulaRef>
                          <c15:sqref>'MB non-QPS'!$J$4:$J$15</c15:sqref>
                        </c15:formulaRef>
                      </c:ext>
                    </c:extLst>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extLst xmlns:c16r2="http://schemas.microsoft.com/office/drawing/2015/06/chart" xmlns:c15="http://schemas.microsoft.com/office/drawing/2012/chart">
                  <c:ext xmlns:c16="http://schemas.microsoft.com/office/drawing/2014/chart" uri="{C3380CC4-5D6E-409C-BE32-E72D297353CC}">
                    <c16:uniqueId val="{00000004-C5B4-49DC-B664-91D4D5F29393}"/>
                  </c:ext>
                </c:extLst>
              </c15:ser>
            </c15:filteredBarSeries>
            <c15:filteredBarSeries>
              <c15:ser>
                <c:idx val="6"/>
                <c:order val="5"/>
                <c:tx>
                  <c:strRef>
                    <c:extLst xmlns:c16r2="http://schemas.microsoft.com/office/drawing/2015/06/chart" xmlns:c15="http://schemas.microsoft.com/office/drawing/2012/chart">
                      <c:ext xmlns:c15="http://schemas.microsoft.com/office/drawing/2012/chart" uri="{02D57815-91ED-43cb-92C2-25804820EDAC}">
                        <c15:formulaRef>
                          <c15:sqref>'MB non-QPS'!$K$1</c15:sqref>
                        </c15:formulaRef>
                      </c:ext>
                    </c:extLst>
                    <c:strCache>
                      <c:ptCount val="1"/>
                      <c:pt idx="0">
                        <c:v>Strawberry Fruit (MT)</c:v>
                      </c:pt>
                    </c:strCache>
                  </c:strRef>
                </c:tx>
                <c:invertIfNegative val="0"/>
                <c:cat>
                  <c:numRef>
                    <c:extLst xmlns:c16r2="http://schemas.microsoft.com/office/drawing/2015/06/chart" xmlns:c15="http://schemas.microsoft.com/office/drawing/2012/chart">
                      <c:ext xmlns:c15="http://schemas.microsoft.com/office/drawing/2012/chart" uri="{02D57815-91ED-43cb-92C2-25804820EDAC}">
                        <c15:formulaRef>
                          <c15:sqref>'MB non-QPS'!$E$4:$E$16</c15:sqref>
                        </c15:formulaRef>
                      </c:ext>
                    </c:extLst>
                    <c:numCache>
                      <c:formatCode>General</c:formatCode>
                      <c:ptCount val="13"/>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numCache>
                  </c:numRef>
                </c:cat>
                <c:val>
                  <c:numRef>
                    <c:extLst xmlns:c16r2="http://schemas.microsoft.com/office/drawing/2015/06/chart" xmlns:c15="http://schemas.microsoft.com/office/drawing/2012/chart">
                      <c:ext xmlns:c15="http://schemas.microsoft.com/office/drawing/2012/chart" uri="{02D57815-91ED-43cb-92C2-25804820EDAC}">
                        <c15:formulaRef>
                          <c15:sqref>'MB non-QPS'!$K$4:$K$15</c15:sqref>
                        </c15:formulaRef>
                      </c:ext>
                    </c:extLst>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extLst xmlns:c16r2="http://schemas.microsoft.com/office/drawing/2015/06/chart" xmlns:c15="http://schemas.microsoft.com/office/drawing/2012/chart">
                  <c:ext xmlns:c16="http://schemas.microsoft.com/office/drawing/2014/chart" uri="{C3380CC4-5D6E-409C-BE32-E72D297353CC}">
                    <c16:uniqueId val="{00000005-C5B4-49DC-B664-91D4D5F29393}"/>
                  </c:ext>
                </c:extLst>
              </c15:ser>
            </c15:filteredBarSeries>
          </c:ext>
        </c:extLst>
      </c:barChart>
      <c:catAx>
        <c:axId val="505050504"/>
        <c:scaling>
          <c:orientation val="minMax"/>
        </c:scaling>
        <c:delete val="0"/>
        <c:axPos val="b"/>
        <c:numFmt formatCode="General" sourceLinked="1"/>
        <c:majorTickMark val="out"/>
        <c:minorTickMark val="none"/>
        <c:tickLblPos val="nextTo"/>
        <c:crossAx val="407555280"/>
        <c:crosses val="autoZero"/>
        <c:auto val="1"/>
        <c:lblAlgn val="ctr"/>
        <c:lblOffset val="100"/>
        <c:noMultiLvlLbl val="0"/>
      </c:catAx>
      <c:valAx>
        <c:axId val="407555280"/>
        <c:scaling>
          <c:orientation val="minMax"/>
        </c:scaling>
        <c:delete val="0"/>
        <c:axPos val="l"/>
        <c:majorGridlines/>
        <c:numFmt formatCode="General" sourceLinked="1"/>
        <c:majorTickMark val="out"/>
        <c:minorTickMark val="none"/>
        <c:tickLblPos val="nextTo"/>
        <c:crossAx val="505050504"/>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100"/>
              <a:t>MB non-QPS imports 2010 - 2018 for developed countries  </a:t>
            </a:r>
          </a:p>
        </c:rich>
      </c:tx>
      <c:layout>
        <c:manualLayout>
          <c:xMode val="edge"/>
          <c:yMode val="edge"/>
          <c:x val="0.16235074267580143"/>
          <c:y val="1.770939091066339E-2"/>
        </c:manualLayout>
      </c:layout>
      <c:overlay val="1"/>
    </c:title>
    <c:autoTitleDeleted val="0"/>
    <c:plotArea>
      <c:layout>
        <c:manualLayout>
          <c:layoutTarget val="inner"/>
          <c:xMode val="edge"/>
          <c:yMode val="edge"/>
          <c:x val="8.8848248807608721E-2"/>
          <c:y val="0.11621536891221994"/>
          <c:w val="0.871008382016764"/>
          <c:h val="0.65630978419364261"/>
        </c:manualLayout>
      </c:layout>
      <c:lineChart>
        <c:grouping val="standard"/>
        <c:varyColors val="0"/>
        <c:ser>
          <c:idx val="1"/>
          <c:order val="0"/>
          <c:tx>
            <c:strRef>
              <c:f>'MB non-QPS'!$B$1</c:f>
              <c:strCache>
                <c:ptCount val="1"/>
                <c:pt idx="0">
                  <c:v>Australia (MT)</c:v>
                </c:pt>
              </c:strCache>
            </c:strRef>
          </c:tx>
          <c:marker>
            <c:symbol val="none"/>
          </c:marker>
          <c:cat>
            <c:numRef>
              <c:f>'MB non-QPS'!$A$7:$A$16</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'MB non-QPS'!$B$7:$B$16</c:f>
              <c:numCache>
                <c:formatCode>General</c:formatCode>
                <c:ptCount val="10"/>
                <c:pt idx="0">
                  <c:v>34.200000000000003</c:v>
                </c:pt>
                <c:pt idx="1">
                  <c:v>33.299999999999997</c:v>
                </c:pt>
                <c:pt idx="2">
                  <c:v>32.6</c:v>
                </c:pt>
                <c:pt idx="3">
                  <c:v>31.5</c:v>
                </c:pt>
                <c:pt idx="4">
                  <c:v>30.95</c:v>
                </c:pt>
                <c:pt idx="5">
                  <c:v>29.75</c:v>
                </c:pt>
                <c:pt idx="6">
                  <c:v>29.75</c:v>
                </c:pt>
                <c:pt idx="7">
                  <c:v>29.75</c:v>
                </c:pt>
                <c:pt idx="8">
                  <c:v>29.73</c:v>
                </c:pt>
                <c:pt idx="9">
                  <c:v>28.98</c:v>
                </c:pt>
              </c:numCache>
            </c:numRef>
          </c:val>
          <c:smooth val="0"/>
          <c:extLst xmlns:c16r2="http://schemas.microsoft.com/office/drawing/2015/06/chart">
            <c:ext xmlns:c16="http://schemas.microsoft.com/office/drawing/2014/chart" uri="{C3380CC4-5D6E-409C-BE32-E72D297353CC}">
              <c16:uniqueId val="{00000000-EC9D-4EA2-AAA4-E6D9513FAAC0}"/>
            </c:ext>
          </c:extLst>
        </c:ser>
        <c:ser>
          <c:idx val="2"/>
          <c:order val="1"/>
          <c:tx>
            <c:strRef>
              <c:f>'MB non-QPS'!$C$1</c:f>
              <c:strCache>
                <c:ptCount val="1"/>
                <c:pt idx="0">
                  <c:v>non-A5 Parties (MT)</c:v>
                </c:pt>
              </c:strCache>
            </c:strRef>
          </c:tx>
          <c:marker>
            <c:symbol val="none"/>
          </c:marker>
          <c:cat>
            <c:numRef>
              <c:f>'MB non-QPS'!$A$7:$A$16</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'MB non-QPS'!$C$7:$C$16</c:f>
              <c:numCache>
                <c:formatCode>#,##0</c:formatCode>
                <c:ptCount val="10"/>
                <c:pt idx="0">
                  <c:v>3397</c:v>
                </c:pt>
                <c:pt idx="1">
                  <c:v>2377</c:v>
                </c:pt>
                <c:pt idx="2">
                  <c:v>1192</c:v>
                </c:pt>
                <c:pt idx="3" formatCode="General">
                  <c:v>616</c:v>
                </c:pt>
                <c:pt idx="4" formatCode="General">
                  <c:v>484</c:v>
                </c:pt>
                <c:pt idx="5" formatCode="General">
                  <c:v>412</c:v>
                </c:pt>
                <c:pt idx="6" formatCode="General">
                  <c:v>270</c:v>
                </c:pt>
                <c:pt idx="7" formatCode="General">
                  <c:v>35.1</c:v>
                </c:pt>
                <c:pt idx="8" formatCode="General">
                  <c:v>34.9</c:v>
                </c:pt>
                <c:pt idx="9" formatCode="General">
                  <c:v>8.5</c:v>
                </c:pt>
              </c:numCache>
            </c:numRef>
          </c:val>
          <c:smooth val="0"/>
          <c:extLst xmlns:c16r2="http://schemas.microsoft.com/office/drawing/2015/06/chart">
            <c:ext xmlns:c16="http://schemas.microsoft.com/office/drawing/2014/chart" uri="{C3380CC4-5D6E-409C-BE32-E72D297353CC}">
              <c16:uniqueId val="{00000001-EC9D-4EA2-AAA4-E6D9513FAAC0}"/>
            </c:ext>
          </c:extLst>
        </c:ser>
        <c:dLbls>
          <c:showLegendKey val="0"/>
          <c:showVal val="0"/>
          <c:showCatName val="0"/>
          <c:showSerName val="0"/>
          <c:showPercent val="0"/>
          <c:showBubbleSize val="0"/>
        </c:dLbls>
        <c:smooth val="0"/>
        <c:axId val="412558904"/>
        <c:axId val="412559296"/>
      </c:lineChart>
      <c:catAx>
        <c:axId val="412558904"/>
        <c:scaling>
          <c:orientation val="minMax"/>
        </c:scaling>
        <c:delete val="0"/>
        <c:axPos val="b"/>
        <c:numFmt formatCode="General" sourceLinked="1"/>
        <c:majorTickMark val="out"/>
        <c:minorTickMark val="none"/>
        <c:tickLblPos val="nextTo"/>
        <c:crossAx val="412559296"/>
        <c:crosses val="autoZero"/>
        <c:auto val="1"/>
        <c:lblAlgn val="ctr"/>
        <c:lblOffset val="100"/>
        <c:noMultiLvlLbl val="0"/>
      </c:catAx>
      <c:valAx>
        <c:axId val="412559296"/>
        <c:scaling>
          <c:orientation val="minMax"/>
        </c:scaling>
        <c:delete val="0"/>
        <c:axPos val="l"/>
        <c:majorGridlines/>
        <c:numFmt formatCode="General" sourceLinked="1"/>
        <c:majorTickMark val="out"/>
        <c:minorTickMark val="none"/>
        <c:tickLblPos val="nextTo"/>
        <c:crossAx val="412558904"/>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a:t>Feedstock use</a:t>
            </a:r>
          </a:p>
        </c:rich>
      </c:tx>
      <c:layout>
        <c:manualLayout>
          <c:xMode val="edge"/>
          <c:yMode val="edge"/>
          <c:x val="0.37484711286089423"/>
          <c:y val="0"/>
        </c:manualLayout>
      </c:layout>
      <c:overlay val="1"/>
    </c:title>
    <c:autoTitleDeleted val="0"/>
    <c:plotArea>
      <c:layout>
        <c:manualLayout>
          <c:layoutTarget val="inner"/>
          <c:xMode val="edge"/>
          <c:yMode val="edge"/>
          <c:x val="8.0127296587926708E-2"/>
          <c:y val="8.8437591134441565E-2"/>
          <c:w val="0.89209492563429571"/>
          <c:h val="0.68871719160104949"/>
        </c:manualLayout>
      </c:layout>
      <c:barChart>
        <c:barDir val="col"/>
        <c:grouping val="clustered"/>
        <c:varyColors val="0"/>
        <c:ser>
          <c:idx val="1"/>
          <c:order val="0"/>
          <c:tx>
            <c:strRef>
              <c:f>'Feedstock imports'!$A$2</c:f>
              <c:strCache>
                <c:ptCount val="1"/>
                <c:pt idx="0">
                  <c:v>HCFC-123</c:v>
                </c:pt>
              </c:strCache>
            </c:strRef>
          </c:tx>
          <c:invertIfNegative val="0"/>
          <c:cat>
            <c:numRef>
              <c:f>'Feedstock imports'!$G$1:$P$1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'Feedstock imports'!$G$2:$P$2</c:f>
              <c:numCache>
                <c:formatCode>General</c:formatCode>
                <c:ptCount val="10"/>
                <c:pt idx="0">
                  <c:v>1.7</c:v>
                </c:pt>
                <c:pt idx="1">
                  <c:v>1.8</c:v>
                </c:pt>
                <c:pt idx="2">
                  <c:v>6.9</c:v>
                </c:pt>
                <c:pt idx="3">
                  <c:v>7.8</c:v>
                </c:pt>
                <c:pt idx="4">
                  <c:v>3.24</c:v>
                </c:pt>
                <c:pt idx="5">
                  <c:v>0</c:v>
                </c:pt>
                <c:pt idx="6">
                  <c:v>2.2000000000000002</c:v>
                </c:pt>
                <c:pt idx="7">
                  <c:v>2</c:v>
                </c:pt>
                <c:pt idx="8">
                  <c:v>0</c:v>
                </c:pt>
                <c:pt idx="9">
                  <c:v>0</c:v>
                </c:pt>
              </c:numCache>
            </c:numRef>
          </c:val>
          <c:extLst xmlns:c16r2="http://schemas.microsoft.com/office/drawing/2015/06/chart">
            <c:ext xmlns:c16="http://schemas.microsoft.com/office/drawing/2014/chart" uri="{C3380CC4-5D6E-409C-BE32-E72D297353CC}">
              <c16:uniqueId val="{00000000-35EC-4DFD-A1A4-F1F52E23AC6F}"/>
            </c:ext>
          </c:extLst>
        </c:ser>
        <c:ser>
          <c:idx val="2"/>
          <c:order val="1"/>
          <c:tx>
            <c:strRef>
              <c:f>'Feedstock imports'!$A$3</c:f>
              <c:strCache>
                <c:ptCount val="1"/>
                <c:pt idx="0">
                  <c:v>methyl bromide</c:v>
                </c:pt>
              </c:strCache>
            </c:strRef>
          </c:tx>
          <c:invertIfNegative val="0"/>
          <c:cat>
            <c:numRef>
              <c:f>'Feedstock imports'!$G$1:$P$1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'Feedstock imports'!$G$3:$P$3</c:f>
              <c:numCache>
                <c:formatCode>General</c:formatCode>
                <c:ptCount val="10"/>
                <c:pt idx="0">
                  <c:v>1.1000000000000001</c:v>
                </c:pt>
                <c:pt idx="1">
                  <c:v>0</c:v>
                </c:pt>
                <c:pt idx="2">
                  <c:v>0</c:v>
                </c:pt>
                <c:pt idx="3">
                  <c:v>0</c:v>
                </c:pt>
                <c:pt idx="4">
                  <c:v>0</c:v>
                </c:pt>
                <c:pt idx="5">
                  <c:v>0</c:v>
                </c:pt>
                <c:pt idx="6">
                  <c:v>0</c:v>
                </c:pt>
                <c:pt idx="7">
                  <c:v>0</c:v>
                </c:pt>
                <c:pt idx="8">
                  <c:v>1.7000000000000001E-2</c:v>
                </c:pt>
                <c:pt idx="9">
                  <c:v>0</c:v>
                </c:pt>
              </c:numCache>
            </c:numRef>
          </c:val>
          <c:extLst xmlns:c16r2="http://schemas.microsoft.com/office/drawing/2015/06/chart">
            <c:ext xmlns:c16="http://schemas.microsoft.com/office/drawing/2014/chart" uri="{C3380CC4-5D6E-409C-BE32-E72D297353CC}">
              <c16:uniqueId val="{00000001-35EC-4DFD-A1A4-F1F52E23AC6F}"/>
            </c:ext>
          </c:extLst>
        </c:ser>
        <c:dLbls>
          <c:showLegendKey val="0"/>
          <c:showVal val="0"/>
          <c:showCatName val="0"/>
          <c:showSerName val="0"/>
          <c:showPercent val="0"/>
          <c:showBubbleSize val="0"/>
        </c:dLbls>
        <c:gapWidth val="150"/>
        <c:axId val="412560080"/>
        <c:axId val="412560472"/>
      </c:barChart>
      <c:catAx>
        <c:axId val="412560080"/>
        <c:scaling>
          <c:orientation val="minMax"/>
        </c:scaling>
        <c:delete val="0"/>
        <c:axPos val="b"/>
        <c:numFmt formatCode="General" sourceLinked="1"/>
        <c:majorTickMark val="out"/>
        <c:minorTickMark val="none"/>
        <c:tickLblPos val="nextTo"/>
        <c:crossAx val="412560472"/>
        <c:crosses val="autoZero"/>
        <c:auto val="1"/>
        <c:lblAlgn val="ctr"/>
        <c:lblOffset val="100"/>
        <c:noMultiLvlLbl val="0"/>
      </c:catAx>
      <c:valAx>
        <c:axId val="412560472"/>
        <c:scaling>
          <c:orientation val="minMax"/>
        </c:scaling>
        <c:delete val="0"/>
        <c:axPos val="l"/>
        <c:majorGridlines/>
        <c:title>
          <c:tx>
            <c:rich>
              <a:bodyPr rot="-5400000" vert="horz"/>
              <a:lstStyle/>
              <a:p>
                <a:pPr>
                  <a:defRPr/>
                </a:pPr>
                <a:r>
                  <a:rPr lang="en-US"/>
                  <a:t>Metric tonnes</a:t>
                </a:r>
              </a:p>
            </c:rich>
          </c:tx>
          <c:layout/>
          <c:overlay val="0"/>
        </c:title>
        <c:numFmt formatCode="General" sourceLinked="1"/>
        <c:majorTickMark val="out"/>
        <c:minorTickMark val="none"/>
        <c:tickLblPos val="nextTo"/>
        <c:crossAx val="412560080"/>
        <c:crosses val="autoZero"/>
        <c:crossBetween val="between"/>
      </c:valAx>
    </c:plotArea>
    <c:legend>
      <c:legendPos val="b"/>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RecordNumber xmlns="1201fbac-4e05-4e09-943f-b1daffa0ea6b">003324640</RecordNumber>
    <DocumentDescription xmlns="1201fbac-4e05-4e09-943f-b1daffa0ea6b">a report on Australian imports of ODS over time and providing trend information about Australia's consumption of ODS compared to global consumption.</DocumentDescription>
    <Approval xmlns="1201fbac-4e05-4e09-943f-b1daffa0ea6b" xsi:nil="true"/>
    <Function xmlns="1201fbac-4e05-4e09-943f-b1daffa0ea6b">Regulation</Function>
  </documentManagement>
</p:properties>
</file>

<file path=customXml/item4.xml><?xml version="1.0" encoding="utf-8"?>
<ct:contentTypeSchema xmlns:ct="http://schemas.microsoft.com/office/2006/metadata/contentType" xmlns:ma="http://schemas.microsoft.com/office/2006/metadata/properties/metaAttributes" ct:_="" ma:_="" ma:contentTypeName="SPIRE Word Document" ma:contentTypeID="0x01010087E80B6A94CF17418D78389AE32387B501006AFE18517CBEF04982E2038E4472C07C" ma:contentTypeVersion="6" ma:contentTypeDescription="Create a new Word Document" ma:contentTypeScope="" ma:versionID="f53ab954ccfed14daec0094bf15e2a06">
  <xsd:schema xmlns:xsd="http://www.w3.org/2001/XMLSchema" xmlns:xs="http://www.w3.org/2001/XMLSchema" xmlns:p="http://schemas.microsoft.com/office/2006/metadata/properties" xmlns:ns2="1201fbac-4e05-4e09-943f-b1daffa0ea6b" targetNamespace="http://schemas.microsoft.com/office/2006/metadata/properties" ma:root="true" ma:fieldsID="8b42d87b8db38bbaaf9c1b6c472b43f3" ns2:_="">
    <xsd:import namespace="1201fbac-4e05-4e09-943f-b1daffa0ea6b"/>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1fbac-4e05-4e09-943f-b1daffa0ea6b"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5510D-4E5E-4514-B8F3-6325E84FEB5A}">
  <ds:schemaRefs>
    <ds:schemaRef ds:uri="http://schemas.microsoft.com/office/2006/metadata/customXsn"/>
  </ds:schemaRefs>
</ds:datastoreItem>
</file>

<file path=customXml/itemProps2.xml><?xml version="1.0" encoding="utf-8"?>
<ds:datastoreItem xmlns:ds="http://schemas.openxmlformats.org/officeDocument/2006/customXml" ds:itemID="{83D004AC-7D55-45B5-A504-5C040B6208E5}">
  <ds:schemaRefs>
    <ds:schemaRef ds:uri="http://schemas.microsoft.com/sharepoint/v3/contenttype/forms"/>
  </ds:schemaRefs>
</ds:datastoreItem>
</file>

<file path=customXml/itemProps3.xml><?xml version="1.0" encoding="utf-8"?>
<ds:datastoreItem xmlns:ds="http://schemas.openxmlformats.org/officeDocument/2006/customXml" ds:itemID="{3C5D4042-65F1-4266-B3BC-1818FFD41716}">
  <ds:schemaRefs>
    <ds:schemaRef ds:uri="http://schemas.microsoft.com/office/infopath/2007/PartnerControls"/>
    <ds:schemaRef ds:uri="1201fbac-4e05-4e09-943f-b1daffa0ea6b"/>
    <ds:schemaRef ds:uri="http://www.w3.org/XML/1998/namespace"/>
    <ds:schemaRef ds:uri="http://schemas.openxmlformats.org/package/2006/metadata/core-properties"/>
    <ds:schemaRef ds:uri="http://purl.org/dc/elements/1.1/"/>
    <ds:schemaRef ds:uri="http://schemas.microsoft.com/office/2006/documentManagement/types"/>
    <ds:schemaRef ds:uri="http://purl.org/dc/term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D10EC58-69F9-468D-9221-3DD6DCCF9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1fbac-4e05-4e09-943f-b1daffa0e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30C382-937A-414F-A948-33094EE698A5}">
  <ds:schemaRefs>
    <ds:schemaRef ds:uri="http://schemas.microsoft.com/sharepoint/events"/>
  </ds:schemaRefs>
</ds:datastoreItem>
</file>

<file path=customXml/itemProps6.xml><?xml version="1.0" encoding="utf-8"?>
<ds:datastoreItem xmlns:ds="http://schemas.openxmlformats.org/officeDocument/2006/customXml" ds:itemID="{EEE1BBEA-262E-4D26-B7B1-4644A15B4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E98D68DE.dotm</Template>
  <TotalTime>180</TotalTime>
  <Pages>11</Pages>
  <Words>2421</Words>
  <Characters>12944</Characters>
  <Application>Microsoft Office Word</Application>
  <DocSecurity>0</DocSecurity>
  <Lines>476</Lines>
  <Paragraphs>320</Paragraphs>
  <ScaleCrop>false</ScaleCrop>
  <HeadingPairs>
    <vt:vector size="2" baseType="variant">
      <vt:variant>
        <vt:lpstr>Title</vt:lpstr>
      </vt:variant>
      <vt:variant>
        <vt:i4>1</vt:i4>
      </vt:variant>
    </vt:vector>
  </HeadingPairs>
  <TitlesOfParts>
    <vt:vector size="1" baseType="lpstr">
      <vt:lpstr>Australias progress towards meeting its commitments under the Montreal Protocol (2019 report)</vt:lpstr>
    </vt:vector>
  </TitlesOfParts>
  <Company/>
  <LinksUpToDate>false</LinksUpToDate>
  <CharactersWithSpaces>15095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progress towards meeting its commitments under the Montreal Protocol (2019 report)</dc:title>
  <dc:creator>Department of Agriculture, Water and the Environment</dc:creator>
  <cp:lastModifiedBy>Lien Nguyen</cp:lastModifiedBy>
  <cp:revision>6</cp:revision>
  <cp:lastPrinted>2018-02-21T23:48:00Z</cp:lastPrinted>
  <dcterms:created xsi:type="dcterms:W3CDTF">2020-05-18T05:40:00Z</dcterms:created>
  <dcterms:modified xsi:type="dcterms:W3CDTF">2020-05-20T02:35:00Z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0x01010087E80B6A94CF17418D78389AE32387B501006AFE18517CBEF04982E2038E4472C07C</vt:lpwstr>
  </property>
  <property fmtid="{D5CDD505-2E9C-101B-9397-08002B2CF9AE}" pid="3" name="RecordPoint_ActiveItemUniqueId">
    <vt:lpwstr>{da535e6c-2cd9-40d7-8705-cbd0ed793ce7}</vt:lpwstr>
  </property>
  <property fmtid="{D5CDD505-2E9C-101B-9397-08002B2CF9AE}" pid="4" name="RecordPoint_WorkflowType">
    <vt:lpwstr>ActiveSubmitStub</vt:lpwstr>
  </property>
  <property fmtid="{D5CDD505-2E9C-101B-9397-08002B2CF9AE}" pid="5" name="RecordPoint_SubmissionDate">
    <vt:lpwstr/>
  </property>
  <property fmtid="{D5CDD505-2E9C-101B-9397-08002B2CF9AE}" pid="6" name="RecordPoint_RecordNumberSubmitted">
    <vt:lpwstr>003324640</vt:lpwstr>
  </property>
  <property fmtid="{D5CDD505-2E9C-101B-9397-08002B2CF9AE}" pid="7" name="RecordPoint_ActiveItemSiteId">
    <vt:lpwstr>{1385f4fc-5717-4abf-b566-e69ec52ac4b2}</vt:lpwstr>
  </property>
  <property fmtid="{D5CDD505-2E9C-101B-9397-08002B2CF9AE}" pid="8" name="RecordPoint_ActiveItemListId">
    <vt:lpwstr>{37556d30-297f-4c84-90ed-e1f775331404}</vt:lpwstr>
  </property>
  <property fmtid="{D5CDD505-2E9C-101B-9397-08002B2CF9AE}" pid="9" name="RecordPoint_RecordFormat">
    <vt:lpwstr/>
  </property>
  <property fmtid="{D5CDD505-2E9C-101B-9397-08002B2CF9AE}" pid="10" name="RecordPoint_ActiveItemMoved">
    <vt:lpwstr/>
  </property>
  <property fmtid="{D5CDD505-2E9C-101B-9397-08002B2CF9AE}" pid="11" name="RecordPoint_SubmissionCompleted">
    <vt:lpwstr>2020-05-12T18:40:19.0027577+10:00</vt:lpwstr>
  </property>
  <property fmtid="{D5CDD505-2E9C-101B-9397-08002B2CF9AE}" pid="12" name="RecordPoint_ActiveItemWebId">
    <vt:lpwstr>{7f9972d9-efeb-4043-bafd-239e7b31aa66}</vt:lpwstr>
  </property>
</Properties>
</file>