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F7" w:rsidRPr="00643CC2" w:rsidRDefault="00951AF7" w:rsidP="00951AF7">
      <w:pPr>
        <w:spacing w:line="240" w:lineRule="auto"/>
        <w:rPr>
          <w:rFonts w:ascii="Verdana" w:hAnsi="Verdana"/>
          <w:b/>
          <w:sz w:val="28"/>
          <w:szCs w:val="28"/>
        </w:rPr>
      </w:pPr>
    </w:p>
    <w:p w:rsidR="00951AF7" w:rsidRPr="00643CC2" w:rsidRDefault="00951AF7" w:rsidP="005A28F0">
      <w:pPr>
        <w:spacing w:line="240" w:lineRule="auto"/>
        <w:rPr>
          <w:rFonts w:ascii="Verdana" w:hAnsi="Verdana"/>
          <w:b/>
          <w:sz w:val="28"/>
          <w:szCs w:val="28"/>
        </w:rPr>
      </w:pPr>
    </w:p>
    <w:p w:rsidR="009968CB" w:rsidRPr="00643CC2" w:rsidRDefault="00280699" w:rsidP="009968CB">
      <w:pPr>
        <w:spacing w:line="240" w:lineRule="auto"/>
        <w:jc w:val="center"/>
        <w:rPr>
          <w:rFonts w:ascii="Verdana" w:hAnsi="Verdana"/>
          <w:b/>
          <w:sz w:val="28"/>
          <w:szCs w:val="28"/>
        </w:rPr>
      </w:pPr>
      <w:bookmarkStart w:id="0" w:name="OLE_LINK1"/>
      <w:bookmarkStart w:id="1" w:name="OLE_LINK2"/>
      <w:r>
        <w:rPr>
          <w:rFonts w:ascii="Verdana" w:hAnsi="Verdana"/>
          <w:b/>
          <w:sz w:val="28"/>
          <w:szCs w:val="28"/>
        </w:rPr>
        <w:t xml:space="preserve">Department </w:t>
      </w:r>
      <w:r w:rsidR="009968CB" w:rsidRPr="00643CC2">
        <w:rPr>
          <w:rFonts w:ascii="Verdana" w:hAnsi="Verdana"/>
          <w:b/>
          <w:sz w:val="28"/>
          <w:szCs w:val="28"/>
        </w:rPr>
        <w:t>of Sustainability, Environment, Water, Population and Communities</w:t>
      </w:r>
    </w:p>
    <w:p w:rsidR="005A3405" w:rsidRPr="00643CC2" w:rsidRDefault="005A3405" w:rsidP="00D71CE7">
      <w:pPr>
        <w:spacing w:after="240" w:line="240" w:lineRule="auto"/>
        <w:jc w:val="center"/>
        <w:rPr>
          <w:rFonts w:ascii="Verdana" w:hAnsi="Verdana"/>
          <w:b/>
          <w:sz w:val="28"/>
          <w:szCs w:val="28"/>
        </w:rPr>
      </w:pPr>
      <w:r w:rsidRPr="00643CC2">
        <w:rPr>
          <w:rFonts w:ascii="Verdana" w:hAnsi="Verdana"/>
          <w:b/>
          <w:sz w:val="28"/>
          <w:szCs w:val="28"/>
        </w:rPr>
        <w:t>Agency Multicultural Plan for 2013–15</w:t>
      </w:r>
    </w:p>
    <w:bookmarkEnd w:id="0"/>
    <w:bookmarkEnd w:id="1"/>
    <w:p w:rsidR="00951AF7" w:rsidRPr="00643CC2" w:rsidRDefault="00951AF7" w:rsidP="00D71CE7">
      <w:pPr>
        <w:spacing w:after="240" w:line="240" w:lineRule="auto"/>
        <w:jc w:val="center"/>
        <w:rPr>
          <w:rFonts w:ascii="Verdana" w:hAnsi="Verdana"/>
          <w:b/>
          <w:sz w:val="28"/>
          <w:szCs w:val="28"/>
        </w:rPr>
      </w:pPr>
    </w:p>
    <w:p w:rsidR="009968CB" w:rsidRPr="00643CC2" w:rsidRDefault="005A3405" w:rsidP="00D71CE7">
      <w:pPr>
        <w:jc w:val="both"/>
        <w:rPr>
          <w:rFonts w:ascii="Verdana" w:hAnsi="Verdana"/>
          <w:szCs w:val="24"/>
        </w:rPr>
      </w:pPr>
      <w:r w:rsidRPr="00643CC2">
        <w:rPr>
          <w:rFonts w:ascii="Verdana" w:hAnsi="Verdana"/>
          <w:szCs w:val="24"/>
        </w:rPr>
        <w:t>This Agency Multicultural Plan</w:t>
      </w:r>
      <w:r w:rsidR="009968CB" w:rsidRPr="00643CC2">
        <w:rPr>
          <w:rFonts w:ascii="Verdana" w:hAnsi="Verdana"/>
          <w:szCs w:val="24"/>
        </w:rPr>
        <w:t xml:space="preserve"> covers the</w:t>
      </w:r>
      <w:r w:rsidR="009968CB" w:rsidRPr="00643CC2">
        <w:rPr>
          <w:rFonts w:ascii="Verdana" w:hAnsi="Verdana"/>
          <w:sz w:val="20"/>
        </w:rPr>
        <w:t xml:space="preserve"> </w:t>
      </w:r>
      <w:r w:rsidR="00280699">
        <w:rPr>
          <w:rFonts w:ascii="Verdana" w:hAnsi="Verdana"/>
          <w:szCs w:val="24"/>
        </w:rPr>
        <w:t xml:space="preserve">Department </w:t>
      </w:r>
      <w:r w:rsidR="009968CB" w:rsidRPr="00643CC2">
        <w:rPr>
          <w:rFonts w:ascii="Verdana" w:hAnsi="Verdana"/>
          <w:szCs w:val="24"/>
        </w:rPr>
        <w:t xml:space="preserve">of Sustainability, Environment, </w:t>
      </w:r>
      <w:proofErr w:type="gramStart"/>
      <w:r w:rsidR="009968CB" w:rsidRPr="00643CC2">
        <w:rPr>
          <w:rFonts w:ascii="Verdana" w:hAnsi="Verdana"/>
          <w:szCs w:val="24"/>
        </w:rPr>
        <w:t>Water</w:t>
      </w:r>
      <w:proofErr w:type="gramEnd"/>
      <w:r w:rsidR="009968CB" w:rsidRPr="00643CC2">
        <w:rPr>
          <w:rFonts w:ascii="Verdana" w:hAnsi="Verdana"/>
          <w:szCs w:val="24"/>
        </w:rPr>
        <w:t>, Population and Communities and the portfolio agencies of</w:t>
      </w:r>
      <w:r w:rsidR="002C0FB8" w:rsidRPr="00643CC2">
        <w:rPr>
          <w:rFonts w:ascii="Verdana" w:hAnsi="Verdana"/>
          <w:szCs w:val="24"/>
        </w:rPr>
        <w:t>:</w:t>
      </w:r>
    </w:p>
    <w:p w:rsidR="005A3405" w:rsidRPr="00643CC2" w:rsidRDefault="009968CB" w:rsidP="00D71CE7">
      <w:pPr>
        <w:pStyle w:val="ListParagraph"/>
        <w:numPr>
          <w:ilvl w:val="0"/>
          <w:numId w:val="16"/>
        </w:numPr>
        <w:spacing w:before="60" w:after="60"/>
        <w:ind w:left="714" w:hanging="357"/>
        <w:jc w:val="both"/>
        <w:rPr>
          <w:rFonts w:ascii="Verdana" w:hAnsi="Verdana"/>
          <w:szCs w:val="24"/>
        </w:rPr>
      </w:pPr>
      <w:r w:rsidRPr="00643CC2">
        <w:rPr>
          <w:rFonts w:ascii="Verdana" w:hAnsi="Verdana"/>
          <w:szCs w:val="24"/>
        </w:rPr>
        <w:t>Great Barrier Reef Marine Park Authority (GBRMPA)</w:t>
      </w:r>
    </w:p>
    <w:p w:rsidR="009968CB" w:rsidRPr="00643CC2" w:rsidRDefault="009968CB" w:rsidP="00D71CE7">
      <w:pPr>
        <w:pStyle w:val="ListParagraph"/>
        <w:numPr>
          <w:ilvl w:val="0"/>
          <w:numId w:val="16"/>
        </w:numPr>
        <w:spacing w:before="60" w:after="60"/>
        <w:ind w:left="714" w:hanging="357"/>
        <w:jc w:val="both"/>
        <w:rPr>
          <w:rFonts w:ascii="Verdana" w:hAnsi="Verdana"/>
          <w:szCs w:val="24"/>
        </w:rPr>
      </w:pPr>
      <w:r w:rsidRPr="00643CC2">
        <w:rPr>
          <w:rFonts w:ascii="Verdana" w:hAnsi="Verdana"/>
          <w:szCs w:val="24"/>
        </w:rPr>
        <w:t>Murray-Darling Basin Authority (MDBA)</w:t>
      </w:r>
    </w:p>
    <w:p w:rsidR="00887483" w:rsidRPr="00643CC2" w:rsidRDefault="009968CB" w:rsidP="00C570F2">
      <w:pPr>
        <w:pStyle w:val="ListParagraph"/>
        <w:numPr>
          <w:ilvl w:val="0"/>
          <w:numId w:val="16"/>
        </w:numPr>
        <w:spacing w:before="60"/>
        <w:ind w:left="714" w:hanging="357"/>
        <w:jc w:val="both"/>
        <w:rPr>
          <w:rFonts w:ascii="Verdana" w:hAnsi="Verdana"/>
          <w:szCs w:val="24"/>
        </w:rPr>
      </w:pPr>
      <w:r w:rsidRPr="00643CC2">
        <w:rPr>
          <w:rFonts w:ascii="Verdana" w:hAnsi="Verdana"/>
          <w:szCs w:val="24"/>
        </w:rPr>
        <w:t>National Water Commission (NWC)</w:t>
      </w:r>
    </w:p>
    <w:p w:rsidR="009968CB" w:rsidRPr="00643CC2" w:rsidRDefault="009968CB" w:rsidP="00D71CE7">
      <w:pPr>
        <w:jc w:val="both"/>
        <w:rPr>
          <w:rFonts w:ascii="Verdana" w:hAnsi="Verdana"/>
          <w:szCs w:val="24"/>
        </w:rPr>
      </w:pPr>
      <w:r w:rsidRPr="00643CC2">
        <w:rPr>
          <w:rFonts w:ascii="Verdana" w:hAnsi="Verdana"/>
          <w:szCs w:val="24"/>
        </w:rPr>
        <w:t xml:space="preserve">The Bureau of Meteorology (BOM) </w:t>
      </w:r>
      <w:r w:rsidR="00AB77F0">
        <w:rPr>
          <w:rFonts w:ascii="Verdana" w:hAnsi="Verdana"/>
          <w:szCs w:val="24"/>
        </w:rPr>
        <w:t>is</w:t>
      </w:r>
      <w:r w:rsidRPr="00643CC2">
        <w:rPr>
          <w:rFonts w:ascii="Verdana" w:hAnsi="Verdana"/>
          <w:szCs w:val="24"/>
        </w:rPr>
        <w:t xml:space="preserve"> completing a separate Agency Multicultural Plan.</w:t>
      </w:r>
    </w:p>
    <w:p w:rsidR="00951AF7" w:rsidRPr="00643CC2" w:rsidRDefault="00951AF7" w:rsidP="00D71CE7">
      <w:pPr>
        <w:jc w:val="both"/>
        <w:rPr>
          <w:rFonts w:ascii="Verdana" w:hAnsi="Verdana"/>
          <w:szCs w:val="24"/>
        </w:rPr>
      </w:pPr>
    </w:p>
    <w:p w:rsidR="00951AF7" w:rsidRPr="00643CC2" w:rsidRDefault="00951AF7" w:rsidP="00E656BB">
      <w:pPr>
        <w:pBdr>
          <w:top w:val="single" w:sz="18" w:space="0"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00"/>
        <w:jc w:val="both"/>
        <w:rPr>
          <w:rFonts w:ascii="Verdana" w:hAnsi="Verdana"/>
          <w:b/>
          <w:sz w:val="24"/>
          <w:szCs w:val="28"/>
        </w:rPr>
      </w:pPr>
    </w:p>
    <w:p w:rsidR="005A3405" w:rsidRPr="00643CC2" w:rsidRDefault="005A3405" w:rsidP="00E656BB">
      <w:pPr>
        <w:pBdr>
          <w:top w:val="single" w:sz="18" w:space="0"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00"/>
        <w:jc w:val="both"/>
        <w:rPr>
          <w:rFonts w:ascii="Verdana" w:hAnsi="Verdana"/>
          <w:b/>
          <w:sz w:val="24"/>
          <w:szCs w:val="28"/>
        </w:rPr>
      </w:pPr>
      <w:r w:rsidRPr="00643CC2">
        <w:rPr>
          <w:rFonts w:ascii="Verdana" w:hAnsi="Verdana"/>
          <w:b/>
          <w:sz w:val="24"/>
          <w:szCs w:val="28"/>
        </w:rPr>
        <w:t>Our vision for Multicultural Access and Equity Policy</w:t>
      </w:r>
    </w:p>
    <w:p w:rsidR="00951AF7" w:rsidRPr="00643CC2" w:rsidRDefault="00165A70" w:rsidP="00E656BB">
      <w:pPr>
        <w:pBdr>
          <w:top w:val="single" w:sz="18" w:space="0"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r w:rsidRPr="00643CC2">
        <w:rPr>
          <w:rFonts w:ascii="Verdana" w:hAnsi="Verdana"/>
          <w:sz w:val="20"/>
          <w:szCs w:val="24"/>
        </w:rPr>
        <w:t xml:space="preserve">Our vision is for the </w:t>
      </w:r>
      <w:r w:rsidR="00BC3BCE" w:rsidRPr="00643CC2">
        <w:rPr>
          <w:rFonts w:ascii="Verdana" w:hAnsi="Verdana"/>
          <w:sz w:val="20"/>
          <w:szCs w:val="24"/>
        </w:rPr>
        <w:t xml:space="preserve">cultural </w:t>
      </w:r>
      <w:r w:rsidRPr="00643CC2">
        <w:rPr>
          <w:rFonts w:ascii="Verdana" w:hAnsi="Verdana"/>
          <w:sz w:val="20"/>
          <w:szCs w:val="24"/>
        </w:rPr>
        <w:t xml:space="preserve">diversity of all our clients and stakeholders to be recognised and effectively utilised as a key asset in </w:t>
      </w:r>
      <w:r w:rsidR="002B49A9">
        <w:rPr>
          <w:rFonts w:ascii="Verdana" w:hAnsi="Verdana"/>
          <w:sz w:val="20"/>
          <w:szCs w:val="24"/>
        </w:rPr>
        <w:t xml:space="preserve">pursuit of </w:t>
      </w:r>
      <w:r w:rsidRPr="00643CC2">
        <w:rPr>
          <w:rFonts w:ascii="Verdana" w:hAnsi="Verdana"/>
          <w:sz w:val="20"/>
          <w:szCs w:val="24"/>
        </w:rPr>
        <w:t>our</w:t>
      </w:r>
      <w:r w:rsidR="0090205A">
        <w:rPr>
          <w:rFonts w:ascii="Verdana" w:hAnsi="Verdana"/>
          <w:sz w:val="20"/>
          <w:szCs w:val="24"/>
        </w:rPr>
        <w:t xml:space="preserve"> mission to advance a </w:t>
      </w:r>
      <w:r w:rsidR="0090205A" w:rsidRPr="00643CC2">
        <w:rPr>
          <w:rFonts w:ascii="Verdana" w:hAnsi="Verdana"/>
          <w:sz w:val="20"/>
          <w:szCs w:val="24"/>
        </w:rPr>
        <w:t>sustainable</w:t>
      </w:r>
      <w:r w:rsidRPr="00643CC2">
        <w:rPr>
          <w:rFonts w:ascii="Verdana" w:hAnsi="Verdana"/>
          <w:sz w:val="20"/>
          <w:szCs w:val="24"/>
        </w:rPr>
        <w:t xml:space="preserve"> Australia</w:t>
      </w:r>
      <w:r w:rsidR="00BC3BCE" w:rsidRPr="00643CC2">
        <w:rPr>
          <w:rFonts w:ascii="Verdana" w:hAnsi="Verdana"/>
          <w:sz w:val="20"/>
          <w:szCs w:val="24"/>
        </w:rPr>
        <w:t>.</w:t>
      </w:r>
    </w:p>
    <w:p w:rsidR="00951AF7" w:rsidRPr="00643CC2" w:rsidRDefault="00951AF7" w:rsidP="00E656BB">
      <w:pPr>
        <w:pBdr>
          <w:top w:val="single" w:sz="18" w:space="0"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p>
    <w:p w:rsidR="002C0FB8" w:rsidRPr="00643CC2" w:rsidRDefault="002C0FB8">
      <w:pPr>
        <w:spacing w:after="0" w:line="240" w:lineRule="auto"/>
        <w:rPr>
          <w:rFonts w:ascii="Verdana" w:hAnsi="Verdana"/>
          <w:sz w:val="16"/>
          <w:szCs w:val="16"/>
        </w:rPr>
      </w:pPr>
      <w:r w:rsidRPr="00643CC2">
        <w:rPr>
          <w:rFonts w:ascii="Verdana" w:hAnsi="Verdana"/>
          <w:sz w:val="16"/>
          <w:szCs w:val="16"/>
        </w:rPr>
        <w:br w:type="page"/>
      </w:r>
    </w:p>
    <w:p w:rsidR="00951AF7" w:rsidRPr="00643CC2" w:rsidRDefault="00951AF7"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b/>
          <w:sz w:val="24"/>
          <w:szCs w:val="28"/>
        </w:rPr>
      </w:pPr>
    </w:p>
    <w:p w:rsidR="005A3405" w:rsidRPr="00643CC2" w:rsidRDefault="005A3405"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b/>
          <w:sz w:val="24"/>
          <w:szCs w:val="28"/>
        </w:rPr>
      </w:pPr>
      <w:r w:rsidRPr="00643CC2">
        <w:rPr>
          <w:rFonts w:ascii="Verdana" w:hAnsi="Verdana"/>
          <w:b/>
          <w:sz w:val="24"/>
          <w:szCs w:val="28"/>
        </w:rPr>
        <w:t xml:space="preserve">Our </w:t>
      </w:r>
      <w:r w:rsidR="00C570F2">
        <w:rPr>
          <w:rFonts w:ascii="Verdana" w:hAnsi="Verdana"/>
          <w:b/>
          <w:sz w:val="24"/>
          <w:szCs w:val="28"/>
        </w:rPr>
        <w:t>d</w:t>
      </w:r>
      <w:r w:rsidR="00280699">
        <w:rPr>
          <w:rFonts w:ascii="Verdana" w:hAnsi="Verdana"/>
          <w:b/>
          <w:sz w:val="24"/>
          <w:szCs w:val="28"/>
        </w:rPr>
        <w:t xml:space="preserve">epartment and </w:t>
      </w:r>
      <w:r w:rsidR="00E113F8">
        <w:rPr>
          <w:rFonts w:ascii="Verdana" w:hAnsi="Verdana"/>
          <w:b/>
          <w:sz w:val="24"/>
          <w:szCs w:val="28"/>
        </w:rPr>
        <w:t>portfolio agencies</w:t>
      </w:r>
      <w:r w:rsidRPr="00643CC2">
        <w:rPr>
          <w:rFonts w:ascii="Verdana" w:hAnsi="Verdana"/>
          <w:b/>
          <w:sz w:val="24"/>
          <w:szCs w:val="28"/>
        </w:rPr>
        <w:t xml:space="preserve"> </w:t>
      </w:r>
    </w:p>
    <w:p w:rsidR="005A3405" w:rsidRPr="00643CC2" w:rsidRDefault="005A3405"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b/>
          <w:szCs w:val="24"/>
        </w:rPr>
      </w:pPr>
      <w:r w:rsidRPr="00643CC2">
        <w:rPr>
          <w:rFonts w:ascii="Verdana" w:hAnsi="Verdana"/>
          <w:b/>
          <w:szCs w:val="24"/>
        </w:rPr>
        <w:t xml:space="preserve">What is your </w:t>
      </w:r>
      <w:r w:rsidR="00C570F2">
        <w:rPr>
          <w:rFonts w:ascii="Verdana" w:hAnsi="Verdana"/>
          <w:b/>
          <w:szCs w:val="24"/>
        </w:rPr>
        <w:t>d</w:t>
      </w:r>
      <w:r w:rsidR="00280699">
        <w:rPr>
          <w:rFonts w:ascii="Verdana" w:hAnsi="Verdana"/>
          <w:b/>
          <w:szCs w:val="24"/>
        </w:rPr>
        <w:t xml:space="preserve">epartment and </w:t>
      </w:r>
      <w:r w:rsidR="00E113F8">
        <w:rPr>
          <w:rFonts w:ascii="Verdana" w:hAnsi="Verdana"/>
          <w:b/>
          <w:szCs w:val="24"/>
        </w:rPr>
        <w:t>portfolio a</w:t>
      </w:r>
      <w:r w:rsidR="00280699">
        <w:rPr>
          <w:rFonts w:ascii="Verdana" w:hAnsi="Verdana"/>
          <w:b/>
          <w:szCs w:val="24"/>
        </w:rPr>
        <w:t xml:space="preserve">gencies </w:t>
      </w:r>
      <w:r w:rsidRPr="00643CC2">
        <w:rPr>
          <w:rFonts w:ascii="Verdana" w:hAnsi="Verdana"/>
          <w:b/>
          <w:szCs w:val="24"/>
        </w:rPr>
        <w:t xml:space="preserve">core business? </w:t>
      </w:r>
    </w:p>
    <w:p w:rsidR="00BC3BCE" w:rsidRPr="00643CC2" w:rsidRDefault="00BC3BCE"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r w:rsidRPr="00643CC2">
        <w:rPr>
          <w:rFonts w:ascii="Verdana" w:hAnsi="Verdana"/>
          <w:sz w:val="20"/>
          <w:szCs w:val="24"/>
        </w:rPr>
        <w:t xml:space="preserve">Our mission is “to advance a sustainable Australia: our environment, water, heritage and communities.”  </w:t>
      </w:r>
      <w:r w:rsidR="00FA7101" w:rsidRPr="00643CC2">
        <w:rPr>
          <w:rFonts w:ascii="Verdana" w:hAnsi="Verdana"/>
          <w:sz w:val="20"/>
          <w:szCs w:val="24"/>
        </w:rPr>
        <w:t xml:space="preserve">The </w:t>
      </w:r>
      <w:r w:rsidR="00280699">
        <w:rPr>
          <w:rFonts w:ascii="Verdana" w:hAnsi="Verdana"/>
          <w:sz w:val="20"/>
          <w:szCs w:val="24"/>
        </w:rPr>
        <w:t xml:space="preserve">department and </w:t>
      </w:r>
      <w:r w:rsidR="00E113F8">
        <w:rPr>
          <w:rFonts w:ascii="Verdana" w:hAnsi="Verdana"/>
          <w:sz w:val="20"/>
          <w:szCs w:val="24"/>
        </w:rPr>
        <w:t xml:space="preserve">portfolio </w:t>
      </w:r>
      <w:r w:rsidR="00280699">
        <w:rPr>
          <w:rFonts w:ascii="Verdana" w:hAnsi="Verdana"/>
          <w:sz w:val="20"/>
          <w:szCs w:val="24"/>
        </w:rPr>
        <w:t>agencies</w:t>
      </w:r>
      <w:r w:rsidR="00FA7101" w:rsidRPr="00643CC2">
        <w:rPr>
          <w:rFonts w:ascii="Verdana" w:hAnsi="Verdana"/>
          <w:sz w:val="20"/>
          <w:szCs w:val="24"/>
        </w:rPr>
        <w:t xml:space="preserve"> </w:t>
      </w:r>
      <w:r w:rsidRPr="00643CC2">
        <w:rPr>
          <w:rFonts w:ascii="Verdana" w:hAnsi="Verdana"/>
          <w:sz w:val="20"/>
          <w:szCs w:val="24"/>
        </w:rPr>
        <w:t xml:space="preserve">aims </w:t>
      </w:r>
      <w:r w:rsidR="00813DB4">
        <w:rPr>
          <w:rFonts w:ascii="Verdana" w:hAnsi="Verdana"/>
          <w:sz w:val="20"/>
          <w:szCs w:val="24"/>
        </w:rPr>
        <w:t xml:space="preserve">are </w:t>
      </w:r>
      <w:r w:rsidRPr="00643CC2">
        <w:rPr>
          <w:rFonts w:ascii="Verdana" w:hAnsi="Verdana"/>
          <w:sz w:val="20"/>
          <w:szCs w:val="24"/>
        </w:rPr>
        <w:t xml:space="preserve">to support and implement the Australian Government's policy initiatives for a number of important challenges facing the </w:t>
      </w:r>
      <w:r w:rsidR="00FA7101" w:rsidRPr="00643CC2">
        <w:rPr>
          <w:rFonts w:ascii="Verdana" w:hAnsi="Verdana"/>
          <w:sz w:val="20"/>
          <w:szCs w:val="24"/>
        </w:rPr>
        <w:t>Australian community</w:t>
      </w:r>
      <w:r w:rsidR="00236258" w:rsidRPr="00643CC2">
        <w:rPr>
          <w:rFonts w:ascii="Verdana" w:hAnsi="Verdana"/>
          <w:sz w:val="20"/>
          <w:szCs w:val="24"/>
        </w:rPr>
        <w:t xml:space="preserve"> including </w:t>
      </w:r>
      <w:r w:rsidRPr="00643CC2">
        <w:rPr>
          <w:rFonts w:ascii="Verdana" w:hAnsi="Verdana"/>
          <w:sz w:val="20"/>
          <w:szCs w:val="24"/>
        </w:rPr>
        <w:t>helping to protect Australia's unique biodiversity</w:t>
      </w:r>
      <w:r w:rsidR="00236258" w:rsidRPr="00643CC2">
        <w:rPr>
          <w:rFonts w:ascii="Verdana" w:hAnsi="Verdana"/>
          <w:sz w:val="20"/>
          <w:szCs w:val="24"/>
        </w:rPr>
        <w:t xml:space="preserve">; </w:t>
      </w:r>
      <w:r w:rsidRPr="00643CC2">
        <w:rPr>
          <w:rFonts w:ascii="Verdana" w:hAnsi="Verdana"/>
          <w:sz w:val="20"/>
          <w:szCs w:val="24"/>
        </w:rPr>
        <w:t>improving how water resources</w:t>
      </w:r>
      <w:r w:rsidR="00236258" w:rsidRPr="00643CC2">
        <w:rPr>
          <w:rFonts w:ascii="Verdana" w:hAnsi="Verdana"/>
          <w:sz w:val="20"/>
          <w:szCs w:val="24"/>
        </w:rPr>
        <w:t xml:space="preserve"> are managed</w:t>
      </w:r>
      <w:r w:rsidRPr="00643CC2">
        <w:rPr>
          <w:rFonts w:ascii="Verdana" w:hAnsi="Verdana"/>
          <w:sz w:val="20"/>
          <w:szCs w:val="24"/>
        </w:rPr>
        <w:t xml:space="preserve"> particularly in the Murray-Darling Basin</w:t>
      </w:r>
      <w:r w:rsidR="00EB13B0" w:rsidRPr="00643CC2">
        <w:rPr>
          <w:rFonts w:ascii="Verdana" w:hAnsi="Verdana"/>
          <w:sz w:val="20"/>
          <w:szCs w:val="24"/>
        </w:rPr>
        <w:t xml:space="preserve">; </w:t>
      </w:r>
      <w:r w:rsidRPr="00643CC2">
        <w:rPr>
          <w:rFonts w:ascii="Verdana" w:hAnsi="Verdana"/>
          <w:sz w:val="20"/>
          <w:szCs w:val="24"/>
        </w:rPr>
        <w:t>adapting to the im</w:t>
      </w:r>
      <w:r w:rsidR="00EB13B0" w:rsidRPr="00643CC2">
        <w:rPr>
          <w:rFonts w:ascii="Verdana" w:hAnsi="Verdana"/>
          <w:sz w:val="20"/>
          <w:szCs w:val="24"/>
        </w:rPr>
        <w:t xml:space="preserve">pacts and challenges of climate </w:t>
      </w:r>
      <w:r w:rsidRPr="00643CC2">
        <w:rPr>
          <w:rFonts w:ascii="Verdana" w:hAnsi="Verdana"/>
          <w:sz w:val="20"/>
          <w:szCs w:val="24"/>
        </w:rPr>
        <w:t>change</w:t>
      </w:r>
      <w:r w:rsidR="00236258" w:rsidRPr="00643CC2">
        <w:rPr>
          <w:rFonts w:ascii="Verdana" w:hAnsi="Verdana"/>
          <w:sz w:val="20"/>
          <w:szCs w:val="24"/>
        </w:rPr>
        <w:t xml:space="preserve">; </w:t>
      </w:r>
      <w:r w:rsidRPr="00643CC2">
        <w:rPr>
          <w:rFonts w:ascii="Verdana" w:hAnsi="Verdana"/>
          <w:sz w:val="20"/>
          <w:szCs w:val="24"/>
        </w:rPr>
        <w:t>contributing to closing the</w:t>
      </w:r>
      <w:r w:rsidR="00236258" w:rsidRPr="00643CC2">
        <w:rPr>
          <w:rFonts w:ascii="Verdana" w:hAnsi="Verdana"/>
          <w:sz w:val="20"/>
          <w:szCs w:val="24"/>
        </w:rPr>
        <w:t xml:space="preserve"> gap on Indigenous disadvantage. The </w:t>
      </w:r>
      <w:r w:rsidR="00C570F2">
        <w:rPr>
          <w:rFonts w:ascii="Verdana" w:hAnsi="Verdana"/>
          <w:sz w:val="20"/>
          <w:szCs w:val="24"/>
        </w:rPr>
        <w:t>d</w:t>
      </w:r>
      <w:r w:rsidR="00280699">
        <w:rPr>
          <w:rFonts w:ascii="Verdana" w:hAnsi="Verdana"/>
          <w:sz w:val="20"/>
          <w:szCs w:val="24"/>
        </w:rPr>
        <w:t xml:space="preserve">epartment and </w:t>
      </w:r>
      <w:r w:rsidR="00C30FB7">
        <w:rPr>
          <w:rFonts w:ascii="Verdana" w:hAnsi="Verdana"/>
          <w:sz w:val="20"/>
          <w:szCs w:val="24"/>
        </w:rPr>
        <w:t xml:space="preserve">portfolio </w:t>
      </w:r>
      <w:r w:rsidR="00280699">
        <w:rPr>
          <w:rFonts w:ascii="Verdana" w:hAnsi="Verdana"/>
          <w:sz w:val="20"/>
          <w:szCs w:val="24"/>
        </w:rPr>
        <w:t>agencies</w:t>
      </w:r>
      <w:r w:rsidR="002D114E">
        <w:rPr>
          <w:rFonts w:ascii="Verdana" w:hAnsi="Verdana"/>
          <w:sz w:val="20"/>
          <w:szCs w:val="24"/>
        </w:rPr>
        <w:t xml:space="preserve"> </w:t>
      </w:r>
      <w:r w:rsidR="00236258" w:rsidRPr="00643CC2">
        <w:rPr>
          <w:rFonts w:ascii="Verdana" w:hAnsi="Verdana"/>
          <w:sz w:val="20"/>
          <w:szCs w:val="24"/>
        </w:rPr>
        <w:t xml:space="preserve">provide </w:t>
      </w:r>
      <w:r w:rsidR="00C570F2">
        <w:rPr>
          <w:rFonts w:ascii="Verdana" w:hAnsi="Verdana"/>
          <w:sz w:val="20"/>
          <w:szCs w:val="24"/>
        </w:rPr>
        <w:t>i</w:t>
      </w:r>
      <w:r w:rsidR="00236258" w:rsidRPr="00643CC2">
        <w:rPr>
          <w:rFonts w:ascii="Verdana" w:hAnsi="Verdana"/>
          <w:sz w:val="20"/>
          <w:szCs w:val="24"/>
        </w:rPr>
        <w:t>nternational leadership in Antarctic science, policy and environmental management.</w:t>
      </w:r>
      <w:r w:rsidR="00EB13B0" w:rsidRPr="00643CC2">
        <w:rPr>
          <w:rFonts w:ascii="Verdana" w:hAnsi="Verdana"/>
          <w:sz w:val="20"/>
          <w:szCs w:val="24"/>
        </w:rPr>
        <w:t xml:space="preserve"> </w:t>
      </w:r>
    </w:p>
    <w:p w:rsidR="00BC3BCE" w:rsidRPr="00643CC2" w:rsidRDefault="005A3405"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b/>
          <w:szCs w:val="24"/>
        </w:rPr>
      </w:pPr>
      <w:r w:rsidRPr="00643CC2">
        <w:rPr>
          <w:rFonts w:ascii="Verdana" w:hAnsi="Verdana"/>
          <w:b/>
          <w:szCs w:val="24"/>
        </w:rPr>
        <w:t xml:space="preserve">How does the work of your </w:t>
      </w:r>
      <w:r w:rsidR="00C570F2">
        <w:rPr>
          <w:rFonts w:ascii="Verdana" w:hAnsi="Verdana"/>
          <w:b/>
          <w:szCs w:val="24"/>
        </w:rPr>
        <w:t>d</w:t>
      </w:r>
      <w:r w:rsidR="00280699">
        <w:rPr>
          <w:rFonts w:ascii="Verdana" w:hAnsi="Verdana"/>
          <w:b/>
          <w:szCs w:val="24"/>
        </w:rPr>
        <w:t xml:space="preserve">epartment and </w:t>
      </w:r>
      <w:r w:rsidR="000643E5">
        <w:rPr>
          <w:rFonts w:ascii="Verdana" w:hAnsi="Verdana"/>
          <w:b/>
          <w:szCs w:val="24"/>
        </w:rPr>
        <w:t>portfolio ag</w:t>
      </w:r>
      <w:r w:rsidR="00280699">
        <w:rPr>
          <w:rFonts w:ascii="Verdana" w:hAnsi="Verdana"/>
          <w:b/>
          <w:szCs w:val="24"/>
        </w:rPr>
        <w:t>encies</w:t>
      </w:r>
      <w:r w:rsidRPr="00643CC2">
        <w:rPr>
          <w:rFonts w:ascii="Verdana" w:hAnsi="Verdana"/>
          <w:b/>
          <w:szCs w:val="24"/>
        </w:rPr>
        <w:t xml:space="preserve"> impact on Australia’s culturally and linguistically diverse communities? </w:t>
      </w:r>
    </w:p>
    <w:p w:rsidR="00FA7101" w:rsidRPr="00643CC2" w:rsidRDefault="00FA7101"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r w:rsidRPr="00643CC2">
        <w:rPr>
          <w:rFonts w:ascii="Verdana" w:hAnsi="Verdana"/>
          <w:sz w:val="20"/>
          <w:szCs w:val="24"/>
        </w:rPr>
        <w:t xml:space="preserve">The wide span of the </w:t>
      </w:r>
      <w:r w:rsidR="008B087D">
        <w:rPr>
          <w:rFonts w:ascii="Verdana" w:hAnsi="Verdana"/>
          <w:sz w:val="20"/>
          <w:szCs w:val="24"/>
        </w:rPr>
        <w:t>d</w:t>
      </w:r>
      <w:r w:rsidR="00C570F2">
        <w:rPr>
          <w:rFonts w:ascii="Verdana" w:hAnsi="Verdana"/>
          <w:sz w:val="20"/>
          <w:szCs w:val="24"/>
        </w:rPr>
        <w:t>epartment</w:t>
      </w:r>
      <w:r w:rsidR="00280699">
        <w:rPr>
          <w:rFonts w:ascii="Verdana" w:hAnsi="Verdana"/>
          <w:sz w:val="20"/>
          <w:szCs w:val="24"/>
        </w:rPr>
        <w:t xml:space="preserve"> and </w:t>
      </w:r>
      <w:r w:rsidR="000643E5">
        <w:rPr>
          <w:rFonts w:ascii="Verdana" w:hAnsi="Verdana"/>
          <w:sz w:val="20"/>
          <w:szCs w:val="24"/>
        </w:rPr>
        <w:t xml:space="preserve">portfolio </w:t>
      </w:r>
      <w:r w:rsidR="003800AD">
        <w:rPr>
          <w:rFonts w:ascii="Verdana" w:hAnsi="Verdana"/>
          <w:sz w:val="20"/>
          <w:szCs w:val="24"/>
        </w:rPr>
        <w:t>agencies</w:t>
      </w:r>
      <w:r w:rsidRPr="00643CC2">
        <w:rPr>
          <w:rFonts w:ascii="Verdana" w:hAnsi="Verdana"/>
          <w:sz w:val="20"/>
          <w:szCs w:val="24"/>
        </w:rPr>
        <w:t xml:space="preserve"> responsibilities across </w:t>
      </w:r>
      <w:r w:rsidR="008311B2" w:rsidRPr="00643CC2">
        <w:rPr>
          <w:rFonts w:ascii="Verdana" w:hAnsi="Verdana"/>
          <w:sz w:val="20"/>
          <w:szCs w:val="24"/>
        </w:rPr>
        <w:t>Australia</w:t>
      </w:r>
      <w:r w:rsidRPr="00643CC2">
        <w:rPr>
          <w:rFonts w:ascii="Verdana" w:hAnsi="Verdana"/>
          <w:sz w:val="20"/>
          <w:szCs w:val="24"/>
        </w:rPr>
        <w:t xml:space="preserve"> and internationally means that to </w:t>
      </w:r>
      <w:r w:rsidR="00832FB2">
        <w:rPr>
          <w:rFonts w:ascii="Verdana" w:hAnsi="Verdana"/>
          <w:sz w:val="20"/>
          <w:szCs w:val="24"/>
        </w:rPr>
        <w:t>a large</w:t>
      </w:r>
      <w:r w:rsidRPr="00643CC2">
        <w:rPr>
          <w:rFonts w:ascii="Verdana" w:hAnsi="Verdana"/>
          <w:sz w:val="20"/>
          <w:szCs w:val="24"/>
        </w:rPr>
        <w:t xml:space="preserve"> extent the work impacts on the whole </w:t>
      </w:r>
      <w:r w:rsidR="008311B2" w:rsidRPr="00643CC2">
        <w:rPr>
          <w:rFonts w:ascii="Verdana" w:hAnsi="Verdana"/>
          <w:sz w:val="20"/>
          <w:szCs w:val="24"/>
        </w:rPr>
        <w:t>Australian</w:t>
      </w:r>
      <w:r w:rsidRPr="00643CC2">
        <w:rPr>
          <w:rFonts w:ascii="Verdana" w:hAnsi="Verdana"/>
          <w:sz w:val="20"/>
          <w:szCs w:val="24"/>
        </w:rPr>
        <w:t xml:space="preserve"> community. </w:t>
      </w:r>
      <w:r w:rsidR="00615CB6">
        <w:rPr>
          <w:rFonts w:ascii="Verdana" w:hAnsi="Verdana"/>
          <w:sz w:val="20"/>
          <w:szCs w:val="24"/>
        </w:rPr>
        <w:t xml:space="preserve">The </w:t>
      </w:r>
      <w:r w:rsidR="001347DB">
        <w:rPr>
          <w:rFonts w:ascii="Verdana" w:hAnsi="Verdana"/>
          <w:sz w:val="20"/>
          <w:szCs w:val="24"/>
        </w:rPr>
        <w:t>d</w:t>
      </w:r>
      <w:r w:rsidR="00615CB6">
        <w:rPr>
          <w:rFonts w:ascii="Verdana" w:hAnsi="Verdana"/>
          <w:sz w:val="20"/>
          <w:szCs w:val="24"/>
        </w:rPr>
        <w:t>epartment’s programs focussed on the biodiversity con</w:t>
      </w:r>
      <w:r w:rsidR="00E024A5">
        <w:rPr>
          <w:rFonts w:ascii="Verdana" w:hAnsi="Verdana"/>
          <w:sz w:val="20"/>
          <w:szCs w:val="24"/>
        </w:rPr>
        <w:t>serv</w:t>
      </w:r>
      <w:r w:rsidR="00615CB6">
        <w:rPr>
          <w:rFonts w:ascii="Verdana" w:hAnsi="Verdana"/>
          <w:sz w:val="20"/>
          <w:szCs w:val="24"/>
        </w:rPr>
        <w:t xml:space="preserve">ation and the sustainable management of natural resources are delivered in regional communities within which there are “islands of ethnicity”. Similarly, the </w:t>
      </w:r>
      <w:r w:rsidR="001347DB">
        <w:rPr>
          <w:rFonts w:ascii="Verdana" w:hAnsi="Verdana"/>
          <w:sz w:val="20"/>
          <w:szCs w:val="24"/>
        </w:rPr>
        <w:t>d</w:t>
      </w:r>
      <w:r w:rsidR="00615CB6">
        <w:rPr>
          <w:rFonts w:ascii="Verdana" w:hAnsi="Verdana"/>
          <w:sz w:val="20"/>
          <w:szCs w:val="24"/>
        </w:rPr>
        <w:t>epartment’s responsibilities relating to national environment law, such as laws relating to illegal trade in wildlife, may be of particular relevance to people from culturally and linguistically diverse backgrounds.</w:t>
      </w:r>
      <w:r w:rsidR="008311B2" w:rsidRPr="00643CC2">
        <w:rPr>
          <w:rFonts w:ascii="Verdana" w:hAnsi="Verdana"/>
          <w:sz w:val="20"/>
          <w:szCs w:val="24"/>
        </w:rPr>
        <w:t xml:space="preserve">  </w:t>
      </w:r>
    </w:p>
    <w:p w:rsidR="005A3405" w:rsidRPr="00643CC2" w:rsidRDefault="005A3405"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b/>
          <w:szCs w:val="24"/>
        </w:rPr>
      </w:pPr>
      <w:r w:rsidRPr="00643CC2">
        <w:rPr>
          <w:rFonts w:ascii="Verdana" w:hAnsi="Verdana"/>
          <w:b/>
          <w:szCs w:val="24"/>
        </w:rPr>
        <w:t>How does y</w:t>
      </w:r>
      <w:r w:rsidR="00D36E17" w:rsidRPr="00643CC2">
        <w:rPr>
          <w:rFonts w:ascii="Verdana" w:hAnsi="Verdana"/>
          <w:b/>
          <w:szCs w:val="24"/>
        </w:rPr>
        <w:t xml:space="preserve">our AMP support your </w:t>
      </w:r>
      <w:r w:rsidR="00C570F2">
        <w:rPr>
          <w:rFonts w:ascii="Verdana" w:hAnsi="Verdana"/>
          <w:b/>
          <w:szCs w:val="24"/>
        </w:rPr>
        <w:t>d</w:t>
      </w:r>
      <w:r w:rsidR="00280699">
        <w:rPr>
          <w:rFonts w:ascii="Verdana" w:hAnsi="Verdana"/>
          <w:b/>
          <w:szCs w:val="24"/>
        </w:rPr>
        <w:t xml:space="preserve">epartment and </w:t>
      </w:r>
      <w:r w:rsidR="00221ADC">
        <w:rPr>
          <w:rFonts w:ascii="Verdana" w:hAnsi="Verdana"/>
          <w:b/>
          <w:szCs w:val="24"/>
        </w:rPr>
        <w:t>portfolio a</w:t>
      </w:r>
      <w:r w:rsidR="00280699">
        <w:rPr>
          <w:rFonts w:ascii="Verdana" w:hAnsi="Verdana"/>
          <w:b/>
          <w:szCs w:val="24"/>
        </w:rPr>
        <w:t>gencies</w:t>
      </w:r>
      <w:r w:rsidR="00EB13B0" w:rsidRPr="00643CC2">
        <w:rPr>
          <w:rFonts w:ascii="Verdana" w:hAnsi="Verdana"/>
          <w:b/>
          <w:szCs w:val="24"/>
        </w:rPr>
        <w:t xml:space="preserve"> </w:t>
      </w:r>
      <w:r w:rsidRPr="00643CC2">
        <w:rPr>
          <w:rFonts w:ascii="Verdana" w:hAnsi="Verdana"/>
          <w:b/>
          <w:szCs w:val="24"/>
        </w:rPr>
        <w:t>core business?</w:t>
      </w:r>
    </w:p>
    <w:p w:rsidR="008311B2" w:rsidRPr="00643CC2" w:rsidRDefault="008311B2"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r w:rsidRPr="00643CC2">
        <w:rPr>
          <w:rFonts w:ascii="Verdana" w:hAnsi="Verdana"/>
          <w:sz w:val="20"/>
          <w:szCs w:val="24"/>
        </w:rPr>
        <w:t>This first Agenc</w:t>
      </w:r>
      <w:r w:rsidR="008B087D">
        <w:rPr>
          <w:rFonts w:ascii="Verdana" w:hAnsi="Verdana"/>
          <w:sz w:val="20"/>
          <w:szCs w:val="24"/>
        </w:rPr>
        <w:t>y Multicultural Plan (AMP) 2013</w:t>
      </w:r>
      <w:r w:rsidRPr="00643CC2">
        <w:rPr>
          <w:rFonts w:ascii="Verdana" w:hAnsi="Verdana"/>
          <w:sz w:val="20"/>
          <w:szCs w:val="24"/>
        </w:rPr>
        <w:t xml:space="preserve">-2015 supports </w:t>
      </w:r>
      <w:proofErr w:type="spellStart"/>
      <w:r w:rsidRPr="00643CC2">
        <w:rPr>
          <w:rFonts w:ascii="Verdana" w:hAnsi="Verdana"/>
          <w:sz w:val="20"/>
          <w:szCs w:val="24"/>
        </w:rPr>
        <w:t>SEWPaC’s</w:t>
      </w:r>
      <w:proofErr w:type="spellEnd"/>
      <w:r w:rsidRPr="00643CC2">
        <w:rPr>
          <w:rFonts w:ascii="Verdana" w:hAnsi="Verdana"/>
          <w:sz w:val="20"/>
          <w:szCs w:val="24"/>
        </w:rPr>
        <w:t xml:space="preserve"> core business of </w:t>
      </w:r>
      <w:r w:rsidR="00EB13B0" w:rsidRPr="00643CC2">
        <w:rPr>
          <w:rFonts w:ascii="Verdana" w:hAnsi="Verdana"/>
          <w:sz w:val="20"/>
          <w:szCs w:val="24"/>
        </w:rPr>
        <w:t xml:space="preserve">improving </w:t>
      </w:r>
      <w:r w:rsidRPr="00643CC2">
        <w:rPr>
          <w:rFonts w:ascii="Verdana" w:hAnsi="Verdana"/>
          <w:sz w:val="20"/>
          <w:szCs w:val="24"/>
        </w:rPr>
        <w:t>sustainability across our environment, water, heritage and communities</w:t>
      </w:r>
      <w:r w:rsidR="0061348B" w:rsidRPr="00643CC2">
        <w:rPr>
          <w:rFonts w:ascii="Verdana" w:hAnsi="Verdana"/>
          <w:sz w:val="20"/>
          <w:szCs w:val="24"/>
        </w:rPr>
        <w:t xml:space="preserve">.  This first Plan </w:t>
      </w:r>
      <w:r w:rsidR="0064451E" w:rsidRPr="00643CC2">
        <w:rPr>
          <w:rFonts w:ascii="Verdana" w:hAnsi="Verdana"/>
          <w:sz w:val="20"/>
          <w:szCs w:val="24"/>
        </w:rPr>
        <w:t>focus</w:t>
      </w:r>
      <w:r w:rsidR="0064451E">
        <w:rPr>
          <w:rFonts w:ascii="Verdana" w:hAnsi="Verdana"/>
          <w:sz w:val="20"/>
          <w:szCs w:val="24"/>
        </w:rPr>
        <w:t>e</w:t>
      </w:r>
      <w:r w:rsidR="0064451E" w:rsidRPr="00643CC2">
        <w:rPr>
          <w:rFonts w:ascii="Verdana" w:hAnsi="Verdana"/>
          <w:sz w:val="20"/>
          <w:szCs w:val="24"/>
        </w:rPr>
        <w:t>s</w:t>
      </w:r>
      <w:r w:rsidR="0061348B" w:rsidRPr="00643CC2">
        <w:rPr>
          <w:rFonts w:ascii="Verdana" w:hAnsi="Verdana"/>
          <w:sz w:val="20"/>
          <w:szCs w:val="24"/>
        </w:rPr>
        <w:t xml:space="preserve"> on creating a baseline </w:t>
      </w:r>
      <w:r w:rsidR="00E024A5">
        <w:rPr>
          <w:rFonts w:ascii="Verdana" w:hAnsi="Verdana"/>
          <w:sz w:val="20"/>
          <w:szCs w:val="24"/>
        </w:rPr>
        <w:t xml:space="preserve">understanding of the diversity </w:t>
      </w:r>
      <w:r w:rsidR="0061348B" w:rsidRPr="00643CC2">
        <w:rPr>
          <w:rFonts w:ascii="Verdana" w:hAnsi="Verdana"/>
          <w:sz w:val="20"/>
          <w:szCs w:val="24"/>
        </w:rPr>
        <w:t xml:space="preserve">of the </w:t>
      </w:r>
      <w:r w:rsidR="008B087D">
        <w:rPr>
          <w:rFonts w:ascii="Verdana" w:hAnsi="Verdana"/>
          <w:sz w:val="20"/>
          <w:szCs w:val="24"/>
        </w:rPr>
        <w:t>d</w:t>
      </w:r>
      <w:r w:rsidR="00C570F2">
        <w:rPr>
          <w:rFonts w:ascii="Verdana" w:hAnsi="Verdana"/>
          <w:sz w:val="20"/>
          <w:szCs w:val="24"/>
        </w:rPr>
        <w:t>epartment</w:t>
      </w:r>
      <w:r w:rsidR="00280699">
        <w:rPr>
          <w:rFonts w:ascii="Verdana" w:hAnsi="Verdana"/>
          <w:sz w:val="20"/>
          <w:szCs w:val="24"/>
        </w:rPr>
        <w:t xml:space="preserve"> and </w:t>
      </w:r>
      <w:r w:rsidR="00EF6B9F">
        <w:rPr>
          <w:rFonts w:ascii="Verdana" w:hAnsi="Verdana"/>
          <w:sz w:val="20"/>
          <w:szCs w:val="24"/>
        </w:rPr>
        <w:t xml:space="preserve">portfolio </w:t>
      </w:r>
      <w:r w:rsidR="00280699">
        <w:rPr>
          <w:rFonts w:ascii="Verdana" w:hAnsi="Verdana"/>
          <w:sz w:val="20"/>
          <w:szCs w:val="24"/>
        </w:rPr>
        <w:t>agencies</w:t>
      </w:r>
      <w:r w:rsidR="0061348B" w:rsidRPr="00643CC2">
        <w:rPr>
          <w:rFonts w:ascii="Verdana" w:hAnsi="Verdana"/>
          <w:sz w:val="20"/>
          <w:szCs w:val="24"/>
        </w:rPr>
        <w:t xml:space="preserve"> clients and stakeholders</w:t>
      </w:r>
      <w:r w:rsidR="00C564B9" w:rsidRPr="00643CC2">
        <w:rPr>
          <w:rFonts w:ascii="Verdana" w:hAnsi="Verdana"/>
          <w:sz w:val="20"/>
          <w:szCs w:val="24"/>
        </w:rPr>
        <w:t xml:space="preserve"> and of our current multicultural and access actions.  It also </w:t>
      </w:r>
      <w:r w:rsidR="0064451E" w:rsidRPr="00643CC2">
        <w:rPr>
          <w:rFonts w:ascii="Verdana" w:hAnsi="Verdana"/>
          <w:sz w:val="20"/>
          <w:szCs w:val="24"/>
        </w:rPr>
        <w:t>focus</w:t>
      </w:r>
      <w:r w:rsidR="0064451E">
        <w:rPr>
          <w:rFonts w:ascii="Verdana" w:hAnsi="Verdana"/>
          <w:sz w:val="20"/>
          <w:szCs w:val="24"/>
        </w:rPr>
        <w:t>e</w:t>
      </w:r>
      <w:r w:rsidR="0064451E" w:rsidRPr="00643CC2">
        <w:rPr>
          <w:rFonts w:ascii="Verdana" w:hAnsi="Verdana"/>
          <w:sz w:val="20"/>
          <w:szCs w:val="24"/>
        </w:rPr>
        <w:t>s</w:t>
      </w:r>
      <w:r w:rsidR="00C564B9" w:rsidRPr="00643CC2">
        <w:rPr>
          <w:rFonts w:ascii="Verdana" w:hAnsi="Verdana"/>
          <w:sz w:val="20"/>
          <w:szCs w:val="24"/>
        </w:rPr>
        <w:t xml:space="preserve"> on developing the capability of our </w:t>
      </w:r>
      <w:r w:rsidR="008B087D">
        <w:rPr>
          <w:rFonts w:ascii="Verdana" w:hAnsi="Verdana"/>
          <w:sz w:val="20"/>
          <w:szCs w:val="24"/>
        </w:rPr>
        <w:t>d</w:t>
      </w:r>
      <w:r w:rsidR="00C570F2">
        <w:rPr>
          <w:rFonts w:ascii="Verdana" w:hAnsi="Verdana"/>
          <w:sz w:val="20"/>
          <w:szCs w:val="24"/>
        </w:rPr>
        <w:t>epartment</w:t>
      </w:r>
      <w:r w:rsidR="00280699">
        <w:rPr>
          <w:rFonts w:ascii="Verdana" w:hAnsi="Verdana"/>
          <w:sz w:val="20"/>
          <w:szCs w:val="24"/>
        </w:rPr>
        <w:t xml:space="preserve"> and agencies</w:t>
      </w:r>
      <w:r w:rsidR="00C564B9" w:rsidRPr="00643CC2">
        <w:rPr>
          <w:rFonts w:ascii="Verdana" w:hAnsi="Verdana"/>
          <w:sz w:val="20"/>
          <w:szCs w:val="24"/>
        </w:rPr>
        <w:t xml:space="preserve"> to take account of this diversity in our policy,</w:t>
      </w:r>
      <w:r w:rsidR="00D36E17" w:rsidRPr="00643CC2">
        <w:rPr>
          <w:rFonts w:ascii="Verdana" w:hAnsi="Verdana"/>
          <w:sz w:val="20"/>
          <w:szCs w:val="24"/>
        </w:rPr>
        <w:t xml:space="preserve"> planning, research, regulation, </w:t>
      </w:r>
      <w:proofErr w:type="gramStart"/>
      <w:r w:rsidR="00C564B9" w:rsidRPr="00643CC2">
        <w:rPr>
          <w:rFonts w:ascii="Verdana" w:hAnsi="Verdana"/>
          <w:sz w:val="20"/>
          <w:szCs w:val="24"/>
        </w:rPr>
        <w:t>project</w:t>
      </w:r>
      <w:proofErr w:type="gramEnd"/>
      <w:r w:rsidR="00C564B9" w:rsidRPr="00643CC2">
        <w:rPr>
          <w:rFonts w:ascii="Verdana" w:hAnsi="Verdana"/>
          <w:sz w:val="20"/>
          <w:szCs w:val="24"/>
        </w:rPr>
        <w:t xml:space="preserve"> and grant management </w:t>
      </w:r>
      <w:r w:rsidR="00E024A5">
        <w:rPr>
          <w:rFonts w:ascii="Verdana" w:hAnsi="Verdana"/>
          <w:sz w:val="20"/>
          <w:szCs w:val="24"/>
        </w:rPr>
        <w:t>responsibilities</w:t>
      </w:r>
      <w:r w:rsidR="00C564B9" w:rsidRPr="00643CC2">
        <w:rPr>
          <w:rFonts w:ascii="Verdana" w:hAnsi="Verdana"/>
          <w:sz w:val="20"/>
          <w:szCs w:val="24"/>
        </w:rPr>
        <w:t>.</w:t>
      </w:r>
    </w:p>
    <w:p w:rsidR="00951AF7" w:rsidRPr="00643CC2" w:rsidRDefault="00951AF7"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p>
    <w:p w:rsidR="00D36E17" w:rsidRPr="00643CC2" w:rsidRDefault="00D36E17">
      <w:pPr>
        <w:spacing w:after="0" w:line="240" w:lineRule="auto"/>
        <w:rPr>
          <w:rFonts w:ascii="Verdana" w:hAnsi="Verdana"/>
          <w:sz w:val="16"/>
          <w:szCs w:val="16"/>
        </w:rPr>
      </w:pPr>
      <w:r w:rsidRPr="00643CC2">
        <w:rPr>
          <w:rFonts w:ascii="Verdana" w:hAnsi="Verdana"/>
          <w:sz w:val="16"/>
          <w:szCs w:val="16"/>
        </w:rPr>
        <w:br w:type="page"/>
      </w:r>
    </w:p>
    <w:p w:rsidR="00502F91" w:rsidRPr="00643CC2" w:rsidRDefault="00502F91"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360" w:after="240" w:line="240" w:lineRule="auto"/>
        <w:jc w:val="both"/>
        <w:rPr>
          <w:rFonts w:ascii="Verdana" w:hAnsi="Verdana"/>
          <w:b/>
          <w:sz w:val="24"/>
          <w:szCs w:val="28"/>
        </w:rPr>
      </w:pPr>
    </w:p>
    <w:p w:rsidR="005A3405" w:rsidRPr="00643CC2" w:rsidRDefault="005A3405"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360" w:after="240" w:line="240" w:lineRule="auto"/>
        <w:jc w:val="both"/>
        <w:rPr>
          <w:rFonts w:ascii="Verdana" w:hAnsi="Verdana"/>
          <w:b/>
          <w:sz w:val="24"/>
          <w:szCs w:val="28"/>
        </w:rPr>
      </w:pPr>
      <w:r w:rsidRPr="00643CC2">
        <w:rPr>
          <w:rFonts w:ascii="Verdana" w:hAnsi="Verdana"/>
          <w:b/>
          <w:sz w:val="24"/>
          <w:szCs w:val="28"/>
        </w:rPr>
        <w:t>Our A</w:t>
      </w:r>
      <w:r w:rsidR="00272F1F" w:rsidRPr="00643CC2">
        <w:rPr>
          <w:rFonts w:ascii="Verdana" w:hAnsi="Verdana"/>
          <w:b/>
          <w:sz w:val="24"/>
          <w:szCs w:val="28"/>
        </w:rPr>
        <w:t>gency</w:t>
      </w:r>
      <w:r w:rsidR="00D36E17" w:rsidRPr="00643CC2">
        <w:rPr>
          <w:rFonts w:ascii="Verdana" w:hAnsi="Verdana"/>
          <w:b/>
          <w:sz w:val="24"/>
          <w:szCs w:val="28"/>
        </w:rPr>
        <w:t>’s</w:t>
      </w:r>
      <w:r w:rsidR="00272F1F" w:rsidRPr="00643CC2">
        <w:rPr>
          <w:rFonts w:ascii="Verdana" w:hAnsi="Verdana"/>
          <w:b/>
          <w:sz w:val="24"/>
          <w:szCs w:val="28"/>
        </w:rPr>
        <w:t xml:space="preserve"> </w:t>
      </w:r>
      <w:r w:rsidRPr="00643CC2">
        <w:rPr>
          <w:rFonts w:ascii="Verdana" w:hAnsi="Verdana"/>
          <w:b/>
          <w:sz w:val="24"/>
          <w:szCs w:val="28"/>
        </w:rPr>
        <w:t>M</w:t>
      </w:r>
      <w:r w:rsidR="00272F1F" w:rsidRPr="00643CC2">
        <w:rPr>
          <w:rFonts w:ascii="Verdana" w:hAnsi="Verdana"/>
          <w:b/>
          <w:sz w:val="24"/>
          <w:szCs w:val="28"/>
        </w:rPr>
        <w:t xml:space="preserve">ulticultural </w:t>
      </w:r>
      <w:r w:rsidRPr="00643CC2">
        <w:rPr>
          <w:rFonts w:ascii="Verdana" w:hAnsi="Verdana"/>
          <w:b/>
          <w:sz w:val="24"/>
          <w:szCs w:val="28"/>
        </w:rPr>
        <w:t>P</w:t>
      </w:r>
      <w:r w:rsidR="00272F1F" w:rsidRPr="00643CC2">
        <w:rPr>
          <w:rFonts w:ascii="Verdana" w:hAnsi="Verdana"/>
          <w:b/>
          <w:sz w:val="24"/>
          <w:szCs w:val="28"/>
        </w:rPr>
        <w:t>lan</w:t>
      </w:r>
    </w:p>
    <w:p w:rsidR="005A3405" w:rsidRPr="00643CC2" w:rsidRDefault="005A3405"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b/>
          <w:szCs w:val="24"/>
        </w:rPr>
      </w:pPr>
      <w:r w:rsidRPr="00643CC2">
        <w:rPr>
          <w:rFonts w:ascii="Verdana" w:hAnsi="Verdana"/>
          <w:b/>
          <w:szCs w:val="24"/>
        </w:rPr>
        <w:t>Who is the Senior Executive Officer responsible for your AMP internally?</w:t>
      </w:r>
    </w:p>
    <w:p w:rsidR="00272F1F" w:rsidRPr="00643CC2" w:rsidRDefault="00272F1F"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r w:rsidRPr="00643CC2">
        <w:rPr>
          <w:rFonts w:ascii="Verdana" w:hAnsi="Verdana"/>
          <w:sz w:val="20"/>
          <w:szCs w:val="24"/>
        </w:rPr>
        <w:t>The Senior Executive Officer responsible for the SEWPaC AMP</w:t>
      </w:r>
      <w:r w:rsidR="0061348B" w:rsidRPr="00643CC2">
        <w:rPr>
          <w:rFonts w:ascii="Verdana" w:hAnsi="Verdana"/>
          <w:sz w:val="20"/>
          <w:szCs w:val="24"/>
        </w:rPr>
        <w:t xml:space="preserve"> is First Assistant Secretary, </w:t>
      </w:r>
      <w:r w:rsidR="00124FDF">
        <w:rPr>
          <w:rFonts w:ascii="Verdana" w:hAnsi="Verdana"/>
          <w:sz w:val="20"/>
          <w:szCs w:val="24"/>
        </w:rPr>
        <w:t>Policy and Communications</w:t>
      </w:r>
      <w:r w:rsidR="0061348B" w:rsidRPr="00643CC2">
        <w:rPr>
          <w:rFonts w:ascii="Verdana" w:hAnsi="Verdana"/>
          <w:sz w:val="20"/>
          <w:szCs w:val="24"/>
        </w:rPr>
        <w:t xml:space="preserve"> Division.</w:t>
      </w:r>
    </w:p>
    <w:p w:rsidR="005A3405" w:rsidRPr="00643CC2" w:rsidRDefault="005A3405"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b/>
          <w:szCs w:val="24"/>
        </w:rPr>
      </w:pPr>
      <w:r w:rsidRPr="00643CC2">
        <w:rPr>
          <w:rFonts w:ascii="Verdana" w:hAnsi="Verdana"/>
          <w:b/>
          <w:szCs w:val="24"/>
        </w:rPr>
        <w:t>Who was involved in your AMP working g</w:t>
      </w:r>
      <w:r w:rsidR="0061348B" w:rsidRPr="00643CC2">
        <w:rPr>
          <w:rFonts w:ascii="Verdana" w:hAnsi="Verdana"/>
          <w:b/>
          <w:szCs w:val="24"/>
        </w:rPr>
        <w:t>roup?</w:t>
      </w:r>
    </w:p>
    <w:p w:rsidR="0061348B" w:rsidRPr="00643CC2" w:rsidRDefault="00AC0B2B"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0"/>
          <w:szCs w:val="24"/>
        </w:rPr>
      </w:pPr>
      <w:r>
        <w:rPr>
          <w:rFonts w:ascii="Verdana" w:hAnsi="Verdana"/>
          <w:sz w:val="20"/>
          <w:szCs w:val="24"/>
        </w:rPr>
        <w:t>Corporate Strategies</w:t>
      </w:r>
      <w:r w:rsidR="0061348B" w:rsidRPr="00643CC2">
        <w:rPr>
          <w:rFonts w:ascii="Verdana" w:hAnsi="Verdana"/>
          <w:sz w:val="20"/>
          <w:szCs w:val="24"/>
        </w:rPr>
        <w:t xml:space="preserve"> Division has taken major responsibility for </w:t>
      </w:r>
      <w:r>
        <w:rPr>
          <w:rFonts w:ascii="Verdana" w:hAnsi="Verdana"/>
          <w:sz w:val="20"/>
          <w:szCs w:val="24"/>
        </w:rPr>
        <w:t xml:space="preserve">development of </w:t>
      </w:r>
      <w:r w:rsidR="0061348B" w:rsidRPr="00643CC2">
        <w:rPr>
          <w:rFonts w:ascii="Verdana" w:hAnsi="Verdana"/>
          <w:sz w:val="20"/>
          <w:szCs w:val="24"/>
        </w:rPr>
        <w:t xml:space="preserve">the Plan drawing on information and expertise across the </w:t>
      </w:r>
      <w:r w:rsidR="008B087D">
        <w:rPr>
          <w:rFonts w:ascii="Verdana" w:hAnsi="Verdana"/>
          <w:sz w:val="20"/>
          <w:szCs w:val="24"/>
        </w:rPr>
        <w:t>d</w:t>
      </w:r>
      <w:r w:rsidR="00C570F2">
        <w:rPr>
          <w:rFonts w:ascii="Verdana" w:hAnsi="Verdana"/>
          <w:sz w:val="20"/>
          <w:szCs w:val="24"/>
        </w:rPr>
        <w:t>epartment</w:t>
      </w:r>
      <w:r w:rsidR="00280699">
        <w:rPr>
          <w:rFonts w:ascii="Verdana" w:hAnsi="Verdana"/>
          <w:sz w:val="20"/>
          <w:szCs w:val="24"/>
        </w:rPr>
        <w:t xml:space="preserve"> and </w:t>
      </w:r>
      <w:r w:rsidR="0056500F">
        <w:rPr>
          <w:rFonts w:ascii="Verdana" w:hAnsi="Verdana"/>
          <w:sz w:val="20"/>
          <w:szCs w:val="24"/>
        </w:rPr>
        <w:t xml:space="preserve">portfolio </w:t>
      </w:r>
      <w:r w:rsidR="00280699">
        <w:rPr>
          <w:rFonts w:ascii="Verdana" w:hAnsi="Verdana"/>
          <w:sz w:val="20"/>
          <w:szCs w:val="24"/>
        </w:rPr>
        <w:t>agencies</w:t>
      </w:r>
      <w:r w:rsidR="0061348B" w:rsidRPr="00643CC2">
        <w:rPr>
          <w:rFonts w:ascii="Verdana" w:hAnsi="Verdana"/>
          <w:sz w:val="20"/>
          <w:szCs w:val="24"/>
        </w:rPr>
        <w:t xml:space="preserve">.  A more formal </w:t>
      </w:r>
      <w:r w:rsidR="002A1C3A" w:rsidRPr="00643CC2">
        <w:rPr>
          <w:rFonts w:ascii="Verdana" w:hAnsi="Verdana"/>
          <w:sz w:val="20"/>
          <w:szCs w:val="24"/>
        </w:rPr>
        <w:t xml:space="preserve">senior governance group </w:t>
      </w:r>
      <w:r w:rsidR="0061348B" w:rsidRPr="00643CC2">
        <w:rPr>
          <w:rFonts w:ascii="Verdana" w:hAnsi="Verdana"/>
          <w:sz w:val="20"/>
          <w:szCs w:val="24"/>
        </w:rPr>
        <w:t xml:space="preserve">will be </w:t>
      </w:r>
      <w:r w:rsidR="00E61C85">
        <w:rPr>
          <w:rFonts w:ascii="Verdana" w:hAnsi="Verdana"/>
          <w:sz w:val="20"/>
          <w:szCs w:val="24"/>
        </w:rPr>
        <w:t>identified</w:t>
      </w:r>
      <w:r w:rsidR="0061348B" w:rsidRPr="00643CC2">
        <w:rPr>
          <w:rFonts w:ascii="Verdana" w:hAnsi="Verdana"/>
          <w:sz w:val="20"/>
          <w:szCs w:val="24"/>
        </w:rPr>
        <w:t xml:space="preserve"> to </w:t>
      </w:r>
      <w:r w:rsidR="009B6D46" w:rsidRPr="00643CC2">
        <w:rPr>
          <w:rFonts w:ascii="Verdana" w:hAnsi="Verdana"/>
          <w:sz w:val="20"/>
          <w:szCs w:val="24"/>
        </w:rPr>
        <w:t xml:space="preserve">assist in implementing, </w:t>
      </w:r>
      <w:r w:rsidR="0061348B" w:rsidRPr="00643CC2">
        <w:rPr>
          <w:rFonts w:ascii="Verdana" w:hAnsi="Verdana"/>
          <w:sz w:val="20"/>
          <w:szCs w:val="24"/>
        </w:rPr>
        <w:t>monitor</w:t>
      </w:r>
      <w:r w:rsidR="009B6D46" w:rsidRPr="00643CC2">
        <w:rPr>
          <w:rFonts w:ascii="Verdana" w:hAnsi="Verdana"/>
          <w:sz w:val="20"/>
          <w:szCs w:val="24"/>
        </w:rPr>
        <w:t>ing</w:t>
      </w:r>
      <w:r w:rsidR="0061348B" w:rsidRPr="00643CC2">
        <w:rPr>
          <w:rFonts w:ascii="Verdana" w:hAnsi="Verdana"/>
          <w:sz w:val="20"/>
          <w:szCs w:val="24"/>
        </w:rPr>
        <w:t xml:space="preserve"> and if needed</w:t>
      </w:r>
      <w:r w:rsidR="002A1C3A" w:rsidRPr="00643CC2">
        <w:rPr>
          <w:rFonts w:ascii="Verdana" w:hAnsi="Verdana"/>
          <w:sz w:val="20"/>
          <w:szCs w:val="24"/>
        </w:rPr>
        <w:t>,</w:t>
      </w:r>
      <w:r w:rsidR="0061348B" w:rsidRPr="00643CC2">
        <w:rPr>
          <w:rFonts w:ascii="Verdana" w:hAnsi="Verdana"/>
          <w:sz w:val="20"/>
          <w:szCs w:val="24"/>
        </w:rPr>
        <w:t xml:space="preserve"> modify</w:t>
      </w:r>
      <w:r w:rsidR="002A1C3A" w:rsidRPr="00643CC2">
        <w:rPr>
          <w:rFonts w:ascii="Verdana" w:hAnsi="Verdana"/>
          <w:sz w:val="20"/>
          <w:szCs w:val="24"/>
        </w:rPr>
        <w:t>ing</w:t>
      </w:r>
      <w:r w:rsidR="0061348B" w:rsidRPr="00643CC2">
        <w:rPr>
          <w:rFonts w:ascii="Verdana" w:hAnsi="Verdana"/>
          <w:sz w:val="20"/>
          <w:szCs w:val="24"/>
        </w:rPr>
        <w:t xml:space="preserve"> the actions in th</w:t>
      </w:r>
      <w:r w:rsidR="002A1C3A" w:rsidRPr="00643CC2">
        <w:rPr>
          <w:rFonts w:ascii="Verdana" w:hAnsi="Verdana"/>
          <w:sz w:val="20"/>
          <w:szCs w:val="24"/>
        </w:rPr>
        <w:t>e plan, over this initial</w:t>
      </w:r>
      <w:r w:rsidR="008B087D">
        <w:rPr>
          <w:rFonts w:ascii="Verdana" w:hAnsi="Verdana"/>
          <w:sz w:val="20"/>
          <w:szCs w:val="24"/>
        </w:rPr>
        <w:t xml:space="preserve"> two year period.</w:t>
      </w:r>
    </w:p>
    <w:p w:rsidR="00D36E17" w:rsidRPr="00643CC2" w:rsidRDefault="00D36E17"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Cs w:val="24"/>
        </w:rPr>
      </w:pPr>
      <w:r w:rsidRPr="00643CC2">
        <w:rPr>
          <w:rFonts w:ascii="Verdana" w:hAnsi="Verdana"/>
          <w:b/>
          <w:szCs w:val="24"/>
        </w:rPr>
        <w:t xml:space="preserve">Outline what your </w:t>
      </w:r>
      <w:r w:rsidR="00C570F2">
        <w:rPr>
          <w:rFonts w:ascii="Verdana" w:hAnsi="Verdana"/>
          <w:b/>
          <w:szCs w:val="24"/>
        </w:rPr>
        <w:t>Department</w:t>
      </w:r>
      <w:r w:rsidR="00280699">
        <w:rPr>
          <w:rFonts w:ascii="Verdana" w:hAnsi="Verdana"/>
          <w:b/>
          <w:szCs w:val="24"/>
        </w:rPr>
        <w:t xml:space="preserve"> and agencies</w:t>
      </w:r>
      <w:r w:rsidR="005A3405" w:rsidRPr="00643CC2">
        <w:rPr>
          <w:rFonts w:ascii="Verdana" w:hAnsi="Verdana"/>
          <w:b/>
          <w:szCs w:val="24"/>
        </w:rPr>
        <w:t xml:space="preserve"> seeks to achieve through your AMP?</w:t>
      </w:r>
      <w:r w:rsidR="0061348B" w:rsidRPr="00643CC2">
        <w:rPr>
          <w:rFonts w:ascii="Verdana" w:hAnsi="Verdana"/>
          <w:szCs w:val="24"/>
        </w:rPr>
        <w:t xml:space="preserve"> </w:t>
      </w:r>
    </w:p>
    <w:p w:rsidR="00951AF7" w:rsidRPr="00643CC2" w:rsidRDefault="0061348B" w:rsidP="007B3C4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line="240" w:lineRule="auto"/>
        <w:jc w:val="both"/>
        <w:rPr>
          <w:rFonts w:ascii="Verdana" w:hAnsi="Verdana"/>
          <w:sz w:val="24"/>
          <w:szCs w:val="24"/>
        </w:rPr>
      </w:pPr>
      <w:r w:rsidRPr="00643CC2">
        <w:rPr>
          <w:rFonts w:ascii="Verdana" w:hAnsi="Verdana"/>
          <w:sz w:val="20"/>
          <w:szCs w:val="24"/>
        </w:rPr>
        <w:t xml:space="preserve">The Plan provides a framework for SEWPaC </w:t>
      </w:r>
      <w:r w:rsidR="00947783">
        <w:rPr>
          <w:rFonts w:ascii="Verdana" w:hAnsi="Verdana"/>
          <w:sz w:val="20"/>
          <w:szCs w:val="24"/>
        </w:rPr>
        <w:t xml:space="preserve">and </w:t>
      </w:r>
      <w:r w:rsidR="00A53CE2">
        <w:rPr>
          <w:rFonts w:ascii="Verdana" w:hAnsi="Verdana"/>
          <w:sz w:val="20"/>
          <w:szCs w:val="24"/>
        </w:rPr>
        <w:t>portfolio</w:t>
      </w:r>
      <w:r w:rsidR="00947783">
        <w:rPr>
          <w:rFonts w:ascii="Verdana" w:hAnsi="Verdana"/>
          <w:sz w:val="20"/>
          <w:szCs w:val="24"/>
        </w:rPr>
        <w:t xml:space="preserve"> agencies </w:t>
      </w:r>
      <w:r w:rsidRPr="00643CC2">
        <w:rPr>
          <w:rFonts w:ascii="Verdana" w:hAnsi="Verdana"/>
          <w:sz w:val="20"/>
          <w:szCs w:val="24"/>
        </w:rPr>
        <w:t xml:space="preserve">to reflect on the diverse interests and needs of our </w:t>
      </w:r>
      <w:r w:rsidR="002A1C3A" w:rsidRPr="00643CC2">
        <w:rPr>
          <w:rFonts w:ascii="Verdana" w:hAnsi="Verdana"/>
          <w:sz w:val="20"/>
          <w:szCs w:val="24"/>
        </w:rPr>
        <w:t xml:space="preserve">multicultural </w:t>
      </w:r>
      <w:r w:rsidR="00D36E17" w:rsidRPr="00643CC2">
        <w:rPr>
          <w:rFonts w:ascii="Verdana" w:hAnsi="Verdana"/>
          <w:sz w:val="20"/>
          <w:szCs w:val="24"/>
        </w:rPr>
        <w:t xml:space="preserve">clients, </w:t>
      </w:r>
      <w:r w:rsidRPr="00643CC2">
        <w:rPr>
          <w:rFonts w:ascii="Verdana" w:hAnsi="Verdana"/>
          <w:sz w:val="20"/>
          <w:szCs w:val="24"/>
        </w:rPr>
        <w:t>stakeholders</w:t>
      </w:r>
      <w:r w:rsidR="002A1C3A" w:rsidRPr="00643CC2">
        <w:rPr>
          <w:rFonts w:ascii="Verdana" w:hAnsi="Verdana"/>
          <w:sz w:val="20"/>
          <w:szCs w:val="24"/>
        </w:rPr>
        <w:t xml:space="preserve"> and</w:t>
      </w:r>
      <w:r w:rsidRPr="00643CC2">
        <w:rPr>
          <w:rFonts w:ascii="Verdana" w:hAnsi="Verdana"/>
          <w:sz w:val="20"/>
          <w:szCs w:val="24"/>
        </w:rPr>
        <w:t xml:space="preserve"> to plan a range of responses </w:t>
      </w:r>
      <w:r w:rsidR="002A1C3A" w:rsidRPr="00643CC2">
        <w:rPr>
          <w:rFonts w:ascii="Verdana" w:hAnsi="Verdana"/>
          <w:sz w:val="20"/>
          <w:szCs w:val="24"/>
        </w:rPr>
        <w:t>that will make SEWPaC</w:t>
      </w:r>
      <w:r w:rsidRPr="00643CC2">
        <w:rPr>
          <w:rFonts w:ascii="Verdana" w:hAnsi="Verdana"/>
          <w:sz w:val="20"/>
          <w:szCs w:val="24"/>
        </w:rPr>
        <w:t xml:space="preserve"> </w:t>
      </w:r>
      <w:r w:rsidR="00947783">
        <w:rPr>
          <w:rFonts w:ascii="Verdana" w:hAnsi="Verdana"/>
          <w:sz w:val="20"/>
          <w:szCs w:val="24"/>
        </w:rPr>
        <w:t xml:space="preserve">and </w:t>
      </w:r>
      <w:r w:rsidR="00A53CE2">
        <w:rPr>
          <w:rFonts w:ascii="Verdana" w:hAnsi="Verdana"/>
          <w:sz w:val="20"/>
          <w:szCs w:val="24"/>
        </w:rPr>
        <w:t>portfolio</w:t>
      </w:r>
      <w:r w:rsidR="00947783">
        <w:rPr>
          <w:rFonts w:ascii="Verdana" w:hAnsi="Verdana"/>
          <w:sz w:val="20"/>
          <w:szCs w:val="24"/>
        </w:rPr>
        <w:t xml:space="preserve"> agencies </w:t>
      </w:r>
      <w:r w:rsidRPr="00643CC2">
        <w:rPr>
          <w:rFonts w:ascii="Verdana" w:hAnsi="Verdana"/>
          <w:sz w:val="20"/>
          <w:szCs w:val="24"/>
        </w:rPr>
        <w:t xml:space="preserve">increasingly responsive to the needs of the </w:t>
      </w:r>
      <w:r w:rsidR="002A1C3A" w:rsidRPr="00643CC2">
        <w:rPr>
          <w:rFonts w:ascii="Verdana" w:hAnsi="Verdana"/>
          <w:sz w:val="20"/>
          <w:szCs w:val="24"/>
        </w:rPr>
        <w:t xml:space="preserve">culturally and linguistically diverse </w:t>
      </w:r>
      <w:r w:rsidRPr="00643CC2">
        <w:rPr>
          <w:rFonts w:ascii="Verdana" w:hAnsi="Verdana"/>
          <w:sz w:val="20"/>
          <w:szCs w:val="24"/>
        </w:rPr>
        <w:t>community who are impacted by our work</w:t>
      </w:r>
      <w:r w:rsidRPr="00643CC2">
        <w:rPr>
          <w:rFonts w:ascii="Verdana" w:hAnsi="Verdana"/>
          <w:sz w:val="24"/>
          <w:szCs w:val="24"/>
        </w:rPr>
        <w:t>.</w:t>
      </w:r>
    </w:p>
    <w:p w:rsidR="00952F57" w:rsidRPr="00643CC2" w:rsidRDefault="00952F57" w:rsidP="00E656BB">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240" w:after="240"/>
        <w:jc w:val="both"/>
        <w:rPr>
          <w:rFonts w:ascii="Verdana" w:hAnsi="Verdana"/>
          <w:sz w:val="24"/>
          <w:szCs w:val="24"/>
        </w:rPr>
      </w:pPr>
    </w:p>
    <w:tbl>
      <w:tblPr>
        <w:tblStyle w:val="TableGrid"/>
        <w:tblW w:w="0" w:type="auto"/>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shd w:val="clear" w:color="auto" w:fill="DBE5F1" w:themeFill="accent1" w:themeFillTint="33"/>
        <w:tblLook w:val="04A0"/>
      </w:tblPr>
      <w:tblGrid>
        <w:gridCol w:w="14333"/>
      </w:tblGrid>
      <w:tr w:rsidR="00E656BB" w:rsidRPr="00643CC2" w:rsidTr="00E656BB">
        <w:trPr>
          <w:cnfStyle w:val="100000000000"/>
        </w:trPr>
        <w:tc>
          <w:tcPr>
            <w:tcW w:w="14333" w:type="dxa"/>
            <w:shd w:val="clear" w:color="auto" w:fill="DBE5F1" w:themeFill="accent1" w:themeFillTint="33"/>
          </w:tcPr>
          <w:p w:rsidR="00E656BB" w:rsidRPr="00643CC2" w:rsidRDefault="00E656BB" w:rsidP="00E656BB">
            <w:pPr>
              <w:spacing w:before="240" w:after="240"/>
              <w:jc w:val="both"/>
              <w:rPr>
                <w:rFonts w:ascii="Verdana" w:hAnsi="Verdana"/>
                <w:b/>
                <w:sz w:val="24"/>
                <w:szCs w:val="28"/>
              </w:rPr>
            </w:pPr>
            <w:r w:rsidRPr="00643CC2">
              <w:rPr>
                <w:rFonts w:ascii="Verdana" w:hAnsi="Verdana"/>
                <w:b/>
                <w:sz w:val="24"/>
                <w:szCs w:val="28"/>
              </w:rPr>
              <w:t>Focus area</w:t>
            </w:r>
          </w:p>
          <w:p w:rsidR="00E656BB" w:rsidRPr="00643CC2" w:rsidRDefault="00E656BB" w:rsidP="00E3230E">
            <w:pPr>
              <w:spacing w:before="240" w:after="0"/>
              <w:jc w:val="both"/>
              <w:rPr>
                <w:rFonts w:ascii="Verdana" w:hAnsi="Verdana"/>
                <w:sz w:val="20"/>
                <w:szCs w:val="20"/>
              </w:rPr>
            </w:pPr>
            <w:r w:rsidRPr="00643CC2">
              <w:rPr>
                <w:rFonts w:ascii="Verdana" w:hAnsi="Verdana"/>
                <w:sz w:val="20"/>
                <w:szCs w:val="24"/>
              </w:rPr>
              <w:t xml:space="preserve">For </w:t>
            </w:r>
            <w:r w:rsidRPr="00643CC2">
              <w:rPr>
                <w:rFonts w:ascii="Verdana" w:hAnsi="Verdana"/>
                <w:sz w:val="20"/>
                <w:szCs w:val="20"/>
              </w:rPr>
              <w:t xml:space="preserve">this first Plan the </w:t>
            </w:r>
            <w:r w:rsidR="00C570F2">
              <w:rPr>
                <w:rFonts w:ascii="Verdana" w:hAnsi="Verdana"/>
                <w:sz w:val="20"/>
                <w:szCs w:val="20"/>
              </w:rPr>
              <w:t>department</w:t>
            </w:r>
            <w:r w:rsidR="00280699">
              <w:rPr>
                <w:rFonts w:ascii="Verdana" w:hAnsi="Verdana"/>
                <w:sz w:val="20"/>
                <w:szCs w:val="20"/>
              </w:rPr>
              <w:t xml:space="preserve"> and agencies</w:t>
            </w:r>
            <w:r w:rsidRPr="00643CC2">
              <w:rPr>
                <w:rFonts w:ascii="Verdana" w:hAnsi="Verdana"/>
                <w:sz w:val="20"/>
                <w:szCs w:val="20"/>
              </w:rPr>
              <w:t xml:space="preserve"> will focus on two areas that will lay the groundwork for future plans:</w:t>
            </w:r>
          </w:p>
          <w:p w:rsidR="00E656BB" w:rsidRPr="00643CC2" w:rsidRDefault="00E656BB" w:rsidP="00E3230E">
            <w:pPr>
              <w:pStyle w:val="ListParagraph"/>
              <w:numPr>
                <w:ilvl w:val="0"/>
                <w:numId w:val="24"/>
              </w:numPr>
              <w:spacing w:before="120" w:after="120" w:line="240" w:lineRule="auto"/>
              <w:ind w:left="714" w:hanging="357"/>
              <w:jc w:val="both"/>
              <w:rPr>
                <w:rFonts w:ascii="Verdana" w:hAnsi="Verdana"/>
                <w:sz w:val="20"/>
                <w:szCs w:val="20"/>
              </w:rPr>
            </w:pPr>
            <w:r w:rsidRPr="00643CC2">
              <w:rPr>
                <w:rFonts w:ascii="Verdana" w:hAnsi="Verdana"/>
                <w:sz w:val="20"/>
                <w:szCs w:val="20"/>
              </w:rPr>
              <w:t>Leadership</w:t>
            </w:r>
          </w:p>
          <w:p w:rsidR="00E656BB" w:rsidRPr="00643CC2" w:rsidRDefault="00E656BB" w:rsidP="00E3230E">
            <w:pPr>
              <w:pStyle w:val="ListParagraph"/>
              <w:numPr>
                <w:ilvl w:val="0"/>
                <w:numId w:val="24"/>
              </w:numPr>
              <w:spacing w:before="120" w:after="120" w:line="240" w:lineRule="auto"/>
              <w:ind w:left="714" w:hanging="357"/>
              <w:jc w:val="both"/>
              <w:rPr>
                <w:rFonts w:ascii="Verdana" w:hAnsi="Verdana"/>
                <w:sz w:val="20"/>
                <w:szCs w:val="20"/>
              </w:rPr>
            </w:pPr>
            <w:r w:rsidRPr="00643CC2">
              <w:rPr>
                <w:rFonts w:ascii="Verdana" w:hAnsi="Verdana"/>
                <w:sz w:val="20"/>
                <w:szCs w:val="20"/>
              </w:rPr>
              <w:t>Capability.</w:t>
            </w:r>
            <w:r w:rsidR="00E3230E" w:rsidRPr="00643CC2">
              <w:rPr>
                <w:rFonts w:ascii="Verdana" w:hAnsi="Verdana"/>
                <w:sz w:val="20"/>
                <w:szCs w:val="20"/>
              </w:rPr>
              <w:br/>
            </w:r>
          </w:p>
        </w:tc>
      </w:tr>
    </w:tbl>
    <w:p w:rsidR="00D71CE7" w:rsidRDefault="00D71CE7">
      <w:pPr>
        <w:spacing w:after="0" w:line="240" w:lineRule="auto"/>
        <w:rPr>
          <w:rFonts w:ascii="Verdana" w:hAnsi="Verdana"/>
          <w:sz w:val="16"/>
          <w:szCs w:val="16"/>
        </w:rPr>
      </w:pPr>
    </w:p>
    <w:p w:rsidR="00684C9A" w:rsidRPr="00643CC2" w:rsidRDefault="00684C9A">
      <w:pPr>
        <w:spacing w:after="0" w:line="240" w:lineRule="auto"/>
        <w:rPr>
          <w:rFonts w:ascii="Verdana" w:hAnsi="Verdana"/>
          <w:sz w:val="16"/>
          <w:szCs w:val="16"/>
        </w:rPr>
      </w:pPr>
    </w:p>
    <w:p w:rsidR="005A3405" w:rsidRPr="00643CC2" w:rsidRDefault="005A3405" w:rsidP="00952F57">
      <w:pPr>
        <w:numPr>
          <w:ilvl w:val="0"/>
          <w:numId w:val="9"/>
        </w:num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after="240" w:line="360" w:lineRule="auto"/>
        <w:ind w:left="357" w:hanging="357"/>
        <w:rPr>
          <w:rFonts w:ascii="Verdana" w:hAnsi="Verdana"/>
          <w:b/>
          <w:sz w:val="28"/>
          <w:szCs w:val="28"/>
        </w:rPr>
      </w:pPr>
      <w:r w:rsidRPr="00643CC2">
        <w:rPr>
          <w:rFonts w:ascii="Verdana" w:hAnsi="Verdana"/>
          <w:b/>
          <w:sz w:val="28"/>
          <w:szCs w:val="28"/>
        </w:rPr>
        <w:lastRenderedPageBreak/>
        <w:t>Leadership</w:t>
      </w:r>
    </w:p>
    <w:tbl>
      <w:tblPr>
        <w:tblStyle w:val="TableGrid1"/>
        <w:tblW w:w="0" w:type="auto"/>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Look w:val="04A0"/>
      </w:tblPr>
      <w:tblGrid>
        <w:gridCol w:w="14333"/>
      </w:tblGrid>
      <w:tr w:rsidR="005A3405" w:rsidRPr="00643CC2" w:rsidTr="00952F57">
        <w:tc>
          <w:tcPr>
            <w:tcW w:w="15701" w:type="dxa"/>
          </w:tcPr>
          <w:p w:rsidR="005A3405" w:rsidRPr="00643CC2" w:rsidRDefault="006C10C7" w:rsidP="007608E8">
            <w:pPr>
              <w:spacing w:before="60" w:after="60"/>
              <w:rPr>
                <w:rFonts w:ascii="Verdana" w:hAnsi="Verdana"/>
              </w:rPr>
            </w:pPr>
            <w:r w:rsidRPr="00643CC2">
              <w:rPr>
                <w:rFonts w:ascii="Verdana" w:hAnsi="Verdana"/>
              </w:rPr>
              <w:t>Demonstrable and visible leadership will ensure that the multicultural access and equity commitments set out in the SEWPaC Agency Multicultural Plan 2013-15 are fully realised.</w:t>
            </w:r>
          </w:p>
        </w:tc>
      </w:tr>
    </w:tbl>
    <w:p w:rsidR="005A3405" w:rsidRPr="00643CC2" w:rsidRDefault="005A3405" w:rsidP="00951AF7">
      <w:pPr>
        <w:spacing w:before="60" w:after="60"/>
        <w:rPr>
          <w:rFonts w:ascii="Verdana" w:hAnsi="Verdana"/>
          <w:sz w:val="10"/>
          <w:szCs w:val="10"/>
        </w:rPr>
      </w:pPr>
    </w:p>
    <w:tbl>
      <w:tblPr>
        <w:tblStyle w:val="TableGrid"/>
        <w:tblW w:w="0" w:type="auto"/>
        <w:tblLook w:val="04A0"/>
      </w:tblPr>
      <w:tblGrid>
        <w:gridCol w:w="14333"/>
      </w:tblGrid>
      <w:tr w:rsidR="005A28F0" w:rsidRPr="00643CC2" w:rsidTr="005A28F0">
        <w:trPr>
          <w:cnfStyle w:val="100000000000"/>
        </w:trPr>
        <w:tc>
          <w:tcPr>
            <w:tcW w:w="14333"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rsidR="005A28F0" w:rsidRPr="00643CC2" w:rsidRDefault="005A28F0" w:rsidP="00951AF7">
            <w:pPr>
              <w:spacing w:before="60" w:after="60"/>
              <w:rPr>
                <w:rFonts w:ascii="Verdana" w:hAnsi="Verdana"/>
                <w:b/>
                <w:sz w:val="20"/>
                <w:szCs w:val="20"/>
              </w:rPr>
            </w:pPr>
            <w:r w:rsidRPr="00643CC2">
              <w:rPr>
                <w:rFonts w:ascii="Verdana" w:hAnsi="Verdana"/>
                <w:b/>
                <w:sz w:val="20"/>
                <w:szCs w:val="20"/>
              </w:rPr>
              <w:t>Minimum obligations:</w:t>
            </w:r>
          </w:p>
          <w:p w:rsidR="005A28F0" w:rsidRPr="00643CC2" w:rsidRDefault="005A28F0" w:rsidP="004F372A">
            <w:pPr>
              <w:pStyle w:val="ListParagraph"/>
              <w:numPr>
                <w:ilvl w:val="1"/>
                <w:numId w:val="25"/>
              </w:numPr>
              <w:spacing w:before="60" w:after="60"/>
              <w:rPr>
                <w:rFonts w:ascii="Verdana" w:hAnsi="Verdana"/>
                <w:b/>
                <w:sz w:val="20"/>
                <w:szCs w:val="20"/>
              </w:rPr>
            </w:pPr>
            <w:r w:rsidRPr="00643CC2">
              <w:rPr>
                <w:rFonts w:ascii="Verdana" w:hAnsi="Verdana"/>
                <w:b/>
                <w:sz w:val="20"/>
                <w:szCs w:val="20"/>
              </w:rPr>
              <w:t>Executive accountability:</w:t>
            </w:r>
            <w:r w:rsidR="004F372A" w:rsidRPr="00643CC2">
              <w:rPr>
                <w:rFonts w:ascii="Verdana" w:hAnsi="Verdana"/>
                <w:b/>
                <w:sz w:val="20"/>
                <w:szCs w:val="20"/>
              </w:rPr>
              <w:t xml:space="preserve"> </w:t>
            </w:r>
            <w:r w:rsidR="00C570F2">
              <w:rPr>
                <w:rFonts w:ascii="Verdana" w:hAnsi="Verdana"/>
                <w:sz w:val="20"/>
                <w:szCs w:val="20"/>
              </w:rPr>
              <w:t>Department</w:t>
            </w:r>
            <w:r w:rsidR="00280699">
              <w:rPr>
                <w:rFonts w:ascii="Verdana" w:hAnsi="Verdana"/>
                <w:sz w:val="20"/>
                <w:szCs w:val="20"/>
              </w:rPr>
              <w:t xml:space="preserve"> </w:t>
            </w:r>
            <w:r w:rsidRPr="00643CC2">
              <w:rPr>
                <w:rFonts w:ascii="Verdana" w:hAnsi="Verdana"/>
                <w:sz w:val="20"/>
                <w:szCs w:val="20"/>
              </w:rPr>
              <w:t>to assign a Senior Executive Officer to be responsible for implementation of multicultural access and equity obligations</w:t>
            </w:r>
            <w:r w:rsidR="00D71137">
              <w:rPr>
                <w:rFonts w:ascii="Verdana" w:hAnsi="Verdana"/>
                <w:sz w:val="20"/>
                <w:szCs w:val="20"/>
              </w:rPr>
              <w:t>.</w:t>
            </w:r>
          </w:p>
          <w:p w:rsidR="005A28F0" w:rsidRPr="00643CC2" w:rsidRDefault="00280699" w:rsidP="00D71137">
            <w:pPr>
              <w:pStyle w:val="ListParagraph"/>
              <w:numPr>
                <w:ilvl w:val="1"/>
                <w:numId w:val="25"/>
              </w:numPr>
              <w:spacing w:before="60" w:after="60"/>
              <w:rPr>
                <w:rFonts w:ascii="Verdana" w:hAnsi="Verdana"/>
                <w:sz w:val="20"/>
                <w:szCs w:val="20"/>
              </w:rPr>
            </w:pPr>
            <w:r>
              <w:rPr>
                <w:rFonts w:ascii="Verdana" w:hAnsi="Verdana"/>
                <w:b/>
                <w:sz w:val="20"/>
                <w:szCs w:val="20"/>
              </w:rPr>
              <w:t xml:space="preserve">Department </w:t>
            </w:r>
            <w:r w:rsidR="005A28F0" w:rsidRPr="00643CC2">
              <w:rPr>
                <w:rFonts w:ascii="Verdana" w:hAnsi="Verdana"/>
                <w:b/>
                <w:sz w:val="20"/>
                <w:szCs w:val="20"/>
              </w:rPr>
              <w:t>or agency commitmen</w:t>
            </w:r>
            <w:r w:rsidR="004F372A" w:rsidRPr="00643CC2">
              <w:rPr>
                <w:rFonts w:ascii="Verdana" w:hAnsi="Verdana"/>
                <w:b/>
                <w:sz w:val="20"/>
                <w:szCs w:val="20"/>
              </w:rPr>
              <w:t xml:space="preserve">t: </w:t>
            </w:r>
            <w:r>
              <w:rPr>
                <w:rFonts w:ascii="Verdana" w:hAnsi="Verdana"/>
                <w:sz w:val="20"/>
                <w:szCs w:val="20"/>
              </w:rPr>
              <w:t>Department and agencies</w:t>
            </w:r>
            <w:r w:rsidR="005A28F0" w:rsidRPr="00643CC2">
              <w:rPr>
                <w:rFonts w:ascii="Verdana" w:hAnsi="Verdana"/>
                <w:sz w:val="20"/>
                <w:szCs w:val="20"/>
              </w:rPr>
              <w:t xml:space="preserve"> leadership to ensure that staff understand and are committed to multicultural access and equity implementation</w:t>
            </w:r>
            <w:r w:rsidR="00D71137">
              <w:rPr>
                <w:rFonts w:ascii="Verdana" w:hAnsi="Verdana"/>
                <w:sz w:val="20"/>
                <w:szCs w:val="20"/>
              </w:rPr>
              <w:t>.</w:t>
            </w:r>
          </w:p>
        </w:tc>
      </w:tr>
    </w:tbl>
    <w:p w:rsidR="005A3405" w:rsidRPr="00643CC2" w:rsidRDefault="005A3405" w:rsidP="002C529D">
      <w:pPr>
        <w:spacing w:after="240"/>
        <w:contextualSpacing/>
        <w:rPr>
          <w:rFonts w:ascii="Verdana" w:hAnsi="Verdana"/>
          <w:b/>
          <w:sz w:val="10"/>
          <w:szCs w:val="10"/>
        </w:rPr>
      </w:pPr>
    </w:p>
    <w:tbl>
      <w:tblPr>
        <w:tblStyle w:val="TableGrid1"/>
        <w:tblW w:w="14344" w:type="dxa"/>
        <w:tblLook w:val="04A0"/>
      </w:tblPr>
      <w:tblGrid>
        <w:gridCol w:w="2093"/>
        <w:gridCol w:w="3827"/>
        <w:gridCol w:w="2693"/>
        <w:gridCol w:w="1574"/>
        <w:gridCol w:w="4157"/>
      </w:tblGrid>
      <w:tr w:rsidR="00B857B5" w:rsidRPr="00643CC2" w:rsidTr="00C15D22">
        <w:tc>
          <w:tcPr>
            <w:tcW w:w="2093" w:type="dxa"/>
            <w:tcBorders>
              <w:top w:val="nil"/>
              <w:left w:val="nil"/>
              <w:bottom w:val="single" w:sz="4" w:space="0" w:color="auto"/>
            </w:tcBorders>
          </w:tcPr>
          <w:p w:rsidR="005A3405" w:rsidRPr="00643CC2" w:rsidRDefault="005A3405" w:rsidP="005A3405">
            <w:pPr>
              <w:rPr>
                <w:rFonts w:ascii="Verdana" w:hAnsi="Verdana"/>
                <w:i/>
                <w:sz w:val="20"/>
                <w:szCs w:val="20"/>
              </w:rPr>
            </w:pPr>
          </w:p>
        </w:tc>
        <w:tc>
          <w:tcPr>
            <w:tcW w:w="3827" w:type="dxa"/>
            <w:tcBorders>
              <w:bottom w:val="single" w:sz="4" w:space="0" w:color="auto"/>
            </w:tcBorders>
            <w:shd w:val="clear" w:color="auto" w:fill="DBE5F1" w:themeFill="accent1" w:themeFillTint="33"/>
            <w:vAlign w:val="center"/>
          </w:tcPr>
          <w:p w:rsidR="005A3405" w:rsidRPr="00643CC2" w:rsidRDefault="005A3405" w:rsidP="00D71CE7">
            <w:pPr>
              <w:spacing w:before="60" w:after="60"/>
              <w:jc w:val="center"/>
              <w:rPr>
                <w:rFonts w:ascii="Verdana" w:hAnsi="Verdana"/>
                <w:b/>
                <w:i/>
                <w:szCs w:val="20"/>
              </w:rPr>
            </w:pPr>
            <w:r w:rsidRPr="00643CC2">
              <w:rPr>
                <w:rFonts w:ascii="Verdana" w:hAnsi="Verdana"/>
                <w:b/>
                <w:i/>
                <w:szCs w:val="20"/>
              </w:rPr>
              <w:t>Action</w:t>
            </w:r>
          </w:p>
        </w:tc>
        <w:tc>
          <w:tcPr>
            <w:tcW w:w="2693" w:type="dxa"/>
            <w:tcBorders>
              <w:bottom w:val="single" w:sz="4" w:space="0" w:color="auto"/>
            </w:tcBorders>
            <w:shd w:val="clear" w:color="auto" w:fill="DBE5F1" w:themeFill="accent1" w:themeFillTint="33"/>
            <w:vAlign w:val="center"/>
          </w:tcPr>
          <w:p w:rsidR="005A3405" w:rsidRPr="00643CC2" w:rsidRDefault="005A3405" w:rsidP="00D71CE7">
            <w:pPr>
              <w:spacing w:before="60" w:after="60"/>
              <w:jc w:val="center"/>
              <w:rPr>
                <w:rFonts w:ascii="Verdana" w:hAnsi="Verdana"/>
                <w:b/>
                <w:i/>
                <w:szCs w:val="20"/>
              </w:rPr>
            </w:pPr>
            <w:r w:rsidRPr="00643CC2">
              <w:rPr>
                <w:rFonts w:ascii="Verdana" w:hAnsi="Verdana"/>
                <w:b/>
                <w:i/>
                <w:szCs w:val="20"/>
              </w:rPr>
              <w:t>Responsibility</w:t>
            </w:r>
          </w:p>
        </w:tc>
        <w:tc>
          <w:tcPr>
            <w:tcW w:w="1574" w:type="dxa"/>
            <w:tcBorders>
              <w:bottom w:val="single" w:sz="4" w:space="0" w:color="auto"/>
            </w:tcBorders>
            <w:shd w:val="clear" w:color="auto" w:fill="DBE5F1" w:themeFill="accent1" w:themeFillTint="33"/>
            <w:vAlign w:val="center"/>
          </w:tcPr>
          <w:p w:rsidR="005A3405" w:rsidRPr="00643CC2" w:rsidRDefault="005A3405" w:rsidP="00D71CE7">
            <w:pPr>
              <w:spacing w:before="60" w:after="60"/>
              <w:jc w:val="center"/>
              <w:rPr>
                <w:rFonts w:ascii="Verdana" w:hAnsi="Verdana"/>
                <w:b/>
                <w:i/>
                <w:szCs w:val="20"/>
              </w:rPr>
            </w:pPr>
            <w:r w:rsidRPr="00643CC2">
              <w:rPr>
                <w:rFonts w:ascii="Verdana" w:hAnsi="Verdana"/>
                <w:b/>
                <w:i/>
                <w:szCs w:val="20"/>
              </w:rPr>
              <w:t>Timeline</w:t>
            </w:r>
          </w:p>
        </w:tc>
        <w:tc>
          <w:tcPr>
            <w:tcW w:w="4157" w:type="dxa"/>
            <w:tcBorders>
              <w:bottom w:val="single" w:sz="4" w:space="0" w:color="auto"/>
            </w:tcBorders>
            <w:shd w:val="clear" w:color="auto" w:fill="DBE5F1" w:themeFill="accent1" w:themeFillTint="33"/>
            <w:vAlign w:val="center"/>
          </w:tcPr>
          <w:p w:rsidR="005A3405" w:rsidRPr="00643CC2" w:rsidRDefault="005A3405" w:rsidP="00D71CE7">
            <w:pPr>
              <w:spacing w:before="60" w:after="60"/>
              <w:jc w:val="center"/>
              <w:rPr>
                <w:rFonts w:ascii="Verdana" w:hAnsi="Verdana"/>
                <w:b/>
                <w:i/>
                <w:szCs w:val="20"/>
              </w:rPr>
            </w:pPr>
            <w:r w:rsidRPr="00643CC2">
              <w:rPr>
                <w:rFonts w:ascii="Verdana" w:hAnsi="Verdana"/>
                <w:b/>
                <w:i/>
                <w:szCs w:val="20"/>
              </w:rPr>
              <w:t>Target</w:t>
            </w:r>
          </w:p>
        </w:tc>
      </w:tr>
      <w:tr w:rsidR="00AC246C" w:rsidRPr="00643CC2" w:rsidTr="00C15D22">
        <w:tc>
          <w:tcPr>
            <w:tcW w:w="2093" w:type="dxa"/>
            <w:vMerge w:val="restart"/>
            <w:tcBorders>
              <w:top w:val="nil"/>
              <w:left w:val="single" w:sz="4" w:space="0" w:color="auto"/>
            </w:tcBorders>
          </w:tcPr>
          <w:p w:rsidR="00AC246C" w:rsidRPr="00643CC2" w:rsidRDefault="00AC246C" w:rsidP="00AF3AB5">
            <w:pPr>
              <w:spacing w:before="60" w:after="60"/>
              <w:rPr>
                <w:rFonts w:ascii="Verdana" w:hAnsi="Verdana"/>
                <w:b/>
                <w:szCs w:val="24"/>
              </w:rPr>
            </w:pPr>
            <w:r w:rsidRPr="00643CC2">
              <w:rPr>
                <w:rFonts w:ascii="Verdana" w:hAnsi="Verdana"/>
                <w:b/>
                <w:szCs w:val="24"/>
              </w:rPr>
              <w:t xml:space="preserve">1.1  </w:t>
            </w:r>
          </w:p>
          <w:p w:rsidR="00AC246C" w:rsidRPr="00643CC2" w:rsidRDefault="00AC246C" w:rsidP="00AF3AB5">
            <w:pPr>
              <w:spacing w:before="60" w:after="60"/>
              <w:rPr>
                <w:rFonts w:ascii="Verdana" w:hAnsi="Verdana"/>
                <w:b/>
                <w:i/>
                <w:szCs w:val="24"/>
              </w:rPr>
            </w:pPr>
            <w:r w:rsidRPr="00643CC2">
              <w:rPr>
                <w:rFonts w:ascii="Verdana" w:hAnsi="Verdana"/>
                <w:b/>
                <w:szCs w:val="24"/>
              </w:rPr>
              <w:t>Executive accountability</w:t>
            </w:r>
          </w:p>
          <w:p w:rsidR="00AC246C" w:rsidRPr="00643CC2" w:rsidRDefault="00AC246C" w:rsidP="00AF3AB5">
            <w:pPr>
              <w:spacing w:before="60" w:after="60"/>
              <w:rPr>
                <w:rFonts w:ascii="Verdana" w:hAnsi="Verdana"/>
                <w:i/>
                <w:sz w:val="20"/>
                <w:szCs w:val="20"/>
              </w:rPr>
            </w:pPr>
          </w:p>
        </w:tc>
        <w:tc>
          <w:tcPr>
            <w:tcW w:w="3827" w:type="dxa"/>
            <w:tcBorders>
              <w:bottom w:val="single" w:sz="4" w:space="0" w:color="auto"/>
            </w:tcBorders>
            <w:shd w:val="clear" w:color="auto" w:fill="auto"/>
            <w:vAlign w:val="center"/>
          </w:tcPr>
          <w:p w:rsidR="00AC246C" w:rsidRPr="00311225" w:rsidRDefault="00AC246C" w:rsidP="00391E26">
            <w:pPr>
              <w:pStyle w:val="ListParagraph"/>
              <w:numPr>
                <w:ilvl w:val="2"/>
                <w:numId w:val="17"/>
              </w:numPr>
              <w:spacing w:before="60" w:after="60"/>
              <w:ind w:left="24" w:firstLine="0"/>
              <w:rPr>
                <w:rFonts w:ascii="Verdana" w:hAnsi="Verdana"/>
                <w:b/>
                <w:i/>
                <w:szCs w:val="20"/>
              </w:rPr>
            </w:pPr>
            <w:r w:rsidRPr="00311225">
              <w:rPr>
                <w:rFonts w:ascii="Verdana" w:hAnsi="Verdana"/>
                <w:sz w:val="20"/>
                <w:szCs w:val="24"/>
              </w:rPr>
              <w:t>Appoint</w:t>
            </w:r>
            <w:r w:rsidR="002A0973" w:rsidRPr="00311225">
              <w:rPr>
                <w:rFonts w:ascii="Verdana" w:hAnsi="Verdana"/>
                <w:sz w:val="20"/>
                <w:szCs w:val="24"/>
              </w:rPr>
              <w:t xml:space="preserve"> a Senior </w:t>
            </w:r>
            <w:r w:rsidR="0004435A">
              <w:rPr>
                <w:rFonts w:ascii="Verdana" w:hAnsi="Verdana"/>
                <w:sz w:val="20"/>
                <w:szCs w:val="24"/>
              </w:rPr>
              <w:t>E</w:t>
            </w:r>
            <w:r w:rsidR="002A0973" w:rsidRPr="00311225">
              <w:rPr>
                <w:rFonts w:ascii="Verdana" w:hAnsi="Verdana"/>
                <w:sz w:val="20"/>
                <w:szCs w:val="24"/>
              </w:rPr>
              <w:t xml:space="preserve">xecutive Service officer with overall responsibility for embedding multicultural access and equity in the organisational culture and ensuring that commitments </w:t>
            </w:r>
            <w:r w:rsidR="00311225" w:rsidRPr="00311225">
              <w:rPr>
                <w:rFonts w:ascii="Verdana" w:hAnsi="Verdana"/>
                <w:sz w:val="20"/>
                <w:szCs w:val="24"/>
              </w:rPr>
              <w:t>identified</w:t>
            </w:r>
            <w:r w:rsidR="002A0973" w:rsidRPr="00311225">
              <w:rPr>
                <w:rFonts w:ascii="Verdana" w:hAnsi="Verdana"/>
                <w:sz w:val="20"/>
                <w:szCs w:val="24"/>
              </w:rPr>
              <w:t xml:space="preserve"> in the AMP are fully realised and </w:t>
            </w:r>
            <w:r w:rsidR="00311225" w:rsidRPr="00311225">
              <w:rPr>
                <w:rFonts w:ascii="Verdana" w:hAnsi="Verdana"/>
                <w:sz w:val="20"/>
                <w:szCs w:val="24"/>
              </w:rPr>
              <w:t>delivered.</w:t>
            </w:r>
          </w:p>
        </w:tc>
        <w:tc>
          <w:tcPr>
            <w:tcW w:w="2693" w:type="dxa"/>
            <w:tcBorders>
              <w:bottom w:val="single" w:sz="4" w:space="0" w:color="auto"/>
            </w:tcBorders>
            <w:shd w:val="clear" w:color="auto" w:fill="auto"/>
          </w:tcPr>
          <w:p w:rsidR="00AC246C" w:rsidRPr="00311225" w:rsidRDefault="00AC246C" w:rsidP="007377B8">
            <w:pPr>
              <w:spacing w:after="60"/>
              <w:rPr>
                <w:rFonts w:ascii="Verdana" w:hAnsi="Verdana"/>
                <w:b/>
                <w:i/>
                <w:szCs w:val="20"/>
              </w:rPr>
            </w:pPr>
            <w:r w:rsidRPr="00311225">
              <w:rPr>
                <w:rFonts w:ascii="Verdana" w:hAnsi="Verdana"/>
                <w:sz w:val="20"/>
                <w:szCs w:val="24"/>
              </w:rPr>
              <w:t>First Assistant Secretary Policy and Communications</w:t>
            </w:r>
          </w:p>
        </w:tc>
        <w:tc>
          <w:tcPr>
            <w:tcW w:w="1574" w:type="dxa"/>
            <w:tcBorders>
              <w:bottom w:val="single" w:sz="4" w:space="0" w:color="auto"/>
            </w:tcBorders>
            <w:shd w:val="clear" w:color="auto" w:fill="auto"/>
          </w:tcPr>
          <w:p w:rsidR="00AC246C" w:rsidRPr="00311225" w:rsidRDefault="004B0CD0" w:rsidP="004B0CD0">
            <w:pPr>
              <w:spacing w:before="60" w:after="60"/>
              <w:rPr>
                <w:rFonts w:ascii="Verdana" w:hAnsi="Verdana"/>
                <w:sz w:val="20"/>
                <w:szCs w:val="20"/>
              </w:rPr>
            </w:pPr>
            <w:r w:rsidRPr="00311225">
              <w:rPr>
                <w:rFonts w:ascii="Verdana" w:hAnsi="Verdana"/>
                <w:sz w:val="20"/>
                <w:szCs w:val="20"/>
              </w:rPr>
              <w:t>October 2013</w:t>
            </w:r>
          </w:p>
        </w:tc>
        <w:tc>
          <w:tcPr>
            <w:tcW w:w="4157" w:type="dxa"/>
            <w:tcBorders>
              <w:bottom w:val="single" w:sz="4" w:space="0" w:color="auto"/>
            </w:tcBorders>
            <w:shd w:val="clear" w:color="auto" w:fill="auto"/>
          </w:tcPr>
          <w:p w:rsidR="00AC246C" w:rsidRPr="00311225" w:rsidRDefault="004B0CD0" w:rsidP="00311225">
            <w:pPr>
              <w:spacing w:before="60" w:after="60"/>
              <w:rPr>
                <w:rFonts w:ascii="Verdana" w:hAnsi="Verdana"/>
                <w:sz w:val="20"/>
                <w:szCs w:val="20"/>
              </w:rPr>
            </w:pPr>
            <w:r w:rsidRPr="00311225">
              <w:rPr>
                <w:rFonts w:ascii="Verdana" w:hAnsi="Verdana"/>
                <w:sz w:val="20"/>
                <w:szCs w:val="20"/>
              </w:rPr>
              <w:t>S</w:t>
            </w:r>
            <w:r w:rsidR="00311225">
              <w:rPr>
                <w:rFonts w:ascii="Verdana" w:hAnsi="Verdana"/>
                <w:sz w:val="20"/>
                <w:szCs w:val="20"/>
              </w:rPr>
              <w:t>enior Executive Service officer appointed.</w:t>
            </w:r>
          </w:p>
        </w:tc>
      </w:tr>
      <w:tr w:rsidR="008409D6" w:rsidRPr="00643CC2" w:rsidTr="00C15D22">
        <w:trPr>
          <w:trHeight w:val="1418"/>
        </w:trPr>
        <w:tc>
          <w:tcPr>
            <w:tcW w:w="2093" w:type="dxa"/>
            <w:vMerge/>
            <w:tcBorders>
              <w:left w:val="single" w:sz="4" w:space="0" w:color="auto"/>
            </w:tcBorders>
          </w:tcPr>
          <w:p w:rsidR="008409D6" w:rsidRPr="00643CC2" w:rsidRDefault="008409D6" w:rsidP="008409D6">
            <w:pPr>
              <w:spacing w:before="60" w:after="60"/>
              <w:rPr>
                <w:rFonts w:ascii="Verdana" w:hAnsi="Verdana"/>
                <w:b/>
                <w:szCs w:val="24"/>
              </w:rPr>
            </w:pPr>
          </w:p>
        </w:tc>
        <w:tc>
          <w:tcPr>
            <w:tcW w:w="3827" w:type="dxa"/>
            <w:vMerge w:val="restart"/>
          </w:tcPr>
          <w:p w:rsidR="008409D6" w:rsidRPr="00643CC2" w:rsidRDefault="00807B50" w:rsidP="00807B50">
            <w:pPr>
              <w:pStyle w:val="ListParagraph"/>
              <w:numPr>
                <w:ilvl w:val="2"/>
                <w:numId w:val="17"/>
              </w:numPr>
              <w:spacing w:before="60" w:after="60"/>
              <w:ind w:left="24" w:firstLine="0"/>
              <w:rPr>
                <w:rFonts w:ascii="Verdana" w:hAnsi="Verdana"/>
                <w:i/>
                <w:sz w:val="20"/>
                <w:szCs w:val="24"/>
              </w:rPr>
            </w:pPr>
            <w:r>
              <w:rPr>
                <w:rFonts w:ascii="Verdana" w:hAnsi="Verdana"/>
                <w:sz w:val="20"/>
                <w:szCs w:val="24"/>
              </w:rPr>
              <w:t>Identify</w:t>
            </w:r>
            <w:r w:rsidR="008409D6" w:rsidRPr="00643CC2">
              <w:rPr>
                <w:rFonts w:ascii="Verdana" w:hAnsi="Verdana"/>
                <w:sz w:val="20"/>
                <w:szCs w:val="24"/>
              </w:rPr>
              <w:t xml:space="preserve"> a senior internal governance group to support </w:t>
            </w:r>
            <w:r w:rsidR="00184A98">
              <w:rPr>
                <w:rFonts w:ascii="Verdana" w:hAnsi="Verdana"/>
                <w:sz w:val="20"/>
                <w:szCs w:val="24"/>
              </w:rPr>
              <w:t>the</w:t>
            </w:r>
            <w:r w:rsidR="008409D6" w:rsidRPr="00643CC2">
              <w:rPr>
                <w:rFonts w:ascii="Verdana" w:hAnsi="Verdana"/>
                <w:sz w:val="20"/>
                <w:szCs w:val="24"/>
              </w:rPr>
              <w:t xml:space="preserve"> oversight</w:t>
            </w:r>
            <w:r w:rsidR="00184A98">
              <w:rPr>
                <w:rFonts w:ascii="Verdana" w:hAnsi="Verdana"/>
                <w:sz w:val="20"/>
                <w:szCs w:val="24"/>
              </w:rPr>
              <w:t xml:space="preserve"> and </w:t>
            </w:r>
            <w:r w:rsidR="008409D6" w:rsidRPr="00643CC2">
              <w:rPr>
                <w:rFonts w:ascii="Verdana" w:hAnsi="Verdana"/>
                <w:sz w:val="20"/>
                <w:szCs w:val="24"/>
              </w:rPr>
              <w:t>implementation of the AMP</w:t>
            </w:r>
            <w:r w:rsidR="00D71137">
              <w:rPr>
                <w:rFonts w:ascii="Verdana" w:hAnsi="Verdana"/>
                <w:sz w:val="20"/>
                <w:szCs w:val="24"/>
              </w:rPr>
              <w:t>.</w:t>
            </w:r>
          </w:p>
        </w:tc>
        <w:tc>
          <w:tcPr>
            <w:tcW w:w="2693" w:type="dxa"/>
            <w:vMerge w:val="restart"/>
          </w:tcPr>
          <w:p w:rsidR="008409D6" w:rsidRPr="00643CC2" w:rsidRDefault="008409D6" w:rsidP="007377B8">
            <w:pPr>
              <w:spacing w:before="60" w:after="60"/>
              <w:rPr>
                <w:rFonts w:ascii="Verdana" w:hAnsi="Verdana"/>
                <w:sz w:val="20"/>
                <w:szCs w:val="24"/>
              </w:rPr>
            </w:pPr>
            <w:r w:rsidRPr="00AC246C">
              <w:rPr>
                <w:rFonts w:ascii="Verdana" w:hAnsi="Verdana"/>
                <w:sz w:val="20"/>
                <w:szCs w:val="24"/>
              </w:rPr>
              <w:t>First Assistant Secretary Policy and Communications</w:t>
            </w:r>
          </w:p>
        </w:tc>
        <w:tc>
          <w:tcPr>
            <w:tcW w:w="1574" w:type="dxa"/>
          </w:tcPr>
          <w:p w:rsidR="008409D6" w:rsidRDefault="008409D6" w:rsidP="008409D6">
            <w:pPr>
              <w:spacing w:before="60" w:after="60"/>
              <w:rPr>
                <w:rFonts w:ascii="Verdana" w:hAnsi="Verdana"/>
                <w:sz w:val="20"/>
                <w:szCs w:val="24"/>
              </w:rPr>
            </w:pPr>
            <w:r w:rsidRPr="00643CC2">
              <w:rPr>
                <w:rFonts w:ascii="Verdana" w:hAnsi="Verdana"/>
                <w:sz w:val="20"/>
                <w:szCs w:val="24"/>
              </w:rPr>
              <w:t>December 2013</w:t>
            </w:r>
          </w:p>
        </w:tc>
        <w:tc>
          <w:tcPr>
            <w:tcW w:w="4157" w:type="dxa"/>
          </w:tcPr>
          <w:p w:rsidR="008409D6" w:rsidRPr="00643CC2" w:rsidRDefault="008409D6" w:rsidP="008409D6">
            <w:pPr>
              <w:spacing w:before="60" w:after="60"/>
              <w:rPr>
                <w:rFonts w:ascii="Verdana" w:hAnsi="Verdana"/>
                <w:sz w:val="20"/>
                <w:szCs w:val="24"/>
              </w:rPr>
            </w:pPr>
            <w:r w:rsidRPr="00643CC2">
              <w:rPr>
                <w:rFonts w:ascii="Verdana" w:hAnsi="Verdana"/>
                <w:sz w:val="20"/>
                <w:szCs w:val="24"/>
              </w:rPr>
              <w:t>Group established</w:t>
            </w:r>
            <w:r w:rsidR="00D71137">
              <w:rPr>
                <w:rFonts w:ascii="Verdana" w:hAnsi="Verdana"/>
                <w:sz w:val="20"/>
                <w:szCs w:val="24"/>
              </w:rPr>
              <w:t>.</w:t>
            </w:r>
          </w:p>
        </w:tc>
      </w:tr>
      <w:tr w:rsidR="006054BA" w:rsidRPr="00643CC2" w:rsidTr="00C15D22">
        <w:trPr>
          <w:trHeight w:val="1710"/>
        </w:trPr>
        <w:tc>
          <w:tcPr>
            <w:tcW w:w="2093" w:type="dxa"/>
            <w:vMerge/>
            <w:tcBorders>
              <w:left w:val="single" w:sz="4" w:space="0" w:color="auto"/>
            </w:tcBorders>
          </w:tcPr>
          <w:p w:rsidR="006054BA" w:rsidRPr="00643CC2" w:rsidRDefault="006054BA" w:rsidP="006054BA">
            <w:pPr>
              <w:spacing w:before="60" w:after="60"/>
              <w:rPr>
                <w:rFonts w:ascii="Verdana" w:hAnsi="Verdana"/>
                <w:b/>
                <w:szCs w:val="24"/>
              </w:rPr>
            </w:pPr>
          </w:p>
        </w:tc>
        <w:tc>
          <w:tcPr>
            <w:tcW w:w="3827" w:type="dxa"/>
            <w:vMerge/>
          </w:tcPr>
          <w:p w:rsidR="006054BA" w:rsidRDefault="006054BA" w:rsidP="006054BA">
            <w:pPr>
              <w:pStyle w:val="ListParagraph"/>
              <w:numPr>
                <w:ilvl w:val="2"/>
                <w:numId w:val="17"/>
              </w:numPr>
              <w:spacing w:before="60" w:after="60"/>
              <w:ind w:left="24" w:firstLine="0"/>
              <w:rPr>
                <w:rFonts w:ascii="Verdana" w:hAnsi="Verdana"/>
                <w:sz w:val="20"/>
                <w:szCs w:val="24"/>
              </w:rPr>
            </w:pPr>
          </w:p>
        </w:tc>
        <w:tc>
          <w:tcPr>
            <w:tcW w:w="2693" w:type="dxa"/>
            <w:vMerge/>
          </w:tcPr>
          <w:p w:rsidR="006054BA" w:rsidRPr="00643CC2" w:rsidRDefault="006054BA" w:rsidP="006054BA">
            <w:pPr>
              <w:spacing w:before="60" w:after="60"/>
              <w:rPr>
                <w:rFonts w:ascii="Verdana" w:hAnsi="Verdana"/>
                <w:sz w:val="20"/>
                <w:szCs w:val="24"/>
              </w:rPr>
            </w:pPr>
          </w:p>
        </w:tc>
        <w:tc>
          <w:tcPr>
            <w:tcW w:w="1574" w:type="dxa"/>
          </w:tcPr>
          <w:p w:rsidR="006054BA" w:rsidRPr="00643CC2" w:rsidRDefault="006054BA" w:rsidP="007377B8">
            <w:pPr>
              <w:spacing w:before="60" w:after="60"/>
              <w:rPr>
                <w:rFonts w:ascii="Verdana" w:hAnsi="Verdana"/>
                <w:sz w:val="20"/>
                <w:szCs w:val="24"/>
              </w:rPr>
            </w:pPr>
            <w:r w:rsidRPr="00643CC2">
              <w:rPr>
                <w:rFonts w:ascii="Verdana" w:hAnsi="Verdana"/>
                <w:sz w:val="20"/>
                <w:szCs w:val="24"/>
              </w:rPr>
              <w:t>December 2013 and ongoing</w:t>
            </w:r>
          </w:p>
        </w:tc>
        <w:tc>
          <w:tcPr>
            <w:tcW w:w="4157" w:type="dxa"/>
          </w:tcPr>
          <w:p w:rsidR="006054BA" w:rsidRPr="00643CC2" w:rsidRDefault="006054BA" w:rsidP="007377B8">
            <w:pPr>
              <w:spacing w:before="60" w:after="60"/>
              <w:rPr>
                <w:rFonts w:ascii="Verdana" w:hAnsi="Verdana"/>
                <w:sz w:val="20"/>
                <w:szCs w:val="24"/>
              </w:rPr>
            </w:pPr>
            <w:r w:rsidRPr="006054BA">
              <w:rPr>
                <w:rFonts w:ascii="Verdana" w:hAnsi="Verdana"/>
                <w:sz w:val="20"/>
                <w:szCs w:val="24"/>
              </w:rPr>
              <w:t xml:space="preserve">First Assistant Secretary </w:t>
            </w:r>
            <w:r w:rsidR="004F0BEB">
              <w:rPr>
                <w:rFonts w:ascii="Verdana" w:hAnsi="Verdana"/>
                <w:sz w:val="20"/>
                <w:szCs w:val="24"/>
              </w:rPr>
              <w:t xml:space="preserve">Policy and Communications </w:t>
            </w:r>
            <w:r w:rsidRPr="006054BA">
              <w:rPr>
                <w:rFonts w:ascii="Verdana" w:hAnsi="Verdana"/>
                <w:sz w:val="20"/>
                <w:szCs w:val="24"/>
              </w:rPr>
              <w:t xml:space="preserve">includes progress on the implementation of the Plan 2013-15 in regular reporting to the </w:t>
            </w:r>
            <w:r w:rsidR="00C570F2">
              <w:rPr>
                <w:rFonts w:ascii="Verdana" w:hAnsi="Verdana"/>
                <w:sz w:val="20"/>
                <w:szCs w:val="24"/>
              </w:rPr>
              <w:t>Department</w:t>
            </w:r>
            <w:r w:rsidRPr="006054BA">
              <w:rPr>
                <w:rFonts w:ascii="Verdana" w:hAnsi="Verdana"/>
                <w:sz w:val="20"/>
                <w:szCs w:val="24"/>
              </w:rPr>
              <w:t xml:space="preserve"> and Secretary</w:t>
            </w:r>
            <w:r w:rsidR="00D71137">
              <w:rPr>
                <w:rFonts w:ascii="Verdana" w:hAnsi="Verdana"/>
                <w:sz w:val="20"/>
                <w:szCs w:val="24"/>
              </w:rPr>
              <w:t>.</w:t>
            </w:r>
          </w:p>
        </w:tc>
      </w:tr>
      <w:tr w:rsidR="00B857B5" w:rsidRPr="00643CC2" w:rsidTr="00C15D22">
        <w:tc>
          <w:tcPr>
            <w:tcW w:w="2093" w:type="dxa"/>
            <w:tcBorders>
              <w:top w:val="single" w:sz="4" w:space="0" w:color="auto"/>
              <w:bottom w:val="single" w:sz="4" w:space="0" w:color="auto"/>
            </w:tcBorders>
          </w:tcPr>
          <w:p w:rsidR="00B857B5" w:rsidRPr="00643CC2" w:rsidRDefault="005A3405" w:rsidP="00852C78">
            <w:pPr>
              <w:spacing w:before="60" w:after="60"/>
              <w:rPr>
                <w:rFonts w:ascii="Verdana" w:hAnsi="Verdana"/>
                <w:b/>
                <w:i/>
                <w:szCs w:val="24"/>
              </w:rPr>
            </w:pPr>
            <w:r w:rsidRPr="00643CC2">
              <w:rPr>
                <w:rFonts w:ascii="Verdana" w:hAnsi="Verdana"/>
                <w:b/>
                <w:szCs w:val="24"/>
              </w:rPr>
              <w:t>1.2</w:t>
            </w:r>
            <w:r w:rsidR="00525C15" w:rsidRPr="00643CC2">
              <w:rPr>
                <w:rFonts w:ascii="Verdana" w:hAnsi="Verdana"/>
                <w:b/>
                <w:szCs w:val="24"/>
              </w:rPr>
              <w:t xml:space="preserve"> </w:t>
            </w:r>
            <w:r w:rsidR="00B857B5" w:rsidRPr="00643CC2">
              <w:rPr>
                <w:rFonts w:ascii="Verdana" w:hAnsi="Verdana"/>
                <w:b/>
                <w:szCs w:val="24"/>
              </w:rPr>
              <w:t xml:space="preserve"> </w:t>
            </w:r>
            <w:r w:rsidR="00280699">
              <w:rPr>
                <w:rFonts w:ascii="Verdana" w:hAnsi="Verdana"/>
                <w:b/>
                <w:szCs w:val="24"/>
              </w:rPr>
              <w:t>Department and agencies</w:t>
            </w:r>
            <w:r w:rsidR="00B857B5" w:rsidRPr="00643CC2">
              <w:rPr>
                <w:rFonts w:ascii="Verdana" w:hAnsi="Verdana"/>
                <w:b/>
                <w:szCs w:val="24"/>
              </w:rPr>
              <w:t xml:space="preserve"> commitment</w:t>
            </w:r>
          </w:p>
          <w:p w:rsidR="005A3405" w:rsidRPr="00643CC2" w:rsidRDefault="005A3405" w:rsidP="00852C78">
            <w:pPr>
              <w:spacing w:before="60" w:after="60"/>
              <w:rPr>
                <w:rFonts w:ascii="Verdana" w:hAnsi="Verdana"/>
                <w:b/>
                <w:sz w:val="20"/>
                <w:szCs w:val="24"/>
              </w:rPr>
            </w:pPr>
          </w:p>
        </w:tc>
        <w:tc>
          <w:tcPr>
            <w:tcW w:w="3827" w:type="dxa"/>
            <w:tcBorders>
              <w:top w:val="single" w:sz="4" w:space="0" w:color="auto"/>
              <w:bottom w:val="single" w:sz="4" w:space="0" w:color="auto"/>
            </w:tcBorders>
          </w:tcPr>
          <w:p w:rsidR="005A3405" w:rsidRPr="00BB23A7" w:rsidRDefault="006C10C7" w:rsidP="008B6E09">
            <w:pPr>
              <w:spacing w:before="60" w:after="60"/>
              <w:ind w:left="16"/>
              <w:rPr>
                <w:rFonts w:ascii="Verdana" w:hAnsi="Verdana"/>
                <w:sz w:val="20"/>
                <w:szCs w:val="20"/>
              </w:rPr>
            </w:pPr>
            <w:r w:rsidRPr="00BB23A7">
              <w:rPr>
                <w:rFonts w:ascii="Verdana" w:hAnsi="Verdana"/>
                <w:sz w:val="20"/>
                <w:szCs w:val="20"/>
              </w:rPr>
              <w:t xml:space="preserve">1.2.1. </w:t>
            </w:r>
            <w:r w:rsidR="008B6E09">
              <w:rPr>
                <w:rFonts w:ascii="Verdana" w:hAnsi="Verdana"/>
                <w:sz w:val="20"/>
                <w:szCs w:val="20"/>
              </w:rPr>
              <w:t>Develop a strategy to r</w:t>
            </w:r>
            <w:r w:rsidR="009A1839" w:rsidRPr="00BB23A7">
              <w:rPr>
                <w:rFonts w:ascii="Verdana" w:hAnsi="Verdana"/>
                <w:sz w:val="20"/>
                <w:szCs w:val="20"/>
              </w:rPr>
              <w:t>aise awareness with staff about the aims of the SEWPaC AMP.</w:t>
            </w:r>
          </w:p>
        </w:tc>
        <w:tc>
          <w:tcPr>
            <w:tcW w:w="2693" w:type="dxa"/>
            <w:tcBorders>
              <w:top w:val="single" w:sz="4" w:space="0" w:color="auto"/>
              <w:bottom w:val="single" w:sz="4" w:space="0" w:color="auto"/>
            </w:tcBorders>
          </w:tcPr>
          <w:p w:rsidR="00235046" w:rsidRPr="00BB23A7" w:rsidRDefault="00235046" w:rsidP="00852C78">
            <w:pPr>
              <w:spacing w:before="60" w:after="60"/>
              <w:rPr>
                <w:rFonts w:ascii="Verdana" w:hAnsi="Verdana"/>
                <w:sz w:val="20"/>
                <w:szCs w:val="24"/>
              </w:rPr>
            </w:pPr>
            <w:r w:rsidRPr="00BB23A7">
              <w:rPr>
                <w:rFonts w:ascii="Verdana" w:hAnsi="Verdana"/>
                <w:sz w:val="20"/>
                <w:szCs w:val="24"/>
              </w:rPr>
              <w:t>Assistant Secretary Public Affairs Branch</w:t>
            </w:r>
          </w:p>
        </w:tc>
        <w:tc>
          <w:tcPr>
            <w:tcW w:w="1574" w:type="dxa"/>
            <w:tcBorders>
              <w:top w:val="single" w:sz="4" w:space="0" w:color="auto"/>
              <w:bottom w:val="single" w:sz="4" w:space="0" w:color="auto"/>
            </w:tcBorders>
          </w:tcPr>
          <w:p w:rsidR="005A3405" w:rsidRPr="00BB23A7" w:rsidRDefault="00601802" w:rsidP="00852C78">
            <w:pPr>
              <w:spacing w:before="60" w:after="60"/>
              <w:rPr>
                <w:rFonts w:ascii="Verdana" w:hAnsi="Verdana"/>
                <w:sz w:val="20"/>
                <w:szCs w:val="24"/>
              </w:rPr>
            </w:pPr>
            <w:r w:rsidRPr="00BB23A7">
              <w:rPr>
                <w:rFonts w:ascii="Verdana" w:hAnsi="Verdana"/>
                <w:sz w:val="20"/>
                <w:szCs w:val="24"/>
              </w:rPr>
              <w:t xml:space="preserve">December </w:t>
            </w:r>
            <w:r w:rsidR="00235046" w:rsidRPr="00BB23A7">
              <w:rPr>
                <w:rFonts w:ascii="Verdana" w:hAnsi="Verdana"/>
                <w:sz w:val="20"/>
                <w:szCs w:val="24"/>
              </w:rPr>
              <w:t>2013</w:t>
            </w:r>
          </w:p>
        </w:tc>
        <w:tc>
          <w:tcPr>
            <w:tcW w:w="4157" w:type="dxa"/>
            <w:tcBorders>
              <w:top w:val="single" w:sz="4" w:space="0" w:color="auto"/>
              <w:bottom w:val="single" w:sz="4" w:space="0" w:color="auto"/>
            </w:tcBorders>
          </w:tcPr>
          <w:p w:rsidR="005A3405" w:rsidRPr="00BB23A7" w:rsidRDefault="006C10C7" w:rsidP="00D90D6B">
            <w:pPr>
              <w:spacing w:before="60" w:after="60"/>
              <w:rPr>
                <w:rFonts w:ascii="Verdana" w:hAnsi="Verdana"/>
                <w:sz w:val="20"/>
                <w:szCs w:val="24"/>
              </w:rPr>
            </w:pPr>
            <w:r w:rsidRPr="00BB23A7">
              <w:rPr>
                <w:rFonts w:ascii="Verdana" w:hAnsi="Verdana"/>
                <w:sz w:val="20"/>
                <w:szCs w:val="24"/>
              </w:rPr>
              <w:t>SEWPaC</w:t>
            </w:r>
            <w:r w:rsidR="009A1839" w:rsidRPr="00BB23A7">
              <w:rPr>
                <w:rFonts w:ascii="Verdana" w:hAnsi="Verdana"/>
                <w:sz w:val="20"/>
                <w:szCs w:val="24"/>
              </w:rPr>
              <w:t xml:space="preserve"> </w:t>
            </w:r>
            <w:r w:rsidR="00A9278C" w:rsidRPr="00BB23A7">
              <w:rPr>
                <w:rFonts w:ascii="Verdana" w:hAnsi="Verdana"/>
                <w:sz w:val="20"/>
                <w:szCs w:val="24"/>
              </w:rPr>
              <w:t xml:space="preserve">and </w:t>
            </w:r>
            <w:r w:rsidR="00D471D3" w:rsidRPr="00BB23A7">
              <w:rPr>
                <w:rFonts w:ascii="Verdana" w:hAnsi="Verdana"/>
                <w:sz w:val="20"/>
                <w:szCs w:val="24"/>
              </w:rPr>
              <w:t xml:space="preserve">portfolio </w:t>
            </w:r>
            <w:r w:rsidR="00A9278C" w:rsidRPr="00BB23A7">
              <w:rPr>
                <w:rFonts w:ascii="Verdana" w:hAnsi="Verdana"/>
                <w:sz w:val="20"/>
                <w:szCs w:val="24"/>
              </w:rPr>
              <w:t>agenc</w:t>
            </w:r>
            <w:r w:rsidR="008B087D" w:rsidRPr="00BB23A7">
              <w:rPr>
                <w:rFonts w:ascii="Verdana" w:hAnsi="Verdana"/>
                <w:sz w:val="20"/>
                <w:szCs w:val="24"/>
              </w:rPr>
              <w:t>y</w:t>
            </w:r>
            <w:r w:rsidR="00A9278C" w:rsidRPr="00BB23A7">
              <w:rPr>
                <w:rFonts w:ascii="Verdana" w:hAnsi="Verdana"/>
                <w:sz w:val="20"/>
                <w:szCs w:val="24"/>
              </w:rPr>
              <w:t xml:space="preserve"> </w:t>
            </w:r>
            <w:r w:rsidR="0059024A" w:rsidRPr="00BB23A7">
              <w:rPr>
                <w:rFonts w:ascii="Verdana" w:hAnsi="Verdana"/>
                <w:sz w:val="20"/>
                <w:szCs w:val="24"/>
              </w:rPr>
              <w:t>staff, particularly those in Public Affairs is</w:t>
            </w:r>
            <w:r w:rsidR="00235046" w:rsidRPr="00BB23A7">
              <w:rPr>
                <w:rFonts w:ascii="Verdana" w:hAnsi="Verdana"/>
                <w:sz w:val="20"/>
                <w:szCs w:val="24"/>
              </w:rPr>
              <w:t xml:space="preserve"> aware of the AMP multicultural access and equity commitments</w:t>
            </w:r>
            <w:r w:rsidR="009A1839" w:rsidRPr="00BB23A7">
              <w:rPr>
                <w:rFonts w:ascii="Verdana" w:hAnsi="Verdana"/>
                <w:sz w:val="20"/>
                <w:szCs w:val="24"/>
              </w:rPr>
              <w:t>.</w:t>
            </w:r>
          </w:p>
        </w:tc>
      </w:tr>
    </w:tbl>
    <w:p w:rsidR="00653C82" w:rsidRPr="00643CC2" w:rsidRDefault="00653C82">
      <w:pPr>
        <w:spacing w:after="0" w:line="240" w:lineRule="auto"/>
        <w:rPr>
          <w:rFonts w:ascii="Verdana" w:hAnsi="Verdana"/>
          <w:sz w:val="20"/>
          <w:szCs w:val="20"/>
        </w:rPr>
      </w:pPr>
    </w:p>
    <w:p w:rsidR="005A3405" w:rsidRPr="00643CC2" w:rsidRDefault="005A3405" w:rsidP="005A28F0">
      <w:pPr>
        <w:numPr>
          <w:ilvl w:val="0"/>
          <w:numId w:val="9"/>
        </w:num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before="60" w:after="240" w:line="360" w:lineRule="auto"/>
        <w:ind w:left="357" w:hanging="357"/>
        <w:rPr>
          <w:rFonts w:ascii="Verdana" w:hAnsi="Verdana"/>
          <w:b/>
          <w:sz w:val="28"/>
          <w:szCs w:val="28"/>
        </w:rPr>
      </w:pPr>
      <w:r w:rsidRPr="00643CC2">
        <w:rPr>
          <w:rFonts w:ascii="Verdana" w:hAnsi="Verdana"/>
          <w:b/>
          <w:sz w:val="28"/>
          <w:szCs w:val="28"/>
        </w:rPr>
        <w:t>Engagement</w:t>
      </w:r>
    </w:p>
    <w:tbl>
      <w:tblPr>
        <w:tblStyle w:val="TableGrid1"/>
        <w:tblW w:w="5000" w:type="pct"/>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none" w:sz="0" w:space="0" w:color="auto"/>
          <w:insideV w:val="none" w:sz="0" w:space="0" w:color="auto"/>
        </w:tblBorders>
        <w:tblLook w:val="04A0"/>
      </w:tblPr>
      <w:tblGrid>
        <w:gridCol w:w="14333"/>
      </w:tblGrid>
      <w:tr w:rsidR="005A3405" w:rsidRPr="00643CC2" w:rsidTr="005A28F0">
        <w:tc>
          <w:tcPr>
            <w:tcW w:w="5000" w:type="pct"/>
          </w:tcPr>
          <w:p w:rsidR="005A3405" w:rsidRPr="00643CC2" w:rsidRDefault="00585154" w:rsidP="007608E8">
            <w:pPr>
              <w:spacing w:before="60" w:after="60"/>
              <w:jc w:val="both"/>
              <w:rPr>
                <w:rFonts w:ascii="Verdana" w:hAnsi="Verdana"/>
                <w:i/>
              </w:rPr>
            </w:pPr>
            <w:r w:rsidRPr="00643CC2">
              <w:rPr>
                <w:rFonts w:ascii="Verdana" w:hAnsi="Verdana"/>
              </w:rPr>
              <w:t xml:space="preserve">SEWPAC undertakes a </w:t>
            </w:r>
            <w:r w:rsidR="00582D55" w:rsidRPr="00643CC2">
              <w:rPr>
                <w:rFonts w:ascii="Verdana" w:hAnsi="Verdana"/>
              </w:rPr>
              <w:t>r</w:t>
            </w:r>
            <w:r w:rsidRPr="00643CC2">
              <w:rPr>
                <w:rFonts w:ascii="Verdana" w:hAnsi="Verdana"/>
              </w:rPr>
              <w:t>a</w:t>
            </w:r>
            <w:r w:rsidR="00582D55" w:rsidRPr="00643CC2">
              <w:rPr>
                <w:rFonts w:ascii="Verdana" w:hAnsi="Verdana"/>
              </w:rPr>
              <w:t>nge of communication and stakeh</w:t>
            </w:r>
            <w:r w:rsidRPr="00643CC2">
              <w:rPr>
                <w:rFonts w:ascii="Verdana" w:hAnsi="Verdana"/>
              </w:rPr>
              <w:t>older</w:t>
            </w:r>
            <w:r w:rsidR="00582D55" w:rsidRPr="00643CC2">
              <w:rPr>
                <w:rFonts w:ascii="Verdana" w:hAnsi="Verdana"/>
              </w:rPr>
              <w:t xml:space="preserve"> engagement activities designed to raise awareness and understanding of its programs and policies</w:t>
            </w:r>
            <w:r w:rsidR="00CC79D0" w:rsidRPr="00643CC2">
              <w:rPr>
                <w:rFonts w:ascii="Verdana" w:hAnsi="Verdana"/>
              </w:rPr>
              <w:t xml:space="preserve">. Effective </w:t>
            </w:r>
            <w:r w:rsidR="002A1C3A" w:rsidRPr="00643CC2">
              <w:rPr>
                <w:rFonts w:ascii="Verdana" w:hAnsi="Verdana"/>
              </w:rPr>
              <w:t xml:space="preserve">and equitable </w:t>
            </w:r>
            <w:r w:rsidR="00CC79D0" w:rsidRPr="00643CC2">
              <w:rPr>
                <w:rFonts w:ascii="Verdana" w:hAnsi="Verdana"/>
              </w:rPr>
              <w:t>engagement with culturally and linguistically diverse</w:t>
            </w:r>
            <w:r w:rsidR="00582D55" w:rsidRPr="00643CC2">
              <w:rPr>
                <w:rFonts w:ascii="Verdana" w:hAnsi="Verdana"/>
              </w:rPr>
              <w:t xml:space="preserve"> audiences will provide </w:t>
            </w:r>
            <w:r w:rsidRPr="00643CC2">
              <w:rPr>
                <w:rFonts w:ascii="Verdana" w:hAnsi="Verdana"/>
              </w:rPr>
              <w:t xml:space="preserve">the means for clients to </w:t>
            </w:r>
            <w:r w:rsidR="005D51F3" w:rsidRPr="00643CC2">
              <w:rPr>
                <w:rFonts w:ascii="Verdana" w:hAnsi="Verdana"/>
              </w:rPr>
              <w:t xml:space="preserve">access SEWPAC </w:t>
            </w:r>
            <w:r w:rsidRPr="00643CC2">
              <w:rPr>
                <w:rFonts w:ascii="Verdana" w:hAnsi="Verdana"/>
              </w:rPr>
              <w:t>services through mechanisms such as interpreter services</w:t>
            </w:r>
            <w:r w:rsidR="005D51F3" w:rsidRPr="00643CC2">
              <w:rPr>
                <w:rFonts w:ascii="Verdana" w:hAnsi="Verdana"/>
              </w:rPr>
              <w:t xml:space="preserve">, </w:t>
            </w:r>
            <w:r w:rsidRPr="00643CC2">
              <w:rPr>
                <w:rFonts w:ascii="Verdana" w:hAnsi="Verdana"/>
              </w:rPr>
              <w:t xml:space="preserve">audio channels </w:t>
            </w:r>
            <w:r w:rsidR="005D51F3" w:rsidRPr="00643CC2">
              <w:rPr>
                <w:rFonts w:ascii="Verdana" w:hAnsi="Verdana"/>
              </w:rPr>
              <w:t xml:space="preserve">or translated material. </w:t>
            </w:r>
            <w:r w:rsidR="002A1C3A" w:rsidRPr="00643CC2">
              <w:rPr>
                <w:rFonts w:ascii="Verdana" w:hAnsi="Verdana"/>
              </w:rPr>
              <w:t xml:space="preserve"> </w:t>
            </w:r>
            <w:r w:rsidR="005D51F3" w:rsidRPr="00643CC2">
              <w:rPr>
                <w:rFonts w:ascii="Verdana" w:hAnsi="Verdana"/>
              </w:rPr>
              <w:t xml:space="preserve">This will </w:t>
            </w:r>
            <w:r w:rsidR="006F58F4" w:rsidRPr="00643CC2">
              <w:rPr>
                <w:rFonts w:ascii="Verdana" w:hAnsi="Verdana"/>
              </w:rPr>
              <w:t xml:space="preserve">support </w:t>
            </w:r>
            <w:r w:rsidRPr="00643CC2">
              <w:rPr>
                <w:rFonts w:ascii="Verdana" w:hAnsi="Verdana"/>
              </w:rPr>
              <w:t>clients in the same situation gaining the same outcome.</w:t>
            </w:r>
            <w:r w:rsidR="005A3405" w:rsidRPr="00643CC2">
              <w:rPr>
                <w:rFonts w:ascii="Verdana" w:hAnsi="Verdana"/>
                <w:i/>
              </w:rPr>
              <w:t xml:space="preserve"> </w:t>
            </w:r>
          </w:p>
        </w:tc>
      </w:tr>
    </w:tbl>
    <w:p w:rsidR="005A3405" w:rsidRPr="00A611C8" w:rsidRDefault="005A3405" w:rsidP="00A611C8">
      <w:pPr>
        <w:spacing w:after="0" w:line="240" w:lineRule="auto"/>
        <w:rPr>
          <w:rFonts w:ascii="Verdana" w:hAnsi="Verdana"/>
          <w:sz w:val="10"/>
          <w:szCs w:val="10"/>
        </w:rPr>
      </w:pPr>
    </w:p>
    <w:p w:rsidR="00A611C8" w:rsidRDefault="00A611C8" w:rsidP="00A611C8">
      <w:pPr>
        <w:spacing w:after="0" w:line="240" w:lineRule="auto"/>
        <w:rPr>
          <w:rFonts w:ascii="Verdana" w:hAnsi="Verdana"/>
          <w:sz w:val="10"/>
          <w:szCs w:val="10"/>
        </w:rPr>
      </w:pPr>
    </w:p>
    <w:p w:rsidR="00A611C8" w:rsidRPr="00A611C8" w:rsidRDefault="00A611C8" w:rsidP="00A611C8">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rPr>
          <w:rFonts w:ascii="Verdana" w:hAnsi="Verdana"/>
          <w:b/>
          <w:sz w:val="20"/>
          <w:szCs w:val="20"/>
        </w:rPr>
      </w:pPr>
      <w:r w:rsidRPr="00A611C8">
        <w:rPr>
          <w:rFonts w:ascii="Verdana" w:hAnsi="Verdana"/>
          <w:b/>
          <w:sz w:val="20"/>
          <w:szCs w:val="20"/>
        </w:rPr>
        <w:t>Minimum obligations</w:t>
      </w:r>
    </w:p>
    <w:p w:rsidR="00A611C8" w:rsidRDefault="00A611C8" w:rsidP="00EE3AA7">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ind w:left="630" w:hanging="630"/>
        <w:rPr>
          <w:rFonts w:ascii="Verdana" w:hAnsi="Verdana"/>
          <w:sz w:val="20"/>
          <w:szCs w:val="24"/>
        </w:rPr>
      </w:pPr>
      <w:r w:rsidRPr="00A611C8">
        <w:rPr>
          <w:rFonts w:ascii="Verdana" w:hAnsi="Verdana"/>
          <w:b/>
          <w:sz w:val="20"/>
          <w:szCs w:val="20"/>
        </w:rPr>
        <w:t>2.1</w:t>
      </w:r>
      <w:r w:rsidR="00172840">
        <w:rPr>
          <w:rFonts w:ascii="Verdana" w:hAnsi="Verdana"/>
          <w:b/>
          <w:sz w:val="20"/>
          <w:szCs w:val="20"/>
        </w:rPr>
        <w:tab/>
      </w:r>
      <w:r w:rsidRPr="00A611C8">
        <w:rPr>
          <w:rFonts w:ascii="Verdana" w:hAnsi="Verdana"/>
          <w:b/>
          <w:sz w:val="20"/>
          <w:szCs w:val="20"/>
        </w:rPr>
        <w:t>Stakeholder engagement</w:t>
      </w:r>
      <w:r>
        <w:rPr>
          <w:rFonts w:ascii="Verdana" w:hAnsi="Verdana"/>
          <w:sz w:val="20"/>
          <w:szCs w:val="20"/>
        </w:rPr>
        <w:t xml:space="preserve">: </w:t>
      </w:r>
      <w:r w:rsidR="00280699">
        <w:rPr>
          <w:rFonts w:ascii="Verdana" w:hAnsi="Verdana"/>
          <w:sz w:val="20"/>
          <w:szCs w:val="20"/>
        </w:rPr>
        <w:t xml:space="preserve">Department </w:t>
      </w:r>
      <w:r>
        <w:rPr>
          <w:rFonts w:ascii="Verdana" w:hAnsi="Verdana"/>
          <w:sz w:val="20"/>
          <w:szCs w:val="20"/>
        </w:rPr>
        <w:t xml:space="preserve">to have an </w:t>
      </w:r>
      <w:r w:rsidRPr="00643CC2">
        <w:rPr>
          <w:rFonts w:ascii="Verdana" w:hAnsi="Verdana"/>
          <w:sz w:val="20"/>
          <w:szCs w:val="24"/>
        </w:rPr>
        <w:t>engagement strategy to understan</w:t>
      </w:r>
      <w:r w:rsidR="008B087D">
        <w:rPr>
          <w:rFonts w:ascii="Verdana" w:hAnsi="Verdana"/>
          <w:sz w:val="20"/>
          <w:szCs w:val="24"/>
        </w:rPr>
        <w:t xml:space="preserve">d culturally and linguistically </w:t>
      </w:r>
      <w:r w:rsidR="00EE3AA7">
        <w:rPr>
          <w:rFonts w:ascii="Verdana" w:hAnsi="Verdana"/>
          <w:sz w:val="20"/>
          <w:szCs w:val="24"/>
        </w:rPr>
        <w:t xml:space="preserve">diverse </w:t>
      </w:r>
      <w:r w:rsidRPr="00643CC2">
        <w:rPr>
          <w:rFonts w:ascii="Verdana" w:hAnsi="Verdana"/>
          <w:sz w:val="20"/>
          <w:szCs w:val="24"/>
        </w:rPr>
        <w:t>communities’ interactions with</w:t>
      </w:r>
      <w:r w:rsidR="008B087D">
        <w:rPr>
          <w:rFonts w:ascii="Verdana" w:hAnsi="Verdana"/>
          <w:sz w:val="20"/>
          <w:szCs w:val="24"/>
        </w:rPr>
        <w:t xml:space="preserve"> the d</w:t>
      </w:r>
      <w:r w:rsidR="00280699">
        <w:rPr>
          <w:rFonts w:ascii="Verdana" w:hAnsi="Verdana"/>
          <w:sz w:val="20"/>
          <w:szCs w:val="24"/>
        </w:rPr>
        <w:t xml:space="preserve">epartment </w:t>
      </w:r>
      <w:r w:rsidRPr="00643CC2">
        <w:rPr>
          <w:rFonts w:ascii="Verdana" w:hAnsi="Verdana"/>
          <w:sz w:val="20"/>
          <w:szCs w:val="24"/>
        </w:rPr>
        <w:t>or agency</w:t>
      </w:r>
      <w:r w:rsidR="008B087D">
        <w:rPr>
          <w:rFonts w:ascii="Verdana" w:hAnsi="Verdana"/>
          <w:sz w:val="20"/>
          <w:szCs w:val="24"/>
        </w:rPr>
        <w:t>.</w:t>
      </w:r>
    </w:p>
    <w:p w:rsidR="00A611C8" w:rsidRDefault="00E0392B" w:rsidP="00EE3AA7">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tabs>
          <w:tab w:val="left" w:pos="882"/>
        </w:tabs>
        <w:spacing w:before="60" w:after="60"/>
        <w:ind w:left="630" w:hanging="630"/>
        <w:rPr>
          <w:rFonts w:ascii="Verdana" w:hAnsi="Verdana"/>
          <w:sz w:val="20"/>
          <w:szCs w:val="24"/>
        </w:rPr>
      </w:pPr>
      <w:r>
        <w:rPr>
          <w:rFonts w:ascii="Verdana" w:hAnsi="Verdana"/>
          <w:b/>
          <w:sz w:val="20"/>
          <w:szCs w:val="20"/>
        </w:rPr>
        <w:t>2.2</w:t>
      </w:r>
      <w:r w:rsidR="00172840">
        <w:rPr>
          <w:rFonts w:ascii="Verdana" w:hAnsi="Verdana"/>
          <w:b/>
          <w:sz w:val="20"/>
          <w:szCs w:val="20"/>
        </w:rPr>
        <w:tab/>
      </w:r>
      <w:r w:rsidR="00A611C8" w:rsidRPr="00A611C8">
        <w:rPr>
          <w:rFonts w:ascii="Verdana" w:hAnsi="Verdana"/>
          <w:b/>
          <w:sz w:val="20"/>
          <w:szCs w:val="20"/>
        </w:rPr>
        <w:t>Language and communication</w:t>
      </w:r>
      <w:r w:rsidR="00A611C8">
        <w:rPr>
          <w:rFonts w:ascii="Verdana" w:hAnsi="Verdana"/>
          <w:sz w:val="20"/>
          <w:szCs w:val="20"/>
        </w:rPr>
        <w:t xml:space="preserve">: </w:t>
      </w:r>
      <w:r w:rsidR="00280699">
        <w:rPr>
          <w:rFonts w:ascii="Verdana" w:hAnsi="Verdana"/>
          <w:sz w:val="20"/>
          <w:szCs w:val="20"/>
        </w:rPr>
        <w:t xml:space="preserve">Department </w:t>
      </w:r>
      <w:r w:rsidR="00A611C8">
        <w:rPr>
          <w:rFonts w:ascii="Verdana" w:hAnsi="Verdana"/>
          <w:sz w:val="20"/>
          <w:szCs w:val="20"/>
        </w:rPr>
        <w:t xml:space="preserve">to have a </w:t>
      </w:r>
      <w:r w:rsidR="00A611C8" w:rsidRPr="00643CC2">
        <w:rPr>
          <w:rFonts w:ascii="Verdana" w:hAnsi="Verdana"/>
          <w:sz w:val="20"/>
          <w:szCs w:val="24"/>
        </w:rPr>
        <w:t xml:space="preserve">language and communication plan for culturally </w:t>
      </w:r>
      <w:r w:rsidR="00586C02" w:rsidRPr="00643CC2">
        <w:rPr>
          <w:rFonts w:ascii="Verdana" w:hAnsi="Verdana"/>
          <w:sz w:val="20"/>
          <w:szCs w:val="24"/>
        </w:rPr>
        <w:t>and linguistically</w:t>
      </w:r>
      <w:r>
        <w:rPr>
          <w:rFonts w:ascii="Verdana" w:hAnsi="Verdana"/>
          <w:sz w:val="20"/>
          <w:szCs w:val="24"/>
        </w:rPr>
        <w:t xml:space="preserve"> </w:t>
      </w:r>
      <w:r w:rsidR="00A611C8" w:rsidRPr="00643CC2">
        <w:rPr>
          <w:rFonts w:ascii="Verdana" w:hAnsi="Verdana"/>
          <w:sz w:val="20"/>
          <w:szCs w:val="24"/>
        </w:rPr>
        <w:t xml:space="preserve">diverse communities, including on the use </w:t>
      </w:r>
      <w:r w:rsidR="00443F2F">
        <w:rPr>
          <w:rFonts w:ascii="Verdana" w:hAnsi="Verdana"/>
          <w:sz w:val="20"/>
          <w:szCs w:val="24"/>
        </w:rPr>
        <w:t xml:space="preserve">of languages other than English </w:t>
      </w:r>
      <w:r w:rsidR="00A611C8" w:rsidRPr="00643CC2">
        <w:rPr>
          <w:rFonts w:ascii="Verdana" w:hAnsi="Verdana"/>
          <w:sz w:val="20"/>
          <w:szCs w:val="24"/>
        </w:rPr>
        <w:t>and incorp</w:t>
      </w:r>
      <w:r w:rsidR="008B087D">
        <w:rPr>
          <w:rFonts w:ascii="Verdana" w:hAnsi="Verdana"/>
          <w:sz w:val="20"/>
          <w:szCs w:val="24"/>
        </w:rPr>
        <w:t>orating the use of interpreters and</w:t>
      </w:r>
      <w:r w:rsidR="000956BB">
        <w:rPr>
          <w:rFonts w:ascii="Verdana" w:hAnsi="Verdana"/>
          <w:sz w:val="20"/>
          <w:szCs w:val="24"/>
        </w:rPr>
        <w:t xml:space="preserve"> </w:t>
      </w:r>
      <w:r w:rsidR="00A611C8" w:rsidRPr="00643CC2">
        <w:rPr>
          <w:rFonts w:ascii="Verdana" w:hAnsi="Verdana"/>
          <w:sz w:val="20"/>
          <w:szCs w:val="24"/>
        </w:rPr>
        <w:t>translators</w:t>
      </w:r>
      <w:r w:rsidR="00443F2F">
        <w:rPr>
          <w:rFonts w:ascii="Verdana" w:hAnsi="Verdana"/>
          <w:sz w:val="20"/>
          <w:szCs w:val="24"/>
        </w:rPr>
        <w:t>.</w:t>
      </w:r>
    </w:p>
    <w:p w:rsidR="00FD6628" w:rsidRDefault="00FD6628" w:rsidP="00EE3AA7">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tabs>
          <w:tab w:val="left" w:pos="882"/>
        </w:tabs>
        <w:spacing w:before="60" w:after="60"/>
        <w:ind w:left="630" w:hanging="630"/>
        <w:rPr>
          <w:rFonts w:ascii="Verdana" w:hAnsi="Verdana"/>
          <w:sz w:val="20"/>
          <w:szCs w:val="20"/>
        </w:rPr>
      </w:pPr>
    </w:p>
    <w:p w:rsidR="00852C78" w:rsidRPr="00643CC2" w:rsidRDefault="00852C78" w:rsidP="002C529D">
      <w:pPr>
        <w:spacing w:before="60" w:after="60" w:line="360" w:lineRule="auto"/>
        <w:ind w:left="284"/>
      </w:pPr>
    </w:p>
    <w:tbl>
      <w:tblPr>
        <w:tblStyle w:val="TableGrid1"/>
        <w:tblW w:w="14372" w:type="dxa"/>
        <w:tblLayout w:type="fixed"/>
        <w:tblLook w:val="04A0"/>
      </w:tblPr>
      <w:tblGrid>
        <w:gridCol w:w="2138"/>
        <w:gridCol w:w="3782"/>
        <w:gridCol w:w="2713"/>
        <w:gridCol w:w="1540"/>
        <w:gridCol w:w="4199"/>
      </w:tblGrid>
      <w:tr w:rsidR="00B94009" w:rsidRPr="00643CC2" w:rsidTr="00EA7AFF">
        <w:tc>
          <w:tcPr>
            <w:tcW w:w="2138" w:type="dxa"/>
            <w:tcBorders>
              <w:top w:val="nil"/>
              <w:left w:val="nil"/>
            </w:tcBorders>
          </w:tcPr>
          <w:p w:rsidR="005A3405" w:rsidRPr="00643CC2" w:rsidRDefault="005A3405" w:rsidP="005A3405">
            <w:pPr>
              <w:rPr>
                <w:rFonts w:ascii="Verdana" w:hAnsi="Verdana"/>
                <w:i/>
                <w:sz w:val="24"/>
                <w:szCs w:val="24"/>
              </w:rPr>
            </w:pPr>
          </w:p>
        </w:tc>
        <w:tc>
          <w:tcPr>
            <w:tcW w:w="3782" w:type="dxa"/>
            <w:shd w:val="clear" w:color="auto" w:fill="DBE5F1" w:themeFill="accent1" w:themeFillTint="33"/>
            <w:vAlign w:val="center"/>
          </w:tcPr>
          <w:p w:rsidR="005A3405" w:rsidRPr="00643CC2" w:rsidRDefault="005A3405" w:rsidP="00653C82">
            <w:pPr>
              <w:spacing w:before="60" w:after="60"/>
              <w:jc w:val="center"/>
              <w:rPr>
                <w:rFonts w:ascii="Verdana" w:hAnsi="Verdana"/>
                <w:b/>
                <w:i/>
                <w:szCs w:val="24"/>
              </w:rPr>
            </w:pPr>
            <w:r w:rsidRPr="00643CC2">
              <w:rPr>
                <w:rFonts w:ascii="Verdana" w:hAnsi="Verdana"/>
                <w:b/>
                <w:i/>
                <w:szCs w:val="24"/>
              </w:rPr>
              <w:t>Action</w:t>
            </w:r>
          </w:p>
        </w:tc>
        <w:tc>
          <w:tcPr>
            <w:tcW w:w="2713" w:type="dxa"/>
            <w:shd w:val="clear" w:color="auto" w:fill="DBE5F1" w:themeFill="accent1" w:themeFillTint="33"/>
            <w:vAlign w:val="center"/>
          </w:tcPr>
          <w:p w:rsidR="005A3405" w:rsidRPr="00643CC2" w:rsidRDefault="005A3405" w:rsidP="00653C82">
            <w:pPr>
              <w:spacing w:before="60" w:after="60"/>
              <w:jc w:val="center"/>
              <w:rPr>
                <w:rFonts w:ascii="Verdana" w:hAnsi="Verdana"/>
                <w:b/>
                <w:i/>
                <w:szCs w:val="24"/>
              </w:rPr>
            </w:pPr>
            <w:r w:rsidRPr="00643CC2">
              <w:rPr>
                <w:rFonts w:ascii="Verdana" w:hAnsi="Verdana"/>
                <w:b/>
                <w:i/>
                <w:szCs w:val="24"/>
              </w:rPr>
              <w:t>Responsibility</w:t>
            </w:r>
          </w:p>
        </w:tc>
        <w:tc>
          <w:tcPr>
            <w:tcW w:w="1540" w:type="dxa"/>
            <w:shd w:val="clear" w:color="auto" w:fill="DBE5F1" w:themeFill="accent1" w:themeFillTint="33"/>
            <w:vAlign w:val="center"/>
          </w:tcPr>
          <w:p w:rsidR="005A3405" w:rsidRPr="00643CC2" w:rsidRDefault="005A3405" w:rsidP="00653C82">
            <w:pPr>
              <w:spacing w:before="60" w:after="60"/>
              <w:jc w:val="center"/>
              <w:rPr>
                <w:rFonts w:ascii="Verdana" w:hAnsi="Verdana"/>
                <w:b/>
                <w:i/>
                <w:szCs w:val="24"/>
              </w:rPr>
            </w:pPr>
            <w:r w:rsidRPr="00643CC2">
              <w:rPr>
                <w:rFonts w:ascii="Verdana" w:hAnsi="Verdana"/>
                <w:b/>
                <w:i/>
                <w:szCs w:val="24"/>
              </w:rPr>
              <w:t>Timeline</w:t>
            </w:r>
          </w:p>
        </w:tc>
        <w:tc>
          <w:tcPr>
            <w:tcW w:w="4199" w:type="dxa"/>
            <w:shd w:val="clear" w:color="auto" w:fill="DBE5F1" w:themeFill="accent1" w:themeFillTint="33"/>
            <w:vAlign w:val="center"/>
          </w:tcPr>
          <w:p w:rsidR="005A3405" w:rsidRPr="00643CC2" w:rsidRDefault="005A3405" w:rsidP="00653C82">
            <w:pPr>
              <w:spacing w:before="60" w:after="60"/>
              <w:jc w:val="center"/>
              <w:rPr>
                <w:rFonts w:ascii="Verdana" w:hAnsi="Verdana"/>
                <w:b/>
                <w:i/>
                <w:szCs w:val="24"/>
              </w:rPr>
            </w:pPr>
            <w:r w:rsidRPr="00643CC2">
              <w:rPr>
                <w:rFonts w:ascii="Verdana" w:hAnsi="Verdana"/>
                <w:b/>
                <w:i/>
                <w:szCs w:val="24"/>
              </w:rPr>
              <w:t>Target</w:t>
            </w:r>
          </w:p>
        </w:tc>
      </w:tr>
      <w:tr w:rsidR="00852C78" w:rsidRPr="00643CC2" w:rsidTr="00EA7AFF">
        <w:tc>
          <w:tcPr>
            <w:tcW w:w="2138" w:type="dxa"/>
            <w:vMerge w:val="restart"/>
          </w:tcPr>
          <w:p w:rsidR="00066C8D" w:rsidRDefault="00852C78" w:rsidP="00852C78">
            <w:pPr>
              <w:spacing w:before="60" w:after="60"/>
              <w:rPr>
                <w:rFonts w:ascii="Verdana" w:hAnsi="Verdana"/>
                <w:b/>
                <w:szCs w:val="24"/>
              </w:rPr>
            </w:pPr>
            <w:r w:rsidRPr="00643CC2">
              <w:rPr>
                <w:rFonts w:ascii="Verdana" w:hAnsi="Verdana"/>
                <w:b/>
                <w:szCs w:val="24"/>
              </w:rPr>
              <w:t>2.1</w:t>
            </w:r>
          </w:p>
          <w:p w:rsidR="00852C78" w:rsidRPr="00643CC2" w:rsidRDefault="00852C78" w:rsidP="00852C78">
            <w:pPr>
              <w:spacing w:before="60" w:after="60"/>
              <w:rPr>
                <w:rFonts w:ascii="Verdana" w:hAnsi="Verdana"/>
                <w:b/>
                <w:i/>
                <w:szCs w:val="24"/>
              </w:rPr>
            </w:pPr>
            <w:r w:rsidRPr="00643CC2">
              <w:rPr>
                <w:rFonts w:ascii="Verdana" w:hAnsi="Verdana"/>
                <w:b/>
                <w:szCs w:val="24"/>
              </w:rPr>
              <w:t>Stakeholder engagement</w:t>
            </w:r>
          </w:p>
          <w:p w:rsidR="00852C78" w:rsidRPr="00643CC2" w:rsidRDefault="00852C78" w:rsidP="00852C78">
            <w:pPr>
              <w:spacing w:before="60" w:after="60"/>
              <w:rPr>
                <w:rFonts w:ascii="Verdana" w:hAnsi="Verdana"/>
                <w:b/>
                <w:sz w:val="20"/>
                <w:szCs w:val="24"/>
              </w:rPr>
            </w:pPr>
          </w:p>
        </w:tc>
        <w:tc>
          <w:tcPr>
            <w:tcW w:w="3782" w:type="dxa"/>
          </w:tcPr>
          <w:p w:rsidR="00852C78" w:rsidRPr="00643CC2" w:rsidRDefault="00852C78" w:rsidP="00852C78">
            <w:pPr>
              <w:spacing w:before="60" w:after="60"/>
              <w:ind w:left="16"/>
              <w:rPr>
                <w:rFonts w:ascii="Verdana" w:hAnsi="Verdana"/>
                <w:sz w:val="20"/>
                <w:szCs w:val="20"/>
              </w:rPr>
            </w:pPr>
            <w:r w:rsidRPr="00643CC2">
              <w:rPr>
                <w:rFonts w:ascii="Verdana" w:hAnsi="Verdana"/>
                <w:sz w:val="20"/>
                <w:szCs w:val="20"/>
              </w:rPr>
              <w:t>2.1.1 Incorporate culturally and linguistically diverse people as a target audience in communication and stakeholder engagement activities</w:t>
            </w:r>
            <w:r w:rsidR="00604016">
              <w:rPr>
                <w:rFonts w:ascii="Verdana" w:hAnsi="Verdana"/>
                <w:sz w:val="20"/>
                <w:szCs w:val="20"/>
              </w:rPr>
              <w:t>, where appropriate</w:t>
            </w:r>
            <w:r w:rsidRPr="00643CC2">
              <w:rPr>
                <w:rFonts w:ascii="Verdana" w:hAnsi="Verdana"/>
                <w:sz w:val="20"/>
                <w:szCs w:val="20"/>
              </w:rPr>
              <w:t>.</w:t>
            </w:r>
          </w:p>
        </w:tc>
        <w:tc>
          <w:tcPr>
            <w:tcW w:w="2713" w:type="dxa"/>
          </w:tcPr>
          <w:p w:rsidR="00852C78" w:rsidRPr="000945F3" w:rsidRDefault="00852C78" w:rsidP="00852C78">
            <w:pPr>
              <w:spacing w:before="60" w:after="60"/>
              <w:rPr>
                <w:rFonts w:ascii="Verdana" w:hAnsi="Verdana"/>
                <w:sz w:val="20"/>
                <w:szCs w:val="20"/>
              </w:rPr>
            </w:pPr>
            <w:r w:rsidRPr="000945F3">
              <w:rPr>
                <w:rFonts w:ascii="Verdana" w:hAnsi="Verdana"/>
                <w:sz w:val="20"/>
                <w:szCs w:val="20"/>
              </w:rPr>
              <w:t>Assistant Secretary,</w:t>
            </w:r>
          </w:p>
          <w:p w:rsidR="00852C78" w:rsidRPr="00643CC2" w:rsidRDefault="00852C78" w:rsidP="00852C78">
            <w:pPr>
              <w:spacing w:before="60" w:after="60"/>
              <w:rPr>
                <w:rFonts w:ascii="Verdana" w:hAnsi="Verdana"/>
                <w:sz w:val="20"/>
                <w:szCs w:val="20"/>
              </w:rPr>
            </w:pPr>
            <w:r w:rsidRPr="000945F3">
              <w:rPr>
                <w:rFonts w:ascii="Verdana" w:hAnsi="Verdana"/>
                <w:sz w:val="20"/>
                <w:szCs w:val="20"/>
              </w:rPr>
              <w:t>Public Affairs Branch</w:t>
            </w:r>
          </w:p>
        </w:tc>
        <w:tc>
          <w:tcPr>
            <w:tcW w:w="1540" w:type="dxa"/>
          </w:tcPr>
          <w:p w:rsidR="00852C78" w:rsidRPr="00643CC2" w:rsidRDefault="00852C78" w:rsidP="00852C78">
            <w:pPr>
              <w:spacing w:before="60" w:after="60"/>
              <w:rPr>
                <w:rFonts w:ascii="Verdana" w:hAnsi="Verdana"/>
                <w:sz w:val="20"/>
                <w:szCs w:val="20"/>
              </w:rPr>
            </w:pPr>
            <w:r w:rsidRPr="00643CC2">
              <w:rPr>
                <w:rFonts w:ascii="Verdana" w:hAnsi="Verdana"/>
                <w:sz w:val="20"/>
                <w:szCs w:val="20"/>
              </w:rPr>
              <w:t>June 2014</w:t>
            </w:r>
          </w:p>
        </w:tc>
        <w:tc>
          <w:tcPr>
            <w:tcW w:w="4199" w:type="dxa"/>
          </w:tcPr>
          <w:p w:rsidR="00852C78" w:rsidRPr="00643CC2" w:rsidRDefault="00852C78" w:rsidP="00443F2F">
            <w:pPr>
              <w:spacing w:before="60" w:after="60"/>
              <w:rPr>
                <w:rFonts w:ascii="Verdana" w:hAnsi="Verdana"/>
                <w:sz w:val="20"/>
                <w:szCs w:val="20"/>
              </w:rPr>
            </w:pPr>
            <w:r w:rsidRPr="00643CC2">
              <w:rPr>
                <w:rFonts w:ascii="Verdana" w:hAnsi="Verdana"/>
                <w:sz w:val="20"/>
                <w:szCs w:val="20"/>
              </w:rPr>
              <w:t>All engagement and communication activities consider the needs o</w:t>
            </w:r>
            <w:r w:rsidR="00443F2F">
              <w:rPr>
                <w:rFonts w:ascii="Verdana" w:hAnsi="Verdana"/>
                <w:sz w:val="20"/>
                <w:szCs w:val="20"/>
              </w:rPr>
              <w:t xml:space="preserve">f culturally and linguistically </w:t>
            </w:r>
            <w:r w:rsidRPr="00643CC2">
              <w:rPr>
                <w:rFonts w:ascii="Verdana" w:hAnsi="Verdana"/>
                <w:sz w:val="20"/>
                <w:szCs w:val="20"/>
              </w:rPr>
              <w:t>diverse clients and stakeholders.</w:t>
            </w:r>
          </w:p>
        </w:tc>
      </w:tr>
      <w:tr w:rsidR="00852C78" w:rsidRPr="00643CC2" w:rsidTr="00EA7AFF">
        <w:tc>
          <w:tcPr>
            <w:tcW w:w="2138" w:type="dxa"/>
            <w:vMerge/>
          </w:tcPr>
          <w:p w:rsidR="00852C78" w:rsidRPr="00643CC2" w:rsidRDefault="00852C78" w:rsidP="00852C78">
            <w:pPr>
              <w:spacing w:before="60" w:after="60"/>
              <w:rPr>
                <w:rFonts w:ascii="Verdana" w:hAnsi="Verdana"/>
                <w:b/>
                <w:sz w:val="20"/>
                <w:szCs w:val="24"/>
              </w:rPr>
            </w:pPr>
          </w:p>
        </w:tc>
        <w:tc>
          <w:tcPr>
            <w:tcW w:w="3782" w:type="dxa"/>
          </w:tcPr>
          <w:p w:rsidR="00852C78" w:rsidRPr="00643CC2" w:rsidRDefault="00C429C8" w:rsidP="00852C78">
            <w:pPr>
              <w:spacing w:before="60" w:after="60"/>
              <w:ind w:left="16"/>
              <w:rPr>
                <w:rFonts w:ascii="Verdana" w:hAnsi="Verdana"/>
                <w:sz w:val="20"/>
                <w:szCs w:val="20"/>
              </w:rPr>
            </w:pPr>
            <w:r w:rsidRPr="00643CC2">
              <w:rPr>
                <w:rFonts w:ascii="Verdana" w:hAnsi="Verdana"/>
                <w:sz w:val="20"/>
                <w:szCs w:val="20"/>
              </w:rPr>
              <w:t>2.1.2 Incorporate</w:t>
            </w:r>
            <w:r w:rsidR="00852C78" w:rsidRPr="00643CC2">
              <w:rPr>
                <w:rFonts w:ascii="Verdana" w:hAnsi="Verdana"/>
                <w:sz w:val="20"/>
                <w:szCs w:val="20"/>
              </w:rPr>
              <w:t xml:space="preserve"> culturally and linguistically diverse stakeholder engagement into divisional and agency business plans where appropriate.</w:t>
            </w:r>
          </w:p>
        </w:tc>
        <w:tc>
          <w:tcPr>
            <w:tcW w:w="2713" w:type="dxa"/>
          </w:tcPr>
          <w:p w:rsidR="00852C78" w:rsidRPr="00643CC2" w:rsidRDefault="00852C78" w:rsidP="00852C78">
            <w:pPr>
              <w:spacing w:before="60" w:after="60"/>
              <w:rPr>
                <w:rFonts w:ascii="Verdana" w:hAnsi="Verdana"/>
                <w:sz w:val="20"/>
                <w:szCs w:val="20"/>
              </w:rPr>
            </w:pPr>
            <w:r w:rsidRPr="00643CC2">
              <w:rPr>
                <w:rFonts w:ascii="Verdana" w:hAnsi="Verdana"/>
                <w:sz w:val="20"/>
                <w:szCs w:val="20"/>
              </w:rPr>
              <w:t>All Division Heads and Heads o</w:t>
            </w:r>
            <w:r w:rsidR="00590BEB">
              <w:rPr>
                <w:rFonts w:ascii="Verdana" w:hAnsi="Verdana"/>
                <w:sz w:val="20"/>
                <w:szCs w:val="20"/>
              </w:rPr>
              <w:t>f Agencies included in this AMP</w:t>
            </w:r>
          </w:p>
        </w:tc>
        <w:tc>
          <w:tcPr>
            <w:tcW w:w="1540" w:type="dxa"/>
          </w:tcPr>
          <w:p w:rsidR="00852C78" w:rsidRPr="00643CC2" w:rsidRDefault="00852C78" w:rsidP="00852C78">
            <w:pPr>
              <w:spacing w:before="60" w:after="60"/>
              <w:rPr>
                <w:rFonts w:ascii="Verdana" w:hAnsi="Verdana"/>
                <w:sz w:val="20"/>
                <w:szCs w:val="20"/>
              </w:rPr>
            </w:pPr>
            <w:r w:rsidRPr="00643CC2">
              <w:rPr>
                <w:rFonts w:ascii="Verdana" w:hAnsi="Verdana"/>
                <w:sz w:val="20"/>
                <w:szCs w:val="20"/>
              </w:rPr>
              <w:t>June 2015</w:t>
            </w:r>
          </w:p>
        </w:tc>
        <w:tc>
          <w:tcPr>
            <w:tcW w:w="4199" w:type="dxa"/>
          </w:tcPr>
          <w:p w:rsidR="00852C78" w:rsidRPr="00643CC2" w:rsidRDefault="00852C78" w:rsidP="00443F2F">
            <w:pPr>
              <w:spacing w:before="60" w:after="60"/>
              <w:rPr>
                <w:rFonts w:ascii="Verdana" w:hAnsi="Verdana"/>
                <w:sz w:val="20"/>
                <w:szCs w:val="20"/>
              </w:rPr>
            </w:pPr>
            <w:r w:rsidRPr="00643CC2">
              <w:rPr>
                <w:rFonts w:ascii="Verdana" w:hAnsi="Verdana"/>
                <w:sz w:val="20"/>
                <w:szCs w:val="20"/>
              </w:rPr>
              <w:t xml:space="preserve">All </w:t>
            </w:r>
            <w:r w:rsidR="00443F2F">
              <w:rPr>
                <w:rFonts w:ascii="Verdana" w:hAnsi="Verdana"/>
                <w:sz w:val="20"/>
                <w:szCs w:val="20"/>
              </w:rPr>
              <w:t>d</w:t>
            </w:r>
            <w:r w:rsidRPr="00643CC2">
              <w:rPr>
                <w:rFonts w:ascii="Verdana" w:hAnsi="Verdana"/>
                <w:sz w:val="20"/>
                <w:szCs w:val="20"/>
              </w:rPr>
              <w:t>ivisions and agencies included in this AMP have considered the barriers to engagement of their culturally and linguistic diverse clients and stakeholders.</w:t>
            </w:r>
          </w:p>
        </w:tc>
      </w:tr>
      <w:tr w:rsidR="0058682B" w:rsidRPr="00643CC2" w:rsidTr="00EA7AFF">
        <w:tc>
          <w:tcPr>
            <w:tcW w:w="2138" w:type="dxa"/>
            <w:vMerge w:val="restart"/>
          </w:tcPr>
          <w:p w:rsidR="0058682B" w:rsidRPr="00643CC2" w:rsidRDefault="0058682B" w:rsidP="00852C78">
            <w:pPr>
              <w:spacing w:before="60" w:after="60"/>
              <w:rPr>
                <w:rFonts w:ascii="Verdana" w:hAnsi="Verdana"/>
                <w:b/>
                <w:szCs w:val="24"/>
              </w:rPr>
            </w:pPr>
            <w:r w:rsidRPr="00643CC2">
              <w:rPr>
                <w:rFonts w:ascii="Verdana" w:hAnsi="Verdana"/>
                <w:b/>
                <w:szCs w:val="24"/>
              </w:rPr>
              <w:t xml:space="preserve">2.2 </w:t>
            </w:r>
          </w:p>
          <w:p w:rsidR="0058682B" w:rsidRPr="00643CC2" w:rsidRDefault="0058682B" w:rsidP="00852C78">
            <w:pPr>
              <w:spacing w:before="60" w:after="60"/>
              <w:rPr>
                <w:rFonts w:ascii="Verdana" w:hAnsi="Verdana"/>
                <w:b/>
                <w:szCs w:val="24"/>
              </w:rPr>
            </w:pPr>
            <w:r w:rsidRPr="00643CC2">
              <w:rPr>
                <w:rFonts w:ascii="Verdana" w:hAnsi="Verdana"/>
                <w:b/>
                <w:szCs w:val="24"/>
              </w:rPr>
              <w:t>Language and communication</w:t>
            </w:r>
          </w:p>
        </w:tc>
        <w:tc>
          <w:tcPr>
            <w:tcW w:w="3782" w:type="dxa"/>
          </w:tcPr>
          <w:p w:rsidR="0058682B" w:rsidRPr="00E249A9" w:rsidRDefault="0058682B" w:rsidP="00852C78">
            <w:pPr>
              <w:spacing w:before="60" w:after="60"/>
              <w:ind w:left="16"/>
              <w:rPr>
                <w:rFonts w:ascii="Verdana" w:hAnsi="Verdana"/>
                <w:i/>
                <w:sz w:val="20"/>
                <w:szCs w:val="20"/>
              </w:rPr>
            </w:pPr>
            <w:r w:rsidRPr="00E249A9">
              <w:rPr>
                <w:rFonts w:ascii="Verdana" w:hAnsi="Verdana"/>
                <w:sz w:val="20"/>
                <w:szCs w:val="20"/>
              </w:rPr>
              <w:t xml:space="preserve">2.2.1 </w:t>
            </w:r>
            <w:r w:rsidR="00D2598C" w:rsidRPr="00E249A9">
              <w:rPr>
                <w:rFonts w:ascii="Verdana" w:hAnsi="Verdana"/>
                <w:sz w:val="20"/>
                <w:szCs w:val="20"/>
              </w:rPr>
              <w:t xml:space="preserve">Identify barriers to communication to </w:t>
            </w:r>
            <w:proofErr w:type="spellStart"/>
            <w:r w:rsidR="00D2598C" w:rsidRPr="00E249A9">
              <w:rPr>
                <w:rFonts w:ascii="Verdana" w:hAnsi="Verdana"/>
                <w:sz w:val="20"/>
                <w:szCs w:val="20"/>
              </w:rPr>
              <w:t>SEWPaC’s</w:t>
            </w:r>
            <w:proofErr w:type="spellEnd"/>
            <w:r w:rsidR="00D2598C" w:rsidRPr="00E249A9">
              <w:rPr>
                <w:rFonts w:ascii="Verdana" w:hAnsi="Verdana"/>
                <w:sz w:val="20"/>
                <w:szCs w:val="20"/>
              </w:rPr>
              <w:t xml:space="preserve"> culturally and linguistically diverse clients and stakeholder groups.</w:t>
            </w:r>
          </w:p>
          <w:p w:rsidR="0058682B" w:rsidRPr="00E249A9" w:rsidRDefault="0058682B" w:rsidP="00852C78">
            <w:pPr>
              <w:spacing w:before="60" w:after="60"/>
              <w:ind w:left="16"/>
              <w:rPr>
                <w:rFonts w:ascii="Verdana" w:hAnsi="Verdana"/>
                <w:sz w:val="20"/>
                <w:szCs w:val="20"/>
              </w:rPr>
            </w:pPr>
          </w:p>
        </w:tc>
        <w:tc>
          <w:tcPr>
            <w:tcW w:w="2713" w:type="dxa"/>
          </w:tcPr>
          <w:p w:rsidR="0058682B" w:rsidRPr="00E249A9" w:rsidRDefault="00D2598C" w:rsidP="00852C78">
            <w:pPr>
              <w:spacing w:before="60" w:after="60"/>
              <w:rPr>
                <w:rFonts w:ascii="Verdana" w:hAnsi="Verdana"/>
                <w:sz w:val="20"/>
                <w:szCs w:val="20"/>
              </w:rPr>
            </w:pPr>
            <w:r w:rsidRPr="00E249A9">
              <w:rPr>
                <w:rFonts w:ascii="Verdana" w:hAnsi="Verdana"/>
                <w:sz w:val="20"/>
                <w:szCs w:val="20"/>
              </w:rPr>
              <w:t>Assistant Secretary Public Affairs Branch</w:t>
            </w:r>
          </w:p>
        </w:tc>
        <w:tc>
          <w:tcPr>
            <w:tcW w:w="1540" w:type="dxa"/>
          </w:tcPr>
          <w:p w:rsidR="0058682B" w:rsidRPr="00E249A9" w:rsidRDefault="00D2598C" w:rsidP="00D2598C">
            <w:pPr>
              <w:spacing w:before="60" w:after="60"/>
              <w:rPr>
                <w:rFonts w:ascii="Verdana" w:hAnsi="Verdana"/>
                <w:sz w:val="20"/>
                <w:szCs w:val="20"/>
              </w:rPr>
            </w:pPr>
            <w:r w:rsidRPr="00E249A9">
              <w:rPr>
                <w:rFonts w:ascii="Verdana" w:hAnsi="Verdana"/>
                <w:sz w:val="20"/>
                <w:szCs w:val="20"/>
              </w:rPr>
              <w:t>June 2014</w:t>
            </w:r>
          </w:p>
        </w:tc>
        <w:tc>
          <w:tcPr>
            <w:tcW w:w="4199" w:type="dxa"/>
          </w:tcPr>
          <w:p w:rsidR="0058682B" w:rsidRPr="002A08D8" w:rsidRDefault="004D2B13" w:rsidP="004D2B13">
            <w:pPr>
              <w:spacing w:before="60" w:after="0"/>
              <w:rPr>
                <w:rFonts w:ascii="Verdana" w:hAnsi="Verdana"/>
                <w:color w:val="00B0F0"/>
                <w:sz w:val="20"/>
                <w:szCs w:val="20"/>
              </w:rPr>
            </w:pPr>
            <w:r>
              <w:rPr>
                <w:rFonts w:ascii="Verdana" w:hAnsi="Verdana"/>
                <w:sz w:val="20"/>
                <w:szCs w:val="20"/>
              </w:rPr>
              <w:t>Review</w:t>
            </w:r>
            <w:r w:rsidR="00D2598C" w:rsidRPr="00643CC2">
              <w:rPr>
                <w:rFonts w:ascii="Verdana" w:hAnsi="Verdana"/>
                <w:sz w:val="20"/>
                <w:szCs w:val="20"/>
              </w:rPr>
              <w:t xml:space="preserve"> conducted of SEWPaC activities to identify clients and stakeholders who require translation and interpreter services and targeted communication modes. (This audit will assist with achievement of 2.1.2).</w:t>
            </w:r>
          </w:p>
        </w:tc>
      </w:tr>
      <w:tr w:rsidR="0058682B" w:rsidRPr="00643CC2" w:rsidTr="00EA7AFF">
        <w:tc>
          <w:tcPr>
            <w:tcW w:w="2138" w:type="dxa"/>
            <w:vMerge/>
          </w:tcPr>
          <w:p w:rsidR="0058682B" w:rsidRPr="00643CC2" w:rsidRDefault="0058682B" w:rsidP="00852C78">
            <w:pPr>
              <w:spacing w:before="60" w:after="60"/>
              <w:rPr>
                <w:rFonts w:ascii="Verdana" w:hAnsi="Verdana"/>
                <w:b/>
                <w:szCs w:val="24"/>
              </w:rPr>
            </w:pPr>
          </w:p>
        </w:tc>
        <w:tc>
          <w:tcPr>
            <w:tcW w:w="3782" w:type="dxa"/>
          </w:tcPr>
          <w:p w:rsidR="0058682B" w:rsidRPr="00E249A9" w:rsidRDefault="0058682B" w:rsidP="004D2B13">
            <w:pPr>
              <w:spacing w:before="60" w:after="60"/>
              <w:ind w:left="16"/>
              <w:rPr>
                <w:rFonts w:ascii="Verdana" w:hAnsi="Verdana"/>
                <w:sz w:val="20"/>
                <w:szCs w:val="20"/>
              </w:rPr>
            </w:pPr>
            <w:r w:rsidRPr="00E249A9">
              <w:rPr>
                <w:rFonts w:ascii="Verdana" w:hAnsi="Verdana"/>
                <w:sz w:val="20"/>
                <w:szCs w:val="20"/>
              </w:rPr>
              <w:t xml:space="preserve">2.2.2 </w:t>
            </w:r>
            <w:r w:rsidR="00D2598C" w:rsidRPr="00E249A9">
              <w:rPr>
                <w:rFonts w:ascii="Verdana" w:hAnsi="Verdana"/>
                <w:sz w:val="20"/>
                <w:szCs w:val="20"/>
              </w:rPr>
              <w:t xml:space="preserve">Improve communication with linguistically diverse clients and stakeholder groups by progressively implementing improvements in response to the </w:t>
            </w:r>
            <w:r w:rsidR="004D2B13">
              <w:rPr>
                <w:rFonts w:ascii="Verdana" w:hAnsi="Verdana"/>
                <w:sz w:val="20"/>
                <w:szCs w:val="20"/>
              </w:rPr>
              <w:t>review</w:t>
            </w:r>
            <w:r w:rsidR="00D2598C" w:rsidRPr="00E249A9">
              <w:rPr>
                <w:rFonts w:ascii="Verdana" w:hAnsi="Verdana"/>
                <w:sz w:val="20"/>
                <w:szCs w:val="20"/>
              </w:rPr>
              <w:t xml:space="preserve"> findings (2.2.1).</w:t>
            </w:r>
          </w:p>
        </w:tc>
        <w:tc>
          <w:tcPr>
            <w:tcW w:w="2713" w:type="dxa"/>
          </w:tcPr>
          <w:p w:rsidR="0058682B" w:rsidRPr="00643CC2" w:rsidRDefault="0058682B" w:rsidP="00852C78">
            <w:pPr>
              <w:spacing w:before="60" w:after="60"/>
              <w:rPr>
                <w:rFonts w:ascii="Verdana" w:hAnsi="Verdana"/>
                <w:sz w:val="20"/>
                <w:szCs w:val="20"/>
              </w:rPr>
            </w:pPr>
            <w:r w:rsidRPr="00643CC2">
              <w:rPr>
                <w:rFonts w:ascii="Verdana" w:hAnsi="Verdana"/>
                <w:sz w:val="20"/>
                <w:szCs w:val="20"/>
              </w:rPr>
              <w:t xml:space="preserve">Assistant </w:t>
            </w:r>
            <w:r w:rsidR="00590BEB">
              <w:rPr>
                <w:rFonts w:ascii="Verdana" w:hAnsi="Verdana"/>
                <w:sz w:val="20"/>
                <w:szCs w:val="20"/>
              </w:rPr>
              <w:t>Secretary Public Affairs Branch</w:t>
            </w:r>
          </w:p>
        </w:tc>
        <w:tc>
          <w:tcPr>
            <w:tcW w:w="1540" w:type="dxa"/>
          </w:tcPr>
          <w:p w:rsidR="0058682B" w:rsidRPr="00643CC2" w:rsidRDefault="0058682B" w:rsidP="00D2598C">
            <w:pPr>
              <w:spacing w:before="60" w:after="60"/>
              <w:rPr>
                <w:rFonts w:ascii="Verdana" w:hAnsi="Verdana"/>
                <w:sz w:val="20"/>
                <w:szCs w:val="20"/>
              </w:rPr>
            </w:pPr>
            <w:r w:rsidRPr="00643CC2">
              <w:rPr>
                <w:rFonts w:ascii="Verdana" w:hAnsi="Verdana"/>
                <w:sz w:val="20"/>
                <w:szCs w:val="20"/>
              </w:rPr>
              <w:t>June 201</w:t>
            </w:r>
            <w:r w:rsidR="00D2598C">
              <w:rPr>
                <w:rFonts w:ascii="Verdana" w:hAnsi="Verdana"/>
                <w:sz w:val="20"/>
                <w:szCs w:val="20"/>
              </w:rPr>
              <w:t>5</w:t>
            </w:r>
          </w:p>
        </w:tc>
        <w:tc>
          <w:tcPr>
            <w:tcW w:w="4199" w:type="dxa"/>
          </w:tcPr>
          <w:p w:rsidR="0058682B" w:rsidRPr="00643CC2" w:rsidRDefault="00D2598C" w:rsidP="004D2B13">
            <w:pPr>
              <w:spacing w:before="60" w:after="60"/>
              <w:rPr>
                <w:rFonts w:ascii="Verdana" w:hAnsi="Verdana"/>
                <w:i/>
                <w:sz w:val="20"/>
                <w:szCs w:val="20"/>
              </w:rPr>
            </w:pPr>
            <w:r w:rsidRPr="00643CC2">
              <w:rPr>
                <w:rFonts w:ascii="Verdana" w:hAnsi="Verdana"/>
                <w:sz w:val="20"/>
                <w:szCs w:val="20"/>
              </w:rPr>
              <w:t xml:space="preserve">Implementation of the improvements identified in the </w:t>
            </w:r>
            <w:r w:rsidR="004D2B13">
              <w:rPr>
                <w:rFonts w:ascii="Verdana" w:hAnsi="Verdana"/>
                <w:sz w:val="20"/>
                <w:szCs w:val="20"/>
              </w:rPr>
              <w:t>review</w:t>
            </w:r>
            <w:r w:rsidRPr="00643CC2">
              <w:rPr>
                <w:rFonts w:ascii="Verdana" w:hAnsi="Verdana"/>
                <w:sz w:val="20"/>
                <w:szCs w:val="20"/>
              </w:rPr>
              <w:t xml:space="preserve"> planned and commenced (2.2.</w:t>
            </w:r>
            <w:r w:rsidR="00E249A9">
              <w:rPr>
                <w:rFonts w:ascii="Verdana" w:hAnsi="Verdana"/>
                <w:sz w:val="20"/>
                <w:szCs w:val="20"/>
              </w:rPr>
              <w:t>1</w:t>
            </w:r>
            <w:r w:rsidRPr="00643CC2">
              <w:rPr>
                <w:rFonts w:ascii="Verdana" w:hAnsi="Verdana"/>
                <w:sz w:val="20"/>
                <w:szCs w:val="20"/>
              </w:rPr>
              <w:t>)</w:t>
            </w:r>
          </w:p>
        </w:tc>
      </w:tr>
      <w:tr w:rsidR="0058682B" w:rsidRPr="00643CC2" w:rsidTr="00EA7AFF">
        <w:tc>
          <w:tcPr>
            <w:tcW w:w="2138" w:type="dxa"/>
            <w:vMerge/>
          </w:tcPr>
          <w:p w:rsidR="0058682B" w:rsidRPr="00643CC2" w:rsidRDefault="0058682B" w:rsidP="00852C78">
            <w:pPr>
              <w:spacing w:before="60" w:after="60"/>
              <w:rPr>
                <w:rFonts w:ascii="Verdana" w:hAnsi="Verdana"/>
                <w:sz w:val="24"/>
                <w:szCs w:val="24"/>
              </w:rPr>
            </w:pPr>
          </w:p>
        </w:tc>
        <w:tc>
          <w:tcPr>
            <w:tcW w:w="3782" w:type="dxa"/>
          </w:tcPr>
          <w:p w:rsidR="0058682B" w:rsidRPr="00E249A9" w:rsidRDefault="0058682B" w:rsidP="00CE4266">
            <w:pPr>
              <w:spacing w:before="60" w:after="60"/>
              <w:ind w:left="16"/>
              <w:rPr>
                <w:rFonts w:ascii="Verdana" w:hAnsi="Verdana"/>
                <w:sz w:val="20"/>
                <w:szCs w:val="20"/>
              </w:rPr>
            </w:pPr>
            <w:r w:rsidRPr="00E249A9">
              <w:rPr>
                <w:rFonts w:ascii="Verdana" w:hAnsi="Verdana"/>
                <w:sz w:val="20"/>
                <w:szCs w:val="20"/>
              </w:rPr>
              <w:t xml:space="preserve">2.2.3 </w:t>
            </w:r>
            <w:r w:rsidR="00D2598C" w:rsidRPr="00E249A9">
              <w:rPr>
                <w:rFonts w:ascii="Verdana" w:hAnsi="Verdana"/>
                <w:sz w:val="20"/>
                <w:szCs w:val="20"/>
              </w:rPr>
              <w:t xml:space="preserve">Develop the SEWPaC Language and Communication Plan in line with the </w:t>
            </w:r>
            <w:r w:rsidR="00D2598C" w:rsidRPr="00E249A9">
              <w:rPr>
                <w:rFonts w:ascii="Verdana" w:hAnsi="Verdana"/>
                <w:i/>
                <w:sz w:val="20"/>
                <w:szCs w:val="20"/>
              </w:rPr>
              <w:t>Multicultural Language</w:t>
            </w:r>
            <w:r w:rsidR="00CE4266">
              <w:rPr>
                <w:rFonts w:ascii="Verdana" w:hAnsi="Verdana"/>
                <w:i/>
                <w:sz w:val="20"/>
                <w:szCs w:val="20"/>
              </w:rPr>
              <w:t xml:space="preserve"> </w:t>
            </w:r>
            <w:r w:rsidR="00D2598C" w:rsidRPr="00E249A9">
              <w:rPr>
                <w:rFonts w:ascii="Verdana" w:hAnsi="Verdana"/>
                <w:i/>
                <w:sz w:val="20"/>
                <w:szCs w:val="20"/>
              </w:rPr>
              <w:t>Services Guidelines for Government Agencie</w:t>
            </w:r>
            <w:r w:rsidR="009E2EFC">
              <w:rPr>
                <w:rFonts w:ascii="Verdana" w:hAnsi="Verdana"/>
                <w:i/>
                <w:sz w:val="20"/>
                <w:szCs w:val="20"/>
              </w:rPr>
              <w:t>s.</w:t>
            </w:r>
          </w:p>
        </w:tc>
        <w:tc>
          <w:tcPr>
            <w:tcW w:w="2713" w:type="dxa"/>
          </w:tcPr>
          <w:p w:rsidR="0058682B" w:rsidRPr="00643CC2" w:rsidRDefault="00443F2F" w:rsidP="00852C78">
            <w:pPr>
              <w:spacing w:before="60" w:after="60"/>
              <w:rPr>
                <w:rFonts w:ascii="Verdana" w:hAnsi="Verdana"/>
                <w:sz w:val="20"/>
                <w:szCs w:val="20"/>
              </w:rPr>
            </w:pPr>
            <w:r w:rsidRPr="00643CC2">
              <w:rPr>
                <w:rFonts w:ascii="Verdana" w:hAnsi="Verdana"/>
                <w:sz w:val="20"/>
                <w:szCs w:val="20"/>
              </w:rPr>
              <w:t>Assistant Secretary Public Affairs Branch</w:t>
            </w:r>
          </w:p>
        </w:tc>
        <w:tc>
          <w:tcPr>
            <w:tcW w:w="1540" w:type="dxa"/>
          </w:tcPr>
          <w:p w:rsidR="0058682B" w:rsidRPr="00643CC2" w:rsidRDefault="0058682B" w:rsidP="00852C78">
            <w:pPr>
              <w:spacing w:before="60" w:after="60"/>
              <w:rPr>
                <w:rFonts w:ascii="Verdana" w:hAnsi="Verdana"/>
                <w:sz w:val="20"/>
                <w:szCs w:val="20"/>
              </w:rPr>
            </w:pPr>
            <w:r w:rsidRPr="00643CC2">
              <w:rPr>
                <w:rFonts w:ascii="Verdana" w:hAnsi="Verdana"/>
                <w:sz w:val="20"/>
                <w:szCs w:val="20"/>
              </w:rPr>
              <w:t>June 2015</w:t>
            </w:r>
          </w:p>
        </w:tc>
        <w:tc>
          <w:tcPr>
            <w:tcW w:w="4199" w:type="dxa"/>
          </w:tcPr>
          <w:p w:rsidR="0058682B" w:rsidRPr="00643CC2" w:rsidRDefault="00E249A9" w:rsidP="00E249A9">
            <w:pPr>
              <w:spacing w:before="60" w:after="60"/>
              <w:rPr>
                <w:rFonts w:ascii="Verdana" w:hAnsi="Verdana"/>
                <w:sz w:val="20"/>
                <w:szCs w:val="20"/>
              </w:rPr>
            </w:pPr>
            <w:proofErr w:type="spellStart"/>
            <w:r>
              <w:rPr>
                <w:rFonts w:ascii="Verdana" w:hAnsi="Verdana"/>
                <w:sz w:val="20"/>
                <w:szCs w:val="20"/>
              </w:rPr>
              <w:t>SEWPaC’s</w:t>
            </w:r>
            <w:proofErr w:type="spellEnd"/>
            <w:r>
              <w:rPr>
                <w:rFonts w:ascii="Verdana" w:hAnsi="Verdana"/>
                <w:sz w:val="20"/>
                <w:szCs w:val="20"/>
              </w:rPr>
              <w:t xml:space="preserve"> Language and Communication Plan is approved by the Secretary and publicly available.</w:t>
            </w:r>
          </w:p>
        </w:tc>
      </w:tr>
    </w:tbl>
    <w:p w:rsidR="00742328" w:rsidRPr="00643CC2" w:rsidRDefault="00852C78">
      <w:pPr>
        <w:spacing w:after="0" w:line="240" w:lineRule="auto"/>
        <w:rPr>
          <w:rFonts w:ascii="Verdana" w:hAnsi="Verdana"/>
          <w:sz w:val="28"/>
          <w:szCs w:val="28"/>
        </w:rPr>
      </w:pPr>
      <w:r w:rsidRPr="00643CC2">
        <w:rPr>
          <w:rFonts w:ascii="Verdana" w:hAnsi="Verdana"/>
          <w:sz w:val="28"/>
          <w:szCs w:val="28"/>
        </w:rPr>
        <w:br w:type="page"/>
      </w:r>
    </w:p>
    <w:p w:rsidR="005A3405" w:rsidRPr="00643CC2" w:rsidRDefault="005A3405" w:rsidP="00F5542A">
      <w:pPr>
        <w:numPr>
          <w:ilvl w:val="0"/>
          <w:numId w:val="9"/>
        </w:num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after="240" w:line="360" w:lineRule="auto"/>
        <w:ind w:left="357" w:hanging="357"/>
        <w:rPr>
          <w:rFonts w:ascii="Verdana" w:hAnsi="Verdana"/>
          <w:b/>
          <w:sz w:val="28"/>
          <w:szCs w:val="28"/>
        </w:rPr>
      </w:pPr>
      <w:r w:rsidRPr="00643CC2">
        <w:rPr>
          <w:rFonts w:ascii="Verdana" w:hAnsi="Verdana"/>
          <w:b/>
          <w:sz w:val="28"/>
          <w:szCs w:val="28"/>
        </w:rPr>
        <w:lastRenderedPageBreak/>
        <w:t>Performance</w:t>
      </w:r>
    </w:p>
    <w:tbl>
      <w:tblPr>
        <w:tblStyle w:val="TableGrid1"/>
        <w:tblW w:w="5000" w:type="pct"/>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Look w:val="04A0"/>
      </w:tblPr>
      <w:tblGrid>
        <w:gridCol w:w="14333"/>
      </w:tblGrid>
      <w:tr w:rsidR="005A3405" w:rsidRPr="00643CC2" w:rsidTr="00852C78">
        <w:tc>
          <w:tcPr>
            <w:tcW w:w="5000" w:type="pct"/>
          </w:tcPr>
          <w:p w:rsidR="005A3405" w:rsidRPr="00643CC2" w:rsidRDefault="000C2638" w:rsidP="007608E8">
            <w:pPr>
              <w:spacing w:before="60" w:after="60"/>
              <w:rPr>
                <w:rFonts w:ascii="Verdana" w:hAnsi="Verdana"/>
              </w:rPr>
            </w:pPr>
            <w:r w:rsidRPr="00643CC2">
              <w:rPr>
                <w:rFonts w:ascii="Verdana" w:hAnsi="Verdana"/>
              </w:rPr>
              <w:t xml:space="preserve">Seeking feedback and measuring performance will assist the </w:t>
            </w:r>
            <w:r w:rsidR="00C570F2">
              <w:rPr>
                <w:rFonts w:ascii="Verdana" w:hAnsi="Verdana"/>
              </w:rPr>
              <w:t>Department</w:t>
            </w:r>
            <w:r w:rsidR="00280699">
              <w:rPr>
                <w:rFonts w:ascii="Verdana" w:hAnsi="Verdana"/>
              </w:rPr>
              <w:t xml:space="preserve"> and agencies</w:t>
            </w:r>
            <w:r w:rsidRPr="00643CC2">
              <w:rPr>
                <w:rFonts w:ascii="Verdana" w:hAnsi="Verdana"/>
              </w:rPr>
              <w:t xml:space="preserve"> to continuously improve multicultural access and equity performance.  Annual reporting and public accountability will help to signal the importance of this policy to achieving our mission.</w:t>
            </w:r>
          </w:p>
        </w:tc>
      </w:tr>
    </w:tbl>
    <w:p w:rsidR="005A3405" w:rsidRPr="00643CC2" w:rsidRDefault="005A3405" w:rsidP="00852C78">
      <w:pPr>
        <w:contextualSpacing/>
        <w:rPr>
          <w:rFonts w:ascii="Verdana" w:hAnsi="Verdana"/>
          <w:sz w:val="10"/>
          <w:szCs w:val="10"/>
        </w:rPr>
      </w:pPr>
    </w:p>
    <w:tbl>
      <w:tblPr>
        <w:tblStyle w:val="TableGrid"/>
        <w:tblW w:w="0" w:type="auto"/>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Look w:val="04A0"/>
      </w:tblPr>
      <w:tblGrid>
        <w:gridCol w:w="14333"/>
      </w:tblGrid>
      <w:tr w:rsidR="00525C15" w:rsidRPr="00643CC2" w:rsidTr="00852C78">
        <w:trPr>
          <w:cnfStyle w:val="100000000000"/>
        </w:trPr>
        <w:tc>
          <w:tcPr>
            <w:tcW w:w="15069" w:type="dxa"/>
          </w:tcPr>
          <w:p w:rsidR="00525C15" w:rsidRPr="00643CC2" w:rsidRDefault="00525C15" w:rsidP="007608E8">
            <w:pPr>
              <w:spacing w:before="60" w:after="120" w:line="240" w:lineRule="auto"/>
              <w:rPr>
                <w:rFonts w:ascii="Verdana" w:hAnsi="Verdana"/>
                <w:b/>
                <w:sz w:val="20"/>
                <w:szCs w:val="20"/>
              </w:rPr>
            </w:pPr>
            <w:r w:rsidRPr="00643CC2">
              <w:rPr>
                <w:rFonts w:ascii="Verdana" w:hAnsi="Verdana"/>
                <w:b/>
                <w:sz w:val="20"/>
                <w:szCs w:val="20"/>
              </w:rPr>
              <w:t>Minimum obligations:</w:t>
            </w:r>
          </w:p>
          <w:p w:rsidR="00525C15" w:rsidRPr="00A611C8" w:rsidRDefault="00525C15" w:rsidP="000A0621">
            <w:pPr>
              <w:numPr>
                <w:ilvl w:val="1"/>
                <w:numId w:val="21"/>
              </w:numPr>
              <w:pBdr>
                <w:right w:val="single" w:sz="4" w:space="4" w:color="auto"/>
              </w:pBdr>
              <w:spacing w:before="60" w:after="60" w:line="360" w:lineRule="auto"/>
              <w:ind w:left="686" w:hanging="686"/>
              <w:rPr>
                <w:rFonts w:ascii="Verdana" w:hAnsi="Verdana"/>
                <w:sz w:val="20"/>
                <w:szCs w:val="20"/>
              </w:rPr>
            </w:pPr>
            <w:r w:rsidRPr="00643CC2">
              <w:rPr>
                <w:rFonts w:ascii="Verdana" w:hAnsi="Verdana"/>
                <w:b/>
                <w:sz w:val="20"/>
                <w:szCs w:val="20"/>
              </w:rPr>
              <w:t xml:space="preserve">Performance indicators and reporting: </w:t>
            </w:r>
            <w:r w:rsidR="00280699">
              <w:rPr>
                <w:rFonts w:ascii="Verdana" w:hAnsi="Verdana"/>
                <w:sz w:val="20"/>
                <w:szCs w:val="20"/>
              </w:rPr>
              <w:t>Department and agencies</w:t>
            </w:r>
            <w:r w:rsidRPr="00A611C8">
              <w:rPr>
                <w:rFonts w:ascii="Verdana" w:hAnsi="Verdana"/>
                <w:sz w:val="20"/>
                <w:szCs w:val="20"/>
              </w:rPr>
              <w:t xml:space="preserve"> to develop a set of KPIs relating to engagement with, or </w:t>
            </w:r>
            <w:r w:rsidR="00A25695">
              <w:rPr>
                <w:rFonts w:ascii="Verdana" w:hAnsi="Verdana"/>
                <w:sz w:val="20"/>
                <w:szCs w:val="20"/>
              </w:rPr>
              <w:t xml:space="preserve">   </w:t>
            </w:r>
            <w:r w:rsidRPr="00A611C8">
              <w:rPr>
                <w:rFonts w:ascii="Verdana" w:hAnsi="Verdana"/>
                <w:sz w:val="20"/>
                <w:szCs w:val="20"/>
              </w:rPr>
              <w:t>outcomes of services to, culturally and linguistically diverse clients.</w:t>
            </w:r>
          </w:p>
          <w:p w:rsidR="00525C15" w:rsidRPr="00A611C8" w:rsidRDefault="00525C15" w:rsidP="000A0621">
            <w:pPr>
              <w:numPr>
                <w:ilvl w:val="1"/>
                <w:numId w:val="21"/>
              </w:numPr>
              <w:pBdr>
                <w:right w:val="single" w:sz="4" w:space="4" w:color="auto"/>
              </w:pBdr>
              <w:spacing w:before="60" w:after="60" w:line="360" w:lineRule="auto"/>
              <w:ind w:left="686" w:hanging="686"/>
              <w:rPr>
                <w:rFonts w:ascii="Verdana" w:hAnsi="Verdana"/>
                <w:b/>
                <w:sz w:val="20"/>
                <w:szCs w:val="20"/>
              </w:rPr>
            </w:pPr>
            <w:r w:rsidRPr="00643CC2">
              <w:rPr>
                <w:rFonts w:ascii="Verdana" w:hAnsi="Verdana"/>
                <w:b/>
                <w:sz w:val="20"/>
                <w:szCs w:val="20"/>
              </w:rPr>
              <w:t xml:space="preserve"> Feedback</w:t>
            </w:r>
            <w:r w:rsidR="00A611C8">
              <w:rPr>
                <w:rFonts w:ascii="Verdana" w:hAnsi="Verdana"/>
                <w:b/>
                <w:sz w:val="20"/>
                <w:szCs w:val="20"/>
              </w:rPr>
              <w:t xml:space="preserve">: </w:t>
            </w:r>
            <w:r w:rsidR="00280699">
              <w:rPr>
                <w:rFonts w:ascii="Verdana" w:hAnsi="Verdana"/>
                <w:sz w:val="20"/>
                <w:szCs w:val="20"/>
              </w:rPr>
              <w:t>Department and agencies</w:t>
            </w:r>
            <w:r w:rsidRPr="00A611C8">
              <w:rPr>
                <w:rFonts w:ascii="Verdana" w:hAnsi="Verdana"/>
                <w:b/>
                <w:sz w:val="20"/>
                <w:szCs w:val="20"/>
              </w:rPr>
              <w:t xml:space="preserve"> </w:t>
            </w:r>
            <w:r w:rsidRPr="00A611C8">
              <w:rPr>
                <w:rFonts w:ascii="Verdana" w:hAnsi="Verdana"/>
                <w:sz w:val="20"/>
                <w:szCs w:val="20"/>
              </w:rPr>
              <w:t xml:space="preserve">to have arrangements in place to ensure affected culturally and linguistically diverse communities are able to provide feedback on </w:t>
            </w:r>
            <w:r w:rsidR="00280699">
              <w:rPr>
                <w:rFonts w:ascii="Verdana" w:hAnsi="Verdana"/>
                <w:sz w:val="20"/>
                <w:szCs w:val="20"/>
              </w:rPr>
              <w:t xml:space="preserve">department and </w:t>
            </w:r>
            <w:r w:rsidRPr="00A611C8">
              <w:rPr>
                <w:rFonts w:ascii="Verdana" w:hAnsi="Verdana"/>
                <w:sz w:val="20"/>
                <w:szCs w:val="20"/>
              </w:rPr>
              <w:t>agency multicultural access and equity performance.</w:t>
            </w:r>
          </w:p>
        </w:tc>
      </w:tr>
    </w:tbl>
    <w:p w:rsidR="005A3405" w:rsidRPr="00643CC2" w:rsidRDefault="005A3405" w:rsidP="00852C78">
      <w:pPr>
        <w:spacing w:after="0" w:line="240" w:lineRule="auto"/>
        <w:contextualSpacing/>
        <w:rPr>
          <w:rFonts w:ascii="Verdana" w:hAnsi="Verdana"/>
          <w:sz w:val="10"/>
          <w:szCs w:val="10"/>
        </w:rPr>
      </w:pPr>
    </w:p>
    <w:tbl>
      <w:tblPr>
        <w:tblStyle w:val="TableGrid1"/>
        <w:tblW w:w="0" w:type="auto"/>
        <w:tblLook w:val="04A0"/>
      </w:tblPr>
      <w:tblGrid>
        <w:gridCol w:w="1809"/>
        <w:gridCol w:w="3686"/>
        <w:gridCol w:w="3118"/>
        <w:gridCol w:w="1560"/>
        <w:gridCol w:w="4160"/>
      </w:tblGrid>
      <w:tr w:rsidR="00684A4E" w:rsidRPr="00643CC2" w:rsidTr="00066C8D">
        <w:trPr>
          <w:trHeight w:val="248"/>
        </w:trPr>
        <w:tc>
          <w:tcPr>
            <w:tcW w:w="1809" w:type="dxa"/>
            <w:tcBorders>
              <w:top w:val="nil"/>
              <w:left w:val="nil"/>
            </w:tcBorders>
          </w:tcPr>
          <w:p w:rsidR="005A3405" w:rsidRPr="00643CC2" w:rsidRDefault="005A3405" w:rsidP="005A3405">
            <w:pPr>
              <w:rPr>
                <w:rFonts w:ascii="Verdana" w:hAnsi="Verdana"/>
                <w:i/>
                <w:sz w:val="20"/>
                <w:szCs w:val="20"/>
              </w:rPr>
            </w:pPr>
          </w:p>
        </w:tc>
        <w:tc>
          <w:tcPr>
            <w:tcW w:w="3686" w:type="dxa"/>
            <w:shd w:val="clear" w:color="auto" w:fill="DBE5F1" w:themeFill="accent1" w:themeFillTint="33"/>
            <w:vAlign w:val="center"/>
          </w:tcPr>
          <w:p w:rsidR="005A3405" w:rsidRPr="00643CC2" w:rsidRDefault="005A3405" w:rsidP="00525C15">
            <w:pPr>
              <w:spacing w:before="60" w:after="60"/>
              <w:jc w:val="center"/>
              <w:rPr>
                <w:rFonts w:ascii="Verdana" w:hAnsi="Verdana"/>
                <w:b/>
                <w:i/>
                <w:szCs w:val="20"/>
              </w:rPr>
            </w:pPr>
            <w:r w:rsidRPr="00643CC2">
              <w:rPr>
                <w:rFonts w:ascii="Verdana" w:hAnsi="Verdana"/>
                <w:b/>
                <w:i/>
                <w:szCs w:val="20"/>
              </w:rPr>
              <w:t>Action</w:t>
            </w:r>
          </w:p>
        </w:tc>
        <w:tc>
          <w:tcPr>
            <w:tcW w:w="3118" w:type="dxa"/>
            <w:shd w:val="clear" w:color="auto" w:fill="DBE5F1" w:themeFill="accent1" w:themeFillTint="33"/>
            <w:vAlign w:val="center"/>
          </w:tcPr>
          <w:p w:rsidR="005A3405" w:rsidRPr="00643CC2" w:rsidRDefault="005A3405" w:rsidP="00525C15">
            <w:pPr>
              <w:spacing w:before="60" w:after="60"/>
              <w:jc w:val="center"/>
              <w:rPr>
                <w:rFonts w:ascii="Verdana" w:hAnsi="Verdana"/>
                <w:b/>
                <w:i/>
                <w:szCs w:val="20"/>
              </w:rPr>
            </w:pPr>
            <w:r w:rsidRPr="00643CC2">
              <w:rPr>
                <w:rFonts w:ascii="Verdana" w:hAnsi="Verdana"/>
                <w:b/>
                <w:i/>
                <w:szCs w:val="20"/>
              </w:rPr>
              <w:t>Responsibility</w:t>
            </w:r>
          </w:p>
        </w:tc>
        <w:tc>
          <w:tcPr>
            <w:tcW w:w="1560" w:type="dxa"/>
            <w:shd w:val="clear" w:color="auto" w:fill="DBE5F1" w:themeFill="accent1" w:themeFillTint="33"/>
            <w:vAlign w:val="center"/>
          </w:tcPr>
          <w:p w:rsidR="005A3405" w:rsidRPr="00643CC2" w:rsidRDefault="005A3405" w:rsidP="00525C15">
            <w:pPr>
              <w:spacing w:before="60" w:after="60"/>
              <w:jc w:val="center"/>
              <w:rPr>
                <w:rFonts w:ascii="Verdana" w:hAnsi="Verdana"/>
                <w:b/>
                <w:i/>
                <w:szCs w:val="20"/>
              </w:rPr>
            </w:pPr>
            <w:r w:rsidRPr="00643CC2">
              <w:rPr>
                <w:rFonts w:ascii="Verdana" w:hAnsi="Verdana"/>
                <w:b/>
                <w:i/>
                <w:szCs w:val="20"/>
              </w:rPr>
              <w:t>Timeline</w:t>
            </w:r>
          </w:p>
        </w:tc>
        <w:tc>
          <w:tcPr>
            <w:tcW w:w="4160" w:type="dxa"/>
            <w:shd w:val="clear" w:color="auto" w:fill="DBE5F1" w:themeFill="accent1" w:themeFillTint="33"/>
            <w:vAlign w:val="center"/>
          </w:tcPr>
          <w:p w:rsidR="005A3405" w:rsidRPr="00643CC2" w:rsidRDefault="005A3405" w:rsidP="00525C15">
            <w:pPr>
              <w:spacing w:before="60" w:after="60"/>
              <w:jc w:val="center"/>
              <w:rPr>
                <w:rFonts w:ascii="Verdana" w:hAnsi="Verdana"/>
                <w:b/>
                <w:i/>
                <w:szCs w:val="20"/>
              </w:rPr>
            </w:pPr>
            <w:r w:rsidRPr="00643CC2">
              <w:rPr>
                <w:rFonts w:ascii="Verdana" w:hAnsi="Verdana"/>
                <w:b/>
                <w:i/>
                <w:szCs w:val="20"/>
              </w:rPr>
              <w:t>Target</w:t>
            </w:r>
          </w:p>
        </w:tc>
      </w:tr>
      <w:tr w:rsidR="00852C78" w:rsidRPr="00643CC2" w:rsidTr="00066C8D">
        <w:trPr>
          <w:trHeight w:val="1904"/>
        </w:trPr>
        <w:tc>
          <w:tcPr>
            <w:tcW w:w="1809" w:type="dxa"/>
            <w:vMerge w:val="restart"/>
          </w:tcPr>
          <w:p w:rsidR="00066C8D" w:rsidRDefault="00852C78" w:rsidP="00852C78">
            <w:pPr>
              <w:spacing w:before="60" w:after="60"/>
              <w:rPr>
                <w:rFonts w:ascii="Verdana" w:hAnsi="Verdana"/>
                <w:b/>
              </w:rPr>
            </w:pPr>
            <w:r w:rsidRPr="00643CC2">
              <w:rPr>
                <w:rFonts w:ascii="Verdana" w:hAnsi="Verdana"/>
                <w:b/>
              </w:rPr>
              <w:t xml:space="preserve">3.1 </w:t>
            </w:r>
          </w:p>
          <w:p w:rsidR="00852C78" w:rsidRPr="00643CC2" w:rsidRDefault="00852C78" w:rsidP="00852C78">
            <w:pPr>
              <w:spacing w:before="60" w:after="60"/>
              <w:rPr>
                <w:rFonts w:ascii="Verdana" w:hAnsi="Verdana"/>
                <w:b/>
              </w:rPr>
            </w:pPr>
            <w:r w:rsidRPr="00643CC2">
              <w:rPr>
                <w:rFonts w:ascii="Verdana" w:hAnsi="Verdana"/>
                <w:b/>
              </w:rPr>
              <w:t>Performance indicators and reporting</w:t>
            </w:r>
          </w:p>
          <w:p w:rsidR="00852C78" w:rsidRPr="00643CC2" w:rsidRDefault="00852C78" w:rsidP="00852C78">
            <w:pPr>
              <w:spacing w:before="60" w:after="60"/>
              <w:rPr>
                <w:rFonts w:ascii="Verdana" w:hAnsi="Verdana"/>
                <w:b/>
                <w:i/>
              </w:rPr>
            </w:pPr>
          </w:p>
        </w:tc>
        <w:tc>
          <w:tcPr>
            <w:tcW w:w="3686" w:type="dxa"/>
          </w:tcPr>
          <w:p w:rsidR="00852C78" w:rsidRPr="00643CC2" w:rsidRDefault="00852C78" w:rsidP="00852C78">
            <w:pPr>
              <w:spacing w:before="60" w:after="60"/>
              <w:rPr>
                <w:rFonts w:ascii="Verdana" w:hAnsi="Verdana"/>
                <w:sz w:val="20"/>
                <w:szCs w:val="24"/>
              </w:rPr>
            </w:pPr>
            <w:r w:rsidRPr="00643CC2">
              <w:rPr>
                <w:rFonts w:ascii="Verdana" w:hAnsi="Verdana"/>
                <w:sz w:val="20"/>
                <w:szCs w:val="24"/>
              </w:rPr>
              <w:t>3.1.1 Develop a set of KPIs that are:</w:t>
            </w:r>
          </w:p>
          <w:p w:rsidR="00852C78" w:rsidRPr="00643CC2" w:rsidRDefault="00852C78" w:rsidP="00066C8D">
            <w:pPr>
              <w:pStyle w:val="ListParagraph"/>
              <w:numPr>
                <w:ilvl w:val="0"/>
                <w:numId w:val="26"/>
              </w:numPr>
              <w:spacing w:after="0"/>
              <w:ind w:left="357" w:hanging="357"/>
              <w:rPr>
                <w:rFonts w:ascii="Verdana" w:hAnsi="Verdana"/>
                <w:sz w:val="20"/>
                <w:szCs w:val="24"/>
              </w:rPr>
            </w:pPr>
            <w:r w:rsidRPr="00643CC2">
              <w:rPr>
                <w:rFonts w:ascii="Verdana" w:hAnsi="Verdana"/>
                <w:sz w:val="20"/>
                <w:szCs w:val="24"/>
              </w:rPr>
              <w:t xml:space="preserve">relevant to </w:t>
            </w:r>
            <w:proofErr w:type="spellStart"/>
            <w:r w:rsidRPr="00643CC2">
              <w:rPr>
                <w:rFonts w:ascii="Verdana" w:hAnsi="Verdana"/>
                <w:sz w:val="20"/>
                <w:szCs w:val="24"/>
              </w:rPr>
              <w:t>SEWPaC’s</w:t>
            </w:r>
            <w:proofErr w:type="spellEnd"/>
            <w:r w:rsidRPr="00643CC2">
              <w:rPr>
                <w:rFonts w:ascii="Verdana" w:hAnsi="Verdana"/>
                <w:sz w:val="20"/>
                <w:szCs w:val="24"/>
              </w:rPr>
              <w:t xml:space="preserve"> core business</w:t>
            </w:r>
          </w:p>
          <w:p w:rsidR="00852C78" w:rsidRPr="00643CC2" w:rsidRDefault="00852C78" w:rsidP="00066C8D">
            <w:pPr>
              <w:pStyle w:val="ListParagraph"/>
              <w:numPr>
                <w:ilvl w:val="0"/>
                <w:numId w:val="26"/>
              </w:numPr>
              <w:spacing w:after="0"/>
              <w:ind w:left="357" w:hanging="357"/>
              <w:rPr>
                <w:rFonts w:ascii="Verdana" w:hAnsi="Verdana"/>
                <w:sz w:val="20"/>
                <w:szCs w:val="24"/>
              </w:rPr>
            </w:pPr>
            <w:proofErr w:type="gramStart"/>
            <w:r w:rsidRPr="00643CC2">
              <w:rPr>
                <w:rFonts w:ascii="Verdana" w:hAnsi="Verdana"/>
                <w:sz w:val="20"/>
                <w:szCs w:val="24"/>
              </w:rPr>
              <w:t>sensitive</w:t>
            </w:r>
            <w:proofErr w:type="gramEnd"/>
            <w:r w:rsidRPr="00643CC2">
              <w:rPr>
                <w:rFonts w:ascii="Verdana" w:hAnsi="Verdana"/>
                <w:sz w:val="20"/>
                <w:szCs w:val="24"/>
              </w:rPr>
              <w:t xml:space="preserve"> to cultural and linguistic barriers to effective engagement with SEWPaC clients and stakeholders.</w:t>
            </w:r>
          </w:p>
        </w:tc>
        <w:tc>
          <w:tcPr>
            <w:tcW w:w="3118" w:type="dxa"/>
          </w:tcPr>
          <w:p w:rsidR="00852C78" w:rsidRPr="00643CC2" w:rsidRDefault="00AC57F8" w:rsidP="00852C78">
            <w:pPr>
              <w:spacing w:before="60" w:after="60"/>
              <w:rPr>
                <w:rFonts w:ascii="Verdana" w:hAnsi="Verdana"/>
                <w:sz w:val="20"/>
                <w:szCs w:val="24"/>
              </w:rPr>
            </w:pPr>
            <w:r w:rsidRPr="00AC57F8">
              <w:rPr>
                <w:rFonts w:ascii="Verdana" w:hAnsi="Verdana"/>
                <w:sz w:val="20"/>
                <w:szCs w:val="24"/>
              </w:rPr>
              <w:t>First Assistant Secretary Policy and Communications</w:t>
            </w:r>
          </w:p>
        </w:tc>
        <w:tc>
          <w:tcPr>
            <w:tcW w:w="1560" w:type="dxa"/>
          </w:tcPr>
          <w:p w:rsidR="00852C78" w:rsidRPr="00643CC2" w:rsidRDefault="00852C78" w:rsidP="00852C78">
            <w:pPr>
              <w:spacing w:before="60" w:after="60"/>
              <w:rPr>
                <w:rFonts w:ascii="Verdana" w:hAnsi="Verdana"/>
                <w:i/>
                <w:sz w:val="20"/>
                <w:szCs w:val="20"/>
              </w:rPr>
            </w:pPr>
            <w:r w:rsidRPr="00643CC2">
              <w:rPr>
                <w:rFonts w:ascii="Verdana" w:hAnsi="Verdana"/>
                <w:sz w:val="20"/>
                <w:szCs w:val="24"/>
              </w:rPr>
              <w:t>June 2014</w:t>
            </w:r>
          </w:p>
        </w:tc>
        <w:tc>
          <w:tcPr>
            <w:tcW w:w="4160" w:type="dxa"/>
          </w:tcPr>
          <w:p w:rsidR="00852C78" w:rsidRPr="00643CC2" w:rsidRDefault="00852C78" w:rsidP="00852C78">
            <w:pPr>
              <w:spacing w:before="60" w:after="60"/>
              <w:rPr>
                <w:rFonts w:ascii="Verdana" w:hAnsi="Verdana"/>
                <w:i/>
                <w:sz w:val="20"/>
                <w:szCs w:val="20"/>
              </w:rPr>
            </w:pPr>
            <w:r w:rsidRPr="00643CC2">
              <w:rPr>
                <w:rFonts w:ascii="Verdana" w:hAnsi="Verdana"/>
                <w:sz w:val="20"/>
                <w:szCs w:val="24"/>
              </w:rPr>
              <w:t xml:space="preserve">KPIs developed in consultation with Division Heads and Heads of agencies included in this AMP. </w:t>
            </w:r>
          </w:p>
        </w:tc>
      </w:tr>
      <w:tr w:rsidR="00852C78" w:rsidRPr="00643CC2" w:rsidTr="00066C8D">
        <w:trPr>
          <w:trHeight w:val="1550"/>
        </w:trPr>
        <w:tc>
          <w:tcPr>
            <w:tcW w:w="1809" w:type="dxa"/>
            <w:vMerge/>
          </w:tcPr>
          <w:p w:rsidR="00852C78" w:rsidRPr="00643CC2" w:rsidRDefault="00852C78" w:rsidP="00852C78">
            <w:pPr>
              <w:spacing w:before="60" w:after="60"/>
              <w:rPr>
                <w:rFonts w:ascii="Verdana" w:hAnsi="Verdana"/>
                <w:sz w:val="24"/>
                <w:szCs w:val="24"/>
              </w:rPr>
            </w:pPr>
          </w:p>
        </w:tc>
        <w:tc>
          <w:tcPr>
            <w:tcW w:w="3686" w:type="dxa"/>
          </w:tcPr>
          <w:p w:rsidR="00852C78" w:rsidRPr="00643CC2" w:rsidRDefault="00BD41D9" w:rsidP="005456BD">
            <w:pPr>
              <w:spacing w:before="60" w:after="60"/>
              <w:ind w:left="34"/>
              <w:rPr>
                <w:rFonts w:ascii="Verdana" w:hAnsi="Verdana"/>
                <w:sz w:val="20"/>
                <w:szCs w:val="24"/>
              </w:rPr>
            </w:pPr>
            <w:r w:rsidRPr="00643CC2">
              <w:rPr>
                <w:rFonts w:ascii="Verdana" w:hAnsi="Verdana"/>
                <w:sz w:val="20"/>
                <w:szCs w:val="24"/>
              </w:rPr>
              <w:t>3.1.2 Report</w:t>
            </w:r>
            <w:r w:rsidR="00443F2F">
              <w:rPr>
                <w:rFonts w:ascii="Verdana" w:hAnsi="Verdana"/>
                <w:sz w:val="20"/>
                <w:szCs w:val="24"/>
              </w:rPr>
              <w:t xml:space="preserve"> annually on </w:t>
            </w:r>
            <w:r w:rsidR="00852C78" w:rsidRPr="00643CC2">
              <w:rPr>
                <w:rFonts w:ascii="Verdana" w:hAnsi="Verdana"/>
                <w:sz w:val="20"/>
                <w:szCs w:val="24"/>
              </w:rPr>
              <w:t>these KPIs.</w:t>
            </w:r>
          </w:p>
        </w:tc>
        <w:tc>
          <w:tcPr>
            <w:tcW w:w="3118" w:type="dxa"/>
          </w:tcPr>
          <w:p w:rsidR="00852C78" w:rsidRPr="00643CC2" w:rsidRDefault="00BD41D9" w:rsidP="00852C78">
            <w:pPr>
              <w:spacing w:before="60" w:after="60"/>
              <w:rPr>
                <w:rFonts w:ascii="Verdana" w:hAnsi="Verdana"/>
                <w:sz w:val="20"/>
                <w:szCs w:val="24"/>
              </w:rPr>
            </w:pPr>
            <w:r w:rsidRPr="00BD41D9">
              <w:rPr>
                <w:rFonts w:ascii="Verdana" w:hAnsi="Verdana"/>
                <w:sz w:val="20"/>
                <w:szCs w:val="24"/>
              </w:rPr>
              <w:t>First Assistant Secretary Policy and Communications</w:t>
            </w:r>
          </w:p>
        </w:tc>
        <w:tc>
          <w:tcPr>
            <w:tcW w:w="1560" w:type="dxa"/>
          </w:tcPr>
          <w:p w:rsidR="00852C78" w:rsidRPr="00643CC2" w:rsidRDefault="00852C78" w:rsidP="00852C78">
            <w:pPr>
              <w:spacing w:before="60" w:after="60"/>
              <w:rPr>
                <w:rFonts w:ascii="Verdana" w:hAnsi="Verdana"/>
                <w:sz w:val="20"/>
                <w:szCs w:val="24"/>
              </w:rPr>
            </w:pPr>
            <w:r w:rsidRPr="00643CC2">
              <w:rPr>
                <w:rFonts w:ascii="Verdana" w:hAnsi="Verdana"/>
                <w:sz w:val="20"/>
                <w:szCs w:val="24"/>
              </w:rPr>
              <w:t>June 2015</w:t>
            </w:r>
          </w:p>
        </w:tc>
        <w:tc>
          <w:tcPr>
            <w:tcW w:w="4160" w:type="dxa"/>
          </w:tcPr>
          <w:p w:rsidR="00852C78" w:rsidRPr="00643CC2" w:rsidRDefault="00852C78" w:rsidP="00852C78">
            <w:pPr>
              <w:spacing w:before="60" w:after="60"/>
              <w:rPr>
                <w:rFonts w:ascii="Verdana" w:hAnsi="Verdana"/>
                <w:sz w:val="20"/>
                <w:szCs w:val="24"/>
              </w:rPr>
            </w:pPr>
            <w:r w:rsidRPr="00643CC2">
              <w:rPr>
                <w:rFonts w:ascii="Verdana" w:hAnsi="Verdana"/>
                <w:sz w:val="20"/>
                <w:szCs w:val="24"/>
              </w:rPr>
              <w:t>KPIs are approved by the Secretary</w:t>
            </w:r>
            <w:r w:rsidR="008169BC">
              <w:rPr>
                <w:rFonts w:ascii="Verdana" w:hAnsi="Verdana"/>
                <w:sz w:val="20"/>
                <w:szCs w:val="24"/>
              </w:rPr>
              <w:t>.</w:t>
            </w:r>
            <w:r w:rsidRPr="00643CC2">
              <w:rPr>
                <w:rFonts w:ascii="Verdana" w:hAnsi="Verdana"/>
                <w:sz w:val="20"/>
                <w:szCs w:val="24"/>
              </w:rPr>
              <w:t xml:space="preserve"> </w:t>
            </w:r>
          </w:p>
          <w:p w:rsidR="00F75D66" w:rsidRDefault="00F75D66" w:rsidP="00852C78">
            <w:pPr>
              <w:spacing w:before="60" w:after="60"/>
              <w:rPr>
                <w:rFonts w:ascii="Verdana" w:hAnsi="Verdana"/>
                <w:sz w:val="20"/>
                <w:szCs w:val="24"/>
              </w:rPr>
            </w:pPr>
          </w:p>
          <w:p w:rsidR="00852C78" w:rsidRPr="00643CC2" w:rsidRDefault="00852C78" w:rsidP="00852C78">
            <w:pPr>
              <w:spacing w:before="60" w:after="60"/>
              <w:rPr>
                <w:rFonts w:ascii="Verdana" w:hAnsi="Verdana"/>
                <w:sz w:val="20"/>
                <w:szCs w:val="24"/>
              </w:rPr>
            </w:pPr>
            <w:r w:rsidRPr="00643CC2">
              <w:rPr>
                <w:rFonts w:ascii="Verdana" w:hAnsi="Verdana"/>
                <w:sz w:val="20"/>
                <w:szCs w:val="24"/>
              </w:rPr>
              <w:t>Progress against the KPIs is reported in the annual report.</w:t>
            </w:r>
          </w:p>
        </w:tc>
      </w:tr>
    </w:tbl>
    <w:p w:rsidR="00066C8D" w:rsidRDefault="00066C8D"/>
    <w:tbl>
      <w:tblPr>
        <w:tblStyle w:val="TableGrid1"/>
        <w:tblW w:w="0" w:type="auto"/>
        <w:tblLook w:val="04A0"/>
      </w:tblPr>
      <w:tblGrid>
        <w:gridCol w:w="1809"/>
        <w:gridCol w:w="3686"/>
        <w:gridCol w:w="3118"/>
        <w:gridCol w:w="1560"/>
        <w:gridCol w:w="4160"/>
      </w:tblGrid>
      <w:tr w:rsidR="004F372A" w:rsidRPr="00643CC2" w:rsidTr="00066C8D">
        <w:trPr>
          <w:trHeight w:val="248"/>
        </w:trPr>
        <w:tc>
          <w:tcPr>
            <w:tcW w:w="1809" w:type="dxa"/>
            <w:tcBorders>
              <w:top w:val="nil"/>
              <w:left w:val="nil"/>
            </w:tcBorders>
          </w:tcPr>
          <w:p w:rsidR="004F372A" w:rsidRPr="00643CC2" w:rsidRDefault="004F372A" w:rsidP="00C95B15">
            <w:pPr>
              <w:rPr>
                <w:rFonts w:ascii="Verdana" w:hAnsi="Verdana"/>
                <w:i/>
                <w:sz w:val="20"/>
                <w:szCs w:val="20"/>
              </w:rPr>
            </w:pPr>
          </w:p>
        </w:tc>
        <w:tc>
          <w:tcPr>
            <w:tcW w:w="3686" w:type="dxa"/>
            <w:shd w:val="clear" w:color="auto" w:fill="DBE5F1" w:themeFill="accent1" w:themeFillTint="33"/>
            <w:vAlign w:val="center"/>
          </w:tcPr>
          <w:p w:rsidR="004F372A" w:rsidRPr="00643CC2" w:rsidRDefault="004F372A" w:rsidP="00C95B15">
            <w:pPr>
              <w:spacing w:before="60" w:after="60"/>
              <w:jc w:val="center"/>
              <w:rPr>
                <w:rFonts w:ascii="Verdana" w:hAnsi="Verdana"/>
                <w:b/>
                <w:i/>
                <w:szCs w:val="20"/>
              </w:rPr>
            </w:pPr>
            <w:r w:rsidRPr="00643CC2">
              <w:rPr>
                <w:rFonts w:ascii="Verdana" w:hAnsi="Verdana"/>
                <w:b/>
                <w:i/>
                <w:szCs w:val="20"/>
              </w:rPr>
              <w:t>Action</w:t>
            </w:r>
          </w:p>
        </w:tc>
        <w:tc>
          <w:tcPr>
            <w:tcW w:w="3118" w:type="dxa"/>
            <w:shd w:val="clear" w:color="auto" w:fill="DBE5F1" w:themeFill="accent1" w:themeFillTint="33"/>
            <w:vAlign w:val="center"/>
          </w:tcPr>
          <w:p w:rsidR="004F372A" w:rsidRPr="00643CC2" w:rsidRDefault="004F372A" w:rsidP="00C95B15">
            <w:pPr>
              <w:spacing w:before="60" w:after="60"/>
              <w:jc w:val="center"/>
              <w:rPr>
                <w:rFonts w:ascii="Verdana" w:hAnsi="Verdana"/>
                <w:b/>
                <w:i/>
                <w:szCs w:val="20"/>
              </w:rPr>
            </w:pPr>
            <w:r w:rsidRPr="00643CC2">
              <w:rPr>
                <w:rFonts w:ascii="Verdana" w:hAnsi="Verdana"/>
                <w:b/>
                <w:i/>
                <w:szCs w:val="20"/>
              </w:rPr>
              <w:t>Responsibility</w:t>
            </w:r>
          </w:p>
        </w:tc>
        <w:tc>
          <w:tcPr>
            <w:tcW w:w="1560" w:type="dxa"/>
            <w:shd w:val="clear" w:color="auto" w:fill="DBE5F1" w:themeFill="accent1" w:themeFillTint="33"/>
            <w:vAlign w:val="center"/>
          </w:tcPr>
          <w:p w:rsidR="004F372A" w:rsidRPr="00643CC2" w:rsidRDefault="004F372A" w:rsidP="00C95B15">
            <w:pPr>
              <w:spacing w:before="60" w:after="60"/>
              <w:jc w:val="center"/>
              <w:rPr>
                <w:rFonts w:ascii="Verdana" w:hAnsi="Verdana"/>
                <w:b/>
                <w:i/>
                <w:szCs w:val="20"/>
              </w:rPr>
            </w:pPr>
            <w:r w:rsidRPr="00643CC2">
              <w:rPr>
                <w:rFonts w:ascii="Verdana" w:hAnsi="Verdana"/>
                <w:b/>
                <w:i/>
                <w:szCs w:val="20"/>
              </w:rPr>
              <w:t>Timeline</w:t>
            </w:r>
          </w:p>
        </w:tc>
        <w:tc>
          <w:tcPr>
            <w:tcW w:w="4160" w:type="dxa"/>
            <w:shd w:val="clear" w:color="auto" w:fill="DBE5F1" w:themeFill="accent1" w:themeFillTint="33"/>
            <w:vAlign w:val="center"/>
          </w:tcPr>
          <w:p w:rsidR="004F372A" w:rsidRPr="00643CC2" w:rsidRDefault="004F372A" w:rsidP="00C95B15">
            <w:pPr>
              <w:spacing w:before="60" w:after="60"/>
              <w:jc w:val="center"/>
              <w:rPr>
                <w:rFonts w:ascii="Verdana" w:hAnsi="Verdana"/>
                <w:b/>
                <w:i/>
                <w:szCs w:val="20"/>
              </w:rPr>
            </w:pPr>
            <w:r w:rsidRPr="00643CC2">
              <w:rPr>
                <w:rFonts w:ascii="Verdana" w:hAnsi="Verdana"/>
                <w:b/>
                <w:i/>
                <w:szCs w:val="20"/>
              </w:rPr>
              <w:t>Target</w:t>
            </w:r>
          </w:p>
        </w:tc>
      </w:tr>
      <w:tr w:rsidR="00F5542A" w:rsidRPr="00643CC2" w:rsidTr="00066C8D">
        <w:trPr>
          <w:trHeight w:val="1544"/>
        </w:trPr>
        <w:tc>
          <w:tcPr>
            <w:tcW w:w="1809" w:type="dxa"/>
            <w:vMerge w:val="restart"/>
          </w:tcPr>
          <w:p w:rsidR="00F5542A" w:rsidRPr="00643CC2" w:rsidRDefault="00F5542A" w:rsidP="00852C78">
            <w:pPr>
              <w:spacing w:before="60" w:after="60"/>
              <w:rPr>
                <w:rFonts w:ascii="Verdana" w:hAnsi="Verdana"/>
                <w:b/>
                <w:szCs w:val="20"/>
              </w:rPr>
            </w:pPr>
            <w:r w:rsidRPr="00643CC2">
              <w:rPr>
                <w:rFonts w:ascii="Verdana" w:hAnsi="Verdana"/>
                <w:b/>
                <w:szCs w:val="20"/>
              </w:rPr>
              <w:t xml:space="preserve">3.2 </w:t>
            </w:r>
          </w:p>
          <w:p w:rsidR="00F5542A" w:rsidRPr="00643CC2" w:rsidRDefault="00F5542A" w:rsidP="00852C78">
            <w:pPr>
              <w:spacing w:before="60" w:after="60"/>
              <w:rPr>
                <w:rFonts w:ascii="Verdana" w:hAnsi="Verdana"/>
                <w:b/>
                <w:szCs w:val="20"/>
              </w:rPr>
            </w:pPr>
            <w:r w:rsidRPr="00643CC2">
              <w:rPr>
                <w:rFonts w:ascii="Verdana" w:hAnsi="Verdana"/>
                <w:b/>
                <w:szCs w:val="20"/>
              </w:rPr>
              <w:t>Feedback</w:t>
            </w:r>
          </w:p>
        </w:tc>
        <w:tc>
          <w:tcPr>
            <w:tcW w:w="3686" w:type="dxa"/>
          </w:tcPr>
          <w:p w:rsidR="00F5542A" w:rsidRPr="00643CC2" w:rsidRDefault="00B86FDE" w:rsidP="00443F2F">
            <w:pPr>
              <w:spacing w:before="60" w:after="60"/>
              <w:ind w:left="16"/>
              <w:rPr>
                <w:rFonts w:ascii="Verdana" w:hAnsi="Verdana"/>
                <w:sz w:val="20"/>
                <w:szCs w:val="20"/>
              </w:rPr>
            </w:pPr>
            <w:r w:rsidRPr="00643CC2">
              <w:rPr>
                <w:rFonts w:ascii="Verdana" w:hAnsi="Verdana"/>
                <w:sz w:val="20"/>
                <w:szCs w:val="20"/>
              </w:rPr>
              <w:t xml:space="preserve">3.2.1 </w:t>
            </w:r>
            <w:r w:rsidR="00F5542A" w:rsidRPr="00643CC2">
              <w:rPr>
                <w:rFonts w:ascii="Verdana" w:hAnsi="Verdana"/>
                <w:sz w:val="20"/>
                <w:szCs w:val="20"/>
              </w:rPr>
              <w:t xml:space="preserve">Review current feedback mechanisms to ensure they capture feedback on the </w:t>
            </w:r>
            <w:r w:rsidR="00443F2F">
              <w:rPr>
                <w:rFonts w:ascii="Verdana" w:hAnsi="Verdana"/>
                <w:sz w:val="20"/>
                <w:szCs w:val="20"/>
              </w:rPr>
              <w:t>d</w:t>
            </w:r>
            <w:r w:rsidR="00C570F2">
              <w:rPr>
                <w:rFonts w:ascii="Verdana" w:hAnsi="Verdana"/>
                <w:sz w:val="20"/>
                <w:szCs w:val="20"/>
              </w:rPr>
              <w:t>epartment</w:t>
            </w:r>
            <w:r w:rsidR="00280699">
              <w:rPr>
                <w:rFonts w:ascii="Verdana" w:hAnsi="Verdana"/>
                <w:sz w:val="20"/>
                <w:szCs w:val="20"/>
              </w:rPr>
              <w:t xml:space="preserve"> and agencies</w:t>
            </w:r>
            <w:r w:rsidR="00F5542A" w:rsidRPr="00643CC2">
              <w:rPr>
                <w:rFonts w:ascii="Verdana" w:hAnsi="Verdana"/>
                <w:sz w:val="20"/>
                <w:szCs w:val="20"/>
              </w:rPr>
              <w:t xml:space="preserve"> multicultural and access performance.</w:t>
            </w:r>
          </w:p>
        </w:tc>
        <w:tc>
          <w:tcPr>
            <w:tcW w:w="3118" w:type="dxa"/>
          </w:tcPr>
          <w:p w:rsidR="00F5542A" w:rsidRPr="00643CC2" w:rsidRDefault="00F5542A" w:rsidP="00852C78">
            <w:pPr>
              <w:spacing w:before="60" w:after="60"/>
              <w:rPr>
                <w:rFonts w:ascii="Verdana" w:hAnsi="Verdana"/>
                <w:i/>
                <w:sz w:val="20"/>
                <w:szCs w:val="20"/>
              </w:rPr>
            </w:pPr>
            <w:r w:rsidRPr="00643CC2">
              <w:rPr>
                <w:rFonts w:ascii="Verdana" w:hAnsi="Verdana"/>
                <w:sz w:val="20"/>
                <w:szCs w:val="20"/>
              </w:rPr>
              <w:t>Assistant Secretary Public Affairs Branch</w:t>
            </w:r>
          </w:p>
        </w:tc>
        <w:tc>
          <w:tcPr>
            <w:tcW w:w="1560" w:type="dxa"/>
          </w:tcPr>
          <w:p w:rsidR="00F5542A" w:rsidRPr="00643CC2" w:rsidRDefault="00F5542A" w:rsidP="00852C78">
            <w:pPr>
              <w:spacing w:before="60" w:after="60"/>
              <w:rPr>
                <w:rFonts w:ascii="Verdana" w:hAnsi="Verdana"/>
                <w:sz w:val="20"/>
                <w:szCs w:val="20"/>
              </w:rPr>
            </w:pPr>
            <w:r w:rsidRPr="00643CC2">
              <w:rPr>
                <w:rFonts w:ascii="Verdana" w:hAnsi="Verdana"/>
                <w:sz w:val="20"/>
                <w:szCs w:val="20"/>
              </w:rPr>
              <w:t>June 2014</w:t>
            </w:r>
          </w:p>
        </w:tc>
        <w:tc>
          <w:tcPr>
            <w:tcW w:w="4160" w:type="dxa"/>
          </w:tcPr>
          <w:p w:rsidR="00F5542A" w:rsidRPr="00643CC2" w:rsidRDefault="00F5542A" w:rsidP="00852C78">
            <w:pPr>
              <w:spacing w:before="60" w:after="60"/>
              <w:rPr>
                <w:rFonts w:ascii="Verdana" w:hAnsi="Verdana"/>
                <w:i/>
                <w:sz w:val="20"/>
                <w:szCs w:val="20"/>
              </w:rPr>
            </w:pPr>
            <w:r w:rsidRPr="00643CC2">
              <w:rPr>
                <w:rFonts w:ascii="Verdana" w:hAnsi="Verdana"/>
                <w:sz w:val="20"/>
                <w:szCs w:val="20"/>
              </w:rPr>
              <w:t>Any improvements identified in the review are incorporated in future feedback activities.</w:t>
            </w:r>
          </w:p>
        </w:tc>
      </w:tr>
      <w:tr w:rsidR="00F5542A" w:rsidRPr="00643CC2" w:rsidTr="00066C8D">
        <w:trPr>
          <w:trHeight w:val="2257"/>
        </w:trPr>
        <w:tc>
          <w:tcPr>
            <w:tcW w:w="1809" w:type="dxa"/>
            <w:vMerge/>
          </w:tcPr>
          <w:p w:rsidR="00F5542A" w:rsidRPr="00643CC2" w:rsidRDefault="00F5542A" w:rsidP="00852C78">
            <w:pPr>
              <w:spacing w:before="60" w:after="60"/>
              <w:rPr>
                <w:rFonts w:ascii="Verdana" w:hAnsi="Verdana"/>
                <w:sz w:val="20"/>
                <w:szCs w:val="20"/>
              </w:rPr>
            </w:pPr>
          </w:p>
        </w:tc>
        <w:tc>
          <w:tcPr>
            <w:tcW w:w="3686" w:type="dxa"/>
          </w:tcPr>
          <w:p w:rsidR="00F5542A" w:rsidRPr="00643CC2" w:rsidRDefault="00B86FDE" w:rsidP="00443F2F">
            <w:pPr>
              <w:spacing w:before="60" w:after="60"/>
              <w:ind w:left="16"/>
              <w:rPr>
                <w:rFonts w:ascii="Verdana" w:hAnsi="Verdana"/>
                <w:sz w:val="20"/>
                <w:szCs w:val="20"/>
              </w:rPr>
            </w:pPr>
            <w:r w:rsidRPr="00643CC2">
              <w:rPr>
                <w:rFonts w:ascii="Verdana" w:hAnsi="Verdana"/>
                <w:sz w:val="20"/>
                <w:szCs w:val="20"/>
              </w:rPr>
              <w:t xml:space="preserve">3.2.2 </w:t>
            </w:r>
            <w:r w:rsidR="00F5542A" w:rsidRPr="00643CC2">
              <w:rPr>
                <w:rFonts w:ascii="Verdana" w:hAnsi="Verdana"/>
                <w:sz w:val="20"/>
                <w:szCs w:val="20"/>
              </w:rPr>
              <w:t xml:space="preserve">Consider relevant feedback from the Federation of Ethnic Communities Council FECCA (provided through DIAC) on perceptions by their members of the </w:t>
            </w:r>
            <w:r w:rsidR="00443F2F">
              <w:rPr>
                <w:rFonts w:ascii="Verdana" w:hAnsi="Verdana"/>
                <w:sz w:val="20"/>
                <w:szCs w:val="20"/>
              </w:rPr>
              <w:t>d</w:t>
            </w:r>
            <w:r w:rsidR="00C570F2">
              <w:rPr>
                <w:rFonts w:ascii="Verdana" w:hAnsi="Verdana"/>
                <w:sz w:val="20"/>
                <w:szCs w:val="20"/>
              </w:rPr>
              <w:t>epartment</w:t>
            </w:r>
            <w:r w:rsidR="00280699">
              <w:rPr>
                <w:rFonts w:ascii="Verdana" w:hAnsi="Verdana"/>
                <w:sz w:val="20"/>
                <w:szCs w:val="20"/>
              </w:rPr>
              <w:t xml:space="preserve"> and agencies</w:t>
            </w:r>
            <w:r w:rsidR="00F5542A" w:rsidRPr="00643CC2">
              <w:rPr>
                <w:rFonts w:ascii="Verdana" w:hAnsi="Verdana"/>
                <w:sz w:val="20"/>
                <w:szCs w:val="20"/>
              </w:rPr>
              <w:t xml:space="preserve"> multicultural and access and equity performance.</w:t>
            </w:r>
          </w:p>
        </w:tc>
        <w:tc>
          <w:tcPr>
            <w:tcW w:w="3118" w:type="dxa"/>
          </w:tcPr>
          <w:p w:rsidR="00F5542A" w:rsidRPr="00357593" w:rsidRDefault="00357593" w:rsidP="00852C78">
            <w:pPr>
              <w:spacing w:before="60" w:after="60"/>
              <w:rPr>
                <w:rFonts w:ascii="Verdana" w:hAnsi="Verdana"/>
                <w:sz w:val="20"/>
                <w:szCs w:val="20"/>
              </w:rPr>
            </w:pPr>
            <w:r w:rsidRPr="00357593">
              <w:rPr>
                <w:rFonts w:ascii="Verdana" w:hAnsi="Verdana"/>
                <w:sz w:val="20"/>
                <w:szCs w:val="20"/>
              </w:rPr>
              <w:t>First Assistant Secretary Policy and Communications</w:t>
            </w:r>
          </w:p>
        </w:tc>
        <w:tc>
          <w:tcPr>
            <w:tcW w:w="1560" w:type="dxa"/>
          </w:tcPr>
          <w:p w:rsidR="00F5542A" w:rsidRPr="00643CC2" w:rsidRDefault="00F5542A" w:rsidP="00852C78">
            <w:pPr>
              <w:spacing w:before="60" w:after="60"/>
              <w:rPr>
                <w:rFonts w:ascii="Verdana" w:hAnsi="Verdana"/>
                <w:sz w:val="20"/>
                <w:szCs w:val="20"/>
              </w:rPr>
            </w:pPr>
            <w:r w:rsidRPr="00643CC2">
              <w:rPr>
                <w:rFonts w:ascii="Verdana" w:hAnsi="Verdana"/>
                <w:sz w:val="20"/>
                <w:szCs w:val="20"/>
              </w:rPr>
              <w:t>June 2014</w:t>
            </w:r>
          </w:p>
        </w:tc>
        <w:tc>
          <w:tcPr>
            <w:tcW w:w="4160" w:type="dxa"/>
          </w:tcPr>
          <w:p w:rsidR="00F5542A" w:rsidRPr="00643CC2" w:rsidRDefault="00F5542A" w:rsidP="00443F2F">
            <w:pPr>
              <w:spacing w:before="60" w:after="60"/>
              <w:rPr>
                <w:rFonts w:ascii="Verdana" w:hAnsi="Verdana"/>
                <w:sz w:val="20"/>
                <w:szCs w:val="20"/>
              </w:rPr>
            </w:pPr>
            <w:r w:rsidRPr="00643CC2">
              <w:rPr>
                <w:rFonts w:ascii="Verdana" w:hAnsi="Verdana"/>
                <w:sz w:val="20"/>
                <w:szCs w:val="20"/>
              </w:rPr>
              <w:t xml:space="preserve">Feedback received and provided to relevant areas of the </w:t>
            </w:r>
            <w:r w:rsidR="00443F2F">
              <w:rPr>
                <w:rFonts w:ascii="Verdana" w:hAnsi="Verdana"/>
                <w:sz w:val="20"/>
                <w:szCs w:val="20"/>
              </w:rPr>
              <w:t>d</w:t>
            </w:r>
            <w:r w:rsidR="00C570F2">
              <w:rPr>
                <w:rFonts w:ascii="Verdana" w:hAnsi="Verdana"/>
                <w:sz w:val="20"/>
                <w:szCs w:val="20"/>
              </w:rPr>
              <w:t>epartment</w:t>
            </w:r>
            <w:r w:rsidR="00280699">
              <w:rPr>
                <w:rFonts w:ascii="Verdana" w:hAnsi="Verdana"/>
                <w:sz w:val="20"/>
                <w:szCs w:val="20"/>
              </w:rPr>
              <w:t xml:space="preserve"> and agencies</w:t>
            </w:r>
            <w:r w:rsidRPr="00643CC2">
              <w:rPr>
                <w:rFonts w:ascii="Verdana" w:hAnsi="Verdana"/>
                <w:sz w:val="20"/>
                <w:szCs w:val="20"/>
              </w:rPr>
              <w:t>. Feedback responded to as appropriate.</w:t>
            </w:r>
          </w:p>
        </w:tc>
      </w:tr>
    </w:tbl>
    <w:p w:rsidR="00852C78" w:rsidRDefault="00852C78" w:rsidP="004F372A">
      <w:pPr>
        <w:spacing w:after="0" w:line="240" w:lineRule="auto"/>
        <w:rPr>
          <w:rFonts w:ascii="Verdana" w:hAnsi="Verdana"/>
          <w:sz w:val="10"/>
          <w:szCs w:val="10"/>
        </w:rPr>
      </w:pPr>
    </w:p>
    <w:p w:rsidR="00C95B15" w:rsidRPr="00643CC2" w:rsidRDefault="00C95B15" w:rsidP="004F372A">
      <w:pPr>
        <w:spacing w:after="0" w:line="240" w:lineRule="auto"/>
        <w:rPr>
          <w:rFonts w:ascii="Verdana" w:hAnsi="Verdana"/>
          <w:sz w:val="16"/>
          <w:szCs w:val="16"/>
        </w:rPr>
      </w:pPr>
    </w:p>
    <w:p w:rsidR="005A3405" w:rsidRPr="00643CC2" w:rsidRDefault="005A3405" w:rsidP="00C95B15">
      <w:pPr>
        <w:numPr>
          <w:ilvl w:val="0"/>
          <w:numId w:val="9"/>
        </w:numPr>
        <w:pBdr>
          <w:top w:val="single" w:sz="4" w:space="0" w:color="auto"/>
          <w:left w:val="single" w:sz="4" w:space="4" w:color="auto"/>
          <w:bottom w:val="single" w:sz="4" w:space="1" w:color="auto"/>
          <w:right w:val="single" w:sz="4" w:space="4" w:color="auto"/>
        </w:pBdr>
        <w:shd w:val="clear" w:color="auto" w:fill="DBE5F1" w:themeFill="accent1" w:themeFillTint="33"/>
        <w:spacing w:after="120" w:line="360" w:lineRule="auto"/>
        <w:contextualSpacing/>
        <w:rPr>
          <w:rFonts w:ascii="Verdana" w:hAnsi="Verdana"/>
          <w:b/>
          <w:sz w:val="28"/>
          <w:szCs w:val="28"/>
        </w:rPr>
      </w:pPr>
      <w:r w:rsidRPr="00643CC2">
        <w:rPr>
          <w:rFonts w:ascii="Verdana" w:hAnsi="Verdana"/>
          <w:b/>
          <w:sz w:val="28"/>
          <w:szCs w:val="28"/>
        </w:rPr>
        <w:t>Capability</w:t>
      </w:r>
    </w:p>
    <w:p w:rsidR="005A3405" w:rsidRPr="00643CC2" w:rsidRDefault="005A3405" w:rsidP="00B86FDE">
      <w:pPr>
        <w:contextualSpacing/>
        <w:rPr>
          <w:rFonts w:ascii="Verdana" w:hAnsi="Verdana"/>
          <w:sz w:val="16"/>
          <w:szCs w:val="16"/>
        </w:rPr>
      </w:pPr>
    </w:p>
    <w:p w:rsidR="00B86FDE" w:rsidRPr="00643CC2" w:rsidRDefault="00B86FDE" w:rsidP="00B86FDE">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rPr>
          <w:rFonts w:ascii="Verdana" w:hAnsi="Verdana"/>
          <w:i/>
        </w:rPr>
      </w:pPr>
      <w:r w:rsidRPr="00643CC2">
        <w:rPr>
          <w:rFonts w:ascii="Verdana" w:hAnsi="Verdana"/>
        </w:rPr>
        <w:t xml:space="preserve">The work of SEWPaC touches on every part of the Australian community and impacts more specifically on some culturally and linguistically diverse groups in areas such as the illegal trade in wildlife, the implementation of the Murray-Darling Basin Plan particularly in the so called “islands of ethnicity” such as Griffith, Mildura and Shepparton and with the </w:t>
      </w:r>
      <w:r w:rsidR="00443F2F">
        <w:rPr>
          <w:rFonts w:ascii="Verdana" w:hAnsi="Verdana"/>
        </w:rPr>
        <w:t>d</w:t>
      </w:r>
      <w:r w:rsidR="00C570F2">
        <w:rPr>
          <w:rFonts w:ascii="Verdana" w:hAnsi="Verdana"/>
        </w:rPr>
        <w:t>epartment</w:t>
      </w:r>
      <w:r w:rsidR="00280699">
        <w:rPr>
          <w:rFonts w:ascii="Verdana" w:hAnsi="Verdana"/>
        </w:rPr>
        <w:t xml:space="preserve"> and agencies</w:t>
      </w:r>
      <w:r w:rsidRPr="00643CC2">
        <w:rPr>
          <w:rFonts w:ascii="Verdana" w:hAnsi="Verdana"/>
        </w:rPr>
        <w:t xml:space="preserve"> work in Marine Parks as it </w:t>
      </w:r>
      <w:r w:rsidR="00F43A77">
        <w:rPr>
          <w:rFonts w:ascii="Verdana" w:hAnsi="Verdana"/>
        </w:rPr>
        <w:t xml:space="preserve">affects </w:t>
      </w:r>
      <w:r w:rsidRPr="00643CC2">
        <w:rPr>
          <w:rFonts w:ascii="Verdana" w:hAnsi="Verdana"/>
        </w:rPr>
        <w:t xml:space="preserve">commercial and recreational fishers.  A more detailed understanding of these diverse groups and increased cultural competency will assist the </w:t>
      </w:r>
      <w:r w:rsidR="00443F2F">
        <w:rPr>
          <w:rFonts w:ascii="Verdana" w:hAnsi="Verdana"/>
        </w:rPr>
        <w:t>d</w:t>
      </w:r>
      <w:r w:rsidR="00C570F2">
        <w:rPr>
          <w:rFonts w:ascii="Verdana" w:hAnsi="Verdana"/>
        </w:rPr>
        <w:t>epartment</w:t>
      </w:r>
      <w:r w:rsidR="00280699">
        <w:rPr>
          <w:rFonts w:ascii="Verdana" w:hAnsi="Verdana"/>
        </w:rPr>
        <w:t xml:space="preserve"> and agencies</w:t>
      </w:r>
      <w:r w:rsidRPr="00643CC2">
        <w:rPr>
          <w:rFonts w:ascii="Verdana" w:hAnsi="Verdana"/>
        </w:rPr>
        <w:t xml:space="preserve"> to pursue its mission.</w:t>
      </w:r>
    </w:p>
    <w:p w:rsidR="00555725" w:rsidRDefault="00555725">
      <w:pPr>
        <w:spacing w:after="0" w:line="240" w:lineRule="auto"/>
        <w:rPr>
          <w:rFonts w:ascii="Verdana" w:hAnsi="Verdana"/>
          <w:sz w:val="20"/>
          <w:szCs w:val="20"/>
        </w:rPr>
      </w:pPr>
    </w:p>
    <w:p w:rsidR="007611B2" w:rsidRPr="007611B2" w:rsidRDefault="007611B2" w:rsidP="007611B2">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after="120"/>
        <w:rPr>
          <w:rFonts w:ascii="Verdana" w:hAnsi="Verdana"/>
          <w:b/>
          <w:sz w:val="20"/>
          <w:szCs w:val="20"/>
        </w:rPr>
      </w:pPr>
      <w:r w:rsidRPr="007611B2">
        <w:rPr>
          <w:rFonts w:ascii="Verdana" w:hAnsi="Verdana"/>
          <w:b/>
          <w:sz w:val="20"/>
          <w:szCs w:val="20"/>
        </w:rPr>
        <w:t>Minimum obligations:</w:t>
      </w:r>
    </w:p>
    <w:p w:rsidR="007611B2" w:rsidRDefault="007611B2" w:rsidP="006C419D">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ind w:left="709" w:hanging="709"/>
        <w:rPr>
          <w:rFonts w:ascii="Verdana" w:hAnsi="Verdana"/>
          <w:sz w:val="20"/>
          <w:szCs w:val="20"/>
        </w:rPr>
      </w:pPr>
      <w:r w:rsidRPr="000A0621">
        <w:rPr>
          <w:rFonts w:ascii="Verdana" w:hAnsi="Verdana"/>
          <w:b/>
          <w:sz w:val="20"/>
          <w:szCs w:val="20"/>
        </w:rPr>
        <w:t>4.1</w:t>
      </w:r>
      <w:r>
        <w:rPr>
          <w:rFonts w:ascii="Verdana" w:hAnsi="Verdana"/>
          <w:sz w:val="20"/>
          <w:szCs w:val="20"/>
        </w:rPr>
        <w:tab/>
      </w:r>
      <w:r w:rsidRPr="007611B2">
        <w:rPr>
          <w:rFonts w:ascii="Verdana" w:hAnsi="Verdana"/>
          <w:b/>
          <w:sz w:val="20"/>
          <w:szCs w:val="20"/>
        </w:rPr>
        <w:t>Cultural competency</w:t>
      </w:r>
      <w:r>
        <w:rPr>
          <w:rFonts w:ascii="Verdana" w:hAnsi="Verdana"/>
          <w:sz w:val="20"/>
          <w:szCs w:val="20"/>
        </w:rPr>
        <w:t xml:space="preserve">: </w:t>
      </w:r>
      <w:r w:rsidR="00280699">
        <w:rPr>
          <w:rFonts w:ascii="Verdana" w:hAnsi="Verdana"/>
          <w:sz w:val="20"/>
          <w:szCs w:val="20"/>
        </w:rPr>
        <w:t xml:space="preserve">Department </w:t>
      </w:r>
      <w:r>
        <w:rPr>
          <w:rFonts w:ascii="Verdana" w:hAnsi="Verdana"/>
          <w:sz w:val="20"/>
          <w:szCs w:val="20"/>
        </w:rPr>
        <w:t xml:space="preserve">or agency to have training </w:t>
      </w:r>
      <w:r w:rsidRPr="00643CC2">
        <w:rPr>
          <w:rFonts w:ascii="Verdana" w:hAnsi="Verdana"/>
          <w:sz w:val="20"/>
          <w:szCs w:val="20"/>
        </w:rPr>
        <w:t>development measures to equip staff with cultural competency skills</w:t>
      </w:r>
    </w:p>
    <w:p w:rsidR="007611B2" w:rsidRDefault="007611B2" w:rsidP="006C419D">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ind w:left="709" w:hanging="709"/>
        <w:rPr>
          <w:rFonts w:ascii="Verdana" w:hAnsi="Verdana"/>
          <w:sz w:val="20"/>
          <w:szCs w:val="20"/>
        </w:rPr>
      </w:pPr>
      <w:r w:rsidRPr="000A0621">
        <w:rPr>
          <w:rFonts w:ascii="Verdana" w:hAnsi="Verdana"/>
          <w:b/>
          <w:sz w:val="20"/>
          <w:szCs w:val="20"/>
        </w:rPr>
        <w:t>4.2</w:t>
      </w:r>
      <w:r>
        <w:rPr>
          <w:rFonts w:ascii="Verdana" w:hAnsi="Verdana"/>
          <w:sz w:val="20"/>
          <w:szCs w:val="20"/>
        </w:rPr>
        <w:tab/>
      </w:r>
      <w:r w:rsidRPr="007611B2">
        <w:rPr>
          <w:rFonts w:ascii="Verdana" w:hAnsi="Verdana"/>
          <w:b/>
          <w:sz w:val="20"/>
          <w:szCs w:val="20"/>
        </w:rPr>
        <w:t>Research and data</w:t>
      </w:r>
      <w:r>
        <w:rPr>
          <w:rFonts w:ascii="Verdana" w:hAnsi="Verdana"/>
          <w:sz w:val="20"/>
          <w:szCs w:val="20"/>
        </w:rPr>
        <w:t xml:space="preserve">: </w:t>
      </w:r>
      <w:r w:rsidR="00280699">
        <w:rPr>
          <w:rFonts w:ascii="Verdana" w:hAnsi="Verdana"/>
          <w:sz w:val="20"/>
          <w:szCs w:val="20"/>
        </w:rPr>
        <w:t xml:space="preserve">Department </w:t>
      </w:r>
      <w:r w:rsidRPr="00643CC2">
        <w:rPr>
          <w:rFonts w:ascii="Verdana" w:hAnsi="Verdana"/>
          <w:sz w:val="20"/>
          <w:szCs w:val="20"/>
        </w:rPr>
        <w:t>or agency to collect ethnicity data on th</w:t>
      </w:r>
      <w:r w:rsidR="00735EC8">
        <w:rPr>
          <w:rFonts w:ascii="Verdana" w:hAnsi="Verdana"/>
          <w:sz w:val="20"/>
          <w:szCs w:val="20"/>
        </w:rPr>
        <w:t xml:space="preserve">e culturally and linguistically </w:t>
      </w:r>
      <w:r w:rsidRPr="00643CC2">
        <w:rPr>
          <w:rFonts w:ascii="Verdana" w:hAnsi="Verdana"/>
          <w:sz w:val="20"/>
          <w:szCs w:val="20"/>
        </w:rPr>
        <w:t xml:space="preserve">diverse groups with which the </w:t>
      </w:r>
      <w:r w:rsidR="00280699">
        <w:rPr>
          <w:rFonts w:ascii="Verdana" w:hAnsi="Verdana"/>
          <w:sz w:val="20"/>
          <w:szCs w:val="20"/>
        </w:rPr>
        <w:t xml:space="preserve">department </w:t>
      </w:r>
      <w:r w:rsidRPr="00643CC2">
        <w:rPr>
          <w:rFonts w:ascii="Verdana" w:hAnsi="Verdana"/>
          <w:sz w:val="20"/>
          <w:szCs w:val="20"/>
        </w:rPr>
        <w:t>or agency engages and to which it delivers services directly or indirectl</w:t>
      </w:r>
      <w:r>
        <w:rPr>
          <w:rFonts w:ascii="Verdana" w:hAnsi="Verdana"/>
          <w:sz w:val="20"/>
          <w:szCs w:val="20"/>
        </w:rPr>
        <w:t>y.</w:t>
      </w:r>
    </w:p>
    <w:p w:rsidR="007608E8" w:rsidRPr="00643CC2" w:rsidRDefault="007608E8" w:rsidP="00B86FDE">
      <w:pPr>
        <w:contextualSpacing/>
        <w:rPr>
          <w:rFonts w:ascii="Verdana" w:hAnsi="Verdana"/>
          <w:sz w:val="10"/>
          <w:szCs w:val="10"/>
        </w:rPr>
      </w:pPr>
    </w:p>
    <w:tbl>
      <w:tblPr>
        <w:tblStyle w:val="TableGrid1"/>
        <w:tblW w:w="5032" w:type="pct"/>
        <w:tblLook w:val="04A0"/>
      </w:tblPr>
      <w:tblGrid>
        <w:gridCol w:w="1705"/>
        <w:gridCol w:w="3791"/>
        <w:gridCol w:w="3116"/>
        <w:gridCol w:w="1561"/>
        <w:gridCol w:w="4252"/>
      </w:tblGrid>
      <w:tr w:rsidR="002240E4" w:rsidRPr="00643CC2" w:rsidTr="00066C8D">
        <w:tc>
          <w:tcPr>
            <w:tcW w:w="591" w:type="pct"/>
            <w:tcBorders>
              <w:top w:val="nil"/>
              <w:left w:val="nil"/>
            </w:tcBorders>
          </w:tcPr>
          <w:p w:rsidR="005A3405" w:rsidRPr="00643CC2" w:rsidRDefault="005A3405" w:rsidP="005A3405">
            <w:pPr>
              <w:rPr>
                <w:rFonts w:ascii="Verdana" w:hAnsi="Verdana"/>
                <w:i/>
                <w:sz w:val="20"/>
                <w:szCs w:val="20"/>
              </w:rPr>
            </w:pPr>
          </w:p>
        </w:tc>
        <w:tc>
          <w:tcPr>
            <w:tcW w:w="1314" w:type="pct"/>
            <w:shd w:val="clear" w:color="auto" w:fill="DBE5F1" w:themeFill="accent1" w:themeFillTint="33"/>
            <w:vAlign w:val="center"/>
          </w:tcPr>
          <w:p w:rsidR="005A3405" w:rsidRPr="00643CC2" w:rsidRDefault="005A3405" w:rsidP="00742328">
            <w:pPr>
              <w:spacing w:before="60" w:after="60"/>
              <w:jc w:val="center"/>
              <w:rPr>
                <w:rFonts w:ascii="Verdana" w:hAnsi="Verdana"/>
                <w:b/>
                <w:i/>
                <w:szCs w:val="20"/>
              </w:rPr>
            </w:pPr>
            <w:r w:rsidRPr="00643CC2">
              <w:rPr>
                <w:rFonts w:ascii="Verdana" w:hAnsi="Verdana"/>
                <w:b/>
                <w:i/>
                <w:szCs w:val="20"/>
              </w:rPr>
              <w:t>Action</w:t>
            </w:r>
          </w:p>
        </w:tc>
        <w:tc>
          <w:tcPr>
            <w:tcW w:w="1080" w:type="pct"/>
            <w:shd w:val="clear" w:color="auto" w:fill="DBE5F1" w:themeFill="accent1" w:themeFillTint="33"/>
            <w:vAlign w:val="center"/>
          </w:tcPr>
          <w:p w:rsidR="005A3405" w:rsidRPr="00643CC2" w:rsidRDefault="005A3405" w:rsidP="00742328">
            <w:pPr>
              <w:spacing w:before="60" w:after="60"/>
              <w:jc w:val="center"/>
              <w:rPr>
                <w:rFonts w:ascii="Verdana" w:hAnsi="Verdana"/>
                <w:b/>
                <w:i/>
                <w:szCs w:val="20"/>
              </w:rPr>
            </w:pPr>
            <w:r w:rsidRPr="00643CC2">
              <w:rPr>
                <w:rFonts w:ascii="Verdana" w:hAnsi="Verdana"/>
                <w:b/>
                <w:i/>
                <w:szCs w:val="20"/>
              </w:rPr>
              <w:t>Responsibility</w:t>
            </w:r>
          </w:p>
        </w:tc>
        <w:tc>
          <w:tcPr>
            <w:tcW w:w="541" w:type="pct"/>
            <w:shd w:val="clear" w:color="auto" w:fill="DBE5F1" w:themeFill="accent1" w:themeFillTint="33"/>
            <w:vAlign w:val="center"/>
          </w:tcPr>
          <w:p w:rsidR="005A3405" w:rsidRPr="00643CC2" w:rsidRDefault="005A3405" w:rsidP="00742328">
            <w:pPr>
              <w:spacing w:before="60" w:after="60"/>
              <w:jc w:val="center"/>
              <w:rPr>
                <w:rFonts w:ascii="Verdana" w:hAnsi="Verdana"/>
                <w:b/>
                <w:i/>
                <w:szCs w:val="20"/>
              </w:rPr>
            </w:pPr>
            <w:r w:rsidRPr="00643CC2">
              <w:rPr>
                <w:rFonts w:ascii="Verdana" w:hAnsi="Verdana"/>
                <w:b/>
                <w:i/>
                <w:szCs w:val="20"/>
              </w:rPr>
              <w:t>Timeline</w:t>
            </w:r>
          </w:p>
        </w:tc>
        <w:tc>
          <w:tcPr>
            <w:tcW w:w="1474" w:type="pct"/>
            <w:shd w:val="clear" w:color="auto" w:fill="DBE5F1" w:themeFill="accent1" w:themeFillTint="33"/>
            <w:vAlign w:val="center"/>
          </w:tcPr>
          <w:p w:rsidR="005A3405" w:rsidRPr="00643CC2" w:rsidRDefault="005A3405" w:rsidP="00742328">
            <w:pPr>
              <w:spacing w:before="60" w:after="60"/>
              <w:jc w:val="center"/>
              <w:rPr>
                <w:rFonts w:ascii="Verdana" w:hAnsi="Verdana"/>
                <w:b/>
                <w:i/>
                <w:szCs w:val="20"/>
              </w:rPr>
            </w:pPr>
            <w:r w:rsidRPr="00643CC2">
              <w:rPr>
                <w:rFonts w:ascii="Verdana" w:hAnsi="Verdana"/>
                <w:b/>
                <w:i/>
                <w:szCs w:val="20"/>
              </w:rPr>
              <w:t>Target</w:t>
            </w:r>
          </w:p>
        </w:tc>
      </w:tr>
      <w:tr w:rsidR="00B86FDE" w:rsidRPr="00643CC2" w:rsidTr="00066C8D">
        <w:tc>
          <w:tcPr>
            <w:tcW w:w="591" w:type="pct"/>
            <w:vMerge w:val="restart"/>
          </w:tcPr>
          <w:p w:rsidR="00B86FDE" w:rsidRPr="00643CC2" w:rsidRDefault="00B86FDE" w:rsidP="00B86FDE">
            <w:pPr>
              <w:spacing w:after="0"/>
              <w:rPr>
                <w:rFonts w:ascii="Verdana" w:hAnsi="Verdana"/>
                <w:b/>
              </w:rPr>
            </w:pPr>
            <w:r w:rsidRPr="00643CC2">
              <w:rPr>
                <w:rFonts w:ascii="Verdana" w:hAnsi="Verdana"/>
                <w:b/>
              </w:rPr>
              <w:t xml:space="preserve">4.1 </w:t>
            </w:r>
          </w:p>
          <w:p w:rsidR="00B86FDE" w:rsidRPr="00643CC2" w:rsidRDefault="00B86FDE" w:rsidP="00B86FDE">
            <w:pPr>
              <w:spacing w:after="0"/>
              <w:rPr>
                <w:rFonts w:ascii="Verdana" w:hAnsi="Verdana"/>
                <w:b/>
              </w:rPr>
            </w:pPr>
            <w:r w:rsidRPr="00643CC2">
              <w:rPr>
                <w:rFonts w:ascii="Verdana" w:hAnsi="Verdana"/>
                <w:b/>
              </w:rPr>
              <w:t>Cultural competency</w:t>
            </w:r>
          </w:p>
          <w:p w:rsidR="00B86FDE" w:rsidRPr="00643CC2" w:rsidRDefault="00B86FDE" w:rsidP="00B86FDE">
            <w:pPr>
              <w:spacing w:after="0"/>
              <w:rPr>
                <w:rFonts w:ascii="Verdana" w:hAnsi="Verdana"/>
                <w:b/>
              </w:rPr>
            </w:pPr>
          </w:p>
        </w:tc>
        <w:tc>
          <w:tcPr>
            <w:tcW w:w="1314" w:type="pct"/>
          </w:tcPr>
          <w:p w:rsidR="00B86FDE" w:rsidRPr="00643CC2" w:rsidRDefault="005D1869" w:rsidP="001A25B9">
            <w:pPr>
              <w:spacing w:before="60" w:after="60"/>
              <w:ind w:left="16"/>
              <w:rPr>
                <w:rFonts w:ascii="Verdana" w:hAnsi="Verdana"/>
                <w:sz w:val="20"/>
                <w:szCs w:val="20"/>
              </w:rPr>
            </w:pPr>
            <w:r w:rsidRPr="00643CC2">
              <w:rPr>
                <w:rFonts w:ascii="Verdana" w:hAnsi="Verdana"/>
                <w:sz w:val="20"/>
                <w:szCs w:val="20"/>
              </w:rPr>
              <w:t>4.1.1</w:t>
            </w:r>
            <w:r w:rsidR="001A25B9">
              <w:rPr>
                <w:rFonts w:ascii="Verdana" w:hAnsi="Verdana"/>
                <w:sz w:val="20"/>
                <w:szCs w:val="20"/>
              </w:rPr>
              <w:t xml:space="preserve"> Review and identify opportunities for staff to access cultural competency training across </w:t>
            </w:r>
            <w:r w:rsidR="00735EC8">
              <w:rPr>
                <w:rFonts w:ascii="Verdana" w:hAnsi="Verdana"/>
                <w:sz w:val="20"/>
                <w:szCs w:val="20"/>
              </w:rPr>
              <w:t xml:space="preserve">the </w:t>
            </w:r>
            <w:r w:rsidR="001A25B9">
              <w:rPr>
                <w:rFonts w:ascii="Verdana" w:hAnsi="Verdana"/>
                <w:sz w:val="20"/>
                <w:szCs w:val="20"/>
              </w:rPr>
              <w:t>APS</w:t>
            </w:r>
            <w:r w:rsidR="00735EC8">
              <w:rPr>
                <w:rFonts w:ascii="Verdana" w:hAnsi="Verdana"/>
                <w:sz w:val="20"/>
                <w:szCs w:val="20"/>
              </w:rPr>
              <w:t>.</w:t>
            </w:r>
          </w:p>
        </w:tc>
        <w:tc>
          <w:tcPr>
            <w:tcW w:w="1080" w:type="pct"/>
          </w:tcPr>
          <w:p w:rsidR="00B86FDE" w:rsidRPr="00643CC2" w:rsidRDefault="00B86FDE" w:rsidP="00B86FDE">
            <w:pPr>
              <w:spacing w:before="60" w:after="60"/>
              <w:rPr>
                <w:rFonts w:ascii="Verdana" w:hAnsi="Verdana"/>
                <w:i/>
                <w:sz w:val="20"/>
                <w:szCs w:val="20"/>
              </w:rPr>
            </w:pPr>
            <w:r w:rsidRPr="00643CC2">
              <w:rPr>
                <w:rFonts w:ascii="Verdana" w:hAnsi="Verdana"/>
                <w:sz w:val="20"/>
                <w:szCs w:val="20"/>
              </w:rPr>
              <w:t>Assistant Secretary People Strategies</w:t>
            </w:r>
          </w:p>
        </w:tc>
        <w:tc>
          <w:tcPr>
            <w:tcW w:w="541" w:type="pct"/>
          </w:tcPr>
          <w:p w:rsidR="00B86FDE" w:rsidRPr="00643CC2" w:rsidRDefault="00B86FDE" w:rsidP="00B86FDE">
            <w:pPr>
              <w:spacing w:before="60" w:after="60"/>
              <w:rPr>
                <w:rFonts w:ascii="Verdana" w:hAnsi="Verdana"/>
                <w:i/>
                <w:sz w:val="20"/>
                <w:szCs w:val="20"/>
              </w:rPr>
            </w:pPr>
            <w:r w:rsidRPr="00643CC2">
              <w:rPr>
                <w:rFonts w:ascii="Verdana" w:hAnsi="Verdana"/>
                <w:sz w:val="20"/>
                <w:szCs w:val="20"/>
              </w:rPr>
              <w:t>June 201</w:t>
            </w:r>
            <w:r w:rsidR="00A23395">
              <w:rPr>
                <w:rFonts w:ascii="Verdana" w:hAnsi="Verdana"/>
                <w:sz w:val="20"/>
                <w:szCs w:val="20"/>
              </w:rPr>
              <w:t>4</w:t>
            </w:r>
          </w:p>
        </w:tc>
        <w:tc>
          <w:tcPr>
            <w:tcW w:w="1474" w:type="pct"/>
          </w:tcPr>
          <w:p w:rsidR="00B86FDE" w:rsidRPr="00643CC2" w:rsidRDefault="001A25B9" w:rsidP="001A25B9">
            <w:pPr>
              <w:spacing w:before="60" w:after="60"/>
              <w:rPr>
                <w:rFonts w:ascii="Verdana" w:hAnsi="Verdana"/>
                <w:i/>
                <w:sz w:val="20"/>
                <w:szCs w:val="20"/>
              </w:rPr>
            </w:pPr>
            <w:r>
              <w:rPr>
                <w:rFonts w:ascii="Verdana" w:hAnsi="Verdana"/>
                <w:sz w:val="20"/>
                <w:szCs w:val="20"/>
              </w:rPr>
              <w:t>50% of existing staff completing training</w:t>
            </w:r>
            <w:r w:rsidR="00B86FDE" w:rsidRPr="00643CC2">
              <w:rPr>
                <w:rFonts w:ascii="Verdana" w:hAnsi="Verdana"/>
                <w:sz w:val="20"/>
                <w:szCs w:val="20"/>
              </w:rPr>
              <w:t>.</w:t>
            </w:r>
          </w:p>
        </w:tc>
      </w:tr>
      <w:tr w:rsidR="00B86FDE" w:rsidRPr="00643CC2" w:rsidTr="00066C8D">
        <w:tc>
          <w:tcPr>
            <w:tcW w:w="591" w:type="pct"/>
            <w:vMerge/>
          </w:tcPr>
          <w:p w:rsidR="00B86FDE" w:rsidRPr="00643CC2" w:rsidRDefault="00B86FDE" w:rsidP="00B86FDE">
            <w:pPr>
              <w:spacing w:after="0"/>
              <w:rPr>
                <w:rFonts w:ascii="Verdana" w:hAnsi="Verdana"/>
                <w:b/>
              </w:rPr>
            </w:pPr>
          </w:p>
        </w:tc>
        <w:tc>
          <w:tcPr>
            <w:tcW w:w="1314" w:type="pct"/>
          </w:tcPr>
          <w:p w:rsidR="00B86FDE" w:rsidRPr="00643CC2" w:rsidRDefault="005D1869" w:rsidP="00DB39F1">
            <w:pPr>
              <w:spacing w:before="60" w:after="60"/>
              <w:ind w:left="16"/>
              <w:rPr>
                <w:rFonts w:ascii="Verdana" w:hAnsi="Verdana"/>
                <w:sz w:val="20"/>
                <w:szCs w:val="20"/>
              </w:rPr>
            </w:pPr>
            <w:r w:rsidRPr="00643CC2">
              <w:rPr>
                <w:rFonts w:ascii="Verdana" w:hAnsi="Verdana"/>
                <w:sz w:val="20"/>
                <w:szCs w:val="20"/>
              </w:rPr>
              <w:t>4.1.2 Identify</w:t>
            </w:r>
            <w:r w:rsidR="00B86FDE" w:rsidRPr="00643CC2">
              <w:rPr>
                <w:rFonts w:ascii="Verdana" w:hAnsi="Verdana"/>
                <w:sz w:val="20"/>
                <w:szCs w:val="20"/>
              </w:rPr>
              <w:t xml:space="preserve"> opportunities to include cultural competency in </w:t>
            </w:r>
            <w:r w:rsidR="00735EC8">
              <w:rPr>
                <w:rFonts w:ascii="Verdana" w:hAnsi="Verdana"/>
                <w:sz w:val="20"/>
                <w:szCs w:val="20"/>
              </w:rPr>
              <w:t>d</w:t>
            </w:r>
            <w:r w:rsidR="00C570F2">
              <w:rPr>
                <w:rFonts w:ascii="Verdana" w:hAnsi="Verdana"/>
                <w:sz w:val="20"/>
                <w:szCs w:val="20"/>
              </w:rPr>
              <w:t>epartment</w:t>
            </w:r>
            <w:r w:rsidR="00280699">
              <w:rPr>
                <w:rFonts w:ascii="Verdana" w:hAnsi="Verdana"/>
                <w:sz w:val="20"/>
                <w:szCs w:val="20"/>
              </w:rPr>
              <w:t xml:space="preserve"> and agenc</w:t>
            </w:r>
            <w:r w:rsidR="00DB39F1">
              <w:rPr>
                <w:rFonts w:ascii="Verdana" w:hAnsi="Verdana"/>
                <w:sz w:val="20"/>
                <w:szCs w:val="20"/>
              </w:rPr>
              <w:t>y</w:t>
            </w:r>
            <w:r w:rsidR="00B86FDE" w:rsidRPr="00643CC2">
              <w:rPr>
                <w:rFonts w:ascii="Verdana" w:hAnsi="Verdana"/>
                <w:sz w:val="20"/>
                <w:szCs w:val="20"/>
              </w:rPr>
              <w:t xml:space="preserve"> training.</w:t>
            </w:r>
          </w:p>
        </w:tc>
        <w:tc>
          <w:tcPr>
            <w:tcW w:w="1080" w:type="pct"/>
          </w:tcPr>
          <w:p w:rsidR="00B86FDE" w:rsidRPr="00643CC2" w:rsidRDefault="00B86FDE" w:rsidP="00B86FDE">
            <w:pPr>
              <w:spacing w:before="60" w:after="60"/>
              <w:rPr>
                <w:rFonts w:ascii="Verdana" w:hAnsi="Verdana"/>
                <w:sz w:val="20"/>
                <w:szCs w:val="24"/>
              </w:rPr>
            </w:pPr>
            <w:r w:rsidRPr="00643CC2">
              <w:rPr>
                <w:rFonts w:ascii="Verdana" w:hAnsi="Verdana"/>
                <w:sz w:val="20"/>
                <w:szCs w:val="24"/>
              </w:rPr>
              <w:t>Assist</w:t>
            </w:r>
            <w:r w:rsidR="00A23395">
              <w:rPr>
                <w:rFonts w:ascii="Verdana" w:hAnsi="Verdana"/>
                <w:sz w:val="20"/>
                <w:szCs w:val="24"/>
              </w:rPr>
              <w:t>ant Secretary People Strategies</w:t>
            </w:r>
          </w:p>
        </w:tc>
        <w:tc>
          <w:tcPr>
            <w:tcW w:w="541" w:type="pct"/>
          </w:tcPr>
          <w:p w:rsidR="00B86FDE" w:rsidRPr="00643CC2" w:rsidRDefault="00B86FDE" w:rsidP="00B86FDE">
            <w:pPr>
              <w:spacing w:before="60" w:after="60"/>
              <w:rPr>
                <w:rFonts w:ascii="Verdana" w:hAnsi="Verdana"/>
                <w:sz w:val="20"/>
                <w:szCs w:val="24"/>
              </w:rPr>
            </w:pPr>
            <w:r w:rsidRPr="00643CC2">
              <w:rPr>
                <w:rFonts w:ascii="Verdana" w:hAnsi="Verdana"/>
                <w:sz w:val="20"/>
                <w:szCs w:val="24"/>
              </w:rPr>
              <w:t>June 2015</w:t>
            </w:r>
          </w:p>
        </w:tc>
        <w:tc>
          <w:tcPr>
            <w:tcW w:w="1474" w:type="pct"/>
          </w:tcPr>
          <w:p w:rsidR="00B86FDE" w:rsidRPr="00643CC2" w:rsidRDefault="00B86FDE" w:rsidP="00B86FDE">
            <w:pPr>
              <w:spacing w:before="60" w:after="60"/>
              <w:rPr>
                <w:rFonts w:ascii="Verdana" w:hAnsi="Verdana"/>
                <w:sz w:val="20"/>
                <w:szCs w:val="24"/>
              </w:rPr>
            </w:pPr>
            <w:r w:rsidRPr="00643CC2">
              <w:rPr>
                <w:rFonts w:ascii="Verdana" w:hAnsi="Verdana"/>
                <w:sz w:val="20"/>
                <w:szCs w:val="24"/>
              </w:rPr>
              <w:t xml:space="preserve">Cultural competency is included in corporate training such as induction/orientation.  </w:t>
            </w:r>
          </w:p>
        </w:tc>
      </w:tr>
      <w:tr w:rsidR="00555725" w:rsidRPr="00643CC2" w:rsidTr="00066C8D">
        <w:tc>
          <w:tcPr>
            <w:tcW w:w="591" w:type="pct"/>
          </w:tcPr>
          <w:p w:rsidR="00555725" w:rsidRPr="00643CC2" w:rsidRDefault="00555725" w:rsidP="00A611C8">
            <w:pPr>
              <w:spacing w:after="0"/>
              <w:rPr>
                <w:rFonts w:ascii="Verdana" w:hAnsi="Verdana"/>
                <w:b/>
              </w:rPr>
            </w:pPr>
            <w:r w:rsidRPr="00643CC2">
              <w:rPr>
                <w:rFonts w:ascii="Verdana" w:hAnsi="Verdana"/>
                <w:b/>
              </w:rPr>
              <w:t xml:space="preserve">4.2 </w:t>
            </w:r>
          </w:p>
          <w:p w:rsidR="00555725" w:rsidRPr="00643CC2" w:rsidRDefault="00555725" w:rsidP="00A611C8">
            <w:pPr>
              <w:spacing w:after="0"/>
              <w:rPr>
                <w:rFonts w:ascii="Verdana" w:hAnsi="Verdana"/>
                <w:b/>
              </w:rPr>
            </w:pPr>
            <w:r w:rsidRPr="00643CC2">
              <w:rPr>
                <w:rFonts w:ascii="Verdana" w:hAnsi="Verdana"/>
                <w:b/>
              </w:rPr>
              <w:t xml:space="preserve">Research and data </w:t>
            </w:r>
          </w:p>
          <w:p w:rsidR="00555725" w:rsidRPr="00643CC2" w:rsidRDefault="00555725" w:rsidP="00A611C8">
            <w:pPr>
              <w:spacing w:after="0"/>
              <w:rPr>
                <w:rFonts w:ascii="Verdana" w:hAnsi="Verdana"/>
                <w:b/>
              </w:rPr>
            </w:pPr>
          </w:p>
        </w:tc>
        <w:tc>
          <w:tcPr>
            <w:tcW w:w="1314" w:type="pct"/>
          </w:tcPr>
          <w:p w:rsidR="00555725" w:rsidRPr="00643CC2" w:rsidRDefault="00555725" w:rsidP="00A611C8">
            <w:pPr>
              <w:spacing w:before="60" w:after="60"/>
              <w:ind w:left="16"/>
              <w:rPr>
                <w:rFonts w:ascii="Verdana" w:hAnsi="Verdana"/>
                <w:sz w:val="20"/>
                <w:szCs w:val="20"/>
              </w:rPr>
            </w:pPr>
            <w:r w:rsidRPr="00643CC2">
              <w:rPr>
                <w:rFonts w:ascii="Verdana" w:hAnsi="Verdana"/>
                <w:sz w:val="20"/>
                <w:szCs w:val="20"/>
              </w:rPr>
              <w:t>4.2.1 Improve SEWPaC data collection by identifying opportunities to include information about language and ethnicity in SEWPaC surveys and other research.</w:t>
            </w:r>
          </w:p>
        </w:tc>
        <w:tc>
          <w:tcPr>
            <w:tcW w:w="1080" w:type="pct"/>
          </w:tcPr>
          <w:p w:rsidR="00555725" w:rsidRPr="00643CC2" w:rsidRDefault="00555725" w:rsidP="00A23395">
            <w:pPr>
              <w:spacing w:before="60" w:after="60"/>
              <w:rPr>
                <w:rFonts w:ascii="Verdana" w:hAnsi="Verdana"/>
                <w:sz w:val="20"/>
                <w:szCs w:val="24"/>
              </w:rPr>
            </w:pPr>
            <w:r w:rsidRPr="00643CC2">
              <w:rPr>
                <w:rFonts w:ascii="Verdana" w:hAnsi="Verdana"/>
                <w:sz w:val="20"/>
                <w:szCs w:val="24"/>
              </w:rPr>
              <w:t>First Assistant Secretary Policy and Communications</w:t>
            </w:r>
          </w:p>
        </w:tc>
        <w:tc>
          <w:tcPr>
            <w:tcW w:w="541" w:type="pct"/>
          </w:tcPr>
          <w:p w:rsidR="00555725" w:rsidRPr="00643CC2" w:rsidRDefault="00555725" w:rsidP="00A611C8">
            <w:pPr>
              <w:spacing w:before="60" w:after="60"/>
              <w:rPr>
                <w:rFonts w:ascii="Verdana" w:hAnsi="Verdana"/>
                <w:sz w:val="20"/>
                <w:szCs w:val="24"/>
              </w:rPr>
            </w:pPr>
            <w:r w:rsidRPr="00643CC2">
              <w:rPr>
                <w:rFonts w:ascii="Verdana" w:hAnsi="Verdana"/>
                <w:sz w:val="20"/>
                <w:szCs w:val="24"/>
              </w:rPr>
              <w:t>June 2015</w:t>
            </w:r>
          </w:p>
        </w:tc>
        <w:tc>
          <w:tcPr>
            <w:tcW w:w="1474" w:type="pct"/>
          </w:tcPr>
          <w:p w:rsidR="00555725" w:rsidRPr="00643CC2" w:rsidRDefault="00555725" w:rsidP="00A611C8">
            <w:pPr>
              <w:spacing w:before="60" w:after="60"/>
              <w:rPr>
                <w:rFonts w:ascii="Verdana" w:hAnsi="Verdana"/>
                <w:sz w:val="20"/>
                <w:szCs w:val="24"/>
              </w:rPr>
            </w:pPr>
            <w:r w:rsidRPr="00643CC2">
              <w:rPr>
                <w:rFonts w:ascii="Verdana" w:hAnsi="Verdana"/>
                <w:sz w:val="20"/>
                <w:szCs w:val="24"/>
              </w:rPr>
              <w:t>A process for inclusion of items about language and ethnicity in all appropriate data collections is established.</w:t>
            </w:r>
          </w:p>
        </w:tc>
      </w:tr>
    </w:tbl>
    <w:p w:rsidR="005A3405" w:rsidRDefault="005A3405" w:rsidP="004F372A">
      <w:pPr>
        <w:spacing w:after="0" w:line="240" w:lineRule="auto"/>
      </w:pPr>
    </w:p>
    <w:p w:rsidR="005456BD" w:rsidRDefault="005456BD">
      <w:pPr>
        <w:spacing w:after="0" w:line="240" w:lineRule="auto"/>
      </w:pPr>
      <w:r>
        <w:br w:type="page"/>
      </w:r>
    </w:p>
    <w:p w:rsidR="005456BD" w:rsidRPr="00555725" w:rsidRDefault="005456BD" w:rsidP="004F372A">
      <w:pPr>
        <w:spacing w:after="0" w:line="240" w:lineRule="auto"/>
      </w:pPr>
    </w:p>
    <w:p w:rsidR="005A3405" w:rsidRPr="00643CC2" w:rsidRDefault="005A3405" w:rsidP="004F372A">
      <w:pPr>
        <w:numPr>
          <w:ilvl w:val="0"/>
          <w:numId w:val="9"/>
        </w:numPr>
        <w:pBdr>
          <w:top w:val="single" w:sz="4" w:space="1" w:color="auto"/>
          <w:left w:val="single" w:sz="4" w:space="4" w:color="auto"/>
          <w:bottom w:val="single" w:sz="4" w:space="1" w:color="auto"/>
          <w:right w:val="single" w:sz="4" w:space="4" w:color="auto"/>
        </w:pBdr>
        <w:shd w:val="clear" w:color="auto" w:fill="DBE5F1" w:themeFill="accent1" w:themeFillTint="33"/>
        <w:spacing w:after="120" w:line="360" w:lineRule="auto"/>
        <w:contextualSpacing/>
        <w:rPr>
          <w:rFonts w:ascii="Verdana" w:hAnsi="Verdana"/>
          <w:b/>
          <w:sz w:val="28"/>
          <w:szCs w:val="28"/>
        </w:rPr>
      </w:pPr>
      <w:r w:rsidRPr="00643CC2">
        <w:rPr>
          <w:rFonts w:ascii="Verdana" w:hAnsi="Verdana"/>
          <w:b/>
          <w:sz w:val="28"/>
          <w:szCs w:val="28"/>
        </w:rPr>
        <w:t>Responsiveness</w:t>
      </w:r>
    </w:p>
    <w:p w:rsidR="004F372A" w:rsidRPr="00643CC2" w:rsidRDefault="004F372A" w:rsidP="005A3405">
      <w:pPr>
        <w:contextualSpacing/>
        <w:rPr>
          <w:rFonts w:ascii="Verdana" w:hAnsi="Verdana"/>
          <w:sz w:val="10"/>
          <w:szCs w:val="10"/>
        </w:rPr>
      </w:pPr>
    </w:p>
    <w:p w:rsidR="004F372A" w:rsidRPr="00546AC7" w:rsidRDefault="004F372A" w:rsidP="00555725">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after="0"/>
        <w:rPr>
          <w:rFonts w:ascii="Verdana" w:hAnsi="Verdana"/>
        </w:rPr>
      </w:pPr>
      <w:r w:rsidRPr="00546AC7">
        <w:rPr>
          <w:rFonts w:ascii="Verdana" w:hAnsi="Verdana"/>
        </w:rPr>
        <w:t xml:space="preserve">To deliver </w:t>
      </w:r>
      <w:proofErr w:type="spellStart"/>
      <w:r w:rsidRPr="00546AC7">
        <w:rPr>
          <w:rFonts w:ascii="Verdana" w:hAnsi="Verdana"/>
        </w:rPr>
        <w:t>SEWPaC’s</w:t>
      </w:r>
      <w:proofErr w:type="spellEnd"/>
      <w:r w:rsidRPr="00546AC7">
        <w:rPr>
          <w:rFonts w:ascii="Verdana" w:hAnsi="Verdana"/>
        </w:rPr>
        <w:t xml:space="preserve"> </w:t>
      </w:r>
      <w:r w:rsidR="00D05BA3" w:rsidRPr="00546AC7">
        <w:rPr>
          <w:rFonts w:ascii="Verdana" w:hAnsi="Verdana"/>
        </w:rPr>
        <w:t xml:space="preserve">and portfolio agencies </w:t>
      </w:r>
      <w:r w:rsidRPr="00546AC7">
        <w:rPr>
          <w:rFonts w:ascii="Verdana" w:hAnsi="Verdana"/>
        </w:rPr>
        <w:t>mission programs, policies and regulations need to be accessible and sensitive to the needs of culturally and linguistically diverse clients and stakeholders.</w:t>
      </w:r>
    </w:p>
    <w:p w:rsidR="005A3405" w:rsidRDefault="005A3405" w:rsidP="00555725">
      <w:pPr>
        <w:spacing w:after="0"/>
        <w:contextualSpacing/>
        <w:rPr>
          <w:rFonts w:ascii="Verdana" w:hAnsi="Verdana"/>
          <w:szCs w:val="24"/>
        </w:rPr>
      </w:pPr>
    </w:p>
    <w:p w:rsidR="00555725" w:rsidRPr="00555725" w:rsidRDefault="00555725" w:rsidP="00555725">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contextualSpacing/>
        <w:rPr>
          <w:rFonts w:ascii="Verdana" w:hAnsi="Verdana"/>
          <w:b/>
          <w:sz w:val="20"/>
          <w:szCs w:val="20"/>
        </w:rPr>
      </w:pPr>
      <w:r w:rsidRPr="00555725">
        <w:rPr>
          <w:rFonts w:ascii="Verdana" w:hAnsi="Verdana"/>
          <w:b/>
          <w:sz w:val="20"/>
          <w:szCs w:val="20"/>
        </w:rPr>
        <w:t>Minimum obligations</w:t>
      </w:r>
    </w:p>
    <w:p w:rsidR="00555725" w:rsidRPr="00643CC2" w:rsidRDefault="00555725" w:rsidP="00555725">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contextualSpacing/>
        <w:rPr>
          <w:rFonts w:ascii="Verdana" w:hAnsi="Verdana"/>
          <w:sz w:val="20"/>
          <w:szCs w:val="20"/>
        </w:rPr>
      </w:pPr>
    </w:p>
    <w:p w:rsidR="00555725" w:rsidRPr="00643CC2" w:rsidRDefault="00555725" w:rsidP="006C419D">
      <w:pPr>
        <w:numPr>
          <w:ilvl w:val="1"/>
          <w:numId w:val="13"/>
        </w:num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line="360" w:lineRule="auto"/>
        <w:ind w:left="709" w:hanging="709"/>
        <w:contextualSpacing/>
        <w:rPr>
          <w:rFonts w:ascii="Verdana" w:hAnsi="Verdana"/>
          <w:sz w:val="20"/>
          <w:szCs w:val="20"/>
        </w:rPr>
      </w:pPr>
      <w:r w:rsidRPr="00643CC2">
        <w:rPr>
          <w:rFonts w:ascii="Verdana" w:hAnsi="Verdana"/>
          <w:b/>
          <w:sz w:val="20"/>
          <w:szCs w:val="20"/>
        </w:rPr>
        <w:t xml:space="preserve">Standards: </w:t>
      </w:r>
      <w:r w:rsidRPr="00643CC2">
        <w:rPr>
          <w:rFonts w:ascii="Verdana" w:hAnsi="Verdana"/>
          <w:sz w:val="20"/>
          <w:szCs w:val="20"/>
        </w:rPr>
        <w:t xml:space="preserve">Any Whole-of-Government standards and guidelines developed by the </w:t>
      </w:r>
      <w:r w:rsidR="00735EC8">
        <w:rPr>
          <w:rFonts w:ascii="Verdana" w:hAnsi="Verdana"/>
          <w:sz w:val="20"/>
          <w:szCs w:val="20"/>
        </w:rPr>
        <w:t>d</w:t>
      </w:r>
      <w:r w:rsidR="00C570F2">
        <w:rPr>
          <w:rFonts w:ascii="Verdana" w:hAnsi="Verdana"/>
          <w:sz w:val="20"/>
          <w:szCs w:val="20"/>
        </w:rPr>
        <w:t>epartment</w:t>
      </w:r>
      <w:r w:rsidR="00280699">
        <w:rPr>
          <w:rFonts w:ascii="Verdana" w:hAnsi="Verdana"/>
          <w:sz w:val="20"/>
          <w:szCs w:val="20"/>
        </w:rPr>
        <w:t xml:space="preserve"> and agencies</w:t>
      </w:r>
      <w:r w:rsidRPr="00643CC2">
        <w:rPr>
          <w:rFonts w:ascii="Verdana" w:hAnsi="Verdana"/>
          <w:sz w:val="20"/>
          <w:szCs w:val="20"/>
        </w:rPr>
        <w:t xml:space="preserve"> or agency must address multicultural access and equity considerations.</w:t>
      </w:r>
    </w:p>
    <w:p w:rsidR="00555725" w:rsidRPr="00643CC2" w:rsidRDefault="00555725" w:rsidP="006C419D">
      <w:pPr>
        <w:numPr>
          <w:ilvl w:val="1"/>
          <w:numId w:val="13"/>
        </w:num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line="360" w:lineRule="auto"/>
        <w:ind w:left="709" w:hanging="709"/>
        <w:contextualSpacing/>
        <w:rPr>
          <w:rFonts w:ascii="Verdana" w:hAnsi="Verdana"/>
          <w:sz w:val="20"/>
          <w:szCs w:val="20"/>
        </w:rPr>
      </w:pPr>
      <w:r w:rsidRPr="00643CC2">
        <w:rPr>
          <w:rFonts w:ascii="Verdana" w:hAnsi="Verdana"/>
          <w:b/>
          <w:sz w:val="20"/>
          <w:szCs w:val="20"/>
        </w:rPr>
        <w:t xml:space="preserve">Policy, program and service delivery: </w:t>
      </w:r>
      <w:r w:rsidRPr="00643CC2">
        <w:rPr>
          <w:rFonts w:ascii="Verdana" w:hAnsi="Verdana"/>
          <w:sz w:val="20"/>
          <w:szCs w:val="20"/>
        </w:rPr>
        <w:t>Provision to ensure that policies, programs, community interactions and service delivery (whether in-house or outsourced) are effective for culturally and linguistically diverse communities</w:t>
      </w:r>
    </w:p>
    <w:p w:rsidR="00555725" w:rsidRPr="00643CC2" w:rsidRDefault="00555725" w:rsidP="006C419D">
      <w:pPr>
        <w:numPr>
          <w:ilvl w:val="1"/>
          <w:numId w:val="13"/>
        </w:num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pacing w:before="60" w:after="60" w:line="360" w:lineRule="auto"/>
        <w:ind w:left="709" w:hanging="709"/>
        <w:contextualSpacing/>
        <w:rPr>
          <w:rFonts w:ascii="Verdana" w:hAnsi="Verdana"/>
          <w:sz w:val="20"/>
          <w:szCs w:val="20"/>
        </w:rPr>
      </w:pPr>
      <w:r w:rsidRPr="00643CC2">
        <w:rPr>
          <w:rFonts w:ascii="Verdana" w:hAnsi="Verdana"/>
          <w:b/>
          <w:sz w:val="20"/>
          <w:szCs w:val="20"/>
        </w:rPr>
        <w:t>Outsourced services:</w:t>
      </w:r>
      <w:r w:rsidRPr="00643CC2">
        <w:rPr>
          <w:rFonts w:ascii="Verdana" w:hAnsi="Verdana"/>
          <w:sz w:val="20"/>
          <w:szCs w:val="20"/>
        </w:rPr>
        <w:t xml:space="preserve"> Where relevant, provision for incorporation of multicultural access and equity requirements into contracts, grant agreements and related guidance material of which the </w:t>
      </w:r>
      <w:r w:rsidR="00DB39F1">
        <w:rPr>
          <w:rFonts w:ascii="Verdana" w:hAnsi="Verdana"/>
          <w:sz w:val="20"/>
          <w:szCs w:val="20"/>
        </w:rPr>
        <w:t>d</w:t>
      </w:r>
      <w:r w:rsidR="00C570F2">
        <w:rPr>
          <w:rFonts w:ascii="Verdana" w:hAnsi="Verdana"/>
          <w:sz w:val="20"/>
          <w:szCs w:val="20"/>
        </w:rPr>
        <w:t>epartment</w:t>
      </w:r>
      <w:r w:rsidR="00280699">
        <w:rPr>
          <w:rFonts w:ascii="Verdana" w:hAnsi="Verdana"/>
          <w:sz w:val="20"/>
          <w:szCs w:val="20"/>
        </w:rPr>
        <w:t xml:space="preserve"> </w:t>
      </w:r>
      <w:r w:rsidRPr="00643CC2">
        <w:rPr>
          <w:rFonts w:ascii="Verdana" w:hAnsi="Verdana"/>
          <w:sz w:val="20"/>
          <w:szCs w:val="20"/>
        </w:rPr>
        <w:t>or agency has carriage.</w:t>
      </w:r>
    </w:p>
    <w:p w:rsidR="00555725" w:rsidRPr="00643CC2" w:rsidRDefault="00555725" w:rsidP="004F372A">
      <w:pPr>
        <w:contextualSpacing/>
        <w:rPr>
          <w:rFonts w:ascii="Verdana" w:hAnsi="Verdana"/>
          <w:szCs w:val="24"/>
        </w:rPr>
      </w:pPr>
    </w:p>
    <w:tbl>
      <w:tblPr>
        <w:tblStyle w:val="TableGrid1"/>
        <w:tblW w:w="14283" w:type="dxa"/>
        <w:tblLook w:val="04A0"/>
      </w:tblPr>
      <w:tblGrid>
        <w:gridCol w:w="1809"/>
        <w:gridCol w:w="3828"/>
        <w:gridCol w:w="2976"/>
        <w:gridCol w:w="1560"/>
        <w:gridCol w:w="4110"/>
      </w:tblGrid>
      <w:tr w:rsidR="00FF7698" w:rsidRPr="00643CC2" w:rsidTr="00066C8D">
        <w:tc>
          <w:tcPr>
            <w:tcW w:w="1809" w:type="dxa"/>
            <w:tcBorders>
              <w:top w:val="nil"/>
              <w:left w:val="nil"/>
            </w:tcBorders>
          </w:tcPr>
          <w:p w:rsidR="005A3405" w:rsidRPr="00643CC2" w:rsidRDefault="005A3405" w:rsidP="005A3405">
            <w:pPr>
              <w:rPr>
                <w:rFonts w:ascii="Verdana" w:hAnsi="Verdana"/>
                <w:i/>
                <w:sz w:val="20"/>
                <w:szCs w:val="20"/>
              </w:rPr>
            </w:pPr>
          </w:p>
        </w:tc>
        <w:tc>
          <w:tcPr>
            <w:tcW w:w="3828" w:type="dxa"/>
            <w:shd w:val="clear" w:color="auto" w:fill="DBE5F1" w:themeFill="accent1" w:themeFillTint="33"/>
            <w:vAlign w:val="center"/>
          </w:tcPr>
          <w:p w:rsidR="005A3405" w:rsidRPr="00643CC2" w:rsidRDefault="005A3405" w:rsidP="009315AF">
            <w:pPr>
              <w:spacing w:before="60" w:after="60"/>
              <w:jc w:val="center"/>
              <w:rPr>
                <w:rFonts w:ascii="Verdana" w:hAnsi="Verdana"/>
                <w:b/>
                <w:i/>
                <w:szCs w:val="20"/>
              </w:rPr>
            </w:pPr>
            <w:r w:rsidRPr="00643CC2">
              <w:rPr>
                <w:rFonts w:ascii="Verdana" w:hAnsi="Verdana"/>
                <w:b/>
                <w:i/>
                <w:szCs w:val="20"/>
              </w:rPr>
              <w:t>Action</w:t>
            </w:r>
          </w:p>
        </w:tc>
        <w:tc>
          <w:tcPr>
            <w:tcW w:w="2976" w:type="dxa"/>
            <w:shd w:val="clear" w:color="auto" w:fill="DBE5F1" w:themeFill="accent1" w:themeFillTint="33"/>
            <w:vAlign w:val="center"/>
          </w:tcPr>
          <w:p w:rsidR="005A3405" w:rsidRPr="00643CC2" w:rsidRDefault="005A3405" w:rsidP="009315AF">
            <w:pPr>
              <w:spacing w:before="60" w:after="60"/>
              <w:jc w:val="center"/>
              <w:rPr>
                <w:rFonts w:ascii="Verdana" w:hAnsi="Verdana"/>
                <w:b/>
                <w:i/>
                <w:szCs w:val="20"/>
              </w:rPr>
            </w:pPr>
            <w:r w:rsidRPr="00643CC2">
              <w:rPr>
                <w:rFonts w:ascii="Verdana" w:hAnsi="Verdana"/>
                <w:b/>
                <w:i/>
                <w:szCs w:val="20"/>
              </w:rPr>
              <w:t>Responsibility</w:t>
            </w:r>
          </w:p>
        </w:tc>
        <w:tc>
          <w:tcPr>
            <w:tcW w:w="1560" w:type="dxa"/>
            <w:shd w:val="clear" w:color="auto" w:fill="DBE5F1" w:themeFill="accent1" w:themeFillTint="33"/>
            <w:vAlign w:val="center"/>
          </w:tcPr>
          <w:p w:rsidR="005A3405" w:rsidRPr="00643CC2" w:rsidRDefault="005A3405" w:rsidP="009315AF">
            <w:pPr>
              <w:spacing w:before="60" w:after="60"/>
              <w:jc w:val="center"/>
              <w:rPr>
                <w:rFonts w:ascii="Verdana" w:hAnsi="Verdana"/>
                <w:b/>
                <w:i/>
                <w:szCs w:val="20"/>
              </w:rPr>
            </w:pPr>
            <w:r w:rsidRPr="00643CC2">
              <w:rPr>
                <w:rFonts w:ascii="Verdana" w:hAnsi="Verdana"/>
                <w:b/>
                <w:i/>
                <w:szCs w:val="20"/>
              </w:rPr>
              <w:t>Timeline</w:t>
            </w:r>
          </w:p>
        </w:tc>
        <w:tc>
          <w:tcPr>
            <w:tcW w:w="4110" w:type="dxa"/>
            <w:shd w:val="clear" w:color="auto" w:fill="DBE5F1" w:themeFill="accent1" w:themeFillTint="33"/>
            <w:vAlign w:val="center"/>
          </w:tcPr>
          <w:p w:rsidR="005A3405" w:rsidRPr="00643CC2" w:rsidRDefault="005A3405" w:rsidP="009315AF">
            <w:pPr>
              <w:spacing w:before="60" w:after="60"/>
              <w:jc w:val="center"/>
              <w:rPr>
                <w:rFonts w:ascii="Verdana" w:hAnsi="Verdana"/>
                <w:b/>
                <w:i/>
                <w:szCs w:val="20"/>
              </w:rPr>
            </w:pPr>
            <w:r w:rsidRPr="00643CC2">
              <w:rPr>
                <w:rFonts w:ascii="Verdana" w:hAnsi="Verdana"/>
                <w:b/>
                <w:i/>
                <w:szCs w:val="20"/>
              </w:rPr>
              <w:t>Target</w:t>
            </w:r>
          </w:p>
        </w:tc>
      </w:tr>
      <w:tr w:rsidR="00FF7698" w:rsidRPr="00643CC2" w:rsidTr="008257FD">
        <w:tc>
          <w:tcPr>
            <w:tcW w:w="1809" w:type="dxa"/>
          </w:tcPr>
          <w:p w:rsidR="00601802" w:rsidRPr="00643CC2" w:rsidRDefault="005A3405" w:rsidP="004F372A">
            <w:pPr>
              <w:rPr>
                <w:rFonts w:ascii="Verdana" w:hAnsi="Verdana"/>
                <w:b/>
                <w:i/>
              </w:rPr>
            </w:pPr>
            <w:r w:rsidRPr="00643CC2">
              <w:rPr>
                <w:rFonts w:ascii="Verdana" w:hAnsi="Verdana"/>
                <w:b/>
              </w:rPr>
              <w:t>5.1</w:t>
            </w:r>
            <w:r w:rsidR="00601802" w:rsidRPr="00643CC2">
              <w:rPr>
                <w:rFonts w:ascii="Verdana" w:hAnsi="Verdana"/>
                <w:b/>
              </w:rPr>
              <w:t xml:space="preserve"> Standards</w:t>
            </w:r>
          </w:p>
          <w:p w:rsidR="005A3405" w:rsidRPr="00643CC2" w:rsidRDefault="005A3405" w:rsidP="004F372A">
            <w:pPr>
              <w:rPr>
                <w:rFonts w:ascii="Verdana" w:hAnsi="Verdana"/>
                <w:b/>
              </w:rPr>
            </w:pPr>
          </w:p>
        </w:tc>
        <w:tc>
          <w:tcPr>
            <w:tcW w:w="3828" w:type="dxa"/>
            <w:vAlign w:val="center"/>
          </w:tcPr>
          <w:p w:rsidR="002C0FB8" w:rsidRPr="00643CC2" w:rsidRDefault="002C0FB8" w:rsidP="008257FD">
            <w:pPr>
              <w:spacing w:before="60" w:after="60"/>
              <w:ind w:left="34" w:hanging="52"/>
              <w:rPr>
                <w:rFonts w:ascii="Verdana" w:hAnsi="Verdana"/>
                <w:sz w:val="20"/>
                <w:szCs w:val="24"/>
              </w:rPr>
            </w:pPr>
            <w:r w:rsidRPr="00643CC2">
              <w:rPr>
                <w:rFonts w:ascii="Verdana" w:hAnsi="Verdana"/>
                <w:sz w:val="20"/>
                <w:szCs w:val="24"/>
              </w:rPr>
              <w:t>5.1.1 Ensure that W</w:t>
            </w:r>
            <w:r w:rsidR="0063378A" w:rsidRPr="00643CC2">
              <w:rPr>
                <w:rFonts w:ascii="Verdana" w:hAnsi="Verdana"/>
                <w:sz w:val="20"/>
                <w:szCs w:val="24"/>
              </w:rPr>
              <w:t>hole</w:t>
            </w:r>
            <w:r w:rsidRPr="00643CC2">
              <w:rPr>
                <w:rFonts w:ascii="Verdana" w:hAnsi="Verdana"/>
                <w:sz w:val="20"/>
                <w:szCs w:val="24"/>
              </w:rPr>
              <w:t>-</w:t>
            </w:r>
            <w:r w:rsidR="0063378A" w:rsidRPr="00643CC2">
              <w:rPr>
                <w:rFonts w:ascii="Verdana" w:hAnsi="Verdana"/>
                <w:sz w:val="20"/>
                <w:szCs w:val="24"/>
              </w:rPr>
              <w:t>of</w:t>
            </w:r>
            <w:r w:rsidRPr="00643CC2">
              <w:rPr>
                <w:rFonts w:ascii="Verdana" w:hAnsi="Verdana"/>
                <w:sz w:val="20"/>
                <w:szCs w:val="24"/>
              </w:rPr>
              <w:t>-G</w:t>
            </w:r>
            <w:r w:rsidR="0063378A" w:rsidRPr="00643CC2">
              <w:rPr>
                <w:rFonts w:ascii="Verdana" w:hAnsi="Verdana"/>
                <w:sz w:val="20"/>
                <w:szCs w:val="24"/>
              </w:rPr>
              <w:t xml:space="preserve">overnment guidelines and standards managed by the </w:t>
            </w:r>
            <w:r w:rsidR="00C570F2">
              <w:rPr>
                <w:rFonts w:ascii="Verdana" w:hAnsi="Verdana"/>
                <w:sz w:val="20"/>
                <w:szCs w:val="24"/>
              </w:rPr>
              <w:t>Department</w:t>
            </w:r>
            <w:r w:rsidR="00280699">
              <w:rPr>
                <w:rFonts w:ascii="Verdana" w:hAnsi="Verdana"/>
                <w:sz w:val="20"/>
                <w:szCs w:val="24"/>
              </w:rPr>
              <w:t xml:space="preserve"> </w:t>
            </w:r>
            <w:r w:rsidR="0063378A" w:rsidRPr="00643CC2">
              <w:rPr>
                <w:rFonts w:ascii="Verdana" w:hAnsi="Verdana"/>
                <w:sz w:val="20"/>
                <w:szCs w:val="24"/>
              </w:rPr>
              <w:t>and its agencies consider multicultural access and equity.</w:t>
            </w:r>
          </w:p>
        </w:tc>
        <w:tc>
          <w:tcPr>
            <w:tcW w:w="2976" w:type="dxa"/>
          </w:tcPr>
          <w:p w:rsidR="005A3405" w:rsidRPr="00643CC2" w:rsidRDefault="0063378A" w:rsidP="002A7A62">
            <w:pPr>
              <w:spacing w:before="60" w:after="60"/>
              <w:rPr>
                <w:rFonts w:ascii="Verdana" w:hAnsi="Verdana"/>
                <w:i/>
                <w:sz w:val="20"/>
                <w:szCs w:val="20"/>
              </w:rPr>
            </w:pPr>
            <w:r w:rsidRPr="00643CC2">
              <w:rPr>
                <w:rFonts w:ascii="Verdana" w:hAnsi="Verdana"/>
                <w:sz w:val="20"/>
                <w:szCs w:val="24"/>
              </w:rPr>
              <w:t xml:space="preserve">First Assistant Secretary Policy and </w:t>
            </w:r>
            <w:r w:rsidR="002A7A62">
              <w:rPr>
                <w:rFonts w:ascii="Verdana" w:hAnsi="Verdana"/>
                <w:sz w:val="20"/>
                <w:szCs w:val="24"/>
              </w:rPr>
              <w:t>C</w:t>
            </w:r>
            <w:r w:rsidRPr="00643CC2">
              <w:rPr>
                <w:rFonts w:ascii="Verdana" w:hAnsi="Verdana"/>
                <w:sz w:val="20"/>
                <w:szCs w:val="24"/>
              </w:rPr>
              <w:t>ommunications</w:t>
            </w:r>
          </w:p>
        </w:tc>
        <w:tc>
          <w:tcPr>
            <w:tcW w:w="1560" w:type="dxa"/>
          </w:tcPr>
          <w:p w:rsidR="005A3405" w:rsidRPr="00643CC2" w:rsidRDefault="00EB13B0" w:rsidP="008257FD">
            <w:pPr>
              <w:spacing w:before="60" w:after="60"/>
              <w:rPr>
                <w:rFonts w:ascii="Verdana" w:hAnsi="Verdana"/>
                <w:i/>
                <w:sz w:val="20"/>
                <w:szCs w:val="20"/>
              </w:rPr>
            </w:pPr>
            <w:r w:rsidRPr="00643CC2">
              <w:rPr>
                <w:rFonts w:ascii="Verdana" w:hAnsi="Verdana"/>
                <w:sz w:val="20"/>
                <w:szCs w:val="24"/>
              </w:rPr>
              <w:t>June 2015</w:t>
            </w:r>
          </w:p>
        </w:tc>
        <w:tc>
          <w:tcPr>
            <w:tcW w:w="4110" w:type="dxa"/>
          </w:tcPr>
          <w:p w:rsidR="005A3405" w:rsidRPr="00643CC2" w:rsidRDefault="0063378A" w:rsidP="008257FD">
            <w:pPr>
              <w:spacing w:before="60" w:after="60"/>
              <w:rPr>
                <w:rFonts w:ascii="Verdana" w:hAnsi="Verdana"/>
                <w:i/>
                <w:sz w:val="20"/>
                <w:szCs w:val="20"/>
              </w:rPr>
            </w:pPr>
            <w:r w:rsidRPr="00643CC2">
              <w:rPr>
                <w:rFonts w:ascii="Verdana" w:hAnsi="Verdana"/>
                <w:sz w:val="20"/>
                <w:szCs w:val="24"/>
              </w:rPr>
              <w:t>Updated guidelines and standards available</w:t>
            </w:r>
            <w:r w:rsidR="002C0FB8" w:rsidRPr="00643CC2">
              <w:rPr>
                <w:rFonts w:ascii="Verdana" w:hAnsi="Verdana"/>
                <w:sz w:val="20"/>
                <w:szCs w:val="24"/>
              </w:rPr>
              <w:t>.</w:t>
            </w:r>
          </w:p>
        </w:tc>
      </w:tr>
    </w:tbl>
    <w:p w:rsidR="00555725" w:rsidRDefault="00555725">
      <w:r>
        <w:br w:type="page"/>
      </w:r>
    </w:p>
    <w:tbl>
      <w:tblPr>
        <w:tblStyle w:val="TableGrid1"/>
        <w:tblW w:w="14400" w:type="dxa"/>
        <w:tblLook w:val="04A0"/>
      </w:tblPr>
      <w:tblGrid>
        <w:gridCol w:w="1809"/>
        <w:gridCol w:w="3828"/>
        <w:gridCol w:w="2976"/>
        <w:gridCol w:w="1560"/>
        <w:gridCol w:w="4227"/>
      </w:tblGrid>
      <w:tr w:rsidR="00555725" w:rsidRPr="00643CC2" w:rsidTr="00EA7AFF">
        <w:tc>
          <w:tcPr>
            <w:tcW w:w="1809" w:type="dxa"/>
            <w:tcBorders>
              <w:top w:val="nil"/>
              <w:left w:val="nil"/>
            </w:tcBorders>
          </w:tcPr>
          <w:p w:rsidR="00555725" w:rsidRPr="00643CC2" w:rsidRDefault="00555725" w:rsidP="00A611C8">
            <w:pPr>
              <w:rPr>
                <w:rFonts w:ascii="Verdana" w:hAnsi="Verdana"/>
                <w:i/>
                <w:sz w:val="20"/>
                <w:szCs w:val="20"/>
              </w:rPr>
            </w:pPr>
          </w:p>
        </w:tc>
        <w:tc>
          <w:tcPr>
            <w:tcW w:w="3828" w:type="dxa"/>
            <w:shd w:val="clear" w:color="auto" w:fill="DBE5F1" w:themeFill="accent1" w:themeFillTint="33"/>
            <w:vAlign w:val="center"/>
          </w:tcPr>
          <w:p w:rsidR="00555725" w:rsidRPr="00643CC2" w:rsidRDefault="00555725" w:rsidP="00A611C8">
            <w:pPr>
              <w:spacing w:before="60" w:after="60"/>
              <w:jc w:val="center"/>
              <w:rPr>
                <w:rFonts w:ascii="Verdana" w:hAnsi="Verdana"/>
                <w:b/>
                <w:i/>
                <w:szCs w:val="20"/>
              </w:rPr>
            </w:pPr>
            <w:r w:rsidRPr="00643CC2">
              <w:rPr>
                <w:rFonts w:ascii="Verdana" w:hAnsi="Verdana"/>
                <w:b/>
                <w:i/>
                <w:szCs w:val="20"/>
              </w:rPr>
              <w:t>Action</w:t>
            </w:r>
          </w:p>
        </w:tc>
        <w:tc>
          <w:tcPr>
            <w:tcW w:w="2976" w:type="dxa"/>
            <w:shd w:val="clear" w:color="auto" w:fill="DBE5F1" w:themeFill="accent1" w:themeFillTint="33"/>
            <w:vAlign w:val="center"/>
          </w:tcPr>
          <w:p w:rsidR="00555725" w:rsidRPr="00643CC2" w:rsidRDefault="00555725" w:rsidP="00A611C8">
            <w:pPr>
              <w:spacing w:before="60" w:after="60"/>
              <w:jc w:val="center"/>
              <w:rPr>
                <w:rFonts w:ascii="Verdana" w:hAnsi="Verdana"/>
                <w:b/>
                <w:i/>
                <w:szCs w:val="20"/>
              </w:rPr>
            </w:pPr>
            <w:r w:rsidRPr="00643CC2">
              <w:rPr>
                <w:rFonts w:ascii="Verdana" w:hAnsi="Verdana"/>
                <w:b/>
                <w:i/>
                <w:szCs w:val="20"/>
              </w:rPr>
              <w:t>Responsibility</w:t>
            </w:r>
          </w:p>
        </w:tc>
        <w:tc>
          <w:tcPr>
            <w:tcW w:w="1560" w:type="dxa"/>
            <w:shd w:val="clear" w:color="auto" w:fill="DBE5F1" w:themeFill="accent1" w:themeFillTint="33"/>
            <w:vAlign w:val="center"/>
          </w:tcPr>
          <w:p w:rsidR="00555725" w:rsidRPr="00643CC2" w:rsidRDefault="00555725" w:rsidP="00A611C8">
            <w:pPr>
              <w:spacing w:before="60" w:after="60"/>
              <w:jc w:val="center"/>
              <w:rPr>
                <w:rFonts w:ascii="Verdana" w:hAnsi="Verdana"/>
                <w:b/>
                <w:i/>
                <w:szCs w:val="20"/>
              </w:rPr>
            </w:pPr>
            <w:r w:rsidRPr="00643CC2">
              <w:rPr>
                <w:rFonts w:ascii="Verdana" w:hAnsi="Verdana"/>
                <w:b/>
                <w:i/>
                <w:szCs w:val="20"/>
              </w:rPr>
              <w:t>Timeline</w:t>
            </w:r>
          </w:p>
        </w:tc>
        <w:tc>
          <w:tcPr>
            <w:tcW w:w="4227" w:type="dxa"/>
            <w:shd w:val="clear" w:color="auto" w:fill="DBE5F1" w:themeFill="accent1" w:themeFillTint="33"/>
            <w:vAlign w:val="center"/>
          </w:tcPr>
          <w:p w:rsidR="00555725" w:rsidRPr="00643CC2" w:rsidRDefault="00555725" w:rsidP="00A611C8">
            <w:pPr>
              <w:spacing w:before="60" w:after="60"/>
              <w:jc w:val="center"/>
              <w:rPr>
                <w:rFonts w:ascii="Verdana" w:hAnsi="Verdana"/>
                <w:b/>
                <w:i/>
                <w:szCs w:val="20"/>
              </w:rPr>
            </w:pPr>
            <w:r w:rsidRPr="00643CC2">
              <w:rPr>
                <w:rFonts w:ascii="Verdana" w:hAnsi="Verdana"/>
                <w:b/>
                <w:i/>
                <w:szCs w:val="20"/>
              </w:rPr>
              <w:t>Target</w:t>
            </w:r>
          </w:p>
        </w:tc>
      </w:tr>
      <w:tr w:rsidR="00555725" w:rsidRPr="00643CC2" w:rsidTr="00EA7AFF">
        <w:tc>
          <w:tcPr>
            <w:tcW w:w="1809" w:type="dxa"/>
            <w:vMerge w:val="restart"/>
          </w:tcPr>
          <w:p w:rsidR="00555725" w:rsidRPr="00643CC2" w:rsidRDefault="00555725" w:rsidP="004F372A">
            <w:pPr>
              <w:spacing w:after="0"/>
              <w:rPr>
                <w:rFonts w:ascii="Verdana" w:hAnsi="Verdana"/>
                <w:b/>
              </w:rPr>
            </w:pPr>
            <w:r w:rsidRPr="00643CC2">
              <w:rPr>
                <w:rFonts w:ascii="Verdana" w:hAnsi="Verdana"/>
                <w:b/>
              </w:rPr>
              <w:t xml:space="preserve">5.2 </w:t>
            </w:r>
          </w:p>
          <w:p w:rsidR="00555725" w:rsidRPr="00643CC2" w:rsidRDefault="00555725" w:rsidP="004F372A">
            <w:pPr>
              <w:spacing w:after="0"/>
              <w:rPr>
                <w:rFonts w:ascii="Verdana" w:hAnsi="Verdana"/>
                <w:b/>
                <w:i/>
              </w:rPr>
            </w:pPr>
            <w:r w:rsidRPr="00643CC2">
              <w:rPr>
                <w:rFonts w:ascii="Verdana" w:hAnsi="Verdana"/>
                <w:b/>
              </w:rPr>
              <w:t>Policy, program and service delivery</w:t>
            </w:r>
          </w:p>
          <w:p w:rsidR="00555725" w:rsidRPr="00643CC2" w:rsidRDefault="00555725" w:rsidP="004F372A">
            <w:pPr>
              <w:rPr>
                <w:rFonts w:ascii="Verdana" w:hAnsi="Verdana"/>
                <w:b/>
              </w:rPr>
            </w:pPr>
          </w:p>
        </w:tc>
        <w:tc>
          <w:tcPr>
            <w:tcW w:w="3828" w:type="dxa"/>
            <w:vAlign w:val="center"/>
          </w:tcPr>
          <w:p w:rsidR="00555725" w:rsidRPr="00643CC2" w:rsidRDefault="00555725" w:rsidP="004F372A">
            <w:pPr>
              <w:spacing w:before="60" w:after="60"/>
              <w:ind w:left="34" w:firstLine="18"/>
              <w:rPr>
                <w:rFonts w:ascii="Verdana" w:hAnsi="Verdana"/>
                <w:sz w:val="20"/>
                <w:szCs w:val="24"/>
              </w:rPr>
            </w:pPr>
            <w:r w:rsidRPr="00643CC2">
              <w:rPr>
                <w:rFonts w:ascii="Verdana" w:hAnsi="Verdana"/>
                <w:sz w:val="20"/>
                <w:szCs w:val="24"/>
              </w:rPr>
              <w:t>5.2.1 Establish a process to determine whether existing policies, programs and community interactions are sufficiently accessible to cultural and linguistically diverse stakeholders and clients.</w:t>
            </w:r>
          </w:p>
        </w:tc>
        <w:tc>
          <w:tcPr>
            <w:tcW w:w="2976" w:type="dxa"/>
          </w:tcPr>
          <w:p w:rsidR="00555725" w:rsidRPr="00643CC2" w:rsidRDefault="00555725" w:rsidP="002A7A62">
            <w:pPr>
              <w:spacing w:before="60" w:after="60"/>
              <w:rPr>
                <w:rFonts w:ascii="Verdana" w:hAnsi="Verdana"/>
                <w:sz w:val="20"/>
                <w:szCs w:val="24"/>
              </w:rPr>
            </w:pPr>
            <w:r w:rsidRPr="00643CC2">
              <w:rPr>
                <w:rFonts w:ascii="Verdana" w:hAnsi="Verdana"/>
                <w:sz w:val="20"/>
                <w:szCs w:val="24"/>
              </w:rPr>
              <w:t>First Assistant Secre</w:t>
            </w:r>
            <w:r w:rsidR="00A23395">
              <w:rPr>
                <w:rFonts w:ascii="Verdana" w:hAnsi="Verdana"/>
                <w:sz w:val="20"/>
                <w:szCs w:val="24"/>
              </w:rPr>
              <w:t>tary Policy and Communications</w:t>
            </w:r>
          </w:p>
        </w:tc>
        <w:tc>
          <w:tcPr>
            <w:tcW w:w="1560" w:type="dxa"/>
          </w:tcPr>
          <w:p w:rsidR="00555725" w:rsidRPr="00643CC2" w:rsidRDefault="00555725" w:rsidP="002A7A62">
            <w:pPr>
              <w:spacing w:before="60" w:after="60"/>
              <w:rPr>
                <w:rFonts w:ascii="Verdana" w:hAnsi="Verdana"/>
                <w:sz w:val="20"/>
                <w:szCs w:val="24"/>
              </w:rPr>
            </w:pPr>
            <w:r w:rsidRPr="00643CC2">
              <w:rPr>
                <w:rFonts w:ascii="Verdana" w:hAnsi="Verdana"/>
                <w:sz w:val="20"/>
                <w:szCs w:val="24"/>
              </w:rPr>
              <w:t>June 2014</w:t>
            </w:r>
          </w:p>
        </w:tc>
        <w:tc>
          <w:tcPr>
            <w:tcW w:w="4227" w:type="dxa"/>
          </w:tcPr>
          <w:p w:rsidR="00555725" w:rsidRPr="00643CC2" w:rsidRDefault="00555725" w:rsidP="002A7A62">
            <w:pPr>
              <w:spacing w:before="60" w:after="60"/>
              <w:rPr>
                <w:rFonts w:ascii="Verdana" w:hAnsi="Verdana"/>
                <w:sz w:val="20"/>
                <w:szCs w:val="24"/>
              </w:rPr>
            </w:pPr>
            <w:r w:rsidRPr="00643CC2">
              <w:rPr>
                <w:rFonts w:ascii="Verdana" w:hAnsi="Verdana"/>
                <w:sz w:val="20"/>
                <w:szCs w:val="24"/>
              </w:rPr>
              <w:t xml:space="preserve">The process is established and communicated to all Division Heads and Heads of Agencies included in </w:t>
            </w:r>
            <w:r w:rsidR="00A23395">
              <w:rPr>
                <w:rFonts w:ascii="Verdana" w:hAnsi="Verdana"/>
                <w:sz w:val="20"/>
                <w:szCs w:val="24"/>
              </w:rPr>
              <w:t>this AMP. (The process at 2.1.2</w:t>
            </w:r>
            <w:r w:rsidRPr="00643CC2">
              <w:rPr>
                <w:rFonts w:ascii="Verdana" w:hAnsi="Verdana"/>
                <w:sz w:val="20"/>
                <w:szCs w:val="24"/>
              </w:rPr>
              <w:t xml:space="preserve"> will contribute to the achievement of this target).</w:t>
            </w:r>
          </w:p>
        </w:tc>
      </w:tr>
      <w:tr w:rsidR="00555725" w:rsidRPr="00643CC2" w:rsidTr="00EA7AFF">
        <w:tc>
          <w:tcPr>
            <w:tcW w:w="1809" w:type="dxa"/>
            <w:vMerge/>
          </w:tcPr>
          <w:p w:rsidR="00555725" w:rsidRPr="00643CC2" w:rsidRDefault="00555725" w:rsidP="00601802">
            <w:pPr>
              <w:rPr>
                <w:rFonts w:ascii="Verdana" w:hAnsi="Verdana"/>
                <w:sz w:val="20"/>
                <w:szCs w:val="20"/>
              </w:rPr>
            </w:pPr>
          </w:p>
        </w:tc>
        <w:tc>
          <w:tcPr>
            <w:tcW w:w="3828" w:type="dxa"/>
          </w:tcPr>
          <w:p w:rsidR="00555725" w:rsidRPr="00643CC2" w:rsidRDefault="00555725" w:rsidP="002A7A62">
            <w:pPr>
              <w:spacing w:before="60" w:after="60"/>
              <w:ind w:left="34" w:hanging="34"/>
              <w:rPr>
                <w:rFonts w:ascii="Verdana" w:hAnsi="Verdana"/>
                <w:sz w:val="20"/>
                <w:szCs w:val="20"/>
              </w:rPr>
            </w:pPr>
            <w:r w:rsidRPr="00643CC2">
              <w:rPr>
                <w:rFonts w:ascii="Verdana" w:hAnsi="Verdana"/>
                <w:sz w:val="20"/>
                <w:szCs w:val="20"/>
              </w:rPr>
              <w:t>5.2.2 Progressively implement any identified improvements to SEWPaC policies, programs and community interactions that are identified (5.2.1).</w:t>
            </w:r>
          </w:p>
        </w:tc>
        <w:tc>
          <w:tcPr>
            <w:tcW w:w="2976" w:type="dxa"/>
          </w:tcPr>
          <w:p w:rsidR="00555725" w:rsidRPr="00643CC2" w:rsidRDefault="00555725" w:rsidP="002A7A62">
            <w:pPr>
              <w:spacing w:before="60" w:after="60"/>
              <w:rPr>
                <w:rFonts w:ascii="Verdana" w:hAnsi="Verdana"/>
                <w:sz w:val="20"/>
                <w:szCs w:val="20"/>
              </w:rPr>
            </w:pPr>
            <w:r w:rsidRPr="00643CC2">
              <w:rPr>
                <w:rFonts w:ascii="Verdana" w:hAnsi="Verdana"/>
                <w:sz w:val="20"/>
                <w:szCs w:val="20"/>
              </w:rPr>
              <w:t xml:space="preserve">First Assistant Secretary Policy and Communications in consultation with all Division Heads and </w:t>
            </w:r>
            <w:r w:rsidR="002A7A62" w:rsidRPr="00643CC2">
              <w:rPr>
                <w:rFonts w:ascii="Verdana" w:hAnsi="Verdana"/>
                <w:sz w:val="20"/>
                <w:szCs w:val="20"/>
              </w:rPr>
              <w:t>Heads of</w:t>
            </w:r>
            <w:r w:rsidRPr="00643CC2">
              <w:rPr>
                <w:rFonts w:ascii="Verdana" w:hAnsi="Verdana"/>
                <w:sz w:val="20"/>
                <w:szCs w:val="20"/>
              </w:rPr>
              <w:t xml:space="preserve"> Agencies included in this AMP.</w:t>
            </w:r>
          </w:p>
        </w:tc>
        <w:tc>
          <w:tcPr>
            <w:tcW w:w="1560" w:type="dxa"/>
          </w:tcPr>
          <w:p w:rsidR="00555725" w:rsidRPr="00643CC2" w:rsidRDefault="00555725" w:rsidP="002A7A62">
            <w:pPr>
              <w:spacing w:before="60" w:after="60"/>
              <w:rPr>
                <w:rFonts w:ascii="Verdana" w:hAnsi="Verdana"/>
                <w:sz w:val="20"/>
                <w:szCs w:val="20"/>
              </w:rPr>
            </w:pPr>
            <w:r w:rsidRPr="00643CC2">
              <w:rPr>
                <w:rFonts w:ascii="Verdana" w:hAnsi="Verdana"/>
                <w:sz w:val="20"/>
                <w:szCs w:val="20"/>
              </w:rPr>
              <w:t>June 2015</w:t>
            </w:r>
          </w:p>
        </w:tc>
        <w:tc>
          <w:tcPr>
            <w:tcW w:w="4227" w:type="dxa"/>
          </w:tcPr>
          <w:p w:rsidR="00555725" w:rsidRPr="00643CC2" w:rsidRDefault="00DB39F1" w:rsidP="002F0B04">
            <w:pPr>
              <w:spacing w:before="60" w:after="60"/>
              <w:rPr>
                <w:rFonts w:ascii="Verdana" w:hAnsi="Verdana"/>
                <w:sz w:val="20"/>
                <w:szCs w:val="20"/>
              </w:rPr>
            </w:pPr>
            <w:r>
              <w:rPr>
                <w:rFonts w:ascii="Verdana" w:hAnsi="Verdana"/>
                <w:sz w:val="20"/>
                <w:szCs w:val="20"/>
              </w:rPr>
              <w:t>Implementation ha</w:t>
            </w:r>
            <w:r w:rsidR="00555725" w:rsidRPr="00643CC2">
              <w:rPr>
                <w:rFonts w:ascii="Verdana" w:hAnsi="Verdana"/>
                <w:sz w:val="20"/>
                <w:szCs w:val="20"/>
              </w:rPr>
              <w:t>s commenced and progress is monitored (see 1.1.</w:t>
            </w:r>
            <w:r w:rsidR="002F0B04">
              <w:rPr>
                <w:rFonts w:ascii="Verdana" w:hAnsi="Verdana"/>
                <w:sz w:val="20"/>
                <w:szCs w:val="20"/>
              </w:rPr>
              <w:t>2</w:t>
            </w:r>
            <w:r w:rsidR="00555725" w:rsidRPr="00643CC2">
              <w:rPr>
                <w:rFonts w:ascii="Verdana" w:hAnsi="Verdana"/>
                <w:sz w:val="20"/>
                <w:szCs w:val="20"/>
              </w:rPr>
              <w:t xml:space="preserve">).  </w:t>
            </w:r>
          </w:p>
        </w:tc>
      </w:tr>
      <w:tr w:rsidR="00FF7698" w:rsidRPr="00643CC2" w:rsidTr="00EA7AFF">
        <w:tc>
          <w:tcPr>
            <w:tcW w:w="1809" w:type="dxa"/>
          </w:tcPr>
          <w:p w:rsidR="00080EC4" w:rsidRPr="00555725" w:rsidRDefault="005A3405" w:rsidP="00080EC4">
            <w:pPr>
              <w:rPr>
                <w:rFonts w:ascii="Verdana" w:hAnsi="Verdana"/>
                <w:b/>
              </w:rPr>
            </w:pPr>
            <w:r w:rsidRPr="00555725">
              <w:rPr>
                <w:rFonts w:ascii="Verdana" w:hAnsi="Verdana"/>
                <w:b/>
              </w:rPr>
              <w:t>5.3</w:t>
            </w:r>
            <w:r w:rsidR="00080EC4" w:rsidRPr="00555725">
              <w:rPr>
                <w:rFonts w:ascii="Verdana" w:hAnsi="Verdana"/>
                <w:b/>
              </w:rPr>
              <w:t xml:space="preserve"> Outsourced services </w:t>
            </w:r>
          </w:p>
          <w:p w:rsidR="005A3405" w:rsidRPr="00643CC2" w:rsidRDefault="005A3405" w:rsidP="005A3405">
            <w:pPr>
              <w:rPr>
                <w:rFonts w:ascii="Verdana" w:hAnsi="Verdana"/>
              </w:rPr>
            </w:pPr>
          </w:p>
        </w:tc>
        <w:tc>
          <w:tcPr>
            <w:tcW w:w="3828" w:type="dxa"/>
          </w:tcPr>
          <w:p w:rsidR="005A3405" w:rsidRPr="00643CC2" w:rsidRDefault="00080EC4" w:rsidP="00DB39F1">
            <w:pPr>
              <w:spacing w:before="60" w:after="60"/>
              <w:ind w:left="34" w:firstLine="18"/>
              <w:rPr>
                <w:rFonts w:ascii="Verdana" w:hAnsi="Verdana"/>
                <w:i/>
                <w:sz w:val="20"/>
                <w:szCs w:val="20"/>
              </w:rPr>
            </w:pPr>
            <w:r w:rsidRPr="00643CC2">
              <w:rPr>
                <w:rFonts w:ascii="Verdana" w:hAnsi="Verdana"/>
                <w:sz w:val="20"/>
                <w:szCs w:val="20"/>
              </w:rPr>
              <w:t xml:space="preserve">5.3.1 Identify opportunities to incorporate multicultural access and equity requirements into relevant grant programs administered by the </w:t>
            </w:r>
            <w:r w:rsidR="00DB39F1">
              <w:rPr>
                <w:rFonts w:ascii="Verdana" w:hAnsi="Verdana"/>
                <w:sz w:val="20"/>
                <w:szCs w:val="20"/>
              </w:rPr>
              <w:t>d</w:t>
            </w:r>
            <w:r w:rsidR="00C570F2">
              <w:rPr>
                <w:rFonts w:ascii="Verdana" w:hAnsi="Verdana"/>
                <w:sz w:val="20"/>
                <w:szCs w:val="20"/>
              </w:rPr>
              <w:t>epartment</w:t>
            </w:r>
            <w:r w:rsidR="00280699">
              <w:rPr>
                <w:rFonts w:ascii="Verdana" w:hAnsi="Verdana"/>
                <w:sz w:val="20"/>
                <w:szCs w:val="20"/>
              </w:rPr>
              <w:t xml:space="preserve"> and agencies</w:t>
            </w:r>
            <w:r w:rsidR="002C0FB8" w:rsidRPr="00643CC2">
              <w:rPr>
                <w:rFonts w:ascii="Verdana" w:hAnsi="Verdana"/>
                <w:sz w:val="20"/>
                <w:szCs w:val="20"/>
              </w:rPr>
              <w:t>.</w:t>
            </w:r>
          </w:p>
        </w:tc>
        <w:tc>
          <w:tcPr>
            <w:tcW w:w="2976" w:type="dxa"/>
          </w:tcPr>
          <w:p w:rsidR="005A3405" w:rsidRPr="00643CC2" w:rsidRDefault="0089328F" w:rsidP="002A7A62">
            <w:pPr>
              <w:spacing w:before="60" w:after="60"/>
              <w:rPr>
                <w:rFonts w:ascii="Verdana" w:hAnsi="Verdana"/>
                <w:i/>
                <w:sz w:val="20"/>
                <w:szCs w:val="20"/>
              </w:rPr>
            </w:pPr>
            <w:r w:rsidRPr="00643CC2">
              <w:rPr>
                <w:rFonts w:ascii="Verdana" w:hAnsi="Verdana"/>
                <w:sz w:val="20"/>
                <w:szCs w:val="20"/>
              </w:rPr>
              <w:t xml:space="preserve">All Division Heads and Heads of Agencies included in this </w:t>
            </w:r>
            <w:r w:rsidR="002A7A62" w:rsidRPr="00643CC2">
              <w:rPr>
                <w:rFonts w:ascii="Verdana" w:hAnsi="Verdana"/>
                <w:sz w:val="20"/>
                <w:szCs w:val="20"/>
              </w:rPr>
              <w:t>AMP</w:t>
            </w:r>
            <w:r w:rsidR="002A7A62" w:rsidRPr="00643CC2">
              <w:rPr>
                <w:rFonts w:ascii="Verdana" w:hAnsi="Verdana"/>
                <w:i/>
                <w:sz w:val="20"/>
                <w:szCs w:val="20"/>
              </w:rPr>
              <w:t>.</w:t>
            </w:r>
          </w:p>
        </w:tc>
        <w:tc>
          <w:tcPr>
            <w:tcW w:w="1560" w:type="dxa"/>
          </w:tcPr>
          <w:p w:rsidR="005A3405" w:rsidRPr="00643CC2" w:rsidRDefault="0089328F" w:rsidP="00590BEB">
            <w:pPr>
              <w:spacing w:before="60" w:after="60"/>
              <w:rPr>
                <w:rFonts w:ascii="Verdana" w:hAnsi="Verdana"/>
                <w:sz w:val="20"/>
                <w:szCs w:val="20"/>
              </w:rPr>
            </w:pPr>
            <w:r w:rsidRPr="00643CC2">
              <w:rPr>
                <w:rFonts w:ascii="Verdana" w:hAnsi="Verdana"/>
                <w:sz w:val="20"/>
                <w:szCs w:val="20"/>
              </w:rPr>
              <w:t>June 2014</w:t>
            </w:r>
          </w:p>
        </w:tc>
        <w:tc>
          <w:tcPr>
            <w:tcW w:w="4227" w:type="dxa"/>
          </w:tcPr>
          <w:p w:rsidR="005A3405" w:rsidRPr="00643CC2" w:rsidRDefault="0089328F" w:rsidP="002A7A62">
            <w:pPr>
              <w:spacing w:before="60" w:after="60"/>
              <w:rPr>
                <w:rFonts w:ascii="Verdana" w:hAnsi="Verdana"/>
                <w:i/>
                <w:sz w:val="20"/>
                <w:szCs w:val="20"/>
              </w:rPr>
            </w:pPr>
            <w:r w:rsidRPr="00643CC2">
              <w:rPr>
                <w:rFonts w:ascii="Verdana" w:hAnsi="Verdana"/>
                <w:sz w:val="20"/>
                <w:szCs w:val="20"/>
              </w:rPr>
              <w:t xml:space="preserve">All relevant grant programs are identified and plans in place to incorporate </w:t>
            </w:r>
            <w:r w:rsidR="00FF7698" w:rsidRPr="00643CC2">
              <w:rPr>
                <w:rFonts w:ascii="Verdana" w:hAnsi="Verdana"/>
                <w:sz w:val="20"/>
                <w:szCs w:val="20"/>
              </w:rPr>
              <w:t xml:space="preserve">improved </w:t>
            </w:r>
            <w:r w:rsidRPr="00643CC2">
              <w:rPr>
                <w:rFonts w:ascii="Verdana" w:hAnsi="Verdana"/>
                <w:sz w:val="20"/>
                <w:szCs w:val="20"/>
              </w:rPr>
              <w:t>multicultural access and equity requirements into any new funding agreement</w:t>
            </w:r>
            <w:r w:rsidR="00FF7698" w:rsidRPr="00643CC2">
              <w:rPr>
                <w:rFonts w:ascii="Verdana" w:hAnsi="Verdana"/>
                <w:sz w:val="20"/>
                <w:szCs w:val="20"/>
              </w:rPr>
              <w:t>s.  This reflects the SEWPaC AMP commitment</w:t>
            </w:r>
            <w:r w:rsidRPr="00643CC2">
              <w:rPr>
                <w:rFonts w:ascii="Verdana" w:hAnsi="Verdana"/>
                <w:sz w:val="20"/>
                <w:szCs w:val="20"/>
              </w:rPr>
              <w:t xml:space="preserve"> to improve multicultural access and equity.</w:t>
            </w:r>
          </w:p>
        </w:tc>
      </w:tr>
    </w:tbl>
    <w:p w:rsidR="005A3405" w:rsidRPr="00643CC2" w:rsidRDefault="005A3405" w:rsidP="005A3405">
      <w:pPr>
        <w:ind w:left="720"/>
        <w:contextualSpacing/>
        <w:rPr>
          <w:rFonts w:ascii="Verdana" w:hAnsi="Verdana"/>
          <w:szCs w:val="24"/>
        </w:rPr>
      </w:pPr>
    </w:p>
    <w:p w:rsidR="005A3405" w:rsidRPr="00643CC2" w:rsidRDefault="005A3405" w:rsidP="005A3405">
      <w:pPr>
        <w:rPr>
          <w:rFonts w:ascii="Verdana" w:hAnsi="Verdana"/>
          <w:i/>
          <w:sz w:val="20"/>
          <w:szCs w:val="20"/>
        </w:rPr>
      </w:pPr>
      <w:r w:rsidRPr="00643CC2">
        <w:rPr>
          <w:rFonts w:ascii="Verdana" w:hAnsi="Verdana"/>
          <w:i/>
          <w:sz w:val="20"/>
          <w:szCs w:val="20"/>
        </w:rPr>
        <w:br w:type="page"/>
      </w:r>
    </w:p>
    <w:p w:rsidR="005A3405" w:rsidRPr="00643CC2" w:rsidRDefault="005A3405" w:rsidP="00643CC2">
      <w:pPr>
        <w:numPr>
          <w:ilvl w:val="0"/>
          <w:numId w:val="9"/>
        </w:num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shd w:val="clear" w:color="auto" w:fill="DBE5F1" w:themeFill="accent1" w:themeFillTint="33"/>
        <w:spacing w:after="120" w:line="360" w:lineRule="auto"/>
        <w:contextualSpacing/>
        <w:rPr>
          <w:rFonts w:ascii="Verdana" w:hAnsi="Verdana"/>
          <w:b/>
          <w:sz w:val="28"/>
          <w:szCs w:val="28"/>
        </w:rPr>
      </w:pPr>
      <w:r w:rsidRPr="00643CC2">
        <w:rPr>
          <w:rFonts w:ascii="Verdana" w:hAnsi="Verdana"/>
          <w:b/>
          <w:sz w:val="28"/>
          <w:szCs w:val="28"/>
        </w:rPr>
        <w:lastRenderedPageBreak/>
        <w:t>Openness</w:t>
      </w:r>
    </w:p>
    <w:p w:rsidR="005A3405" w:rsidRPr="00CD71D4" w:rsidRDefault="005A3405" w:rsidP="00643CC2">
      <w:pPr>
        <w:contextualSpacing/>
        <w:rPr>
          <w:rFonts w:ascii="Verdana" w:hAnsi="Verdana"/>
          <w:sz w:val="10"/>
          <w:szCs w:val="10"/>
        </w:rPr>
      </w:pPr>
    </w:p>
    <w:p w:rsidR="00643CC2" w:rsidRPr="00643CC2" w:rsidRDefault="00643CC2" w:rsidP="00643CC2">
      <w:pPr>
        <w:pBdr>
          <w:top w:val="single" w:sz="18" w:space="1" w:color="365F91" w:themeColor="accent1" w:themeShade="BF"/>
          <w:left w:val="single" w:sz="18" w:space="4" w:color="365F91" w:themeColor="accent1" w:themeShade="BF"/>
          <w:bottom w:val="single" w:sz="18" w:space="1" w:color="365F91" w:themeColor="accent1" w:themeShade="BF"/>
          <w:right w:val="single" w:sz="18" w:space="4" w:color="365F91" w:themeColor="accent1" w:themeShade="BF"/>
        </w:pBdr>
        <w:rPr>
          <w:rFonts w:ascii="Verdana" w:hAnsi="Verdana"/>
          <w:sz w:val="24"/>
          <w:szCs w:val="24"/>
        </w:rPr>
      </w:pPr>
      <w:r w:rsidRPr="00643CC2">
        <w:rPr>
          <w:rFonts w:ascii="Verdana" w:hAnsi="Verdana"/>
          <w:sz w:val="24"/>
          <w:szCs w:val="24"/>
        </w:rPr>
        <w:t xml:space="preserve">Openness about </w:t>
      </w:r>
      <w:proofErr w:type="spellStart"/>
      <w:r w:rsidRPr="00643CC2">
        <w:rPr>
          <w:rFonts w:ascii="Verdana" w:hAnsi="Verdana"/>
          <w:sz w:val="24"/>
          <w:szCs w:val="24"/>
        </w:rPr>
        <w:t>SEWPaC’s</w:t>
      </w:r>
      <w:proofErr w:type="spellEnd"/>
      <w:r w:rsidRPr="00643CC2">
        <w:rPr>
          <w:rFonts w:ascii="Verdana" w:hAnsi="Verdana"/>
          <w:sz w:val="24"/>
          <w:szCs w:val="24"/>
        </w:rPr>
        <w:t xml:space="preserve"> commitment to multicultural access and equity principles through this AMP will promote improved practice and accountability not just in SEWPaC but across agencies, clients and stakeholders.  </w:t>
      </w:r>
    </w:p>
    <w:p w:rsidR="005A3405" w:rsidRPr="006C419D" w:rsidRDefault="005A3405" w:rsidP="006C419D">
      <w:pPr>
        <w:pBdr>
          <w:top w:val="single" w:sz="4" w:space="1" w:color="auto"/>
          <w:left w:val="single" w:sz="4" w:space="4" w:color="auto"/>
          <w:bottom w:val="single" w:sz="4" w:space="1" w:color="auto"/>
          <w:right w:val="single" w:sz="4" w:space="4" w:color="auto"/>
        </w:pBdr>
        <w:spacing w:before="60" w:after="60" w:line="360" w:lineRule="auto"/>
        <w:rPr>
          <w:rFonts w:ascii="Verdana" w:hAnsi="Verdana"/>
          <w:b/>
          <w:sz w:val="20"/>
          <w:szCs w:val="20"/>
        </w:rPr>
      </w:pPr>
      <w:r w:rsidRPr="006C419D">
        <w:rPr>
          <w:rFonts w:ascii="Verdana" w:hAnsi="Verdana"/>
          <w:b/>
          <w:sz w:val="20"/>
          <w:szCs w:val="20"/>
        </w:rPr>
        <w:t>Minimum obligations</w:t>
      </w:r>
    </w:p>
    <w:p w:rsidR="005A3405" w:rsidRPr="00555725" w:rsidRDefault="005A3405" w:rsidP="006C419D">
      <w:pPr>
        <w:numPr>
          <w:ilvl w:val="1"/>
          <w:numId w:val="14"/>
        </w:numPr>
        <w:pBdr>
          <w:top w:val="single" w:sz="4" w:space="1" w:color="auto"/>
          <w:left w:val="single" w:sz="4" w:space="4" w:color="auto"/>
          <w:bottom w:val="single" w:sz="4" w:space="1" w:color="auto"/>
          <w:right w:val="single" w:sz="4" w:space="4" w:color="auto"/>
        </w:pBdr>
        <w:spacing w:before="60" w:after="60" w:line="360" w:lineRule="auto"/>
        <w:ind w:left="567" w:hanging="567"/>
        <w:rPr>
          <w:rFonts w:ascii="Verdana" w:hAnsi="Verdana"/>
          <w:sz w:val="20"/>
          <w:szCs w:val="20"/>
        </w:rPr>
      </w:pPr>
      <w:r w:rsidRPr="00643CC2">
        <w:rPr>
          <w:rFonts w:ascii="Verdana" w:hAnsi="Verdana"/>
          <w:b/>
          <w:sz w:val="20"/>
          <w:szCs w:val="20"/>
        </w:rPr>
        <w:t xml:space="preserve">Publishing: </w:t>
      </w:r>
      <w:r w:rsidR="00280699">
        <w:rPr>
          <w:rFonts w:ascii="Verdana" w:hAnsi="Verdana"/>
          <w:sz w:val="20"/>
          <w:szCs w:val="20"/>
        </w:rPr>
        <w:t xml:space="preserve">Department </w:t>
      </w:r>
      <w:r w:rsidRPr="00555725">
        <w:rPr>
          <w:rFonts w:ascii="Verdana" w:hAnsi="Verdana"/>
          <w:sz w:val="20"/>
          <w:szCs w:val="20"/>
        </w:rPr>
        <w:t xml:space="preserve">or agency to publish AMPs on </w:t>
      </w:r>
      <w:r w:rsidR="00DB39F1">
        <w:rPr>
          <w:rFonts w:ascii="Verdana" w:hAnsi="Verdana"/>
          <w:sz w:val="20"/>
          <w:szCs w:val="20"/>
        </w:rPr>
        <w:t>their</w:t>
      </w:r>
      <w:r w:rsidRPr="00555725">
        <w:rPr>
          <w:rFonts w:ascii="Verdana" w:hAnsi="Verdana"/>
          <w:sz w:val="20"/>
          <w:szCs w:val="20"/>
        </w:rPr>
        <w:t xml:space="preserve"> websites and performance reports against KPIs for culturally and linguistically diverse clients in</w:t>
      </w:r>
      <w:r w:rsidR="002C0FB8" w:rsidRPr="00555725">
        <w:rPr>
          <w:rFonts w:ascii="Verdana" w:hAnsi="Verdana"/>
          <w:sz w:val="20"/>
          <w:szCs w:val="20"/>
        </w:rPr>
        <w:t xml:space="preserve"> the</w:t>
      </w:r>
      <w:r w:rsidRPr="00555725">
        <w:rPr>
          <w:rFonts w:ascii="Verdana" w:hAnsi="Verdana"/>
          <w:sz w:val="20"/>
          <w:szCs w:val="20"/>
        </w:rPr>
        <w:t xml:space="preserve"> </w:t>
      </w:r>
      <w:r w:rsidR="00C570F2">
        <w:rPr>
          <w:rFonts w:ascii="Verdana" w:hAnsi="Verdana"/>
          <w:sz w:val="20"/>
          <w:szCs w:val="20"/>
        </w:rPr>
        <w:t>Department</w:t>
      </w:r>
      <w:r w:rsidR="00280699">
        <w:rPr>
          <w:rFonts w:ascii="Verdana" w:hAnsi="Verdana"/>
          <w:sz w:val="20"/>
          <w:szCs w:val="20"/>
        </w:rPr>
        <w:t xml:space="preserve"> </w:t>
      </w:r>
      <w:r w:rsidRPr="00555725">
        <w:rPr>
          <w:rFonts w:ascii="Verdana" w:hAnsi="Verdana"/>
          <w:sz w:val="20"/>
          <w:szCs w:val="20"/>
        </w:rPr>
        <w:t>or agency annual reports.</w:t>
      </w:r>
      <w:r w:rsidR="008B7352">
        <w:rPr>
          <w:rFonts w:ascii="Verdana" w:hAnsi="Verdana"/>
          <w:sz w:val="20"/>
          <w:szCs w:val="20"/>
        </w:rPr>
        <w:t xml:space="preserve"> </w:t>
      </w:r>
    </w:p>
    <w:p w:rsidR="002240E4" w:rsidRPr="00643CC2" w:rsidRDefault="005A3405" w:rsidP="006C419D">
      <w:pPr>
        <w:numPr>
          <w:ilvl w:val="1"/>
          <w:numId w:val="14"/>
        </w:numPr>
        <w:pBdr>
          <w:top w:val="single" w:sz="4" w:space="1" w:color="auto"/>
          <w:left w:val="single" w:sz="4" w:space="4" w:color="auto"/>
          <w:bottom w:val="single" w:sz="4" w:space="1" w:color="auto"/>
          <w:right w:val="single" w:sz="4" w:space="4" w:color="auto"/>
        </w:pBdr>
        <w:spacing w:before="60" w:after="60" w:line="360" w:lineRule="auto"/>
        <w:ind w:left="567" w:hanging="567"/>
        <w:rPr>
          <w:rFonts w:ascii="Verdana" w:hAnsi="Verdana"/>
          <w:sz w:val="20"/>
          <w:szCs w:val="20"/>
        </w:rPr>
      </w:pPr>
      <w:r w:rsidRPr="00643CC2">
        <w:rPr>
          <w:rFonts w:ascii="Verdana" w:hAnsi="Verdana"/>
          <w:b/>
          <w:sz w:val="20"/>
          <w:szCs w:val="20"/>
        </w:rPr>
        <w:t xml:space="preserve">Data: </w:t>
      </w:r>
      <w:r w:rsidR="00280699">
        <w:rPr>
          <w:rFonts w:ascii="Verdana" w:hAnsi="Verdana"/>
          <w:sz w:val="20"/>
          <w:szCs w:val="20"/>
        </w:rPr>
        <w:t xml:space="preserve">Department </w:t>
      </w:r>
      <w:r w:rsidRPr="00643CC2">
        <w:rPr>
          <w:rFonts w:ascii="Verdana" w:hAnsi="Verdana"/>
          <w:sz w:val="20"/>
          <w:szCs w:val="20"/>
        </w:rPr>
        <w:t>or agency to make culturally and linguistically diverse data available to other agencies and the public.</w:t>
      </w:r>
    </w:p>
    <w:p w:rsidR="005A3405" w:rsidRPr="00CD71D4" w:rsidRDefault="005A3405" w:rsidP="00643CC2">
      <w:pPr>
        <w:contextualSpacing/>
        <w:rPr>
          <w:rFonts w:ascii="Verdana" w:hAnsi="Verdana"/>
          <w:sz w:val="10"/>
          <w:szCs w:val="10"/>
        </w:rPr>
      </w:pPr>
    </w:p>
    <w:tbl>
      <w:tblPr>
        <w:tblStyle w:val="TableGrid1"/>
        <w:tblW w:w="14358" w:type="dxa"/>
        <w:tblLook w:val="04A0"/>
      </w:tblPr>
      <w:tblGrid>
        <w:gridCol w:w="1512"/>
        <w:gridCol w:w="4125"/>
        <w:gridCol w:w="2976"/>
        <w:gridCol w:w="1560"/>
        <w:gridCol w:w="4185"/>
      </w:tblGrid>
      <w:tr w:rsidR="00416E5A" w:rsidRPr="00643CC2" w:rsidTr="000A0621">
        <w:tc>
          <w:tcPr>
            <w:tcW w:w="1512" w:type="dxa"/>
            <w:tcBorders>
              <w:top w:val="nil"/>
              <w:left w:val="nil"/>
            </w:tcBorders>
          </w:tcPr>
          <w:p w:rsidR="005A3405" w:rsidRPr="00643CC2" w:rsidRDefault="005A3405" w:rsidP="00555725">
            <w:pPr>
              <w:rPr>
                <w:rFonts w:ascii="Verdana" w:hAnsi="Verdana"/>
                <w:i/>
                <w:sz w:val="20"/>
                <w:szCs w:val="20"/>
              </w:rPr>
            </w:pPr>
          </w:p>
        </w:tc>
        <w:tc>
          <w:tcPr>
            <w:tcW w:w="4125" w:type="dxa"/>
            <w:shd w:val="clear" w:color="auto" w:fill="DBE5F1" w:themeFill="accent1" w:themeFillTint="33"/>
          </w:tcPr>
          <w:p w:rsidR="005A3405" w:rsidRPr="00643CC2" w:rsidRDefault="005A3405" w:rsidP="00555725">
            <w:pPr>
              <w:spacing w:before="60" w:after="60"/>
              <w:rPr>
                <w:rFonts w:ascii="Verdana" w:hAnsi="Verdana"/>
                <w:b/>
                <w:i/>
                <w:szCs w:val="20"/>
              </w:rPr>
            </w:pPr>
            <w:r w:rsidRPr="00643CC2">
              <w:rPr>
                <w:rFonts w:ascii="Verdana" w:hAnsi="Verdana"/>
                <w:b/>
                <w:i/>
                <w:szCs w:val="20"/>
              </w:rPr>
              <w:t>Action</w:t>
            </w:r>
          </w:p>
        </w:tc>
        <w:tc>
          <w:tcPr>
            <w:tcW w:w="2976" w:type="dxa"/>
            <w:shd w:val="clear" w:color="auto" w:fill="DBE5F1" w:themeFill="accent1" w:themeFillTint="33"/>
          </w:tcPr>
          <w:p w:rsidR="005A3405" w:rsidRPr="00643CC2" w:rsidRDefault="005A3405" w:rsidP="00555725">
            <w:pPr>
              <w:spacing w:before="60" w:after="60"/>
              <w:rPr>
                <w:rFonts w:ascii="Verdana" w:hAnsi="Verdana"/>
                <w:b/>
                <w:i/>
                <w:szCs w:val="20"/>
              </w:rPr>
            </w:pPr>
            <w:r w:rsidRPr="00643CC2">
              <w:rPr>
                <w:rFonts w:ascii="Verdana" w:hAnsi="Verdana"/>
                <w:b/>
                <w:i/>
                <w:szCs w:val="20"/>
              </w:rPr>
              <w:t>Responsibility</w:t>
            </w:r>
          </w:p>
        </w:tc>
        <w:tc>
          <w:tcPr>
            <w:tcW w:w="1560" w:type="dxa"/>
            <w:shd w:val="clear" w:color="auto" w:fill="DBE5F1" w:themeFill="accent1" w:themeFillTint="33"/>
          </w:tcPr>
          <w:p w:rsidR="005A3405" w:rsidRPr="00643CC2" w:rsidRDefault="005A3405" w:rsidP="00555725">
            <w:pPr>
              <w:spacing w:before="60" w:after="60"/>
              <w:rPr>
                <w:rFonts w:ascii="Verdana" w:hAnsi="Verdana"/>
                <w:b/>
                <w:i/>
                <w:szCs w:val="20"/>
              </w:rPr>
            </w:pPr>
            <w:r w:rsidRPr="00643CC2">
              <w:rPr>
                <w:rFonts w:ascii="Verdana" w:hAnsi="Verdana"/>
                <w:b/>
                <w:i/>
                <w:szCs w:val="20"/>
              </w:rPr>
              <w:t>Timeline</w:t>
            </w:r>
          </w:p>
        </w:tc>
        <w:tc>
          <w:tcPr>
            <w:tcW w:w="4185" w:type="dxa"/>
            <w:shd w:val="clear" w:color="auto" w:fill="DBE5F1" w:themeFill="accent1" w:themeFillTint="33"/>
          </w:tcPr>
          <w:p w:rsidR="005A3405" w:rsidRPr="00643CC2" w:rsidRDefault="005A3405" w:rsidP="00555725">
            <w:pPr>
              <w:spacing w:before="60" w:after="60"/>
              <w:rPr>
                <w:rFonts w:ascii="Verdana" w:hAnsi="Verdana"/>
                <w:b/>
                <w:i/>
                <w:szCs w:val="20"/>
              </w:rPr>
            </w:pPr>
            <w:r w:rsidRPr="00643CC2">
              <w:rPr>
                <w:rFonts w:ascii="Verdana" w:hAnsi="Verdana"/>
                <w:b/>
                <w:i/>
                <w:szCs w:val="20"/>
              </w:rPr>
              <w:t>Target</w:t>
            </w:r>
          </w:p>
        </w:tc>
      </w:tr>
      <w:tr w:rsidR="00555725" w:rsidRPr="00643CC2" w:rsidTr="000A0621">
        <w:tc>
          <w:tcPr>
            <w:tcW w:w="1512" w:type="dxa"/>
            <w:vMerge w:val="restart"/>
          </w:tcPr>
          <w:p w:rsidR="00555725" w:rsidRPr="00643CC2" w:rsidRDefault="00555725" w:rsidP="00555725">
            <w:pPr>
              <w:spacing w:after="0"/>
              <w:rPr>
                <w:rFonts w:ascii="Verdana" w:hAnsi="Verdana"/>
                <w:b/>
                <w:i/>
              </w:rPr>
            </w:pPr>
            <w:r w:rsidRPr="00643CC2">
              <w:rPr>
                <w:rFonts w:ascii="Verdana" w:hAnsi="Verdana"/>
                <w:b/>
              </w:rPr>
              <w:t>6.1 Publishing</w:t>
            </w:r>
          </w:p>
          <w:p w:rsidR="00555725" w:rsidRPr="00643CC2" w:rsidRDefault="00555725" w:rsidP="00555725">
            <w:pPr>
              <w:spacing w:after="0"/>
              <w:rPr>
                <w:rFonts w:ascii="Verdana" w:hAnsi="Verdana"/>
                <w:b/>
              </w:rPr>
            </w:pPr>
          </w:p>
        </w:tc>
        <w:tc>
          <w:tcPr>
            <w:tcW w:w="4125" w:type="dxa"/>
          </w:tcPr>
          <w:p w:rsidR="00555725" w:rsidRPr="00643CC2" w:rsidRDefault="00110DE8" w:rsidP="007611B2">
            <w:pPr>
              <w:spacing w:before="60" w:after="60"/>
              <w:ind w:left="48"/>
              <w:rPr>
                <w:rFonts w:ascii="Verdana" w:hAnsi="Verdana"/>
                <w:sz w:val="24"/>
                <w:szCs w:val="24"/>
              </w:rPr>
            </w:pPr>
            <w:r w:rsidRPr="00643CC2">
              <w:rPr>
                <w:rFonts w:ascii="Verdana" w:hAnsi="Verdana"/>
                <w:sz w:val="20"/>
                <w:szCs w:val="24"/>
              </w:rPr>
              <w:t>6.1.1 Publish</w:t>
            </w:r>
            <w:r w:rsidR="00555725" w:rsidRPr="00643CC2">
              <w:rPr>
                <w:rFonts w:ascii="Verdana" w:hAnsi="Verdana"/>
                <w:sz w:val="20"/>
                <w:szCs w:val="24"/>
              </w:rPr>
              <w:t xml:space="preserve"> the AMP on the SEWPaC website.</w:t>
            </w:r>
          </w:p>
        </w:tc>
        <w:tc>
          <w:tcPr>
            <w:tcW w:w="2976" w:type="dxa"/>
          </w:tcPr>
          <w:p w:rsidR="00555725" w:rsidRPr="00643CC2" w:rsidRDefault="00555725" w:rsidP="00555725">
            <w:pPr>
              <w:spacing w:before="60" w:after="60"/>
              <w:rPr>
                <w:rFonts w:ascii="Verdana" w:hAnsi="Verdana"/>
                <w:sz w:val="20"/>
                <w:szCs w:val="24"/>
              </w:rPr>
            </w:pPr>
            <w:r w:rsidRPr="00643CC2">
              <w:rPr>
                <w:rFonts w:ascii="Verdana" w:hAnsi="Verdana"/>
                <w:sz w:val="20"/>
                <w:szCs w:val="24"/>
              </w:rPr>
              <w:t xml:space="preserve">Assistant </w:t>
            </w:r>
            <w:r w:rsidR="00A23395">
              <w:rPr>
                <w:rFonts w:ascii="Verdana" w:hAnsi="Verdana"/>
                <w:sz w:val="20"/>
                <w:szCs w:val="24"/>
              </w:rPr>
              <w:t>Secretary Public Affairs Branch</w:t>
            </w:r>
          </w:p>
        </w:tc>
        <w:tc>
          <w:tcPr>
            <w:tcW w:w="1560" w:type="dxa"/>
          </w:tcPr>
          <w:p w:rsidR="00555725" w:rsidRPr="00643CC2" w:rsidRDefault="00110DE8" w:rsidP="00555725">
            <w:pPr>
              <w:spacing w:before="60" w:after="60"/>
              <w:rPr>
                <w:rFonts w:ascii="Verdana" w:hAnsi="Verdana"/>
                <w:i/>
                <w:sz w:val="20"/>
                <w:szCs w:val="20"/>
              </w:rPr>
            </w:pPr>
            <w:r w:rsidRPr="00643CC2">
              <w:rPr>
                <w:rFonts w:ascii="Verdana" w:hAnsi="Verdana"/>
                <w:sz w:val="20"/>
                <w:szCs w:val="24"/>
              </w:rPr>
              <w:t>October 2013</w:t>
            </w:r>
          </w:p>
        </w:tc>
        <w:tc>
          <w:tcPr>
            <w:tcW w:w="4185" w:type="dxa"/>
          </w:tcPr>
          <w:p w:rsidR="00555725" w:rsidRPr="00643CC2" w:rsidRDefault="00555725" w:rsidP="00555725">
            <w:pPr>
              <w:spacing w:before="60" w:after="60"/>
              <w:rPr>
                <w:rFonts w:ascii="Verdana" w:hAnsi="Verdana"/>
                <w:i/>
                <w:sz w:val="20"/>
                <w:szCs w:val="20"/>
              </w:rPr>
            </w:pPr>
            <w:r w:rsidRPr="00643CC2">
              <w:rPr>
                <w:rFonts w:ascii="Verdana" w:hAnsi="Verdana"/>
                <w:sz w:val="20"/>
                <w:szCs w:val="24"/>
              </w:rPr>
              <w:t>The AMP is published on the SEWPaC website.</w:t>
            </w:r>
          </w:p>
        </w:tc>
      </w:tr>
      <w:tr w:rsidR="00555725" w:rsidRPr="00643CC2" w:rsidTr="000A0621">
        <w:tc>
          <w:tcPr>
            <w:tcW w:w="1512" w:type="dxa"/>
            <w:vMerge/>
          </w:tcPr>
          <w:p w:rsidR="00555725" w:rsidRPr="00643CC2" w:rsidRDefault="00555725" w:rsidP="00555725">
            <w:pPr>
              <w:spacing w:after="0"/>
              <w:rPr>
                <w:rFonts w:ascii="Verdana" w:hAnsi="Verdana"/>
                <w:b/>
              </w:rPr>
            </w:pPr>
          </w:p>
        </w:tc>
        <w:tc>
          <w:tcPr>
            <w:tcW w:w="4125" w:type="dxa"/>
          </w:tcPr>
          <w:p w:rsidR="00555725" w:rsidRPr="00643CC2" w:rsidRDefault="00555725" w:rsidP="007611B2">
            <w:pPr>
              <w:spacing w:before="60" w:after="60"/>
              <w:ind w:left="48"/>
              <w:rPr>
                <w:rFonts w:ascii="Verdana" w:hAnsi="Verdana"/>
                <w:sz w:val="20"/>
                <w:szCs w:val="24"/>
              </w:rPr>
            </w:pPr>
            <w:r w:rsidRPr="00643CC2">
              <w:rPr>
                <w:rFonts w:ascii="Verdana" w:hAnsi="Verdana"/>
                <w:sz w:val="20"/>
                <w:szCs w:val="24"/>
              </w:rPr>
              <w:t>6.1.2 Identify positive examples of interaction between SEWPaC activities and culturally and linguistically diverse clients and stakeholders and promote these on the SEWPaC website.</w:t>
            </w:r>
          </w:p>
        </w:tc>
        <w:tc>
          <w:tcPr>
            <w:tcW w:w="2976" w:type="dxa"/>
          </w:tcPr>
          <w:p w:rsidR="00555725" w:rsidRPr="00643CC2" w:rsidRDefault="00555725" w:rsidP="00110DE8">
            <w:pPr>
              <w:spacing w:before="60" w:after="60"/>
              <w:rPr>
                <w:rFonts w:ascii="Verdana" w:hAnsi="Verdana"/>
                <w:sz w:val="20"/>
                <w:szCs w:val="24"/>
              </w:rPr>
            </w:pPr>
            <w:r w:rsidRPr="00643CC2">
              <w:rPr>
                <w:rFonts w:ascii="Verdana" w:hAnsi="Verdana"/>
                <w:sz w:val="20"/>
                <w:szCs w:val="24"/>
              </w:rPr>
              <w:t xml:space="preserve">Assistant </w:t>
            </w:r>
            <w:r w:rsidR="00A23395">
              <w:rPr>
                <w:rFonts w:ascii="Verdana" w:hAnsi="Verdana"/>
                <w:sz w:val="20"/>
                <w:szCs w:val="24"/>
              </w:rPr>
              <w:t>Secretary Public Affairs Branch</w:t>
            </w:r>
          </w:p>
        </w:tc>
        <w:tc>
          <w:tcPr>
            <w:tcW w:w="1560" w:type="dxa"/>
          </w:tcPr>
          <w:p w:rsidR="00555725" w:rsidRPr="00643CC2" w:rsidRDefault="00555725" w:rsidP="00555725">
            <w:pPr>
              <w:spacing w:before="60" w:after="60"/>
              <w:rPr>
                <w:rFonts w:ascii="Verdana" w:hAnsi="Verdana"/>
                <w:sz w:val="20"/>
                <w:szCs w:val="24"/>
              </w:rPr>
            </w:pPr>
            <w:r w:rsidRPr="00643CC2">
              <w:rPr>
                <w:rFonts w:ascii="Verdana" w:hAnsi="Verdana"/>
                <w:sz w:val="20"/>
                <w:szCs w:val="24"/>
              </w:rPr>
              <w:t>June 2014</w:t>
            </w:r>
          </w:p>
        </w:tc>
        <w:tc>
          <w:tcPr>
            <w:tcW w:w="4185" w:type="dxa"/>
          </w:tcPr>
          <w:p w:rsidR="00555725" w:rsidRPr="00643CC2" w:rsidRDefault="00555725" w:rsidP="00555725">
            <w:pPr>
              <w:spacing w:before="60" w:after="60"/>
              <w:rPr>
                <w:rFonts w:ascii="Verdana" w:hAnsi="Verdana"/>
                <w:sz w:val="20"/>
                <w:szCs w:val="24"/>
              </w:rPr>
            </w:pPr>
            <w:r w:rsidRPr="00643CC2">
              <w:rPr>
                <w:rFonts w:ascii="Verdana" w:hAnsi="Verdana"/>
                <w:sz w:val="20"/>
                <w:szCs w:val="24"/>
              </w:rPr>
              <w:t>SEWPaC website features positive examples</w:t>
            </w:r>
            <w:r w:rsidRPr="00643CC2">
              <w:rPr>
                <w:rFonts w:ascii="Verdana" w:hAnsi="Verdana"/>
                <w:sz w:val="20"/>
              </w:rPr>
              <w:t xml:space="preserve"> </w:t>
            </w:r>
            <w:r w:rsidRPr="00643CC2">
              <w:rPr>
                <w:rFonts w:ascii="Verdana" w:hAnsi="Verdana"/>
                <w:sz w:val="20"/>
                <w:szCs w:val="24"/>
              </w:rPr>
              <w:t>of interaction between SEWPaC activities and culturally and linguistically diverse clients and stakeholders.</w:t>
            </w:r>
          </w:p>
        </w:tc>
      </w:tr>
      <w:tr w:rsidR="00416E5A" w:rsidRPr="00643CC2" w:rsidTr="000A0621">
        <w:tc>
          <w:tcPr>
            <w:tcW w:w="1512" w:type="dxa"/>
          </w:tcPr>
          <w:p w:rsidR="00643CC2" w:rsidRPr="00643CC2" w:rsidRDefault="005A3405" w:rsidP="00555725">
            <w:pPr>
              <w:spacing w:after="0"/>
              <w:rPr>
                <w:rFonts w:ascii="Verdana" w:hAnsi="Verdana"/>
                <w:b/>
              </w:rPr>
            </w:pPr>
            <w:r w:rsidRPr="00643CC2">
              <w:rPr>
                <w:rFonts w:ascii="Verdana" w:hAnsi="Verdana"/>
                <w:b/>
              </w:rPr>
              <w:t>6.2</w:t>
            </w:r>
            <w:r w:rsidR="00416E5A" w:rsidRPr="00643CC2">
              <w:rPr>
                <w:rFonts w:ascii="Verdana" w:hAnsi="Verdana"/>
                <w:b/>
              </w:rPr>
              <w:t xml:space="preserve"> </w:t>
            </w:r>
          </w:p>
          <w:p w:rsidR="00416E5A" w:rsidRPr="00643CC2" w:rsidRDefault="00416E5A" w:rsidP="00555725">
            <w:pPr>
              <w:spacing w:after="0"/>
              <w:rPr>
                <w:rFonts w:ascii="Verdana" w:hAnsi="Verdana"/>
                <w:b/>
                <w:i/>
              </w:rPr>
            </w:pPr>
            <w:r w:rsidRPr="00643CC2">
              <w:rPr>
                <w:rFonts w:ascii="Verdana" w:hAnsi="Verdana"/>
                <w:b/>
              </w:rPr>
              <w:t>Data</w:t>
            </w:r>
          </w:p>
          <w:p w:rsidR="005A3405" w:rsidRPr="00643CC2" w:rsidRDefault="005A3405" w:rsidP="00555725">
            <w:pPr>
              <w:spacing w:after="0"/>
              <w:rPr>
                <w:rFonts w:ascii="Verdana" w:hAnsi="Verdana"/>
                <w:b/>
              </w:rPr>
            </w:pPr>
          </w:p>
        </w:tc>
        <w:tc>
          <w:tcPr>
            <w:tcW w:w="4125" w:type="dxa"/>
          </w:tcPr>
          <w:p w:rsidR="005A3405" w:rsidRPr="00643CC2" w:rsidRDefault="00416E5A" w:rsidP="007611B2">
            <w:pPr>
              <w:spacing w:before="60" w:after="60"/>
              <w:ind w:left="48"/>
              <w:rPr>
                <w:rFonts w:ascii="Verdana" w:hAnsi="Verdana"/>
                <w:sz w:val="20"/>
                <w:szCs w:val="24"/>
              </w:rPr>
            </w:pPr>
            <w:r w:rsidRPr="00643CC2">
              <w:rPr>
                <w:rFonts w:ascii="Verdana" w:hAnsi="Verdana"/>
                <w:sz w:val="20"/>
                <w:szCs w:val="24"/>
              </w:rPr>
              <w:t>6.2.1</w:t>
            </w:r>
            <w:r w:rsidR="005A3405" w:rsidRPr="00643CC2">
              <w:rPr>
                <w:rFonts w:ascii="Verdana" w:hAnsi="Verdana"/>
                <w:sz w:val="20"/>
                <w:szCs w:val="24"/>
              </w:rPr>
              <w:t xml:space="preserve"> </w:t>
            </w:r>
            <w:r w:rsidRPr="00643CC2">
              <w:rPr>
                <w:rFonts w:ascii="Verdana" w:hAnsi="Verdana"/>
                <w:sz w:val="20"/>
                <w:szCs w:val="24"/>
              </w:rPr>
              <w:t xml:space="preserve">SEWPaC will make </w:t>
            </w:r>
            <w:r w:rsidR="00CC79D0" w:rsidRPr="00643CC2">
              <w:rPr>
                <w:rFonts w:ascii="Verdana" w:hAnsi="Verdana"/>
                <w:sz w:val="20"/>
                <w:szCs w:val="24"/>
              </w:rPr>
              <w:t>available</w:t>
            </w:r>
            <w:r w:rsidRPr="00643CC2">
              <w:rPr>
                <w:rFonts w:ascii="Verdana" w:hAnsi="Verdana"/>
                <w:sz w:val="20"/>
                <w:szCs w:val="24"/>
              </w:rPr>
              <w:t xml:space="preserve"> cultural and lingu</w:t>
            </w:r>
            <w:r w:rsidR="00CC79D0" w:rsidRPr="00643CC2">
              <w:rPr>
                <w:rFonts w:ascii="Verdana" w:hAnsi="Verdana"/>
                <w:sz w:val="20"/>
                <w:szCs w:val="24"/>
              </w:rPr>
              <w:t>is</w:t>
            </w:r>
            <w:r w:rsidR="002C0FB8" w:rsidRPr="00643CC2">
              <w:rPr>
                <w:rFonts w:ascii="Verdana" w:hAnsi="Verdana"/>
                <w:sz w:val="20"/>
                <w:szCs w:val="24"/>
              </w:rPr>
              <w:t>tic data to other G</w:t>
            </w:r>
            <w:r w:rsidRPr="00643CC2">
              <w:rPr>
                <w:rFonts w:ascii="Verdana" w:hAnsi="Verdana"/>
                <w:sz w:val="20"/>
                <w:szCs w:val="24"/>
              </w:rPr>
              <w:t>overnment agencies and stak</w:t>
            </w:r>
            <w:r w:rsidR="00CC79D0" w:rsidRPr="00643CC2">
              <w:rPr>
                <w:rFonts w:ascii="Verdana" w:hAnsi="Verdana"/>
                <w:sz w:val="20"/>
                <w:szCs w:val="24"/>
              </w:rPr>
              <w:t>e</w:t>
            </w:r>
            <w:r w:rsidRPr="00643CC2">
              <w:rPr>
                <w:rFonts w:ascii="Verdana" w:hAnsi="Verdana"/>
                <w:sz w:val="20"/>
                <w:szCs w:val="24"/>
              </w:rPr>
              <w:t>holders</w:t>
            </w:r>
            <w:r w:rsidR="002C0FB8" w:rsidRPr="00643CC2">
              <w:rPr>
                <w:rFonts w:ascii="Verdana" w:hAnsi="Verdana"/>
                <w:sz w:val="20"/>
                <w:szCs w:val="24"/>
              </w:rPr>
              <w:t>.</w:t>
            </w:r>
          </w:p>
        </w:tc>
        <w:tc>
          <w:tcPr>
            <w:tcW w:w="2976" w:type="dxa"/>
          </w:tcPr>
          <w:p w:rsidR="005A3405" w:rsidRPr="00643CC2" w:rsidRDefault="00416E5A" w:rsidP="00110DE8">
            <w:pPr>
              <w:spacing w:before="60" w:after="60"/>
              <w:rPr>
                <w:rFonts w:ascii="Verdana" w:hAnsi="Verdana"/>
                <w:i/>
                <w:sz w:val="20"/>
                <w:szCs w:val="20"/>
              </w:rPr>
            </w:pPr>
            <w:bookmarkStart w:id="2" w:name="_GoBack"/>
            <w:bookmarkEnd w:id="2"/>
            <w:r w:rsidRPr="00643CC2">
              <w:rPr>
                <w:rFonts w:ascii="Verdana" w:hAnsi="Verdana"/>
                <w:sz w:val="20"/>
                <w:szCs w:val="24"/>
              </w:rPr>
              <w:t>First Assistant Secretary Policy and Communications</w:t>
            </w:r>
          </w:p>
        </w:tc>
        <w:tc>
          <w:tcPr>
            <w:tcW w:w="1560" w:type="dxa"/>
          </w:tcPr>
          <w:p w:rsidR="005A3405" w:rsidRPr="00643CC2" w:rsidRDefault="00CC79D0" w:rsidP="00555725">
            <w:pPr>
              <w:spacing w:before="60" w:after="60"/>
              <w:rPr>
                <w:rFonts w:ascii="Verdana" w:hAnsi="Verdana"/>
                <w:i/>
                <w:sz w:val="20"/>
                <w:szCs w:val="20"/>
              </w:rPr>
            </w:pPr>
            <w:r w:rsidRPr="00643CC2">
              <w:rPr>
                <w:rFonts w:ascii="Verdana" w:hAnsi="Verdana"/>
                <w:sz w:val="20"/>
                <w:szCs w:val="24"/>
              </w:rPr>
              <w:t>June 2014</w:t>
            </w:r>
          </w:p>
        </w:tc>
        <w:tc>
          <w:tcPr>
            <w:tcW w:w="4185" w:type="dxa"/>
          </w:tcPr>
          <w:p w:rsidR="005A3405" w:rsidRPr="00643CC2" w:rsidRDefault="00CC79D0" w:rsidP="00555725">
            <w:pPr>
              <w:spacing w:before="60" w:after="60"/>
              <w:rPr>
                <w:rFonts w:ascii="Verdana" w:hAnsi="Verdana"/>
                <w:i/>
                <w:sz w:val="20"/>
                <w:szCs w:val="20"/>
              </w:rPr>
            </w:pPr>
            <w:r w:rsidRPr="00643CC2">
              <w:rPr>
                <w:rFonts w:ascii="Verdana" w:hAnsi="Verdana"/>
                <w:sz w:val="20"/>
                <w:szCs w:val="24"/>
              </w:rPr>
              <w:t>Appropriate data sets are shared with other government agencies and stakeholders</w:t>
            </w:r>
            <w:r w:rsidR="002C0FB8" w:rsidRPr="00643CC2">
              <w:rPr>
                <w:rFonts w:ascii="Verdana" w:hAnsi="Verdana"/>
                <w:sz w:val="20"/>
                <w:szCs w:val="24"/>
              </w:rPr>
              <w:t>.</w:t>
            </w:r>
          </w:p>
        </w:tc>
      </w:tr>
    </w:tbl>
    <w:p w:rsidR="00553536" w:rsidRPr="00643CC2" w:rsidRDefault="00553536" w:rsidP="002240E4">
      <w:pPr>
        <w:pStyle w:val="ListBullet"/>
        <w:numPr>
          <w:ilvl w:val="0"/>
          <w:numId w:val="0"/>
        </w:numPr>
        <w:spacing w:after="100" w:afterAutospacing="1"/>
        <w:rPr>
          <w:rFonts w:ascii="Verdana" w:hAnsi="Verdana"/>
        </w:rPr>
      </w:pPr>
    </w:p>
    <w:sectPr w:rsidR="00553536" w:rsidRPr="00643CC2" w:rsidSect="005A28F0">
      <w:headerReference w:type="even" r:id="rId11"/>
      <w:headerReference w:type="default" r:id="rId12"/>
      <w:footerReference w:type="default" r:id="rId13"/>
      <w:headerReference w:type="first" r:id="rId14"/>
      <w:pgSz w:w="16838" w:h="11906" w:orient="landscape"/>
      <w:pgMar w:top="1474" w:right="1644" w:bottom="1276" w:left="1077" w:header="624"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A9" w:rsidRDefault="002B49A9" w:rsidP="00A60185">
      <w:pPr>
        <w:spacing w:after="0" w:line="240" w:lineRule="auto"/>
      </w:pPr>
      <w:r>
        <w:separator/>
      </w:r>
    </w:p>
  </w:endnote>
  <w:endnote w:type="continuationSeparator" w:id="0">
    <w:p w:rsidR="002B49A9" w:rsidRDefault="002B49A9"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13239606"/>
      <w:docPartObj>
        <w:docPartGallery w:val="Page Numbers (Bottom of Page)"/>
        <w:docPartUnique/>
      </w:docPartObj>
    </w:sdtPr>
    <w:sdtContent>
      <w:sdt>
        <w:sdtPr>
          <w:rPr>
            <w:rFonts w:ascii="Verdana" w:hAnsi="Verdana"/>
            <w:sz w:val="16"/>
            <w:szCs w:val="16"/>
          </w:rPr>
          <w:id w:val="13239607"/>
          <w:docPartObj>
            <w:docPartGallery w:val="Page Numbers (Top of Page)"/>
            <w:docPartUnique/>
          </w:docPartObj>
        </w:sdtPr>
        <w:sdtContent>
          <w:p w:rsidR="002B49A9" w:rsidRPr="005A28F0" w:rsidRDefault="002B49A9" w:rsidP="005A28F0">
            <w:pPr>
              <w:pStyle w:val="Footer"/>
              <w:jc w:val="right"/>
              <w:rPr>
                <w:rFonts w:ascii="Verdana" w:hAnsi="Verdana"/>
                <w:sz w:val="16"/>
                <w:szCs w:val="16"/>
              </w:rPr>
            </w:pPr>
            <w:r w:rsidRPr="005A28F0">
              <w:rPr>
                <w:rFonts w:ascii="Verdana" w:hAnsi="Verdana"/>
                <w:sz w:val="16"/>
                <w:szCs w:val="16"/>
              </w:rPr>
              <w:t xml:space="preserve">Page </w:t>
            </w:r>
            <w:r w:rsidR="00446730" w:rsidRPr="005A28F0">
              <w:rPr>
                <w:rFonts w:ascii="Verdana" w:hAnsi="Verdana"/>
                <w:sz w:val="16"/>
                <w:szCs w:val="16"/>
              </w:rPr>
              <w:fldChar w:fldCharType="begin"/>
            </w:r>
            <w:r w:rsidRPr="005A28F0">
              <w:rPr>
                <w:rFonts w:ascii="Verdana" w:hAnsi="Verdana"/>
                <w:sz w:val="16"/>
                <w:szCs w:val="16"/>
              </w:rPr>
              <w:instrText xml:space="preserve"> PAGE </w:instrText>
            </w:r>
            <w:r w:rsidR="00446730" w:rsidRPr="005A28F0">
              <w:rPr>
                <w:rFonts w:ascii="Verdana" w:hAnsi="Verdana"/>
                <w:sz w:val="16"/>
                <w:szCs w:val="16"/>
              </w:rPr>
              <w:fldChar w:fldCharType="separate"/>
            </w:r>
            <w:r w:rsidR="00EE319D">
              <w:rPr>
                <w:rFonts w:ascii="Verdana" w:hAnsi="Verdana"/>
                <w:noProof/>
                <w:sz w:val="16"/>
                <w:szCs w:val="16"/>
              </w:rPr>
              <w:t>12</w:t>
            </w:r>
            <w:r w:rsidR="00446730" w:rsidRPr="005A28F0">
              <w:rPr>
                <w:rFonts w:ascii="Verdana" w:hAnsi="Verdana"/>
                <w:sz w:val="16"/>
                <w:szCs w:val="16"/>
              </w:rPr>
              <w:fldChar w:fldCharType="end"/>
            </w:r>
            <w:r w:rsidRPr="005A28F0">
              <w:rPr>
                <w:rFonts w:ascii="Verdana" w:hAnsi="Verdana"/>
                <w:sz w:val="16"/>
                <w:szCs w:val="16"/>
              </w:rPr>
              <w:t xml:space="preserve"> of </w:t>
            </w:r>
            <w:r w:rsidR="00446730" w:rsidRPr="005A28F0">
              <w:rPr>
                <w:rFonts w:ascii="Verdana" w:hAnsi="Verdana"/>
                <w:sz w:val="16"/>
                <w:szCs w:val="16"/>
              </w:rPr>
              <w:fldChar w:fldCharType="begin"/>
            </w:r>
            <w:r w:rsidRPr="005A28F0">
              <w:rPr>
                <w:rFonts w:ascii="Verdana" w:hAnsi="Verdana"/>
                <w:sz w:val="16"/>
                <w:szCs w:val="16"/>
              </w:rPr>
              <w:instrText xml:space="preserve"> NUMPAGES  </w:instrText>
            </w:r>
            <w:r w:rsidR="00446730" w:rsidRPr="005A28F0">
              <w:rPr>
                <w:rFonts w:ascii="Verdana" w:hAnsi="Verdana"/>
                <w:sz w:val="16"/>
                <w:szCs w:val="16"/>
              </w:rPr>
              <w:fldChar w:fldCharType="separate"/>
            </w:r>
            <w:r w:rsidR="00EE319D">
              <w:rPr>
                <w:rFonts w:ascii="Verdana" w:hAnsi="Verdana"/>
                <w:noProof/>
                <w:sz w:val="16"/>
                <w:szCs w:val="16"/>
              </w:rPr>
              <w:t>12</w:t>
            </w:r>
            <w:r w:rsidR="00446730" w:rsidRPr="005A28F0">
              <w:rPr>
                <w:rFonts w:ascii="Verdana" w:hAnsi="Verdana"/>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A9" w:rsidRDefault="002B49A9" w:rsidP="00A60185">
      <w:pPr>
        <w:spacing w:after="0" w:line="240" w:lineRule="auto"/>
      </w:pPr>
      <w:r>
        <w:separator/>
      </w:r>
    </w:p>
  </w:footnote>
  <w:footnote w:type="continuationSeparator" w:id="0">
    <w:p w:rsidR="002B49A9" w:rsidRDefault="002B49A9"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A9" w:rsidRDefault="00446730" w:rsidP="00E45765">
    <w:pPr>
      <w:pStyle w:val="Classification"/>
    </w:pPr>
    <w:r>
      <w:fldChar w:fldCharType="begin"/>
    </w:r>
    <w:r w:rsidR="002B49A9">
      <w:instrText xml:space="preserve"> DOCPROPERTY SecurityClassification \* MERGEFORMAT </w:instrText>
    </w:r>
    <w:r>
      <w:fldChar w:fldCharType="separate"/>
    </w:r>
    <w:r w:rsidR="003F5BD4">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A9" w:rsidRPr="005A28F0" w:rsidRDefault="002B49A9" w:rsidP="005A28F0">
    <w:pPr>
      <w:spacing w:line="240" w:lineRule="auto"/>
      <w:rPr>
        <w:rFonts w:ascii="Verdana" w:hAnsi="Verdana"/>
        <w:sz w:val="16"/>
        <w:szCs w:val="28"/>
        <w:u w:val="single"/>
      </w:rPr>
    </w:pPr>
    <w:r>
      <w:rPr>
        <w:rFonts w:ascii="Verdana" w:hAnsi="Verdana"/>
        <w:sz w:val="16"/>
        <w:szCs w:val="28"/>
        <w:u w:val="single"/>
      </w:rPr>
      <w:t>Department and agencies</w:t>
    </w:r>
    <w:r w:rsidRPr="00D36E17">
      <w:rPr>
        <w:rFonts w:ascii="Verdana" w:hAnsi="Verdana"/>
        <w:sz w:val="16"/>
        <w:szCs w:val="28"/>
        <w:u w:val="single"/>
      </w:rPr>
      <w:t xml:space="preserve"> of Sustainability, Environment, Water, P</w:t>
    </w:r>
    <w:r>
      <w:rPr>
        <w:rFonts w:ascii="Verdana" w:hAnsi="Verdana"/>
        <w:sz w:val="16"/>
        <w:szCs w:val="28"/>
        <w:u w:val="single"/>
      </w:rPr>
      <w:t>opulation and Communities</w:t>
    </w:r>
    <w:r>
      <w:rPr>
        <w:rFonts w:ascii="Verdana" w:hAnsi="Verdana"/>
        <w:sz w:val="16"/>
        <w:szCs w:val="28"/>
        <w:u w:val="single"/>
      </w:rPr>
      <w:tab/>
    </w:r>
    <w:r>
      <w:rPr>
        <w:rFonts w:ascii="Verdana" w:hAnsi="Verdana"/>
        <w:sz w:val="16"/>
        <w:szCs w:val="28"/>
        <w:u w:val="single"/>
      </w:rPr>
      <w:tab/>
      <w:t xml:space="preserve">  _</w:t>
    </w:r>
    <w:r>
      <w:rPr>
        <w:rFonts w:ascii="Verdana" w:hAnsi="Verdana"/>
        <w:sz w:val="16"/>
        <w:szCs w:val="28"/>
        <w:u w:val="single"/>
      </w:rPr>
      <w:tab/>
    </w:r>
    <w:r>
      <w:rPr>
        <w:rFonts w:ascii="Verdana" w:hAnsi="Verdana"/>
        <w:sz w:val="16"/>
        <w:szCs w:val="28"/>
        <w:u w:val="single"/>
      </w:rPr>
      <w:tab/>
      <w:t>_________</w:t>
    </w:r>
    <w:r w:rsidRPr="00D36E17">
      <w:rPr>
        <w:rFonts w:ascii="Verdana" w:hAnsi="Verdana"/>
        <w:sz w:val="16"/>
        <w:szCs w:val="28"/>
        <w:u w:val="single"/>
      </w:rPr>
      <w:t>Agency</w:t>
    </w:r>
    <w:r>
      <w:rPr>
        <w:rFonts w:ascii="Verdana" w:hAnsi="Verdana"/>
        <w:sz w:val="16"/>
        <w:szCs w:val="28"/>
        <w:u w:val="single"/>
      </w:rPr>
      <w:t xml:space="preserve"> Multicultural Plan for 2013–15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A9" w:rsidRDefault="002B49A9">
    <w:pPr>
      <w:pStyle w:val="Header"/>
    </w:pPr>
    <w:r w:rsidRPr="00951AF7">
      <w:rPr>
        <w:noProof/>
        <w:lang w:eastAsia="en-AU"/>
      </w:rPr>
      <w:drawing>
        <wp:inline distT="0" distB="0" distL="0" distR="0">
          <wp:extent cx="4000500" cy="695325"/>
          <wp:effectExtent l="0" t="0" r="0" b="0"/>
          <wp:docPr id="2" name="Picture 1" descr="http://intranet.environment.gov.au/SiteCollectionImages/Logos/inline-sewpc.gif"/>
          <wp:cNvGraphicFramePr/>
          <a:graphic xmlns:a="http://schemas.openxmlformats.org/drawingml/2006/main">
            <a:graphicData uri="http://schemas.openxmlformats.org/drawingml/2006/picture">
              <pic:pic xmlns:pic="http://schemas.openxmlformats.org/drawingml/2006/picture">
                <pic:nvPicPr>
                  <pic:cNvPr id="8197" name="Picture 6" descr="http://intranet.environment.gov.au/SiteCollectionImages/Logos/inline-sewpc.gif"/>
                  <pic:cNvPicPr>
                    <a:picLocks noChangeAspect="1" noChangeArrowheads="1"/>
                  </pic:cNvPicPr>
                </pic:nvPicPr>
                <pic:blipFill>
                  <a:blip r:embed="rId1" r:link="rId2"/>
                  <a:srcRect/>
                  <a:stretch>
                    <a:fillRect/>
                  </a:stretch>
                </pic:blipFill>
                <pic:spPr bwMode="auto">
                  <a:xfrm>
                    <a:off x="0" y="0"/>
                    <a:ext cx="4000500"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3CF4CE6"/>
    <w:multiLevelType w:val="multilevel"/>
    <w:tmpl w:val="BE0203EA"/>
    <w:lvl w:ilvl="0">
      <w:start w:val="1"/>
      <w:numFmt w:val="decimal"/>
      <w:lvlText w:val="%1."/>
      <w:lvlJc w:val="left"/>
      <w:pPr>
        <w:ind w:left="495" w:hanging="495"/>
      </w:pPr>
      <w:rPr>
        <w:rFonts w:hint="default"/>
        <w:b w:val="0"/>
        <w:i w:val="0"/>
        <w:color w:val="auto"/>
        <w:sz w:val="22"/>
      </w:rPr>
    </w:lvl>
    <w:lvl w:ilvl="1">
      <w:start w:val="1"/>
      <w:numFmt w:val="decimal"/>
      <w:lvlText w:val="%1.%2."/>
      <w:lvlJc w:val="left"/>
      <w:pPr>
        <w:ind w:left="495" w:hanging="495"/>
      </w:pPr>
      <w:rPr>
        <w:rFonts w:hint="default"/>
        <w:b w:val="0"/>
        <w:i w:val="0"/>
        <w:color w:val="auto"/>
        <w:sz w:val="22"/>
      </w:rPr>
    </w:lvl>
    <w:lvl w:ilvl="2">
      <w:start w:val="1"/>
      <w:numFmt w:val="decimal"/>
      <w:lvlText w:val="%1.%2.%3."/>
      <w:lvlJc w:val="left"/>
      <w:pPr>
        <w:ind w:left="720" w:hanging="720"/>
      </w:pPr>
      <w:rPr>
        <w:rFonts w:hint="default"/>
        <w:b w:val="0"/>
        <w:i w:val="0"/>
        <w:color w:val="auto"/>
        <w:sz w:val="20"/>
      </w:rPr>
    </w:lvl>
    <w:lvl w:ilvl="3">
      <w:start w:val="1"/>
      <w:numFmt w:val="decimal"/>
      <w:lvlText w:val="%1.%2.%3.%4."/>
      <w:lvlJc w:val="left"/>
      <w:pPr>
        <w:ind w:left="720" w:hanging="720"/>
      </w:pPr>
      <w:rPr>
        <w:rFonts w:hint="default"/>
        <w:b w:val="0"/>
        <w:i w:val="0"/>
        <w:color w:val="auto"/>
        <w:sz w:val="22"/>
      </w:rPr>
    </w:lvl>
    <w:lvl w:ilvl="4">
      <w:start w:val="1"/>
      <w:numFmt w:val="decimal"/>
      <w:lvlText w:val="%1.%2.%3.%4.%5."/>
      <w:lvlJc w:val="left"/>
      <w:pPr>
        <w:ind w:left="1080" w:hanging="1080"/>
      </w:pPr>
      <w:rPr>
        <w:rFonts w:hint="default"/>
        <w:b w:val="0"/>
        <w:i w:val="0"/>
        <w:color w:val="auto"/>
        <w:sz w:val="22"/>
      </w:rPr>
    </w:lvl>
    <w:lvl w:ilvl="5">
      <w:start w:val="1"/>
      <w:numFmt w:val="decimal"/>
      <w:lvlText w:val="%1.%2.%3.%4.%5.%6."/>
      <w:lvlJc w:val="left"/>
      <w:pPr>
        <w:ind w:left="1080" w:hanging="1080"/>
      </w:pPr>
      <w:rPr>
        <w:rFonts w:hint="default"/>
        <w:b w:val="0"/>
        <w:i w:val="0"/>
        <w:color w:val="auto"/>
        <w:sz w:val="22"/>
      </w:rPr>
    </w:lvl>
    <w:lvl w:ilvl="6">
      <w:start w:val="1"/>
      <w:numFmt w:val="decimal"/>
      <w:lvlText w:val="%1.%2.%3.%4.%5.%6.%7."/>
      <w:lvlJc w:val="left"/>
      <w:pPr>
        <w:ind w:left="1080" w:hanging="1080"/>
      </w:pPr>
      <w:rPr>
        <w:rFonts w:hint="default"/>
        <w:b w:val="0"/>
        <w:i w:val="0"/>
        <w:color w:val="auto"/>
        <w:sz w:val="22"/>
      </w:rPr>
    </w:lvl>
    <w:lvl w:ilvl="7">
      <w:start w:val="1"/>
      <w:numFmt w:val="decimal"/>
      <w:lvlText w:val="%1.%2.%3.%4.%5.%6.%7.%8."/>
      <w:lvlJc w:val="left"/>
      <w:pPr>
        <w:ind w:left="1440" w:hanging="1440"/>
      </w:pPr>
      <w:rPr>
        <w:rFonts w:hint="default"/>
        <w:b w:val="0"/>
        <w:i w:val="0"/>
        <w:color w:val="auto"/>
        <w:sz w:val="22"/>
      </w:rPr>
    </w:lvl>
    <w:lvl w:ilvl="8">
      <w:start w:val="1"/>
      <w:numFmt w:val="decimal"/>
      <w:lvlText w:val="%1.%2.%3.%4.%5.%6.%7.%8.%9."/>
      <w:lvlJc w:val="left"/>
      <w:pPr>
        <w:ind w:left="1440" w:hanging="1440"/>
      </w:pPr>
      <w:rPr>
        <w:rFonts w:hint="default"/>
        <w:b w:val="0"/>
        <w:i w:val="0"/>
        <w:color w:val="auto"/>
        <w:sz w:val="22"/>
      </w:rPr>
    </w:lvl>
  </w:abstractNum>
  <w:abstractNum w:abstractNumId="2">
    <w:nsid w:val="070867C1"/>
    <w:multiLevelType w:val="multilevel"/>
    <w:tmpl w:val="2946D92E"/>
    <w:lvl w:ilvl="0">
      <w:start w:val="2"/>
      <w:numFmt w:val="decimal"/>
      <w:lvlText w:val="%1"/>
      <w:lvlJc w:val="left"/>
      <w:pPr>
        <w:ind w:left="360" w:hanging="360"/>
      </w:pPr>
      <w:rPr>
        <w:rFonts w:hint="default"/>
        <w:b/>
      </w:rPr>
    </w:lvl>
    <w:lvl w:ilvl="1">
      <w:start w:val="1"/>
      <w:numFmt w:val="decimal"/>
      <w:lvlText w:val="%1.%2"/>
      <w:lvlJc w:val="left"/>
      <w:pPr>
        <w:ind w:left="567" w:hanging="2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88A5498"/>
    <w:multiLevelType w:val="multilevel"/>
    <w:tmpl w:val="4F4C871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B7B2E99"/>
    <w:multiLevelType w:val="multilevel"/>
    <w:tmpl w:val="7D3CEEA4"/>
    <w:lvl w:ilvl="0">
      <w:start w:val="3"/>
      <w:numFmt w:val="decimal"/>
      <w:lvlText w:val="%1"/>
      <w:lvlJc w:val="left"/>
      <w:pPr>
        <w:ind w:left="360" w:hanging="360"/>
      </w:pPr>
      <w:rPr>
        <w:rFonts w:hint="default"/>
        <w:b/>
      </w:rPr>
    </w:lvl>
    <w:lvl w:ilvl="1">
      <w:start w:val="1"/>
      <w:numFmt w:val="decimal"/>
      <w:lvlText w:val="%1.%2"/>
      <w:lvlJc w:val="left"/>
      <w:pPr>
        <w:ind w:left="567" w:hanging="2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6626575"/>
    <w:multiLevelType w:val="hybridMultilevel"/>
    <w:tmpl w:val="1340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745BC2"/>
    <w:multiLevelType w:val="multilevel"/>
    <w:tmpl w:val="E5E89F92"/>
    <w:numStyleLink w:val="BulletList"/>
  </w:abstractNum>
  <w:abstractNum w:abstractNumId="7">
    <w:nsid w:val="21B25229"/>
    <w:multiLevelType w:val="multilevel"/>
    <w:tmpl w:val="4F4C871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3D37EDC"/>
    <w:multiLevelType w:val="multilevel"/>
    <w:tmpl w:val="B84CBA36"/>
    <w:lvl w:ilvl="0">
      <w:start w:val="4"/>
      <w:numFmt w:val="decimal"/>
      <w:lvlText w:val="%1"/>
      <w:lvlJc w:val="left"/>
      <w:pPr>
        <w:ind w:left="567" w:hanging="283"/>
      </w:pPr>
      <w:rPr>
        <w:rFonts w:hint="default"/>
        <w:b/>
      </w:rPr>
    </w:lvl>
    <w:lvl w:ilvl="1">
      <w:start w:val="1"/>
      <w:numFmt w:val="decimal"/>
      <w:lvlText w:val="%1.%2"/>
      <w:lvlJc w:val="left"/>
      <w:pPr>
        <w:ind w:left="567" w:hanging="283"/>
      </w:pPr>
      <w:rPr>
        <w:rFonts w:hint="default"/>
        <w:b/>
      </w:rPr>
    </w:lvl>
    <w:lvl w:ilvl="2">
      <w:start w:val="1"/>
      <w:numFmt w:val="decimal"/>
      <w:lvlText w:val="%1.%2.%3"/>
      <w:lvlJc w:val="left"/>
      <w:pPr>
        <w:ind w:left="567" w:hanging="283"/>
      </w:pPr>
      <w:rPr>
        <w:rFonts w:hint="default"/>
        <w:b/>
      </w:rPr>
    </w:lvl>
    <w:lvl w:ilvl="3">
      <w:start w:val="1"/>
      <w:numFmt w:val="decimal"/>
      <w:lvlText w:val="%1.%2.%3.%4"/>
      <w:lvlJc w:val="left"/>
      <w:pPr>
        <w:ind w:left="567" w:hanging="283"/>
      </w:pPr>
      <w:rPr>
        <w:rFonts w:hint="default"/>
        <w:b/>
      </w:rPr>
    </w:lvl>
    <w:lvl w:ilvl="4">
      <w:start w:val="1"/>
      <w:numFmt w:val="decimal"/>
      <w:lvlText w:val="%1.%2.%3.%4.%5"/>
      <w:lvlJc w:val="left"/>
      <w:pPr>
        <w:ind w:left="567" w:hanging="283"/>
      </w:pPr>
      <w:rPr>
        <w:rFonts w:hint="default"/>
        <w:b/>
      </w:rPr>
    </w:lvl>
    <w:lvl w:ilvl="5">
      <w:start w:val="1"/>
      <w:numFmt w:val="decimal"/>
      <w:lvlText w:val="%1.%2.%3.%4.%5.%6"/>
      <w:lvlJc w:val="left"/>
      <w:pPr>
        <w:ind w:left="567" w:hanging="283"/>
      </w:pPr>
      <w:rPr>
        <w:rFonts w:hint="default"/>
        <w:b/>
      </w:rPr>
    </w:lvl>
    <w:lvl w:ilvl="6">
      <w:start w:val="1"/>
      <w:numFmt w:val="decimal"/>
      <w:lvlText w:val="%1.%2.%3.%4.%5.%6.%7"/>
      <w:lvlJc w:val="left"/>
      <w:pPr>
        <w:ind w:left="567" w:hanging="283"/>
      </w:pPr>
      <w:rPr>
        <w:rFonts w:hint="default"/>
        <w:b/>
      </w:rPr>
    </w:lvl>
    <w:lvl w:ilvl="7">
      <w:start w:val="1"/>
      <w:numFmt w:val="decimal"/>
      <w:lvlText w:val="%1.%2.%3.%4.%5.%6.%7.%8"/>
      <w:lvlJc w:val="left"/>
      <w:pPr>
        <w:ind w:left="567" w:hanging="283"/>
      </w:pPr>
      <w:rPr>
        <w:rFonts w:hint="default"/>
        <w:b/>
      </w:rPr>
    </w:lvl>
    <w:lvl w:ilvl="8">
      <w:start w:val="1"/>
      <w:numFmt w:val="decimal"/>
      <w:lvlText w:val="%1.%2.%3.%4.%5.%6.%7.%8.%9"/>
      <w:lvlJc w:val="left"/>
      <w:pPr>
        <w:ind w:left="567" w:hanging="283"/>
      </w:pPr>
      <w:rPr>
        <w:rFonts w:hint="default"/>
        <w:b/>
      </w:rPr>
    </w:lvl>
  </w:abstractNum>
  <w:abstractNum w:abstractNumId="9">
    <w:nsid w:val="29AC58BB"/>
    <w:multiLevelType w:val="hybridMultilevel"/>
    <w:tmpl w:val="A3768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AB639C"/>
    <w:multiLevelType w:val="multilevel"/>
    <w:tmpl w:val="CAE2BBFA"/>
    <w:lvl w:ilvl="0">
      <w:start w:val="1"/>
      <w:numFmt w:val="decimal"/>
      <w:lvlText w:val="%1"/>
      <w:lvlJc w:val="left"/>
      <w:pPr>
        <w:ind w:left="360" w:hanging="360"/>
      </w:pPr>
      <w:rPr>
        <w:rFonts w:hint="default"/>
        <w:b/>
      </w:rPr>
    </w:lvl>
    <w:lvl w:ilvl="1">
      <w:start w:val="1"/>
      <w:numFmt w:val="decimal"/>
      <w:lvlText w:val="%1.%2"/>
      <w:lvlJc w:val="left"/>
      <w:pPr>
        <w:ind w:left="567" w:hanging="2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2756F25"/>
    <w:multiLevelType w:val="multilevel"/>
    <w:tmpl w:val="DD9EA376"/>
    <w:lvl w:ilvl="0">
      <w:start w:val="4"/>
      <w:numFmt w:val="decimal"/>
      <w:lvlText w:val="%1"/>
      <w:lvlJc w:val="left"/>
      <w:pPr>
        <w:ind w:left="567" w:hanging="283"/>
      </w:pPr>
      <w:rPr>
        <w:rFonts w:hint="default"/>
        <w:b/>
      </w:rPr>
    </w:lvl>
    <w:lvl w:ilvl="1">
      <w:start w:val="1"/>
      <w:numFmt w:val="decimal"/>
      <w:lvlText w:val="%1.%2"/>
      <w:lvlJc w:val="left"/>
      <w:pPr>
        <w:ind w:left="567" w:hanging="283"/>
      </w:pPr>
      <w:rPr>
        <w:rFonts w:hint="default"/>
        <w:b/>
      </w:rPr>
    </w:lvl>
    <w:lvl w:ilvl="2">
      <w:start w:val="1"/>
      <w:numFmt w:val="decimal"/>
      <w:lvlText w:val="%1.%2.%3"/>
      <w:lvlJc w:val="left"/>
      <w:pPr>
        <w:ind w:left="567" w:hanging="283"/>
      </w:pPr>
      <w:rPr>
        <w:rFonts w:hint="default"/>
        <w:b/>
      </w:rPr>
    </w:lvl>
    <w:lvl w:ilvl="3">
      <w:start w:val="1"/>
      <w:numFmt w:val="decimal"/>
      <w:lvlText w:val="%1.%2.%3.%4"/>
      <w:lvlJc w:val="left"/>
      <w:pPr>
        <w:ind w:left="567" w:hanging="283"/>
      </w:pPr>
      <w:rPr>
        <w:rFonts w:hint="default"/>
        <w:b/>
      </w:rPr>
    </w:lvl>
    <w:lvl w:ilvl="4">
      <w:start w:val="1"/>
      <w:numFmt w:val="decimal"/>
      <w:lvlText w:val="%1.%2.%3.%4.%5"/>
      <w:lvlJc w:val="left"/>
      <w:pPr>
        <w:ind w:left="567" w:hanging="283"/>
      </w:pPr>
      <w:rPr>
        <w:rFonts w:hint="default"/>
        <w:b/>
      </w:rPr>
    </w:lvl>
    <w:lvl w:ilvl="5">
      <w:start w:val="1"/>
      <w:numFmt w:val="decimal"/>
      <w:lvlText w:val="%1.%2.%3.%4.%5.%6"/>
      <w:lvlJc w:val="left"/>
      <w:pPr>
        <w:ind w:left="567" w:hanging="283"/>
      </w:pPr>
      <w:rPr>
        <w:rFonts w:hint="default"/>
        <w:b/>
      </w:rPr>
    </w:lvl>
    <w:lvl w:ilvl="6">
      <w:start w:val="1"/>
      <w:numFmt w:val="decimal"/>
      <w:lvlText w:val="%1.%2.%3.%4.%5.%6.%7"/>
      <w:lvlJc w:val="left"/>
      <w:pPr>
        <w:ind w:left="567" w:hanging="283"/>
      </w:pPr>
      <w:rPr>
        <w:rFonts w:hint="default"/>
        <w:b/>
      </w:rPr>
    </w:lvl>
    <w:lvl w:ilvl="7">
      <w:start w:val="1"/>
      <w:numFmt w:val="decimal"/>
      <w:lvlText w:val="%1.%2.%3.%4.%5.%6.%7.%8"/>
      <w:lvlJc w:val="left"/>
      <w:pPr>
        <w:ind w:left="567" w:hanging="283"/>
      </w:pPr>
      <w:rPr>
        <w:rFonts w:hint="default"/>
        <w:b/>
      </w:rPr>
    </w:lvl>
    <w:lvl w:ilvl="8">
      <w:start w:val="1"/>
      <w:numFmt w:val="decimal"/>
      <w:lvlText w:val="%1.%2.%3.%4.%5.%6.%7.%8.%9"/>
      <w:lvlJc w:val="left"/>
      <w:pPr>
        <w:ind w:left="567" w:hanging="283"/>
      </w:pPr>
      <w:rPr>
        <w:rFonts w:hint="default"/>
        <w:b/>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68555E3"/>
    <w:multiLevelType w:val="hybridMultilevel"/>
    <w:tmpl w:val="7218A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DD725A"/>
    <w:multiLevelType w:val="hybridMultilevel"/>
    <w:tmpl w:val="718458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74E38BC"/>
    <w:multiLevelType w:val="multilevel"/>
    <w:tmpl w:val="A51EDCF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2F056B2"/>
    <w:multiLevelType w:val="multilevel"/>
    <w:tmpl w:val="A51EDCF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65456429"/>
    <w:multiLevelType w:val="multilevel"/>
    <w:tmpl w:val="E898CC72"/>
    <w:numStyleLink w:val="KeyPoints"/>
  </w:abstractNum>
  <w:abstractNum w:abstractNumId="19">
    <w:nsid w:val="658C6FBB"/>
    <w:multiLevelType w:val="multilevel"/>
    <w:tmpl w:val="7D3CEEA4"/>
    <w:lvl w:ilvl="0">
      <w:start w:val="3"/>
      <w:numFmt w:val="decimal"/>
      <w:lvlText w:val="%1"/>
      <w:lvlJc w:val="left"/>
      <w:pPr>
        <w:ind w:left="360" w:hanging="360"/>
      </w:pPr>
      <w:rPr>
        <w:rFonts w:hint="default"/>
        <w:b/>
      </w:rPr>
    </w:lvl>
    <w:lvl w:ilvl="1">
      <w:start w:val="1"/>
      <w:numFmt w:val="decimal"/>
      <w:lvlText w:val="%1.%2"/>
      <w:lvlJc w:val="left"/>
      <w:pPr>
        <w:ind w:left="567" w:hanging="2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696063D6"/>
    <w:multiLevelType w:val="hybridMultilevel"/>
    <w:tmpl w:val="AECE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5C54E4"/>
    <w:multiLevelType w:val="hybridMultilevel"/>
    <w:tmpl w:val="07941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E25F6F"/>
    <w:multiLevelType w:val="hybridMultilevel"/>
    <w:tmpl w:val="E5DA7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31E217D"/>
    <w:multiLevelType w:val="hybridMultilevel"/>
    <w:tmpl w:val="4C0E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nsid w:val="793670A2"/>
    <w:multiLevelType w:val="hybridMultilevel"/>
    <w:tmpl w:val="58E25F02"/>
    <w:lvl w:ilvl="0" w:tplc="3376B7E4">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6A31CE"/>
    <w:multiLevelType w:val="multilevel"/>
    <w:tmpl w:val="7D3CEEA4"/>
    <w:lvl w:ilvl="0">
      <w:start w:val="3"/>
      <w:numFmt w:val="decimal"/>
      <w:lvlText w:val="%1"/>
      <w:lvlJc w:val="left"/>
      <w:pPr>
        <w:ind w:left="360" w:hanging="360"/>
      </w:pPr>
      <w:rPr>
        <w:rFonts w:hint="default"/>
        <w:b/>
      </w:rPr>
    </w:lvl>
    <w:lvl w:ilvl="1">
      <w:start w:val="1"/>
      <w:numFmt w:val="decimal"/>
      <w:lvlText w:val="%1.%2"/>
      <w:lvlJc w:val="left"/>
      <w:pPr>
        <w:ind w:left="567" w:hanging="2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4"/>
  </w:num>
  <w:num w:numId="2">
    <w:abstractNumId w:val="0"/>
  </w:num>
  <w:num w:numId="3">
    <w:abstractNumId w:val="13"/>
  </w:num>
  <w:num w:numId="4">
    <w:abstractNumId w:val="11"/>
  </w:num>
  <w:num w:numId="5">
    <w:abstractNumId w:val="18"/>
  </w:num>
  <w:num w:numId="6">
    <w:abstractNumId w:val="6"/>
  </w:num>
  <w:num w:numId="7">
    <w:abstractNumId w:val="23"/>
  </w:num>
  <w:num w:numId="8">
    <w:abstractNumId w:val="10"/>
  </w:num>
  <w:num w:numId="9">
    <w:abstractNumId w:val="15"/>
  </w:num>
  <w:num w:numId="10">
    <w:abstractNumId w:val="2"/>
  </w:num>
  <w:num w:numId="11">
    <w:abstractNumId w:val="4"/>
  </w:num>
  <w:num w:numId="12">
    <w:abstractNumId w:val="12"/>
  </w:num>
  <w:num w:numId="13">
    <w:abstractNumId w:val="7"/>
  </w:num>
  <w:num w:numId="14">
    <w:abstractNumId w:val="3"/>
  </w:num>
  <w:num w:numId="15">
    <w:abstractNumId w:val="21"/>
  </w:num>
  <w:num w:numId="16">
    <w:abstractNumId w:val="14"/>
  </w:num>
  <w:num w:numId="17">
    <w:abstractNumId w:val="1"/>
  </w:num>
  <w:num w:numId="18">
    <w:abstractNumId w:val="25"/>
  </w:num>
  <w:num w:numId="19">
    <w:abstractNumId w:val="9"/>
  </w:num>
  <w:num w:numId="20">
    <w:abstractNumId w:val="20"/>
  </w:num>
  <w:num w:numId="21">
    <w:abstractNumId w:val="19"/>
  </w:num>
  <w:num w:numId="22">
    <w:abstractNumId w:val="26"/>
  </w:num>
  <w:num w:numId="23">
    <w:abstractNumId w:val="8"/>
  </w:num>
  <w:num w:numId="24">
    <w:abstractNumId w:val="5"/>
  </w:num>
  <w:num w:numId="25">
    <w:abstractNumId w:val="17"/>
  </w:num>
  <w:num w:numId="26">
    <w:abstractNumId w:val="22"/>
  </w:num>
  <w:num w:numId="27">
    <w:abstractNumId w:val="16"/>
  </w:num>
  <w:num w:numId="2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docVars>
    <w:docVar w:name="SecurityClassificationInHeader" w:val="False"/>
  </w:docVars>
  <w:rsids>
    <w:rsidRoot w:val="00AC5979"/>
    <w:rsid w:val="00004AEE"/>
    <w:rsid w:val="00005272"/>
    <w:rsid w:val="00005CAA"/>
    <w:rsid w:val="00010210"/>
    <w:rsid w:val="00012D66"/>
    <w:rsid w:val="00013708"/>
    <w:rsid w:val="00013D05"/>
    <w:rsid w:val="00015ADA"/>
    <w:rsid w:val="000208BC"/>
    <w:rsid w:val="00020C99"/>
    <w:rsid w:val="0002136A"/>
    <w:rsid w:val="0002707B"/>
    <w:rsid w:val="0004435A"/>
    <w:rsid w:val="00046658"/>
    <w:rsid w:val="0005148E"/>
    <w:rsid w:val="000547ED"/>
    <w:rsid w:val="000548B9"/>
    <w:rsid w:val="000643E5"/>
    <w:rsid w:val="00066C8D"/>
    <w:rsid w:val="00072C5A"/>
    <w:rsid w:val="000759E5"/>
    <w:rsid w:val="00080EC4"/>
    <w:rsid w:val="00084AC6"/>
    <w:rsid w:val="000866C2"/>
    <w:rsid w:val="00091608"/>
    <w:rsid w:val="0009333C"/>
    <w:rsid w:val="000945F3"/>
    <w:rsid w:val="000956BB"/>
    <w:rsid w:val="0009704F"/>
    <w:rsid w:val="000A0621"/>
    <w:rsid w:val="000A0F11"/>
    <w:rsid w:val="000A125A"/>
    <w:rsid w:val="000A57CD"/>
    <w:rsid w:val="000B3273"/>
    <w:rsid w:val="000B3758"/>
    <w:rsid w:val="000B7681"/>
    <w:rsid w:val="000B7B42"/>
    <w:rsid w:val="000C02B7"/>
    <w:rsid w:val="000C2638"/>
    <w:rsid w:val="000C5100"/>
    <w:rsid w:val="000C5342"/>
    <w:rsid w:val="000C706A"/>
    <w:rsid w:val="000D2887"/>
    <w:rsid w:val="000D6D63"/>
    <w:rsid w:val="000E0081"/>
    <w:rsid w:val="000E07CF"/>
    <w:rsid w:val="000E31C1"/>
    <w:rsid w:val="000F2CF2"/>
    <w:rsid w:val="00100BEF"/>
    <w:rsid w:val="00104959"/>
    <w:rsid w:val="00110DE8"/>
    <w:rsid w:val="00111326"/>
    <w:rsid w:val="00111D1B"/>
    <w:rsid w:val="0011498E"/>
    <w:rsid w:val="00117A45"/>
    <w:rsid w:val="001224AE"/>
    <w:rsid w:val="00124FDF"/>
    <w:rsid w:val="001337D4"/>
    <w:rsid w:val="001347DB"/>
    <w:rsid w:val="001376B5"/>
    <w:rsid w:val="00147C12"/>
    <w:rsid w:val="001527A1"/>
    <w:rsid w:val="001530DC"/>
    <w:rsid w:val="00154989"/>
    <w:rsid w:val="00155A9F"/>
    <w:rsid w:val="00160262"/>
    <w:rsid w:val="00165A70"/>
    <w:rsid w:val="00167697"/>
    <w:rsid w:val="0016780A"/>
    <w:rsid w:val="001713FA"/>
    <w:rsid w:val="00172840"/>
    <w:rsid w:val="00173EBF"/>
    <w:rsid w:val="00175ED3"/>
    <w:rsid w:val="001842A2"/>
    <w:rsid w:val="00184A98"/>
    <w:rsid w:val="001867B4"/>
    <w:rsid w:val="00187FA8"/>
    <w:rsid w:val="00192F5E"/>
    <w:rsid w:val="00197772"/>
    <w:rsid w:val="001A18D0"/>
    <w:rsid w:val="001A25B9"/>
    <w:rsid w:val="001A51C8"/>
    <w:rsid w:val="001A526C"/>
    <w:rsid w:val="001B4CA8"/>
    <w:rsid w:val="001B5EA1"/>
    <w:rsid w:val="001B63FD"/>
    <w:rsid w:val="001B73AF"/>
    <w:rsid w:val="001C27AC"/>
    <w:rsid w:val="001C4F3D"/>
    <w:rsid w:val="001D0CDC"/>
    <w:rsid w:val="001D1D82"/>
    <w:rsid w:val="001D6069"/>
    <w:rsid w:val="001E1182"/>
    <w:rsid w:val="00202C90"/>
    <w:rsid w:val="00203708"/>
    <w:rsid w:val="00213DE8"/>
    <w:rsid w:val="002152E1"/>
    <w:rsid w:val="00216118"/>
    <w:rsid w:val="002209AB"/>
    <w:rsid w:val="00221ADC"/>
    <w:rsid w:val="00223CBA"/>
    <w:rsid w:val="002240E4"/>
    <w:rsid w:val="002251E3"/>
    <w:rsid w:val="00227A95"/>
    <w:rsid w:val="002316BD"/>
    <w:rsid w:val="00235046"/>
    <w:rsid w:val="00236258"/>
    <w:rsid w:val="002473FC"/>
    <w:rsid w:val="00252E3C"/>
    <w:rsid w:val="0025468A"/>
    <w:rsid w:val="00262198"/>
    <w:rsid w:val="00272F1F"/>
    <w:rsid w:val="00280699"/>
    <w:rsid w:val="00283296"/>
    <w:rsid w:val="00285F1B"/>
    <w:rsid w:val="00292B81"/>
    <w:rsid w:val="002A08D8"/>
    <w:rsid w:val="002A0973"/>
    <w:rsid w:val="002A1C3A"/>
    <w:rsid w:val="002A7A62"/>
    <w:rsid w:val="002B18AE"/>
    <w:rsid w:val="002B3B88"/>
    <w:rsid w:val="002B49A9"/>
    <w:rsid w:val="002B5ED7"/>
    <w:rsid w:val="002C0FB8"/>
    <w:rsid w:val="002C1C93"/>
    <w:rsid w:val="002C3D34"/>
    <w:rsid w:val="002C5066"/>
    <w:rsid w:val="002C529D"/>
    <w:rsid w:val="002C5813"/>
    <w:rsid w:val="002D114E"/>
    <w:rsid w:val="002D4AAC"/>
    <w:rsid w:val="002D6C17"/>
    <w:rsid w:val="002E4A6E"/>
    <w:rsid w:val="002F045A"/>
    <w:rsid w:val="002F0B04"/>
    <w:rsid w:val="0030039D"/>
    <w:rsid w:val="0030326F"/>
    <w:rsid w:val="00310701"/>
    <w:rsid w:val="00311225"/>
    <w:rsid w:val="00314299"/>
    <w:rsid w:val="00315980"/>
    <w:rsid w:val="00316F7F"/>
    <w:rsid w:val="003218E8"/>
    <w:rsid w:val="00325E34"/>
    <w:rsid w:val="00330816"/>
    <w:rsid w:val="00330DCE"/>
    <w:rsid w:val="00331E11"/>
    <w:rsid w:val="00334761"/>
    <w:rsid w:val="00335067"/>
    <w:rsid w:val="00337EBC"/>
    <w:rsid w:val="00341DCD"/>
    <w:rsid w:val="0034563E"/>
    <w:rsid w:val="003518D6"/>
    <w:rsid w:val="0035460C"/>
    <w:rsid w:val="003556BD"/>
    <w:rsid w:val="00357593"/>
    <w:rsid w:val="00365147"/>
    <w:rsid w:val="0037016E"/>
    <w:rsid w:val="00372908"/>
    <w:rsid w:val="00376EE4"/>
    <w:rsid w:val="003800AD"/>
    <w:rsid w:val="003826F5"/>
    <w:rsid w:val="00383020"/>
    <w:rsid w:val="00391E26"/>
    <w:rsid w:val="00394D7E"/>
    <w:rsid w:val="003975FD"/>
    <w:rsid w:val="003B057D"/>
    <w:rsid w:val="003B20C5"/>
    <w:rsid w:val="003B60CC"/>
    <w:rsid w:val="003C1B25"/>
    <w:rsid w:val="003C2443"/>
    <w:rsid w:val="003C5045"/>
    <w:rsid w:val="003C5DA3"/>
    <w:rsid w:val="003D4BCD"/>
    <w:rsid w:val="003D6ACE"/>
    <w:rsid w:val="003D6C2B"/>
    <w:rsid w:val="003E01D8"/>
    <w:rsid w:val="003E07CB"/>
    <w:rsid w:val="003E2100"/>
    <w:rsid w:val="003F1248"/>
    <w:rsid w:val="003F5BD4"/>
    <w:rsid w:val="003F6F5B"/>
    <w:rsid w:val="0040022D"/>
    <w:rsid w:val="00402383"/>
    <w:rsid w:val="0040342D"/>
    <w:rsid w:val="00403479"/>
    <w:rsid w:val="0041020F"/>
    <w:rsid w:val="0041192D"/>
    <w:rsid w:val="00413EE1"/>
    <w:rsid w:val="00416E5A"/>
    <w:rsid w:val="0042128E"/>
    <w:rsid w:val="00432B60"/>
    <w:rsid w:val="00440698"/>
    <w:rsid w:val="00441278"/>
    <w:rsid w:val="00443F2F"/>
    <w:rsid w:val="00446730"/>
    <w:rsid w:val="00451F25"/>
    <w:rsid w:val="004540E2"/>
    <w:rsid w:val="00454454"/>
    <w:rsid w:val="00454F67"/>
    <w:rsid w:val="00467924"/>
    <w:rsid w:val="004712A5"/>
    <w:rsid w:val="0047266F"/>
    <w:rsid w:val="00476D6B"/>
    <w:rsid w:val="00492BE7"/>
    <w:rsid w:val="00492C16"/>
    <w:rsid w:val="004A0678"/>
    <w:rsid w:val="004A48A3"/>
    <w:rsid w:val="004A4FD8"/>
    <w:rsid w:val="004A680C"/>
    <w:rsid w:val="004B0CD0"/>
    <w:rsid w:val="004B0D92"/>
    <w:rsid w:val="004B0EC0"/>
    <w:rsid w:val="004B0FDC"/>
    <w:rsid w:val="004B4B0E"/>
    <w:rsid w:val="004B66F1"/>
    <w:rsid w:val="004C2491"/>
    <w:rsid w:val="004C3EA0"/>
    <w:rsid w:val="004C56AB"/>
    <w:rsid w:val="004D2B13"/>
    <w:rsid w:val="004D4BA3"/>
    <w:rsid w:val="004F0BEB"/>
    <w:rsid w:val="004F372A"/>
    <w:rsid w:val="004F7169"/>
    <w:rsid w:val="00500B63"/>
    <w:rsid w:val="00500D66"/>
    <w:rsid w:val="00502F91"/>
    <w:rsid w:val="005145A2"/>
    <w:rsid w:val="00514C8E"/>
    <w:rsid w:val="00515DDB"/>
    <w:rsid w:val="00525454"/>
    <w:rsid w:val="00525C15"/>
    <w:rsid w:val="00531DBF"/>
    <w:rsid w:val="00543005"/>
    <w:rsid w:val="005456BD"/>
    <w:rsid w:val="00545759"/>
    <w:rsid w:val="00545BE0"/>
    <w:rsid w:val="00546930"/>
    <w:rsid w:val="00546AC7"/>
    <w:rsid w:val="00551349"/>
    <w:rsid w:val="00552104"/>
    <w:rsid w:val="00553536"/>
    <w:rsid w:val="00554C6A"/>
    <w:rsid w:val="00555725"/>
    <w:rsid w:val="005611B9"/>
    <w:rsid w:val="00562E85"/>
    <w:rsid w:val="0056310D"/>
    <w:rsid w:val="0056332F"/>
    <w:rsid w:val="0056500F"/>
    <w:rsid w:val="005719B3"/>
    <w:rsid w:val="0057295E"/>
    <w:rsid w:val="00581C39"/>
    <w:rsid w:val="00582D55"/>
    <w:rsid w:val="00585154"/>
    <w:rsid w:val="0058682B"/>
    <w:rsid w:val="00586C02"/>
    <w:rsid w:val="0059024A"/>
    <w:rsid w:val="005903B6"/>
    <w:rsid w:val="00590BEB"/>
    <w:rsid w:val="00590D52"/>
    <w:rsid w:val="005A0247"/>
    <w:rsid w:val="005A126E"/>
    <w:rsid w:val="005A28F0"/>
    <w:rsid w:val="005A3405"/>
    <w:rsid w:val="005A452F"/>
    <w:rsid w:val="005A6CE2"/>
    <w:rsid w:val="005B140D"/>
    <w:rsid w:val="005B1F2C"/>
    <w:rsid w:val="005B5136"/>
    <w:rsid w:val="005B5D80"/>
    <w:rsid w:val="005B6F29"/>
    <w:rsid w:val="005B7213"/>
    <w:rsid w:val="005C1FEA"/>
    <w:rsid w:val="005C20D2"/>
    <w:rsid w:val="005C3495"/>
    <w:rsid w:val="005D1869"/>
    <w:rsid w:val="005D51F3"/>
    <w:rsid w:val="005E11C3"/>
    <w:rsid w:val="005E322B"/>
    <w:rsid w:val="005E3DFC"/>
    <w:rsid w:val="005E5942"/>
    <w:rsid w:val="005E5C48"/>
    <w:rsid w:val="005E60AF"/>
    <w:rsid w:val="005F1DEA"/>
    <w:rsid w:val="005F54BA"/>
    <w:rsid w:val="005F5E89"/>
    <w:rsid w:val="00601802"/>
    <w:rsid w:val="006032F4"/>
    <w:rsid w:val="00604016"/>
    <w:rsid w:val="006054BA"/>
    <w:rsid w:val="00606B45"/>
    <w:rsid w:val="00607FC9"/>
    <w:rsid w:val="0061348B"/>
    <w:rsid w:val="00615CB6"/>
    <w:rsid w:val="006216BC"/>
    <w:rsid w:val="00622FE1"/>
    <w:rsid w:val="0062521C"/>
    <w:rsid w:val="00630A2B"/>
    <w:rsid w:val="00632DC7"/>
    <w:rsid w:val="0063378A"/>
    <w:rsid w:val="006357FB"/>
    <w:rsid w:val="006406FC"/>
    <w:rsid w:val="00640E57"/>
    <w:rsid w:val="00643CC2"/>
    <w:rsid w:val="0064451E"/>
    <w:rsid w:val="00646122"/>
    <w:rsid w:val="00646CAE"/>
    <w:rsid w:val="00650B32"/>
    <w:rsid w:val="00653C82"/>
    <w:rsid w:val="00653E16"/>
    <w:rsid w:val="0065692A"/>
    <w:rsid w:val="00657220"/>
    <w:rsid w:val="00657362"/>
    <w:rsid w:val="0066104B"/>
    <w:rsid w:val="006655EE"/>
    <w:rsid w:val="00667C10"/>
    <w:rsid w:val="00667EF4"/>
    <w:rsid w:val="00676FCA"/>
    <w:rsid w:val="00677177"/>
    <w:rsid w:val="00684A4E"/>
    <w:rsid w:val="00684C9A"/>
    <w:rsid w:val="0068612E"/>
    <w:rsid w:val="00687C92"/>
    <w:rsid w:val="0069534E"/>
    <w:rsid w:val="0069669C"/>
    <w:rsid w:val="006A1200"/>
    <w:rsid w:val="006A4F4E"/>
    <w:rsid w:val="006A6C23"/>
    <w:rsid w:val="006B14DB"/>
    <w:rsid w:val="006B21C4"/>
    <w:rsid w:val="006C10C7"/>
    <w:rsid w:val="006C419D"/>
    <w:rsid w:val="006C4A1A"/>
    <w:rsid w:val="006C6069"/>
    <w:rsid w:val="006C64B1"/>
    <w:rsid w:val="006D0393"/>
    <w:rsid w:val="006D1A83"/>
    <w:rsid w:val="006E1CFE"/>
    <w:rsid w:val="006E1D7B"/>
    <w:rsid w:val="006F0C7C"/>
    <w:rsid w:val="006F10C4"/>
    <w:rsid w:val="006F10D4"/>
    <w:rsid w:val="006F40E9"/>
    <w:rsid w:val="006F5603"/>
    <w:rsid w:val="006F58F4"/>
    <w:rsid w:val="00701400"/>
    <w:rsid w:val="007037CF"/>
    <w:rsid w:val="007167C0"/>
    <w:rsid w:val="00720481"/>
    <w:rsid w:val="00733193"/>
    <w:rsid w:val="00735EC8"/>
    <w:rsid w:val="007377B8"/>
    <w:rsid w:val="00742328"/>
    <w:rsid w:val="00744DDA"/>
    <w:rsid w:val="00745E03"/>
    <w:rsid w:val="0075732A"/>
    <w:rsid w:val="007600F8"/>
    <w:rsid w:val="00760262"/>
    <w:rsid w:val="007608E8"/>
    <w:rsid w:val="007611B2"/>
    <w:rsid w:val="00761D39"/>
    <w:rsid w:val="0076310C"/>
    <w:rsid w:val="00763401"/>
    <w:rsid w:val="0076744F"/>
    <w:rsid w:val="00767BCE"/>
    <w:rsid w:val="00767EFC"/>
    <w:rsid w:val="00767F87"/>
    <w:rsid w:val="007707DE"/>
    <w:rsid w:val="00770B5D"/>
    <w:rsid w:val="007752F1"/>
    <w:rsid w:val="00776768"/>
    <w:rsid w:val="0078187A"/>
    <w:rsid w:val="007A2573"/>
    <w:rsid w:val="007B106C"/>
    <w:rsid w:val="007B1A4E"/>
    <w:rsid w:val="007B3C4B"/>
    <w:rsid w:val="007B3D05"/>
    <w:rsid w:val="007B5503"/>
    <w:rsid w:val="007C179C"/>
    <w:rsid w:val="007C6BB3"/>
    <w:rsid w:val="007D14B4"/>
    <w:rsid w:val="007D3AD7"/>
    <w:rsid w:val="007E24F6"/>
    <w:rsid w:val="00800F64"/>
    <w:rsid w:val="00801050"/>
    <w:rsid w:val="00802F0B"/>
    <w:rsid w:val="00807B50"/>
    <w:rsid w:val="00810A67"/>
    <w:rsid w:val="00813DB4"/>
    <w:rsid w:val="008168CC"/>
    <w:rsid w:val="008169BC"/>
    <w:rsid w:val="00822062"/>
    <w:rsid w:val="008257FD"/>
    <w:rsid w:val="008311B2"/>
    <w:rsid w:val="00832FB2"/>
    <w:rsid w:val="00833CF7"/>
    <w:rsid w:val="00834CDE"/>
    <w:rsid w:val="008409D6"/>
    <w:rsid w:val="00842464"/>
    <w:rsid w:val="00845601"/>
    <w:rsid w:val="00852C78"/>
    <w:rsid w:val="00855C5C"/>
    <w:rsid w:val="00872607"/>
    <w:rsid w:val="00887483"/>
    <w:rsid w:val="0089328F"/>
    <w:rsid w:val="008A1417"/>
    <w:rsid w:val="008A3C96"/>
    <w:rsid w:val="008B087D"/>
    <w:rsid w:val="008B3A7F"/>
    <w:rsid w:val="008B4019"/>
    <w:rsid w:val="008B65C9"/>
    <w:rsid w:val="008B6E09"/>
    <w:rsid w:val="008B7352"/>
    <w:rsid w:val="008C2D4A"/>
    <w:rsid w:val="008D3900"/>
    <w:rsid w:val="008D6E1D"/>
    <w:rsid w:val="008F39B4"/>
    <w:rsid w:val="008F4162"/>
    <w:rsid w:val="0090205A"/>
    <w:rsid w:val="00903E02"/>
    <w:rsid w:val="00913175"/>
    <w:rsid w:val="00916EDB"/>
    <w:rsid w:val="00920861"/>
    <w:rsid w:val="00922B13"/>
    <w:rsid w:val="009237F4"/>
    <w:rsid w:val="009242EF"/>
    <w:rsid w:val="009315AF"/>
    <w:rsid w:val="00932291"/>
    <w:rsid w:val="00932861"/>
    <w:rsid w:val="0093408E"/>
    <w:rsid w:val="00947783"/>
    <w:rsid w:val="00951931"/>
    <w:rsid w:val="00951AF7"/>
    <w:rsid w:val="00952DDF"/>
    <w:rsid w:val="00952F57"/>
    <w:rsid w:val="00953DF0"/>
    <w:rsid w:val="00963B6A"/>
    <w:rsid w:val="00970950"/>
    <w:rsid w:val="00973E38"/>
    <w:rsid w:val="009812D4"/>
    <w:rsid w:val="00986DD4"/>
    <w:rsid w:val="00990F9D"/>
    <w:rsid w:val="009920D8"/>
    <w:rsid w:val="009968CB"/>
    <w:rsid w:val="00996FE5"/>
    <w:rsid w:val="009A1839"/>
    <w:rsid w:val="009B0AF5"/>
    <w:rsid w:val="009B38BE"/>
    <w:rsid w:val="009B6D46"/>
    <w:rsid w:val="009C16F8"/>
    <w:rsid w:val="009C3D0F"/>
    <w:rsid w:val="009E1B19"/>
    <w:rsid w:val="009E2EFC"/>
    <w:rsid w:val="009F35E2"/>
    <w:rsid w:val="009F65F9"/>
    <w:rsid w:val="009F68BA"/>
    <w:rsid w:val="00A06277"/>
    <w:rsid w:val="00A079DC"/>
    <w:rsid w:val="00A111C2"/>
    <w:rsid w:val="00A12308"/>
    <w:rsid w:val="00A23395"/>
    <w:rsid w:val="00A25695"/>
    <w:rsid w:val="00A331B8"/>
    <w:rsid w:val="00A338E7"/>
    <w:rsid w:val="00A35CAA"/>
    <w:rsid w:val="00A36E7F"/>
    <w:rsid w:val="00A41559"/>
    <w:rsid w:val="00A41E65"/>
    <w:rsid w:val="00A43E0A"/>
    <w:rsid w:val="00A463F4"/>
    <w:rsid w:val="00A530C7"/>
    <w:rsid w:val="00A53CE2"/>
    <w:rsid w:val="00A55F5B"/>
    <w:rsid w:val="00A60185"/>
    <w:rsid w:val="00A611C8"/>
    <w:rsid w:val="00A661EA"/>
    <w:rsid w:val="00A830E5"/>
    <w:rsid w:val="00A87135"/>
    <w:rsid w:val="00A9278C"/>
    <w:rsid w:val="00A92C17"/>
    <w:rsid w:val="00A93280"/>
    <w:rsid w:val="00A951EA"/>
    <w:rsid w:val="00AA2548"/>
    <w:rsid w:val="00AA58C4"/>
    <w:rsid w:val="00AA6B18"/>
    <w:rsid w:val="00AB11C8"/>
    <w:rsid w:val="00AB3AC1"/>
    <w:rsid w:val="00AB77F0"/>
    <w:rsid w:val="00AC08A8"/>
    <w:rsid w:val="00AC0B2B"/>
    <w:rsid w:val="00AC1159"/>
    <w:rsid w:val="00AC246C"/>
    <w:rsid w:val="00AC57F8"/>
    <w:rsid w:val="00AC5979"/>
    <w:rsid w:val="00AD56C8"/>
    <w:rsid w:val="00AD58F2"/>
    <w:rsid w:val="00AE0E10"/>
    <w:rsid w:val="00AE5354"/>
    <w:rsid w:val="00AF2702"/>
    <w:rsid w:val="00AF3AB5"/>
    <w:rsid w:val="00B0512A"/>
    <w:rsid w:val="00B0529F"/>
    <w:rsid w:val="00B12244"/>
    <w:rsid w:val="00B1418B"/>
    <w:rsid w:val="00B21195"/>
    <w:rsid w:val="00B22660"/>
    <w:rsid w:val="00B24B22"/>
    <w:rsid w:val="00B25310"/>
    <w:rsid w:val="00B26403"/>
    <w:rsid w:val="00B306CE"/>
    <w:rsid w:val="00B32F8F"/>
    <w:rsid w:val="00B35113"/>
    <w:rsid w:val="00B37802"/>
    <w:rsid w:val="00B54DE9"/>
    <w:rsid w:val="00B553EC"/>
    <w:rsid w:val="00B55E3F"/>
    <w:rsid w:val="00B72756"/>
    <w:rsid w:val="00B74172"/>
    <w:rsid w:val="00B77C27"/>
    <w:rsid w:val="00B857B5"/>
    <w:rsid w:val="00B86FDE"/>
    <w:rsid w:val="00B93DD0"/>
    <w:rsid w:val="00B94009"/>
    <w:rsid w:val="00B97732"/>
    <w:rsid w:val="00BA65A8"/>
    <w:rsid w:val="00BA6D19"/>
    <w:rsid w:val="00BA7461"/>
    <w:rsid w:val="00BA7DA9"/>
    <w:rsid w:val="00BB23A7"/>
    <w:rsid w:val="00BB64F5"/>
    <w:rsid w:val="00BC3BCE"/>
    <w:rsid w:val="00BC4215"/>
    <w:rsid w:val="00BD0A78"/>
    <w:rsid w:val="00BD1A6F"/>
    <w:rsid w:val="00BD41D9"/>
    <w:rsid w:val="00BD4C44"/>
    <w:rsid w:val="00BE0835"/>
    <w:rsid w:val="00BE6D3C"/>
    <w:rsid w:val="00BE6ED3"/>
    <w:rsid w:val="00BE7852"/>
    <w:rsid w:val="00BE7F03"/>
    <w:rsid w:val="00BF7CEE"/>
    <w:rsid w:val="00C02641"/>
    <w:rsid w:val="00C03880"/>
    <w:rsid w:val="00C135CF"/>
    <w:rsid w:val="00C15D22"/>
    <w:rsid w:val="00C16432"/>
    <w:rsid w:val="00C16DCC"/>
    <w:rsid w:val="00C22A31"/>
    <w:rsid w:val="00C2683F"/>
    <w:rsid w:val="00C30FB7"/>
    <w:rsid w:val="00C3184D"/>
    <w:rsid w:val="00C40FC8"/>
    <w:rsid w:val="00C41F51"/>
    <w:rsid w:val="00C429C8"/>
    <w:rsid w:val="00C455EA"/>
    <w:rsid w:val="00C4714E"/>
    <w:rsid w:val="00C51CCA"/>
    <w:rsid w:val="00C5210B"/>
    <w:rsid w:val="00C5504F"/>
    <w:rsid w:val="00C564B9"/>
    <w:rsid w:val="00C570F2"/>
    <w:rsid w:val="00C57B55"/>
    <w:rsid w:val="00C63376"/>
    <w:rsid w:val="00C743AB"/>
    <w:rsid w:val="00C74F97"/>
    <w:rsid w:val="00C8276E"/>
    <w:rsid w:val="00C842AC"/>
    <w:rsid w:val="00C95B15"/>
    <w:rsid w:val="00C96688"/>
    <w:rsid w:val="00CA0723"/>
    <w:rsid w:val="00CA2BFC"/>
    <w:rsid w:val="00CB1690"/>
    <w:rsid w:val="00CC4365"/>
    <w:rsid w:val="00CC79D0"/>
    <w:rsid w:val="00CD0E90"/>
    <w:rsid w:val="00CD11B0"/>
    <w:rsid w:val="00CD45A0"/>
    <w:rsid w:val="00CD71D4"/>
    <w:rsid w:val="00CE1BD1"/>
    <w:rsid w:val="00CE4266"/>
    <w:rsid w:val="00CE71C2"/>
    <w:rsid w:val="00CF42D5"/>
    <w:rsid w:val="00CF4EDA"/>
    <w:rsid w:val="00D021CB"/>
    <w:rsid w:val="00D05BA3"/>
    <w:rsid w:val="00D10F1A"/>
    <w:rsid w:val="00D116F8"/>
    <w:rsid w:val="00D14C9B"/>
    <w:rsid w:val="00D17596"/>
    <w:rsid w:val="00D20642"/>
    <w:rsid w:val="00D207E9"/>
    <w:rsid w:val="00D22640"/>
    <w:rsid w:val="00D2598C"/>
    <w:rsid w:val="00D26D3A"/>
    <w:rsid w:val="00D3512B"/>
    <w:rsid w:val="00D36E17"/>
    <w:rsid w:val="00D40814"/>
    <w:rsid w:val="00D45EE3"/>
    <w:rsid w:val="00D471D3"/>
    <w:rsid w:val="00D50618"/>
    <w:rsid w:val="00D509E9"/>
    <w:rsid w:val="00D53B1C"/>
    <w:rsid w:val="00D71137"/>
    <w:rsid w:val="00D71CE7"/>
    <w:rsid w:val="00D7303B"/>
    <w:rsid w:val="00D90D6B"/>
    <w:rsid w:val="00D91151"/>
    <w:rsid w:val="00D92DCD"/>
    <w:rsid w:val="00DA1B12"/>
    <w:rsid w:val="00DA32BC"/>
    <w:rsid w:val="00DA502B"/>
    <w:rsid w:val="00DA54C9"/>
    <w:rsid w:val="00DA6739"/>
    <w:rsid w:val="00DA6CAE"/>
    <w:rsid w:val="00DB1A9E"/>
    <w:rsid w:val="00DB31D6"/>
    <w:rsid w:val="00DB39F1"/>
    <w:rsid w:val="00DB4005"/>
    <w:rsid w:val="00DC34EB"/>
    <w:rsid w:val="00DD59FE"/>
    <w:rsid w:val="00DD5B8B"/>
    <w:rsid w:val="00DD66AC"/>
    <w:rsid w:val="00DF1E5B"/>
    <w:rsid w:val="00DF2275"/>
    <w:rsid w:val="00DF3F5E"/>
    <w:rsid w:val="00DF5653"/>
    <w:rsid w:val="00DF658A"/>
    <w:rsid w:val="00E024A5"/>
    <w:rsid w:val="00E0392B"/>
    <w:rsid w:val="00E0596E"/>
    <w:rsid w:val="00E06F66"/>
    <w:rsid w:val="00E113F8"/>
    <w:rsid w:val="00E2088F"/>
    <w:rsid w:val="00E249A9"/>
    <w:rsid w:val="00E27880"/>
    <w:rsid w:val="00E30197"/>
    <w:rsid w:val="00E308B3"/>
    <w:rsid w:val="00E3230E"/>
    <w:rsid w:val="00E356E5"/>
    <w:rsid w:val="00E362E5"/>
    <w:rsid w:val="00E36F81"/>
    <w:rsid w:val="00E412E5"/>
    <w:rsid w:val="00E45765"/>
    <w:rsid w:val="00E46F01"/>
    <w:rsid w:val="00E5098C"/>
    <w:rsid w:val="00E51271"/>
    <w:rsid w:val="00E60213"/>
    <w:rsid w:val="00E61C85"/>
    <w:rsid w:val="00E624CB"/>
    <w:rsid w:val="00E64BF3"/>
    <w:rsid w:val="00E656BB"/>
    <w:rsid w:val="00E661B2"/>
    <w:rsid w:val="00E74D29"/>
    <w:rsid w:val="00E83C74"/>
    <w:rsid w:val="00E83CEE"/>
    <w:rsid w:val="00E91F18"/>
    <w:rsid w:val="00E9226D"/>
    <w:rsid w:val="00EA2DF4"/>
    <w:rsid w:val="00EA416C"/>
    <w:rsid w:val="00EA5941"/>
    <w:rsid w:val="00EA7AFF"/>
    <w:rsid w:val="00EB13B0"/>
    <w:rsid w:val="00EB60CE"/>
    <w:rsid w:val="00EB7D53"/>
    <w:rsid w:val="00EC05F0"/>
    <w:rsid w:val="00EC5728"/>
    <w:rsid w:val="00EC6BA2"/>
    <w:rsid w:val="00EE3146"/>
    <w:rsid w:val="00EE319D"/>
    <w:rsid w:val="00EE3444"/>
    <w:rsid w:val="00EE3AA7"/>
    <w:rsid w:val="00EF50BB"/>
    <w:rsid w:val="00EF53FF"/>
    <w:rsid w:val="00EF6B9F"/>
    <w:rsid w:val="00EF7142"/>
    <w:rsid w:val="00F00192"/>
    <w:rsid w:val="00F01437"/>
    <w:rsid w:val="00F01DF6"/>
    <w:rsid w:val="00F0340D"/>
    <w:rsid w:val="00F059A6"/>
    <w:rsid w:val="00F05A5C"/>
    <w:rsid w:val="00F23756"/>
    <w:rsid w:val="00F2523A"/>
    <w:rsid w:val="00F25CED"/>
    <w:rsid w:val="00F25FFA"/>
    <w:rsid w:val="00F310D2"/>
    <w:rsid w:val="00F36ACC"/>
    <w:rsid w:val="00F36F3D"/>
    <w:rsid w:val="00F41A29"/>
    <w:rsid w:val="00F43A77"/>
    <w:rsid w:val="00F477BD"/>
    <w:rsid w:val="00F53491"/>
    <w:rsid w:val="00F5542A"/>
    <w:rsid w:val="00F65A1C"/>
    <w:rsid w:val="00F66F50"/>
    <w:rsid w:val="00F711C2"/>
    <w:rsid w:val="00F733E8"/>
    <w:rsid w:val="00F74A04"/>
    <w:rsid w:val="00F75D66"/>
    <w:rsid w:val="00F82FF8"/>
    <w:rsid w:val="00F8330D"/>
    <w:rsid w:val="00F84305"/>
    <w:rsid w:val="00F8485C"/>
    <w:rsid w:val="00F87149"/>
    <w:rsid w:val="00F87FFE"/>
    <w:rsid w:val="00F954C9"/>
    <w:rsid w:val="00F97480"/>
    <w:rsid w:val="00FA23C1"/>
    <w:rsid w:val="00FA4CF0"/>
    <w:rsid w:val="00FA61AA"/>
    <w:rsid w:val="00FA69A4"/>
    <w:rsid w:val="00FA7101"/>
    <w:rsid w:val="00FB0AB1"/>
    <w:rsid w:val="00FB1279"/>
    <w:rsid w:val="00FB1495"/>
    <w:rsid w:val="00FD1694"/>
    <w:rsid w:val="00FD6628"/>
    <w:rsid w:val="00FD7636"/>
    <w:rsid w:val="00FE208A"/>
    <w:rsid w:val="00FE3229"/>
    <w:rsid w:val="00FE3FEA"/>
    <w:rsid w:val="00FE4410"/>
    <w:rsid w:val="00FE74C3"/>
    <w:rsid w:val="00FE7A47"/>
    <w:rsid w:val="00FF215C"/>
    <w:rsid w:val="00FF49E8"/>
    <w:rsid w:val="00FF6112"/>
    <w:rsid w:val="00FF672F"/>
    <w:rsid w:val="00FF76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3708"/>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table" w:customStyle="1" w:styleId="TableGrid1">
    <w:name w:val="Table Grid1"/>
    <w:basedOn w:val="TableNormal"/>
    <w:next w:val="TableGrid"/>
    <w:uiPriority w:val="59"/>
    <w:rsid w:val="005A34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7101"/>
    <w:rPr>
      <w:sz w:val="16"/>
      <w:szCs w:val="16"/>
    </w:rPr>
  </w:style>
  <w:style w:type="paragraph" w:styleId="CommentText">
    <w:name w:val="annotation text"/>
    <w:basedOn w:val="Normal"/>
    <w:link w:val="CommentTextChar"/>
    <w:uiPriority w:val="99"/>
    <w:semiHidden/>
    <w:unhideWhenUsed/>
    <w:rsid w:val="00FA7101"/>
    <w:pPr>
      <w:spacing w:line="240" w:lineRule="auto"/>
    </w:pPr>
    <w:rPr>
      <w:sz w:val="20"/>
      <w:szCs w:val="20"/>
    </w:rPr>
  </w:style>
  <w:style w:type="character" w:customStyle="1" w:styleId="CommentTextChar">
    <w:name w:val="Comment Text Char"/>
    <w:basedOn w:val="DefaultParagraphFont"/>
    <w:link w:val="CommentText"/>
    <w:uiPriority w:val="99"/>
    <w:semiHidden/>
    <w:rsid w:val="00FA7101"/>
    <w:rPr>
      <w:lang w:eastAsia="en-US"/>
    </w:rPr>
  </w:style>
  <w:style w:type="paragraph" w:styleId="CommentSubject">
    <w:name w:val="annotation subject"/>
    <w:basedOn w:val="CommentText"/>
    <w:next w:val="CommentText"/>
    <w:link w:val="CommentSubjectChar"/>
    <w:uiPriority w:val="99"/>
    <w:semiHidden/>
    <w:unhideWhenUsed/>
    <w:rsid w:val="00FA7101"/>
    <w:rPr>
      <w:b/>
      <w:bCs/>
    </w:rPr>
  </w:style>
  <w:style w:type="character" w:customStyle="1" w:styleId="CommentSubjectChar">
    <w:name w:val="Comment Subject Char"/>
    <w:basedOn w:val="CommentTextChar"/>
    <w:link w:val="CommentSubject"/>
    <w:uiPriority w:val="99"/>
    <w:semiHidden/>
    <w:rsid w:val="00FA7101"/>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http://intranet.environment.gov.au/SiteCollectionImages/Logos/inline-sewpc.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98D64-CC5E-4AA2-88F2-AC657E60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Sustainability, Environment, Water, Population and CommunitiesAgency Multicultural Plan for 2013–15</dc:title>
  <dc:creator>_</dc:creator>
  <cp:lastModifiedBy>Rebecca Durack</cp:lastModifiedBy>
  <cp:revision>2</cp:revision>
  <cp:lastPrinted>2013-06-28T05:05:00Z</cp:lastPrinted>
  <dcterms:created xsi:type="dcterms:W3CDTF">2013-08-02T01:05:00Z</dcterms:created>
  <dcterms:modified xsi:type="dcterms:W3CDTF">2013-08-02T01:05:00Z</dcterms:modified>
</cp:coreProperties>
</file>