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B045" w14:textId="77777777" w:rsidR="00F932E6" w:rsidRPr="00F545EC" w:rsidRDefault="00C86ED8" w:rsidP="00F932E6">
      <w:pPr>
        <w:pStyle w:val="Heading1"/>
        <w:rPr>
          <w:lang w:val="en-US"/>
        </w:rPr>
      </w:pPr>
      <w:bookmarkStart w:id="0" w:name="_Hlk64362288"/>
      <w:bookmarkEnd w:id="0"/>
      <w:r w:rsidRPr="00F545EC">
        <w:rPr>
          <w:lang w:val="en-US"/>
        </w:rPr>
        <w:t xml:space="preserve">Murray–Darling </w:t>
      </w:r>
      <w:r w:rsidR="00A27C03" w:rsidRPr="00F545EC">
        <w:rPr>
          <w:lang w:val="en-US"/>
        </w:rPr>
        <w:t>Communities Investment Package</w:t>
      </w:r>
      <w:r w:rsidR="003E37A3" w:rsidRPr="00F545EC">
        <w:rPr>
          <w:lang w:val="en-US"/>
        </w:rPr>
        <w:t xml:space="preserve"> 2022</w:t>
      </w:r>
    </w:p>
    <w:p w14:paraId="0BD13178" w14:textId="77777777" w:rsidR="00F932E6" w:rsidRPr="00F545EC" w:rsidRDefault="00F932E6" w:rsidP="00F932E6">
      <w:pPr>
        <w:pStyle w:val="Picture"/>
        <w:spacing w:before="600"/>
      </w:pPr>
    </w:p>
    <w:p w14:paraId="7363795F" w14:textId="424FDABC" w:rsidR="00F932E6" w:rsidRPr="00F545EC" w:rsidRDefault="00C86ED8" w:rsidP="00F932E6">
      <w:pPr>
        <w:pStyle w:val="Normalsmall"/>
      </w:pPr>
      <w:r w:rsidRPr="00F545EC">
        <w:br w:type="page"/>
      </w:r>
      <w:r w:rsidR="00201E1D">
        <w:lastRenderedPageBreak/>
        <w:t>© Commonwealth of Australia 2022</w:t>
      </w:r>
    </w:p>
    <w:p w14:paraId="4A3414DE" w14:textId="77777777" w:rsidR="00F932E6" w:rsidRPr="00F545EC" w:rsidRDefault="00C86ED8" w:rsidP="00F932E6">
      <w:pPr>
        <w:pStyle w:val="Normalsmall"/>
        <w:rPr>
          <w:rStyle w:val="Strong"/>
        </w:rPr>
      </w:pPr>
      <w:r w:rsidRPr="00F545EC">
        <w:rPr>
          <w:rStyle w:val="Strong"/>
        </w:rPr>
        <w:t>Ownership of intellectual property rights</w:t>
      </w:r>
    </w:p>
    <w:p w14:paraId="4B115D18" w14:textId="77777777" w:rsidR="00F932E6" w:rsidRPr="00F545EC" w:rsidRDefault="00C86ED8" w:rsidP="00F932E6">
      <w:pPr>
        <w:pStyle w:val="Normalsmall"/>
      </w:pPr>
      <w:r w:rsidRPr="00F545EC">
        <w:t>Unless otherwise noted, copyright (and any other intellectual property rights) in this publication is owned by the Commonwealth of Australia (referred to as the Commonwealth).</w:t>
      </w:r>
    </w:p>
    <w:p w14:paraId="742D3064" w14:textId="77777777" w:rsidR="00F932E6" w:rsidRPr="00F545EC" w:rsidRDefault="00C86ED8" w:rsidP="00F932E6">
      <w:pPr>
        <w:pStyle w:val="Normalsmall"/>
        <w:rPr>
          <w:rStyle w:val="Strong"/>
        </w:rPr>
      </w:pPr>
      <w:r w:rsidRPr="00F545EC">
        <w:rPr>
          <w:rStyle w:val="Strong"/>
        </w:rPr>
        <w:t>Creative Commons licence</w:t>
      </w:r>
    </w:p>
    <w:p w14:paraId="04A661E5" w14:textId="77777777" w:rsidR="00F932E6" w:rsidRPr="00F545EC" w:rsidRDefault="00C86ED8" w:rsidP="00F932E6">
      <w:pPr>
        <w:pStyle w:val="Normalsmall"/>
      </w:pPr>
      <w:r w:rsidRPr="00F545EC">
        <w:t xml:space="preserve">All material in this publication is licensed under a Creative Commons Attribution 4.0 International Licence except content supplied by third parties, </w:t>
      </w:r>
      <w:proofErr w:type="gramStart"/>
      <w:r w:rsidRPr="00F545EC">
        <w:t>logos</w:t>
      </w:r>
      <w:proofErr w:type="gramEnd"/>
      <w:r w:rsidRPr="00F545EC">
        <w:t xml:space="preserve"> and the Commonwealth Coat of Arms.</w:t>
      </w:r>
    </w:p>
    <w:p w14:paraId="510C4F0D" w14:textId="281467E4" w:rsidR="00F932E6" w:rsidRPr="00F545EC" w:rsidRDefault="00C86ED8" w:rsidP="00F932E6">
      <w:pPr>
        <w:pStyle w:val="Normalsmall"/>
      </w:pPr>
      <w:r w:rsidRPr="00F545EC">
        <w:t xml:space="preserve">Inquiries about the licence and any use of this document should be </w:t>
      </w:r>
      <w:r w:rsidR="00201E1D">
        <w:t xml:space="preserve">emailed to </w:t>
      </w:r>
      <w:hyperlink r:id="rId11" w:history="1">
        <w:r w:rsidR="00201E1D" w:rsidRPr="00A7385D">
          <w:rPr>
            <w:rStyle w:val="Hyperlink"/>
          </w:rPr>
          <w:t>copyright@awe.gov.au</w:t>
        </w:r>
      </w:hyperlink>
      <w:r w:rsidR="00201E1D">
        <w:t>.</w:t>
      </w:r>
    </w:p>
    <w:p w14:paraId="6041875A" w14:textId="77777777" w:rsidR="00F932E6" w:rsidRPr="00F545EC" w:rsidRDefault="00C86ED8" w:rsidP="00F932E6">
      <w:pPr>
        <w:pStyle w:val="Normalsmall"/>
        <w:rPr>
          <w:rStyle w:val="Strong"/>
        </w:rPr>
      </w:pPr>
      <w:r w:rsidRPr="00F545EC">
        <w:rPr>
          <w:rStyle w:val="Strong"/>
        </w:rPr>
        <w:t>Cataloguing data</w:t>
      </w:r>
    </w:p>
    <w:p w14:paraId="4CF27B89" w14:textId="77777777" w:rsidR="00F932E6" w:rsidRPr="00F545EC" w:rsidRDefault="00C86ED8" w:rsidP="00F932E6">
      <w:pPr>
        <w:pStyle w:val="Normalsmall"/>
      </w:pPr>
      <w:r w:rsidRPr="00F545EC">
        <w:t xml:space="preserve">This publication (and any material sourced from it) should be attributed as: Department of Agriculture, Water and the Environment </w:t>
      </w:r>
      <w:r w:rsidR="003E37A3" w:rsidRPr="00F545EC">
        <w:t>2022</w:t>
      </w:r>
      <w:r w:rsidRPr="00F545EC">
        <w:t>,</w:t>
      </w:r>
      <w:r w:rsidRPr="00F545EC">
        <w:rPr>
          <w:i/>
        </w:rPr>
        <w:t xml:space="preserve"> </w:t>
      </w:r>
      <w:r w:rsidR="00A27C03" w:rsidRPr="00F545EC">
        <w:rPr>
          <w:i/>
        </w:rPr>
        <w:t>Murray-Darling Communities Investment Package</w:t>
      </w:r>
      <w:r w:rsidR="003E37A3" w:rsidRPr="00F545EC">
        <w:rPr>
          <w:i/>
        </w:rPr>
        <w:t xml:space="preserve"> 2022</w:t>
      </w:r>
      <w:r w:rsidRPr="00F545EC">
        <w:rPr>
          <w:i/>
        </w:rPr>
        <w:t>,</w:t>
      </w:r>
      <w:r w:rsidRPr="00F545EC">
        <w:t xml:space="preserve"> Department of Agriculture, Water and the Environment, Canberra, </w:t>
      </w:r>
      <w:r w:rsidR="00CA50B8" w:rsidRPr="00F545EC">
        <w:t>September</w:t>
      </w:r>
      <w:r w:rsidRPr="00F545EC">
        <w:t>. CC BY 4.0.</w:t>
      </w:r>
    </w:p>
    <w:p w14:paraId="0D7A0992" w14:textId="77777777" w:rsidR="00F932E6" w:rsidRPr="00F545EC" w:rsidRDefault="00C86ED8" w:rsidP="00F932E6">
      <w:pPr>
        <w:pStyle w:val="Normalsmall"/>
      </w:pPr>
      <w:r w:rsidRPr="00F545EC">
        <w:t xml:space="preserve">ISBN </w:t>
      </w:r>
      <w:r w:rsidR="003E231A" w:rsidRPr="00F545EC">
        <w:t>978-1-76003-320-0</w:t>
      </w:r>
    </w:p>
    <w:p w14:paraId="1DCDCE81" w14:textId="77777777" w:rsidR="00F932E6" w:rsidRPr="00F545EC" w:rsidRDefault="00C86ED8" w:rsidP="00F932E6">
      <w:pPr>
        <w:pStyle w:val="Normalsmall"/>
      </w:pPr>
      <w:r w:rsidRPr="00F545EC">
        <w:t xml:space="preserve">This publication is available at </w:t>
      </w:r>
      <w:r w:rsidR="003E231A" w:rsidRPr="00F545EC">
        <w:t>www.agriculture.gov.au/water/mdb</w:t>
      </w:r>
      <w:r w:rsidRPr="00F545EC">
        <w:t>.</w:t>
      </w:r>
    </w:p>
    <w:p w14:paraId="7B77E1A2" w14:textId="77777777" w:rsidR="00F932E6" w:rsidRPr="00F545EC" w:rsidRDefault="00C86ED8" w:rsidP="00F932E6">
      <w:pPr>
        <w:pStyle w:val="Normalsmall"/>
        <w:spacing w:after="0"/>
      </w:pPr>
      <w:r w:rsidRPr="00F545EC">
        <w:t xml:space="preserve">Department of Agriculture, </w:t>
      </w:r>
      <w:proofErr w:type="gramStart"/>
      <w:r w:rsidRPr="00F545EC">
        <w:t>Water</w:t>
      </w:r>
      <w:proofErr w:type="gramEnd"/>
      <w:r w:rsidRPr="00F545EC">
        <w:t xml:space="preserve"> and the Environment</w:t>
      </w:r>
    </w:p>
    <w:p w14:paraId="4117FB96" w14:textId="77777777" w:rsidR="00F932E6" w:rsidRPr="00F545EC" w:rsidRDefault="00C86ED8" w:rsidP="00F932E6">
      <w:pPr>
        <w:pStyle w:val="Normalsmall"/>
        <w:spacing w:after="0"/>
      </w:pPr>
      <w:r w:rsidRPr="00F545EC">
        <w:t>GPO Box 858 Canberra ACT 2601</w:t>
      </w:r>
    </w:p>
    <w:p w14:paraId="501B8D85" w14:textId="77777777" w:rsidR="00F932E6" w:rsidRPr="00F545EC" w:rsidRDefault="00C86ED8" w:rsidP="00F932E6">
      <w:pPr>
        <w:pStyle w:val="Normalsmall"/>
        <w:spacing w:after="0"/>
      </w:pPr>
      <w:r w:rsidRPr="00F545EC">
        <w:t>Telephone 1800 900 090</w:t>
      </w:r>
    </w:p>
    <w:p w14:paraId="7B60DBB0" w14:textId="06AFC564" w:rsidR="00201E1D" w:rsidRPr="00F545EC" w:rsidRDefault="00201E1D" w:rsidP="00F932E6">
      <w:pPr>
        <w:pStyle w:val="Normalsmall"/>
      </w:pPr>
      <w:r>
        <w:t>Web awe.gov.au</w:t>
      </w:r>
    </w:p>
    <w:p w14:paraId="4637ACBE" w14:textId="77777777" w:rsidR="00F932E6" w:rsidRPr="00F545EC" w:rsidRDefault="00C86ED8" w:rsidP="00F932E6">
      <w:pPr>
        <w:pStyle w:val="Normalsmall"/>
      </w:pPr>
      <w:r w:rsidRPr="00F545EC">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rsidRPr="00F545EC">
        <w:t>expense</w:t>
      </w:r>
      <w:proofErr w:type="gramEnd"/>
      <w:r w:rsidRPr="00F545EC">
        <w:t xml:space="preserve"> or cost incurred by any person as a result of accessing, using or relying on any of the information or data in this publication to the maximum extent permitted by law.</w:t>
      </w:r>
    </w:p>
    <w:p w14:paraId="60EACFD6" w14:textId="253A6B39" w:rsidR="00F932E6" w:rsidRPr="00F545EC" w:rsidRDefault="00C86ED8" w:rsidP="00F932E6">
      <w:pPr>
        <w:pStyle w:val="Heading2"/>
        <w:numPr>
          <w:ilvl w:val="0"/>
          <w:numId w:val="0"/>
        </w:numPr>
        <w:ind w:left="709" w:hanging="709"/>
      </w:pPr>
      <w:bookmarkStart w:id="1" w:name="_Toc430782148"/>
      <w:bookmarkStart w:id="2" w:name="_Toc99438122"/>
      <w:r w:rsidRPr="00F545EC">
        <w:lastRenderedPageBreak/>
        <w:t>Foreword</w:t>
      </w:r>
      <w:bookmarkEnd w:id="1"/>
      <w:bookmarkEnd w:id="2"/>
    </w:p>
    <w:p w14:paraId="2B342447" w14:textId="5F704C30" w:rsidR="00CA620B" w:rsidRPr="00F545EC" w:rsidRDefault="00C86ED8" w:rsidP="00F932E6">
      <w:pPr>
        <w:rPr>
          <w:lang w:val="en-US"/>
        </w:rPr>
      </w:pPr>
      <w:r w:rsidRPr="00F545EC">
        <w:rPr>
          <w:lang w:val="en-US"/>
        </w:rPr>
        <w:t xml:space="preserve">This </w:t>
      </w:r>
      <w:r w:rsidR="006E4750" w:rsidRPr="00F545EC">
        <w:rPr>
          <w:lang w:val="en-US"/>
        </w:rPr>
        <w:t xml:space="preserve">2022 </w:t>
      </w:r>
      <w:r w:rsidR="00973EBF" w:rsidRPr="00F545EC">
        <w:rPr>
          <w:lang w:val="en-US"/>
        </w:rPr>
        <w:t>update to the Murray–Darling Communities Investment P</w:t>
      </w:r>
      <w:r w:rsidR="00A27C03" w:rsidRPr="00F545EC">
        <w:rPr>
          <w:lang w:val="en-US"/>
        </w:rPr>
        <w:t xml:space="preserve">ackage </w:t>
      </w:r>
      <w:r w:rsidRPr="00F545EC">
        <w:rPr>
          <w:lang w:val="en-US"/>
        </w:rPr>
        <w:t xml:space="preserve">is about </w:t>
      </w:r>
      <w:r w:rsidR="003E37A3" w:rsidRPr="00F545EC">
        <w:rPr>
          <w:lang w:val="en-US"/>
        </w:rPr>
        <w:t>keeping</w:t>
      </w:r>
      <w:r w:rsidRPr="00F545EC">
        <w:rPr>
          <w:lang w:val="en-US"/>
        </w:rPr>
        <w:t xml:space="preserve"> communities and jobs at the heart of the Murray–Darling Basin Plan. </w:t>
      </w:r>
      <w:r w:rsidR="00744D89" w:rsidRPr="00F545EC">
        <w:rPr>
          <w:lang w:val="en-US"/>
        </w:rPr>
        <w:t xml:space="preserve">We’ve made great strides in the past 18 months </w:t>
      </w:r>
      <w:r w:rsidR="00CA620B" w:rsidRPr="00F545EC">
        <w:rPr>
          <w:lang w:val="en-US"/>
        </w:rPr>
        <w:t>to put people back at t</w:t>
      </w:r>
      <w:r w:rsidR="00071DCB" w:rsidRPr="00F545EC">
        <w:rPr>
          <w:lang w:val="en-US"/>
        </w:rPr>
        <w:t xml:space="preserve">he </w:t>
      </w:r>
      <w:proofErr w:type="spellStart"/>
      <w:r w:rsidR="003F65AA" w:rsidRPr="00F545EC">
        <w:rPr>
          <w:lang w:val="en-US"/>
        </w:rPr>
        <w:t>cent</w:t>
      </w:r>
      <w:r w:rsidR="009E5BB4" w:rsidRPr="00F545EC">
        <w:rPr>
          <w:lang w:val="en-US"/>
        </w:rPr>
        <w:t>re</w:t>
      </w:r>
      <w:proofErr w:type="spellEnd"/>
      <w:r w:rsidR="00071DCB" w:rsidRPr="00F545EC">
        <w:rPr>
          <w:lang w:val="en-US"/>
        </w:rPr>
        <w:t xml:space="preserve"> –</w:t>
      </w:r>
      <w:r w:rsidR="009E5BB4" w:rsidRPr="00F545EC">
        <w:rPr>
          <w:lang w:val="en-US"/>
        </w:rPr>
        <w:t xml:space="preserve"> putting a stop to</w:t>
      </w:r>
      <w:r w:rsidR="00071DCB" w:rsidRPr="00F545EC">
        <w:rPr>
          <w:lang w:val="en-US"/>
        </w:rPr>
        <w:t xml:space="preserve"> buybacks,</w:t>
      </w:r>
      <w:r w:rsidR="00CA620B" w:rsidRPr="00F545EC">
        <w:rPr>
          <w:lang w:val="en-US"/>
        </w:rPr>
        <w:t xml:space="preserve"> empowering local people to impro</w:t>
      </w:r>
      <w:r w:rsidR="00071DCB" w:rsidRPr="00F545EC">
        <w:rPr>
          <w:lang w:val="en-US"/>
        </w:rPr>
        <w:t>ve their stretch of river and</w:t>
      </w:r>
      <w:r w:rsidR="00CA620B" w:rsidRPr="00F545EC">
        <w:rPr>
          <w:lang w:val="en-US"/>
        </w:rPr>
        <w:t xml:space="preserve"> boost</w:t>
      </w:r>
      <w:r w:rsidR="00071DCB" w:rsidRPr="00F545EC">
        <w:rPr>
          <w:lang w:val="en-US"/>
        </w:rPr>
        <w:t>ing</w:t>
      </w:r>
      <w:r w:rsidR="00CA620B" w:rsidRPr="00F545EC">
        <w:rPr>
          <w:lang w:val="en-US"/>
        </w:rPr>
        <w:t xml:space="preserve"> </w:t>
      </w:r>
      <w:r w:rsidR="001C410D" w:rsidRPr="00F545EC">
        <w:rPr>
          <w:lang w:val="en-US"/>
        </w:rPr>
        <w:t xml:space="preserve">the </w:t>
      </w:r>
      <w:r w:rsidR="00CA620B" w:rsidRPr="00F545EC">
        <w:rPr>
          <w:lang w:val="en-US"/>
        </w:rPr>
        <w:t xml:space="preserve">economic outlook </w:t>
      </w:r>
      <w:r w:rsidR="00D81898" w:rsidRPr="00F545EC">
        <w:rPr>
          <w:lang w:val="en-US"/>
        </w:rPr>
        <w:t>of</w:t>
      </w:r>
      <w:r w:rsidR="00CA620B" w:rsidRPr="00F545EC">
        <w:rPr>
          <w:lang w:val="en-US"/>
        </w:rPr>
        <w:t xml:space="preserve"> their towns</w:t>
      </w:r>
      <w:r w:rsidR="00D81898" w:rsidRPr="00F545EC">
        <w:rPr>
          <w:lang w:val="en-US"/>
        </w:rPr>
        <w:t xml:space="preserve"> and businesses</w:t>
      </w:r>
      <w:r w:rsidR="00665F9D">
        <w:rPr>
          <w:lang w:val="en-US"/>
        </w:rPr>
        <w:t>. This $14</w:t>
      </w:r>
      <w:r w:rsidR="00CA620B" w:rsidRPr="00F545EC">
        <w:rPr>
          <w:lang w:val="en-US"/>
        </w:rPr>
        <w:t>0 million investment in our rural and regional communities is about maintaining that momentum.</w:t>
      </w:r>
    </w:p>
    <w:p w14:paraId="0A6081FA" w14:textId="77777777" w:rsidR="00824E49" w:rsidRPr="00F545EC" w:rsidRDefault="00824E49" w:rsidP="00F932E6">
      <w:pPr>
        <w:rPr>
          <w:lang w:val="en-US"/>
        </w:rPr>
      </w:pPr>
      <w:r w:rsidRPr="00F545EC">
        <w:rPr>
          <w:lang w:val="en-US"/>
        </w:rPr>
        <w:t>My 2020</w:t>
      </w:r>
      <w:r w:rsidR="0057773B" w:rsidRPr="00F545EC">
        <w:rPr>
          <w:lang w:val="en-US"/>
        </w:rPr>
        <w:t xml:space="preserve"> Murray–Darling Communities Investment Package </w:t>
      </w:r>
      <w:r w:rsidRPr="00F545EC">
        <w:rPr>
          <w:lang w:val="en-US"/>
        </w:rPr>
        <w:t>was built on the pillars of:</w:t>
      </w:r>
    </w:p>
    <w:p w14:paraId="3367008E" w14:textId="77777777" w:rsidR="00824E49" w:rsidRPr="00F545EC" w:rsidRDefault="00824E49" w:rsidP="00824E49">
      <w:pPr>
        <w:pStyle w:val="ListParagraph"/>
        <w:numPr>
          <w:ilvl w:val="0"/>
          <w:numId w:val="17"/>
        </w:numPr>
        <w:rPr>
          <w:lang w:val="en-US"/>
        </w:rPr>
      </w:pPr>
      <w:r w:rsidRPr="00F545EC">
        <w:rPr>
          <w:lang w:val="en-US"/>
        </w:rPr>
        <w:t>investing</w:t>
      </w:r>
      <w:r w:rsidR="006E4750" w:rsidRPr="00F545EC">
        <w:rPr>
          <w:lang w:val="en-US"/>
        </w:rPr>
        <w:t xml:space="preserve"> in community</w:t>
      </w:r>
      <w:r w:rsidRPr="00F545EC">
        <w:rPr>
          <w:lang w:val="en-US"/>
        </w:rPr>
        <w:t xml:space="preserve"> resilience and river health</w:t>
      </w:r>
    </w:p>
    <w:p w14:paraId="118D0BEC" w14:textId="77777777" w:rsidR="00824E49" w:rsidRPr="00F545EC" w:rsidRDefault="006E4750" w:rsidP="00824E49">
      <w:pPr>
        <w:pStyle w:val="ListParagraph"/>
        <w:numPr>
          <w:ilvl w:val="0"/>
          <w:numId w:val="17"/>
        </w:numPr>
        <w:rPr>
          <w:lang w:val="en-US"/>
        </w:rPr>
      </w:pPr>
      <w:r w:rsidRPr="00F545EC">
        <w:rPr>
          <w:lang w:val="en-US"/>
        </w:rPr>
        <w:t xml:space="preserve">building trust, </w:t>
      </w:r>
      <w:proofErr w:type="gramStart"/>
      <w:r w:rsidRPr="00F545EC">
        <w:rPr>
          <w:lang w:val="en-US"/>
        </w:rPr>
        <w:t>transparency</w:t>
      </w:r>
      <w:proofErr w:type="gramEnd"/>
      <w:r w:rsidRPr="00F545EC">
        <w:rPr>
          <w:lang w:val="en-US"/>
        </w:rPr>
        <w:t xml:space="preserve"> and accountability in government, and </w:t>
      </w:r>
    </w:p>
    <w:p w14:paraId="6B0F2962" w14:textId="77777777" w:rsidR="006E4750" w:rsidRPr="00F545EC" w:rsidRDefault="006E4750" w:rsidP="00824E49">
      <w:pPr>
        <w:pStyle w:val="ListParagraph"/>
        <w:numPr>
          <w:ilvl w:val="0"/>
          <w:numId w:val="17"/>
        </w:numPr>
        <w:rPr>
          <w:lang w:val="en-US"/>
        </w:rPr>
      </w:pPr>
      <w:r w:rsidRPr="00F545EC">
        <w:rPr>
          <w:lang w:val="en-US"/>
        </w:rPr>
        <w:t>improving implementation of the Basin Plan</w:t>
      </w:r>
      <w:r w:rsidR="006869D9" w:rsidRPr="00F545EC">
        <w:rPr>
          <w:lang w:val="en-US"/>
        </w:rPr>
        <w:t>.</w:t>
      </w:r>
      <w:r w:rsidR="0057773B" w:rsidRPr="00F545EC">
        <w:rPr>
          <w:lang w:val="en-US"/>
        </w:rPr>
        <w:t xml:space="preserve"> </w:t>
      </w:r>
    </w:p>
    <w:p w14:paraId="3FB38DD6" w14:textId="77777777" w:rsidR="00824E49" w:rsidRPr="00F545EC" w:rsidRDefault="0057773B" w:rsidP="00F932E6">
      <w:pPr>
        <w:rPr>
          <w:lang w:val="en-US"/>
        </w:rPr>
      </w:pPr>
      <w:r w:rsidRPr="00F545EC">
        <w:rPr>
          <w:lang w:val="en-US"/>
        </w:rPr>
        <w:t>Today’s package</w:t>
      </w:r>
      <w:r w:rsidR="006E4750" w:rsidRPr="00F545EC">
        <w:rPr>
          <w:lang w:val="en-US"/>
        </w:rPr>
        <w:t xml:space="preserve"> </w:t>
      </w:r>
      <w:r w:rsidR="00824E49" w:rsidRPr="00F545EC">
        <w:rPr>
          <w:lang w:val="en-US"/>
        </w:rPr>
        <w:t>introduces a new pillar – improving water sec</w:t>
      </w:r>
      <w:r w:rsidR="006E4750" w:rsidRPr="00F545EC">
        <w:rPr>
          <w:lang w:val="en-US"/>
        </w:rPr>
        <w:t xml:space="preserve">urity for all </w:t>
      </w:r>
      <w:r w:rsidR="00824E49" w:rsidRPr="00F545EC">
        <w:rPr>
          <w:lang w:val="en-US"/>
        </w:rPr>
        <w:t xml:space="preserve">water </w:t>
      </w:r>
      <w:r w:rsidR="006E4750" w:rsidRPr="00F545EC">
        <w:rPr>
          <w:lang w:val="en-US"/>
        </w:rPr>
        <w:t>users</w:t>
      </w:r>
      <w:r w:rsidR="00824E49" w:rsidRPr="00F545EC">
        <w:rPr>
          <w:lang w:val="en-US"/>
        </w:rPr>
        <w:t>. Water-reliant communities up and down the Murray–Darling Basin want to know we’re planning the infrastructure of the f</w:t>
      </w:r>
      <w:r w:rsidR="00024CE5" w:rsidRPr="00F545EC">
        <w:rPr>
          <w:lang w:val="en-US"/>
        </w:rPr>
        <w:t>uture that will</w:t>
      </w:r>
      <w:r w:rsidR="00824E49" w:rsidRPr="00F545EC">
        <w:rPr>
          <w:lang w:val="en-US"/>
        </w:rPr>
        <w:t xml:space="preserve"> </w:t>
      </w:r>
      <w:r w:rsidR="00973EBF" w:rsidRPr="00F545EC">
        <w:rPr>
          <w:lang w:val="en-US"/>
        </w:rPr>
        <w:t xml:space="preserve">help </w:t>
      </w:r>
      <w:r w:rsidR="00824E49" w:rsidRPr="00F545EC">
        <w:rPr>
          <w:lang w:val="en-US"/>
        </w:rPr>
        <w:t xml:space="preserve">mitigate the </w:t>
      </w:r>
      <w:r w:rsidR="00024CE5" w:rsidRPr="00F545EC">
        <w:rPr>
          <w:lang w:val="en-US"/>
        </w:rPr>
        <w:t xml:space="preserve">damaging </w:t>
      </w:r>
      <w:r w:rsidR="00824E49" w:rsidRPr="00F545EC">
        <w:rPr>
          <w:lang w:val="en-US"/>
        </w:rPr>
        <w:t>impacts of floods and droughts.</w:t>
      </w:r>
      <w:r w:rsidR="00024CE5" w:rsidRPr="00F545EC">
        <w:rPr>
          <w:lang w:val="en-US"/>
        </w:rPr>
        <w:t xml:space="preserve"> The $2.6 million our government is investing in </w:t>
      </w:r>
      <w:r w:rsidR="005C4B5A" w:rsidRPr="00F545EC">
        <w:rPr>
          <w:lang w:val="en-US"/>
        </w:rPr>
        <w:t>an</w:t>
      </w:r>
      <w:r w:rsidR="00024CE5" w:rsidRPr="00F545EC">
        <w:rPr>
          <w:lang w:val="en-US"/>
        </w:rPr>
        <w:t xml:space="preserve"> independent, technical assessment of infrastructure in the southern Murray–Darling Basin will make sure we’re well placed to make decisions about infrastructure </w:t>
      </w:r>
      <w:r w:rsidR="005C4B5A" w:rsidRPr="00F545EC">
        <w:rPr>
          <w:lang w:val="en-US"/>
        </w:rPr>
        <w:t>t</w:t>
      </w:r>
      <w:r w:rsidR="00024CE5" w:rsidRPr="00F545EC">
        <w:rPr>
          <w:lang w:val="en-US"/>
        </w:rPr>
        <w:t>o benefit communities and the environment</w:t>
      </w:r>
      <w:r w:rsidR="00973EBF" w:rsidRPr="00F545EC">
        <w:rPr>
          <w:lang w:val="en-US"/>
        </w:rPr>
        <w:t xml:space="preserve"> in years to come</w:t>
      </w:r>
      <w:r w:rsidR="00024CE5" w:rsidRPr="00F545EC">
        <w:rPr>
          <w:lang w:val="en-US"/>
        </w:rPr>
        <w:t xml:space="preserve">. </w:t>
      </w:r>
    </w:p>
    <w:p w14:paraId="665520AF" w14:textId="1BC31893" w:rsidR="006869D9" w:rsidRPr="00F545EC" w:rsidRDefault="00024CE5" w:rsidP="00F932E6">
      <w:pPr>
        <w:rPr>
          <w:lang w:val="en-US"/>
        </w:rPr>
      </w:pPr>
      <w:r w:rsidRPr="00F545EC">
        <w:rPr>
          <w:lang w:val="en-US"/>
        </w:rPr>
        <w:t xml:space="preserve">Importantly, this installment of the Murray–Darling Communities Investment Package </w:t>
      </w:r>
      <w:r w:rsidR="0057773B" w:rsidRPr="00F545EC">
        <w:rPr>
          <w:lang w:val="en-US"/>
        </w:rPr>
        <w:t xml:space="preserve">takes the money that had been set aside for water purchase and puts it to good use through a new Healthy Rivers – Healthy Communities grant program. </w:t>
      </w:r>
      <w:r w:rsidR="00D81898" w:rsidRPr="00F545EC">
        <w:rPr>
          <w:lang w:val="en-US"/>
        </w:rPr>
        <w:t>Our government is investing</w:t>
      </w:r>
      <w:r w:rsidRPr="00F545EC">
        <w:rPr>
          <w:lang w:val="en-US"/>
        </w:rPr>
        <w:t xml:space="preserve"> </w:t>
      </w:r>
      <w:r w:rsidR="00CF38E7" w:rsidRPr="00F545EC">
        <w:rPr>
          <w:lang w:val="en-US"/>
        </w:rPr>
        <w:t>$9</w:t>
      </w:r>
      <w:r w:rsidR="00665F9D">
        <w:rPr>
          <w:lang w:val="en-US"/>
        </w:rPr>
        <w:t>7</w:t>
      </w:r>
      <w:r w:rsidRPr="00F545EC">
        <w:rPr>
          <w:lang w:val="en-US"/>
        </w:rPr>
        <w:t xml:space="preserve"> million </w:t>
      </w:r>
      <w:r w:rsidR="005C4B5A" w:rsidRPr="00F545EC">
        <w:rPr>
          <w:lang w:val="en-US"/>
        </w:rPr>
        <w:t xml:space="preserve">over two years </w:t>
      </w:r>
      <w:r w:rsidR="00D81898" w:rsidRPr="00F545EC">
        <w:rPr>
          <w:lang w:val="en-US"/>
        </w:rPr>
        <w:t>to bring</w:t>
      </w:r>
      <w:r w:rsidRPr="00F545EC">
        <w:rPr>
          <w:lang w:val="en-US"/>
        </w:rPr>
        <w:t xml:space="preserve"> community groups, the irrigation industry, Basin stakeholders and state governments</w:t>
      </w:r>
      <w:r w:rsidR="00D81898" w:rsidRPr="00F545EC">
        <w:rPr>
          <w:lang w:val="en-US"/>
        </w:rPr>
        <w:t xml:space="preserve"> together in one program to </w:t>
      </w:r>
      <w:r w:rsidRPr="00F545EC">
        <w:rPr>
          <w:lang w:val="en-US"/>
        </w:rPr>
        <w:t>make real, lasting impacts in the Basin. Gra</w:t>
      </w:r>
      <w:r w:rsidR="00201E1D">
        <w:rPr>
          <w:lang w:val="en-US"/>
        </w:rPr>
        <w:t>nts will be available between $100,000 and $5</w:t>
      </w:r>
      <w:r w:rsidRPr="00F545EC">
        <w:rPr>
          <w:lang w:val="en-US"/>
        </w:rPr>
        <w:t xml:space="preserve"> million to build stronger, more vibrant regional economies and communities</w:t>
      </w:r>
      <w:r w:rsidR="00D81898" w:rsidRPr="00F545EC">
        <w:rPr>
          <w:lang w:val="en-US"/>
        </w:rPr>
        <w:t>, improve the health of rivers and wetlands, and enhance environmental outcomes through targeted infrastructure investment.</w:t>
      </w:r>
    </w:p>
    <w:p w14:paraId="6AD3C086" w14:textId="77777777" w:rsidR="00943DD7" w:rsidRPr="00F545EC" w:rsidRDefault="00D81898" w:rsidP="00F932E6">
      <w:pPr>
        <w:rPr>
          <w:lang w:val="en-US"/>
        </w:rPr>
      </w:pPr>
      <w:r w:rsidRPr="00F545EC">
        <w:rPr>
          <w:lang w:val="en-US"/>
        </w:rPr>
        <w:t>This package puts</w:t>
      </w:r>
      <w:r w:rsidR="006F6F51" w:rsidRPr="00F545EC">
        <w:rPr>
          <w:lang w:val="en-US"/>
        </w:rPr>
        <w:t xml:space="preserve"> </w:t>
      </w:r>
      <w:r w:rsidR="00912E88" w:rsidRPr="00F545EC">
        <w:rPr>
          <w:lang w:val="en-US"/>
        </w:rPr>
        <w:t xml:space="preserve">boots on the ground </w:t>
      </w:r>
      <w:r w:rsidRPr="00F545EC">
        <w:rPr>
          <w:lang w:val="en-US"/>
        </w:rPr>
        <w:t>enhancing</w:t>
      </w:r>
      <w:r w:rsidR="00912E88" w:rsidRPr="00F545EC">
        <w:rPr>
          <w:lang w:val="en-US"/>
        </w:rPr>
        <w:t xml:space="preserve"> the Inspector General of Water Compliance’s ability to eng</w:t>
      </w:r>
      <w:r w:rsidRPr="00F545EC">
        <w:rPr>
          <w:lang w:val="en-US"/>
        </w:rPr>
        <w:t>age with communities</w:t>
      </w:r>
      <w:r w:rsidR="006F6F51" w:rsidRPr="00F545EC">
        <w:rPr>
          <w:lang w:val="en-US"/>
        </w:rPr>
        <w:t xml:space="preserve">, </w:t>
      </w:r>
      <w:r w:rsidR="00DC5216" w:rsidRPr="00F545EC">
        <w:rPr>
          <w:lang w:val="en-US"/>
        </w:rPr>
        <w:t>p</w:t>
      </w:r>
      <w:r w:rsidR="006F6F51" w:rsidRPr="00F545EC">
        <w:rPr>
          <w:lang w:val="en-US"/>
        </w:rPr>
        <w:t>roviding</w:t>
      </w:r>
      <w:r w:rsidR="00DC5216" w:rsidRPr="00F545EC">
        <w:rPr>
          <w:lang w:val="en-US"/>
        </w:rPr>
        <w:t xml:space="preserve"> an essential link between compliance activities and</w:t>
      </w:r>
      <w:r w:rsidRPr="00F545EC">
        <w:rPr>
          <w:lang w:val="en-US"/>
        </w:rPr>
        <w:t xml:space="preserve"> communities. </w:t>
      </w:r>
    </w:p>
    <w:p w14:paraId="588DC48C" w14:textId="77777777" w:rsidR="006F6F51" w:rsidRPr="00F545EC" w:rsidRDefault="006F6F51" w:rsidP="00F932E6">
      <w:pPr>
        <w:rPr>
          <w:lang w:val="en-US"/>
        </w:rPr>
      </w:pPr>
      <w:r w:rsidRPr="00F545EC">
        <w:rPr>
          <w:lang w:val="en-US"/>
        </w:rPr>
        <w:t xml:space="preserve">Finally, it continues to build on </w:t>
      </w:r>
      <w:r w:rsidR="005C4B5A" w:rsidRPr="00F545EC">
        <w:rPr>
          <w:lang w:val="en-US"/>
        </w:rPr>
        <w:t>our</w:t>
      </w:r>
      <w:r w:rsidRPr="00F545EC">
        <w:rPr>
          <w:lang w:val="en-US"/>
        </w:rPr>
        <w:t xml:space="preserve"> work towards sensible, state-supported water market reform</w:t>
      </w:r>
      <w:r w:rsidR="00973EBF" w:rsidRPr="00F545EC">
        <w:rPr>
          <w:lang w:val="en-US"/>
        </w:rPr>
        <w:t xml:space="preserve"> that will improve integrity,</w:t>
      </w:r>
      <w:r w:rsidRPr="00F545EC">
        <w:rPr>
          <w:lang w:val="en-US"/>
        </w:rPr>
        <w:t xml:space="preserve"> lay the groundwork for an industry-supported mandatory code of conduct for </w:t>
      </w:r>
      <w:r w:rsidR="005C4B5A" w:rsidRPr="00F545EC">
        <w:rPr>
          <w:lang w:val="en-US"/>
        </w:rPr>
        <w:t>water market intermediaries, as well as</w:t>
      </w:r>
      <w:r w:rsidRPr="00F545EC">
        <w:rPr>
          <w:lang w:val="en-US"/>
        </w:rPr>
        <w:t xml:space="preserve"> increase access to clear, consistent and relevant information.</w:t>
      </w:r>
    </w:p>
    <w:p w14:paraId="51BA100A" w14:textId="77777777" w:rsidR="00F932E6" w:rsidRPr="00F545EC" w:rsidRDefault="006F6F51" w:rsidP="006F6F51">
      <w:pPr>
        <w:rPr>
          <w:lang w:val="en-US"/>
        </w:rPr>
      </w:pPr>
      <w:r w:rsidRPr="00F545EC">
        <w:rPr>
          <w:lang w:val="en-US"/>
        </w:rPr>
        <w:t xml:space="preserve">Through these measures, this package builds on the momentum we’ve created </w:t>
      </w:r>
      <w:r w:rsidR="00D81898" w:rsidRPr="00F545EC">
        <w:rPr>
          <w:lang w:val="en-US"/>
        </w:rPr>
        <w:t xml:space="preserve">through the 2020 Murray–Darling Communities Investment Package </w:t>
      </w:r>
      <w:r w:rsidRPr="00F545EC">
        <w:rPr>
          <w:lang w:val="en-US"/>
        </w:rPr>
        <w:t xml:space="preserve">to deliver for communities, </w:t>
      </w:r>
      <w:proofErr w:type="gramStart"/>
      <w:r w:rsidRPr="00F545EC">
        <w:rPr>
          <w:lang w:val="en-US"/>
        </w:rPr>
        <w:t>industry</w:t>
      </w:r>
      <w:proofErr w:type="gramEnd"/>
      <w:r w:rsidRPr="00F545EC">
        <w:rPr>
          <w:lang w:val="en-US"/>
        </w:rPr>
        <w:t xml:space="preserve"> and </w:t>
      </w:r>
      <w:r w:rsidR="00D81898" w:rsidRPr="00F545EC">
        <w:rPr>
          <w:lang w:val="en-US"/>
        </w:rPr>
        <w:t>the environment. Through these targeted measures our government is en</w:t>
      </w:r>
      <w:r w:rsidR="005C4B5A" w:rsidRPr="00F545EC">
        <w:rPr>
          <w:lang w:val="en-US"/>
        </w:rPr>
        <w:t>suring future generations who</w:t>
      </w:r>
      <w:r w:rsidR="00D81898" w:rsidRPr="00F545EC">
        <w:rPr>
          <w:lang w:val="en-US"/>
        </w:rPr>
        <w:t xml:space="preserve"> </w:t>
      </w:r>
      <w:r w:rsidRPr="00F545EC">
        <w:rPr>
          <w:lang w:val="en-US"/>
        </w:rPr>
        <w:t xml:space="preserve">call the Basin home have a sustainable and certain future </w:t>
      </w:r>
      <w:r w:rsidR="00D81898" w:rsidRPr="00F545EC">
        <w:rPr>
          <w:lang w:val="en-US"/>
        </w:rPr>
        <w:t>– and that their interests are kept at its</w:t>
      </w:r>
      <w:r w:rsidRPr="00F545EC">
        <w:rPr>
          <w:lang w:val="en-US"/>
        </w:rPr>
        <w:t xml:space="preserve"> heart.  </w:t>
      </w:r>
    </w:p>
    <w:p w14:paraId="6A064006" w14:textId="77777777" w:rsidR="00F932E6" w:rsidRPr="00F545EC" w:rsidRDefault="00C86ED8" w:rsidP="00F932E6">
      <w:pPr>
        <w:spacing w:after="0"/>
      </w:pPr>
      <w:r w:rsidRPr="00F545EC">
        <w:t>The Hon. Keith Pitt MP</w:t>
      </w:r>
    </w:p>
    <w:p w14:paraId="0CD311B5" w14:textId="77777777" w:rsidR="00F932E6" w:rsidRPr="00F545EC" w:rsidRDefault="00C86ED8" w:rsidP="00F932E6">
      <w:pPr>
        <w:spacing w:after="0"/>
      </w:pPr>
      <w:r w:rsidRPr="00F545EC">
        <w:t>Minister for Resourc</w:t>
      </w:r>
      <w:r w:rsidR="005C4B5A" w:rsidRPr="00F545EC">
        <w:t>es and Water</w:t>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7427DFFE" w14:textId="77777777" w:rsidR="00F932E6" w:rsidRPr="00F545EC" w:rsidRDefault="00C86ED8" w:rsidP="00F932E6">
          <w:pPr>
            <w:pStyle w:val="TOCHeading"/>
            <w:pageBreakBefore/>
          </w:pPr>
          <w:r w:rsidRPr="00F545EC">
            <w:t>Contents</w:t>
          </w:r>
        </w:p>
        <w:p w14:paraId="37C9945A" w14:textId="7600A8E4" w:rsidR="00665F9D" w:rsidRDefault="00C86ED8">
          <w:pPr>
            <w:pStyle w:val="TOC1"/>
            <w:rPr>
              <w:rFonts w:asciiTheme="minorHAnsi" w:eastAsiaTheme="minorEastAsia" w:hAnsiTheme="minorHAnsi"/>
              <w:b w:val="0"/>
              <w:lang w:eastAsia="en-AU"/>
            </w:rPr>
          </w:pPr>
          <w:r w:rsidRPr="00F545EC">
            <w:rPr>
              <w:b w:val="0"/>
            </w:rPr>
            <w:fldChar w:fldCharType="begin"/>
          </w:r>
          <w:r w:rsidRPr="00F545EC">
            <w:rPr>
              <w:b w:val="0"/>
            </w:rPr>
            <w:instrText xml:space="preserve"> TOC \h \z \u \t "Heading 2,1,Heading 3,2,Style1,2,TOA Heading,1" </w:instrText>
          </w:r>
          <w:r w:rsidRPr="00F545EC">
            <w:rPr>
              <w:b w:val="0"/>
            </w:rPr>
            <w:fldChar w:fldCharType="separate"/>
          </w:r>
          <w:hyperlink w:anchor="_Toc99438122" w:history="1">
            <w:r w:rsidR="00665F9D" w:rsidRPr="005D11AE">
              <w:rPr>
                <w:rStyle w:val="Hyperlink"/>
              </w:rPr>
              <w:t>Foreword</w:t>
            </w:r>
            <w:r w:rsidR="00665F9D">
              <w:rPr>
                <w:webHidden/>
              </w:rPr>
              <w:tab/>
            </w:r>
            <w:r w:rsidR="00665F9D">
              <w:rPr>
                <w:webHidden/>
              </w:rPr>
              <w:fldChar w:fldCharType="begin"/>
            </w:r>
            <w:r w:rsidR="00665F9D">
              <w:rPr>
                <w:webHidden/>
              </w:rPr>
              <w:instrText xml:space="preserve"> PAGEREF _Toc99438122 \h </w:instrText>
            </w:r>
            <w:r w:rsidR="00665F9D">
              <w:rPr>
                <w:webHidden/>
              </w:rPr>
            </w:r>
            <w:r w:rsidR="00665F9D">
              <w:rPr>
                <w:webHidden/>
              </w:rPr>
              <w:fldChar w:fldCharType="separate"/>
            </w:r>
            <w:r w:rsidR="00665F9D">
              <w:rPr>
                <w:webHidden/>
              </w:rPr>
              <w:t>iii</w:t>
            </w:r>
            <w:r w:rsidR="00665F9D">
              <w:rPr>
                <w:webHidden/>
              </w:rPr>
              <w:fldChar w:fldCharType="end"/>
            </w:r>
          </w:hyperlink>
        </w:p>
        <w:p w14:paraId="4B4D069A" w14:textId="36991DF8" w:rsidR="00665F9D" w:rsidRDefault="006A59B1">
          <w:pPr>
            <w:pStyle w:val="TOC1"/>
            <w:rPr>
              <w:rFonts w:asciiTheme="minorHAnsi" w:eastAsiaTheme="minorEastAsia" w:hAnsiTheme="minorHAnsi"/>
              <w:b w:val="0"/>
              <w:lang w:eastAsia="en-AU"/>
            </w:rPr>
          </w:pPr>
          <w:hyperlink w:anchor="_Toc99438123" w:history="1">
            <w:r w:rsidR="00665F9D" w:rsidRPr="005D11AE">
              <w:rPr>
                <w:rStyle w:val="Hyperlink"/>
              </w:rPr>
              <w:t>Delivering outcomes for the Basin and communities</w:t>
            </w:r>
            <w:r w:rsidR="00665F9D">
              <w:rPr>
                <w:webHidden/>
              </w:rPr>
              <w:tab/>
            </w:r>
            <w:r w:rsidR="00665F9D">
              <w:rPr>
                <w:webHidden/>
              </w:rPr>
              <w:fldChar w:fldCharType="begin"/>
            </w:r>
            <w:r w:rsidR="00665F9D">
              <w:rPr>
                <w:webHidden/>
              </w:rPr>
              <w:instrText xml:space="preserve"> PAGEREF _Toc99438123 \h </w:instrText>
            </w:r>
            <w:r w:rsidR="00665F9D">
              <w:rPr>
                <w:webHidden/>
              </w:rPr>
            </w:r>
            <w:r w:rsidR="00665F9D">
              <w:rPr>
                <w:webHidden/>
              </w:rPr>
              <w:fldChar w:fldCharType="separate"/>
            </w:r>
            <w:r w:rsidR="00665F9D">
              <w:rPr>
                <w:webHidden/>
              </w:rPr>
              <w:t>1</w:t>
            </w:r>
            <w:r w:rsidR="00665F9D">
              <w:rPr>
                <w:webHidden/>
              </w:rPr>
              <w:fldChar w:fldCharType="end"/>
            </w:r>
          </w:hyperlink>
        </w:p>
        <w:p w14:paraId="65032DD7" w14:textId="49B4418E" w:rsidR="00665F9D" w:rsidRDefault="006A59B1">
          <w:pPr>
            <w:pStyle w:val="TOC2"/>
            <w:rPr>
              <w:rFonts w:asciiTheme="minorHAnsi" w:eastAsiaTheme="minorEastAsia" w:hAnsiTheme="minorHAnsi"/>
              <w:lang w:eastAsia="en-AU"/>
            </w:rPr>
          </w:pPr>
          <w:hyperlink w:anchor="_Toc99438124" w:history="1">
            <w:r w:rsidR="00665F9D" w:rsidRPr="005D11AE">
              <w:rPr>
                <w:rStyle w:val="Hyperlink"/>
                <w:lang w:val="en-US"/>
              </w:rPr>
              <w:t>Investing in community resilience and river health</w:t>
            </w:r>
            <w:r w:rsidR="00665F9D">
              <w:rPr>
                <w:webHidden/>
              </w:rPr>
              <w:tab/>
            </w:r>
            <w:r w:rsidR="00665F9D">
              <w:rPr>
                <w:webHidden/>
              </w:rPr>
              <w:fldChar w:fldCharType="begin"/>
            </w:r>
            <w:r w:rsidR="00665F9D">
              <w:rPr>
                <w:webHidden/>
              </w:rPr>
              <w:instrText xml:space="preserve"> PAGEREF _Toc99438124 \h </w:instrText>
            </w:r>
            <w:r w:rsidR="00665F9D">
              <w:rPr>
                <w:webHidden/>
              </w:rPr>
            </w:r>
            <w:r w:rsidR="00665F9D">
              <w:rPr>
                <w:webHidden/>
              </w:rPr>
              <w:fldChar w:fldCharType="separate"/>
            </w:r>
            <w:r w:rsidR="00665F9D">
              <w:rPr>
                <w:webHidden/>
              </w:rPr>
              <w:t>1</w:t>
            </w:r>
            <w:r w:rsidR="00665F9D">
              <w:rPr>
                <w:webHidden/>
              </w:rPr>
              <w:fldChar w:fldCharType="end"/>
            </w:r>
          </w:hyperlink>
        </w:p>
        <w:p w14:paraId="46028086" w14:textId="402DA8F1" w:rsidR="00665F9D" w:rsidRDefault="006A59B1">
          <w:pPr>
            <w:pStyle w:val="TOC2"/>
            <w:rPr>
              <w:rFonts w:asciiTheme="minorHAnsi" w:eastAsiaTheme="minorEastAsia" w:hAnsiTheme="minorHAnsi"/>
              <w:lang w:eastAsia="en-AU"/>
            </w:rPr>
          </w:pPr>
          <w:hyperlink w:anchor="_Toc99438125" w:history="1">
            <w:r w:rsidR="00665F9D" w:rsidRPr="005D11AE">
              <w:rPr>
                <w:rStyle w:val="Hyperlink"/>
                <w:lang w:val="en-US"/>
              </w:rPr>
              <w:t>Building trust, transparency and accountability</w:t>
            </w:r>
            <w:r w:rsidR="00665F9D">
              <w:rPr>
                <w:webHidden/>
              </w:rPr>
              <w:tab/>
            </w:r>
            <w:r w:rsidR="00665F9D">
              <w:rPr>
                <w:webHidden/>
              </w:rPr>
              <w:fldChar w:fldCharType="begin"/>
            </w:r>
            <w:r w:rsidR="00665F9D">
              <w:rPr>
                <w:webHidden/>
              </w:rPr>
              <w:instrText xml:space="preserve"> PAGEREF _Toc99438125 \h </w:instrText>
            </w:r>
            <w:r w:rsidR="00665F9D">
              <w:rPr>
                <w:webHidden/>
              </w:rPr>
            </w:r>
            <w:r w:rsidR="00665F9D">
              <w:rPr>
                <w:webHidden/>
              </w:rPr>
              <w:fldChar w:fldCharType="separate"/>
            </w:r>
            <w:r w:rsidR="00665F9D">
              <w:rPr>
                <w:webHidden/>
              </w:rPr>
              <w:t>2</w:t>
            </w:r>
            <w:r w:rsidR="00665F9D">
              <w:rPr>
                <w:webHidden/>
              </w:rPr>
              <w:fldChar w:fldCharType="end"/>
            </w:r>
          </w:hyperlink>
        </w:p>
        <w:p w14:paraId="69097256" w14:textId="68D3A9A0" w:rsidR="00665F9D" w:rsidRDefault="006A59B1">
          <w:pPr>
            <w:pStyle w:val="TOC2"/>
            <w:rPr>
              <w:rFonts w:asciiTheme="minorHAnsi" w:eastAsiaTheme="minorEastAsia" w:hAnsiTheme="minorHAnsi"/>
              <w:lang w:eastAsia="en-AU"/>
            </w:rPr>
          </w:pPr>
          <w:hyperlink w:anchor="_Toc99438126" w:history="1">
            <w:r w:rsidR="00665F9D" w:rsidRPr="005D11AE">
              <w:rPr>
                <w:rStyle w:val="Hyperlink"/>
                <w:lang w:val="en-US"/>
              </w:rPr>
              <w:t>Improving implementation of the Basin Plan</w:t>
            </w:r>
            <w:r w:rsidR="00665F9D">
              <w:rPr>
                <w:webHidden/>
              </w:rPr>
              <w:tab/>
            </w:r>
            <w:r w:rsidR="00665F9D">
              <w:rPr>
                <w:webHidden/>
              </w:rPr>
              <w:fldChar w:fldCharType="begin"/>
            </w:r>
            <w:r w:rsidR="00665F9D">
              <w:rPr>
                <w:webHidden/>
              </w:rPr>
              <w:instrText xml:space="preserve"> PAGEREF _Toc99438126 \h </w:instrText>
            </w:r>
            <w:r w:rsidR="00665F9D">
              <w:rPr>
                <w:webHidden/>
              </w:rPr>
            </w:r>
            <w:r w:rsidR="00665F9D">
              <w:rPr>
                <w:webHidden/>
              </w:rPr>
              <w:fldChar w:fldCharType="separate"/>
            </w:r>
            <w:r w:rsidR="00665F9D">
              <w:rPr>
                <w:webHidden/>
              </w:rPr>
              <w:t>2</w:t>
            </w:r>
            <w:r w:rsidR="00665F9D">
              <w:rPr>
                <w:webHidden/>
              </w:rPr>
              <w:fldChar w:fldCharType="end"/>
            </w:r>
          </w:hyperlink>
        </w:p>
        <w:p w14:paraId="2A744F65" w14:textId="283211B0" w:rsidR="00665F9D" w:rsidRDefault="006A59B1">
          <w:pPr>
            <w:pStyle w:val="TOC2"/>
            <w:rPr>
              <w:rFonts w:asciiTheme="minorHAnsi" w:eastAsiaTheme="minorEastAsia" w:hAnsiTheme="minorHAnsi"/>
              <w:lang w:eastAsia="en-AU"/>
            </w:rPr>
          </w:pPr>
          <w:hyperlink w:anchor="_Toc99438127" w:history="1">
            <w:r w:rsidR="00665F9D" w:rsidRPr="005D11AE">
              <w:rPr>
                <w:rStyle w:val="Hyperlink"/>
                <w:lang w:val="en-US"/>
              </w:rPr>
              <w:t>Basin outcomes map</w:t>
            </w:r>
            <w:r w:rsidR="00665F9D">
              <w:rPr>
                <w:webHidden/>
              </w:rPr>
              <w:tab/>
            </w:r>
            <w:r w:rsidR="00665F9D">
              <w:rPr>
                <w:webHidden/>
              </w:rPr>
              <w:fldChar w:fldCharType="begin"/>
            </w:r>
            <w:r w:rsidR="00665F9D">
              <w:rPr>
                <w:webHidden/>
              </w:rPr>
              <w:instrText xml:space="preserve"> PAGEREF _Toc99438127 \h </w:instrText>
            </w:r>
            <w:r w:rsidR="00665F9D">
              <w:rPr>
                <w:webHidden/>
              </w:rPr>
            </w:r>
            <w:r w:rsidR="00665F9D">
              <w:rPr>
                <w:webHidden/>
              </w:rPr>
              <w:fldChar w:fldCharType="separate"/>
            </w:r>
            <w:r w:rsidR="00665F9D">
              <w:rPr>
                <w:webHidden/>
              </w:rPr>
              <w:t>3</w:t>
            </w:r>
            <w:r w:rsidR="00665F9D">
              <w:rPr>
                <w:webHidden/>
              </w:rPr>
              <w:fldChar w:fldCharType="end"/>
            </w:r>
          </w:hyperlink>
        </w:p>
        <w:p w14:paraId="4B169CB9" w14:textId="3EA8675E" w:rsidR="00665F9D" w:rsidRDefault="006A59B1">
          <w:pPr>
            <w:pStyle w:val="TOC1"/>
            <w:rPr>
              <w:rFonts w:asciiTheme="minorHAnsi" w:eastAsiaTheme="minorEastAsia" w:hAnsiTheme="minorHAnsi"/>
              <w:b w:val="0"/>
              <w:lang w:eastAsia="en-AU"/>
            </w:rPr>
          </w:pPr>
          <w:hyperlink w:anchor="_Toc99438128" w:history="1">
            <w:r w:rsidR="00665F9D" w:rsidRPr="005D11AE">
              <w:rPr>
                <w:rStyle w:val="Hyperlink"/>
              </w:rPr>
              <w:t>Keeping communities at the heart</w:t>
            </w:r>
            <w:r w:rsidR="00665F9D">
              <w:rPr>
                <w:webHidden/>
              </w:rPr>
              <w:tab/>
            </w:r>
            <w:r w:rsidR="00665F9D">
              <w:rPr>
                <w:webHidden/>
              </w:rPr>
              <w:fldChar w:fldCharType="begin"/>
            </w:r>
            <w:r w:rsidR="00665F9D">
              <w:rPr>
                <w:webHidden/>
              </w:rPr>
              <w:instrText xml:space="preserve"> PAGEREF _Toc99438128 \h </w:instrText>
            </w:r>
            <w:r w:rsidR="00665F9D">
              <w:rPr>
                <w:webHidden/>
              </w:rPr>
            </w:r>
            <w:r w:rsidR="00665F9D">
              <w:rPr>
                <w:webHidden/>
              </w:rPr>
              <w:fldChar w:fldCharType="separate"/>
            </w:r>
            <w:r w:rsidR="00665F9D">
              <w:rPr>
                <w:webHidden/>
              </w:rPr>
              <w:t>4</w:t>
            </w:r>
            <w:r w:rsidR="00665F9D">
              <w:rPr>
                <w:webHidden/>
              </w:rPr>
              <w:fldChar w:fldCharType="end"/>
            </w:r>
          </w:hyperlink>
        </w:p>
        <w:p w14:paraId="3D87468A" w14:textId="2D8BE699" w:rsidR="00665F9D" w:rsidRDefault="006A59B1">
          <w:pPr>
            <w:pStyle w:val="TOC2"/>
            <w:rPr>
              <w:rFonts w:asciiTheme="minorHAnsi" w:eastAsiaTheme="minorEastAsia" w:hAnsiTheme="minorHAnsi"/>
              <w:lang w:eastAsia="en-AU"/>
            </w:rPr>
          </w:pPr>
          <w:hyperlink w:anchor="_Toc99438129" w:history="1">
            <w:r w:rsidR="00665F9D" w:rsidRPr="005D11AE">
              <w:rPr>
                <w:rStyle w:val="Hyperlink"/>
                <w:lang w:val="en-US"/>
              </w:rPr>
              <w:t>Improving water security for all water users</w:t>
            </w:r>
            <w:r w:rsidR="00665F9D">
              <w:rPr>
                <w:webHidden/>
              </w:rPr>
              <w:tab/>
            </w:r>
            <w:r w:rsidR="00665F9D">
              <w:rPr>
                <w:webHidden/>
              </w:rPr>
              <w:fldChar w:fldCharType="begin"/>
            </w:r>
            <w:r w:rsidR="00665F9D">
              <w:rPr>
                <w:webHidden/>
              </w:rPr>
              <w:instrText xml:space="preserve"> PAGEREF _Toc99438129 \h </w:instrText>
            </w:r>
            <w:r w:rsidR="00665F9D">
              <w:rPr>
                <w:webHidden/>
              </w:rPr>
            </w:r>
            <w:r w:rsidR="00665F9D">
              <w:rPr>
                <w:webHidden/>
              </w:rPr>
              <w:fldChar w:fldCharType="separate"/>
            </w:r>
            <w:r w:rsidR="00665F9D">
              <w:rPr>
                <w:webHidden/>
              </w:rPr>
              <w:t>4</w:t>
            </w:r>
            <w:r w:rsidR="00665F9D">
              <w:rPr>
                <w:webHidden/>
              </w:rPr>
              <w:fldChar w:fldCharType="end"/>
            </w:r>
          </w:hyperlink>
        </w:p>
        <w:p w14:paraId="09A9F41A" w14:textId="1CCC0CE0" w:rsidR="00665F9D" w:rsidRDefault="006A59B1">
          <w:pPr>
            <w:pStyle w:val="TOC1"/>
            <w:rPr>
              <w:rFonts w:asciiTheme="minorHAnsi" w:eastAsiaTheme="minorEastAsia" w:hAnsiTheme="minorHAnsi"/>
              <w:b w:val="0"/>
              <w:lang w:eastAsia="en-AU"/>
            </w:rPr>
          </w:pPr>
          <w:hyperlink w:anchor="_Toc99438130" w:history="1">
            <w:r w:rsidR="00665F9D" w:rsidRPr="005D11AE">
              <w:rPr>
                <w:rStyle w:val="Hyperlink"/>
              </w:rPr>
              <w:t>Conclusion</w:t>
            </w:r>
            <w:r w:rsidR="00665F9D">
              <w:rPr>
                <w:webHidden/>
              </w:rPr>
              <w:tab/>
            </w:r>
            <w:r w:rsidR="00665F9D">
              <w:rPr>
                <w:webHidden/>
              </w:rPr>
              <w:fldChar w:fldCharType="begin"/>
            </w:r>
            <w:r w:rsidR="00665F9D">
              <w:rPr>
                <w:webHidden/>
              </w:rPr>
              <w:instrText xml:space="preserve"> PAGEREF _Toc99438130 \h </w:instrText>
            </w:r>
            <w:r w:rsidR="00665F9D">
              <w:rPr>
                <w:webHidden/>
              </w:rPr>
            </w:r>
            <w:r w:rsidR="00665F9D">
              <w:rPr>
                <w:webHidden/>
              </w:rPr>
              <w:fldChar w:fldCharType="separate"/>
            </w:r>
            <w:r w:rsidR="00665F9D">
              <w:rPr>
                <w:webHidden/>
              </w:rPr>
              <w:t>6</w:t>
            </w:r>
            <w:r w:rsidR="00665F9D">
              <w:rPr>
                <w:webHidden/>
              </w:rPr>
              <w:fldChar w:fldCharType="end"/>
            </w:r>
          </w:hyperlink>
        </w:p>
        <w:p w14:paraId="723C6EF4" w14:textId="430BD3CF" w:rsidR="00F932E6" w:rsidRPr="00F545EC" w:rsidRDefault="00C86ED8" w:rsidP="00F932E6">
          <w:r w:rsidRPr="00F545EC">
            <w:rPr>
              <w:b/>
              <w:noProof/>
            </w:rPr>
            <w:fldChar w:fldCharType="end"/>
          </w:r>
        </w:p>
      </w:sdtContent>
    </w:sdt>
    <w:p w14:paraId="1379832D" w14:textId="77777777" w:rsidR="00F932E6" w:rsidRPr="00F545EC" w:rsidRDefault="00F932E6" w:rsidP="00F932E6">
      <w:pPr>
        <w:pStyle w:val="TableofFigures"/>
        <w:tabs>
          <w:tab w:val="right" w:leader="dot" w:pos="9060"/>
        </w:tabs>
        <w:sectPr w:rsidR="00F932E6" w:rsidRPr="00F545EC" w:rsidSect="00B01958">
          <w:headerReference w:type="default" r:id="rId12"/>
          <w:footerReference w:type="default" r:id="rId13"/>
          <w:headerReference w:type="first" r:id="rId14"/>
          <w:pgSz w:w="11906" w:h="16838"/>
          <w:pgMar w:top="1418" w:right="1418" w:bottom="1418" w:left="1418" w:header="567" w:footer="283" w:gutter="0"/>
          <w:pgNumType w:fmt="lowerRoman"/>
          <w:cols w:space="708"/>
          <w:titlePg/>
          <w:docGrid w:linePitch="360"/>
        </w:sectPr>
      </w:pPr>
    </w:p>
    <w:p w14:paraId="37AA04A1" w14:textId="77777777" w:rsidR="00F932E6" w:rsidRPr="00F545EC" w:rsidRDefault="00135053" w:rsidP="00F932E6">
      <w:pPr>
        <w:pStyle w:val="Heading2"/>
        <w:numPr>
          <w:ilvl w:val="0"/>
          <w:numId w:val="0"/>
        </w:numPr>
      </w:pPr>
      <w:bookmarkStart w:id="3" w:name="_Toc99438123"/>
      <w:r w:rsidRPr="00F545EC">
        <w:lastRenderedPageBreak/>
        <w:t>Delivering outcomes</w:t>
      </w:r>
      <w:r w:rsidR="009F26AC" w:rsidRPr="00F545EC">
        <w:t xml:space="preserve"> for the Basin</w:t>
      </w:r>
      <w:r w:rsidR="00256838" w:rsidRPr="00F545EC">
        <w:t xml:space="preserve"> and communities</w:t>
      </w:r>
      <w:bookmarkEnd w:id="3"/>
    </w:p>
    <w:p w14:paraId="10805F92" w14:textId="77777777" w:rsidR="00C2734B" w:rsidRPr="00F545EC" w:rsidRDefault="00431A79" w:rsidP="00431A79">
      <w:pPr>
        <w:rPr>
          <w:lang w:val="en-US"/>
        </w:rPr>
      </w:pPr>
      <w:bookmarkStart w:id="4" w:name="_Ref445985033"/>
      <w:bookmarkStart w:id="5" w:name="_Toc409769171"/>
      <w:bookmarkStart w:id="6" w:name="_Toc508272837"/>
      <w:r w:rsidRPr="00F545EC">
        <w:rPr>
          <w:lang w:val="en-US"/>
        </w:rPr>
        <w:t xml:space="preserve">The Murray–Darling Basin Plan is a long-term $13 billion investment in Australia’s largest and most complex river system, </w:t>
      </w:r>
      <w:r w:rsidR="00BE158F" w:rsidRPr="00F545EC">
        <w:rPr>
          <w:lang w:val="en-US"/>
        </w:rPr>
        <w:t>a system that supports</w:t>
      </w:r>
      <w:r w:rsidRPr="00F545EC">
        <w:rPr>
          <w:lang w:val="en-US"/>
        </w:rPr>
        <w:t xml:space="preserve"> our </w:t>
      </w:r>
      <w:r w:rsidR="00BE158F" w:rsidRPr="00F545EC">
        <w:rPr>
          <w:lang w:val="en-US"/>
        </w:rPr>
        <w:t xml:space="preserve">nation’s </w:t>
      </w:r>
      <w:r w:rsidRPr="00F545EC">
        <w:rPr>
          <w:lang w:val="en-US"/>
        </w:rPr>
        <w:t xml:space="preserve">most important food bowl. </w:t>
      </w:r>
      <w:r w:rsidR="00BE158F" w:rsidRPr="00F545EC">
        <w:rPr>
          <w:lang w:val="en-US"/>
        </w:rPr>
        <w:t>It’s home to</w:t>
      </w:r>
      <w:r w:rsidRPr="00F545EC">
        <w:rPr>
          <w:lang w:val="en-US"/>
        </w:rPr>
        <w:t xml:space="preserve"> thousands of irrigated agriculture businesses, a </w:t>
      </w:r>
      <w:r w:rsidR="00AF2351" w:rsidRPr="00F545EC">
        <w:rPr>
          <w:lang w:val="en-US"/>
        </w:rPr>
        <w:t xml:space="preserve">real </w:t>
      </w:r>
      <w:r w:rsidRPr="00F545EC">
        <w:rPr>
          <w:lang w:val="en-US"/>
        </w:rPr>
        <w:t xml:space="preserve">powerhouse </w:t>
      </w:r>
      <w:r w:rsidR="00BE158F" w:rsidRPr="00F545EC">
        <w:rPr>
          <w:lang w:val="en-US"/>
        </w:rPr>
        <w:t xml:space="preserve">region </w:t>
      </w:r>
      <w:r w:rsidRPr="00F545EC">
        <w:rPr>
          <w:lang w:val="en-US"/>
        </w:rPr>
        <w:t xml:space="preserve">that </w:t>
      </w:r>
      <w:r w:rsidR="00C2734B" w:rsidRPr="00F545EC">
        <w:rPr>
          <w:lang w:val="en-US"/>
        </w:rPr>
        <w:t>contributes</w:t>
      </w:r>
      <w:r w:rsidR="00BE158F" w:rsidRPr="00F545EC">
        <w:rPr>
          <w:lang w:val="en-US"/>
        </w:rPr>
        <w:t xml:space="preserve"> well</w:t>
      </w:r>
      <w:r w:rsidRPr="00F545EC">
        <w:rPr>
          <w:lang w:val="en-US"/>
        </w:rPr>
        <w:t xml:space="preserve"> over $20 billion in agricultural </w:t>
      </w:r>
      <w:r w:rsidR="00BE158F" w:rsidRPr="00F545EC">
        <w:rPr>
          <w:lang w:val="en-US"/>
        </w:rPr>
        <w:t>outputs</w:t>
      </w:r>
      <w:r w:rsidRPr="00F545EC">
        <w:rPr>
          <w:lang w:val="en-US"/>
        </w:rPr>
        <w:t xml:space="preserve"> and </w:t>
      </w:r>
      <w:r w:rsidR="00C2734B" w:rsidRPr="00F545EC">
        <w:rPr>
          <w:lang w:val="en-US"/>
        </w:rPr>
        <w:t>over</w:t>
      </w:r>
      <w:r w:rsidRPr="00F545EC">
        <w:rPr>
          <w:lang w:val="en-US"/>
        </w:rPr>
        <w:t xml:space="preserve"> $11 billion</w:t>
      </w:r>
      <w:r w:rsidR="00C2734B" w:rsidRPr="00F545EC">
        <w:rPr>
          <w:lang w:val="en-US"/>
        </w:rPr>
        <w:t xml:space="preserve"> in tourism dollars to the Australian economy</w:t>
      </w:r>
      <w:r w:rsidRPr="00F545EC">
        <w:rPr>
          <w:lang w:val="en-US"/>
        </w:rPr>
        <w:t xml:space="preserve"> every year. The </w:t>
      </w:r>
      <w:r w:rsidR="00BE158F" w:rsidRPr="00F545EC">
        <w:rPr>
          <w:lang w:val="en-US"/>
        </w:rPr>
        <w:t>Basin is also home to</w:t>
      </w:r>
      <w:r w:rsidRPr="00F545EC">
        <w:rPr>
          <w:lang w:val="en-US"/>
        </w:rPr>
        <w:t xml:space="preserve"> millions of Australians who rely on </w:t>
      </w:r>
      <w:r w:rsidR="00BE158F" w:rsidRPr="00F545EC">
        <w:rPr>
          <w:lang w:val="en-US"/>
        </w:rPr>
        <w:t>it every day</w:t>
      </w:r>
      <w:r w:rsidR="00C2734B" w:rsidRPr="00F545EC">
        <w:rPr>
          <w:lang w:val="en-US"/>
        </w:rPr>
        <w:t xml:space="preserve"> for critical water use and </w:t>
      </w:r>
      <w:r w:rsidR="00BE158F" w:rsidRPr="00F545EC">
        <w:rPr>
          <w:lang w:val="en-US"/>
        </w:rPr>
        <w:t>families from right across Australia enjoy swimming, fishing</w:t>
      </w:r>
      <w:r w:rsidR="00C2734B" w:rsidRPr="00F545EC">
        <w:rPr>
          <w:lang w:val="en-US"/>
        </w:rPr>
        <w:t xml:space="preserve">, </w:t>
      </w:r>
      <w:proofErr w:type="gramStart"/>
      <w:r w:rsidR="00BE158F" w:rsidRPr="00F545EC">
        <w:rPr>
          <w:lang w:val="en-US"/>
        </w:rPr>
        <w:t>boating</w:t>
      </w:r>
      <w:proofErr w:type="gramEnd"/>
      <w:r w:rsidR="001C410D" w:rsidRPr="00F545EC">
        <w:rPr>
          <w:lang w:val="en-US"/>
        </w:rPr>
        <w:t xml:space="preserve"> and </w:t>
      </w:r>
      <w:r w:rsidR="00256838" w:rsidRPr="00F545EC">
        <w:rPr>
          <w:lang w:val="en-US"/>
        </w:rPr>
        <w:t xml:space="preserve">camping on </w:t>
      </w:r>
      <w:r w:rsidR="001C410D" w:rsidRPr="00F545EC">
        <w:rPr>
          <w:lang w:val="en-US"/>
        </w:rPr>
        <w:t xml:space="preserve">and around </w:t>
      </w:r>
      <w:r w:rsidR="00256838" w:rsidRPr="00F545EC">
        <w:rPr>
          <w:lang w:val="en-US"/>
        </w:rPr>
        <w:t>its iconic waterways</w:t>
      </w:r>
      <w:r w:rsidR="00BE158F" w:rsidRPr="00F545EC">
        <w:rPr>
          <w:lang w:val="en-US"/>
        </w:rPr>
        <w:t xml:space="preserve">. </w:t>
      </w:r>
      <w:r w:rsidRPr="00F545EC">
        <w:rPr>
          <w:lang w:val="en-US"/>
        </w:rPr>
        <w:t xml:space="preserve"> </w:t>
      </w:r>
    </w:p>
    <w:p w14:paraId="27DF17AB" w14:textId="77777777" w:rsidR="00A47215" w:rsidRPr="00F545EC" w:rsidRDefault="0057773B" w:rsidP="00C2734B">
      <w:pPr>
        <w:rPr>
          <w:lang w:val="en-US"/>
        </w:rPr>
      </w:pPr>
      <w:r w:rsidRPr="00F545EC">
        <w:rPr>
          <w:lang w:val="en-US"/>
        </w:rPr>
        <w:t>In 2012 t</w:t>
      </w:r>
      <w:r w:rsidR="00256838" w:rsidRPr="00F545EC">
        <w:rPr>
          <w:lang w:val="en-US"/>
        </w:rPr>
        <w:t xml:space="preserve">he system was under intense pressure </w:t>
      </w:r>
      <w:r w:rsidR="001C410D" w:rsidRPr="00F545EC">
        <w:rPr>
          <w:lang w:val="en-US"/>
        </w:rPr>
        <w:t>with more calls on its water resources than it could sustain</w:t>
      </w:r>
      <w:r w:rsidR="00256838" w:rsidRPr="00F545EC">
        <w:rPr>
          <w:lang w:val="en-US"/>
        </w:rPr>
        <w:t xml:space="preserve">. </w:t>
      </w:r>
      <w:r w:rsidRPr="00F545EC">
        <w:rPr>
          <w:lang w:val="en-US"/>
        </w:rPr>
        <w:t>T</w:t>
      </w:r>
      <w:r w:rsidR="00256838" w:rsidRPr="00F545EC">
        <w:rPr>
          <w:lang w:val="en-US"/>
        </w:rPr>
        <w:t xml:space="preserve">he Basin Plan was legislated </w:t>
      </w:r>
      <w:r w:rsidR="00431A79" w:rsidRPr="00F545EC">
        <w:rPr>
          <w:lang w:val="en-US"/>
        </w:rPr>
        <w:t>to give communities and industries certainty by limiting the volume of water that could be taken from the Basin at a time when scientific evidence about the likelihood of more frequent and severe droughts was strengthening.</w:t>
      </w:r>
      <w:r w:rsidR="00C2734B" w:rsidRPr="00F545EC">
        <w:rPr>
          <w:lang w:val="en-US"/>
        </w:rPr>
        <w:t xml:space="preserve"> </w:t>
      </w:r>
    </w:p>
    <w:p w14:paraId="349BB45E" w14:textId="77777777" w:rsidR="00C2734B" w:rsidRPr="00F545EC" w:rsidRDefault="00C2734B" w:rsidP="00C2734B">
      <w:pPr>
        <w:rPr>
          <w:lang w:val="en-US"/>
        </w:rPr>
      </w:pPr>
      <w:r w:rsidRPr="00F545EC">
        <w:rPr>
          <w:lang w:val="en-US"/>
        </w:rPr>
        <w:t xml:space="preserve">Since 2012 significant progress on implementing key elements of the Basin </w:t>
      </w:r>
      <w:r w:rsidR="00D85C03" w:rsidRPr="00F545EC">
        <w:rPr>
          <w:lang w:val="en-US"/>
        </w:rPr>
        <w:t>P</w:t>
      </w:r>
      <w:r w:rsidRPr="00F545EC">
        <w:rPr>
          <w:lang w:val="en-US"/>
        </w:rPr>
        <w:t>lan has been made</w:t>
      </w:r>
      <w:r w:rsidR="00D85C03" w:rsidRPr="00F545EC">
        <w:rPr>
          <w:lang w:val="en-US"/>
        </w:rPr>
        <w:t xml:space="preserve"> with</w:t>
      </w:r>
      <w:r w:rsidRPr="00F545EC">
        <w:rPr>
          <w:lang w:val="en-US"/>
        </w:rPr>
        <w:t>:</w:t>
      </w:r>
    </w:p>
    <w:p w14:paraId="54634B4B" w14:textId="77777777" w:rsidR="00C2734B" w:rsidRPr="00F545EC" w:rsidRDefault="00C2734B" w:rsidP="00B8684A">
      <w:pPr>
        <w:pStyle w:val="ListBullet"/>
        <w:numPr>
          <w:ilvl w:val="0"/>
          <w:numId w:val="13"/>
        </w:numPr>
        <w:rPr>
          <w:lang w:val="en-US"/>
        </w:rPr>
      </w:pPr>
      <w:r w:rsidRPr="00F545EC">
        <w:rPr>
          <w:lang w:val="en-US"/>
        </w:rPr>
        <w:t xml:space="preserve">$10 billion invested to increase agricultural productivity, </w:t>
      </w:r>
      <w:proofErr w:type="spellStart"/>
      <w:r w:rsidRPr="00F545EC">
        <w:rPr>
          <w:lang w:val="en-US"/>
        </w:rPr>
        <w:t>modernise</w:t>
      </w:r>
      <w:proofErr w:type="spellEnd"/>
      <w:r w:rsidRPr="00F545EC">
        <w:rPr>
          <w:lang w:val="en-US"/>
        </w:rPr>
        <w:t xml:space="preserve"> infrastructure and return water to the environment.</w:t>
      </w:r>
    </w:p>
    <w:p w14:paraId="004C7197" w14:textId="77777777" w:rsidR="00C2734B" w:rsidRPr="00F545EC" w:rsidRDefault="00C2734B" w:rsidP="00B8684A">
      <w:pPr>
        <w:pStyle w:val="ListBullet"/>
        <w:numPr>
          <w:ilvl w:val="0"/>
          <w:numId w:val="13"/>
        </w:numPr>
        <w:rPr>
          <w:lang w:val="en-US"/>
        </w:rPr>
      </w:pPr>
      <w:r w:rsidRPr="00F545EC">
        <w:rPr>
          <w:lang w:val="en-US"/>
        </w:rPr>
        <w:t>98</w:t>
      </w:r>
      <w:r w:rsidR="00D85C03" w:rsidRPr="00F545EC">
        <w:rPr>
          <w:lang w:val="en-US"/>
        </w:rPr>
        <w:t>%</w:t>
      </w:r>
      <w:r w:rsidRPr="00F545EC">
        <w:rPr>
          <w:lang w:val="en-US"/>
        </w:rPr>
        <w:t xml:space="preserve"> of the </w:t>
      </w:r>
      <w:r w:rsidR="00A14981" w:rsidRPr="00F545EC">
        <w:rPr>
          <w:lang w:val="en-US"/>
        </w:rPr>
        <w:t xml:space="preserve">surface water and 92% of the groundwater gap bridging water recovery target </w:t>
      </w:r>
      <w:r w:rsidR="00D85C03" w:rsidRPr="00F545EC">
        <w:rPr>
          <w:lang w:val="en-US"/>
        </w:rPr>
        <w:t xml:space="preserve">achieved </w:t>
      </w:r>
      <w:r w:rsidRPr="00F545EC">
        <w:rPr>
          <w:lang w:val="en-US"/>
        </w:rPr>
        <w:t>putting the Basin on a more sustainable footing.</w:t>
      </w:r>
    </w:p>
    <w:p w14:paraId="0FAE4C34" w14:textId="77777777" w:rsidR="004E5F66" w:rsidRPr="00F545EC" w:rsidRDefault="004E5F66" w:rsidP="00B8684A">
      <w:pPr>
        <w:pStyle w:val="ListBullet"/>
        <w:numPr>
          <w:ilvl w:val="0"/>
          <w:numId w:val="13"/>
        </w:numPr>
        <w:rPr>
          <w:lang w:val="en-US"/>
        </w:rPr>
      </w:pPr>
      <w:r w:rsidRPr="00F545EC">
        <w:rPr>
          <w:lang w:val="en-US"/>
        </w:rPr>
        <w:t>more than 28,000 km of rivers and 360,000 hectares of lakes, wetlands and floodplains</w:t>
      </w:r>
      <w:r w:rsidR="0057773B" w:rsidRPr="00F545EC">
        <w:rPr>
          <w:lang w:val="en-US"/>
        </w:rPr>
        <w:t xml:space="preserve"> helped by water held for the environment</w:t>
      </w:r>
      <w:r w:rsidRPr="00F545EC">
        <w:rPr>
          <w:lang w:val="en-US"/>
        </w:rPr>
        <w:t>.</w:t>
      </w:r>
    </w:p>
    <w:p w14:paraId="2CAE3006" w14:textId="77777777" w:rsidR="00A14981" w:rsidRPr="00F545EC" w:rsidRDefault="0057773B" w:rsidP="00B8684A">
      <w:pPr>
        <w:pStyle w:val="ListBullet"/>
        <w:numPr>
          <w:ilvl w:val="0"/>
          <w:numId w:val="13"/>
        </w:numPr>
        <w:rPr>
          <w:lang w:val="en-US"/>
        </w:rPr>
      </w:pPr>
      <w:r w:rsidRPr="00F545EC">
        <w:rPr>
          <w:lang w:val="en-US"/>
        </w:rPr>
        <w:t>a</w:t>
      </w:r>
      <w:r w:rsidR="00A14981" w:rsidRPr="00F545EC">
        <w:rPr>
          <w:lang w:val="en-US"/>
        </w:rPr>
        <w:t xml:space="preserve"> new $1.54b Off-farm Efficiency Program </w:t>
      </w:r>
      <w:r w:rsidRPr="00F545EC">
        <w:rPr>
          <w:lang w:val="en-US"/>
        </w:rPr>
        <w:t xml:space="preserve">to recover </w:t>
      </w:r>
      <w:r w:rsidR="00A14981" w:rsidRPr="00F545EC">
        <w:rPr>
          <w:lang w:val="en-US"/>
        </w:rPr>
        <w:t xml:space="preserve">450GL </w:t>
      </w:r>
      <w:r w:rsidRPr="00F545EC">
        <w:rPr>
          <w:lang w:val="en-US"/>
        </w:rPr>
        <w:t>for enhanced environmental outcomes while making more water available to farmers</w:t>
      </w:r>
      <w:r w:rsidR="00A14981" w:rsidRPr="00F545EC">
        <w:rPr>
          <w:lang w:val="en-US"/>
        </w:rPr>
        <w:t>.</w:t>
      </w:r>
    </w:p>
    <w:p w14:paraId="317522D0" w14:textId="7D852683" w:rsidR="00927A97" w:rsidRPr="00F545EC" w:rsidRDefault="005E5C0C" w:rsidP="005E5C0C">
      <w:pPr>
        <w:pStyle w:val="ListBullet"/>
        <w:numPr>
          <w:ilvl w:val="0"/>
          <w:numId w:val="0"/>
        </w:numPr>
        <w:rPr>
          <w:lang w:val="en-US"/>
        </w:rPr>
      </w:pPr>
      <w:r w:rsidRPr="00F545EC">
        <w:rPr>
          <w:lang w:val="en-US"/>
        </w:rPr>
        <w:t>The</w:t>
      </w:r>
      <w:r w:rsidR="00665F9D">
        <w:rPr>
          <w:lang w:val="en-US"/>
        </w:rPr>
        <w:t xml:space="preserve"> </w:t>
      </w:r>
      <w:r w:rsidR="00973EBF" w:rsidRPr="00F545EC">
        <w:rPr>
          <w:lang w:val="en-US"/>
        </w:rPr>
        <w:t>2020</w:t>
      </w:r>
      <w:r w:rsidRPr="00F545EC">
        <w:rPr>
          <w:lang w:val="en-US"/>
        </w:rPr>
        <w:t xml:space="preserve"> Murray-Darling Communities Investment Package</w:t>
      </w:r>
      <w:r w:rsidR="0052007E" w:rsidRPr="00F545EC">
        <w:rPr>
          <w:lang w:val="en-US"/>
        </w:rPr>
        <w:t xml:space="preserve"> embodies</w:t>
      </w:r>
      <w:r w:rsidRPr="00F545EC">
        <w:rPr>
          <w:lang w:val="en-US"/>
        </w:rPr>
        <w:t xml:space="preserve"> the Australian Government’s new approach to implementing the Basin Plan. It’s focused around three high level </w:t>
      </w:r>
      <w:r w:rsidR="006D6AFE" w:rsidRPr="00F545EC">
        <w:rPr>
          <w:lang w:val="en-US"/>
        </w:rPr>
        <w:t>themes</w:t>
      </w:r>
      <w:r w:rsidRPr="00F545EC">
        <w:rPr>
          <w:lang w:val="en-US"/>
        </w:rPr>
        <w:t xml:space="preserve"> that are supported by </w:t>
      </w:r>
      <w:r w:rsidR="00A12693" w:rsidRPr="00F545EC">
        <w:rPr>
          <w:lang w:val="en-US"/>
        </w:rPr>
        <w:t xml:space="preserve">11 </w:t>
      </w:r>
      <w:r w:rsidRPr="00F545EC">
        <w:rPr>
          <w:lang w:val="en-US"/>
        </w:rPr>
        <w:t xml:space="preserve">practical and realistic actions. </w:t>
      </w:r>
      <w:r w:rsidR="00B8684A" w:rsidRPr="00F545EC">
        <w:rPr>
          <w:lang w:val="en-US"/>
        </w:rPr>
        <w:t>The Australian Government has actioned all items of the 2020 package</w:t>
      </w:r>
      <w:r w:rsidR="00973EBF" w:rsidRPr="00F545EC">
        <w:rPr>
          <w:lang w:val="en-US"/>
        </w:rPr>
        <w:t>.</w:t>
      </w:r>
    </w:p>
    <w:p w14:paraId="75C5604C" w14:textId="77777777" w:rsidR="0062107F" w:rsidRPr="00F545EC" w:rsidRDefault="00053CC6" w:rsidP="00113A6A">
      <w:pPr>
        <w:pStyle w:val="Heading3"/>
        <w:numPr>
          <w:ilvl w:val="0"/>
          <w:numId w:val="0"/>
        </w:numPr>
        <w:ind w:left="964" w:hanging="964"/>
        <w:rPr>
          <w:lang w:val="en-US"/>
        </w:rPr>
      </w:pPr>
      <w:bookmarkStart w:id="7" w:name="_Toc99438124"/>
      <w:r w:rsidRPr="00F545EC">
        <w:rPr>
          <w:lang w:val="en-US"/>
        </w:rPr>
        <w:t>Investing in community resilience and river health</w:t>
      </w:r>
      <w:bookmarkEnd w:id="7"/>
    </w:p>
    <w:p w14:paraId="300C428A" w14:textId="77777777" w:rsidR="00197858" w:rsidRPr="00F545EC" w:rsidRDefault="00A12693" w:rsidP="00E87C4F">
      <w:pPr>
        <w:pStyle w:val="ListParagraph"/>
        <w:numPr>
          <w:ilvl w:val="0"/>
          <w:numId w:val="18"/>
        </w:numPr>
        <w:rPr>
          <w:lang w:val="en-US"/>
        </w:rPr>
      </w:pPr>
      <w:proofErr w:type="spellStart"/>
      <w:r w:rsidRPr="00F545EC">
        <w:rPr>
          <w:b/>
          <w:lang w:val="en-US"/>
        </w:rPr>
        <w:t>Maximising</w:t>
      </w:r>
      <w:proofErr w:type="spellEnd"/>
      <w:r w:rsidRPr="00F545EC">
        <w:rPr>
          <w:b/>
          <w:lang w:val="en-US"/>
        </w:rPr>
        <w:t xml:space="preserve"> benefits of the Basin Plan for communities: </w:t>
      </w:r>
      <w:r w:rsidR="00E87C4F" w:rsidRPr="00F545EC">
        <w:rPr>
          <w:lang w:val="en-US"/>
        </w:rPr>
        <w:t xml:space="preserve">132 projects were approved for funding </w:t>
      </w:r>
      <w:r w:rsidR="00705677" w:rsidRPr="00F545EC">
        <w:rPr>
          <w:lang w:val="en-US"/>
        </w:rPr>
        <w:t>through 3 rounds of the Murray–Darling Basin Economic Development Program</w:t>
      </w:r>
      <w:r w:rsidR="00E87C4F" w:rsidRPr="00F545EC">
        <w:rPr>
          <w:lang w:val="en-US"/>
        </w:rPr>
        <w:t>. These includ</w:t>
      </w:r>
      <w:r w:rsidR="00705677" w:rsidRPr="00F545EC">
        <w:rPr>
          <w:lang w:val="en-US"/>
        </w:rPr>
        <w:t>e 67 projects to attract tourists</w:t>
      </w:r>
      <w:r w:rsidR="00E87C4F" w:rsidRPr="00F545EC">
        <w:rPr>
          <w:lang w:val="en-US"/>
        </w:rPr>
        <w:t xml:space="preserve"> to the community or increase the capacity to hold events, 53 projects </w:t>
      </w:r>
      <w:r w:rsidR="00705677" w:rsidRPr="00F545EC">
        <w:rPr>
          <w:lang w:val="en-US"/>
        </w:rPr>
        <w:t>to</w:t>
      </w:r>
      <w:r w:rsidR="00E87C4F" w:rsidRPr="00F545EC">
        <w:rPr>
          <w:lang w:val="en-US"/>
        </w:rPr>
        <w:t xml:space="preserve"> strengthen </w:t>
      </w:r>
      <w:r w:rsidR="00705677" w:rsidRPr="00F545EC">
        <w:rPr>
          <w:lang w:val="en-US"/>
        </w:rPr>
        <w:t>the capacity of</w:t>
      </w:r>
      <w:r w:rsidR="00E87C4F" w:rsidRPr="00F545EC">
        <w:rPr>
          <w:lang w:val="en-US"/>
        </w:rPr>
        <w:t xml:space="preserve"> communities, and 12 projects </w:t>
      </w:r>
      <w:r w:rsidR="00705677" w:rsidRPr="00F545EC">
        <w:rPr>
          <w:lang w:val="en-US"/>
        </w:rPr>
        <w:t>to</w:t>
      </w:r>
      <w:r w:rsidR="00E87C4F" w:rsidRPr="00F545EC">
        <w:rPr>
          <w:lang w:val="en-US"/>
        </w:rPr>
        <w:t xml:space="preserve"> improve health facilities </w:t>
      </w:r>
      <w:r w:rsidR="00705677" w:rsidRPr="00F545EC">
        <w:rPr>
          <w:lang w:val="en-US"/>
        </w:rPr>
        <w:t>and</w:t>
      </w:r>
      <w:r w:rsidR="00E87C4F" w:rsidRPr="00F545EC">
        <w:rPr>
          <w:lang w:val="en-US"/>
        </w:rPr>
        <w:t xml:space="preserve"> improve access to </w:t>
      </w:r>
      <w:proofErr w:type="gramStart"/>
      <w:r w:rsidR="00E87C4F" w:rsidRPr="00F545EC">
        <w:rPr>
          <w:lang w:val="en-US"/>
        </w:rPr>
        <w:t>health-care</w:t>
      </w:r>
      <w:proofErr w:type="gramEnd"/>
      <w:r w:rsidR="00197858" w:rsidRPr="00F545EC">
        <w:rPr>
          <w:lang w:val="en-US"/>
        </w:rPr>
        <w:t>.</w:t>
      </w:r>
    </w:p>
    <w:p w14:paraId="61617695" w14:textId="77777777" w:rsidR="00197858" w:rsidRPr="00F545EC" w:rsidRDefault="00E87C4F" w:rsidP="00E87C4F">
      <w:pPr>
        <w:pStyle w:val="ListParagraph"/>
        <w:numPr>
          <w:ilvl w:val="0"/>
          <w:numId w:val="18"/>
        </w:numPr>
        <w:rPr>
          <w:lang w:val="en-US"/>
        </w:rPr>
      </w:pPr>
      <w:r w:rsidRPr="00F545EC">
        <w:rPr>
          <w:b/>
          <w:lang w:val="en-US"/>
        </w:rPr>
        <w:t xml:space="preserve">Improving river health for all users: </w:t>
      </w:r>
      <w:r w:rsidR="00197858" w:rsidRPr="00F545EC">
        <w:rPr>
          <w:lang w:val="en-US"/>
        </w:rPr>
        <w:t>$20 millio</w:t>
      </w:r>
      <w:r w:rsidR="009F166A" w:rsidRPr="00F545EC">
        <w:rPr>
          <w:lang w:val="en-US"/>
        </w:rPr>
        <w:t xml:space="preserve">n has been allocated to fund </w:t>
      </w:r>
      <w:r w:rsidR="0052007E" w:rsidRPr="00F545EC">
        <w:rPr>
          <w:lang w:val="en-US"/>
        </w:rPr>
        <w:t>160</w:t>
      </w:r>
      <w:r w:rsidR="009F166A" w:rsidRPr="00F545EC">
        <w:rPr>
          <w:lang w:val="en-US"/>
        </w:rPr>
        <w:t xml:space="preserve"> community driven grants for on-ground projects that will improve the health of rivers and wetlands.</w:t>
      </w:r>
      <w:r w:rsidR="004762A6" w:rsidRPr="00F545EC">
        <w:rPr>
          <w:lang w:val="en-US"/>
        </w:rPr>
        <w:t xml:space="preserve"> </w:t>
      </w:r>
      <w:proofErr w:type="gramStart"/>
      <w:r w:rsidR="004762A6" w:rsidRPr="00F545EC">
        <w:rPr>
          <w:lang w:val="en-US"/>
        </w:rPr>
        <w:t>Overall</w:t>
      </w:r>
      <w:proofErr w:type="gramEnd"/>
      <w:r w:rsidR="004762A6" w:rsidRPr="00F545EC">
        <w:rPr>
          <w:lang w:val="en-US"/>
        </w:rPr>
        <w:t xml:space="preserve"> the projects will plant almost 300,000 native plants, install 230 kilometers of fencing to protect over 2000 hectares of riparian areas, and undertake approximately 27,700 hectares of weed control across the Basin. </w:t>
      </w:r>
    </w:p>
    <w:p w14:paraId="730F12C9" w14:textId="77777777" w:rsidR="00E87C4F" w:rsidRPr="00F545EC" w:rsidRDefault="00E87C4F" w:rsidP="00705677">
      <w:pPr>
        <w:pStyle w:val="ListParagraph"/>
        <w:numPr>
          <w:ilvl w:val="0"/>
          <w:numId w:val="18"/>
        </w:numPr>
        <w:rPr>
          <w:lang w:val="en-US"/>
        </w:rPr>
      </w:pPr>
      <w:r w:rsidRPr="00F545EC">
        <w:rPr>
          <w:b/>
          <w:lang w:val="en-US"/>
        </w:rPr>
        <w:lastRenderedPageBreak/>
        <w:t>Delivering environmental outcomes in the Riverland:</w:t>
      </w:r>
      <w:r w:rsidR="00705677" w:rsidRPr="00F545EC">
        <w:rPr>
          <w:b/>
          <w:lang w:val="en-US"/>
        </w:rPr>
        <w:t xml:space="preserve"> </w:t>
      </w:r>
      <w:r w:rsidR="00705677" w:rsidRPr="00F545EC">
        <w:rPr>
          <w:lang w:val="en-US"/>
        </w:rPr>
        <w:t xml:space="preserve">approvals are underway for re-snagging at 2 sites - one in Bookmark Creek in the heart of Renmark and one below Lock 3 on the banks of </w:t>
      </w:r>
      <w:proofErr w:type="spellStart"/>
      <w:r w:rsidR="00705677" w:rsidRPr="00F545EC">
        <w:rPr>
          <w:lang w:val="en-US"/>
        </w:rPr>
        <w:t>Banrock</w:t>
      </w:r>
      <w:proofErr w:type="spellEnd"/>
      <w:r w:rsidR="00705677" w:rsidRPr="00F545EC">
        <w:rPr>
          <w:lang w:val="en-US"/>
        </w:rPr>
        <w:t xml:space="preserve"> Station following 4 targeted community co-design workshops held to determine the best and safest options to improve connectivity for fish to the River Murray at Bookmark Creek</w:t>
      </w:r>
    </w:p>
    <w:p w14:paraId="24508F00" w14:textId="77777777" w:rsidR="00E87C4F" w:rsidRPr="00F545EC" w:rsidRDefault="00E87C4F" w:rsidP="00705677">
      <w:pPr>
        <w:pStyle w:val="ListParagraph"/>
        <w:numPr>
          <w:ilvl w:val="0"/>
          <w:numId w:val="18"/>
        </w:numPr>
        <w:rPr>
          <w:lang w:val="en-US"/>
        </w:rPr>
      </w:pPr>
      <w:r w:rsidRPr="00F545EC">
        <w:rPr>
          <w:b/>
          <w:lang w:val="en-US"/>
        </w:rPr>
        <w:t>Support First Nations to play an active role in river health</w:t>
      </w:r>
      <w:r w:rsidRPr="00F545EC">
        <w:rPr>
          <w:lang w:val="en-US"/>
        </w:rPr>
        <w:t>:</w:t>
      </w:r>
      <w:r w:rsidR="00705677" w:rsidRPr="00F545EC">
        <w:rPr>
          <w:lang w:val="en-US"/>
        </w:rPr>
        <w:t xml:space="preserve"> 5 Indigenous River Ranger groups have been established across the Basin generating 27 jobs. These groups will undertake work to manage and restore waterway health while supporting environmental and cultural outcomes</w:t>
      </w:r>
      <w:r w:rsidR="0052007E" w:rsidRPr="00F545EC">
        <w:rPr>
          <w:lang w:val="en-US"/>
        </w:rPr>
        <w:t>.</w:t>
      </w:r>
    </w:p>
    <w:p w14:paraId="418AAEB8" w14:textId="77777777" w:rsidR="00053CC6" w:rsidRPr="00F545EC" w:rsidRDefault="00053CC6" w:rsidP="00053CC6">
      <w:pPr>
        <w:pStyle w:val="Heading3"/>
        <w:numPr>
          <w:ilvl w:val="0"/>
          <w:numId w:val="0"/>
        </w:numPr>
        <w:ind w:left="964" w:hanging="964"/>
        <w:rPr>
          <w:lang w:val="en-US"/>
        </w:rPr>
      </w:pPr>
      <w:bookmarkStart w:id="8" w:name="_Toc99438125"/>
      <w:r w:rsidRPr="00F545EC">
        <w:rPr>
          <w:lang w:val="en-US"/>
        </w:rPr>
        <w:t xml:space="preserve">Building trust, </w:t>
      </w:r>
      <w:proofErr w:type="gramStart"/>
      <w:r w:rsidRPr="00F545EC">
        <w:rPr>
          <w:lang w:val="en-US"/>
        </w:rPr>
        <w:t>transparency</w:t>
      </w:r>
      <w:proofErr w:type="gramEnd"/>
      <w:r w:rsidRPr="00F545EC">
        <w:rPr>
          <w:lang w:val="en-US"/>
        </w:rPr>
        <w:t xml:space="preserve"> and accountability</w:t>
      </w:r>
      <w:bookmarkEnd w:id="8"/>
    </w:p>
    <w:p w14:paraId="005D99C5" w14:textId="77777777" w:rsidR="00E87C4F" w:rsidRPr="00F545EC" w:rsidRDefault="00E87C4F" w:rsidP="00D85632">
      <w:pPr>
        <w:pStyle w:val="ListBullet"/>
        <w:numPr>
          <w:ilvl w:val="0"/>
          <w:numId w:val="18"/>
        </w:numPr>
        <w:rPr>
          <w:lang w:val="en-US"/>
        </w:rPr>
      </w:pPr>
      <w:r w:rsidRPr="00F545EC">
        <w:rPr>
          <w:b/>
          <w:lang w:val="en-US"/>
        </w:rPr>
        <w:t>Providing stronger leadership:</w:t>
      </w:r>
      <w:r w:rsidR="00705677" w:rsidRPr="00F545EC">
        <w:rPr>
          <w:b/>
          <w:lang w:val="en-US"/>
        </w:rPr>
        <w:t xml:space="preserve"> </w:t>
      </w:r>
      <w:r w:rsidR="00D85632" w:rsidRPr="00F545EC">
        <w:rPr>
          <w:lang w:val="en-US"/>
        </w:rPr>
        <w:t xml:space="preserve">Air Chief Marshal Sir </w:t>
      </w:r>
      <w:r w:rsidR="0052007E" w:rsidRPr="00F545EC">
        <w:rPr>
          <w:lang w:val="en-US"/>
        </w:rPr>
        <w:t>Angus Houston AK, AFC (</w:t>
      </w:r>
      <w:proofErr w:type="spellStart"/>
      <w:r w:rsidR="0052007E" w:rsidRPr="00F545EC">
        <w:rPr>
          <w:lang w:val="en-US"/>
        </w:rPr>
        <w:t>Ret’d</w:t>
      </w:r>
      <w:proofErr w:type="spellEnd"/>
      <w:r w:rsidR="0052007E" w:rsidRPr="00F545EC">
        <w:rPr>
          <w:lang w:val="en-US"/>
        </w:rPr>
        <w:t>) is providing strong,</w:t>
      </w:r>
      <w:r w:rsidR="00D85632" w:rsidRPr="00F545EC">
        <w:rPr>
          <w:lang w:val="en-US"/>
        </w:rPr>
        <w:t xml:space="preserve"> strategic leadership as Chair of the Murray–Darling Basin Authority.</w:t>
      </w:r>
    </w:p>
    <w:p w14:paraId="21E0D4A3" w14:textId="77777777" w:rsidR="002A1A2B" w:rsidRPr="00F545EC" w:rsidRDefault="00E87C4F" w:rsidP="00D85632">
      <w:pPr>
        <w:pStyle w:val="ListBullet"/>
        <w:numPr>
          <w:ilvl w:val="0"/>
          <w:numId w:val="18"/>
        </w:numPr>
        <w:rPr>
          <w:lang w:val="en-US"/>
        </w:rPr>
      </w:pPr>
      <w:r w:rsidRPr="00F545EC">
        <w:rPr>
          <w:b/>
          <w:lang w:val="en-US"/>
        </w:rPr>
        <w:t>Ensuring stronger compliance:</w:t>
      </w:r>
      <w:r w:rsidRPr="00F545EC">
        <w:rPr>
          <w:lang w:val="en-US"/>
        </w:rPr>
        <w:t xml:space="preserve"> </w:t>
      </w:r>
      <w:r w:rsidR="00D85632" w:rsidRPr="00F545EC">
        <w:rPr>
          <w:lang w:val="en-US"/>
        </w:rPr>
        <w:t>The Inspector-General of Water Compliance Bill passed through Parliament to strengthen compliance and enforcement powers in the Basin in June 2021. The statutory Inspector-General was appointed in August 2021 and now has 33 staff at 5 regional locations conducting 7 investigations and 5 compliance audits.</w:t>
      </w:r>
    </w:p>
    <w:p w14:paraId="494A424A" w14:textId="77777777" w:rsidR="00E87C4F" w:rsidRPr="00F545EC" w:rsidRDefault="00E87C4F" w:rsidP="00D85632">
      <w:pPr>
        <w:pStyle w:val="ListParagraph"/>
        <w:numPr>
          <w:ilvl w:val="0"/>
          <w:numId w:val="18"/>
        </w:numPr>
        <w:rPr>
          <w:lang w:val="en-US"/>
        </w:rPr>
      </w:pPr>
      <w:r w:rsidRPr="00F545EC">
        <w:rPr>
          <w:b/>
          <w:lang w:val="en-US"/>
        </w:rPr>
        <w:t>Providing better information</w:t>
      </w:r>
      <w:r w:rsidRPr="00F545EC">
        <w:rPr>
          <w:lang w:val="en-US"/>
        </w:rPr>
        <w:t>:</w:t>
      </w:r>
      <w:r w:rsidR="00D85632" w:rsidRPr="00F545EC">
        <w:rPr>
          <w:lang w:val="en-US"/>
        </w:rPr>
        <w:t xml:space="preserve"> The Murray–Darling Basin Water Information Portal was launched on 30 June 2021. Since 1 October 2021, traffic on the portal has been between 2,500 to 9,000 page views per day with an average of 4,400.</w:t>
      </w:r>
    </w:p>
    <w:p w14:paraId="40DDE747" w14:textId="77777777" w:rsidR="008F1BFD" w:rsidRPr="00F545EC" w:rsidRDefault="00E87C4F" w:rsidP="00D85632">
      <w:pPr>
        <w:pStyle w:val="ListBullet"/>
        <w:numPr>
          <w:ilvl w:val="0"/>
          <w:numId w:val="18"/>
        </w:numPr>
        <w:rPr>
          <w:lang w:val="en-US"/>
        </w:rPr>
      </w:pPr>
      <w:r w:rsidRPr="00F545EC">
        <w:rPr>
          <w:b/>
          <w:lang w:val="en-US"/>
        </w:rPr>
        <w:t xml:space="preserve">Better monitoring and reporting of social, </w:t>
      </w:r>
      <w:proofErr w:type="gramStart"/>
      <w:r w:rsidRPr="00F545EC">
        <w:rPr>
          <w:b/>
          <w:lang w:val="en-US"/>
        </w:rPr>
        <w:t>economic</w:t>
      </w:r>
      <w:proofErr w:type="gramEnd"/>
      <w:r w:rsidRPr="00F545EC">
        <w:rPr>
          <w:b/>
          <w:lang w:val="en-US"/>
        </w:rPr>
        <w:t xml:space="preserve"> and environmental conditions</w:t>
      </w:r>
      <w:r w:rsidRPr="00F545EC">
        <w:rPr>
          <w:lang w:val="en-US"/>
        </w:rPr>
        <w:t xml:space="preserve">: </w:t>
      </w:r>
      <w:r w:rsidR="00D85632" w:rsidRPr="00F545EC">
        <w:rPr>
          <w:lang w:val="en-US"/>
        </w:rPr>
        <w:t>16 projects are being developed for approval around 5 themes through community forums, building community needs and feedback to be built directly into the monitoring program.</w:t>
      </w:r>
    </w:p>
    <w:p w14:paraId="1BFE52D5" w14:textId="77777777" w:rsidR="00053CC6" w:rsidRPr="00F545EC" w:rsidRDefault="00053CC6" w:rsidP="00053CC6">
      <w:pPr>
        <w:pStyle w:val="Heading3"/>
        <w:numPr>
          <w:ilvl w:val="0"/>
          <w:numId w:val="0"/>
        </w:numPr>
        <w:ind w:left="964" w:hanging="964"/>
        <w:rPr>
          <w:lang w:val="en-US"/>
        </w:rPr>
      </w:pPr>
      <w:bookmarkStart w:id="9" w:name="_Toc99438126"/>
      <w:r w:rsidRPr="00F545EC">
        <w:rPr>
          <w:lang w:val="en-US"/>
        </w:rPr>
        <w:t>Improving implementation of the Basin Plan</w:t>
      </w:r>
      <w:bookmarkEnd w:id="9"/>
    </w:p>
    <w:p w14:paraId="06BC6629" w14:textId="77777777" w:rsidR="00E87C4F" w:rsidRPr="00F545EC" w:rsidRDefault="00E87C4F" w:rsidP="00122F4F">
      <w:pPr>
        <w:pStyle w:val="ListBullet"/>
        <w:numPr>
          <w:ilvl w:val="0"/>
          <w:numId w:val="18"/>
        </w:numPr>
        <w:rPr>
          <w:lang w:val="en-US"/>
        </w:rPr>
      </w:pPr>
      <w:r w:rsidRPr="00F545EC">
        <w:rPr>
          <w:b/>
          <w:lang w:val="en-US"/>
        </w:rPr>
        <w:t>Designing and delivering water programs in partnership with communities</w:t>
      </w:r>
      <w:r w:rsidRPr="00F545EC">
        <w:rPr>
          <w:lang w:val="en-US"/>
        </w:rPr>
        <w:t xml:space="preserve">: The </w:t>
      </w:r>
      <w:r w:rsidR="00D85632" w:rsidRPr="00F545EC">
        <w:rPr>
          <w:lang w:val="en-US"/>
        </w:rPr>
        <w:t xml:space="preserve">Regional Engagement Officer </w:t>
      </w:r>
      <w:r w:rsidRPr="00F545EC">
        <w:rPr>
          <w:lang w:val="en-US"/>
        </w:rPr>
        <w:t>network has been expanded to provide a more holistic engagement opportunity for communities</w:t>
      </w:r>
      <w:r w:rsidR="00122F4F" w:rsidRPr="00F545EC">
        <w:rPr>
          <w:lang w:val="en-US"/>
        </w:rPr>
        <w:t xml:space="preserve"> with the Australian Government</w:t>
      </w:r>
      <w:r w:rsidRPr="00F545EC">
        <w:rPr>
          <w:lang w:val="en-US"/>
        </w:rPr>
        <w:t>.</w:t>
      </w:r>
      <w:r w:rsidR="00122F4F" w:rsidRPr="00F545EC">
        <w:rPr>
          <w:lang w:val="en-US"/>
        </w:rPr>
        <w:t xml:space="preserve"> These engagement </w:t>
      </w:r>
      <w:r w:rsidR="0052007E" w:rsidRPr="00F545EC">
        <w:rPr>
          <w:lang w:val="en-US"/>
        </w:rPr>
        <w:t xml:space="preserve">officers </w:t>
      </w:r>
      <w:r w:rsidR="00122F4F" w:rsidRPr="00F545EC">
        <w:rPr>
          <w:lang w:val="en-US"/>
        </w:rPr>
        <w:t>promoted the guideline consultations undertaken for Healthy Rivers and the Economic Development Program to make sure they were workable for communities.</w:t>
      </w:r>
    </w:p>
    <w:p w14:paraId="04A7EFE4" w14:textId="48F241F6" w:rsidR="008F1BFD" w:rsidRPr="00F545EC" w:rsidRDefault="00E87C4F" w:rsidP="00122F4F">
      <w:pPr>
        <w:pStyle w:val="ListBullet"/>
        <w:numPr>
          <w:ilvl w:val="0"/>
          <w:numId w:val="18"/>
        </w:numPr>
        <w:rPr>
          <w:lang w:val="en-US"/>
        </w:rPr>
      </w:pPr>
      <w:r w:rsidRPr="00F545EC">
        <w:rPr>
          <w:b/>
          <w:lang w:val="en-US"/>
        </w:rPr>
        <w:t>Investing in off-farm water efficiency projects to increase water recovery</w:t>
      </w:r>
      <w:r w:rsidRPr="00F545EC">
        <w:rPr>
          <w:lang w:val="en-US"/>
        </w:rPr>
        <w:t xml:space="preserve">: </w:t>
      </w:r>
      <w:r w:rsidR="00705677" w:rsidRPr="00F545EC">
        <w:rPr>
          <w:lang w:val="en-US"/>
        </w:rPr>
        <w:t>The</w:t>
      </w:r>
      <w:r w:rsidR="00CF38E7" w:rsidRPr="00F545EC">
        <w:rPr>
          <w:lang w:val="en-US"/>
        </w:rPr>
        <w:t>$1.54 billion</w:t>
      </w:r>
      <w:r w:rsidR="00705677" w:rsidRPr="00F545EC">
        <w:rPr>
          <w:lang w:val="en-US"/>
        </w:rPr>
        <w:t xml:space="preserve"> Off-farm Efficiency Program has </w:t>
      </w:r>
      <w:r w:rsidR="00CF38E7" w:rsidRPr="00F545EC">
        <w:rPr>
          <w:lang w:val="en-US"/>
        </w:rPr>
        <w:t>3 funding streams including $</w:t>
      </w:r>
      <w:r w:rsidR="00705677" w:rsidRPr="00F545EC">
        <w:rPr>
          <w:lang w:val="en-US"/>
        </w:rPr>
        <w:t>1</w:t>
      </w:r>
      <w:r w:rsidR="00CF38E7" w:rsidRPr="00F545EC">
        <w:rPr>
          <w:lang w:val="en-US"/>
        </w:rPr>
        <w:t>.33 </w:t>
      </w:r>
      <w:r w:rsidR="00705677" w:rsidRPr="00F545EC">
        <w:rPr>
          <w:lang w:val="en-US"/>
        </w:rPr>
        <w:t>billion available to fund projects that generate water savings off-farm as part of the State Led Off-farm stream and $150 million grants stream</w:t>
      </w:r>
      <w:r w:rsidR="00CF38E7" w:rsidRPr="00F545EC">
        <w:rPr>
          <w:lang w:val="en-US"/>
        </w:rPr>
        <w:t xml:space="preserve"> for smaller off-farm projects</w:t>
      </w:r>
      <w:r w:rsidR="00705677" w:rsidRPr="00F545EC">
        <w:rPr>
          <w:lang w:val="en-US"/>
        </w:rPr>
        <w:t xml:space="preserve">. </w:t>
      </w:r>
      <w:r w:rsidR="00122F4F" w:rsidRPr="00F545EC">
        <w:rPr>
          <w:lang w:val="en-US"/>
        </w:rPr>
        <w:t>Since the new Off-farm Efficiency Program was announced water recovery towards the 450 GL has increased from 2 GL in March 2021 to 18.59 GL under contract now.</w:t>
      </w:r>
    </w:p>
    <w:p w14:paraId="39AAABC3" w14:textId="77777777" w:rsidR="00E87C4F" w:rsidRPr="00F545EC" w:rsidRDefault="00E87C4F" w:rsidP="00122F4F">
      <w:pPr>
        <w:pStyle w:val="ListBullet"/>
        <w:numPr>
          <w:ilvl w:val="0"/>
          <w:numId w:val="18"/>
        </w:numPr>
        <w:rPr>
          <w:lang w:val="en-US"/>
        </w:rPr>
      </w:pPr>
      <w:r w:rsidRPr="00F545EC">
        <w:rPr>
          <w:b/>
          <w:lang w:val="en-US"/>
        </w:rPr>
        <w:t xml:space="preserve">Strengthening working relationships between the Australian Government, </w:t>
      </w:r>
      <w:proofErr w:type="gramStart"/>
      <w:r w:rsidRPr="00F545EC">
        <w:rPr>
          <w:b/>
          <w:lang w:val="en-US"/>
        </w:rPr>
        <w:t>states</w:t>
      </w:r>
      <w:proofErr w:type="gramEnd"/>
      <w:r w:rsidRPr="00F545EC">
        <w:rPr>
          <w:b/>
          <w:lang w:val="en-US"/>
        </w:rPr>
        <w:t xml:space="preserve"> and local government to improve delivery of the Basin Plan: </w:t>
      </w:r>
      <w:r w:rsidR="00122F4F" w:rsidRPr="00F545EC">
        <w:rPr>
          <w:lang w:val="en-US"/>
        </w:rPr>
        <w:t>The Australian Government has made an additional $60 million available to Basin states until 2024 to support implementation of the Basin Plan and water reform.</w:t>
      </w:r>
    </w:p>
    <w:p w14:paraId="638C1893" w14:textId="77777777" w:rsidR="008F1BFD" w:rsidRPr="00F545EC" w:rsidRDefault="008F1BFD" w:rsidP="00053CC6">
      <w:pPr>
        <w:pStyle w:val="ListBullet"/>
        <w:numPr>
          <w:ilvl w:val="0"/>
          <w:numId w:val="0"/>
        </w:numPr>
        <w:rPr>
          <w:lang w:val="en-US"/>
        </w:rPr>
      </w:pPr>
    </w:p>
    <w:p w14:paraId="1097BD36" w14:textId="77777777" w:rsidR="00856C0C" w:rsidRPr="00F545EC" w:rsidRDefault="009F26AC" w:rsidP="00113A6A">
      <w:pPr>
        <w:pStyle w:val="Heading3"/>
        <w:numPr>
          <w:ilvl w:val="0"/>
          <w:numId w:val="0"/>
        </w:numPr>
        <w:ind w:left="964" w:hanging="964"/>
        <w:rPr>
          <w:lang w:val="en-US"/>
        </w:rPr>
      </w:pPr>
      <w:bookmarkStart w:id="10" w:name="_Toc99438127"/>
      <w:r w:rsidRPr="00F545EC">
        <w:rPr>
          <w:lang w:val="en-US"/>
        </w:rPr>
        <w:lastRenderedPageBreak/>
        <w:t xml:space="preserve">Basin </w:t>
      </w:r>
      <w:r w:rsidR="0050271A" w:rsidRPr="00F545EC">
        <w:rPr>
          <w:lang w:val="en-US"/>
        </w:rPr>
        <w:t>outcomes map</w:t>
      </w:r>
      <w:bookmarkEnd w:id="10"/>
    </w:p>
    <w:p w14:paraId="5401C0CA" w14:textId="77777777" w:rsidR="00665F9D" w:rsidRDefault="00665F9D" w:rsidP="0050271A">
      <w:pPr>
        <w:rPr>
          <w:lang w:val="en-US"/>
        </w:rPr>
      </w:pPr>
    </w:p>
    <w:p w14:paraId="10DA8786" w14:textId="77777777" w:rsidR="00665F9D" w:rsidRDefault="00665F9D" w:rsidP="0050271A">
      <w:pPr>
        <w:rPr>
          <w:b/>
          <w:lang w:val="en-US"/>
        </w:rPr>
      </w:pPr>
      <w:r>
        <w:rPr>
          <w:b/>
          <w:lang w:val="en-US"/>
        </w:rPr>
        <w:t>Alt text:</w:t>
      </w:r>
    </w:p>
    <w:p w14:paraId="2842731F" w14:textId="4BAC9BAB" w:rsidR="0050271A" w:rsidRPr="00665F9D" w:rsidRDefault="00665F9D" w:rsidP="0050271A">
      <w:pPr>
        <w:rPr>
          <w:b/>
          <w:lang w:val="en-US"/>
        </w:rPr>
      </w:pPr>
      <w:r w:rsidRPr="00665F9D">
        <w:rPr>
          <w:lang w:val="en-US"/>
        </w:rPr>
        <w:t>This</w:t>
      </w:r>
      <w:r>
        <w:rPr>
          <w:lang w:val="en-US"/>
        </w:rPr>
        <w:t xml:space="preserve"> page reflects the above achievements listed across a map of the Murray–Darling Basin and using icons to identify the locations of the projects underway under each of the programs. </w:t>
      </w:r>
    </w:p>
    <w:p w14:paraId="18473013" w14:textId="77777777" w:rsidR="001A732D" w:rsidRPr="00F545EC" w:rsidRDefault="0016343A" w:rsidP="001A732D">
      <w:pPr>
        <w:pStyle w:val="Heading2"/>
        <w:numPr>
          <w:ilvl w:val="0"/>
          <w:numId w:val="0"/>
        </w:numPr>
      </w:pPr>
      <w:bookmarkStart w:id="11" w:name="_Toc99438128"/>
      <w:bookmarkStart w:id="12" w:name="_Toc49258976"/>
      <w:bookmarkEnd w:id="4"/>
      <w:bookmarkEnd w:id="5"/>
      <w:bookmarkEnd w:id="6"/>
      <w:r w:rsidRPr="00F545EC">
        <w:lastRenderedPageBreak/>
        <w:t>K</w:t>
      </w:r>
      <w:r w:rsidR="009D22E3" w:rsidRPr="00F545EC">
        <w:t>eeping communities at the heart</w:t>
      </w:r>
      <w:bookmarkEnd w:id="11"/>
      <w:r w:rsidR="009D22E3" w:rsidRPr="00F545EC">
        <w:t xml:space="preserve"> </w:t>
      </w:r>
      <w:bookmarkStart w:id="13" w:name="_Toc430782157"/>
      <w:bookmarkEnd w:id="12"/>
    </w:p>
    <w:p w14:paraId="7E0C0B23" w14:textId="77777777" w:rsidR="00D64A84" w:rsidRPr="00F545EC" w:rsidRDefault="008818BC" w:rsidP="00D64A84">
      <w:pPr>
        <w:rPr>
          <w:lang w:val="en-US"/>
        </w:rPr>
      </w:pPr>
      <w:r w:rsidRPr="00F545EC">
        <w:rPr>
          <w:lang w:val="en-US"/>
        </w:rPr>
        <w:t xml:space="preserve">New measures will help maintain the momentum </w:t>
      </w:r>
      <w:r w:rsidR="00D64A84" w:rsidRPr="00F545EC">
        <w:rPr>
          <w:lang w:val="en-US"/>
        </w:rPr>
        <w:t xml:space="preserve">built through the </w:t>
      </w:r>
      <w:r w:rsidRPr="00F545EC">
        <w:rPr>
          <w:lang w:val="en-US"/>
        </w:rPr>
        <w:t xml:space="preserve">2020 </w:t>
      </w:r>
      <w:r w:rsidR="00D64A84" w:rsidRPr="00F545EC">
        <w:rPr>
          <w:lang w:val="en-US"/>
        </w:rPr>
        <w:t xml:space="preserve">Murray–Darling Communities Investment Package. </w:t>
      </w:r>
      <w:r w:rsidRPr="00F545EC">
        <w:rPr>
          <w:lang w:val="en-US"/>
        </w:rPr>
        <w:t>We</w:t>
      </w:r>
      <w:r w:rsidR="00D64A84" w:rsidRPr="00F545EC">
        <w:rPr>
          <w:lang w:val="en-US"/>
        </w:rPr>
        <w:t xml:space="preserve"> have successfully restored the vision of the Basin as a healthy working river system that communities are proud of. With Basin storages over 90 per cent, our investments are creating jobs in communities and a positive outlook for the future. </w:t>
      </w:r>
    </w:p>
    <w:p w14:paraId="2F142D6F" w14:textId="77777777" w:rsidR="00D64A84" w:rsidRPr="00F545EC" w:rsidRDefault="008818BC" w:rsidP="00D64A84">
      <w:pPr>
        <w:rPr>
          <w:lang w:val="en-US"/>
        </w:rPr>
      </w:pPr>
      <w:r w:rsidRPr="00F545EC">
        <w:rPr>
          <w:lang w:val="en-US"/>
        </w:rPr>
        <w:t>The inclusion of a 4</w:t>
      </w:r>
      <w:r w:rsidRPr="00F545EC">
        <w:rPr>
          <w:vertAlign w:val="superscript"/>
          <w:lang w:val="en-US"/>
        </w:rPr>
        <w:t>th</w:t>
      </w:r>
      <w:r w:rsidRPr="00F545EC">
        <w:rPr>
          <w:lang w:val="en-US"/>
        </w:rPr>
        <w:t xml:space="preserve"> pillar in Communities Investment Package</w:t>
      </w:r>
      <w:r w:rsidR="00D64A84" w:rsidRPr="00F545EC">
        <w:rPr>
          <w:lang w:val="en-US"/>
        </w:rPr>
        <w:t xml:space="preserve"> </w:t>
      </w:r>
      <w:r w:rsidRPr="00F545EC">
        <w:rPr>
          <w:lang w:val="en-US"/>
        </w:rPr>
        <w:t>is a direct reflection of community aspirations. Improving water security will provide a more certain future and help governments, industries and communities make best use of l</w:t>
      </w:r>
      <w:r w:rsidR="00A143F3" w:rsidRPr="00F545EC">
        <w:rPr>
          <w:lang w:val="en-US"/>
        </w:rPr>
        <w:t xml:space="preserve">imited water resources. </w:t>
      </w:r>
    </w:p>
    <w:p w14:paraId="341FCE92" w14:textId="77777777" w:rsidR="00F57ECC" w:rsidRPr="00F545EC" w:rsidRDefault="00F57ECC" w:rsidP="006B1EC2">
      <w:pPr>
        <w:pStyle w:val="Heading3"/>
        <w:numPr>
          <w:ilvl w:val="0"/>
          <w:numId w:val="0"/>
        </w:numPr>
        <w:spacing w:after="120"/>
        <w:ind w:left="964" w:hanging="964"/>
        <w:rPr>
          <w:lang w:val="en-US"/>
        </w:rPr>
      </w:pPr>
      <w:bookmarkStart w:id="14" w:name="_Toc99438129"/>
      <w:r w:rsidRPr="00F545EC">
        <w:rPr>
          <w:lang w:val="en-US"/>
        </w:rPr>
        <w:t>Improving water security for all water users</w:t>
      </w:r>
      <w:bookmarkEnd w:id="14"/>
    </w:p>
    <w:p w14:paraId="4344894F" w14:textId="77777777" w:rsidR="00AA7913" w:rsidRPr="00F545EC" w:rsidRDefault="00F57ECC" w:rsidP="001A732D">
      <w:pPr>
        <w:rPr>
          <w:lang w:val="en-US"/>
        </w:rPr>
      </w:pPr>
      <w:r w:rsidRPr="00F545EC">
        <w:rPr>
          <w:lang w:val="en-US"/>
        </w:rPr>
        <w:t xml:space="preserve">The </w:t>
      </w:r>
      <w:r w:rsidR="008818BC" w:rsidRPr="00F545EC">
        <w:rPr>
          <w:lang w:val="en-US"/>
        </w:rPr>
        <w:t>4</w:t>
      </w:r>
      <w:r w:rsidR="008818BC" w:rsidRPr="00F545EC">
        <w:rPr>
          <w:vertAlign w:val="superscript"/>
          <w:lang w:val="en-US"/>
        </w:rPr>
        <w:t>th</w:t>
      </w:r>
      <w:r w:rsidR="008818BC" w:rsidRPr="00F545EC">
        <w:rPr>
          <w:lang w:val="en-US"/>
        </w:rPr>
        <w:t xml:space="preserve"> </w:t>
      </w:r>
      <w:r w:rsidR="00AA7913" w:rsidRPr="00F545EC">
        <w:rPr>
          <w:lang w:val="en-US"/>
        </w:rPr>
        <w:t>pillar seeks</w:t>
      </w:r>
      <w:r w:rsidRPr="00F545EC">
        <w:rPr>
          <w:lang w:val="en-US"/>
        </w:rPr>
        <w:t xml:space="preserve"> to improve water security for all water users</w:t>
      </w:r>
      <w:r w:rsidR="00AA7913" w:rsidRPr="00F545EC">
        <w:rPr>
          <w:lang w:val="en-US"/>
        </w:rPr>
        <w:t xml:space="preserve"> by ensuring we have the best evidence available to </w:t>
      </w:r>
      <w:proofErr w:type="spellStart"/>
      <w:r w:rsidR="00AA7913" w:rsidRPr="00F545EC">
        <w:rPr>
          <w:lang w:val="en-US"/>
        </w:rPr>
        <w:t>optimise</w:t>
      </w:r>
      <w:proofErr w:type="spellEnd"/>
      <w:r w:rsidR="00AA7913" w:rsidRPr="00F545EC">
        <w:rPr>
          <w:lang w:val="en-US"/>
        </w:rPr>
        <w:t xml:space="preserve"> river management; to strengthen community links with </w:t>
      </w:r>
      <w:r w:rsidR="0052007E" w:rsidRPr="00F545EC">
        <w:rPr>
          <w:lang w:val="en-US"/>
        </w:rPr>
        <w:t>the Inspector-General of Water C</w:t>
      </w:r>
      <w:r w:rsidR="00AA7913" w:rsidRPr="00F545EC">
        <w:rPr>
          <w:lang w:val="en-US"/>
        </w:rPr>
        <w:t>ompliance and by progressing state-supported water market reforms.</w:t>
      </w:r>
    </w:p>
    <w:p w14:paraId="37548679" w14:textId="77777777" w:rsidR="00B404DC" w:rsidRPr="00F545EC" w:rsidRDefault="00BD491C" w:rsidP="009D22E3">
      <w:proofErr w:type="spellStart"/>
      <w:r w:rsidRPr="00F545EC">
        <w:rPr>
          <w:b/>
          <w:lang w:val="en-US"/>
        </w:rPr>
        <w:t>Optimising</w:t>
      </w:r>
      <w:proofErr w:type="spellEnd"/>
      <w:r w:rsidR="00F57ECC" w:rsidRPr="00F545EC">
        <w:rPr>
          <w:b/>
          <w:lang w:val="en-US"/>
        </w:rPr>
        <w:t xml:space="preserve"> the management of rivers across the southern Basin</w:t>
      </w:r>
      <w:r w:rsidRPr="00F545EC">
        <w:rPr>
          <w:lang w:val="en-US"/>
        </w:rPr>
        <w:t xml:space="preserve">: will help meet future challenges by </w:t>
      </w:r>
      <w:r w:rsidR="00AA7913" w:rsidRPr="00F545EC">
        <w:rPr>
          <w:lang w:val="en-US"/>
        </w:rPr>
        <w:t>improving delivery and reliability of water</w:t>
      </w:r>
      <w:r w:rsidRPr="00F545EC">
        <w:rPr>
          <w:lang w:val="en-US"/>
        </w:rPr>
        <w:t xml:space="preserve"> for all users</w:t>
      </w:r>
      <w:r w:rsidR="00F57ECC" w:rsidRPr="00F545EC">
        <w:rPr>
          <w:lang w:val="en-US"/>
        </w:rPr>
        <w:t>.</w:t>
      </w:r>
      <w:r w:rsidR="00F57ECC" w:rsidRPr="00F545EC">
        <w:t xml:space="preserve"> </w:t>
      </w:r>
    </w:p>
    <w:p w14:paraId="40B7A394" w14:textId="77777777" w:rsidR="009D22E3" w:rsidRPr="00F545EC" w:rsidRDefault="00AA7913" w:rsidP="009D22E3">
      <w:pPr>
        <w:rPr>
          <w:lang w:val="en-US"/>
        </w:rPr>
      </w:pPr>
      <w:r w:rsidRPr="00F545EC">
        <w:t xml:space="preserve">We’re investing $2.6 million in a 12-month, independent, systematic, technical assessment of infrastructure in the southern Murray–Darling Basin. This assessment will provide a solid evidence base with which to make decisions about the sort of </w:t>
      </w:r>
      <w:r w:rsidR="00D751C0" w:rsidRPr="00F545EC">
        <w:t xml:space="preserve">water </w:t>
      </w:r>
      <w:r w:rsidRPr="00F545EC">
        <w:t>infrastructure needed in the future. The assessment</w:t>
      </w:r>
      <w:r w:rsidR="00F57ECC" w:rsidRPr="00F545EC">
        <w:t xml:space="preserve"> </w:t>
      </w:r>
      <w:r w:rsidR="006B1EC2" w:rsidRPr="00F545EC">
        <w:t xml:space="preserve">will </w:t>
      </w:r>
      <w:r w:rsidRPr="00F545EC">
        <w:t>look at how</w:t>
      </w:r>
      <w:r w:rsidR="00D751C0" w:rsidRPr="00F545EC">
        <w:t xml:space="preserve"> </w:t>
      </w:r>
      <w:r w:rsidR="00F57ECC" w:rsidRPr="00F545EC">
        <w:rPr>
          <w:lang w:val="en-US"/>
        </w:rPr>
        <w:t>existing environmental outcomes</w:t>
      </w:r>
      <w:r w:rsidR="00D751C0" w:rsidRPr="00F545EC">
        <w:rPr>
          <w:lang w:val="en-US"/>
        </w:rPr>
        <w:t xml:space="preserve"> can be enhanced, </w:t>
      </w:r>
      <w:r w:rsidR="00F57ECC" w:rsidRPr="00F545EC">
        <w:rPr>
          <w:lang w:val="en-US"/>
        </w:rPr>
        <w:t>agricultural productivity</w:t>
      </w:r>
      <w:r w:rsidR="00D751C0" w:rsidRPr="00F545EC">
        <w:rPr>
          <w:lang w:val="en-US"/>
        </w:rPr>
        <w:t xml:space="preserve"> improved</w:t>
      </w:r>
      <w:r w:rsidR="00F57ECC" w:rsidRPr="00F545EC">
        <w:rPr>
          <w:lang w:val="en-US"/>
        </w:rPr>
        <w:t xml:space="preserve">, future </w:t>
      </w:r>
      <w:r w:rsidR="00D751C0" w:rsidRPr="00F545EC">
        <w:rPr>
          <w:lang w:val="en-US"/>
        </w:rPr>
        <w:t>water demands supported, and</w:t>
      </w:r>
      <w:r w:rsidR="00F57ECC" w:rsidRPr="00F545EC">
        <w:rPr>
          <w:lang w:val="en-US"/>
        </w:rPr>
        <w:t xml:space="preserve"> </w:t>
      </w:r>
      <w:r w:rsidR="0052007E" w:rsidRPr="00F545EC">
        <w:rPr>
          <w:lang w:val="en-US"/>
        </w:rPr>
        <w:t>at how</w:t>
      </w:r>
      <w:r w:rsidR="00F57ECC" w:rsidRPr="00F545EC">
        <w:rPr>
          <w:lang w:val="en-US"/>
        </w:rPr>
        <w:t xml:space="preserve"> flood</w:t>
      </w:r>
      <w:r w:rsidR="00BD491C" w:rsidRPr="00F545EC">
        <w:rPr>
          <w:lang w:val="en-US"/>
        </w:rPr>
        <w:t xml:space="preserve"> and drought impacts</w:t>
      </w:r>
      <w:r w:rsidR="00F57ECC" w:rsidRPr="00F545EC">
        <w:rPr>
          <w:lang w:val="en-US"/>
        </w:rPr>
        <w:t xml:space="preserve"> </w:t>
      </w:r>
      <w:r w:rsidR="00D751C0" w:rsidRPr="00F545EC">
        <w:rPr>
          <w:lang w:val="en-US"/>
        </w:rPr>
        <w:t>be reduced</w:t>
      </w:r>
      <w:r w:rsidR="00F57ECC" w:rsidRPr="00F545EC">
        <w:rPr>
          <w:lang w:val="en-US"/>
        </w:rPr>
        <w:t>.</w:t>
      </w:r>
    </w:p>
    <w:p w14:paraId="600B3383" w14:textId="7EDE60A4" w:rsidR="00B404DC" w:rsidRPr="00F545EC" w:rsidRDefault="00B404DC" w:rsidP="00B404DC">
      <w:r w:rsidRPr="00665F9D">
        <w:rPr>
          <w:b/>
        </w:rPr>
        <w:t>We’re improve Murray Irrigation Limited (MIL) delivery infrastructure</w:t>
      </w:r>
      <w:r w:rsidR="00665F9D">
        <w:rPr>
          <w:b/>
        </w:rPr>
        <w:t>:</w:t>
      </w:r>
      <w:r w:rsidRPr="00F545EC">
        <w:t xml:space="preserve"> to make water already held for the environment work harder through a $35.1 million project. The project defrays operation and maintenance costs for the 2,200 irrigators who use the network, creates regional employment </w:t>
      </w:r>
      <w:proofErr w:type="gramStart"/>
      <w:r w:rsidRPr="00F545EC">
        <w:t>opportunities</w:t>
      </w:r>
      <w:proofErr w:type="gramEnd"/>
      <w:r w:rsidRPr="00F545EC">
        <w:t xml:space="preserve"> and provides agricultural and environmental benefits by getting water to new areas at new times. The water infrastructure upgrades </w:t>
      </w:r>
      <w:r w:rsidR="00DE5AC1" w:rsidRPr="00F545EC">
        <w:t>will improve</w:t>
      </w:r>
      <w:r w:rsidRPr="00F545EC">
        <w:t xml:space="preserve"> environmental water delivery across 372 km of ephemeral creeks and up to 100 ephemeral wetlands – important environmental assets in the </w:t>
      </w:r>
      <w:proofErr w:type="gramStart"/>
      <w:r w:rsidRPr="00F545EC">
        <w:t>Edward Wakool river</w:t>
      </w:r>
      <w:proofErr w:type="gramEnd"/>
      <w:r w:rsidRPr="00F545EC">
        <w:t xml:space="preserve"> system.</w:t>
      </w:r>
      <w:r w:rsidR="00DE5AC1" w:rsidRPr="00F545EC">
        <w:t xml:space="preserve"> The project </w:t>
      </w:r>
      <w:r w:rsidRPr="00F545EC">
        <w:t xml:space="preserve">demonstrates </w:t>
      </w:r>
      <w:r w:rsidR="00CF38E7" w:rsidRPr="00F545EC">
        <w:t xml:space="preserve">that </w:t>
      </w:r>
      <w:r w:rsidRPr="00F545EC">
        <w:t xml:space="preserve">good environmental outcomes </w:t>
      </w:r>
      <w:r w:rsidR="00DE5AC1" w:rsidRPr="00F545EC">
        <w:t>can be achieved</w:t>
      </w:r>
      <w:r w:rsidR="00CF38E7" w:rsidRPr="00F545EC">
        <w:t xml:space="preserve"> without water recovery</w:t>
      </w:r>
      <w:r w:rsidR="00DE5AC1" w:rsidRPr="00F545EC">
        <w:t xml:space="preserve">. </w:t>
      </w:r>
    </w:p>
    <w:p w14:paraId="28C4251F" w14:textId="77777777" w:rsidR="006B1EC2" w:rsidRPr="00F545EC" w:rsidRDefault="00D751C0" w:rsidP="009D22E3">
      <w:pPr>
        <w:rPr>
          <w:lang w:val="en-US"/>
        </w:rPr>
      </w:pPr>
      <w:r w:rsidRPr="00F545EC">
        <w:rPr>
          <w:b/>
          <w:lang w:val="en-US"/>
        </w:rPr>
        <w:t>Engagement</w:t>
      </w:r>
      <w:r w:rsidR="006B1EC2" w:rsidRPr="00F545EC">
        <w:rPr>
          <w:b/>
          <w:lang w:val="en-US"/>
        </w:rPr>
        <w:t xml:space="preserve"> and communication activities of the Office of the Inspector General of Water Compliance</w:t>
      </w:r>
      <w:r w:rsidR="00BD491C" w:rsidRPr="00F545EC">
        <w:rPr>
          <w:b/>
          <w:lang w:val="en-US"/>
        </w:rPr>
        <w:t xml:space="preserve">: </w:t>
      </w:r>
      <w:r w:rsidRPr="00F545EC">
        <w:rPr>
          <w:lang w:val="en-US"/>
        </w:rPr>
        <w:t>will be strengthened by</w:t>
      </w:r>
      <w:r w:rsidR="006B1EC2" w:rsidRPr="00F545EC">
        <w:rPr>
          <w:lang w:val="en-US"/>
        </w:rPr>
        <w:t xml:space="preserve"> establishing an ongoing field officer network embedded within Basin communities. This will enable the Inspector General to continue to build relationships with communities across the million square kilometers of the Basin. </w:t>
      </w:r>
      <w:r w:rsidRPr="00F545EC">
        <w:rPr>
          <w:lang w:val="en-US"/>
        </w:rPr>
        <w:t>It will</w:t>
      </w:r>
      <w:r w:rsidR="006B1EC2" w:rsidRPr="00F545EC">
        <w:rPr>
          <w:lang w:val="en-US"/>
        </w:rPr>
        <w:t xml:space="preserve"> ke</w:t>
      </w:r>
      <w:r w:rsidRPr="00F545EC">
        <w:rPr>
          <w:lang w:val="en-US"/>
        </w:rPr>
        <w:t xml:space="preserve">ep open lines of communication between the Inspector-General and communities through a ‘boots-on-the-ground’ approach. These officers will be a critical link, </w:t>
      </w:r>
      <w:r w:rsidR="006B1EC2" w:rsidRPr="00F545EC">
        <w:rPr>
          <w:lang w:val="en-US"/>
        </w:rPr>
        <w:t xml:space="preserve">helping to capture referrals for investigations and to communicate findings back to Basin communities.  </w:t>
      </w:r>
    </w:p>
    <w:p w14:paraId="07D0EBC2" w14:textId="77777777" w:rsidR="008E0AB0" w:rsidRPr="00F545EC" w:rsidRDefault="00BD491C" w:rsidP="00BD491C">
      <w:pPr>
        <w:rPr>
          <w:lang w:val="en-US"/>
        </w:rPr>
      </w:pPr>
      <w:r w:rsidRPr="00F545EC">
        <w:rPr>
          <w:b/>
          <w:lang w:val="en-US"/>
        </w:rPr>
        <w:t>Progressing water market reforms</w:t>
      </w:r>
      <w:r w:rsidRPr="00F545EC">
        <w:rPr>
          <w:lang w:val="en-US"/>
        </w:rPr>
        <w:t>: through actioning the Principal Adviser’s advice.</w:t>
      </w:r>
      <w:r w:rsidR="008E0AB0" w:rsidRPr="00F545EC">
        <w:rPr>
          <w:lang w:val="en-US"/>
        </w:rPr>
        <w:t xml:space="preserve"> </w:t>
      </w:r>
      <w:proofErr w:type="spellStart"/>
      <w:r w:rsidR="008E0AB0" w:rsidRPr="00F545EC">
        <w:rPr>
          <w:lang w:val="en-US"/>
        </w:rPr>
        <w:t>Mr</w:t>
      </w:r>
      <w:proofErr w:type="spellEnd"/>
      <w:r w:rsidR="008E0AB0" w:rsidRPr="00F545EC">
        <w:rPr>
          <w:lang w:val="en-US"/>
        </w:rPr>
        <w:t xml:space="preserve"> Daryl Quinlivan AO</w:t>
      </w:r>
      <w:r w:rsidR="00D751C0" w:rsidRPr="00F545EC">
        <w:rPr>
          <w:lang w:val="en-US"/>
        </w:rPr>
        <w:t>, provided</w:t>
      </w:r>
      <w:r w:rsidR="008E0AB0" w:rsidRPr="00F545EC">
        <w:rPr>
          <w:lang w:val="en-US"/>
        </w:rPr>
        <w:t xml:space="preserve"> his initial advice in December 202</w:t>
      </w:r>
      <w:r w:rsidR="00D751C0" w:rsidRPr="00F545EC">
        <w:rPr>
          <w:lang w:val="en-US"/>
        </w:rPr>
        <w:t>1 to the Australian Government</w:t>
      </w:r>
      <w:r w:rsidRPr="00F545EC">
        <w:rPr>
          <w:lang w:val="en-US"/>
        </w:rPr>
        <w:t xml:space="preserve"> on </w:t>
      </w:r>
      <w:r w:rsidRPr="00F545EC">
        <w:rPr>
          <w:lang w:val="en-US"/>
        </w:rPr>
        <w:lastRenderedPageBreak/>
        <w:t>state-supported initial measures</w:t>
      </w:r>
      <w:r w:rsidR="00D751C0" w:rsidRPr="00F545EC">
        <w:rPr>
          <w:lang w:val="en-US"/>
        </w:rPr>
        <w:t xml:space="preserve">. </w:t>
      </w:r>
      <w:r w:rsidRPr="00F545EC">
        <w:rPr>
          <w:lang w:val="en-US"/>
        </w:rPr>
        <w:t xml:space="preserve">We’re starting the </w:t>
      </w:r>
      <w:r w:rsidR="008E0AB0" w:rsidRPr="00F545EC">
        <w:rPr>
          <w:lang w:val="en-US"/>
        </w:rPr>
        <w:t xml:space="preserve">development work </w:t>
      </w:r>
      <w:r w:rsidRPr="00F545EC">
        <w:rPr>
          <w:lang w:val="en-US"/>
        </w:rPr>
        <w:t xml:space="preserve">on 4 </w:t>
      </w:r>
      <w:r w:rsidR="008E0AB0" w:rsidRPr="00F545EC">
        <w:rPr>
          <w:lang w:val="en-US"/>
        </w:rPr>
        <w:t xml:space="preserve">actions that will support a more transparent and effective water market </w:t>
      </w:r>
      <w:r w:rsidRPr="00F545EC">
        <w:rPr>
          <w:lang w:val="en-US"/>
        </w:rPr>
        <w:t>that better meets user needs, by</w:t>
      </w:r>
      <w:r w:rsidR="008E0AB0" w:rsidRPr="00F545EC">
        <w:rPr>
          <w:lang w:val="en-US"/>
        </w:rPr>
        <w:t>:</w:t>
      </w:r>
    </w:p>
    <w:p w14:paraId="74F12E9D" w14:textId="77777777" w:rsidR="008E0AB0" w:rsidRPr="00F545EC" w:rsidRDefault="00BD491C" w:rsidP="008E0AB0">
      <w:pPr>
        <w:pStyle w:val="ListParagraph"/>
        <w:numPr>
          <w:ilvl w:val="0"/>
          <w:numId w:val="16"/>
        </w:numPr>
        <w:rPr>
          <w:lang w:val="en-US"/>
        </w:rPr>
      </w:pPr>
      <w:r w:rsidRPr="00F545EC">
        <w:rPr>
          <w:lang w:val="en-US"/>
        </w:rPr>
        <w:t>D</w:t>
      </w:r>
      <w:r w:rsidR="008E0AB0" w:rsidRPr="00F545EC">
        <w:rPr>
          <w:lang w:val="en-US"/>
        </w:rPr>
        <w:t>evelop</w:t>
      </w:r>
      <w:r w:rsidRPr="00F545EC">
        <w:rPr>
          <w:lang w:val="en-US"/>
        </w:rPr>
        <w:t>ing</w:t>
      </w:r>
      <w:r w:rsidR="008E0AB0" w:rsidRPr="00F545EC">
        <w:rPr>
          <w:lang w:val="en-US"/>
        </w:rPr>
        <w:t xml:space="preserve"> a mandatory water market intermediaries’ code</w:t>
      </w:r>
    </w:p>
    <w:p w14:paraId="639645A1" w14:textId="77777777" w:rsidR="008E0AB0" w:rsidRPr="00F545EC" w:rsidRDefault="00BD491C" w:rsidP="008E0AB0">
      <w:pPr>
        <w:pStyle w:val="ListParagraph"/>
        <w:numPr>
          <w:ilvl w:val="0"/>
          <w:numId w:val="16"/>
        </w:numPr>
        <w:rPr>
          <w:lang w:val="en-US"/>
        </w:rPr>
      </w:pPr>
      <w:r w:rsidRPr="00F545EC">
        <w:rPr>
          <w:lang w:val="en-US"/>
        </w:rPr>
        <w:t>Drafting</w:t>
      </w:r>
      <w:r w:rsidR="008E0AB0" w:rsidRPr="00F545EC">
        <w:rPr>
          <w:lang w:val="en-US"/>
        </w:rPr>
        <w:t xml:space="preserve"> Commonwealth legislation to prohibit insider trading and market manipulation across the Basin</w:t>
      </w:r>
    </w:p>
    <w:p w14:paraId="16FA106D" w14:textId="77777777" w:rsidR="008E0AB0" w:rsidRPr="00F545EC" w:rsidRDefault="008E0AB0" w:rsidP="008E0AB0">
      <w:pPr>
        <w:pStyle w:val="ListParagraph"/>
        <w:numPr>
          <w:ilvl w:val="0"/>
          <w:numId w:val="16"/>
        </w:numPr>
        <w:rPr>
          <w:lang w:val="en-US"/>
        </w:rPr>
      </w:pPr>
      <w:r w:rsidRPr="00F545EC">
        <w:rPr>
          <w:lang w:val="en-US"/>
        </w:rPr>
        <w:t>Collect</w:t>
      </w:r>
      <w:r w:rsidR="00BD491C" w:rsidRPr="00F545EC">
        <w:rPr>
          <w:lang w:val="en-US"/>
        </w:rPr>
        <w:t>ing</w:t>
      </w:r>
      <w:r w:rsidRPr="00F545EC">
        <w:rPr>
          <w:lang w:val="en-US"/>
        </w:rPr>
        <w:t xml:space="preserve"> and publish</w:t>
      </w:r>
      <w:r w:rsidR="00BD491C" w:rsidRPr="00F545EC">
        <w:rPr>
          <w:lang w:val="en-US"/>
        </w:rPr>
        <w:t>ing</w:t>
      </w:r>
      <w:r w:rsidRPr="00F545EC">
        <w:rPr>
          <w:lang w:val="en-US"/>
        </w:rPr>
        <w:t xml:space="preserve"> further trade data, such as reasons for trade and information on when a trade was agreed upon</w:t>
      </w:r>
    </w:p>
    <w:p w14:paraId="47F7F764" w14:textId="554CFBD7" w:rsidR="00665F9D" w:rsidRPr="00665F9D" w:rsidRDefault="008E0AB0" w:rsidP="00665F9D">
      <w:pPr>
        <w:pStyle w:val="ListParagraph"/>
        <w:numPr>
          <w:ilvl w:val="0"/>
          <w:numId w:val="16"/>
        </w:numPr>
        <w:rPr>
          <w:lang w:val="en-US"/>
        </w:rPr>
      </w:pPr>
      <w:r w:rsidRPr="00F545EC">
        <w:rPr>
          <w:lang w:val="en-US"/>
        </w:rPr>
        <w:t>Develop</w:t>
      </w:r>
      <w:r w:rsidR="00BD491C" w:rsidRPr="00F545EC">
        <w:rPr>
          <w:lang w:val="en-US"/>
        </w:rPr>
        <w:t>ing</w:t>
      </w:r>
      <w:r w:rsidRPr="00F545EC">
        <w:rPr>
          <w:lang w:val="en-US"/>
        </w:rPr>
        <w:t xml:space="preserve"> and deliver</w:t>
      </w:r>
      <w:r w:rsidR="00BD491C" w:rsidRPr="00F545EC">
        <w:rPr>
          <w:lang w:val="en-US"/>
        </w:rPr>
        <w:t>ing</w:t>
      </w:r>
      <w:r w:rsidRPr="00F545EC">
        <w:rPr>
          <w:lang w:val="en-US"/>
        </w:rPr>
        <w:t xml:space="preserve"> </w:t>
      </w:r>
      <w:r w:rsidR="00DE5AC1" w:rsidRPr="00F545EC">
        <w:rPr>
          <w:lang w:val="en-US"/>
        </w:rPr>
        <w:t>the first components of a</w:t>
      </w:r>
      <w:r w:rsidRPr="00F545EC">
        <w:rPr>
          <w:lang w:val="en-US"/>
        </w:rPr>
        <w:t xml:space="preserve"> Commonwealth-led, Basin-wide w</w:t>
      </w:r>
      <w:r w:rsidR="00BD491C" w:rsidRPr="00F545EC">
        <w:rPr>
          <w:lang w:val="en-US"/>
        </w:rPr>
        <w:t xml:space="preserve">ater market information program for new market participants. </w:t>
      </w:r>
    </w:p>
    <w:p w14:paraId="76554AD1" w14:textId="5A5619ED" w:rsidR="00665F9D" w:rsidRDefault="00665F9D" w:rsidP="00665F9D">
      <w:pPr>
        <w:rPr>
          <w:lang w:val="en-US"/>
        </w:rPr>
      </w:pPr>
      <w:r w:rsidRPr="00665F9D">
        <w:rPr>
          <w:b/>
          <w:lang w:val="en-US"/>
        </w:rPr>
        <w:t>Hume dam outlet renewal:</w:t>
      </w:r>
      <w:r w:rsidRPr="00665F9D">
        <w:rPr>
          <w:lang w:val="en-US"/>
        </w:rPr>
        <w:t xml:space="preserve"> the </w:t>
      </w:r>
      <w:proofErr w:type="gramStart"/>
      <w:r w:rsidRPr="00665F9D">
        <w:rPr>
          <w:lang w:val="en-US"/>
        </w:rPr>
        <w:t>85 year old</w:t>
      </w:r>
      <w:proofErr w:type="gramEnd"/>
      <w:r>
        <w:rPr>
          <w:lang w:val="en-US"/>
        </w:rPr>
        <w:t xml:space="preserve"> </w:t>
      </w:r>
      <w:r w:rsidRPr="00665F9D">
        <w:rPr>
          <w:lang w:val="en-US"/>
        </w:rPr>
        <w:t>Hume Dam is critical</w:t>
      </w:r>
      <w:r>
        <w:rPr>
          <w:lang w:val="en-US"/>
        </w:rPr>
        <w:t>ly important to providing water s</w:t>
      </w:r>
      <w:r w:rsidRPr="00665F9D">
        <w:rPr>
          <w:lang w:val="en-US"/>
        </w:rPr>
        <w:t>upplies to com</w:t>
      </w:r>
      <w:r>
        <w:rPr>
          <w:lang w:val="en-US"/>
        </w:rPr>
        <w:t>munities along the Murray River a</w:t>
      </w:r>
      <w:r w:rsidRPr="00665F9D">
        <w:rPr>
          <w:lang w:val="en-US"/>
        </w:rPr>
        <w:t>nd in supporting irrigated agriculture become</w:t>
      </w:r>
      <w:r>
        <w:rPr>
          <w:lang w:val="en-US"/>
        </w:rPr>
        <w:t xml:space="preserve"> </w:t>
      </w:r>
      <w:r w:rsidRPr="00665F9D">
        <w:rPr>
          <w:lang w:val="en-US"/>
        </w:rPr>
        <w:t>a $10</w:t>
      </w:r>
      <w:r>
        <w:rPr>
          <w:lang w:val="en-US"/>
        </w:rPr>
        <w:t>0 billion industry by 2030. The A</w:t>
      </w:r>
      <w:r w:rsidRPr="00665F9D">
        <w:rPr>
          <w:lang w:val="en-US"/>
        </w:rPr>
        <w:t>ustralian Government is contributing $6.7 million to renew 4 irrigati</w:t>
      </w:r>
      <w:r>
        <w:rPr>
          <w:lang w:val="en-US"/>
        </w:rPr>
        <w:t>on outlets on the dam to ensure i</w:t>
      </w:r>
      <w:r w:rsidRPr="00665F9D">
        <w:rPr>
          <w:lang w:val="en-US"/>
        </w:rPr>
        <w:t>ts continued safe operation, underpinning reliable water supply for mil</w:t>
      </w:r>
      <w:r>
        <w:rPr>
          <w:lang w:val="en-US"/>
        </w:rPr>
        <w:t>lions of Australians, including those in Adelaide. Farming c</w:t>
      </w:r>
      <w:r w:rsidRPr="00665F9D">
        <w:rPr>
          <w:lang w:val="en-US"/>
        </w:rPr>
        <w:t>ommunities also rely on fully functioning dam outlets to release water when they need it so t</w:t>
      </w:r>
      <w:r>
        <w:rPr>
          <w:lang w:val="en-US"/>
        </w:rPr>
        <w:t>hey can keep on with the job of g</w:t>
      </w:r>
      <w:r w:rsidRPr="00665F9D">
        <w:rPr>
          <w:lang w:val="en-US"/>
        </w:rPr>
        <w:t xml:space="preserve">rowing the food and </w:t>
      </w:r>
      <w:proofErr w:type="spellStart"/>
      <w:r w:rsidRPr="00665F9D">
        <w:rPr>
          <w:lang w:val="en-US"/>
        </w:rPr>
        <w:t>fibre</w:t>
      </w:r>
      <w:proofErr w:type="spellEnd"/>
      <w:r w:rsidRPr="00665F9D">
        <w:rPr>
          <w:lang w:val="en-US"/>
        </w:rPr>
        <w:t xml:space="preserve"> that contributes so much</w:t>
      </w:r>
      <w:r>
        <w:rPr>
          <w:lang w:val="en-US"/>
        </w:rPr>
        <w:t xml:space="preserve"> </w:t>
      </w:r>
      <w:r w:rsidRPr="00665F9D">
        <w:rPr>
          <w:lang w:val="en-US"/>
        </w:rPr>
        <w:t>to our nation’s bottom line. The new outlets should last for the next 50 years and can reliably release</w:t>
      </w:r>
      <w:r w:rsidRPr="00665F9D">
        <w:rPr>
          <w:lang w:val="en-US"/>
        </w:rPr>
        <w:cr/>
        <w:t>water to entitlement holders and lower water level</w:t>
      </w:r>
      <w:r>
        <w:rPr>
          <w:lang w:val="en-US"/>
        </w:rPr>
        <w:t>s in the event of an emergency.</w:t>
      </w:r>
    </w:p>
    <w:p w14:paraId="6541622E" w14:textId="402D3B61" w:rsidR="00665F9D" w:rsidRPr="00665F9D" w:rsidRDefault="00665F9D" w:rsidP="00665F9D">
      <w:pPr>
        <w:rPr>
          <w:lang w:val="en-US"/>
        </w:rPr>
      </w:pPr>
      <w:r w:rsidRPr="00665F9D">
        <w:rPr>
          <w:b/>
          <w:lang w:val="en-US"/>
        </w:rPr>
        <w:t xml:space="preserve">River modelling </w:t>
      </w:r>
      <w:proofErr w:type="gramStart"/>
      <w:r w:rsidRPr="00665F9D">
        <w:rPr>
          <w:b/>
          <w:lang w:val="en-US"/>
        </w:rPr>
        <w:t>upgrade:</w:t>
      </w:r>
      <w:proofErr w:type="gramEnd"/>
      <w:r>
        <w:rPr>
          <w:lang w:val="en-US"/>
        </w:rPr>
        <w:t xml:space="preserve"> is a $65 million </w:t>
      </w:r>
      <w:r w:rsidRPr="00665F9D">
        <w:rPr>
          <w:lang w:val="en-US"/>
        </w:rPr>
        <w:t>investment to upgrade the Murray–Darling Basin’s</w:t>
      </w:r>
      <w:r w:rsidRPr="00665F9D">
        <w:rPr>
          <w:lang w:val="en-US"/>
        </w:rPr>
        <w:cr/>
        <w:t>24 river mod</w:t>
      </w:r>
      <w:r>
        <w:rPr>
          <w:lang w:val="en-US"/>
        </w:rPr>
        <w:t xml:space="preserve">els to help water managers make </w:t>
      </w:r>
      <w:r w:rsidRPr="00665F9D">
        <w:rPr>
          <w:lang w:val="en-US"/>
        </w:rPr>
        <w:t xml:space="preserve">timelier, more </w:t>
      </w:r>
      <w:proofErr w:type="gramStart"/>
      <w:r w:rsidRPr="00665F9D">
        <w:rPr>
          <w:lang w:val="en-US"/>
        </w:rPr>
        <w:t>reliable</w:t>
      </w:r>
      <w:proofErr w:type="gramEnd"/>
      <w:r w:rsidRPr="00665F9D">
        <w:rPr>
          <w:lang w:val="en-US"/>
        </w:rPr>
        <w:t xml:space="preserve"> and transparent water</w:t>
      </w:r>
      <w:r w:rsidRPr="00665F9D">
        <w:rPr>
          <w:lang w:val="en-US"/>
        </w:rPr>
        <w:cr/>
        <w:t>management decis</w:t>
      </w:r>
      <w:r>
        <w:rPr>
          <w:lang w:val="en-US"/>
        </w:rPr>
        <w:t xml:space="preserve">ions. Ensuring river models are </w:t>
      </w:r>
      <w:r w:rsidRPr="00665F9D">
        <w:rPr>
          <w:lang w:val="en-US"/>
        </w:rPr>
        <w:t xml:space="preserve">fit for the future is vital for river operators, </w:t>
      </w:r>
      <w:proofErr w:type="gramStart"/>
      <w:r w:rsidRPr="00665F9D">
        <w:rPr>
          <w:lang w:val="en-US"/>
        </w:rPr>
        <w:t>irrigators</w:t>
      </w:r>
      <w:proofErr w:type="gramEnd"/>
      <w:r>
        <w:rPr>
          <w:lang w:val="en-US"/>
        </w:rPr>
        <w:t xml:space="preserve"> </w:t>
      </w:r>
      <w:r w:rsidRPr="00665F9D">
        <w:rPr>
          <w:lang w:val="en-US"/>
        </w:rPr>
        <w:t>and environmenta</w:t>
      </w:r>
      <w:r>
        <w:rPr>
          <w:lang w:val="en-US"/>
        </w:rPr>
        <w:t xml:space="preserve">l water holders. Updating river </w:t>
      </w:r>
      <w:r w:rsidRPr="00665F9D">
        <w:rPr>
          <w:lang w:val="en-US"/>
        </w:rPr>
        <w:t>models will i</w:t>
      </w:r>
      <w:r>
        <w:rPr>
          <w:lang w:val="en-US"/>
        </w:rPr>
        <w:t xml:space="preserve">mprove efficient operation of the </w:t>
      </w:r>
      <w:r w:rsidRPr="00665F9D">
        <w:rPr>
          <w:lang w:val="en-US"/>
        </w:rPr>
        <w:t>river and provide a more seamless whole-of-Basin view, allowing for more sophisticated and accurate future scenario planning. Updated river models</w:t>
      </w:r>
      <w:r>
        <w:rPr>
          <w:lang w:val="en-US"/>
        </w:rPr>
        <w:t xml:space="preserve"> </w:t>
      </w:r>
      <w:r w:rsidRPr="00665F9D">
        <w:rPr>
          <w:lang w:val="en-US"/>
        </w:rPr>
        <w:t>will improve capability to explore a range of future scenarios, for example, droughts, high rainfall events and bushfires, an</w:t>
      </w:r>
      <w:r>
        <w:rPr>
          <w:lang w:val="en-US"/>
        </w:rPr>
        <w:t>d what this will mean for inflows and river connectivity.</w:t>
      </w:r>
    </w:p>
    <w:p w14:paraId="5CE49664" w14:textId="77777777" w:rsidR="0016343A" w:rsidRPr="00F545EC" w:rsidRDefault="0016343A" w:rsidP="0016343A">
      <w:pPr>
        <w:rPr>
          <w:lang w:val="en-US"/>
        </w:rPr>
      </w:pPr>
      <w:r w:rsidRPr="00F545EC">
        <w:rPr>
          <w:lang w:val="en-US"/>
        </w:rPr>
        <w:t xml:space="preserve">Progressing water market reforms, strengthening the Office of the Inspector General of Water </w:t>
      </w:r>
      <w:proofErr w:type="gramStart"/>
      <w:r w:rsidRPr="00F545EC">
        <w:rPr>
          <w:lang w:val="en-US"/>
        </w:rPr>
        <w:t>Compliance</w:t>
      </w:r>
      <w:proofErr w:type="gramEnd"/>
      <w:r w:rsidRPr="00F545EC">
        <w:rPr>
          <w:lang w:val="en-US"/>
        </w:rPr>
        <w:t xml:space="preserve"> and conducting important strategic and technical assessments of river systems and infrastructure in the Southern Murray–Darling Basin will together, help improve water security for all water users now and into the future. </w:t>
      </w:r>
    </w:p>
    <w:p w14:paraId="486A6207" w14:textId="77777777" w:rsidR="009D22E3" w:rsidRPr="00F545EC" w:rsidRDefault="005B7CBB" w:rsidP="008E0AB0">
      <w:pPr>
        <w:rPr>
          <w:lang w:val="en-US"/>
        </w:rPr>
      </w:pPr>
      <w:r w:rsidRPr="00F545EC">
        <w:rPr>
          <w:rFonts w:ascii="Calibri" w:eastAsia="Times New Roman" w:hAnsi="Calibri" w:cs="Times New Roman"/>
          <w:b/>
          <w:bCs/>
          <w:sz w:val="36"/>
          <w:szCs w:val="24"/>
          <w:lang w:val="en-US"/>
        </w:rPr>
        <w:t xml:space="preserve">Investing in community resilience and river health: </w:t>
      </w:r>
      <w:r w:rsidRPr="00F545EC">
        <w:rPr>
          <w:rFonts w:ascii="Calibri" w:eastAsia="Times New Roman" w:hAnsi="Calibri" w:cs="Times New Roman"/>
          <w:b/>
          <w:bCs/>
          <w:sz w:val="36"/>
          <w:szCs w:val="24"/>
          <w:lang w:val="en-US"/>
        </w:rPr>
        <w:br/>
      </w:r>
      <w:r w:rsidR="00F57ECC" w:rsidRPr="00F545EC">
        <w:rPr>
          <w:rFonts w:ascii="Calibri" w:eastAsia="Times New Roman" w:hAnsi="Calibri" w:cs="Times New Roman"/>
          <w:b/>
          <w:bCs/>
          <w:sz w:val="36"/>
          <w:szCs w:val="24"/>
          <w:lang w:val="en-US"/>
        </w:rPr>
        <w:t>Healthy Rivers – Healthy Communities</w:t>
      </w:r>
    </w:p>
    <w:p w14:paraId="343F8F5E" w14:textId="6FD7A4A3" w:rsidR="006B1EC2" w:rsidRPr="00F545EC" w:rsidRDefault="00D8650E" w:rsidP="009D22E3">
      <w:pPr>
        <w:rPr>
          <w:lang w:val="en-US"/>
        </w:rPr>
      </w:pPr>
      <w:r w:rsidRPr="00F545EC">
        <w:rPr>
          <w:lang w:val="en-US"/>
        </w:rPr>
        <w:t>Another measure that builds on the 2020</w:t>
      </w:r>
      <w:r w:rsidR="0016343A" w:rsidRPr="00F545EC">
        <w:rPr>
          <w:lang w:val="en-US"/>
        </w:rPr>
        <w:t xml:space="preserve"> </w:t>
      </w:r>
      <w:r w:rsidR="00D61FC5" w:rsidRPr="00F545EC">
        <w:rPr>
          <w:lang w:val="en-US"/>
        </w:rPr>
        <w:t xml:space="preserve">Murray–Darling Communities Investment Package </w:t>
      </w:r>
      <w:r w:rsidRPr="00F545EC">
        <w:rPr>
          <w:lang w:val="en-US"/>
        </w:rPr>
        <w:t>establishes a $9</w:t>
      </w:r>
      <w:r w:rsidR="00665F9D">
        <w:rPr>
          <w:lang w:val="en-US"/>
        </w:rPr>
        <w:t>7</w:t>
      </w:r>
      <w:r w:rsidRPr="00F545EC">
        <w:rPr>
          <w:lang w:val="en-US"/>
        </w:rPr>
        <w:t xml:space="preserve"> million grant program that truly puts community aspirations and expertise</w:t>
      </w:r>
      <w:r w:rsidR="00D61FC5" w:rsidRPr="00F545EC">
        <w:rPr>
          <w:lang w:val="en-US"/>
        </w:rPr>
        <w:t xml:space="preserve"> at the heart of Basin Plan implementation. </w:t>
      </w:r>
    </w:p>
    <w:p w14:paraId="056BE76A" w14:textId="77777777" w:rsidR="00D61FC5" w:rsidRPr="00F545EC" w:rsidRDefault="00D61FC5" w:rsidP="009D22E3">
      <w:pPr>
        <w:rPr>
          <w:lang w:val="en-US"/>
        </w:rPr>
      </w:pPr>
      <w:r w:rsidRPr="00F545EC">
        <w:rPr>
          <w:lang w:val="en-US"/>
        </w:rPr>
        <w:t xml:space="preserve">Healthy Rivers – Healthy Communities will fund community-led, on-ground projects and infrastructure grants </w:t>
      </w:r>
      <w:r w:rsidR="00D8650E" w:rsidRPr="00F545EC">
        <w:rPr>
          <w:lang w:val="en-US"/>
        </w:rPr>
        <w:t>to</w:t>
      </w:r>
      <w:r w:rsidRPr="00F545EC">
        <w:rPr>
          <w:lang w:val="en-US"/>
        </w:rPr>
        <w:t xml:space="preserve"> improve</w:t>
      </w:r>
      <w:r w:rsidR="00D8650E" w:rsidRPr="00F545EC">
        <w:rPr>
          <w:lang w:val="en-US"/>
        </w:rPr>
        <w:t xml:space="preserve"> river health and </w:t>
      </w:r>
      <w:r w:rsidRPr="00F545EC">
        <w:rPr>
          <w:lang w:val="en-US"/>
        </w:rPr>
        <w:t>promote</w:t>
      </w:r>
      <w:r w:rsidR="00D8650E" w:rsidRPr="00F545EC">
        <w:rPr>
          <w:lang w:val="en-US"/>
        </w:rPr>
        <w:t xml:space="preserve"> </w:t>
      </w:r>
      <w:r w:rsidRPr="00F545EC">
        <w:rPr>
          <w:lang w:val="en-US"/>
        </w:rPr>
        <w:t xml:space="preserve">agricultural productivity and </w:t>
      </w:r>
      <w:r w:rsidR="00D8650E" w:rsidRPr="00F545EC">
        <w:rPr>
          <w:lang w:val="en-US"/>
        </w:rPr>
        <w:t xml:space="preserve">community </w:t>
      </w:r>
      <w:r w:rsidRPr="00F545EC">
        <w:rPr>
          <w:lang w:val="en-US"/>
        </w:rPr>
        <w:t>economic development.</w:t>
      </w:r>
    </w:p>
    <w:p w14:paraId="17996DF4" w14:textId="77777777" w:rsidR="00D61FC5" w:rsidRPr="00F545EC" w:rsidRDefault="00D61FC5" w:rsidP="009D22E3">
      <w:pPr>
        <w:rPr>
          <w:lang w:val="en-US"/>
        </w:rPr>
      </w:pPr>
      <w:r w:rsidRPr="00F545EC">
        <w:rPr>
          <w:lang w:val="en-US"/>
        </w:rPr>
        <w:t xml:space="preserve">The grant program is intrinsically linked to the Australian Government’s vision for the Basin </w:t>
      </w:r>
      <w:r w:rsidR="004F4C7C" w:rsidRPr="00F545EC">
        <w:rPr>
          <w:lang w:val="en-US"/>
        </w:rPr>
        <w:t>and</w:t>
      </w:r>
      <w:r w:rsidRPr="00F545EC">
        <w:rPr>
          <w:lang w:val="en-US"/>
        </w:rPr>
        <w:t xml:space="preserve"> encourage</w:t>
      </w:r>
      <w:r w:rsidR="004F4C7C" w:rsidRPr="00F545EC">
        <w:rPr>
          <w:lang w:val="en-US"/>
        </w:rPr>
        <w:t>s</w:t>
      </w:r>
      <w:r w:rsidRPr="00F545EC">
        <w:rPr>
          <w:lang w:val="en-US"/>
        </w:rPr>
        <w:t xml:space="preserve"> communities to work together to identify projects that contribute to the long-</w:t>
      </w:r>
      <w:r w:rsidR="004F4C7C" w:rsidRPr="00F545EC">
        <w:rPr>
          <w:lang w:val="en-US"/>
        </w:rPr>
        <w:t xml:space="preserve">term </w:t>
      </w:r>
      <w:r w:rsidR="004F4C7C" w:rsidRPr="00F545EC">
        <w:rPr>
          <w:lang w:val="en-US"/>
        </w:rPr>
        <w:lastRenderedPageBreak/>
        <w:t xml:space="preserve">health of the river system, sustaining </w:t>
      </w:r>
      <w:r w:rsidRPr="00F545EC">
        <w:rPr>
          <w:lang w:val="en-US"/>
        </w:rPr>
        <w:t>natural heritage value</w:t>
      </w:r>
      <w:r w:rsidR="004F4C7C" w:rsidRPr="00F545EC">
        <w:rPr>
          <w:lang w:val="en-US"/>
        </w:rPr>
        <w:t xml:space="preserve"> as well as</w:t>
      </w:r>
      <w:r w:rsidRPr="00F545EC">
        <w:rPr>
          <w:lang w:val="en-US"/>
        </w:rPr>
        <w:t xml:space="preserve"> regional communities and agricultural industries.</w:t>
      </w:r>
    </w:p>
    <w:p w14:paraId="741BF611" w14:textId="6C8BF536" w:rsidR="005B7CBB" w:rsidRPr="00F545EC" w:rsidRDefault="004F4C7C" w:rsidP="009D22E3">
      <w:pPr>
        <w:rPr>
          <w:lang w:val="en-US"/>
        </w:rPr>
      </w:pPr>
      <w:r w:rsidRPr="00F545EC">
        <w:rPr>
          <w:lang w:val="en-US"/>
        </w:rPr>
        <w:t xml:space="preserve">Healthy Rivers – Healthy Communities </w:t>
      </w:r>
      <w:r w:rsidR="005B7CBB" w:rsidRPr="00F545EC">
        <w:rPr>
          <w:lang w:val="en-US"/>
        </w:rPr>
        <w:t xml:space="preserve">program is a demonstration that water recovery is not the only way to achieve good environmental outcomes. It will fund projects that can enhance Basin Plan outcomes in real and tangible ways </w:t>
      </w:r>
      <w:r w:rsidR="0046271D" w:rsidRPr="00F545EC">
        <w:rPr>
          <w:lang w:val="en-US"/>
        </w:rPr>
        <w:t>and deliver for agriculture and communities</w:t>
      </w:r>
      <w:r w:rsidR="005B7CBB" w:rsidRPr="00F545EC">
        <w:rPr>
          <w:lang w:val="en-US"/>
        </w:rPr>
        <w:t>.</w:t>
      </w:r>
    </w:p>
    <w:p w14:paraId="6FBBCE81" w14:textId="643FB5A7" w:rsidR="0046271D" w:rsidRDefault="005B7CBB" w:rsidP="009F26AC">
      <w:pPr>
        <w:rPr>
          <w:lang w:val="en-US"/>
        </w:rPr>
      </w:pPr>
      <w:r w:rsidRPr="00F545EC">
        <w:rPr>
          <w:lang w:val="en-US"/>
        </w:rPr>
        <w:t>H</w:t>
      </w:r>
      <w:r w:rsidR="00020770" w:rsidRPr="00F545EC">
        <w:rPr>
          <w:lang w:val="en-US"/>
        </w:rPr>
        <w:t>ealthy Rivers – Healthy Communities is a truly triple-bottom line program</w:t>
      </w:r>
      <w:r w:rsidR="00665F9D">
        <w:rPr>
          <w:lang w:val="en-US"/>
        </w:rPr>
        <w:t xml:space="preserve"> that makes available between $100,000 and $5</w:t>
      </w:r>
      <w:r w:rsidR="00020770" w:rsidRPr="00F545EC">
        <w:rPr>
          <w:lang w:val="en-US"/>
        </w:rPr>
        <w:t xml:space="preserve"> million to build stronger and more vibrant regional economies and communities, improve the health of rivers and wetlands, and enhance environmental outcomes through targeted infrastructure investment.</w:t>
      </w:r>
      <w:r w:rsidRPr="00F545EC">
        <w:rPr>
          <w:lang w:val="en-US"/>
        </w:rPr>
        <w:t xml:space="preserve"> </w:t>
      </w:r>
      <w:r w:rsidR="00020770" w:rsidRPr="00F545EC">
        <w:rPr>
          <w:lang w:val="en-US"/>
        </w:rPr>
        <w:t>Grants will be available to community groups, the irrigation industry, Basin stakeholders and state governments to make real</w:t>
      </w:r>
      <w:r w:rsidRPr="00F545EC">
        <w:rPr>
          <w:lang w:val="en-US"/>
        </w:rPr>
        <w:t>, lasting impacts on the health of the Basin</w:t>
      </w:r>
      <w:r w:rsidR="00020770" w:rsidRPr="00F545EC">
        <w:rPr>
          <w:lang w:val="en-US"/>
        </w:rPr>
        <w:t>.</w:t>
      </w:r>
    </w:p>
    <w:p w14:paraId="7B28B5A9" w14:textId="0E9B133D" w:rsidR="00665F9D" w:rsidRPr="00F545EC" w:rsidRDefault="00665F9D" w:rsidP="009F26AC">
      <w:pPr>
        <w:rPr>
          <w:lang w:val="en-US"/>
        </w:rPr>
      </w:pPr>
      <w:r w:rsidRPr="00665F9D">
        <w:rPr>
          <w:b/>
          <w:lang w:val="en-US"/>
        </w:rPr>
        <w:t>The Murray–Darling Basin Indigenous Rivers Rangers Program</w:t>
      </w:r>
      <w:r w:rsidRPr="00665F9D">
        <w:rPr>
          <w:lang w:val="en-US"/>
        </w:rPr>
        <w:t>: has been extended until</w:t>
      </w:r>
      <w:r w:rsidRPr="00665F9D">
        <w:rPr>
          <w:lang w:val="en-US"/>
        </w:rPr>
        <w:cr/>
        <w:t>2024–25 to deli</w:t>
      </w:r>
      <w:r>
        <w:rPr>
          <w:lang w:val="en-US"/>
        </w:rPr>
        <w:t xml:space="preserve">ver real jobs on the ground and </w:t>
      </w:r>
      <w:r w:rsidRPr="00665F9D">
        <w:rPr>
          <w:lang w:val="en-US"/>
        </w:rPr>
        <w:t>support First N</w:t>
      </w:r>
      <w:r>
        <w:rPr>
          <w:lang w:val="en-US"/>
        </w:rPr>
        <w:t xml:space="preserve">ations people get more involved </w:t>
      </w:r>
      <w:r w:rsidRPr="00665F9D">
        <w:rPr>
          <w:lang w:val="en-US"/>
        </w:rPr>
        <w:t xml:space="preserve">in river </w:t>
      </w:r>
      <w:r>
        <w:rPr>
          <w:lang w:val="en-US"/>
        </w:rPr>
        <w:t xml:space="preserve">management and waterway health. </w:t>
      </w:r>
      <w:r w:rsidRPr="00665F9D">
        <w:rPr>
          <w:lang w:val="en-US"/>
        </w:rPr>
        <w:t xml:space="preserve">The $12.2 million </w:t>
      </w:r>
      <w:r>
        <w:rPr>
          <w:lang w:val="en-US"/>
        </w:rPr>
        <w:t xml:space="preserve">in extra funding will allow for </w:t>
      </w:r>
      <w:r w:rsidRPr="00665F9D">
        <w:rPr>
          <w:lang w:val="en-US"/>
        </w:rPr>
        <w:t>longer-term pl</w:t>
      </w:r>
      <w:r>
        <w:rPr>
          <w:lang w:val="en-US"/>
        </w:rPr>
        <w:t xml:space="preserve">ans and increased impact on the </w:t>
      </w:r>
      <w:r w:rsidRPr="00665F9D">
        <w:rPr>
          <w:lang w:val="en-US"/>
        </w:rPr>
        <w:t>ground, creating more than 25 meaningful jobs</w:t>
      </w:r>
      <w:r w:rsidRPr="00665F9D">
        <w:rPr>
          <w:lang w:val="en-US"/>
        </w:rPr>
        <w:cr/>
        <w:t>on Country that will continue to at least June 2025. The program ex</w:t>
      </w:r>
      <w:r>
        <w:rPr>
          <w:lang w:val="en-US"/>
        </w:rPr>
        <w:t xml:space="preserve">tension will build capacity and </w:t>
      </w:r>
      <w:r w:rsidRPr="00665F9D">
        <w:rPr>
          <w:lang w:val="en-US"/>
        </w:rPr>
        <w:t>understanding</w:t>
      </w:r>
      <w:r>
        <w:rPr>
          <w:lang w:val="en-US"/>
        </w:rPr>
        <w:t xml:space="preserve"> between Indigenous communities </w:t>
      </w:r>
      <w:r w:rsidRPr="00665F9D">
        <w:rPr>
          <w:lang w:val="en-US"/>
        </w:rPr>
        <w:t xml:space="preserve">and river managers by enabling Aboriginal people to learn more about river management and operations </w:t>
      </w:r>
      <w:r>
        <w:rPr>
          <w:lang w:val="en-US"/>
        </w:rPr>
        <w:t xml:space="preserve">while they teach river managers more about </w:t>
      </w:r>
      <w:r w:rsidRPr="00665F9D">
        <w:rPr>
          <w:lang w:val="en-US"/>
        </w:rPr>
        <w:t>Aboriginal culture and water management.</w:t>
      </w:r>
      <w:r w:rsidRPr="00665F9D">
        <w:rPr>
          <w:lang w:val="en-US"/>
        </w:rPr>
        <w:cr/>
      </w:r>
    </w:p>
    <w:p w14:paraId="12EE0D19" w14:textId="77777777" w:rsidR="0046271D" w:rsidRPr="00F545EC" w:rsidRDefault="0046271D" w:rsidP="009F26AC">
      <w:pPr>
        <w:rPr>
          <w:lang w:val="en-US"/>
        </w:rPr>
      </w:pPr>
    </w:p>
    <w:p w14:paraId="517930A7" w14:textId="77777777" w:rsidR="0046271D" w:rsidRPr="00F545EC" w:rsidRDefault="0046271D" w:rsidP="0046271D">
      <w:pPr>
        <w:pStyle w:val="Heading2"/>
        <w:numPr>
          <w:ilvl w:val="0"/>
          <w:numId w:val="0"/>
        </w:numPr>
      </w:pPr>
      <w:bookmarkStart w:id="15" w:name="_Toc99438130"/>
      <w:r w:rsidRPr="00F545EC">
        <w:lastRenderedPageBreak/>
        <w:t>Conclusion</w:t>
      </w:r>
      <w:bookmarkEnd w:id="15"/>
      <w:r w:rsidRPr="00F545EC">
        <w:t xml:space="preserve">  </w:t>
      </w:r>
    </w:p>
    <w:p w14:paraId="314C55D4" w14:textId="77777777" w:rsidR="00893CE1" w:rsidRPr="00F545EC" w:rsidRDefault="005F60C8">
      <w:pPr>
        <w:rPr>
          <w:lang w:val="en-US"/>
        </w:rPr>
      </w:pPr>
      <w:r w:rsidRPr="00F545EC">
        <w:rPr>
          <w:lang w:val="en-US"/>
        </w:rPr>
        <w:t xml:space="preserve">Through these measures, we’re providing the boost Basin communities need to generate jobs, economic activity and improve the health of rivers and wetlands while maintaining our commitment to </w:t>
      </w:r>
      <w:r w:rsidR="0046271D" w:rsidRPr="00F545EC">
        <w:rPr>
          <w:lang w:val="en-US"/>
        </w:rPr>
        <w:t>implementing the Basin Plan.</w:t>
      </w:r>
      <w:bookmarkEnd w:id="13"/>
    </w:p>
    <w:p w14:paraId="588573B7" w14:textId="77777777" w:rsidR="00BA42FA" w:rsidRDefault="00BA42FA">
      <w:r w:rsidRPr="00F545EC">
        <w:rPr>
          <w:lang w:val="en-US"/>
        </w:rPr>
        <w:t>The Department of Agriculture, Water and the Environment will report twice a year on implementation progress.</w:t>
      </w:r>
    </w:p>
    <w:sectPr w:rsidR="00BA42FA" w:rsidSect="007458C3">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63BC" w14:textId="77777777" w:rsidR="005E361D" w:rsidRDefault="005E361D">
      <w:pPr>
        <w:spacing w:after="0" w:line="240" w:lineRule="auto"/>
      </w:pPr>
      <w:r>
        <w:separator/>
      </w:r>
    </w:p>
  </w:endnote>
  <w:endnote w:type="continuationSeparator" w:id="0">
    <w:p w14:paraId="6F5C21CA" w14:textId="77777777" w:rsidR="005E361D" w:rsidRDefault="005E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757D" w14:textId="77777777" w:rsidR="002A52D9" w:rsidRDefault="00C86ED8">
    <w:pPr>
      <w:pStyle w:val="Footer"/>
    </w:pPr>
    <w:r>
      <w:t xml:space="preserve">Department of Agriculture, </w:t>
    </w:r>
    <w:proofErr w:type="gramStart"/>
    <w:r>
      <w:t>Water</w:t>
    </w:r>
    <w:proofErr w:type="gramEnd"/>
    <w:r>
      <w:t xml:space="preserve"> and the Environment</w:t>
    </w:r>
  </w:p>
  <w:p w14:paraId="66D22695" w14:textId="21B9EEB1" w:rsidR="002A52D9" w:rsidRDefault="00C86ED8">
    <w:pPr>
      <w:pStyle w:val="Footer"/>
    </w:pPr>
    <w:r>
      <w:fldChar w:fldCharType="begin"/>
    </w:r>
    <w:r>
      <w:instrText xml:space="preserve"> PAGE   \* MERGEFORMAT </w:instrText>
    </w:r>
    <w:r>
      <w:fldChar w:fldCharType="separate"/>
    </w:r>
    <w:r w:rsidR="009E5790">
      <w:rPr>
        <w:noProof/>
      </w:rPr>
      <w:t>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64FC" w14:textId="77777777" w:rsidR="005E361D" w:rsidRDefault="005E361D">
      <w:pPr>
        <w:spacing w:after="0" w:line="240" w:lineRule="auto"/>
      </w:pPr>
      <w:r>
        <w:separator/>
      </w:r>
    </w:p>
  </w:footnote>
  <w:footnote w:type="continuationSeparator" w:id="0">
    <w:p w14:paraId="729437AE" w14:textId="77777777" w:rsidR="005E361D" w:rsidRDefault="005E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CB7B" w14:textId="77777777" w:rsidR="002A52D9" w:rsidRDefault="00C86ED8">
    <w:pPr>
      <w:pStyle w:val="Header"/>
    </w:pPr>
    <w:r>
      <w:t>Murray</w:t>
    </w:r>
    <w:r w:rsidR="00FD2E2C">
      <w:t>–</w:t>
    </w:r>
    <w:r>
      <w:t xml:space="preserve">Darling </w:t>
    </w:r>
    <w:r w:rsidR="00A27C03">
      <w:t>Communities Investment Package</w:t>
    </w:r>
    <w:r w:rsidR="00B2414D">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5128" w14:textId="77777777" w:rsidR="002A52D9" w:rsidRDefault="00C86ED8">
    <w:pPr>
      <w:pStyle w:val="Header"/>
      <w:jc w:val="left"/>
    </w:pPr>
    <w:r>
      <w:rPr>
        <w:noProof/>
        <w:lang w:eastAsia="en-AU"/>
      </w:rPr>
      <w:drawing>
        <wp:inline distT="0" distB="0" distL="0" distR="0" wp14:anchorId="3F841AD6" wp14:editId="4A064EF8">
          <wp:extent cx="2123264" cy="63724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04769"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F49"/>
    <w:multiLevelType w:val="multilevel"/>
    <w:tmpl w:val="B2DE95AE"/>
    <w:lvl w:ilvl="0">
      <w:start w:val="1"/>
      <w:numFmt w:val="bullet"/>
      <w:pStyle w:val="Bullet"/>
      <w:lvlText w:val=""/>
      <w:lvlJc w:val="left"/>
      <w:pPr>
        <w:tabs>
          <w:tab w:val="num" w:pos="567"/>
        </w:tabs>
        <w:ind w:left="567" w:hanging="567"/>
      </w:pPr>
      <w:rPr>
        <w:rFonts w:ascii="Symbol" w:hAnsi="Symbol" w:hint="default"/>
        <w:color w:val="595959" w:themeColor="text1" w:themeTint="A6"/>
        <w:sz w:val="28"/>
        <w:szCs w:val="28"/>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o"/>
      <w:lvlJc w:val="left"/>
      <w:pPr>
        <w:tabs>
          <w:tab w:val="num" w:pos="1701"/>
        </w:tabs>
        <w:ind w:left="1701" w:hanging="567"/>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B02C94"/>
    <w:multiLevelType w:val="hybridMultilevel"/>
    <w:tmpl w:val="D41602A0"/>
    <w:lvl w:ilvl="0" w:tplc="EA426A58">
      <w:start w:val="1"/>
      <w:numFmt w:val="bullet"/>
      <w:lvlText w:val=""/>
      <w:lvlJc w:val="left"/>
      <w:pPr>
        <w:ind w:left="720" w:hanging="360"/>
      </w:pPr>
      <w:rPr>
        <w:rFonts w:ascii="Symbol" w:hAnsi="Symbol" w:hint="default"/>
      </w:rPr>
    </w:lvl>
    <w:lvl w:ilvl="1" w:tplc="13C60AEC" w:tentative="1">
      <w:start w:val="1"/>
      <w:numFmt w:val="bullet"/>
      <w:lvlText w:val="o"/>
      <w:lvlJc w:val="left"/>
      <w:pPr>
        <w:ind w:left="1440" w:hanging="360"/>
      </w:pPr>
      <w:rPr>
        <w:rFonts w:ascii="Courier New" w:hAnsi="Courier New" w:cs="Courier New" w:hint="default"/>
      </w:rPr>
    </w:lvl>
    <w:lvl w:ilvl="2" w:tplc="68AE4EA6" w:tentative="1">
      <w:start w:val="1"/>
      <w:numFmt w:val="bullet"/>
      <w:lvlText w:val=""/>
      <w:lvlJc w:val="left"/>
      <w:pPr>
        <w:ind w:left="2160" w:hanging="360"/>
      </w:pPr>
      <w:rPr>
        <w:rFonts w:ascii="Wingdings" w:hAnsi="Wingdings" w:hint="default"/>
      </w:rPr>
    </w:lvl>
    <w:lvl w:ilvl="3" w:tplc="B5B45434" w:tentative="1">
      <w:start w:val="1"/>
      <w:numFmt w:val="bullet"/>
      <w:lvlText w:val=""/>
      <w:lvlJc w:val="left"/>
      <w:pPr>
        <w:ind w:left="2880" w:hanging="360"/>
      </w:pPr>
      <w:rPr>
        <w:rFonts w:ascii="Symbol" w:hAnsi="Symbol" w:hint="default"/>
      </w:rPr>
    </w:lvl>
    <w:lvl w:ilvl="4" w:tplc="9E70B45A" w:tentative="1">
      <w:start w:val="1"/>
      <w:numFmt w:val="bullet"/>
      <w:lvlText w:val="o"/>
      <w:lvlJc w:val="left"/>
      <w:pPr>
        <w:ind w:left="3600" w:hanging="360"/>
      </w:pPr>
      <w:rPr>
        <w:rFonts w:ascii="Courier New" w:hAnsi="Courier New" w:cs="Courier New" w:hint="default"/>
      </w:rPr>
    </w:lvl>
    <w:lvl w:ilvl="5" w:tplc="772C3204" w:tentative="1">
      <w:start w:val="1"/>
      <w:numFmt w:val="bullet"/>
      <w:lvlText w:val=""/>
      <w:lvlJc w:val="left"/>
      <w:pPr>
        <w:ind w:left="4320" w:hanging="360"/>
      </w:pPr>
      <w:rPr>
        <w:rFonts w:ascii="Wingdings" w:hAnsi="Wingdings" w:hint="default"/>
      </w:rPr>
    </w:lvl>
    <w:lvl w:ilvl="6" w:tplc="24D09DF4" w:tentative="1">
      <w:start w:val="1"/>
      <w:numFmt w:val="bullet"/>
      <w:lvlText w:val=""/>
      <w:lvlJc w:val="left"/>
      <w:pPr>
        <w:ind w:left="5040" w:hanging="360"/>
      </w:pPr>
      <w:rPr>
        <w:rFonts w:ascii="Symbol" w:hAnsi="Symbol" w:hint="default"/>
      </w:rPr>
    </w:lvl>
    <w:lvl w:ilvl="7" w:tplc="38E03F50" w:tentative="1">
      <w:start w:val="1"/>
      <w:numFmt w:val="bullet"/>
      <w:lvlText w:val="o"/>
      <w:lvlJc w:val="left"/>
      <w:pPr>
        <w:ind w:left="5760" w:hanging="360"/>
      </w:pPr>
      <w:rPr>
        <w:rFonts w:ascii="Courier New" w:hAnsi="Courier New" w:cs="Courier New" w:hint="default"/>
      </w:rPr>
    </w:lvl>
    <w:lvl w:ilvl="8" w:tplc="36FA6360" w:tentative="1">
      <w:start w:val="1"/>
      <w:numFmt w:val="bullet"/>
      <w:lvlText w:val=""/>
      <w:lvlJc w:val="left"/>
      <w:pPr>
        <w:ind w:left="6480" w:hanging="360"/>
      </w:pPr>
      <w:rPr>
        <w:rFonts w:ascii="Wingdings" w:hAnsi="Wingdings" w:hint="default"/>
      </w:rPr>
    </w:lvl>
  </w:abstractNum>
  <w:abstractNum w:abstractNumId="2" w15:restartNumberingAfterBreak="0">
    <w:nsid w:val="13012E95"/>
    <w:multiLevelType w:val="hybridMultilevel"/>
    <w:tmpl w:val="BC3E1A46"/>
    <w:lvl w:ilvl="0" w:tplc="1F5ED482">
      <w:start w:val="1"/>
      <w:numFmt w:val="decimal"/>
      <w:lvlText w:val="%1."/>
      <w:lvlJc w:val="left"/>
      <w:pPr>
        <w:ind w:left="360" w:hanging="360"/>
      </w:pPr>
    </w:lvl>
    <w:lvl w:ilvl="1" w:tplc="0C4402C2" w:tentative="1">
      <w:start w:val="1"/>
      <w:numFmt w:val="lowerLetter"/>
      <w:lvlText w:val="%2."/>
      <w:lvlJc w:val="left"/>
      <w:pPr>
        <w:ind w:left="1080" w:hanging="360"/>
      </w:pPr>
    </w:lvl>
    <w:lvl w:ilvl="2" w:tplc="2CA4EF66" w:tentative="1">
      <w:start w:val="1"/>
      <w:numFmt w:val="lowerRoman"/>
      <w:lvlText w:val="%3."/>
      <w:lvlJc w:val="right"/>
      <w:pPr>
        <w:ind w:left="1800" w:hanging="180"/>
      </w:pPr>
    </w:lvl>
    <w:lvl w:ilvl="3" w:tplc="E51AA5B2" w:tentative="1">
      <w:start w:val="1"/>
      <w:numFmt w:val="decimal"/>
      <w:lvlText w:val="%4."/>
      <w:lvlJc w:val="left"/>
      <w:pPr>
        <w:ind w:left="2520" w:hanging="360"/>
      </w:pPr>
    </w:lvl>
    <w:lvl w:ilvl="4" w:tplc="410A7EA4" w:tentative="1">
      <w:start w:val="1"/>
      <w:numFmt w:val="lowerLetter"/>
      <w:lvlText w:val="%5."/>
      <w:lvlJc w:val="left"/>
      <w:pPr>
        <w:ind w:left="3240" w:hanging="360"/>
      </w:pPr>
    </w:lvl>
    <w:lvl w:ilvl="5" w:tplc="F970C1A8" w:tentative="1">
      <w:start w:val="1"/>
      <w:numFmt w:val="lowerRoman"/>
      <w:lvlText w:val="%6."/>
      <w:lvlJc w:val="right"/>
      <w:pPr>
        <w:ind w:left="3960" w:hanging="180"/>
      </w:pPr>
    </w:lvl>
    <w:lvl w:ilvl="6" w:tplc="D1A422D0" w:tentative="1">
      <w:start w:val="1"/>
      <w:numFmt w:val="decimal"/>
      <w:lvlText w:val="%7."/>
      <w:lvlJc w:val="left"/>
      <w:pPr>
        <w:ind w:left="4680" w:hanging="360"/>
      </w:pPr>
    </w:lvl>
    <w:lvl w:ilvl="7" w:tplc="D82240E8" w:tentative="1">
      <w:start w:val="1"/>
      <w:numFmt w:val="lowerLetter"/>
      <w:lvlText w:val="%8."/>
      <w:lvlJc w:val="left"/>
      <w:pPr>
        <w:ind w:left="5400" w:hanging="360"/>
      </w:pPr>
    </w:lvl>
    <w:lvl w:ilvl="8" w:tplc="66F8CCE0" w:tentative="1">
      <w:start w:val="1"/>
      <w:numFmt w:val="lowerRoman"/>
      <w:lvlText w:val="%9."/>
      <w:lvlJc w:val="right"/>
      <w:pPr>
        <w:ind w:left="6120" w:hanging="180"/>
      </w:pPr>
    </w:lvl>
  </w:abstractNum>
  <w:abstractNum w:abstractNumId="3" w15:restartNumberingAfterBreak="0">
    <w:nsid w:val="1BD33715"/>
    <w:multiLevelType w:val="hybridMultilevel"/>
    <w:tmpl w:val="9DE83D2C"/>
    <w:lvl w:ilvl="0" w:tplc="D8700316">
      <w:start w:val="1"/>
      <w:numFmt w:val="bullet"/>
      <w:lvlText w:val=""/>
      <w:lvlJc w:val="left"/>
      <w:pPr>
        <w:ind w:left="360" w:hanging="360"/>
      </w:pPr>
      <w:rPr>
        <w:rFonts w:ascii="Symbol" w:hAnsi="Symbol" w:hint="default"/>
      </w:rPr>
    </w:lvl>
    <w:lvl w:ilvl="1" w:tplc="C87006A4" w:tentative="1">
      <w:start w:val="1"/>
      <w:numFmt w:val="bullet"/>
      <w:lvlText w:val="o"/>
      <w:lvlJc w:val="left"/>
      <w:pPr>
        <w:ind w:left="1080" w:hanging="360"/>
      </w:pPr>
      <w:rPr>
        <w:rFonts w:ascii="Courier New" w:hAnsi="Courier New" w:cs="Courier New" w:hint="default"/>
      </w:rPr>
    </w:lvl>
    <w:lvl w:ilvl="2" w:tplc="3EA4722E" w:tentative="1">
      <w:start w:val="1"/>
      <w:numFmt w:val="bullet"/>
      <w:lvlText w:val=""/>
      <w:lvlJc w:val="left"/>
      <w:pPr>
        <w:ind w:left="1800" w:hanging="360"/>
      </w:pPr>
      <w:rPr>
        <w:rFonts w:ascii="Wingdings" w:hAnsi="Wingdings" w:hint="default"/>
      </w:rPr>
    </w:lvl>
    <w:lvl w:ilvl="3" w:tplc="E46A50DC" w:tentative="1">
      <w:start w:val="1"/>
      <w:numFmt w:val="bullet"/>
      <w:lvlText w:val=""/>
      <w:lvlJc w:val="left"/>
      <w:pPr>
        <w:ind w:left="2520" w:hanging="360"/>
      </w:pPr>
      <w:rPr>
        <w:rFonts w:ascii="Symbol" w:hAnsi="Symbol" w:hint="default"/>
      </w:rPr>
    </w:lvl>
    <w:lvl w:ilvl="4" w:tplc="591AA2FA" w:tentative="1">
      <w:start w:val="1"/>
      <w:numFmt w:val="bullet"/>
      <w:lvlText w:val="o"/>
      <w:lvlJc w:val="left"/>
      <w:pPr>
        <w:ind w:left="3240" w:hanging="360"/>
      </w:pPr>
      <w:rPr>
        <w:rFonts w:ascii="Courier New" w:hAnsi="Courier New" w:cs="Courier New" w:hint="default"/>
      </w:rPr>
    </w:lvl>
    <w:lvl w:ilvl="5" w:tplc="BAFAA01E" w:tentative="1">
      <w:start w:val="1"/>
      <w:numFmt w:val="bullet"/>
      <w:lvlText w:val=""/>
      <w:lvlJc w:val="left"/>
      <w:pPr>
        <w:ind w:left="3960" w:hanging="360"/>
      </w:pPr>
      <w:rPr>
        <w:rFonts w:ascii="Wingdings" w:hAnsi="Wingdings" w:hint="default"/>
      </w:rPr>
    </w:lvl>
    <w:lvl w:ilvl="6" w:tplc="3E106FE8" w:tentative="1">
      <w:start w:val="1"/>
      <w:numFmt w:val="bullet"/>
      <w:lvlText w:val=""/>
      <w:lvlJc w:val="left"/>
      <w:pPr>
        <w:ind w:left="4680" w:hanging="360"/>
      </w:pPr>
      <w:rPr>
        <w:rFonts w:ascii="Symbol" w:hAnsi="Symbol" w:hint="default"/>
      </w:rPr>
    </w:lvl>
    <w:lvl w:ilvl="7" w:tplc="8108B65E" w:tentative="1">
      <w:start w:val="1"/>
      <w:numFmt w:val="bullet"/>
      <w:lvlText w:val="o"/>
      <w:lvlJc w:val="left"/>
      <w:pPr>
        <w:ind w:left="5400" w:hanging="360"/>
      </w:pPr>
      <w:rPr>
        <w:rFonts w:ascii="Courier New" w:hAnsi="Courier New" w:cs="Courier New" w:hint="default"/>
      </w:rPr>
    </w:lvl>
    <w:lvl w:ilvl="8" w:tplc="CC742864" w:tentative="1">
      <w:start w:val="1"/>
      <w:numFmt w:val="bullet"/>
      <w:lvlText w:val=""/>
      <w:lvlJc w:val="left"/>
      <w:pPr>
        <w:ind w:left="6120" w:hanging="360"/>
      </w:pPr>
      <w:rPr>
        <w:rFonts w:ascii="Wingdings" w:hAnsi="Wingdings" w:hint="default"/>
      </w:rPr>
    </w:lvl>
  </w:abstractNum>
  <w:abstractNum w:abstractNumId="4" w15:restartNumberingAfterBreak="0">
    <w:nsid w:val="1DE75CBA"/>
    <w:multiLevelType w:val="hybridMultilevel"/>
    <w:tmpl w:val="10ACF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35EA9"/>
    <w:multiLevelType w:val="hybridMultilevel"/>
    <w:tmpl w:val="ABF445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601FEF"/>
    <w:multiLevelType w:val="hybridMultilevel"/>
    <w:tmpl w:val="4C3AC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7878E9"/>
    <w:multiLevelType w:val="hybridMultilevel"/>
    <w:tmpl w:val="032C0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DC474E"/>
    <w:multiLevelType w:val="hybridMultilevel"/>
    <w:tmpl w:val="583ED122"/>
    <w:lvl w:ilvl="0" w:tplc="5000A626">
      <w:start w:val="1"/>
      <w:numFmt w:val="bullet"/>
      <w:lvlText w:val=""/>
      <w:lvlJc w:val="left"/>
      <w:pPr>
        <w:ind w:left="360" w:hanging="360"/>
      </w:pPr>
      <w:rPr>
        <w:rFonts w:ascii="Symbol" w:hAnsi="Symbol" w:hint="default"/>
      </w:rPr>
    </w:lvl>
    <w:lvl w:ilvl="1" w:tplc="6AE66BD2">
      <w:start w:val="1"/>
      <w:numFmt w:val="bullet"/>
      <w:lvlText w:val="o"/>
      <w:lvlJc w:val="left"/>
      <w:pPr>
        <w:ind w:left="1080" w:hanging="360"/>
      </w:pPr>
      <w:rPr>
        <w:rFonts w:ascii="Courier New" w:hAnsi="Courier New" w:cs="Courier New" w:hint="default"/>
      </w:rPr>
    </w:lvl>
    <w:lvl w:ilvl="2" w:tplc="EA1241F2">
      <w:start w:val="1"/>
      <w:numFmt w:val="bullet"/>
      <w:lvlText w:val=""/>
      <w:lvlJc w:val="left"/>
      <w:pPr>
        <w:ind w:left="1800" w:hanging="360"/>
      </w:pPr>
      <w:rPr>
        <w:rFonts w:ascii="Wingdings" w:hAnsi="Wingdings" w:hint="default"/>
      </w:rPr>
    </w:lvl>
    <w:lvl w:ilvl="3" w:tplc="2D600DC8">
      <w:start w:val="1"/>
      <w:numFmt w:val="bullet"/>
      <w:lvlText w:val=""/>
      <w:lvlJc w:val="left"/>
      <w:pPr>
        <w:ind w:left="2520" w:hanging="360"/>
      </w:pPr>
      <w:rPr>
        <w:rFonts w:ascii="Symbol" w:hAnsi="Symbol" w:hint="default"/>
      </w:rPr>
    </w:lvl>
    <w:lvl w:ilvl="4" w:tplc="2FC61F42">
      <w:start w:val="1"/>
      <w:numFmt w:val="bullet"/>
      <w:lvlText w:val="o"/>
      <w:lvlJc w:val="left"/>
      <w:pPr>
        <w:ind w:left="3240" w:hanging="360"/>
      </w:pPr>
      <w:rPr>
        <w:rFonts w:ascii="Courier New" w:hAnsi="Courier New" w:cs="Courier New" w:hint="default"/>
      </w:rPr>
    </w:lvl>
    <w:lvl w:ilvl="5" w:tplc="A50AFC36">
      <w:start w:val="1"/>
      <w:numFmt w:val="bullet"/>
      <w:lvlText w:val=""/>
      <w:lvlJc w:val="left"/>
      <w:pPr>
        <w:ind w:left="3960" w:hanging="360"/>
      </w:pPr>
      <w:rPr>
        <w:rFonts w:ascii="Wingdings" w:hAnsi="Wingdings" w:hint="default"/>
      </w:rPr>
    </w:lvl>
    <w:lvl w:ilvl="6" w:tplc="6394BC6E">
      <w:start w:val="1"/>
      <w:numFmt w:val="bullet"/>
      <w:lvlText w:val=""/>
      <w:lvlJc w:val="left"/>
      <w:pPr>
        <w:ind w:left="4680" w:hanging="360"/>
      </w:pPr>
      <w:rPr>
        <w:rFonts w:ascii="Symbol" w:hAnsi="Symbol" w:hint="default"/>
      </w:rPr>
    </w:lvl>
    <w:lvl w:ilvl="7" w:tplc="71846DB8">
      <w:start w:val="1"/>
      <w:numFmt w:val="bullet"/>
      <w:lvlText w:val="o"/>
      <w:lvlJc w:val="left"/>
      <w:pPr>
        <w:ind w:left="5400" w:hanging="360"/>
      </w:pPr>
      <w:rPr>
        <w:rFonts w:ascii="Courier New" w:hAnsi="Courier New" w:cs="Courier New" w:hint="default"/>
      </w:rPr>
    </w:lvl>
    <w:lvl w:ilvl="8" w:tplc="9C364328">
      <w:start w:val="1"/>
      <w:numFmt w:val="bullet"/>
      <w:lvlText w:val=""/>
      <w:lvlJc w:val="left"/>
      <w:pPr>
        <w:ind w:left="6120" w:hanging="360"/>
      </w:pPr>
      <w:rPr>
        <w:rFonts w:ascii="Wingdings" w:hAnsi="Wingdings" w:hint="default"/>
      </w:rPr>
    </w:lvl>
  </w:abstractNum>
  <w:abstractNum w:abstractNumId="10" w15:restartNumberingAfterBreak="0">
    <w:nsid w:val="2D4D1995"/>
    <w:multiLevelType w:val="hybridMultilevel"/>
    <w:tmpl w:val="29FAC8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94A15FE"/>
    <w:multiLevelType w:val="multilevel"/>
    <w:tmpl w:val="F36C17E8"/>
    <w:numStyleLink w:val="Headinglist"/>
  </w:abstractNum>
  <w:abstractNum w:abstractNumId="12" w15:restartNumberingAfterBreak="0">
    <w:nsid w:val="41CF5A6A"/>
    <w:multiLevelType w:val="hybridMultilevel"/>
    <w:tmpl w:val="A23EB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709"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0AC6AD5"/>
    <w:multiLevelType w:val="hybridMultilevel"/>
    <w:tmpl w:val="6E5C31E6"/>
    <w:lvl w:ilvl="0" w:tplc="C50277CE">
      <w:start w:val="1"/>
      <w:numFmt w:val="bullet"/>
      <w:lvlText w:val=""/>
      <w:lvlJc w:val="left"/>
      <w:pPr>
        <w:ind w:left="720" w:hanging="360"/>
      </w:pPr>
      <w:rPr>
        <w:rFonts w:ascii="Symbol" w:hAnsi="Symbol" w:hint="default"/>
      </w:rPr>
    </w:lvl>
    <w:lvl w:ilvl="1" w:tplc="B4943DC2">
      <w:start w:val="1"/>
      <w:numFmt w:val="bullet"/>
      <w:lvlText w:val="o"/>
      <w:lvlJc w:val="left"/>
      <w:pPr>
        <w:ind w:left="1440" w:hanging="360"/>
      </w:pPr>
      <w:rPr>
        <w:rFonts w:ascii="Courier New" w:hAnsi="Courier New" w:cs="Courier New" w:hint="default"/>
      </w:rPr>
    </w:lvl>
    <w:lvl w:ilvl="2" w:tplc="C33671FA">
      <w:start w:val="1"/>
      <w:numFmt w:val="bullet"/>
      <w:lvlText w:val=""/>
      <w:lvlJc w:val="left"/>
      <w:pPr>
        <w:ind w:left="2160" w:hanging="360"/>
      </w:pPr>
      <w:rPr>
        <w:rFonts w:ascii="Wingdings" w:hAnsi="Wingdings" w:hint="default"/>
      </w:rPr>
    </w:lvl>
    <w:lvl w:ilvl="3" w:tplc="0C60261A">
      <w:start w:val="1"/>
      <w:numFmt w:val="bullet"/>
      <w:lvlText w:val=""/>
      <w:lvlJc w:val="left"/>
      <w:pPr>
        <w:ind w:left="2880" w:hanging="360"/>
      </w:pPr>
      <w:rPr>
        <w:rFonts w:ascii="Symbol" w:hAnsi="Symbol" w:hint="default"/>
      </w:rPr>
    </w:lvl>
    <w:lvl w:ilvl="4" w:tplc="FB0C8A7E">
      <w:start w:val="1"/>
      <w:numFmt w:val="bullet"/>
      <w:lvlText w:val="o"/>
      <w:lvlJc w:val="left"/>
      <w:pPr>
        <w:ind w:left="3600" w:hanging="360"/>
      </w:pPr>
      <w:rPr>
        <w:rFonts w:ascii="Courier New" w:hAnsi="Courier New" w:cs="Courier New" w:hint="default"/>
      </w:rPr>
    </w:lvl>
    <w:lvl w:ilvl="5" w:tplc="8702E8C2">
      <w:start w:val="1"/>
      <w:numFmt w:val="bullet"/>
      <w:lvlText w:val=""/>
      <w:lvlJc w:val="left"/>
      <w:pPr>
        <w:ind w:left="4320" w:hanging="360"/>
      </w:pPr>
      <w:rPr>
        <w:rFonts w:ascii="Wingdings" w:hAnsi="Wingdings" w:hint="default"/>
      </w:rPr>
    </w:lvl>
    <w:lvl w:ilvl="6" w:tplc="E250D674">
      <w:start w:val="1"/>
      <w:numFmt w:val="bullet"/>
      <w:lvlText w:val=""/>
      <w:lvlJc w:val="left"/>
      <w:pPr>
        <w:ind w:left="5040" w:hanging="360"/>
      </w:pPr>
      <w:rPr>
        <w:rFonts w:ascii="Symbol" w:hAnsi="Symbol" w:hint="default"/>
      </w:rPr>
    </w:lvl>
    <w:lvl w:ilvl="7" w:tplc="AF5CEE04">
      <w:start w:val="1"/>
      <w:numFmt w:val="bullet"/>
      <w:lvlText w:val="o"/>
      <w:lvlJc w:val="left"/>
      <w:pPr>
        <w:ind w:left="5760" w:hanging="360"/>
      </w:pPr>
      <w:rPr>
        <w:rFonts w:ascii="Courier New" w:hAnsi="Courier New" w:cs="Courier New" w:hint="default"/>
      </w:rPr>
    </w:lvl>
    <w:lvl w:ilvl="8" w:tplc="9BF6B216">
      <w:start w:val="1"/>
      <w:numFmt w:val="bullet"/>
      <w:lvlText w:val=""/>
      <w:lvlJc w:val="left"/>
      <w:pPr>
        <w:ind w:left="6480" w:hanging="360"/>
      </w:pPr>
      <w:rPr>
        <w:rFonts w:ascii="Wingdings" w:hAnsi="Wingdings" w:hint="default"/>
      </w:rPr>
    </w:lvl>
  </w:abstractNum>
  <w:abstractNum w:abstractNumId="15" w15:restartNumberingAfterBreak="0">
    <w:nsid w:val="612D509C"/>
    <w:multiLevelType w:val="hybridMultilevel"/>
    <w:tmpl w:val="6810C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5607B6"/>
    <w:multiLevelType w:val="hybridMultilevel"/>
    <w:tmpl w:val="1F4AAE86"/>
    <w:lvl w:ilvl="0" w:tplc="5E7E8C8E">
      <w:start w:val="1"/>
      <w:numFmt w:val="bullet"/>
      <w:lvlText w:val=""/>
      <w:lvlJc w:val="left"/>
      <w:pPr>
        <w:ind w:left="720" w:hanging="360"/>
      </w:pPr>
      <w:rPr>
        <w:rFonts w:ascii="Symbol" w:hAnsi="Symbol" w:hint="default"/>
      </w:rPr>
    </w:lvl>
    <w:lvl w:ilvl="1" w:tplc="C12C4DBE" w:tentative="1">
      <w:start w:val="1"/>
      <w:numFmt w:val="bullet"/>
      <w:lvlText w:val="o"/>
      <w:lvlJc w:val="left"/>
      <w:pPr>
        <w:ind w:left="1440" w:hanging="360"/>
      </w:pPr>
      <w:rPr>
        <w:rFonts w:ascii="Courier New" w:hAnsi="Courier New" w:cs="Courier New" w:hint="default"/>
      </w:rPr>
    </w:lvl>
    <w:lvl w:ilvl="2" w:tplc="F3A6C0C0" w:tentative="1">
      <w:start w:val="1"/>
      <w:numFmt w:val="bullet"/>
      <w:lvlText w:val=""/>
      <w:lvlJc w:val="left"/>
      <w:pPr>
        <w:ind w:left="2160" w:hanging="360"/>
      </w:pPr>
      <w:rPr>
        <w:rFonts w:ascii="Wingdings" w:hAnsi="Wingdings" w:hint="default"/>
      </w:rPr>
    </w:lvl>
    <w:lvl w:ilvl="3" w:tplc="0CE2BF82" w:tentative="1">
      <w:start w:val="1"/>
      <w:numFmt w:val="bullet"/>
      <w:lvlText w:val=""/>
      <w:lvlJc w:val="left"/>
      <w:pPr>
        <w:ind w:left="2880" w:hanging="360"/>
      </w:pPr>
      <w:rPr>
        <w:rFonts w:ascii="Symbol" w:hAnsi="Symbol" w:hint="default"/>
      </w:rPr>
    </w:lvl>
    <w:lvl w:ilvl="4" w:tplc="78780F40" w:tentative="1">
      <w:start w:val="1"/>
      <w:numFmt w:val="bullet"/>
      <w:lvlText w:val="o"/>
      <w:lvlJc w:val="left"/>
      <w:pPr>
        <w:ind w:left="3600" w:hanging="360"/>
      </w:pPr>
      <w:rPr>
        <w:rFonts w:ascii="Courier New" w:hAnsi="Courier New" w:cs="Courier New" w:hint="default"/>
      </w:rPr>
    </w:lvl>
    <w:lvl w:ilvl="5" w:tplc="65F4CC8E" w:tentative="1">
      <w:start w:val="1"/>
      <w:numFmt w:val="bullet"/>
      <w:lvlText w:val=""/>
      <w:lvlJc w:val="left"/>
      <w:pPr>
        <w:ind w:left="4320" w:hanging="360"/>
      </w:pPr>
      <w:rPr>
        <w:rFonts w:ascii="Wingdings" w:hAnsi="Wingdings" w:hint="default"/>
      </w:rPr>
    </w:lvl>
    <w:lvl w:ilvl="6" w:tplc="0BF4D9DA" w:tentative="1">
      <w:start w:val="1"/>
      <w:numFmt w:val="bullet"/>
      <w:lvlText w:val=""/>
      <w:lvlJc w:val="left"/>
      <w:pPr>
        <w:ind w:left="5040" w:hanging="360"/>
      </w:pPr>
      <w:rPr>
        <w:rFonts w:ascii="Symbol" w:hAnsi="Symbol" w:hint="default"/>
      </w:rPr>
    </w:lvl>
    <w:lvl w:ilvl="7" w:tplc="299816A8" w:tentative="1">
      <w:start w:val="1"/>
      <w:numFmt w:val="bullet"/>
      <w:lvlText w:val="o"/>
      <w:lvlJc w:val="left"/>
      <w:pPr>
        <w:ind w:left="5760" w:hanging="360"/>
      </w:pPr>
      <w:rPr>
        <w:rFonts w:ascii="Courier New" w:hAnsi="Courier New" w:cs="Courier New" w:hint="default"/>
      </w:rPr>
    </w:lvl>
    <w:lvl w:ilvl="8" w:tplc="9698C58A" w:tentative="1">
      <w:start w:val="1"/>
      <w:numFmt w:val="bullet"/>
      <w:lvlText w:val=""/>
      <w:lvlJc w:val="left"/>
      <w:pPr>
        <w:ind w:left="6480" w:hanging="360"/>
      </w:pPr>
      <w:rPr>
        <w:rFonts w:ascii="Wingdings" w:hAnsi="Wingdings" w:hint="default"/>
      </w:rPr>
    </w:lvl>
  </w:abstractNum>
  <w:abstractNum w:abstractNumId="17" w15:restartNumberingAfterBreak="0">
    <w:nsid w:val="72EB6C6C"/>
    <w:multiLevelType w:val="hybridMultilevel"/>
    <w:tmpl w:val="7AC6758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758408F9"/>
    <w:multiLevelType w:val="hybridMultilevel"/>
    <w:tmpl w:val="BF4E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A1157D"/>
    <w:multiLevelType w:val="hybridMultilevel"/>
    <w:tmpl w:val="490CA072"/>
    <w:lvl w:ilvl="0" w:tplc="A0AEBD5A">
      <w:start w:val="1"/>
      <w:numFmt w:val="bullet"/>
      <w:lvlText w:val=""/>
      <w:lvlJc w:val="left"/>
      <w:pPr>
        <w:ind w:left="720" w:hanging="360"/>
      </w:pPr>
      <w:rPr>
        <w:rFonts w:ascii="Symbol" w:hAnsi="Symbol" w:hint="default"/>
      </w:rPr>
    </w:lvl>
    <w:lvl w:ilvl="1" w:tplc="A2A89274" w:tentative="1">
      <w:start w:val="1"/>
      <w:numFmt w:val="bullet"/>
      <w:lvlText w:val="o"/>
      <w:lvlJc w:val="left"/>
      <w:pPr>
        <w:ind w:left="1440" w:hanging="360"/>
      </w:pPr>
      <w:rPr>
        <w:rFonts w:ascii="Courier New" w:hAnsi="Courier New" w:cs="Courier New" w:hint="default"/>
      </w:rPr>
    </w:lvl>
    <w:lvl w:ilvl="2" w:tplc="D5548D08" w:tentative="1">
      <w:start w:val="1"/>
      <w:numFmt w:val="bullet"/>
      <w:lvlText w:val=""/>
      <w:lvlJc w:val="left"/>
      <w:pPr>
        <w:ind w:left="2160" w:hanging="360"/>
      </w:pPr>
      <w:rPr>
        <w:rFonts w:ascii="Wingdings" w:hAnsi="Wingdings" w:hint="default"/>
      </w:rPr>
    </w:lvl>
    <w:lvl w:ilvl="3" w:tplc="D668D4EE" w:tentative="1">
      <w:start w:val="1"/>
      <w:numFmt w:val="bullet"/>
      <w:lvlText w:val=""/>
      <w:lvlJc w:val="left"/>
      <w:pPr>
        <w:ind w:left="2880" w:hanging="360"/>
      </w:pPr>
      <w:rPr>
        <w:rFonts w:ascii="Symbol" w:hAnsi="Symbol" w:hint="default"/>
      </w:rPr>
    </w:lvl>
    <w:lvl w:ilvl="4" w:tplc="2B7235DE" w:tentative="1">
      <w:start w:val="1"/>
      <w:numFmt w:val="bullet"/>
      <w:lvlText w:val="o"/>
      <w:lvlJc w:val="left"/>
      <w:pPr>
        <w:ind w:left="3600" w:hanging="360"/>
      </w:pPr>
      <w:rPr>
        <w:rFonts w:ascii="Courier New" w:hAnsi="Courier New" w:cs="Courier New" w:hint="default"/>
      </w:rPr>
    </w:lvl>
    <w:lvl w:ilvl="5" w:tplc="0592032C" w:tentative="1">
      <w:start w:val="1"/>
      <w:numFmt w:val="bullet"/>
      <w:lvlText w:val=""/>
      <w:lvlJc w:val="left"/>
      <w:pPr>
        <w:ind w:left="4320" w:hanging="360"/>
      </w:pPr>
      <w:rPr>
        <w:rFonts w:ascii="Wingdings" w:hAnsi="Wingdings" w:hint="default"/>
      </w:rPr>
    </w:lvl>
    <w:lvl w:ilvl="6" w:tplc="2460DC8E" w:tentative="1">
      <w:start w:val="1"/>
      <w:numFmt w:val="bullet"/>
      <w:lvlText w:val=""/>
      <w:lvlJc w:val="left"/>
      <w:pPr>
        <w:ind w:left="5040" w:hanging="360"/>
      </w:pPr>
      <w:rPr>
        <w:rFonts w:ascii="Symbol" w:hAnsi="Symbol" w:hint="default"/>
      </w:rPr>
    </w:lvl>
    <w:lvl w:ilvl="7" w:tplc="F72ABA7C" w:tentative="1">
      <w:start w:val="1"/>
      <w:numFmt w:val="bullet"/>
      <w:lvlText w:val="o"/>
      <w:lvlJc w:val="left"/>
      <w:pPr>
        <w:ind w:left="5760" w:hanging="360"/>
      </w:pPr>
      <w:rPr>
        <w:rFonts w:ascii="Courier New" w:hAnsi="Courier New" w:cs="Courier New" w:hint="default"/>
      </w:rPr>
    </w:lvl>
    <w:lvl w:ilvl="8" w:tplc="BDA05D84" w:tentative="1">
      <w:start w:val="1"/>
      <w:numFmt w:val="bullet"/>
      <w:lvlText w:val=""/>
      <w:lvlJc w:val="left"/>
      <w:pPr>
        <w:ind w:left="6480" w:hanging="360"/>
      </w:pPr>
      <w:rPr>
        <w:rFonts w:ascii="Wingdings" w:hAnsi="Wingdings" w:hint="default"/>
      </w:rPr>
    </w:lvl>
  </w:abstractNum>
  <w:abstractNum w:abstractNumId="20" w15:restartNumberingAfterBreak="0">
    <w:nsid w:val="7C983723"/>
    <w:multiLevelType w:val="hybridMultilevel"/>
    <w:tmpl w:val="CD281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3"/>
  </w:num>
  <w:num w:numId="5">
    <w:abstractNumId w:val="16"/>
  </w:num>
  <w:num w:numId="6">
    <w:abstractNumId w:val="9"/>
  </w:num>
  <w:num w:numId="7">
    <w:abstractNumId w:val="19"/>
  </w:num>
  <w:num w:numId="8">
    <w:abstractNumId w:val="2"/>
  </w:num>
  <w:num w:numId="9">
    <w:abstractNumId w:val="1"/>
  </w:num>
  <w:num w:numId="10">
    <w:abstractNumId w:val="14"/>
  </w:num>
  <w:num w:numId="11">
    <w:abstractNumId w:val="0"/>
  </w:num>
  <w:num w:numId="12">
    <w:abstractNumId w:val="20"/>
  </w:num>
  <w:num w:numId="13">
    <w:abstractNumId w:val="8"/>
  </w:num>
  <w:num w:numId="14">
    <w:abstractNumId w:val="10"/>
  </w:num>
  <w:num w:numId="15">
    <w:abstractNumId w:val="7"/>
  </w:num>
  <w:num w:numId="16">
    <w:abstractNumId w:val="18"/>
  </w:num>
  <w:num w:numId="17">
    <w:abstractNumId w:val="17"/>
  </w:num>
  <w:num w:numId="18">
    <w:abstractNumId w:val="4"/>
  </w:num>
  <w:num w:numId="19">
    <w:abstractNumId w:val="12"/>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E6"/>
    <w:rsid w:val="000016EE"/>
    <w:rsid w:val="00001892"/>
    <w:rsid w:val="00001F40"/>
    <w:rsid w:val="000049EC"/>
    <w:rsid w:val="00020770"/>
    <w:rsid w:val="00024CE5"/>
    <w:rsid w:val="00036FA0"/>
    <w:rsid w:val="00053CC6"/>
    <w:rsid w:val="00060E72"/>
    <w:rsid w:val="00071DCB"/>
    <w:rsid w:val="000A2AE7"/>
    <w:rsid w:val="000A50DD"/>
    <w:rsid w:val="000C1DB5"/>
    <w:rsid w:val="000E07E0"/>
    <w:rsid w:val="000E4E79"/>
    <w:rsid w:val="000F406E"/>
    <w:rsid w:val="00112432"/>
    <w:rsid w:val="00113A6A"/>
    <w:rsid w:val="00122F4F"/>
    <w:rsid w:val="00131509"/>
    <w:rsid w:val="00133BA0"/>
    <w:rsid w:val="00135053"/>
    <w:rsid w:val="001367B0"/>
    <w:rsid w:val="0015358A"/>
    <w:rsid w:val="0016343A"/>
    <w:rsid w:val="00197858"/>
    <w:rsid w:val="001A732D"/>
    <w:rsid w:val="001C410D"/>
    <w:rsid w:val="001D7828"/>
    <w:rsid w:val="001E36F7"/>
    <w:rsid w:val="001F10A0"/>
    <w:rsid w:val="00201E1D"/>
    <w:rsid w:val="00202D89"/>
    <w:rsid w:val="00221E0E"/>
    <w:rsid w:val="00230E37"/>
    <w:rsid w:val="00253E2B"/>
    <w:rsid w:val="00256838"/>
    <w:rsid w:val="002573E9"/>
    <w:rsid w:val="00296559"/>
    <w:rsid w:val="002A1A2B"/>
    <w:rsid w:val="002A52D9"/>
    <w:rsid w:val="002D0F77"/>
    <w:rsid w:val="002F1E8F"/>
    <w:rsid w:val="00313CBB"/>
    <w:rsid w:val="00322168"/>
    <w:rsid w:val="00325B6E"/>
    <w:rsid w:val="0033333F"/>
    <w:rsid w:val="003676C2"/>
    <w:rsid w:val="00374198"/>
    <w:rsid w:val="0038443F"/>
    <w:rsid w:val="00392007"/>
    <w:rsid w:val="003A2337"/>
    <w:rsid w:val="003C1216"/>
    <w:rsid w:val="003C50EE"/>
    <w:rsid w:val="003C51A1"/>
    <w:rsid w:val="003E0B97"/>
    <w:rsid w:val="003E231A"/>
    <w:rsid w:val="003E37A3"/>
    <w:rsid w:val="003F4293"/>
    <w:rsid w:val="003F5D3A"/>
    <w:rsid w:val="003F65AA"/>
    <w:rsid w:val="00405156"/>
    <w:rsid w:val="00431A79"/>
    <w:rsid w:val="00435032"/>
    <w:rsid w:val="004357B6"/>
    <w:rsid w:val="00461D20"/>
    <w:rsid w:val="0046271D"/>
    <w:rsid w:val="004662C6"/>
    <w:rsid w:val="004762A6"/>
    <w:rsid w:val="004A6658"/>
    <w:rsid w:val="004E5C2B"/>
    <w:rsid w:val="004E5F66"/>
    <w:rsid w:val="004F4C7C"/>
    <w:rsid w:val="00501361"/>
    <w:rsid w:val="0050271A"/>
    <w:rsid w:val="0052007E"/>
    <w:rsid w:val="00523641"/>
    <w:rsid w:val="00541B3F"/>
    <w:rsid w:val="00561CCC"/>
    <w:rsid w:val="0056230D"/>
    <w:rsid w:val="0057773B"/>
    <w:rsid w:val="005872A0"/>
    <w:rsid w:val="00590EB3"/>
    <w:rsid w:val="005A1F22"/>
    <w:rsid w:val="005A44F2"/>
    <w:rsid w:val="005A6E3C"/>
    <w:rsid w:val="005B7CBB"/>
    <w:rsid w:val="005C4B5A"/>
    <w:rsid w:val="005D0791"/>
    <w:rsid w:val="005D25D3"/>
    <w:rsid w:val="005D2F68"/>
    <w:rsid w:val="005E361D"/>
    <w:rsid w:val="005E5C0C"/>
    <w:rsid w:val="005F0D67"/>
    <w:rsid w:val="005F60C8"/>
    <w:rsid w:val="00601474"/>
    <w:rsid w:val="0062107F"/>
    <w:rsid w:val="006303E1"/>
    <w:rsid w:val="00632637"/>
    <w:rsid w:val="00651529"/>
    <w:rsid w:val="00660FAC"/>
    <w:rsid w:val="00663735"/>
    <w:rsid w:val="00665F9D"/>
    <w:rsid w:val="006662C3"/>
    <w:rsid w:val="00670F12"/>
    <w:rsid w:val="006762CE"/>
    <w:rsid w:val="006869D9"/>
    <w:rsid w:val="00696B60"/>
    <w:rsid w:val="006A07A6"/>
    <w:rsid w:val="006A59B1"/>
    <w:rsid w:val="006B146C"/>
    <w:rsid w:val="006B1EC2"/>
    <w:rsid w:val="006C530B"/>
    <w:rsid w:val="006D6AFE"/>
    <w:rsid w:val="006E4750"/>
    <w:rsid w:val="006F6F51"/>
    <w:rsid w:val="00705677"/>
    <w:rsid w:val="00744D89"/>
    <w:rsid w:val="007458C3"/>
    <w:rsid w:val="00757C0E"/>
    <w:rsid w:val="0076344A"/>
    <w:rsid w:val="00773056"/>
    <w:rsid w:val="007764A3"/>
    <w:rsid w:val="007969C1"/>
    <w:rsid w:val="007B1281"/>
    <w:rsid w:val="007B7F51"/>
    <w:rsid w:val="007D1B05"/>
    <w:rsid w:val="007D6215"/>
    <w:rsid w:val="007F2C2B"/>
    <w:rsid w:val="00824E49"/>
    <w:rsid w:val="00827E45"/>
    <w:rsid w:val="0083285F"/>
    <w:rsid w:val="008331F2"/>
    <w:rsid w:val="00846266"/>
    <w:rsid w:val="008504F1"/>
    <w:rsid w:val="00856C0C"/>
    <w:rsid w:val="00873432"/>
    <w:rsid w:val="008818BC"/>
    <w:rsid w:val="00893CE1"/>
    <w:rsid w:val="008A5DF1"/>
    <w:rsid w:val="008B331E"/>
    <w:rsid w:val="008C3189"/>
    <w:rsid w:val="008D6102"/>
    <w:rsid w:val="008D6B7F"/>
    <w:rsid w:val="008E0AB0"/>
    <w:rsid w:val="008F1A33"/>
    <w:rsid w:val="008F1BFD"/>
    <w:rsid w:val="00904272"/>
    <w:rsid w:val="00912E88"/>
    <w:rsid w:val="00917B79"/>
    <w:rsid w:val="00927A97"/>
    <w:rsid w:val="00942579"/>
    <w:rsid w:val="00942EC7"/>
    <w:rsid w:val="00943DD7"/>
    <w:rsid w:val="009601DB"/>
    <w:rsid w:val="0096745B"/>
    <w:rsid w:val="0097387C"/>
    <w:rsid w:val="00973EBF"/>
    <w:rsid w:val="009A4C19"/>
    <w:rsid w:val="009B64AD"/>
    <w:rsid w:val="009C405B"/>
    <w:rsid w:val="009D10EA"/>
    <w:rsid w:val="009D22E3"/>
    <w:rsid w:val="009E5790"/>
    <w:rsid w:val="009E5BB4"/>
    <w:rsid w:val="009F166A"/>
    <w:rsid w:val="009F26AC"/>
    <w:rsid w:val="009F3A58"/>
    <w:rsid w:val="009F3F23"/>
    <w:rsid w:val="00A07FE2"/>
    <w:rsid w:val="00A07FEA"/>
    <w:rsid w:val="00A12693"/>
    <w:rsid w:val="00A143F3"/>
    <w:rsid w:val="00A14981"/>
    <w:rsid w:val="00A24E6E"/>
    <w:rsid w:val="00A27281"/>
    <w:rsid w:val="00A27C03"/>
    <w:rsid w:val="00A4355A"/>
    <w:rsid w:val="00A47215"/>
    <w:rsid w:val="00A50A46"/>
    <w:rsid w:val="00A63DD0"/>
    <w:rsid w:val="00A852EE"/>
    <w:rsid w:val="00A92BFF"/>
    <w:rsid w:val="00AA7913"/>
    <w:rsid w:val="00AB17F4"/>
    <w:rsid w:val="00AE330C"/>
    <w:rsid w:val="00AE6021"/>
    <w:rsid w:val="00AF2351"/>
    <w:rsid w:val="00B01958"/>
    <w:rsid w:val="00B02C4E"/>
    <w:rsid w:val="00B21412"/>
    <w:rsid w:val="00B2414D"/>
    <w:rsid w:val="00B355F3"/>
    <w:rsid w:val="00B404DC"/>
    <w:rsid w:val="00B603D6"/>
    <w:rsid w:val="00B60AF9"/>
    <w:rsid w:val="00B8684A"/>
    <w:rsid w:val="00B92228"/>
    <w:rsid w:val="00BA0573"/>
    <w:rsid w:val="00BA42FA"/>
    <w:rsid w:val="00BA7076"/>
    <w:rsid w:val="00BD491C"/>
    <w:rsid w:val="00BD622B"/>
    <w:rsid w:val="00BE158F"/>
    <w:rsid w:val="00C01A0F"/>
    <w:rsid w:val="00C02D7E"/>
    <w:rsid w:val="00C04D12"/>
    <w:rsid w:val="00C1408C"/>
    <w:rsid w:val="00C15968"/>
    <w:rsid w:val="00C202F5"/>
    <w:rsid w:val="00C2539B"/>
    <w:rsid w:val="00C2734B"/>
    <w:rsid w:val="00C44436"/>
    <w:rsid w:val="00C44A7B"/>
    <w:rsid w:val="00C522D0"/>
    <w:rsid w:val="00C7033E"/>
    <w:rsid w:val="00C73C76"/>
    <w:rsid w:val="00C86ED8"/>
    <w:rsid w:val="00C90B1C"/>
    <w:rsid w:val="00CA1B9B"/>
    <w:rsid w:val="00CA50B8"/>
    <w:rsid w:val="00CA620B"/>
    <w:rsid w:val="00CB39B9"/>
    <w:rsid w:val="00CD02D3"/>
    <w:rsid w:val="00CD29E9"/>
    <w:rsid w:val="00CF38E7"/>
    <w:rsid w:val="00D560D3"/>
    <w:rsid w:val="00D61FC5"/>
    <w:rsid w:val="00D64A84"/>
    <w:rsid w:val="00D66EEB"/>
    <w:rsid w:val="00D748FD"/>
    <w:rsid w:val="00D751C0"/>
    <w:rsid w:val="00D81898"/>
    <w:rsid w:val="00D85632"/>
    <w:rsid w:val="00D85C03"/>
    <w:rsid w:val="00D8650E"/>
    <w:rsid w:val="00DA17A5"/>
    <w:rsid w:val="00DC5216"/>
    <w:rsid w:val="00DE5AC1"/>
    <w:rsid w:val="00E02BA3"/>
    <w:rsid w:val="00E12CEA"/>
    <w:rsid w:val="00E20810"/>
    <w:rsid w:val="00E3136F"/>
    <w:rsid w:val="00E60623"/>
    <w:rsid w:val="00E81BBD"/>
    <w:rsid w:val="00E849C6"/>
    <w:rsid w:val="00E87C4F"/>
    <w:rsid w:val="00EB1D22"/>
    <w:rsid w:val="00EC30EC"/>
    <w:rsid w:val="00ED5AA9"/>
    <w:rsid w:val="00EE44C2"/>
    <w:rsid w:val="00EE7383"/>
    <w:rsid w:val="00EF77CC"/>
    <w:rsid w:val="00F00A6A"/>
    <w:rsid w:val="00F05479"/>
    <w:rsid w:val="00F545EC"/>
    <w:rsid w:val="00F57ECC"/>
    <w:rsid w:val="00F932E6"/>
    <w:rsid w:val="00F93507"/>
    <w:rsid w:val="00FA4F1A"/>
    <w:rsid w:val="00FB3DBF"/>
    <w:rsid w:val="00FC2A55"/>
    <w:rsid w:val="00FD2E2C"/>
    <w:rsid w:val="00FE7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F106804"/>
  <w15:chartTrackingRefBased/>
  <w15:docId w15:val="{45330F1F-75BC-43D5-88C3-D6F6A86D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2E6"/>
    <w:pPr>
      <w:spacing w:after="200" w:line="276" w:lineRule="auto"/>
    </w:pPr>
    <w:rPr>
      <w:rFonts w:ascii="Cambria" w:hAnsi="Cambria"/>
    </w:rPr>
  </w:style>
  <w:style w:type="paragraph" w:styleId="Heading1">
    <w:name w:val="heading 1"/>
    <w:next w:val="Normal"/>
    <w:link w:val="Heading1Char"/>
    <w:uiPriority w:val="1"/>
    <w:qFormat/>
    <w:rsid w:val="00F932E6"/>
    <w:pPr>
      <w:widowControl w:val="0"/>
      <w:spacing w:before="360" w:after="0" w:line="240" w:lineRule="auto"/>
      <w:contextualSpacing/>
      <w:outlineLvl w:val="0"/>
    </w:pPr>
    <w:rPr>
      <w:rFonts w:ascii="Calibri" w:hAnsi="Calibri"/>
      <w:b/>
      <w:bCs/>
      <w:color w:val="000000"/>
      <w:spacing w:val="5"/>
      <w:kern w:val="28"/>
      <w:sz w:val="72"/>
      <w:szCs w:val="28"/>
    </w:rPr>
  </w:style>
  <w:style w:type="paragraph" w:styleId="Heading2">
    <w:name w:val="heading 2"/>
    <w:basedOn w:val="Normal"/>
    <w:next w:val="Normal"/>
    <w:link w:val="Heading2Char"/>
    <w:uiPriority w:val="3"/>
    <w:rsid w:val="00F932E6"/>
    <w:pPr>
      <w:pageBreakBefore/>
      <w:numPr>
        <w:numId w:val="3"/>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F932E6"/>
    <w:pPr>
      <w:keepNext/>
      <w:keepLines/>
      <w:numPr>
        <w:ilvl w:val="1"/>
        <w:numId w:val="3"/>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F932E6"/>
    <w:pPr>
      <w:keepNext/>
      <w:numPr>
        <w:ilvl w:val="2"/>
        <w:numId w:val="3"/>
      </w:numPr>
      <w:spacing w:after="0" w:line="240" w:lineRule="auto"/>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32E6"/>
    <w:rPr>
      <w:rFonts w:ascii="Calibri" w:hAnsi="Calibri"/>
      <w:b/>
      <w:bCs/>
      <w:color w:val="000000"/>
      <w:spacing w:val="5"/>
      <w:kern w:val="28"/>
      <w:sz w:val="72"/>
      <w:szCs w:val="28"/>
    </w:rPr>
  </w:style>
  <w:style w:type="character" w:customStyle="1" w:styleId="Heading2Char">
    <w:name w:val="Heading 2 Char"/>
    <w:basedOn w:val="DefaultParagraphFont"/>
    <w:link w:val="Heading2"/>
    <w:uiPriority w:val="3"/>
    <w:rsid w:val="00F932E6"/>
    <w:rPr>
      <w:rFonts w:ascii="Calibri" w:eastAsiaTheme="minorEastAsia" w:hAnsi="Calibri"/>
      <w:bCs/>
      <w:color w:val="000000"/>
      <w:sz w:val="56"/>
      <w:szCs w:val="28"/>
      <w:lang w:eastAsia="ja-JP"/>
    </w:rPr>
  </w:style>
  <w:style w:type="character" w:customStyle="1" w:styleId="Heading3Char">
    <w:name w:val="Heading 3 Char"/>
    <w:basedOn w:val="DefaultParagraphFont"/>
    <w:link w:val="Heading3"/>
    <w:uiPriority w:val="4"/>
    <w:rsid w:val="00F932E6"/>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F932E6"/>
    <w:rPr>
      <w:rFonts w:ascii="Calibri" w:eastAsia="Times New Roman" w:hAnsi="Calibri" w:cs="Times New Roman"/>
      <w:b/>
      <w:bCs/>
      <w:sz w:val="28"/>
      <w:szCs w:val="24"/>
    </w:rPr>
  </w:style>
  <w:style w:type="paragraph" w:styleId="CommentText">
    <w:name w:val="annotation text"/>
    <w:basedOn w:val="Normal"/>
    <w:link w:val="CommentTextChar"/>
    <w:uiPriority w:val="99"/>
    <w:unhideWhenUsed/>
    <w:rsid w:val="00F932E6"/>
    <w:rPr>
      <w:sz w:val="20"/>
      <w:szCs w:val="20"/>
    </w:rPr>
  </w:style>
  <w:style w:type="character" w:customStyle="1" w:styleId="CommentTextChar">
    <w:name w:val="Comment Text Char"/>
    <w:basedOn w:val="DefaultParagraphFont"/>
    <w:link w:val="CommentText"/>
    <w:uiPriority w:val="99"/>
    <w:rsid w:val="00F932E6"/>
    <w:rPr>
      <w:rFonts w:ascii="Cambria" w:hAnsi="Cambria"/>
      <w:sz w:val="20"/>
      <w:szCs w:val="20"/>
    </w:rPr>
  </w:style>
  <w:style w:type="paragraph" w:styleId="Header">
    <w:name w:val="header"/>
    <w:basedOn w:val="Normal"/>
    <w:link w:val="HeaderChar"/>
    <w:uiPriority w:val="26"/>
    <w:rsid w:val="00F932E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F932E6"/>
    <w:rPr>
      <w:rFonts w:ascii="Calibri" w:hAnsi="Calibri"/>
      <w:sz w:val="20"/>
    </w:rPr>
  </w:style>
  <w:style w:type="paragraph" w:styleId="Footer">
    <w:name w:val="footer"/>
    <w:basedOn w:val="Normal"/>
    <w:link w:val="FooterChar"/>
    <w:uiPriority w:val="27"/>
    <w:rsid w:val="00F932E6"/>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F932E6"/>
    <w:rPr>
      <w:rFonts w:ascii="Calibri" w:hAnsi="Calibri"/>
      <w:sz w:val="20"/>
    </w:rPr>
  </w:style>
  <w:style w:type="character" w:styleId="CommentReference">
    <w:name w:val="annotation reference"/>
    <w:basedOn w:val="DefaultParagraphFont"/>
    <w:uiPriority w:val="99"/>
    <w:semiHidden/>
    <w:unhideWhenUsed/>
    <w:rsid w:val="00F932E6"/>
    <w:rPr>
      <w:sz w:val="16"/>
      <w:szCs w:val="16"/>
    </w:rPr>
  </w:style>
  <w:style w:type="paragraph" w:styleId="Subtitle">
    <w:name w:val="Subtitle"/>
    <w:basedOn w:val="Heading1"/>
    <w:next w:val="Normal"/>
    <w:link w:val="SubtitleChar"/>
    <w:uiPriority w:val="23"/>
    <w:qFormat/>
    <w:rsid w:val="00F932E6"/>
    <w:pPr>
      <w:spacing w:before="120"/>
    </w:pPr>
    <w:rPr>
      <w:b w:val="0"/>
      <w:sz w:val="56"/>
      <w:szCs w:val="56"/>
    </w:rPr>
  </w:style>
  <w:style w:type="character" w:customStyle="1" w:styleId="SubtitleChar">
    <w:name w:val="Subtitle Char"/>
    <w:basedOn w:val="DefaultParagraphFont"/>
    <w:link w:val="Subtitle"/>
    <w:uiPriority w:val="23"/>
    <w:rsid w:val="00F932E6"/>
    <w:rPr>
      <w:rFonts w:ascii="Calibri" w:hAnsi="Calibri"/>
      <w:bCs/>
      <w:color w:val="000000"/>
      <w:spacing w:val="5"/>
      <w:kern w:val="28"/>
      <w:sz w:val="56"/>
      <w:szCs w:val="56"/>
    </w:rPr>
  </w:style>
  <w:style w:type="paragraph" w:styleId="TOCHeading">
    <w:name w:val="TOC Heading"/>
    <w:next w:val="Normal"/>
    <w:uiPriority w:val="39"/>
    <w:qFormat/>
    <w:rsid w:val="00F932E6"/>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F932E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F932E6"/>
    <w:pPr>
      <w:tabs>
        <w:tab w:val="right" w:leader="dot" w:pos="9060"/>
      </w:tabs>
      <w:spacing w:before="120" w:after="120" w:line="240" w:lineRule="auto"/>
      <w:ind w:firstLine="425"/>
    </w:pPr>
    <w:rPr>
      <w:noProof/>
    </w:rPr>
  </w:style>
  <w:style w:type="character" w:styleId="Hyperlink">
    <w:name w:val="Hyperlink"/>
    <w:basedOn w:val="DefaultParagraphFont"/>
    <w:uiPriority w:val="99"/>
    <w:qFormat/>
    <w:rsid w:val="00F932E6"/>
    <w:rPr>
      <w:color w:val="165788"/>
      <w:u w:val="single"/>
    </w:rPr>
  </w:style>
  <w:style w:type="paragraph" w:styleId="ListBullet">
    <w:name w:val="List Bullet"/>
    <w:basedOn w:val="Normal"/>
    <w:uiPriority w:val="99"/>
    <w:qFormat/>
    <w:rsid w:val="00F932E6"/>
    <w:pPr>
      <w:numPr>
        <w:numId w:val="1"/>
      </w:numPr>
      <w:spacing w:before="120" w:after="120"/>
      <w:ind w:left="425"/>
    </w:pPr>
  </w:style>
  <w:style w:type="paragraph" w:styleId="TableofFigures">
    <w:name w:val="table of figures"/>
    <w:basedOn w:val="Normal"/>
    <w:next w:val="Normal"/>
    <w:uiPriority w:val="99"/>
    <w:rsid w:val="00F932E6"/>
    <w:pPr>
      <w:spacing w:before="120" w:after="120" w:line="240" w:lineRule="auto"/>
    </w:pPr>
  </w:style>
  <w:style w:type="paragraph" w:styleId="ListBullet2">
    <w:name w:val="List Bullet 2"/>
    <w:basedOn w:val="Normal"/>
    <w:uiPriority w:val="8"/>
    <w:qFormat/>
    <w:rsid w:val="00F932E6"/>
    <w:pPr>
      <w:numPr>
        <w:ilvl w:val="1"/>
        <w:numId w:val="1"/>
      </w:numPr>
      <w:spacing w:before="120" w:after="120"/>
      <w:contextualSpacing/>
    </w:pPr>
  </w:style>
  <w:style w:type="paragraph" w:customStyle="1" w:styleId="TableText">
    <w:name w:val="Table Text"/>
    <w:basedOn w:val="Normal"/>
    <w:uiPriority w:val="13"/>
    <w:qFormat/>
    <w:rsid w:val="00F932E6"/>
    <w:pPr>
      <w:spacing w:before="60" w:after="60" w:line="240" w:lineRule="auto"/>
    </w:pPr>
    <w:rPr>
      <w:sz w:val="18"/>
    </w:rPr>
  </w:style>
  <w:style w:type="paragraph" w:customStyle="1" w:styleId="TableHeading">
    <w:name w:val="Table Heading"/>
    <w:basedOn w:val="TableText"/>
    <w:uiPriority w:val="14"/>
    <w:qFormat/>
    <w:rsid w:val="00F932E6"/>
    <w:pPr>
      <w:keepNext/>
    </w:pPr>
    <w:rPr>
      <w:b/>
    </w:rPr>
  </w:style>
  <w:style w:type="character" w:styleId="Strong">
    <w:name w:val="Strong"/>
    <w:basedOn w:val="DefaultParagraphFont"/>
    <w:uiPriority w:val="99"/>
    <w:qFormat/>
    <w:rsid w:val="00F932E6"/>
    <w:rPr>
      <w:b/>
      <w:bCs/>
    </w:rPr>
  </w:style>
  <w:style w:type="paragraph" w:customStyle="1" w:styleId="Picture">
    <w:name w:val="Picture"/>
    <w:basedOn w:val="Normal"/>
    <w:uiPriority w:val="17"/>
    <w:qFormat/>
    <w:rsid w:val="00F932E6"/>
    <w:pPr>
      <w:spacing w:before="120" w:after="120" w:line="240" w:lineRule="auto"/>
    </w:pPr>
    <w:rPr>
      <w:noProof/>
      <w:lang w:eastAsia="en-AU"/>
    </w:rPr>
  </w:style>
  <w:style w:type="numbering" w:customStyle="1" w:styleId="List1">
    <w:name w:val="List1"/>
    <w:basedOn w:val="NoList"/>
    <w:uiPriority w:val="99"/>
    <w:rsid w:val="00F932E6"/>
    <w:pPr>
      <w:numPr>
        <w:numId w:val="1"/>
      </w:numPr>
    </w:pPr>
  </w:style>
  <w:style w:type="numbering" w:customStyle="1" w:styleId="Headinglist">
    <w:name w:val="Heading list"/>
    <w:uiPriority w:val="99"/>
    <w:rsid w:val="00F932E6"/>
    <w:pPr>
      <w:numPr>
        <w:numId w:val="2"/>
      </w:numPr>
    </w:pPr>
  </w:style>
  <w:style w:type="paragraph" w:customStyle="1" w:styleId="Normalsmall">
    <w:name w:val="Normal small"/>
    <w:qFormat/>
    <w:rsid w:val="00F932E6"/>
    <w:pPr>
      <w:spacing w:after="120" w:line="276" w:lineRule="auto"/>
    </w:pPr>
    <w:rPr>
      <w:rFonts w:ascii="Cambria" w:hAnsi="Cambria"/>
      <w:sz w:val="18"/>
      <w:szCs w:val="18"/>
    </w:rPr>
  </w:style>
  <w:style w:type="paragraph" w:styleId="ListBullet3">
    <w:name w:val="List Bullet 3"/>
    <w:basedOn w:val="Normal"/>
    <w:uiPriority w:val="99"/>
    <w:semiHidden/>
    <w:rsid w:val="00F932E6"/>
    <w:pPr>
      <w:numPr>
        <w:ilvl w:val="2"/>
        <w:numId w:val="1"/>
      </w:numPr>
      <w:contextualSpacing/>
    </w:pPr>
  </w:style>
  <w:style w:type="paragraph" w:styleId="BalloonText">
    <w:name w:val="Balloon Text"/>
    <w:basedOn w:val="Normal"/>
    <w:link w:val="BalloonTextChar"/>
    <w:uiPriority w:val="99"/>
    <w:semiHidden/>
    <w:unhideWhenUsed/>
    <w:rsid w:val="00F93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2E6"/>
    <w:rPr>
      <w:rFonts w:ascii="Segoe UI" w:hAnsi="Segoe UI" w:cs="Segoe UI"/>
      <w:sz w:val="18"/>
      <w:szCs w:val="18"/>
    </w:rPr>
  </w:style>
  <w:style w:type="paragraph" w:styleId="ListParagraph">
    <w:name w:val="List Paragraph"/>
    <w:aliases w:val="CV text,Dot pt,F5 List Paragraph,FooterText,L,LP-DO NOT USE,List Paragraph1,List Paragraph11,List Paragraph111,List Paragraph2,Medium Grid 1 - Accent 21,NFP GP Bulleted List,Recommendation,numbered,列出段"/>
    <w:basedOn w:val="Normal"/>
    <w:link w:val="ListParagraphChar"/>
    <w:uiPriority w:val="34"/>
    <w:qFormat/>
    <w:rsid w:val="00BA0573"/>
    <w:pPr>
      <w:ind w:left="720"/>
      <w:contextualSpacing/>
    </w:pPr>
  </w:style>
  <w:style w:type="paragraph" w:styleId="CommentSubject">
    <w:name w:val="annotation subject"/>
    <w:basedOn w:val="CommentText"/>
    <w:next w:val="CommentText"/>
    <w:link w:val="CommentSubjectChar"/>
    <w:uiPriority w:val="99"/>
    <w:semiHidden/>
    <w:unhideWhenUsed/>
    <w:rsid w:val="005D2F68"/>
    <w:pPr>
      <w:spacing w:line="240" w:lineRule="auto"/>
    </w:pPr>
    <w:rPr>
      <w:b/>
      <w:bCs/>
    </w:rPr>
  </w:style>
  <w:style w:type="character" w:customStyle="1" w:styleId="CommentSubjectChar">
    <w:name w:val="Comment Subject Char"/>
    <w:basedOn w:val="CommentTextChar"/>
    <w:link w:val="CommentSubject"/>
    <w:uiPriority w:val="99"/>
    <w:semiHidden/>
    <w:rsid w:val="005D2F68"/>
    <w:rPr>
      <w:rFonts w:ascii="Cambria" w:hAnsi="Cambria"/>
      <w:b/>
      <w:bCs/>
      <w:sz w:val="20"/>
      <w:szCs w:val="20"/>
    </w:rPr>
  </w:style>
  <w:style w:type="character" w:customStyle="1" w:styleId="ListParagraphChar">
    <w:name w:val="List Paragraph Char"/>
    <w:aliases w:val="CV text Char,Dot pt Char,F5 List Paragraph Char,FooterText Char,L Char,LP-DO NOT USE Char,List Paragraph1 Char,List Paragraph11 Char,List Paragraph111 Char,List Paragraph2 Char,Medium Grid 1 - Accent 21 Char,NFP GP Bulleted List Char"/>
    <w:basedOn w:val="DefaultParagraphFont"/>
    <w:link w:val="ListParagraph"/>
    <w:uiPriority w:val="34"/>
    <w:rsid w:val="006C530B"/>
    <w:rPr>
      <w:rFonts w:ascii="Cambria" w:hAnsi="Cambria"/>
    </w:rPr>
  </w:style>
  <w:style w:type="paragraph" w:customStyle="1" w:styleId="Bullet">
    <w:name w:val="Bullet"/>
    <w:basedOn w:val="Normal"/>
    <w:rsid w:val="006C530B"/>
    <w:pPr>
      <w:numPr>
        <w:numId w:val="11"/>
      </w:numPr>
      <w:spacing w:after="240" w:line="240" w:lineRule="auto"/>
    </w:pPr>
    <w:rPr>
      <w:rFonts w:ascii="Times New Roman" w:eastAsia="Times New Roman" w:hAnsi="Times New Roman" w:cs="Times New Roman"/>
      <w:sz w:val="24"/>
      <w:szCs w:val="24"/>
    </w:rPr>
  </w:style>
  <w:style w:type="paragraph" w:customStyle="1" w:styleId="Dash">
    <w:name w:val="Dash"/>
    <w:basedOn w:val="Normal"/>
    <w:rsid w:val="006C530B"/>
    <w:pPr>
      <w:numPr>
        <w:ilvl w:val="1"/>
        <w:numId w:val="11"/>
      </w:numPr>
      <w:spacing w:after="240" w:line="240" w:lineRule="auto"/>
    </w:pPr>
    <w:rPr>
      <w:rFonts w:ascii="Times New Roman" w:eastAsia="Times New Roman" w:hAnsi="Times New Roman" w:cs="Times New Roman"/>
      <w:sz w:val="24"/>
      <w:szCs w:val="24"/>
    </w:rPr>
  </w:style>
  <w:style w:type="paragraph" w:customStyle="1" w:styleId="DoubleDot">
    <w:name w:val="Double Dot"/>
    <w:basedOn w:val="Normal"/>
    <w:rsid w:val="006C530B"/>
    <w:pPr>
      <w:numPr>
        <w:ilvl w:val="2"/>
        <w:numId w:val="11"/>
      </w:numPr>
      <w:spacing w:after="24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F1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E8F"/>
    <w:rPr>
      <w:rFonts w:ascii="Cambria" w:hAnsi="Cambria"/>
      <w:sz w:val="20"/>
      <w:szCs w:val="20"/>
    </w:rPr>
  </w:style>
  <w:style w:type="character" w:styleId="FootnoteReference">
    <w:name w:val="footnote reference"/>
    <w:basedOn w:val="DefaultParagraphFont"/>
    <w:uiPriority w:val="99"/>
    <w:semiHidden/>
    <w:unhideWhenUsed/>
    <w:rsid w:val="002F1E8F"/>
    <w:rPr>
      <w:vertAlign w:val="superscript"/>
    </w:rPr>
  </w:style>
  <w:style w:type="paragraph" w:styleId="TOAHeading">
    <w:name w:val="toa heading"/>
    <w:basedOn w:val="Normal"/>
    <w:next w:val="Normal"/>
    <w:uiPriority w:val="99"/>
    <w:semiHidden/>
    <w:unhideWhenUsed/>
    <w:rsid w:val="009F26AC"/>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awe.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2C30-EF34-47D0-98CE-7467DB172B8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9edc925-5b52-4222-b70f-1fdaed3b8cea"/>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2B96F5-64F4-4949-8E9C-E5C166F156DB}"/>
</file>

<file path=customXml/itemProps3.xml><?xml version="1.0" encoding="utf-8"?>
<ds:datastoreItem xmlns:ds="http://schemas.openxmlformats.org/officeDocument/2006/customXml" ds:itemID="{215453DA-4BF5-4F7B-8D29-5753E5E79D8A}">
  <ds:schemaRefs>
    <ds:schemaRef ds:uri="http://schemas.microsoft.com/sharepoint/v3/contenttype/forms"/>
  </ds:schemaRefs>
</ds:datastoreItem>
</file>

<file path=customXml/itemProps4.xml><?xml version="1.0" encoding="utf-8"?>
<ds:datastoreItem xmlns:ds="http://schemas.openxmlformats.org/officeDocument/2006/customXml" ds:itemID="{91D60BAE-8351-4AE9-B1D6-B2A2803B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2970</Words>
  <Characters>16929</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Communities Investment Package 2022</dc:title>
  <dc:subject/>
  <dc:creator>Department of Agriculture, Water and the Environment</dc:creator>
  <dc:description/>
  <cp:lastPrinted>1899-12-31T13:00:00Z</cp:lastPrinted>
  <dcterms:created xsi:type="dcterms:W3CDTF">2022-03-29T23:05:00Z</dcterms:created>
  <dcterms:modified xsi:type="dcterms:W3CDTF">2022-04-01T04:34:00Z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E43EFBF3F4DA7A125F72BA03FBB60167462A1326</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86C3915A47A549AD87163482889B6E1E2FBA1719</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1B6A3487B25A4B02B794FAF47BD306B1</vt:lpwstr>
  </property>
  <property fmtid="{D5CDD505-2E9C-101B-9397-08002B2CF9AE}" pid="16" name="PM_Note">
    <vt:lpwstr/>
  </property>
  <property fmtid="{D5CDD505-2E9C-101B-9397-08002B2CF9AE}" pid="17" name="PM_Markers">
    <vt:lpwstr/>
  </property>
  <property fmtid="{D5CDD505-2E9C-101B-9397-08002B2CF9AE}" pid="18" name="PM_OriginationTimeStamp">
    <vt:lpwstr>2022-03-29T23:03:16Z</vt:lpwstr>
  </property>
  <property fmtid="{D5CDD505-2E9C-101B-9397-08002B2CF9AE}" pid="19" name="PM_Hash_Version">
    <vt:lpwstr>2018.0</vt:lpwstr>
  </property>
  <property fmtid="{D5CDD505-2E9C-101B-9397-08002B2CF9AE}" pid="20" name="PM_Hash_Salt_Prev">
    <vt:lpwstr>38A1105927C8339CE6A7B96F062C4BDE</vt:lpwstr>
  </property>
  <property fmtid="{D5CDD505-2E9C-101B-9397-08002B2CF9AE}" pid="21" name="PM_Hash_Salt">
    <vt:lpwstr>BD3D01666E0A29F6B1FCF8C7214EB738</vt:lpwstr>
  </property>
  <property fmtid="{D5CDD505-2E9C-101B-9397-08002B2CF9AE}" pid="22" name="PM_SecurityClassification_Prev">
    <vt:lpwstr>PROTECTED</vt:lpwstr>
  </property>
  <property fmtid="{D5CDD505-2E9C-101B-9397-08002B2CF9AE}" pid="23" name="PM_Qualifier_Prev">
    <vt:lpwstr/>
  </property>
  <property fmtid="{D5CDD505-2E9C-101B-9397-08002B2CF9AE}" pid="24" name="ContentTypeId">
    <vt:lpwstr>0x0101004B6FD6131ACCD942B99EE496FC609FF4</vt:lpwstr>
  </property>
</Properties>
</file>